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34710"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 xml:space="preserve">Name of Journal: </w:t>
      </w:r>
      <w:r w:rsidRPr="005E512C">
        <w:rPr>
          <w:rFonts w:ascii="Book Antiqua" w:eastAsia="Book Antiqua" w:hAnsi="Book Antiqua" w:cs="Book Antiqua"/>
          <w:i/>
          <w:color w:val="000000" w:themeColor="text1"/>
        </w:rPr>
        <w:t>World Journal of Clinical Cases</w:t>
      </w:r>
    </w:p>
    <w:p w14:paraId="549A142B"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 xml:space="preserve">Manuscript NO: </w:t>
      </w:r>
      <w:r w:rsidRPr="005E512C">
        <w:rPr>
          <w:rFonts w:ascii="Book Antiqua" w:eastAsia="Book Antiqua" w:hAnsi="Book Antiqua" w:cs="Book Antiqua"/>
          <w:color w:val="000000" w:themeColor="text1"/>
        </w:rPr>
        <w:t>69233</w:t>
      </w:r>
    </w:p>
    <w:p w14:paraId="360489EB"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 xml:space="preserve">Manuscript Type: </w:t>
      </w:r>
      <w:r w:rsidRPr="005E512C">
        <w:rPr>
          <w:rFonts w:ascii="Book Antiqua" w:eastAsia="Book Antiqua" w:hAnsi="Book Antiqua" w:cs="Book Antiqua"/>
          <w:color w:val="000000" w:themeColor="text1"/>
        </w:rPr>
        <w:t>ORIGINAL ARTICLE</w:t>
      </w:r>
    </w:p>
    <w:p w14:paraId="672BBD1B"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1402B29E"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i/>
          <w:color w:val="000000" w:themeColor="text1"/>
        </w:rPr>
        <w:t>Observational Study</w:t>
      </w:r>
    </w:p>
    <w:p w14:paraId="468B09E6" w14:textId="2A7FE623"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 xml:space="preserve">Presepsin as a </w:t>
      </w:r>
      <w:r w:rsidR="00A31763" w:rsidRPr="005E512C">
        <w:rPr>
          <w:rFonts w:ascii="Book Antiqua" w:eastAsia="Book Antiqua" w:hAnsi="Book Antiqua" w:cs="Book Antiqua"/>
          <w:b/>
          <w:color w:val="000000" w:themeColor="text1"/>
        </w:rPr>
        <w:t>biomarker for risk stratification for acute cholangitis in emergency department</w:t>
      </w:r>
      <w:r w:rsidRPr="005E512C">
        <w:rPr>
          <w:rFonts w:ascii="Book Antiqua" w:eastAsia="Book Antiqua" w:hAnsi="Book Antiqua" w:cs="Book Antiqua"/>
          <w:b/>
          <w:color w:val="000000" w:themeColor="text1"/>
        </w:rPr>
        <w:t xml:space="preserve">: A </w:t>
      </w:r>
      <w:r w:rsidR="00A31763" w:rsidRPr="005E512C">
        <w:rPr>
          <w:rFonts w:ascii="Book Antiqua" w:eastAsia="Book Antiqua" w:hAnsi="Book Antiqua" w:cs="Book Antiqua"/>
          <w:b/>
          <w:color w:val="000000" w:themeColor="text1"/>
        </w:rPr>
        <w:t>single-center study</w:t>
      </w:r>
    </w:p>
    <w:p w14:paraId="5F07A6BA"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4394162C" w14:textId="30CF3CA9" w:rsidR="00A77B3E" w:rsidRPr="005E512C" w:rsidRDefault="00172F66"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Zhang HY </w:t>
      </w:r>
      <w:r w:rsidRPr="005E512C">
        <w:rPr>
          <w:rFonts w:ascii="Book Antiqua" w:eastAsia="Book Antiqua" w:hAnsi="Book Antiqua" w:cs="Book Antiqua"/>
          <w:i/>
          <w:iCs/>
          <w:color w:val="000000" w:themeColor="text1"/>
        </w:rPr>
        <w:t>et al</w:t>
      </w:r>
      <w:r w:rsidRPr="005E512C">
        <w:rPr>
          <w:rFonts w:ascii="Book Antiqua" w:eastAsia="Book Antiqua" w:hAnsi="Book Antiqua" w:cs="Book Antiqua"/>
          <w:color w:val="000000" w:themeColor="text1"/>
        </w:rPr>
        <w:t xml:space="preserve">. </w:t>
      </w:r>
      <w:r w:rsidR="003C1887" w:rsidRPr="005E512C">
        <w:rPr>
          <w:rFonts w:ascii="Book Antiqua" w:eastAsia="Book Antiqua" w:hAnsi="Book Antiqua" w:cs="Book Antiqua"/>
          <w:color w:val="000000" w:themeColor="text1"/>
        </w:rPr>
        <w:t xml:space="preserve">Presepsin for </w:t>
      </w:r>
      <w:r w:rsidRPr="005E512C">
        <w:rPr>
          <w:rFonts w:ascii="Book Antiqua" w:eastAsia="Book Antiqua" w:hAnsi="Book Antiqua" w:cs="Book Antiqua"/>
          <w:color w:val="000000" w:themeColor="text1"/>
        </w:rPr>
        <w:t>acute cholangitis</w:t>
      </w:r>
    </w:p>
    <w:p w14:paraId="23235F57"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1F0D5FC7" w14:textId="7CB417E2"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Han-Yu Zhang, Zhao-Qing Lu, Guo-Xing Wang, Miao-Rong Xie, </w:t>
      </w:r>
      <w:r w:rsidR="00172F66" w:rsidRPr="005E512C">
        <w:rPr>
          <w:rFonts w:ascii="Book Antiqua" w:eastAsia="Book Antiqua" w:hAnsi="Book Antiqua" w:cs="Book Antiqua"/>
          <w:color w:val="000000" w:themeColor="text1"/>
        </w:rPr>
        <w:t xml:space="preserve">Chun-Sheng </w:t>
      </w:r>
      <w:r w:rsidRPr="005E512C">
        <w:rPr>
          <w:rFonts w:ascii="Book Antiqua" w:eastAsia="Book Antiqua" w:hAnsi="Book Antiqua" w:cs="Book Antiqua"/>
          <w:color w:val="000000" w:themeColor="text1"/>
        </w:rPr>
        <w:t>Li</w:t>
      </w:r>
    </w:p>
    <w:p w14:paraId="5F202098"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6E8F561C" w14:textId="22361B69"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Han-Yu Zhang, Zhao-Qing Lu, Guo-Xing Wang, Miao-Rong Xie, </w:t>
      </w:r>
      <w:r w:rsidR="00144E64" w:rsidRPr="005E512C">
        <w:rPr>
          <w:rFonts w:ascii="Book Antiqua" w:eastAsia="Book Antiqua" w:hAnsi="Book Antiqua" w:cs="Book Antiqua"/>
          <w:b/>
          <w:bCs/>
          <w:color w:val="000000" w:themeColor="text1"/>
        </w:rPr>
        <w:t xml:space="preserve">Chun-Sheng </w:t>
      </w:r>
      <w:r w:rsidRPr="005E512C">
        <w:rPr>
          <w:rFonts w:ascii="Book Antiqua" w:eastAsia="Book Antiqua" w:hAnsi="Book Antiqua" w:cs="Book Antiqua"/>
          <w:b/>
          <w:bCs/>
          <w:color w:val="000000" w:themeColor="text1"/>
        </w:rPr>
        <w:t xml:space="preserve">Li, </w:t>
      </w:r>
      <w:r w:rsidRPr="005E512C">
        <w:rPr>
          <w:rFonts w:ascii="Book Antiqua" w:eastAsia="Book Antiqua" w:hAnsi="Book Antiqua" w:cs="Book Antiqua"/>
          <w:color w:val="000000" w:themeColor="text1"/>
        </w:rPr>
        <w:t>Department of Emergency Medicine, Beijing Friendship Hospital, Capital Medical University, Beijing 100050, China</w:t>
      </w:r>
    </w:p>
    <w:p w14:paraId="0BE769C9"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47D1F001" w14:textId="3E64F0F3"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Author contributions: </w:t>
      </w:r>
      <w:r w:rsidRPr="005E512C">
        <w:rPr>
          <w:rFonts w:ascii="Book Antiqua" w:eastAsia="Book Antiqua" w:hAnsi="Book Antiqua" w:cs="Book Antiqua"/>
          <w:color w:val="000000" w:themeColor="text1"/>
        </w:rPr>
        <w:t>Zhang HY, Xie MR, and Li CS designed the study</w:t>
      </w:r>
      <w:r w:rsidR="00097B53" w:rsidRPr="005E512C">
        <w:rPr>
          <w:rFonts w:ascii="Book Antiqua" w:eastAsia="Book Antiqua" w:hAnsi="Book Antiqua" w:cs="Book Antiqua"/>
          <w:color w:val="000000" w:themeColor="text1"/>
        </w:rPr>
        <w:t>;</w:t>
      </w:r>
      <w:r w:rsidRPr="005E512C">
        <w:rPr>
          <w:rFonts w:ascii="Book Antiqua" w:eastAsia="Book Antiqua" w:hAnsi="Book Antiqua" w:cs="Book Antiqua"/>
          <w:color w:val="000000" w:themeColor="text1"/>
        </w:rPr>
        <w:t xml:space="preserve"> Zhang HY and Lu ZQ col</w:t>
      </w:r>
      <w:r w:rsidRPr="005E512C">
        <w:rPr>
          <w:rFonts w:ascii="Book Antiqua" w:eastAsia="Book Antiqua" w:hAnsi="Book Antiqua" w:cs="Book Antiqua"/>
          <w:color w:val="000000" w:themeColor="text1"/>
        </w:rPr>
        <w:t xml:space="preserve">lected </w:t>
      </w:r>
      <w:r w:rsidR="00C50BEC">
        <w:rPr>
          <w:rFonts w:ascii="Book Antiqua" w:eastAsia="Book Antiqua" w:hAnsi="Book Antiqua" w:cs="Book Antiqua"/>
          <w:color w:val="000000" w:themeColor="text1"/>
        </w:rPr>
        <w:t xml:space="preserve">the </w:t>
      </w:r>
      <w:r w:rsidRPr="005E512C">
        <w:rPr>
          <w:rFonts w:ascii="Book Antiqua" w:eastAsia="Book Antiqua" w:hAnsi="Book Antiqua" w:cs="Book Antiqua"/>
          <w:color w:val="000000" w:themeColor="text1"/>
        </w:rPr>
        <w:t>sample</w:t>
      </w:r>
      <w:r w:rsidR="00C50BEC">
        <w:rPr>
          <w:rFonts w:ascii="Book Antiqua" w:eastAsia="Book Antiqua" w:hAnsi="Book Antiqua" w:cs="Book Antiqua"/>
          <w:color w:val="000000" w:themeColor="text1"/>
        </w:rPr>
        <w:t>s</w:t>
      </w:r>
      <w:r w:rsidRPr="005E512C">
        <w:rPr>
          <w:rFonts w:ascii="Book Antiqua" w:eastAsia="Book Antiqua" w:hAnsi="Book Antiqua" w:cs="Book Antiqua"/>
          <w:color w:val="000000" w:themeColor="text1"/>
        </w:rPr>
        <w:t xml:space="preserve"> and</w:t>
      </w:r>
      <w:r w:rsidRPr="005E512C">
        <w:rPr>
          <w:rFonts w:ascii="Book Antiqua" w:eastAsia="Book Antiqua" w:hAnsi="Book Antiqua" w:cs="Book Antiqua"/>
          <w:color w:val="000000" w:themeColor="text1"/>
        </w:rPr>
        <w:t xml:space="preserve"> clinical data</w:t>
      </w:r>
      <w:r w:rsidR="00097B53" w:rsidRPr="005E512C">
        <w:rPr>
          <w:rFonts w:ascii="Book Antiqua" w:eastAsia="Book Antiqua" w:hAnsi="Book Antiqua" w:cs="Book Antiqua"/>
          <w:color w:val="000000" w:themeColor="text1"/>
        </w:rPr>
        <w:t>;</w:t>
      </w:r>
      <w:r w:rsidR="00031FCA">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Zhang HY measured presepsin, analyzed all the data, and performed the statistical analysis</w:t>
      </w:r>
      <w:r w:rsidR="00097B53" w:rsidRPr="005E512C">
        <w:rPr>
          <w:rFonts w:ascii="Book Antiqua" w:eastAsia="Book Antiqua" w:hAnsi="Book Antiqua" w:cs="Book Antiqua"/>
          <w:color w:val="000000" w:themeColor="text1"/>
        </w:rPr>
        <w:t>;</w:t>
      </w:r>
      <w:r w:rsidRPr="005E512C">
        <w:rPr>
          <w:rFonts w:ascii="Book Antiqua" w:eastAsia="Book Antiqua" w:hAnsi="Book Antiqua" w:cs="Book Antiqua"/>
          <w:color w:val="000000" w:themeColor="text1"/>
        </w:rPr>
        <w:t xml:space="preserve"> Wang GX conducted clinical supervision.</w:t>
      </w:r>
    </w:p>
    <w:p w14:paraId="5BF121BD"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4CA84586"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Supported by </w:t>
      </w:r>
      <w:r w:rsidRPr="005E512C">
        <w:rPr>
          <w:rFonts w:ascii="Book Antiqua" w:eastAsia="Book Antiqua" w:hAnsi="Book Antiqua" w:cs="Book Antiqua"/>
          <w:color w:val="000000" w:themeColor="text1"/>
        </w:rPr>
        <w:t>National Natural Science Foundation of China, No. 81773931; and Beijing Municipal Administration of Hospitals Clinical Medicine Development of Special Funding Support “Yanfan” Project, No. ZYLX201802.</w:t>
      </w:r>
    </w:p>
    <w:p w14:paraId="6E7FF4CD"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3DDF557B" w14:textId="7AACB826"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Corresponding author: </w:t>
      </w:r>
      <w:r w:rsidR="005970AA" w:rsidRPr="005E512C">
        <w:rPr>
          <w:rFonts w:ascii="Book Antiqua" w:eastAsia="Book Antiqua" w:hAnsi="Book Antiqua" w:cs="Book Antiqua"/>
          <w:b/>
          <w:bCs/>
          <w:color w:val="000000" w:themeColor="text1"/>
        </w:rPr>
        <w:t xml:space="preserve">Chun-Sheng </w:t>
      </w:r>
      <w:r w:rsidRPr="005E512C">
        <w:rPr>
          <w:rFonts w:ascii="Book Antiqua" w:eastAsia="Book Antiqua" w:hAnsi="Book Antiqua" w:cs="Book Antiqua"/>
          <w:b/>
          <w:bCs/>
          <w:color w:val="000000" w:themeColor="text1"/>
        </w:rPr>
        <w:t xml:space="preserve">Li, PhD, Professor, </w:t>
      </w:r>
      <w:r w:rsidRPr="005E512C">
        <w:rPr>
          <w:rFonts w:ascii="Book Antiqua" w:eastAsia="Book Antiqua" w:hAnsi="Book Antiqua" w:cs="Book Antiqua"/>
          <w:color w:val="000000" w:themeColor="text1"/>
        </w:rPr>
        <w:t xml:space="preserve">Department of Emergency Medicine, Beijing Friendship Hospital, Capital Medical University, </w:t>
      </w:r>
      <w:r w:rsidR="005970AA" w:rsidRPr="005E512C">
        <w:rPr>
          <w:rFonts w:ascii="Book Antiqua" w:eastAsia="Book Antiqua" w:hAnsi="Book Antiqua" w:cs="Book Antiqua"/>
          <w:color w:val="000000" w:themeColor="text1"/>
        </w:rPr>
        <w:t xml:space="preserve">No. </w:t>
      </w:r>
      <w:r w:rsidRPr="005E512C">
        <w:rPr>
          <w:rFonts w:ascii="Book Antiqua" w:eastAsia="Book Antiqua" w:hAnsi="Book Antiqua" w:cs="Book Antiqua"/>
          <w:color w:val="000000" w:themeColor="text1"/>
        </w:rPr>
        <w:t xml:space="preserve">95 Yong-an Road, </w:t>
      </w:r>
      <w:r w:rsidR="005970AA" w:rsidRPr="005E512C">
        <w:rPr>
          <w:rFonts w:ascii="Book Antiqua" w:eastAsia="Book Antiqua" w:hAnsi="Book Antiqua" w:cs="Book Antiqua"/>
          <w:color w:val="000000" w:themeColor="text1"/>
        </w:rPr>
        <w:t xml:space="preserve">Xicheng </w:t>
      </w:r>
      <w:r w:rsidRPr="005E512C">
        <w:rPr>
          <w:rFonts w:ascii="Book Antiqua" w:eastAsia="Book Antiqua" w:hAnsi="Book Antiqua" w:cs="Book Antiqua"/>
          <w:color w:val="000000" w:themeColor="text1"/>
        </w:rPr>
        <w:t>District, Beijing 100050, China. lcscyyy@163.com</w:t>
      </w:r>
    </w:p>
    <w:p w14:paraId="3BDF3703"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7D4E3412"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lastRenderedPageBreak/>
        <w:t xml:space="preserve">Received: </w:t>
      </w:r>
      <w:r w:rsidRPr="005E512C">
        <w:rPr>
          <w:rFonts w:ascii="Book Antiqua" w:eastAsia="Book Antiqua" w:hAnsi="Book Antiqua" w:cs="Book Antiqua"/>
          <w:color w:val="000000" w:themeColor="text1"/>
        </w:rPr>
        <w:t>June 22, 2021</w:t>
      </w:r>
    </w:p>
    <w:p w14:paraId="3C308968" w14:textId="1CBA04E3"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Revised: </w:t>
      </w:r>
      <w:r w:rsidRPr="005E512C">
        <w:rPr>
          <w:rFonts w:ascii="Book Antiqua" w:eastAsia="Book Antiqua" w:hAnsi="Book Antiqua" w:cs="Book Antiqua"/>
          <w:color w:val="000000" w:themeColor="text1"/>
        </w:rPr>
        <w:t>July 28, 2021</w:t>
      </w:r>
    </w:p>
    <w:p w14:paraId="2D141FCB" w14:textId="05BFCE0F"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6423E1">
        <w:rPr>
          <w:rFonts w:ascii="Book Antiqua" w:eastAsia="宋体" w:hAnsi="Book Antiqua" w:hint="eastAsia"/>
          <w:color w:val="000000" w:themeColor="text1"/>
        </w:rPr>
        <w:t>Au</w:t>
      </w:r>
      <w:r w:rsidR="006423E1">
        <w:rPr>
          <w:rFonts w:ascii="Book Antiqua" w:eastAsia="宋体" w:hAnsi="Book Antiqua"/>
          <w:color w:val="000000" w:themeColor="text1"/>
        </w:rPr>
        <w:t>gust</w:t>
      </w:r>
      <w:r w:rsidR="006423E1" w:rsidRPr="00F06907">
        <w:rPr>
          <w:rFonts w:ascii="Book Antiqua" w:eastAsia="宋体" w:hAnsi="Book Antiqua"/>
          <w:color w:val="000000" w:themeColor="text1"/>
        </w:rPr>
        <w:t xml:space="preserve"> </w:t>
      </w:r>
      <w:r w:rsidR="006423E1">
        <w:rPr>
          <w:rFonts w:ascii="Book Antiqua" w:eastAsia="宋体" w:hAnsi="Book Antiqua"/>
          <w:color w:val="000000" w:themeColor="text1"/>
        </w:rPr>
        <w:t>27</w:t>
      </w:r>
      <w:r w:rsidR="006423E1" w:rsidRPr="00F06907">
        <w:rPr>
          <w:rFonts w:ascii="Book Antiqua" w:eastAsia="宋体" w:hAnsi="Book Antiqua"/>
          <w:color w:val="000000" w:themeColor="text1"/>
        </w:rPr>
        <w:t>, 2021</w:t>
      </w:r>
      <w:bookmarkEnd w:id="0"/>
      <w:bookmarkEnd w:id="1"/>
      <w:bookmarkEnd w:id="2"/>
    </w:p>
    <w:p w14:paraId="486D9BE2" w14:textId="77777777" w:rsidR="003C1887" w:rsidRPr="005E512C" w:rsidRDefault="003C1887" w:rsidP="005E512C">
      <w:pPr>
        <w:adjustRightInd w:val="0"/>
        <w:snapToGrid w:val="0"/>
        <w:spacing w:line="360" w:lineRule="auto"/>
        <w:jc w:val="both"/>
        <w:rPr>
          <w:rFonts w:ascii="Book Antiqua" w:eastAsia="Book Antiqua" w:hAnsi="Book Antiqua" w:cs="Book Antiqua"/>
          <w:b/>
          <w:bCs/>
          <w:color w:val="000000" w:themeColor="text1"/>
        </w:rPr>
      </w:pPr>
      <w:r w:rsidRPr="005E512C">
        <w:rPr>
          <w:rFonts w:ascii="Book Antiqua" w:eastAsia="Book Antiqua" w:hAnsi="Book Antiqua" w:cs="Book Antiqua"/>
          <w:b/>
          <w:bCs/>
          <w:color w:val="000000" w:themeColor="text1"/>
        </w:rPr>
        <w:t xml:space="preserve">Published online: </w:t>
      </w:r>
    </w:p>
    <w:p w14:paraId="63A09BB0" w14:textId="77777777" w:rsidR="003C1887" w:rsidRPr="005E512C" w:rsidRDefault="003C1887" w:rsidP="005E512C">
      <w:pPr>
        <w:adjustRightInd w:val="0"/>
        <w:snapToGrid w:val="0"/>
        <w:spacing w:line="360" w:lineRule="auto"/>
        <w:jc w:val="both"/>
        <w:rPr>
          <w:rFonts w:ascii="Book Antiqua" w:eastAsia="Book Antiqua" w:hAnsi="Book Antiqua" w:cs="Book Antiqua"/>
          <w:b/>
          <w:bCs/>
          <w:color w:val="000000" w:themeColor="text1"/>
        </w:rPr>
      </w:pPr>
    </w:p>
    <w:p w14:paraId="3D79F42B" w14:textId="77777777" w:rsidR="003C1887" w:rsidRPr="005E512C" w:rsidRDefault="003C1887" w:rsidP="005E512C">
      <w:pPr>
        <w:adjustRightInd w:val="0"/>
        <w:snapToGrid w:val="0"/>
        <w:spacing w:line="360" w:lineRule="auto"/>
        <w:jc w:val="both"/>
        <w:rPr>
          <w:rFonts w:ascii="Book Antiqua" w:eastAsia="Book Antiqua" w:hAnsi="Book Antiqua" w:cs="Book Antiqua"/>
          <w:b/>
          <w:bCs/>
          <w:color w:val="000000" w:themeColor="text1"/>
        </w:rPr>
      </w:pPr>
    </w:p>
    <w:p w14:paraId="3EDC6269" w14:textId="23819691"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Abstract</w:t>
      </w:r>
    </w:p>
    <w:p w14:paraId="27B83CCC"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BACKGROUND</w:t>
      </w:r>
    </w:p>
    <w:p w14:paraId="6201321A" w14:textId="00F4C128"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Acute cholangitis is caused by bacterial infection and has high morbidity and mortality risk. The grade of cholangitis can guide clinical treatment from single antibiotic treatment to biliary dr</w:t>
      </w:r>
      <w:r w:rsidRPr="005E512C">
        <w:rPr>
          <w:rFonts w:ascii="Book Antiqua" w:eastAsia="Book Antiqua" w:hAnsi="Book Antiqua" w:cs="Book Antiqua"/>
          <w:color w:val="000000" w:themeColor="text1"/>
        </w:rPr>
        <w:t xml:space="preserve">ainage. With the introduction of </w:t>
      </w:r>
      <w:r w:rsidR="005364F0" w:rsidRPr="005E512C">
        <w:rPr>
          <w:rFonts w:ascii="Book Antiqua" w:eastAsia="Book Antiqua" w:hAnsi="Book Antiqua" w:cs="Book Antiqua"/>
          <w:color w:val="000000" w:themeColor="text1"/>
        </w:rPr>
        <w:t>white blood cell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WBC</w:t>
      </w:r>
      <w:r w:rsidR="005364F0" w:rsidRPr="005E512C">
        <w:rPr>
          <w:rFonts w:ascii="Book Antiqua" w:eastAsia="Book Antiqua" w:hAnsi="Book Antiqua" w:cs="Book Antiqua"/>
          <w:color w:val="000000" w:themeColor="text1"/>
        </w:rPr>
        <w:t>)</w:t>
      </w:r>
      <w:r w:rsidRPr="005E512C">
        <w:rPr>
          <w:rFonts w:ascii="Book Antiqua" w:eastAsia="Book Antiqua" w:hAnsi="Book Antiqua" w:cs="Book Antiqua"/>
          <w:color w:val="000000" w:themeColor="text1"/>
        </w:rPr>
        <w:t xml:space="preserve"> count, C-reactive protein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CRP), and total bilirubin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T-Bil) into the diagnostic criteria and seve</w:t>
      </w:r>
      <w:r w:rsidRPr="005E512C">
        <w:rPr>
          <w:rFonts w:ascii="Book Antiqua" w:eastAsia="Book Antiqua" w:hAnsi="Book Antiqua" w:cs="Book Antiqua"/>
          <w:color w:val="000000" w:themeColor="text1"/>
        </w:rPr>
        <w:t>rity grading for acute cholangitis, the diagnosis rate and grading have significantly improved. However, early risk stratification assessments are challenging in the emergency department. Therefore, we hope to find an ideal predictive biomarker for cholangitis grade. Presepsin is a promising biomarker for the early diagnosis, severity, and prognosis of acute bacterial infections.</w:t>
      </w:r>
    </w:p>
    <w:p w14:paraId="62EC0109"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12F09E33"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AIM</w:t>
      </w:r>
    </w:p>
    <w:p w14:paraId="33F1BB88"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To assess the grading value of presepsin in patients with acute cholangitis.</w:t>
      </w:r>
    </w:p>
    <w:p w14:paraId="5BB4224D"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2894D245"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METHODS</w:t>
      </w:r>
    </w:p>
    <w:p w14:paraId="705362ED" w14:textId="1757DAFB"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This clinical study was conducted at the Beijing Friendship Hospital, a 2000-bed teaching hospital with approximately 200</w:t>
      </w:r>
      <w:r w:rsidRPr="005E512C">
        <w:rPr>
          <w:rFonts w:ascii="Book Antiqua" w:eastAsia="Book Antiqua" w:hAnsi="Book Antiqua" w:cs="Book Antiqua"/>
          <w:color w:val="000000" w:themeColor="text1"/>
        </w:rPr>
        <w:t>000 emergency admissions per year. In this prospective observational study, 336 patients with acute cholangitis</w:t>
      </w:r>
      <w:r w:rsidR="00C50BE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meeting </w:t>
      </w:r>
      <w:r w:rsidR="00C50BEC">
        <w:rPr>
          <w:rFonts w:ascii="Book Antiqua" w:eastAsia="Book Antiqua" w:hAnsi="Book Antiqua" w:cs="Book Antiqua"/>
          <w:color w:val="000000" w:themeColor="text1"/>
        </w:rPr>
        <w:t xml:space="preserve">the </w:t>
      </w:r>
      <w:r w:rsidRPr="005E512C">
        <w:rPr>
          <w:rFonts w:ascii="Book Antiqua" w:eastAsia="Book Antiqua" w:hAnsi="Book Antiqua" w:cs="Book Antiqua"/>
          <w:color w:val="000000" w:themeColor="text1"/>
        </w:rPr>
        <w:t xml:space="preserve">Tokyo Guidelines 2018 diagnostic criteria </w:t>
      </w:r>
      <w:r w:rsidR="00C50BEC" w:rsidRPr="005E512C">
        <w:rPr>
          <w:rFonts w:ascii="Book Antiqua" w:eastAsia="Book Antiqua" w:hAnsi="Book Antiqua" w:cs="Book Antiqua"/>
          <w:color w:val="000000" w:themeColor="text1"/>
        </w:rPr>
        <w:t xml:space="preserve">in the emergency department </w:t>
      </w:r>
      <w:r w:rsidRPr="005E512C">
        <w:rPr>
          <w:rFonts w:ascii="Book Antiqua" w:eastAsia="Book Antiqua" w:hAnsi="Book Antiqua" w:cs="Book Antiqua"/>
          <w:color w:val="000000" w:themeColor="text1"/>
        </w:rPr>
        <w:t>from May 2019 to December 2020 were analyzed. WBC count, CRP, procalcitonin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PCT), presepsin, T-Bil, and blood culture results were collected. The values were compar</w:t>
      </w:r>
      <w:r w:rsidRPr="005E512C">
        <w:rPr>
          <w:rFonts w:ascii="Book Antiqua" w:eastAsia="Book Antiqua" w:hAnsi="Book Antiqua" w:cs="Book Antiqua"/>
          <w:color w:val="000000" w:themeColor="text1"/>
        </w:rPr>
        <w:t xml:space="preserve">ed using the Pearson </w:t>
      </w:r>
      <w:r w:rsidR="00470ABF" w:rsidRPr="005E512C">
        <w:rPr>
          <w:rFonts w:ascii="Book Antiqua" w:eastAsia="Book Antiqua" w:hAnsi="Book Antiqua" w:cs="Book Antiqua"/>
          <w:i/>
          <w:iCs/>
          <w:color w:val="000000" w:themeColor="text1"/>
        </w:rPr>
        <w:t>χ</w:t>
      </w:r>
      <w:r w:rsidR="00470ABF" w:rsidRPr="005E512C">
        <w:rPr>
          <w:rFonts w:ascii="Book Antiqua" w:eastAsia="Book Antiqua" w:hAnsi="Book Antiqua" w:cs="Book Antiqua"/>
          <w:color w:val="000000" w:themeColor="text1"/>
          <w:vertAlign w:val="superscript"/>
        </w:rPr>
        <w:t>2</w:t>
      </w:r>
      <w:r w:rsidRPr="005E512C">
        <w:rPr>
          <w:rFonts w:ascii="Book Antiqua" w:eastAsia="Book Antiqua" w:hAnsi="Book Antiqua" w:cs="Book Antiqua"/>
          <w:color w:val="000000" w:themeColor="text1"/>
        </w:rPr>
        <w:t xml:space="preserve"> test, Fisher’s exact test, or Mann-Whitney </w:t>
      </w:r>
      <w:r w:rsidRPr="005E512C">
        <w:rPr>
          <w:rFonts w:ascii="Book Antiqua" w:eastAsia="Book Antiqua" w:hAnsi="Book Antiqua" w:cs="Book Antiqua"/>
          <w:i/>
          <w:iCs/>
          <w:color w:val="000000" w:themeColor="text1"/>
        </w:rPr>
        <w:t>U</w:t>
      </w:r>
      <w:r w:rsidRPr="005E512C">
        <w:rPr>
          <w:rFonts w:ascii="Book Antiqua" w:eastAsia="Book Antiqua" w:hAnsi="Book Antiqua" w:cs="Book Antiqua"/>
          <w:color w:val="000000" w:themeColor="text1"/>
        </w:rPr>
        <w:t xml:space="preserve"> test. The area under the receiver operating characteristic curve</w:t>
      </w:r>
      <w:r w:rsidR="006F7889">
        <w:rPr>
          <w:rFonts w:ascii="Book Antiqua" w:eastAsia="Book Antiqua" w:hAnsi="Book Antiqua" w:cs="Book Antiqua"/>
          <w:color w:val="000000" w:themeColor="text1"/>
        </w:rPr>
        <w:t xml:space="preserve"> </w:t>
      </w:r>
      <w:r w:rsidR="006F7889">
        <w:rPr>
          <w:rFonts w:ascii="Book Antiqua" w:eastAsia="Book Antiqua" w:hAnsi="Book Antiqua" w:cs="Book Antiqua"/>
          <w:color w:val="000000" w:themeColor="text1"/>
        </w:rPr>
        <w:lastRenderedPageBreak/>
        <w:t>(</w:t>
      </w:r>
      <w:r w:rsidRPr="005E512C">
        <w:rPr>
          <w:rFonts w:ascii="Book Antiqua" w:eastAsia="Book Antiqua" w:hAnsi="Book Antiqua" w:cs="Book Antiqua"/>
          <w:color w:val="000000" w:themeColor="text1"/>
        </w:rPr>
        <w:t>AUC) of the value was examined using the Delong test. The correlations among the key research indicators were determined using Pearson correlation.</w:t>
      </w:r>
    </w:p>
    <w:p w14:paraId="4A071156"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0C30F82C"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RESULTS</w:t>
      </w:r>
    </w:p>
    <w:p w14:paraId="4DAD60FD" w14:textId="1439219C"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In total, 336 patients were e</w:t>
      </w:r>
      <w:r w:rsidRPr="005E512C">
        <w:rPr>
          <w:rFonts w:ascii="Book Antiqua" w:eastAsia="Book Antiqua" w:hAnsi="Book Antiqua" w:cs="Book Antiqua"/>
          <w:color w:val="000000" w:themeColor="text1"/>
        </w:rPr>
        <w:t xml:space="preserve">xamined, which included 107, 106, and 123 patients classified as having mild, moderate, and severe cholangitis, respectively. WBC count, CRP, PCT, presepsin, T-Bil, direct bilirubin, and </w:t>
      </w:r>
      <w:r w:rsidR="00CD108A" w:rsidRPr="005E512C">
        <w:rPr>
          <w:rFonts w:ascii="Book Antiqua" w:eastAsia="Book Antiqua" w:hAnsi="Book Antiqua" w:cs="Book Antiqua"/>
          <w:color w:val="000000" w:themeColor="text1"/>
        </w:rPr>
        <w:t xml:space="preserve">sequential organ failure assessment </w:t>
      </w:r>
      <w:r w:rsidRPr="005E512C">
        <w:rPr>
          <w:rFonts w:ascii="Book Antiqua" w:eastAsia="Book Antiqua" w:hAnsi="Book Antiqua" w:cs="Book Antiqua"/>
          <w:color w:val="000000" w:themeColor="text1"/>
        </w:rPr>
        <w:t>scores of moderate and severe cholangitis patients were higher than those of mild cholangitis patients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0.000). The AUC of presepsin in predicting moderate acute cholangitis was 0.728, which was higher than </w:t>
      </w:r>
      <w:r w:rsidR="00C50BEC">
        <w:rPr>
          <w:rFonts w:ascii="Book Antiqua" w:eastAsia="Book Antiqua" w:hAnsi="Book Antiqua" w:cs="Book Antiqua"/>
          <w:color w:val="000000" w:themeColor="text1"/>
        </w:rPr>
        <w:t xml:space="preserve">that of </w:t>
      </w:r>
      <w:r w:rsidRPr="005E512C">
        <w:rPr>
          <w:rFonts w:ascii="Book Antiqua" w:eastAsia="Book Antiqua" w:hAnsi="Book Antiqua" w:cs="Book Antiqua"/>
          <w:color w:val="000000" w:themeColor="text1"/>
        </w:rPr>
        <w:t>CRP</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0.631,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0.043) and PCT</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0.585,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0.002), </w:t>
      </w:r>
      <w:r w:rsidR="00C50BEC">
        <w:rPr>
          <w:rFonts w:ascii="Book Antiqua" w:eastAsia="Book Antiqua" w:hAnsi="Book Antiqua" w:cs="Book Antiqua"/>
          <w:color w:val="000000" w:themeColor="text1"/>
        </w:rPr>
        <w:t xml:space="preserve">and </w:t>
      </w:r>
      <w:r w:rsidRPr="005E512C">
        <w:rPr>
          <w:rFonts w:ascii="Book Antiqua" w:eastAsia="Book Antiqua" w:hAnsi="Book Antiqua" w:cs="Book Antiqua"/>
          <w:color w:val="000000" w:themeColor="text1"/>
        </w:rPr>
        <w:t>same as</w:t>
      </w:r>
      <w:r w:rsidR="00C50BEC">
        <w:rPr>
          <w:rFonts w:ascii="Book Antiqua" w:eastAsia="Book Antiqua" w:hAnsi="Book Antiqua" w:cs="Book Antiqua"/>
          <w:color w:val="000000" w:themeColor="text1"/>
        </w:rPr>
        <w:t xml:space="preserve"> that of</w:t>
      </w:r>
      <w:r w:rsidRPr="005E512C">
        <w:rPr>
          <w:rFonts w:ascii="Book Antiqua" w:eastAsia="Book Antiqua" w:hAnsi="Book Antiqua" w:cs="Book Antiqua"/>
          <w:color w:val="000000" w:themeColor="text1"/>
        </w:rPr>
        <w:t xml:space="preserve"> WBC count</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0.746,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 0.713) and T-Bil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0.686, </w:t>
      </w:r>
      <w:r w:rsidRPr="005E512C">
        <w:rPr>
          <w:rFonts w:ascii="Book Antiqua" w:eastAsia="Book Antiqua" w:hAnsi="Book Antiqua" w:cs="Book Antiqua"/>
          <w:i/>
          <w:iCs/>
          <w:color w:val="000000" w:themeColor="text1"/>
        </w:rPr>
        <w:t>P</w:t>
      </w:r>
      <w:r w:rsidR="00331620" w:rsidRPr="005E512C">
        <w:rPr>
          <w:rFonts w:ascii="Book Antiqua" w:eastAsia="Book Antiqua" w:hAnsi="Book Antiqua" w:cs="Book Antiqua"/>
          <w:i/>
          <w:iCs/>
          <w:color w:val="000000" w:themeColor="text1"/>
        </w:rPr>
        <w:t xml:space="preserve"> </w:t>
      </w:r>
      <w:r w:rsidRPr="005E512C">
        <w:rPr>
          <w:rFonts w:ascii="Book Antiqua" w:eastAsia="Book Antiqua" w:hAnsi="Book Antiqua" w:cs="Book Antiqua"/>
          <w:color w:val="000000" w:themeColor="text1"/>
        </w:rPr>
        <w:t>= 0.361). The AUC of presepsin in predicting severe acute cholangitis was 0.715, which was higher than that of WBC count</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0.571,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0.008), CRP</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0.590,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0.009), PCT</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0.618,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0.024), and T-Bil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0.559,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0.006). The presepsin levels in the positive blood culture group were higher</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94.36 </w:t>
      </w:r>
      <w:r w:rsidRPr="005E512C">
        <w:rPr>
          <w:rFonts w:ascii="Book Antiqua" w:eastAsia="Book Antiqua" w:hAnsi="Book Antiqua" w:cs="Book Antiqua"/>
          <w:i/>
          <w:iCs/>
          <w:color w:val="000000" w:themeColor="text1"/>
        </w:rPr>
        <w:t xml:space="preserve">vs </w:t>
      </w:r>
      <w:r w:rsidRPr="005E512C">
        <w:rPr>
          <w:rFonts w:ascii="Book Antiqua" w:eastAsia="Book Antiqua" w:hAnsi="Book Antiqua" w:cs="Book Antiqua"/>
          <w:color w:val="000000" w:themeColor="text1"/>
        </w:rPr>
        <w:t xml:space="preserve">66.26,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0.000), and the AUC of presepsin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0.688) proved that it was a good biomarker for predicting positive bacterial culture.</w:t>
      </w:r>
    </w:p>
    <w:p w14:paraId="0F6E9BCF"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215C1C22"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CONCLUSION</w:t>
      </w:r>
    </w:p>
    <w:p w14:paraId="65B00636" w14:textId="6ECB2C6B"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Presepsin can pre</w:t>
      </w:r>
      <w:r w:rsidRPr="005E512C">
        <w:rPr>
          <w:rFonts w:ascii="Book Antiqua" w:eastAsia="Book Antiqua" w:hAnsi="Book Antiqua" w:cs="Book Antiqua"/>
          <w:color w:val="000000" w:themeColor="text1"/>
        </w:rPr>
        <w:t xml:space="preserve">dict positive blood culture in patients with acute cholangitis. It is superior to WBC count, CRP, PCT, and T-Bil for the </w:t>
      </w:r>
      <w:r w:rsidRPr="005E512C">
        <w:rPr>
          <w:rFonts w:ascii="Book Antiqua" w:eastAsia="Book Antiqua" w:hAnsi="Book Antiqua" w:cs="Book Antiqua"/>
          <w:color w:val="000000" w:themeColor="text1"/>
        </w:rPr>
        <w:t>risk stratification of acute cholangitis.</w:t>
      </w:r>
    </w:p>
    <w:p w14:paraId="2CEB38DC"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56F11155"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Key Words: </w:t>
      </w:r>
      <w:r w:rsidRPr="005E512C">
        <w:rPr>
          <w:rFonts w:ascii="Book Antiqua" w:eastAsia="Book Antiqua" w:hAnsi="Book Antiqua" w:cs="Book Antiqua"/>
          <w:color w:val="000000" w:themeColor="text1"/>
        </w:rPr>
        <w:t>C-reactive protein; Procalcitonin; Presepsin; Acute cholangitis; Risk stratification</w:t>
      </w:r>
    </w:p>
    <w:p w14:paraId="7932D9AB"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2ED575A0" w14:textId="7E8CDFED"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Zhang HY, Lu ZQ, Wang GX, Xie MR, Li C</w:t>
      </w:r>
      <w:r w:rsidR="00FA2D37" w:rsidRPr="005E512C">
        <w:rPr>
          <w:rFonts w:ascii="Book Antiqua" w:eastAsia="Book Antiqua" w:hAnsi="Book Antiqua" w:cs="Book Antiqua"/>
          <w:color w:val="000000" w:themeColor="text1"/>
        </w:rPr>
        <w:t>S</w:t>
      </w:r>
      <w:r w:rsidRPr="005E512C">
        <w:rPr>
          <w:rFonts w:ascii="Book Antiqua" w:eastAsia="Book Antiqua" w:hAnsi="Book Antiqua" w:cs="Book Antiqua"/>
          <w:color w:val="000000" w:themeColor="text1"/>
        </w:rPr>
        <w:t xml:space="preserve">. </w:t>
      </w:r>
      <w:r w:rsidR="00331620" w:rsidRPr="005E512C">
        <w:rPr>
          <w:rFonts w:ascii="Book Antiqua" w:eastAsia="Book Antiqua" w:hAnsi="Book Antiqua" w:cs="Book Antiqua"/>
          <w:color w:val="000000" w:themeColor="text1"/>
        </w:rPr>
        <w:t>Presepsin as a biomarker for risk stratification for acute cholangitis in emergency department: A single-center study</w:t>
      </w:r>
      <w:r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World J Clin Cases</w:t>
      </w:r>
      <w:r w:rsidRPr="005E512C">
        <w:rPr>
          <w:rFonts w:ascii="Book Antiqua" w:eastAsia="Book Antiqua" w:hAnsi="Book Antiqua" w:cs="Book Antiqua"/>
          <w:color w:val="000000" w:themeColor="text1"/>
        </w:rPr>
        <w:t xml:space="preserve"> 2021; In press</w:t>
      </w:r>
    </w:p>
    <w:p w14:paraId="4E0E4262"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1415797A" w14:textId="1466A210"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lastRenderedPageBreak/>
        <w:t xml:space="preserve">Core Tip: </w:t>
      </w:r>
      <w:r w:rsidRPr="005E512C">
        <w:rPr>
          <w:rFonts w:ascii="Book Antiqua" w:eastAsia="Book Antiqua" w:hAnsi="Book Antiqua" w:cs="Book Antiqua"/>
          <w:color w:val="000000" w:themeColor="text1"/>
        </w:rPr>
        <w:t>Although the mo</w:t>
      </w:r>
      <w:r w:rsidRPr="005E512C">
        <w:rPr>
          <w:rFonts w:ascii="Book Antiqua" w:eastAsia="Book Antiqua" w:hAnsi="Book Antiqua" w:cs="Book Antiqua"/>
          <w:color w:val="000000" w:themeColor="text1"/>
        </w:rPr>
        <w:t xml:space="preserve">rtality rate </w:t>
      </w:r>
      <w:r w:rsidR="006259EF">
        <w:rPr>
          <w:rFonts w:ascii="Book Antiqua" w:eastAsia="Book Antiqua" w:hAnsi="Book Antiqua" w:cs="Book Antiqua"/>
          <w:color w:val="000000" w:themeColor="text1"/>
        </w:rPr>
        <w:t>of</w:t>
      </w:r>
      <w:r w:rsidR="006259EF"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acute cholangitis has decreased notably due to early drainage and antibiotic use, it remains higher in severe cholangitis. Early identification of severe cholangitis can reduce the mortality of patients with severe cholangitis. Presepsin is a promising biomarker for the early diagnosis and prognosis of bacterial infections. In this study, presepsin was found to be superior to </w:t>
      </w:r>
      <w:r w:rsidR="00841AA9" w:rsidRPr="005E512C">
        <w:rPr>
          <w:rFonts w:ascii="Book Antiqua" w:eastAsia="Book Antiqua" w:hAnsi="Book Antiqua" w:cs="Book Antiqua"/>
          <w:color w:val="000000" w:themeColor="text1"/>
        </w:rPr>
        <w:t xml:space="preserve">white blood </w:t>
      </w:r>
      <w:r w:rsidR="006259EF" w:rsidRPr="005E512C">
        <w:rPr>
          <w:rFonts w:ascii="Book Antiqua" w:eastAsia="Book Antiqua" w:hAnsi="Book Antiqua" w:cs="Book Antiqua"/>
          <w:color w:val="000000" w:themeColor="text1"/>
        </w:rPr>
        <w:t>cell</w:t>
      </w:r>
      <w:r w:rsidR="006259EF">
        <w:rPr>
          <w:rFonts w:ascii="Book Antiqua" w:eastAsia="Book Antiqua" w:hAnsi="Book Antiqua" w:cs="Book Antiqua"/>
          <w:color w:val="000000" w:themeColor="text1"/>
        </w:rPr>
        <w:t xml:space="preserve"> count</w:t>
      </w:r>
      <w:r w:rsidRPr="005E512C">
        <w:rPr>
          <w:rFonts w:ascii="Book Antiqua" w:eastAsia="Book Antiqua" w:hAnsi="Book Antiqua" w:cs="Book Antiqua"/>
          <w:color w:val="000000" w:themeColor="text1"/>
        </w:rPr>
        <w:t xml:space="preserve">, </w:t>
      </w:r>
      <w:r w:rsidR="00841AA9" w:rsidRPr="005E512C">
        <w:rPr>
          <w:rFonts w:ascii="Book Antiqua" w:eastAsia="Book Antiqua" w:hAnsi="Book Antiqua" w:cs="Book Antiqua"/>
          <w:color w:val="000000" w:themeColor="text1"/>
        </w:rPr>
        <w:t>C-reactive protein</w:t>
      </w:r>
      <w:r w:rsidRPr="005E512C">
        <w:rPr>
          <w:rFonts w:ascii="Book Antiqua" w:eastAsia="Book Antiqua" w:hAnsi="Book Antiqua" w:cs="Book Antiqua"/>
          <w:color w:val="000000" w:themeColor="text1"/>
        </w:rPr>
        <w:t xml:space="preserve">, </w:t>
      </w:r>
      <w:r w:rsidR="00841AA9" w:rsidRPr="005E512C">
        <w:rPr>
          <w:rFonts w:ascii="Book Antiqua" w:eastAsia="Book Antiqua" w:hAnsi="Book Antiqua" w:cs="Book Antiqua"/>
          <w:color w:val="000000" w:themeColor="text1"/>
        </w:rPr>
        <w:t>procalcitonin</w:t>
      </w:r>
      <w:r w:rsidRPr="005E512C">
        <w:rPr>
          <w:rFonts w:ascii="Book Antiqua" w:eastAsia="Book Antiqua" w:hAnsi="Book Antiqua" w:cs="Book Antiqua"/>
          <w:color w:val="000000" w:themeColor="text1"/>
        </w:rPr>
        <w:t xml:space="preserve">, and </w:t>
      </w:r>
      <w:r w:rsidR="00841AA9" w:rsidRPr="005E512C">
        <w:rPr>
          <w:rFonts w:ascii="Book Antiqua" w:eastAsia="Book Antiqua" w:hAnsi="Book Antiqua" w:cs="Book Antiqua"/>
          <w:color w:val="000000" w:themeColor="text1"/>
        </w:rPr>
        <w:t>to</w:t>
      </w:r>
      <w:r w:rsidR="00841AA9" w:rsidRPr="005E512C">
        <w:rPr>
          <w:rFonts w:ascii="Book Antiqua" w:eastAsia="Book Antiqua" w:hAnsi="Book Antiqua" w:cs="Book Antiqua"/>
          <w:color w:val="000000" w:themeColor="text1"/>
        </w:rPr>
        <w:t>tal bilirubin</w:t>
      </w:r>
      <w:r w:rsidRPr="005E512C">
        <w:rPr>
          <w:rFonts w:ascii="Book Antiqua" w:eastAsia="Book Antiqua" w:hAnsi="Book Antiqua" w:cs="Book Antiqua"/>
          <w:color w:val="000000" w:themeColor="text1"/>
        </w:rPr>
        <w:t xml:space="preserve"> in predicting positive blood culture and assessing risk in patients with acute cholangitis in the emergency department.</w:t>
      </w:r>
    </w:p>
    <w:p w14:paraId="16E208ED" w14:textId="494A315B" w:rsidR="00A77B3E" w:rsidRPr="005E512C" w:rsidRDefault="00A77B3E" w:rsidP="005E512C">
      <w:pPr>
        <w:adjustRightInd w:val="0"/>
        <w:snapToGrid w:val="0"/>
        <w:spacing w:line="360" w:lineRule="auto"/>
        <w:jc w:val="both"/>
        <w:rPr>
          <w:rFonts w:ascii="Book Antiqua" w:eastAsia="Book Antiqua" w:hAnsi="Book Antiqua" w:cs="Book Antiqua"/>
          <w:color w:val="000000" w:themeColor="text1"/>
        </w:rPr>
      </w:pPr>
    </w:p>
    <w:p w14:paraId="3E545B48" w14:textId="77777777" w:rsidR="00841AA9" w:rsidRPr="005E512C" w:rsidRDefault="00841AA9" w:rsidP="005E512C">
      <w:pPr>
        <w:adjustRightInd w:val="0"/>
        <w:snapToGrid w:val="0"/>
        <w:spacing w:line="360" w:lineRule="auto"/>
        <w:jc w:val="both"/>
        <w:rPr>
          <w:rFonts w:ascii="Book Antiqua" w:hAnsi="Book Antiqua"/>
          <w:color w:val="000000" w:themeColor="text1"/>
        </w:rPr>
      </w:pPr>
    </w:p>
    <w:p w14:paraId="787D2A23"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aps/>
          <w:color w:val="000000" w:themeColor="text1"/>
          <w:u w:val="single"/>
        </w:rPr>
        <w:t>INTRODUCTION</w:t>
      </w:r>
    </w:p>
    <w:p w14:paraId="6383B753" w14:textId="5902A6D1" w:rsidR="00E226EF"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Acute cholangitis is an acute inflam</w:t>
      </w:r>
      <w:r w:rsidRPr="005E512C">
        <w:rPr>
          <w:rFonts w:ascii="Book Antiqua" w:eastAsia="Book Antiqua" w:hAnsi="Book Antiqua" w:cs="Book Antiqua"/>
          <w:color w:val="000000" w:themeColor="text1"/>
        </w:rPr>
        <w:t xml:space="preserve">matory reaction caused by bacterial infection </w:t>
      </w:r>
      <w:r w:rsidR="006259EF">
        <w:rPr>
          <w:rFonts w:ascii="Book Antiqua" w:eastAsia="Book Antiqua" w:hAnsi="Book Antiqua" w:cs="Book Antiqua"/>
          <w:color w:val="000000" w:themeColor="text1"/>
        </w:rPr>
        <w:t>in</w:t>
      </w:r>
      <w:r w:rsidR="006259EF"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the biliary tract</w:t>
      </w:r>
      <w:r w:rsidRPr="005E512C">
        <w:rPr>
          <w:rFonts w:ascii="Book Antiqua" w:eastAsia="Book Antiqua" w:hAnsi="Book Antiqua" w:cs="Book Antiqua"/>
          <w:color w:val="000000" w:themeColor="text1"/>
          <w:vertAlign w:val="superscript"/>
        </w:rPr>
        <w:t>[1]</w:t>
      </w:r>
      <w:r w:rsidRPr="005E512C">
        <w:rPr>
          <w:rFonts w:ascii="Book Antiqua" w:eastAsia="Book Antiqua" w:hAnsi="Book Antiqua" w:cs="Book Antiqua"/>
          <w:color w:val="000000" w:themeColor="text1"/>
        </w:rPr>
        <w:t>. It progresses rapidly and can develop into sepsis or septic shock</w:t>
      </w:r>
      <w:r w:rsidRPr="005E512C">
        <w:rPr>
          <w:rFonts w:ascii="Book Antiqua" w:eastAsia="Book Antiqua" w:hAnsi="Book Antiqua" w:cs="Book Antiqua"/>
          <w:color w:val="000000" w:themeColor="text1"/>
          <w:vertAlign w:val="superscript"/>
        </w:rPr>
        <w:t>[2]</w:t>
      </w:r>
      <w:r w:rsidRPr="005E512C">
        <w:rPr>
          <w:rFonts w:ascii="Book Antiqua" w:eastAsia="Book Antiqua" w:hAnsi="Book Antiqua" w:cs="Book Antiqua"/>
          <w:color w:val="000000" w:themeColor="text1"/>
        </w:rPr>
        <w:t xml:space="preserve">. Acute cholangitis is currently diagnosed based on clinical symptoms and signs, </w:t>
      </w:r>
      <w:r w:rsidR="00B6795C" w:rsidRPr="005E512C">
        <w:rPr>
          <w:rFonts w:ascii="Book Antiqua" w:eastAsia="Book Antiqua" w:hAnsi="Book Antiqua" w:cs="Book Antiqua"/>
          <w:color w:val="000000" w:themeColor="text1"/>
        </w:rPr>
        <w:t>white blood cell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WBC</w:t>
      </w:r>
      <w:r w:rsidR="00B6795C" w:rsidRPr="005E512C">
        <w:rPr>
          <w:rFonts w:ascii="Book Antiqua" w:eastAsia="Book Antiqua" w:hAnsi="Book Antiqua" w:cs="Book Antiqua"/>
          <w:color w:val="000000" w:themeColor="text1"/>
        </w:rPr>
        <w:t>)</w:t>
      </w:r>
      <w:r w:rsidRPr="005E512C">
        <w:rPr>
          <w:rFonts w:ascii="Book Antiqua" w:eastAsia="Book Antiqua" w:hAnsi="Book Antiqua" w:cs="Book Antiqua"/>
          <w:color w:val="000000" w:themeColor="text1"/>
        </w:rPr>
        <w:t xml:space="preserve"> count, C-reactive protein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CRP)</w:t>
      </w:r>
      <w:r w:rsidR="006259EF">
        <w:rPr>
          <w:rFonts w:ascii="Book Antiqua" w:eastAsia="Book Antiqua" w:hAnsi="Book Antiqua" w:cs="Book Antiqua"/>
          <w:color w:val="000000" w:themeColor="text1"/>
        </w:rPr>
        <w:t>,</w:t>
      </w:r>
      <w:r w:rsidRPr="005E512C">
        <w:rPr>
          <w:rFonts w:ascii="Book Antiqua" w:eastAsia="Book Antiqua" w:hAnsi="Book Antiqua" w:cs="Book Antiqua"/>
          <w:color w:val="000000" w:themeColor="text1"/>
        </w:rPr>
        <w:t xml:space="preserve"> and total bilirubin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T-Bil) levels, and imaging findings. According to the Tokyo Guidelines 2018</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TG18): Diagnostic Criteria and Severity Grading for Acute Cholangitis, appropriate use of biliary drainage and antibiotics has observably reduced the mortality rate for acute cholangitis</w:t>
      </w:r>
      <w:r w:rsidRPr="005E512C">
        <w:rPr>
          <w:rFonts w:ascii="Book Antiqua" w:eastAsia="Book Antiqua" w:hAnsi="Book Antiqua" w:cs="Book Antiqua"/>
          <w:color w:val="000000" w:themeColor="text1"/>
          <w:vertAlign w:val="superscript"/>
        </w:rPr>
        <w:t>[1,3,4]</w:t>
      </w:r>
      <w:r w:rsidRPr="005E512C">
        <w:rPr>
          <w:rFonts w:ascii="Book Antiqua" w:eastAsia="Book Antiqua" w:hAnsi="Book Antiqua" w:cs="Book Antiqua"/>
          <w:color w:val="000000" w:themeColor="text1"/>
        </w:rPr>
        <w:t>; thus, early risk stratification is vital for the emergency treatment of acute cholangitis. However, TG18 is a comprehensive criterion and is cumbersome to use in the emergency department. Therefore, we hope to find an ideal predictive biomarker for cholangitis grade.</w:t>
      </w:r>
    </w:p>
    <w:p w14:paraId="2C7DBE02" w14:textId="104CED14" w:rsidR="00A77B3E" w:rsidRPr="005E512C" w:rsidRDefault="003C1887" w:rsidP="005E512C">
      <w:pPr>
        <w:adjustRightInd w:val="0"/>
        <w:snapToGrid w:val="0"/>
        <w:spacing w:line="360" w:lineRule="auto"/>
        <w:ind w:firstLineChars="100" w:firstLine="240"/>
        <w:jc w:val="both"/>
        <w:rPr>
          <w:rFonts w:ascii="Book Antiqua" w:hAnsi="Book Antiqua"/>
          <w:color w:val="000000" w:themeColor="text1"/>
        </w:rPr>
      </w:pPr>
      <w:r w:rsidRPr="005E512C">
        <w:rPr>
          <w:rFonts w:ascii="Book Antiqua" w:eastAsia="Book Antiqua" w:hAnsi="Book Antiqua" w:cs="Book Antiqua"/>
          <w:color w:val="000000" w:themeColor="text1"/>
        </w:rPr>
        <w:t xml:space="preserve">Presepsin, </w:t>
      </w:r>
      <w:r w:rsidR="006259EF">
        <w:rPr>
          <w:rFonts w:ascii="Book Antiqua" w:eastAsia="Book Antiqua" w:hAnsi="Book Antiqua" w:cs="Book Antiqua"/>
          <w:color w:val="000000" w:themeColor="text1"/>
        </w:rPr>
        <w:t xml:space="preserve">containing </w:t>
      </w:r>
      <w:r w:rsidRPr="005E512C">
        <w:rPr>
          <w:rFonts w:ascii="Book Antiqua" w:eastAsia="Book Antiqua" w:hAnsi="Book Antiqua" w:cs="Book Antiqua"/>
          <w:color w:val="000000" w:themeColor="text1"/>
        </w:rPr>
        <w:t>64 amino acid residues cleaved from the monocyte/macrophage</w:t>
      </w:r>
      <w:r w:rsidR="00E00138" w:rsidRPr="005E512C">
        <w:rPr>
          <w:rFonts w:ascii="Book Antiqua" w:eastAsia="Book Antiqua" w:hAnsi="Book Antiqua" w:cs="Book Antiqua"/>
          <w:color w:val="000000" w:themeColor="text1"/>
        </w:rPr>
        <w:t>-specific CD14 receptor complex</w:t>
      </w:r>
      <w:r w:rsidRPr="005E512C">
        <w:rPr>
          <w:rFonts w:ascii="Book Antiqua" w:eastAsia="Book Antiqua" w:hAnsi="Book Antiqua" w:cs="Book Antiqua"/>
          <w:color w:val="000000" w:themeColor="text1"/>
        </w:rPr>
        <w:t>, is a promising biomarker for the early diagnosis, severity, and prognosis of acute bacterial infections</w:t>
      </w:r>
      <w:r w:rsidRPr="005E512C">
        <w:rPr>
          <w:rFonts w:ascii="Book Antiqua" w:eastAsia="Book Antiqua" w:hAnsi="Book Antiqua" w:cs="Book Antiqua"/>
          <w:color w:val="000000" w:themeColor="text1"/>
          <w:vertAlign w:val="superscript"/>
        </w:rPr>
        <w:t>[5-7]</w:t>
      </w:r>
      <w:r w:rsidRPr="005E512C">
        <w:rPr>
          <w:rFonts w:ascii="Book Antiqua" w:eastAsia="Book Antiqua" w:hAnsi="Book Antiqua" w:cs="Book Antiqua"/>
          <w:color w:val="000000" w:themeColor="text1"/>
        </w:rPr>
        <w:t>. Acute cholangitis is characterized</w:t>
      </w:r>
      <w:r w:rsidRPr="005E512C">
        <w:rPr>
          <w:rFonts w:ascii="Book Antiqua" w:eastAsia="Book Antiqua" w:hAnsi="Book Antiqua" w:cs="Book Antiqua"/>
          <w:color w:val="000000" w:themeColor="text1"/>
        </w:rPr>
        <w:t xml:space="preserve"> by bacterial infection; however, the effectiveness of presepsin as an infectious biomarker to grade the early severity of acute cholangitis is unclear. Therefore, this prospective study aimed to compare levels of presepsin against traditional biomarkers in patients with acute cholangitis on admission to evaluate the role of presepsin in the early risk stratification of acute cholangitis.</w:t>
      </w:r>
    </w:p>
    <w:p w14:paraId="68ED42FA" w14:textId="77777777" w:rsidR="00E226EF" w:rsidRPr="005E512C" w:rsidRDefault="00E226EF" w:rsidP="005E512C">
      <w:pPr>
        <w:adjustRightInd w:val="0"/>
        <w:snapToGrid w:val="0"/>
        <w:spacing w:line="360" w:lineRule="auto"/>
        <w:ind w:firstLineChars="100" w:firstLine="240"/>
        <w:jc w:val="both"/>
        <w:rPr>
          <w:rFonts w:ascii="Book Antiqua" w:hAnsi="Book Antiqua"/>
          <w:color w:val="000000" w:themeColor="text1"/>
        </w:rPr>
      </w:pPr>
    </w:p>
    <w:p w14:paraId="6EEF2392"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aps/>
          <w:color w:val="000000" w:themeColor="text1"/>
          <w:u w:val="single"/>
        </w:rPr>
        <w:t>MATERIALS AND METHODS</w:t>
      </w:r>
    </w:p>
    <w:p w14:paraId="673497DD" w14:textId="77777777" w:rsidR="00A77B3E" w:rsidRPr="005E512C" w:rsidRDefault="003C1887" w:rsidP="005E512C">
      <w:pPr>
        <w:adjustRightInd w:val="0"/>
        <w:snapToGrid w:val="0"/>
        <w:spacing w:line="360" w:lineRule="auto"/>
        <w:jc w:val="both"/>
        <w:rPr>
          <w:rFonts w:ascii="Book Antiqua" w:hAnsi="Book Antiqua"/>
          <w:b/>
          <w:bCs/>
          <w:color w:val="000000" w:themeColor="text1"/>
        </w:rPr>
      </w:pPr>
      <w:r w:rsidRPr="005E512C">
        <w:rPr>
          <w:rFonts w:ascii="Book Antiqua" w:eastAsia="Book Antiqua" w:hAnsi="Book Antiqua" w:cs="Book Antiqua"/>
          <w:b/>
          <w:bCs/>
          <w:i/>
          <w:iCs/>
          <w:color w:val="000000" w:themeColor="text1"/>
        </w:rPr>
        <w:t>Study design and patients</w:t>
      </w:r>
    </w:p>
    <w:p w14:paraId="67B2F4FD" w14:textId="55C67F89"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Overall, this study enrolled all patients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age &gt; 18 years) diagnosed with acute cholangitis from May 1,</w:t>
      </w:r>
      <w:r w:rsidRPr="005E512C">
        <w:rPr>
          <w:rFonts w:ascii="Book Antiqua" w:eastAsia="Book Antiqua" w:hAnsi="Book Antiqua" w:cs="Book Antiqua"/>
          <w:color w:val="000000" w:themeColor="text1"/>
        </w:rPr>
        <w:t xml:space="preserve"> 2019</w:t>
      </w:r>
      <w:r w:rsidR="006259EF">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to December 20, 2020. All patients were administered </w:t>
      </w:r>
      <w:r w:rsidR="006259EF">
        <w:rPr>
          <w:rFonts w:ascii="Book Antiqua" w:eastAsia="Book Antiqua" w:hAnsi="Book Antiqua" w:cs="Book Antiqua"/>
          <w:color w:val="000000" w:themeColor="text1"/>
        </w:rPr>
        <w:t xml:space="preserve">with </w:t>
      </w:r>
      <w:r w:rsidRPr="005E512C">
        <w:rPr>
          <w:rFonts w:ascii="Book Antiqua" w:eastAsia="Book Antiqua" w:hAnsi="Book Antiqua" w:cs="Book Antiqua"/>
          <w:color w:val="000000" w:themeColor="text1"/>
        </w:rPr>
        <w:t>intravenous antibiotics according to the TG18</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imipenem and cilastatin sodium 0.5 g every 8 h, cefoperazone sodium and sulbactam sodium 3.0 g every 12 h, levofloxacin 0.5 g every 24 h, or tazobactam sodium and piperacillin sodium 4.5 g every 8 h) as soon as acute cholangitis was diagnosed.</w:t>
      </w:r>
    </w:p>
    <w:p w14:paraId="576D89D7"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204DE795" w14:textId="77777777" w:rsidR="00A77B3E" w:rsidRPr="006423E1" w:rsidRDefault="003C1887" w:rsidP="005E512C">
      <w:pPr>
        <w:adjustRightInd w:val="0"/>
        <w:snapToGrid w:val="0"/>
        <w:spacing w:line="360" w:lineRule="auto"/>
        <w:jc w:val="both"/>
        <w:rPr>
          <w:rFonts w:ascii="Book Antiqua" w:hAnsi="Book Antiqua"/>
          <w:b/>
          <w:bCs/>
          <w:color w:val="000000" w:themeColor="text1"/>
        </w:rPr>
      </w:pPr>
      <w:r w:rsidRPr="006423E1">
        <w:rPr>
          <w:rFonts w:ascii="Book Antiqua" w:eastAsia="Book Antiqua" w:hAnsi="Book Antiqua" w:cs="Book Antiqua"/>
          <w:b/>
          <w:bCs/>
          <w:i/>
          <w:iCs/>
          <w:color w:val="000000" w:themeColor="text1"/>
        </w:rPr>
        <w:t>Inclusion and exclusion criteria</w:t>
      </w:r>
    </w:p>
    <w:p w14:paraId="67B9F6E0" w14:textId="1CAEDC0B"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All patients included in this study met the diagnostic criteria for acute cholangitis according to TG18. The diagnostic criteria were as follows: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1) </w:t>
      </w:r>
      <w:r w:rsidR="006259EF">
        <w:rPr>
          <w:rFonts w:ascii="Book Antiqua" w:eastAsia="Book Antiqua" w:hAnsi="Book Antiqua" w:cs="Book Antiqua"/>
          <w:color w:val="000000" w:themeColor="text1"/>
        </w:rPr>
        <w:t>S</w:t>
      </w:r>
      <w:r w:rsidR="006259EF" w:rsidRPr="005E512C">
        <w:rPr>
          <w:rFonts w:ascii="Book Antiqua" w:eastAsia="Book Antiqua" w:hAnsi="Book Antiqua" w:cs="Book Antiqua"/>
          <w:color w:val="000000" w:themeColor="text1"/>
        </w:rPr>
        <w:t xml:space="preserve">ystemic </w:t>
      </w:r>
      <w:r w:rsidRPr="005E512C">
        <w:rPr>
          <w:rFonts w:ascii="Book Antiqua" w:eastAsia="Book Antiqua" w:hAnsi="Book Antiqua" w:cs="Book Antiqua"/>
          <w:color w:val="000000" w:themeColor="text1"/>
        </w:rPr>
        <w:t>inflammation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fever/chills, abnormal WBC count, or elevated CRP level);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2) cholestasis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T-Bil levels ≥ 34.2 µmol/mL or liver enzyme levels &gt; 1.5 times that of the normal upper limit); </w:t>
      </w:r>
      <w:r w:rsidR="00B6795C" w:rsidRPr="005E512C">
        <w:rPr>
          <w:rFonts w:ascii="Book Antiqua" w:eastAsia="Book Antiqua" w:hAnsi="Book Antiqua" w:cs="Book Antiqua"/>
          <w:color w:val="000000" w:themeColor="text1"/>
        </w:rPr>
        <w:t>and</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3) supporting imaging findings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evidence of biliary dilatation, such as benign or malignant stenosis, stone, and/or stent). Participants were excluded if they had liver diseases such as viral or drug-induced hepatitis or chronic liver disease, chronic renal insufficiency, or any other infections on admission.</w:t>
      </w:r>
    </w:p>
    <w:p w14:paraId="6440CE9B"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25430B58" w14:textId="77777777" w:rsidR="00A77B3E" w:rsidRPr="005E512C" w:rsidRDefault="003C1887" w:rsidP="005E512C">
      <w:pPr>
        <w:adjustRightInd w:val="0"/>
        <w:snapToGrid w:val="0"/>
        <w:spacing w:line="360" w:lineRule="auto"/>
        <w:jc w:val="both"/>
        <w:rPr>
          <w:rFonts w:ascii="Book Antiqua" w:hAnsi="Book Antiqua"/>
          <w:b/>
          <w:bCs/>
          <w:color w:val="000000" w:themeColor="text1"/>
        </w:rPr>
      </w:pPr>
      <w:r w:rsidRPr="005E512C">
        <w:rPr>
          <w:rFonts w:ascii="Book Antiqua" w:eastAsia="Book Antiqua" w:hAnsi="Book Antiqua" w:cs="Book Antiqua"/>
          <w:b/>
          <w:bCs/>
          <w:i/>
          <w:iCs/>
          <w:color w:val="000000" w:themeColor="text1"/>
        </w:rPr>
        <w:t>Examinations</w:t>
      </w:r>
    </w:p>
    <w:p w14:paraId="1816EC30" w14:textId="7B3C5B1F"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On admission, whole blood</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30 mL) was collected from the patients’ cubital veins, and sequential organ failure assess</w:t>
      </w:r>
      <w:r w:rsidRPr="005E512C">
        <w:rPr>
          <w:rFonts w:ascii="Book Antiqua" w:eastAsia="Book Antiqua" w:hAnsi="Book Antiqua" w:cs="Book Antiqua"/>
          <w:color w:val="000000" w:themeColor="text1"/>
        </w:rPr>
        <w:t>ment</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SOFA) scores</w:t>
      </w:r>
      <w:r w:rsidRPr="005E512C">
        <w:rPr>
          <w:rFonts w:ascii="Book Antiqua" w:eastAsia="Book Antiqua" w:hAnsi="Book Antiqua" w:cs="Book Antiqua"/>
          <w:color w:val="000000" w:themeColor="text1"/>
          <w:vertAlign w:val="superscript"/>
        </w:rPr>
        <w:t>[8]</w:t>
      </w:r>
      <w:r w:rsidRPr="005E512C">
        <w:rPr>
          <w:rFonts w:ascii="Book Antiqua" w:eastAsia="Book Antiqua" w:hAnsi="Book Antiqua" w:cs="Book Antiqua"/>
          <w:color w:val="000000" w:themeColor="text1"/>
        </w:rPr>
        <w:t xml:space="preserve"> were</w:t>
      </w:r>
      <w:r w:rsidRPr="005E512C">
        <w:rPr>
          <w:rFonts w:ascii="Book Antiqua" w:eastAsia="Book Antiqua" w:hAnsi="Book Antiqua" w:cs="Book Antiqua"/>
          <w:color w:val="000000" w:themeColor="text1"/>
        </w:rPr>
        <w:t xml:space="preserve"> determined immediately. In addition, blood was tested for the following parameters: WBC counts, CRP, platelets, procalcitonin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PCT), presepsin, T-Bil, total protein, albumin, alanine aminotransferase, aspartate aminotransferase, lactate dehydrogenase, myocardial enzymes, serum creatinine, and international normalized ratio. Blood culture was also performed. Furthermore, 1.5 mL of arterial blood was collected for blood gas analysis.</w:t>
      </w:r>
    </w:p>
    <w:p w14:paraId="46908876" w14:textId="77777777" w:rsidR="00971C0B" w:rsidRPr="005E512C" w:rsidRDefault="00971C0B" w:rsidP="005E512C">
      <w:pPr>
        <w:adjustRightInd w:val="0"/>
        <w:snapToGrid w:val="0"/>
        <w:spacing w:line="360" w:lineRule="auto"/>
        <w:jc w:val="both"/>
        <w:rPr>
          <w:rFonts w:ascii="Book Antiqua" w:hAnsi="Book Antiqua"/>
          <w:color w:val="000000" w:themeColor="text1"/>
        </w:rPr>
      </w:pPr>
    </w:p>
    <w:p w14:paraId="51CA482B" w14:textId="3EC27F0A" w:rsidR="00A77B3E" w:rsidRPr="005E512C" w:rsidRDefault="003C1887" w:rsidP="005E512C">
      <w:pPr>
        <w:adjustRightInd w:val="0"/>
        <w:snapToGrid w:val="0"/>
        <w:spacing w:line="360" w:lineRule="auto"/>
        <w:jc w:val="both"/>
        <w:rPr>
          <w:rFonts w:ascii="Book Antiqua" w:hAnsi="Book Antiqua"/>
          <w:b/>
          <w:bCs/>
          <w:color w:val="000000" w:themeColor="text1"/>
        </w:rPr>
      </w:pPr>
      <w:r w:rsidRPr="005E512C">
        <w:rPr>
          <w:rFonts w:ascii="Book Antiqua" w:eastAsia="Book Antiqua" w:hAnsi="Book Antiqua" w:cs="Book Antiqua"/>
          <w:b/>
          <w:bCs/>
          <w:i/>
          <w:iCs/>
          <w:color w:val="000000" w:themeColor="text1"/>
        </w:rPr>
        <w:lastRenderedPageBreak/>
        <w:t>Data collection</w:t>
      </w:r>
    </w:p>
    <w:p w14:paraId="583F722F" w14:textId="1EF3845C"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Clinical data, including baseline demographic features, laboratory parameters, and blood culture, were collected on admission. Data regarding vital signs, mental status, oxygen flow, hepatic function, biomarkers, blood culture, urinary output, vasoactive drug administration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dopamine, dobutamine, adrenaline, and norepinephrine), arterial partial pressure of oxygen, and SOFA scores were all collected on admission.</w:t>
      </w:r>
    </w:p>
    <w:p w14:paraId="150C69BE"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18414A62" w14:textId="77777777" w:rsidR="00A77B3E" w:rsidRPr="005E512C" w:rsidRDefault="003C1887" w:rsidP="005E512C">
      <w:pPr>
        <w:adjustRightInd w:val="0"/>
        <w:snapToGrid w:val="0"/>
        <w:spacing w:line="360" w:lineRule="auto"/>
        <w:jc w:val="both"/>
        <w:rPr>
          <w:rFonts w:ascii="Book Antiqua" w:hAnsi="Book Antiqua"/>
          <w:b/>
          <w:bCs/>
          <w:color w:val="000000" w:themeColor="text1"/>
        </w:rPr>
      </w:pPr>
      <w:r w:rsidRPr="005E512C">
        <w:rPr>
          <w:rFonts w:ascii="Book Antiqua" w:eastAsia="Book Antiqua" w:hAnsi="Book Antiqua" w:cs="Book Antiqua"/>
          <w:b/>
          <w:bCs/>
          <w:i/>
          <w:iCs/>
          <w:color w:val="000000" w:themeColor="text1"/>
        </w:rPr>
        <w:t>Measurements</w:t>
      </w:r>
    </w:p>
    <w:p w14:paraId="1BCF5976" w14:textId="7C85896E"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Presepsin levels were measured using the PA</w:t>
      </w:r>
      <w:r w:rsidRPr="005E512C">
        <w:rPr>
          <w:rFonts w:ascii="Book Antiqua" w:eastAsia="Book Antiqua" w:hAnsi="Book Antiqua" w:cs="Book Antiqua"/>
          <w:color w:val="000000" w:themeColor="text1"/>
        </w:rPr>
        <w:t>THFAST analyzer</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PATHFAST presepsin, Mitsubishi Chemical Medience Corporation, Tokyo, Japan), a chemiluminescence immunoassay of venous whole blood using EDTA as an anticoagulant</w:t>
      </w:r>
      <w:r w:rsidRPr="005E512C">
        <w:rPr>
          <w:rFonts w:ascii="Book Antiqua" w:eastAsia="Book Antiqua" w:hAnsi="Book Antiqua" w:cs="Book Antiqua"/>
          <w:color w:val="000000" w:themeColor="text1"/>
          <w:vertAlign w:val="superscript"/>
        </w:rPr>
        <w:t>[9]</w:t>
      </w:r>
      <w:r w:rsidRPr="005E512C">
        <w:rPr>
          <w:rFonts w:ascii="Book Antiqua" w:eastAsia="Book Antiqua" w:hAnsi="Book Antiqua" w:cs="Book Antiqua"/>
          <w:color w:val="000000" w:themeColor="text1"/>
        </w:rPr>
        <w:t>. The detection range of presepsin level was 20–200000 pg/mL. PCT levels were assayed with a BioMerieux Mini VIDAS immunoassay analyzer</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Block Scientific, Bohemia, NY) </w:t>
      </w:r>
      <w:r w:rsidR="006259EF">
        <w:rPr>
          <w:rFonts w:ascii="Book Antiqua" w:eastAsia="Book Antiqua" w:hAnsi="Book Antiqua" w:cs="Book Antiqua"/>
          <w:color w:val="000000" w:themeColor="text1"/>
        </w:rPr>
        <w:t>in</w:t>
      </w:r>
      <w:r w:rsidR="006259EF"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the plasma obtained from blood centrifuged for 15 min at 1000</w:t>
      </w:r>
      <w:r w:rsidR="006259EF">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g</w:t>
      </w:r>
      <w:r w:rsidRPr="005E512C">
        <w:rPr>
          <w:rFonts w:ascii="Book Antiqua" w:eastAsia="Book Antiqua" w:hAnsi="Book Antiqua" w:cs="Book Antiqua"/>
          <w:color w:val="000000" w:themeColor="text1"/>
        </w:rPr>
        <w:t>. The</w:t>
      </w:r>
      <w:r w:rsidRPr="005E512C">
        <w:rPr>
          <w:rFonts w:ascii="Book Antiqua" w:eastAsia="Book Antiqua" w:hAnsi="Book Antiqua" w:cs="Book Antiqua"/>
          <w:color w:val="000000" w:themeColor="text1"/>
        </w:rPr>
        <w:t xml:space="preserve"> detection range of PCT level was 0.05–200 ng/mL. Information regarding other indicators was obtained from the clinical laboratory data.</w:t>
      </w:r>
    </w:p>
    <w:p w14:paraId="7CA7BEC2"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4A4E0FD6" w14:textId="77777777" w:rsidR="00A77B3E" w:rsidRPr="005E512C" w:rsidRDefault="003C1887" w:rsidP="005E512C">
      <w:pPr>
        <w:adjustRightInd w:val="0"/>
        <w:snapToGrid w:val="0"/>
        <w:spacing w:line="360" w:lineRule="auto"/>
        <w:jc w:val="both"/>
        <w:rPr>
          <w:rFonts w:ascii="Book Antiqua" w:hAnsi="Book Antiqua"/>
          <w:b/>
          <w:bCs/>
          <w:color w:val="000000" w:themeColor="text1"/>
        </w:rPr>
      </w:pPr>
      <w:r w:rsidRPr="005E512C">
        <w:rPr>
          <w:rFonts w:ascii="Book Antiqua" w:eastAsia="Book Antiqua" w:hAnsi="Book Antiqua" w:cs="Book Antiqua"/>
          <w:b/>
          <w:bCs/>
          <w:i/>
          <w:iCs/>
          <w:color w:val="000000" w:themeColor="text1"/>
        </w:rPr>
        <w:t>Severity of acute cholangitis based on the TG18</w:t>
      </w:r>
    </w:p>
    <w:p w14:paraId="2FC26C38" w14:textId="29F64104"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Severe acute cholangitis was diagnosed if any dysfunction was noted in the cardiovascular, nervous, respiratory, or blood systems or in the kidneys or liver. Moderate acute cholangitis was diagnosed if any two of the following conditions were obs</w:t>
      </w:r>
      <w:r w:rsidRPr="005E512C">
        <w:rPr>
          <w:rFonts w:ascii="Book Antiqua" w:eastAsia="Book Antiqua" w:hAnsi="Book Antiqua" w:cs="Book Antiqua"/>
          <w:color w:val="000000" w:themeColor="text1"/>
        </w:rPr>
        <w:t xml:space="preserve">erved: </w:t>
      </w:r>
      <w:r w:rsidR="006259EF">
        <w:rPr>
          <w:rFonts w:ascii="Book Antiqua" w:eastAsia="Book Antiqua" w:hAnsi="Book Antiqua" w:cs="Book Antiqua"/>
          <w:color w:val="000000" w:themeColor="text1"/>
        </w:rPr>
        <w:t>A</w:t>
      </w:r>
      <w:r w:rsidR="006259EF" w:rsidRPr="005E512C">
        <w:rPr>
          <w:rFonts w:ascii="Book Antiqua" w:eastAsia="Book Antiqua" w:hAnsi="Book Antiqua" w:cs="Book Antiqua"/>
          <w:color w:val="000000" w:themeColor="text1"/>
        </w:rPr>
        <w:t xml:space="preserve">bnormal </w:t>
      </w:r>
      <w:r w:rsidRPr="005E512C">
        <w:rPr>
          <w:rFonts w:ascii="Book Antiqua" w:eastAsia="Book Antiqua" w:hAnsi="Book Antiqua" w:cs="Book Antiqua"/>
          <w:color w:val="000000" w:themeColor="text1"/>
        </w:rPr>
        <w:t>WBC counts</w:t>
      </w:r>
      <w:r w:rsidRPr="005E512C">
        <w:rPr>
          <w:rFonts w:ascii="Book Antiqua" w:eastAsia="Book Antiqua" w:hAnsi="Book Antiqua" w:cs="Book Antiqua"/>
          <w:color w:val="000000" w:themeColor="text1"/>
        </w:rPr>
        <w:t>, high fever, age</w:t>
      </w:r>
      <w:r w:rsidR="00E36751"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&gt;</w:t>
      </w:r>
      <w:r w:rsidR="00E36751"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75 years, hyperbilirubinemia, and/or hypoalbuminemia. Mild acute cholangitis was diagnosed if the criteria for the above two grades of acute cholangitis were not met.</w:t>
      </w:r>
    </w:p>
    <w:p w14:paraId="50BE7443"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357F18F7" w14:textId="77777777" w:rsidR="00A77B3E" w:rsidRPr="005E512C" w:rsidRDefault="003C1887" w:rsidP="005E512C">
      <w:pPr>
        <w:adjustRightInd w:val="0"/>
        <w:snapToGrid w:val="0"/>
        <w:spacing w:line="360" w:lineRule="auto"/>
        <w:jc w:val="both"/>
        <w:rPr>
          <w:rFonts w:ascii="Book Antiqua" w:hAnsi="Book Antiqua"/>
          <w:b/>
          <w:bCs/>
          <w:color w:val="000000" w:themeColor="text1"/>
        </w:rPr>
      </w:pPr>
      <w:r w:rsidRPr="005E512C">
        <w:rPr>
          <w:rFonts w:ascii="Book Antiqua" w:eastAsia="Book Antiqua" w:hAnsi="Book Antiqua" w:cs="Book Antiqua"/>
          <w:b/>
          <w:bCs/>
          <w:i/>
          <w:iCs/>
          <w:color w:val="000000" w:themeColor="text1"/>
        </w:rPr>
        <w:t>Statistical analyses</w:t>
      </w:r>
    </w:p>
    <w:p w14:paraId="67ED8169" w14:textId="78917271"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A biomedical statistician performed the statistical review of the study before the submission for peer-review. All statistical analyses were performed using IBM SPSS Statistics for Windows 10, version 22.0</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IBM Corp., Armonk, NY, U</w:t>
      </w:r>
      <w:r w:rsidR="006423E1">
        <w:rPr>
          <w:rFonts w:ascii="Book Antiqua" w:eastAsia="Book Antiqua" w:hAnsi="Book Antiqua" w:cs="Book Antiqua"/>
          <w:color w:val="000000" w:themeColor="text1"/>
        </w:rPr>
        <w:t>nited States</w:t>
      </w:r>
      <w:r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lastRenderedPageBreak/>
        <w:t>Classified varia</w:t>
      </w:r>
      <w:r w:rsidRPr="005E512C">
        <w:rPr>
          <w:rFonts w:ascii="Book Antiqua" w:eastAsia="Book Antiqua" w:hAnsi="Book Antiqua" w:cs="Book Antiqua"/>
          <w:color w:val="000000" w:themeColor="text1"/>
        </w:rPr>
        <w:t xml:space="preserve">bles </w:t>
      </w:r>
      <w:r w:rsidR="006259EF">
        <w:rPr>
          <w:rFonts w:ascii="Book Antiqua" w:eastAsia="Book Antiqua" w:hAnsi="Book Antiqua" w:cs="Book Antiqua"/>
          <w:color w:val="000000" w:themeColor="text1"/>
        </w:rPr>
        <w:t>are</w:t>
      </w:r>
      <w:r w:rsidR="006259EF"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expressed </w:t>
      </w:r>
      <w:r w:rsidR="006259EF">
        <w:rPr>
          <w:rFonts w:ascii="Book Antiqua" w:eastAsia="Book Antiqua" w:hAnsi="Book Antiqua" w:cs="Book Antiqua"/>
          <w:color w:val="000000" w:themeColor="text1"/>
        </w:rPr>
        <w:t>as</w:t>
      </w:r>
      <w:r w:rsidR="006259EF"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counts and percentages and were compared using the Pearson </w:t>
      </w:r>
      <w:r w:rsidR="00974976" w:rsidRPr="005E512C">
        <w:rPr>
          <w:rFonts w:ascii="Book Antiqua" w:eastAsia="Book Antiqua" w:hAnsi="Book Antiqua" w:cs="Book Antiqua"/>
          <w:i/>
          <w:iCs/>
          <w:color w:val="000000" w:themeColor="text1"/>
        </w:rPr>
        <w:t>χ</w:t>
      </w:r>
      <w:r w:rsidR="00974976" w:rsidRPr="005E512C">
        <w:rPr>
          <w:rFonts w:ascii="Book Antiqua" w:eastAsia="Book Antiqua" w:hAnsi="Book Antiqua" w:cs="Book Antiqua"/>
          <w:color w:val="000000" w:themeColor="text1"/>
          <w:vertAlign w:val="superscript"/>
        </w:rPr>
        <w:t>2</w:t>
      </w:r>
      <w:r w:rsidRPr="005E512C">
        <w:rPr>
          <w:rFonts w:ascii="Book Antiqua" w:eastAsia="Book Antiqua" w:hAnsi="Book Antiqua" w:cs="Book Antiqua"/>
          <w:color w:val="000000" w:themeColor="text1"/>
        </w:rPr>
        <w:t xml:space="preserve"> test or Fisher’s exact test. Skewed distribution variables </w:t>
      </w:r>
      <w:r w:rsidR="006259EF">
        <w:rPr>
          <w:rFonts w:ascii="Book Antiqua" w:eastAsia="Book Antiqua" w:hAnsi="Book Antiqua" w:cs="Book Antiqua"/>
          <w:color w:val="000000" w:themeColor="text1"/>
        </w:rPr>
        <w:t>are</w:t>
      </w:r>
      <w:r w:rsidR="006259EF"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expressed </w:t>
      </w:r>
      <w:r w:rsidR="006259EF">
        <w:rPr>
          <w:rFonts w:ascii="Book Antiqua" w:eastAsia="Book Antiqua" w:hAnsi="Book Antiqua" w:cs="Book Antiqua"/>
          <w:color w:val="000000" w:themeColor="text1"/>
        </w:rPr>
        <w:t>as</w:t>
      </w:r>
      <w:r w:rsidR="006259EF"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medians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25</w:t>
      </w:r>
      <w:r w:rsidRPr="005E512C">
        <w:rPr>
          <w:rFonts w:ascii="Book Antiqua" w:eastAsia="Book Antiqua" w:hAnsi="Book Antiqua" w:cs="Book Antiqua"/>
          <w:color w:val="000000" w:themeColor="text1"/>
          <w:vertAlign w:val="superscript"/>
        </w:rPr>
        <w:t>th</w:t>
      </w:r>
      <w:r w:rsidRPr="005E512C">
        <w:rPr>
          <w:rFonts w:ascii="Book Antiqua" w:eastAsia="Book Antiqua" w:hAnsi="Book Antiqua" w:cs="Book Antiqua"/>
          <w:color w:val="000000" w:themeColor="text1"/>
        </w:rPr>
        <w:t>-75</w:t>
      </w:r>
      <w:r w:rsidRPr="005E512C">
        <w:rPr>
          <w:rFonts w:ascii="Book Antiqua" w:eastAsia="Book Antiqua" w:hAnsi="Book Antiqua" w:cs="Book Antiqua"/>
          <w:color w:val="000000" w:themeColor="text1"/>
          <w:vertAlign w:val="superscript"/>
        </w:rPr>
        <w:t>th</w:t>
      </w:r>
      <w:r w:rsidR="00974976"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percentiles), and Mann–Whitney </w:t>
      </w:r>
      <w:r w:rsidRPr="005E512C">
        <w:rPr>
          <w:rFonts w:ascii="Book Antiqua" w:eastAsia="Book Antiqua" w:hAnsi="Book Antiqua" w:cs="Book Antiqua"/>
          <w:i/>
          <w:iCs/>
          <w:color w:val="000000" w:themeColor="text1"/>
        </w:rPr>
        <w:t>U</w:t>
      </w:r>
      <w:r w:rsidRPr="005E512C">
        <w:rPr>
          <w:rFonts w:ascii="Book Antiqua" w:eastAsia="Book Antiqua" w:hAnsi="Book Antiqua" w:cs="Book Antiqua"/>
          <w:color w:val="000000" w:themeColor="text1"/>
        </w:rPr>
        <w:t xml:space="preserve"> test was used to compare the groups. A two-sided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value of &lt; 0.05 was considered statistically significant, and the significant level for pairwise comparisons among the three groups was set </w:t>
      </w:r>
      <w:r w:rsidR="006259EF">
        <w:rPr>
          <w:rFonts w:ascii="Book Antiqua" w:eastAsia="Book Antiqua" w:hAnsi="Book Antiqua" w:cs="Book Antiqua"/>
          <w:color w:val="000000" w:themeColor="text1"/>
        </w:rPr>
        <w:t>at</w:t>
      </w:r>
      <w:r w:rsidR="006259EF"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0.017</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0.05/3). Diagnostic sensitivity, specificity, cutoff value, and area under the receiver operating characteristic</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ROC) curve</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AUC) were determined by performing ROC curve analyses to verify the role of presepsin levels on admission for acute cholangitis. The optimal cutoff value was calculated using the Youden index according to the ROC curves. Delong </w:t>
      </w:r>
      <w:r w:rsidR="006259EF">
        <w:rPr>
          <w:rFonts w:ascii="Book Antiqua" w:eastAsia="Book Antiqua" w:hAnsi="Book Antiqua" w:cs="Book Antiqua"/>
          <w:color w:val="000000" w:themeColor="text1"/>
        </w:rPr>
        <w:t xml:space="preserve">test </w:t>
      </w:r>
      <w:r w:rsidRPr="005E512C">
        <w:rPr>
          <w:rFonts w:ascii="Book Antiqua" w:eastAsia="Book Antiqua" w:hAnsi="Book Antiqua" w:cs="Book Antiqua"/>
          <w:color w:val="000000" w:themeColor="text1"/>
        </w:rPr>
        <w:t>was used to compare AUCs between the group by MedCalc Version 13</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MedCalc Software, Mariakerke, Belgium). The correlations among the main research indicators were determined using Pearson correlation.</w:t>
      </w:r>
    </w:p>
    <w:p w14:paraId="1D8A9681"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68BC81EB"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aps/>
          <w:color w:val="000000" w:themeColor="text1"/>
          <w:u w:val="single"/>
        </w:rPr>
        <w:t>RESULTS</w:t>
      </w:r>
    </w:p>
    <w:p w14:paraId="22D0F0E9" w14:textId="77777777" w:rsidR="00A77B3E" w:rsidRPr="005E512C" w:rsidRDefault="003C1887" w:rsidP="005E512C">
      <w:pPr>
        <w:adjustRightInd w:val="0"/>
        <w:snapToGrid w:val="0"/>
        <w:spacing w:line="360" w:lineRule="auto"/>
        <w:jc w:val="both"/>
        <w:rPr>
          <w:rFonts w:ascii="Book Antiqua" w:hAnsi="Book Antiqua"/>
          <w:b/>
          <w:bCs/>
          <w:color w:val="000000" w:themeColor="text1"/>
        </w:rPr>
      </w:pPr>
      <w:r w:rsidRPr="005E512C">
        <w:rPr>
          <w:rFonts w:ascii="Book Antiqua" w:eastAsia="Book Antiqua" w:hAnsi="Book Antiqua" w:cs="Book Antiqua"/>
          <w:b/>
          <w:bCs/>
          <w:i/>
          <w:iCs/>
          <w:color w:val="000000" w:themeColor="text1"/>
        </w:rPr>
        <w:t>Overall characteristics of patients</w:t>
      </w:r>
    </w:p>
    <w:p w14:paraId="59C44083" w14:textId="4F951066" w:rsidR="00B27401"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Among the 356 patients with acute cholangitis who were screened, 20 declined to participate in this study. This resulted in the final 336 patients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or their relatives) who signed an informed consent form before participating in this study. All patients with acute cholangitis on admission were divided into mild, moderate, and severe groups based on the TG18. The numbers of patients in the above three groups were 107</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31.8%), 106</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31.5%), and 123</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36.6%), respectively</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Figure 1).</w:t>
      </w:r>
    </w:p>
    <w:p w14:paraId="139959F5" w14:textId="5D178CC1" w:rsidR="00A77B3E" w:rsidRPr="005E512C" w:rsidRDefault="003C1887" w:rsidP="005E512C">
      <w:pPr>
        <w:adjustRightInd w:val="0"/>
        <w:snapToGrid w:val="0"/>
        <w:spacing w:line="360" w:lineRule="auto"/>
        <w:ind w:firstLineChars="100" w:firstLine="240"/>
        <w:jc w:val="both"/>
        <w:rPr>
          <w:rFonts w:ascii="Book Antiqua" w:hAnsi="Book Antiqua"/>
          <w:color w:val="000000" w:themeColor="text1"/>
        </w:rPr>
      </w:pPr>
      <w:r w:rsidRPr="005E512C">
        <w:rPr>
          <w:rFonts w:ascii="Book Antiqua" w:eastAsia="Book Antiqua" w:hAnsi="Book Antiqua" w:cs="Book Antiqua"/>
          <w:color w:val="000000" w:themeColor="text1"/>
        </w:rPr>
        <w:t xml:space="preserve">The features and outcomes of 336 patients with acute cholangitis are shown in Table 1. There were 215 men and 121 women, and the median age was 75 years. Age, WBC counts, CRP, PCT, presepsin, T-Bil, direct bilirubin, and SOFA scores of moderate and severe cholangitis patients were higher than those of mild cholangitis patients, whereas the opposite was true for total protein and albumin. Eight deaths occurred within 28 </w:t>
      </w:r>
      <w:r w:rsidR="00B27401" w:rsidRPr="005E512C">
        <w:rPr>
          <w:rFonts w:ascii="Book Antiqua" w:eastAsia="Book Antiqua" w:hAnsi="Book Antiqua" w:cs="Book Antiqua"/>
          <w:color w:val="000000" w:themeColor="text1"/>
        </w:rPr>
        <w:t>d</w:t>
      </w:r>
      <w:r w:rsidRPr="005E512C">
        <w:rPr>
          <w:rFonts w:ascii="Book Antiqua" w:eastAsia="Book Antiqua" w:hAnsi="Book Antiqua" w:cs="Book Antiqua"/>
          <w:color w:val="000000" w:themeColor="text1"/>
        </w:rPr>
        <w:t xml:space="preserve"> of admission in patients with severe cholangitis. The 28-</w:t>
      </w:r>
      <w:r w:rsidR="00B27401" w:rsidRPr="005E512C">
        <w:rPr>
          <w:rFonts w:ascii="Book Antiqua" w:eastAsia="Book Antiqua" w:hAnsi="Book Antiqua" w:cs="Book Antiqua"/>
          <w:color w:val="000000" w:themeColor="text1"/>
        </w:rPr>
        <w:t>d</w:t>
      </w:r>
      <w:r w:rsidRPr="005E512C">
        <w:rPr>
          <w:rFonts w:ascii="Book Antiqua" w:eastAsia="Book Antiqua" w:hAnsi="Book Antiqua" w:cs="Book Antiqua"/>
          <w:color w:val="000000" w:themeColor="text1"/>
        </w:rPr>
        <w:t xml:space="preserve"> mortality rate of all patients with acute cholangitis was 2.4%. Prese</w:t>
      </w:r>
      <w:r w:rsidRPr="005E512C">
        <w:rPr>
          <w:rFonts w:ascii="Book Antiqua" w:eastAsia="Book Antiqua" w:hAnsi="Book Antiqua" w:cs="Book Antiqua"/>
          <w:color w:val="000000" w:themeColor="text1"/>
        </w:rPr>
        <w:t xml:space="preserve">psin level in the survival group </w:t>
      </w:r>
      <w:r w:rsidR="007571E6" w:rsidRPr="005E512C">
        <w:rPr>
          <w:rFonts w:ascii="Book Antiqua" w:eastAsia="Book Antiqua" w:hAnsi="Book Antiqua" w:cs="Book Antiqua"/>
          <w:color w:val="000000" w:themeColor="text1"/>
        </w:rPr>
        <w:t>w</w:t>
      </w:r>
      <w:r w:rsidR="007571E6">
        <w:rPr>
          <w:rFonts w:ascii="Book Antiqua" w:eastAsia="Book Antiqua" w:hAnsi="Book Antiqua" w:cs="Book Antiqua"/>
          <w:color w:val="000000" w:themeColor="text1"/>
        </w:rPr>
        <w:t>as</w:t>
      </w:r>
      <w:r w:rsidR="007571E6"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lower than </w:t>
      </w:r>
      <w:r w:rsidR="007571E6" w:rsidRPr="005E512C">
        <w:rPr>
          <w:rFonts w:ascii="Book Antiqua" w:eastAsia="Book Antiqua" w:hAnsi="Book Antiqua" w:cs="Book Antiqua"/>
          <w:color w:val="000000" w:themeColor="text1"/>
        </w:rPr>
        <w:t>th</w:t>
      </w:r>
      <w:r w:rsidR="007571E6">
        <w:rPr>
          <w:rFonts w:ascii="Book Antiqua" w:eastAsia="Book Antiqua" w:hAnsi="Book Antiqua" w:cs="Book Antiqua"/>
          <w:color w:val="000000" w:themeColor="text1"/>
        </w:rPr>
        <w:t>at</w:t>
      </w:r>
      <w:r w:rsidR="007571E6"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in the death group</w:t>
      </w:r>
      <w:r w:rsidR="006F7889">
        <w:rPr>
          <w:rFonts w:ascii="Book Antiqua" w:eastAsia="Book Antiqua" w:hAnsi="Book Antiqua" w:cs="Book Antiqua"/>
          <w:color w:val="000000" w:themeColor="text1"/>
        </w:rPr>
        <w:t xml:space="preserve"> (</w:t>
      </w:r>
      <w:r w:rsidR="00C92DC3">
        <w:rPr>
          <w:rFonts w:ascii="Book Antiqua" w:eastAsia="Book Antiqua" w:hAnsi="Book Antiqua" w:cs="Book Antiqua"/>
          <w:color w:val="000000" w:themeColor="text1"/>
        </w:rPr>
        <w:t>2122</w:t>
      </w:r>
      <w:r w:rsidRPr="005E512C">
        <w:rPr>
          <w:rFonts w:ascii="Book Antiqua" w:eastAsia="Book Antiqua" w:hAnsi="Book Antiqua" w:cs="Book Antiqua"/>
          <w:color w:val="000000" w:themeColor="text1"/>
        </w:rPr>
        <w:t xml:space="preserve"> pg/mL </w:t>
      </w:r>
      <w:r w:rsidRPr="005E512C">
        <w:rPr>
          <w:rFonts w:ascii="Book Antiqua" w:eastAsia="Book Antiqua" w:hAnsi="Book Antiqua" w:cs="Book Antiqua"/>
          <w:i/>
          <w:iCs/>
          <w:color w:val="000000" w:themeColor="text1"/>
        </w:rPr>
        <w:t>vs</w:t>
      </w:r>
      <w:r w:rsidRPr="005E512C">
        <w:rPr>
          <w:rFonts w:ascii="Book Antiqua" w:eastAsia="Book Antiqua" w:hAnsi="Book Antiqua" w:cs="Book Antiqua"/>
          <w:color w:val="000000" w:themeColor="text1"/>
        </w:rPr>
        <w:t xml:space="preserve"> </w:t>
      </w:r>
      <w:r w:rsidR="00C92DC3">
        <w:rPr>
          <w:rFonts w:ascii="Book Antiqua" w:eastAsia="Book Antiqua" w:hAnsi="Book Antiqua" w:cs="Book Antiqua"/>
          <w:color w:val="000000" w:themeColor="text1"/>
        </w:rPr>
        <w:t>357</w:t>
      </w:r>
      <w:r w:rsidR="00C92DC3">
        <w:rPr>
          <w:rFonts w:ascii="Book Antiqua" w:eastAsia="Book Antiqua" w:hAnsi="Book Antiqua" w:cs="Book Antiqua"/>
          <w:color w:val="000000" w:themeColor="text1"/>
        </w:rPr>
        <w:t>0</w:t>
      </w:r>
      <w:r w:rsidR="00C92DC3"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pg/mL,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0.004), although no prominent </w:t>
      </w:r>
      <w:r w:rsidRPr="005E512C">
        <w:rPr>
          <w:rFonts w:ascii="Book Antiqua" w:eastAsia="Book Antiqua" w:hAnsi="Book Antiqua" w:cs="Book Antiqua"/>
          <w:color w:val="000000" w:themeColor="text1"/>
        </w:rPr>
        <w:lastRenderedPageBreak/>
        <w:t>differences were observed in the WB</w:t>
      </w:r>
      <w:r w:rsidRPr="005E512C">
        <w:rPr>
          <w:rFonts w:ascii="Book Antiqua" w:eastAsia="Book Antiqua" w:hAnsi="Book Antiqua" w:cs="Book Antiqua"/>
          <w:color w:val="000000" w:themeColor="text1"/>
        </w:rPr>
        <w:t xml:space="preserve">C counts, PCT, </w:t>
      </w:r>
      <w:r w:rsidR="007571E6">
        <w:rPr>
          <w:rFonts w:ascii="Book Antiqua" w:eastAsia="Book Antiqua" w:hAnsi="Book Antiqua" w:cs="Book Antiqua"/>
          <w:color w:val="000000" w:themeColor="text1"/>
        </w:rPr>
        <w:t>or</w:t>
      </w:r>
      <w:r w:rsidR="007571E6"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T-Bil levels </w:t>
      </w:r>
      <w:r w:rsidR="007571E6">
        <w:rPr>
          <w:rFonts w:ascii="Book Antiqua" w:eastAsia="Book Antiqua" w:hAnsi="Book Antiqua" w:cs="Book Antiqua"/>
          <w:color w:val="000000" w:themeColor="text1"/>
        </w:rPr>
        <w:t>between</w:t>
      </w:r>
      <w:r w:rsidR="007571E6" w:rsidRPr="005E512C">
        <w:rPr>
          <w:rFonts w:ascii="Book Antiqua" w:eastAsia="Book Antiqua" w:hAnsi="Book Antiqua" w:cs="Book Antiqua"/>
          <w:color w:val="000000" w:themeColor="text1"/>
        </w:rPr>
        <w:t xml:space="preserve"> </w:t>
      </w:r>
      <w:r w:rsidR="007571E6">
        <w:rPr>
          <w:rFonts w:ascii="Book Antiqua" w:eastAsia="Book Antiqua" w:hAnsi="Book Antiqua" w:cs="Book Antiqua"/>
          <w:color w:val="000000" w:themeColor="text1"/>
        </w:rPr>
        <w:t>the two</w:t>
      </w:r>
      <w:r w:rsidR="007571E6"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groups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&gt; 0.05)</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Figure 2</w:t>
      </w:r>
      <w:r w:rsidR="00665092" w:rsidRPr="005E512C">
        <w:rPr>
          <w:rFonts w:ascii="Book Antiqua" w:eastAsia="Book Antiqua" w:hAnsi="Book Antiqua" w:cs="Book Antiqua"/>
          <w:color w:val="000000" w:themeColor="text1"/>
        </w:rPr>
        <w:t>A</w:t>
      </w:r>
      <w:r w:rsidRPr="005E512C">
        <w:rPr>
          <w:rFonts w:ascii="Book Antiqua" w:eastAsia="Book Antiqua" w:hAnsi="Book Antiqua" w:cs="Book Antiqua"/>
          <w:color w:val="000000" w:themeColor="text1"/>
        </w:rPr>
        <w:t>).</w:t>
      </w:r>
    </w:p>
    <w:p w14:paraId="7D1CCC10"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54CD8DA1" w14:textId="1E90EFFB" w:rsidR="00A77B3E" w:rsidRPr="005E512C" w:rsidRDefault="003C1887" w:rsidP="005E512C">
      <w:pPr>
        <w:adjustRightInd w:val="0"/>
        <w:snapToGrid w:val="0"/>
        <w:spacing w:line="360" w:lineRule="auto"/>
        <w:jc w:val="both"/>
        <w:rPr>
          <w:rFonts w:ascii="Book Antiqua" w:hAnsi="Book Antiqua"/>
          <w:b/>
          <w:bCs/>
          <w:color w:val="000000" w:themeColor="text1"/>
        </w:rPr>
      </w:pPr>
      <w:r w:rsidRPr="005E512C">
        <w:rPr>
          <w:rFonts w:ascii="Book Antiqua" w:eastAsia="Book Antiqua" w:hAnsi="Book Antiqua" w:cs="Book Antiqua"/>
          <w:b/>
          <w:bCs/>
          <w:i/>
          <w:iCs/>
          <w:color w:val="000000" w:themeColor="text1"/>
        </w:rPr>
        <w:t>Role of W</w:t>
      </w:r>
      <w:r w:rsidRPr="005E512C">
        <w:rPr>
          <w:rFonts w:ascii="Book Antiqua" w:eastAsia="Book Antiqua" w:hAnsi="Book Antiqua" w:cs="Book Antiqua"/>
          <w:b/>
          <w:bCs/>
          <w:i/>
          <w:iCs/>
          <w:color w:val="000000" w:themeColor="text1"/>
        </w:rPr>
        <w:t>BC count, CRP, PCT, presepsin, and T-Bil in</w:t>
      </w:r>
      <w:r w:rsidR="007571E6">
        <w:rPr>
          <w:rFonts w:ascii="Book Antiqua" w:eastAsia="Book Antiqua" w:hAnsi="Book Antiqua" w:cs="Book Antiqua"/>
          <w:b/>
          <w:bCs/>
          <w:i/>
          <w:iCs/>
          <w:color w:val="000000" w:themeColor="text1"/>
        </w:rPr>
        <w:t xml:space="preserve"> </w:t>
      </w:r>
      <w:r w:rsidRPr="005E512C">
        <w:rPr>
          <w:rFonts w:ascii="Book Antiqua" w:eastAsia="Book Antiqua" w:hAnsi="Book Antiqua" w:cs="Book Antiqua"/>
          <w:b/>
          <w:bCs/>
          <w:i/>
          <w:iCs/>
          <w:color w:val="000000" w:themeColor="text1"/>
        </w:rPr>
        <w:t>severity grading of acute cholangitis</w:t>
      </w:r>
    </w:p>
    <w:p w14:paraId="6CBF313A" w14:textId="277FBBA8"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After comparing the three groups, WBC counts, CRP, PCT, presepsin, T-Bil, and SOFA scores of patients with moderate and severe cholangitis were found to be higher than those of patients with mild cholangitis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0.000; Table 1). Multiple comparison analysis was used to check the differences between particular pairs of groups. Presepsin had the lowest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value in patients with mild-to-moderate and moderate-to-severe acute cholangitis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0.000)</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Figure 2</w:t>
      </w:r>
      <w:r w:rsidR="00665092" w:rsidRPr="005E512C">
        <w:rPr>
          <w:rFonts w:ascii="Book Antiqua" w:eastAsia="Book Antiqua" w:hAnsi="Book Antiqua" w:cs="Book Antiqua"/>
          <w:color w:val="000000" w:themeColor="text1"/>
        </w:rPr>
        <w:t>B</w:t>
      </w:r>
      <w:r w:rsidRPr="005E512C">
        <w:rPr>
          <w:rFonts w:ascii="Book Antiqua" w:eastAsia="Book Antiqua" w:hAnsi="Book Antiqua" w:cs="Book Antiqua"/>
          <w:color w:val="000000" w:themeColor="text1"/>
        </w:rPr>
        <w:t>). The AUC of presepsin in pred</w:t>
      </w:r>
      <w:r w:rsidRPr="005E512C">
        <w:rPr>
          <w:rFonts w:ascii="Book Antiqua" w:eastAsia="Book Antiqua" w:hAnsi="Book Antiqua" w:cs="Book Antiqua"/>
          <w:color w:val="000000" w:themeColor="text1"/>
        </w:rPr>
        <w:t>icting moderate acute cholangitis was 0.728, prominently higher than that of CRP</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0.631,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 0.043) and PCT</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0.585,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 0.002). No significant differences in the AUC of T-Bil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0.686,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 0.361) and WBC counts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0.746,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 0.713) were observed after the Delong test. The optimal cutoff value of presepsin for grading moderate acute cholangitis was 1490 pg/mL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sensitivity, 0.84; specificity, 0.56)</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Figure 3</w:t>
      </w:r>
      <w:r w:rsidR="00665092" w:rsidRPr="005E512C">
        <w:rPr>
          <w:rFonts w:ascii="Book Antiqua" w:eastAsia="Book Antiqua" w:hAnsi="Book Antiqua" w:cs="Book Antiqua"/>
          <w:color w:val="000000" w:themeColor="text1"/>
        </w:rPr>
        <w:t>A</w:t>
      </w:r>
      <w:r w:rsidRPr="005E512C">
        <w:rPr>
          <w:rFonts w:ascii="Book Antiqua" w:eastAsia="Book Antiqua" w:hAnsi="Book Antiqua" w:cs="Book Antiqua"/>
          <w:color w:val="000000" w:themeColor="text1"/>
        </w:rPr>
        <w:t>). The AUC of presepsin in predicting severe acute cholangitis was 0.715, which was higher tha</w:t>
      </w:r>
      <w:r w:rsidRPr="005E512C">
        <w:rPr>
          <w:rFonts w:ascii="Book Antiqua" w:eastAsia="Book Antiqua" w:hAnsi="Book Antiqua" w:cs="Book Antiqua"/>
          <w:color w:val="000000" w:themeColor="text1"/>
        </w:rPr>
        <w:t>n that of WBC count</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0.571,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 0.008), CRP</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0.590,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 0.009), PCT</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0.618,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0.024), and T-Bil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0.559,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 0.006). The optimal cutoff value of presepsin for grading severe acute cholangitis was 2653 pg/mL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sensitivity, 0.64; specificity, 0.78)</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Figure 3</w:t>
      </w:r>
      <w:r w:rsidR="00665092" w:rsidRPr="005E512C">
        <w:rPr>
          <w:rFonts w:ascii="Book Antiqua" w:eastAsia="Book Antiqua" w:hAnsi="Book Antiqua" w:cs="Book Antiqua"/>
          <w:color w:val="000000" w:themeColor="text1"/>
        </w:rPr>
        <w:t>B</w:t>
      </w:r>
      <w:r w:rsidRPr="005E512C">
        <w:rPr>
          <w:rFonts w:ascii="Book Antiqua" w:eastAsia="Book Antiqua" w:hAnsi="Book Antiqua" w:cs="Book Antiqua"/>
          <w:color w:val="000000" w:themeColor="text1"/>
        </w:rPr>
        <w:t>). The correlation between WBC counts, CRP, PCT, presepsin, T-Bil, SOFA scores, and TG18 grade revealed that WBC counts, CRP, presepsin, and SOFA scores were correlated with TG18 grade</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0.000), and the correlation coefficient of presepsin was the highest among WBC counts, CRP, PCT presepsin, and T-Bil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r</w:t>
      </w:r>
      <w:r w:rsidRPr="005E512C">
        <w:rPr>
          <w:rFonts w:ascii="Book Antiqua" w:eastAsia="Book Antiqua" w:hAnsi="Book Antiqua" w:cs="Book Antiqua"/>
          <w:color w:val="000000" w:themeColor="text1"/>
        </w:rPr>
        <w:t xml:space="preserve"> = 0.324); </w:t>
      </w:r>
      <w:r w:rsidR="007571E6">
        <w:rPr>
          <w:rFonts w:ascii="Book Antiqua" w:eastAsia="Book Antiqua" w:hAnsi="Book Antiqua" w:cs="Book Antiqua"/>
          <w:color w:val="000000" w:themeColor="text1"/>
        </w:rPr>
        <w:t>p</w:t>
      </w:r>
      <w:r w:rsidR="007571E6" w:rsidRPr="005E512C">
        <w:rPr>
          <w:rFonts w:ascii="Book Antiqua" w:eastAsia="Book Antiqua" w:hAnsi="Book Antiqua" w:cs="Book Antiqua"/>
          <w:color w:val="000000" w:themeColor="text1"/>
        </w:rPr>
        <w:t xml:space="preserve">resepsin </w:t>
      </w:r>
      <w:r w:rsidRPr="005E512C">
        <w:rPr>
          <w:rFonts w:ascii="Book Antiqua" w:eastAsia="Book Antiqua" w:hAnsi="Book Antiqua" w:cs="Book Antiqua"/>
          <w:color w:val="000000" w:themeColor="text1"/>
        </w:rPr>
        <w:t>was also correlated with SOFA scores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Table 2). The Kappa value of presepsin &gt; 1490 pg/mL with TG18 in distinguishing moderate acute cholangitis was 0.508</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0.000) by symmetric measures. The Kappa value of presepsin &gt; 2653 pg/mL with TG18 in distinguishing severe acute cholangitis was 0.357</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 0.000) by symmetric measures.</w:t>
      </w:r>
    </w:p>
    <w:p w14:paraId="3089EBD9" w14:textId="77777777" w:rsidR="00483F42" w:rsidRPr="005E512C" w:rsidRDefault="00483F42" w:rsidP="005E512C">
      <w:pPr>
        <w:adjustRightInd w:val="0"/>
        <w:snapToGrid w:val="0"/>
        <w:spacing w:line="360" w:lineRule="auto"/>
        <w:jc w:val="both"/>
        <w:rPr>
          <w:rFonts w:ascii="Book Antiqua" w:hAnsi="Book Antiqua"/>
          <w:color w:val="000000" w:themeColor="text1"/>
        </w:rPr>
      </w:pPr>
    </w:p>
    <w:p w14:paraId="40D1490A" w14:textId="6CCBFC46" w:rsidR="00A77B3E" w:rsidRPr="005E512C" w:rsidRDefault="003C1887" w:rsidP="005E512C">
      <w:pPr>
        <w:adjustRightInd w:val="0"/>
        <w:snapToGrid w:val="0"/>
        <w:spacing w:line="360" w:lineRule="auto"/>
        <w:jc w:val="both"/>
        <w:rPr>
          <w:rFonts w:ascii="Book Antiqua" w:hAnsi="Book Antiqua"/>
          <w:b/>
          <w:bCs/>
          <w:color w:val="000000" w:themeColor="text1"/>
        </w:rPr>
      </w:pPr>
      <w:r w:rsidRPr="005E512C">
        <w:rPr>
          <w:rFonts w:ascii="Book Antiqua" w:eastAsia="Book Antiqua" w:hAnsi="Book Antiqua" w:cs="Book Antiqua"/>
          <w:b/>
          <w:bCs/>
          <w:i/>
          <w:iCs/>
          <w:color w:val="000000" w:themeColor="text1"/>
        </w:rPr>
        <w:lastRenderedPageBreak/>
        <w:t>Pre</w:t>
      </w:r>
      <w:r w:rsidRPr="005E512C">
        <w:rPr>
          <w:rFonts w:ascii="Book Antiqua" w:eastAsia="Book Antiqua" w:hAnsi="Book Antiqua" w:cs="Book Antiqua"/>
          <w:b/>
          <w:bCs/>
          <w:i/>
          <w:iCs/>
          <w:color w:val="000000" w:themeColor="text1"/>
        </w:rPr>
        <w:t xml:space="preserve">sepsin as a biomarker </w:t>
      </w:r>
      <w:r w:rsidR="007571E6">
        <w:rPr>
          <w:rFonts w:ascii="Book Antiqua" w:eastAsia="Book Antiqua" w:hAnsi="Book Antiqua" w:cs="Book Antiqua"/>
          <w:b/>
          <w:bCs/>
          <w:i/>
          <w:iCs/>
          <w:color w:val="000000" w:themeColor="text1"/>
        </w:rPr>
        <w:t>for</w:t>
      </w:r>
      <w:r w:rsidR="007571E6" w:rsidRPr="005E512C">
        <w:rPr>
          <w:rFonts w:ascii="Book Antiqua" w:eastAsia="Book Antiqua" w:hAnsi="Book Antiqua" w:cs="Book Antiqua"/>
          <w:b/>
          <w:bCs/>
          <w:i/>
          <w:iCs/>
          <w:color w:val="000000" w:themeColor="text1"/>
        </w:rPr>
        <w:t xml:space="preserve"> </w:t>
      </w:r>
      <w:r w:rsidRPr="005E512C">
        <w:rPr>
          <w:rFonts w:ascii="Book Antiqua" w:eastAsia="Book Antiqua" w:hAnsi="Book Antiqua" w:cs="Book Antiqua"/>
          <w:b/>
          <w:bCs/>
          <w:i/>
          <w:iCs/>
          <w:color w:val="000000" w:themeColor="text1"/>
        </w:rPr>
        <w:t>positive blood culture in patients with acute cholangitis</w:t>
      </w:r>
    </w:p>
    <w:p w14:paraId="37EBD661" w14:textId="6A4ED19A"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WBC counts, PCT, and presepsin levels in the positive blood culture group were greater than those in the negative blood culture group</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94.36 </w:t>
      </w:r>
      <w:r w:rsidRPr="005E512C">
        <w:rPr>
          <w:rFonts w:ascii="Book Antiqua" w:eastAsia="Book Antiqua" w:hAnsi="Book Antiqua" w:cs="Book Antiqua"/>
          <w:i/>
          <w:iCs/>
          <w:color w:val="000000" w:themeColor="text1"/>
        </w:rPr>
        <w:t>vs</w:t>
      </w:r>
      <w:r w:rsidRPr="005E512C">
        <w:rPr>
          <w:rFonts w:ascii="Book Antiqua" w:eastAsia="Book Antiqua" w:hAnsi="Book Antiqua" w:cs="Book Antiqua"/>
          <w:color w:val="000000" w:themeColor="text1"/>
        </w:rPr>
        <w:t xml:space="preserve"> 66.26</w:t>
      </w:r>
      <w:r w:rsidR="00483F42" w:rsidRPr="005E512C">
        <w:rPr>
          <w:rFonts w:ascii="Book Antiqua" w:eastAsia="宋体" w:hAnsi="Book Antiqua" w:cs="宋体"/>
          <w:color w:val="000000" w:themeColor="text1"/>
          <w:lang w:eastAsia="zh-CN"/>
        </w:rPr>
        <w:t>,</w:t>
      </w:r>
      <w:r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 0.000); however, CRP and T-Bil levels did not show significant differences between the groups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&gt; 0.05). The ROC curves of biomarkers showed that presepsin had the highest AUC</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0.688). This could indicate a positive blood culture when the presepsin level w</w:t>
      </w:r>
      <w:r w:rsidRPr="005E512C">
        <w:rPr>
          <w:rFonts w:ascii="Book Antiqua" w:eastAsia="Book Antiqua" w:hAnsi="Book Antiqua" w:cs="Book Antiqua"/>
          <w:color w:val="000000" w:themeColor="text1"/>
        </w:rPr>
        <w:t>as &gt; 2163 pg/mL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sensitivity, 0.78; specificity,</w:t>
      </w:r>
      <w:r w:rsidR="00F83924">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0.59)</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Figure</w:t>
      </w:r>
      <w:r w:rsidR="006423E1">
        <w:rPr>
          <w:rFonts w:ascii="Book Antiqua" w:eastAsia="Book Antiqua" w:hAnsi="Book Antiqua" w:cs="Book Antiqua"/>
          <w:color w:val="000000" w:themeColor="text1"/>
        </w:rPr>
        <w:t>s</w:t>
      </w:r>
      <w:r w:rsidRPr="005E512C">
        <w:rPr>
          <w:rFonts w:ascii="Book Antiqua" w:eastAsia="Book Antiqua" w:hAnsi="Book Antiqua" w:cs="Book Antiqua"/>
          <w:color w:val="000000" w:themeColor="text1"/>
        </w:rPr>
        <w:t xml:space="preserve"> 2</w:t>
      </w:r>
      <w:r w:rsidR="00483F42" w:rsidRPr="005E512C">
        <w:rPr>
          <w:rFonts w:ascii="Book Antiqua" w:eastAsia="Book Antiqua" w:hAnsi="Book Antiqua" w:cs="Book Antiqua"/>
          <w:color w:val="000000" w:themeColor="text1"/>
        </w:rPr>
        <w:t>C</w:t>
      </w:r>
      <w:r w:rsidR="006423E1">
        <w:rPr>
          <w:rFonts w:ascii="Book Antiqua" w:eastAsia="Book Antiqua" w:hAnsi="Book Antiqua" w:cs="Book Antiqua"/>
          <w:color w:val="000000" w:themeColor="text1"/>
        </w:rPr>
        <w:t xml:space="preserve"> and </w:t>
      </w:r>
      <w:r w:rsidRPr="005E512C">
        <w:rPr>
          <w:rFonts w:ascii="Book Antiqua" w:eastAsia="Book Antiqua" w:hAnsi="Book Antiqua" w:cs="Book Antiqua"/>
          <w:color w:val="000000" w:themeColor="text1"/>
        </w:rPr>
        <w:t>3</w:t>
      </w:r>
      <w:r w:rsidR="00483F42" w:rsidRPr="005E512C">
        <w:rPr>
          <w:rFonts w:ascii="Book Antiqua" w:eastAsia="Book Antiqua" w:hAnsi="Book Antiqua" w:cs="Book Antiqua"/>
          <w:color w:val="000000" w:themeColor="text1"/>
        </w:rPr>
        <w:t>C</w:t>
      </w:r>
      <w:r w:rsidRPr="005E512C">
        <w:rPr>
          <w:rFonts w:ascii="Book Antiqua" w:eastAsia="Book Antiqua" w:hAnsi="Book Antiqua" w:cs="Book Antiqua"/>
          <w:color w:val="000000" w:themeColor="text1"/>
        </w:rPr>
        <w:t>).</w:t>
      </w:r>
    </w:p>
    <w:p w14:paraId="6D8C2798"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34D7E2B0"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aps/>
          <w:color w:val="000000" w:themeColor="text1"/>
          <w:u w:val="single"/>
        </w:rPr>
        <w:t>DISCUSSION</w:t>
      </w:r>
    </w:p>
    <w:p w14:paraId="7785B1C1" w14:textId="0E8743A1" w:rsidR="003747E6"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For a long time, acute cholangitis has been diagnosed based on Charcot’s triad; however, its misdiagnosis rate can be as high as 30%–80%</w:t>
      </w:r>
      <w:r w:rsidRPr="005E512C">
        <w:rPr>
          <w:rFonts w:ascii="Book Antiqua" w:eastAsia="Book Antiqua" w:hAnsi="Book Antiqua" w:cs="Book Antiqua"/>
          <w:color w:val="000000" w:themeColor="text1"/>
          <w:vertAlign w:val="superscript"/>
        </w:rPr>
        <w:t>[10-12]</w:t>
      </w:r>
      <w:r w:rsidRPr="005E512C">
        <w:rPr>
          <w:rFonts w:ascii="Book Antiqua" w:eastAsia="Book Antiqua" w:hAnsi="Book Antiqua" w:cs="Book Antiqua"/>
          <w:color w:val="000000" w:themeColor="text1"/>
        </w:rPr>
        <w:t>. With the introduction of WBC count, CRP, a</w:t>
      </w:r>
      <w:r w:rsidRPr="005E512C">
        <w:rPr>
          <w:rFonts w:ascii="Book Antiqua" w:eastAsia="Book Antiqua" w:hAnsi="Book Antiqua" w:cs="Book Antiqua"/>
          <w:color w:val="000000" w:themeColor="text1"/>
        </w:rPr>
        <w:t xml:space="preserve">nd T-Bil into the TG07, TG13, and TG18, the diagnosis rate and grading </w:t>
      </w:r>
      <w:r w:rsidR="00E00138" w:rsidRPr="005E512C">
        <w:rPr>
          <w:rFonts w:ascii="Book Antiqua" w:eastAsia="Book Antiqua" w:hAnsi="Book Antiqua" w:cs="Book Antiqua"/>
          <w:color w:val="000000" w:themeColor="text1"/>
        </w:rPr>
        <w:t>ha</w:t>
      </w:r>
      <w:r w:rsidR="00E00138">
        <w:rPr>
          <w:rFonts w:ascii="Book Antiqua" w:eastAsia="Book Antiqua" w:hAnsi="Book Antiqua" w:cs="Book Antiqua"/>
          <w:color w:val="000000" w:themeColor="text1"/>
        </w:rPr>
        <w:t>ve</w:t>
      </w:r>
      <w:r w:rsidR="00E00138"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improved notably</w:t>
      </w:r>
      <w:r w:rsidRPr="005E512C">
        <w:rPr>
          <w:rFonts w:ascii="Book Antiqua" w:eastAsia="Book Antiqua" w:hAnsi="Book Antiqua" w:cs="Book Antiqua"/>
          <w:color w:val="000000" w:themeColor="text1"/>
          <w:vertAlign w:val="superscript"/>
        </w:rPr>
        <w:t>[13]</w:t>
      </w:r>
      <w:r w:rsidRPr="005E512C">
        <w:rPr>
          <w:rFonts w:ascii="Book Antiqua" w:eastAsia="Book Antiqua" w:hAnsi="Book Antiqua" w:cs="Book Antiqua"/>
          <w:color w:val="000000" w:themeColor="text1"/>
        </w:rPr>
        <w:t>. However, early risk stratification assessments are difficult according to WBC count, CRP, T-Bil, vital signs, and organ function in the emergency department. PCT has been recommended as a biomarker for predicting severe acute cholangitis; however, PCT levels are often higher in patients with trauma</w:t>
      </w:r>
      <w:r w:rsidRPr="005E512C">
        <w:rPr>
          <w:rFonts w:ascii="Book Antiqua" w:eastAsia="Book Antiqua" w:hAnsi="Book Antiqua" w:cs="Book Antiqua"/>
          <w:color w:val="000000" w:themeColor="text1"/>
          <w:vertAlign w:val="superscript"/>
        </w:rPr>
        <w:t>[14]</w:t>
      </w:r>
      <w:r w:rsidRPr="005E512C">
        <w:rPr>
          <w:rFonts w:ascii="Book Antiqua" w:eastAsia="Book Antiqua" w:hAnsi="Book Antiqua" w:cs="Book Antiqua"/>
          <w:color w:val="000000" w:themeColor="text1"/>
        </w:rPr>
        <w:t xml:space="preserve"> and adrenocortical failure</w:t>
      </w:r>
      <w:r w:rsidRPr="005E512C">
        <w:rPr>
          <w:rFonts w:ascii="Book Antiqua" w:eastAsia="Book Antiqua" w:hAnsi="Book Antiqua" w:cs="Book Antiqua"/>
          <w:color w:val="000000" w:themeColor="text1"/>
          <w:vertAlign w:val="superscript"/>
        </w:rPr>
        <w:t>[15]</w:t>
      </w:r>
      <w:r w:rsidRPr="005E512C">
        <w:rPr>
          <w:rFonts w:ascii="Book Antiqua" w:eastAsia="Book Antiqua" w:hAnsi="Book Antiqua" w:cs="Book Antiqua"/>
          <w:color w:val="000000" w:themeColor="text1"/>
        </w:rPr>
        <w:t>, and are falsely negative in patients with atypical bacterial infections</w:t>
      </w:r>
      <w:r w:rsidRPr="005E512C">
        <w:rPr>
          <w:rFonts w:ascii="Book Antiqua" w:eastAsia="Book Antiqua" w:hAnsi="Book Antiqua" w:cs="Book Antiqua"/>
          <w:color w:val="000000" w:themeColor="text1"/>
          <w:vertAlign w:val="superscript"/>
        </w:rPr>
        <w:t>[16]</w:t>
      </w:r>
      <w:r w:rsidRPr="005E512C">
        <w:rPr>
          <w:rFonts w:ascii="Book Antiqua" w:eastAsia="Book Antiqua" w:hAnsi="Book Antiqua" w:cs="Book Antiqua"/>
          <w:color w:val="000000" w:themeColor="text1"/>
        </w:rPr>
        <w:t>. Early grading of acute cholangitis is still an important clinical challenge in the emergency department. Presepsin is a</w:t>
      </w:r>
      <w:r w:rsidRPr="005E512C">
        <w:rPr>
          <w:rFonts w:ascii="Book Antiqua" w:eastAsia="Book Antiqua" w:hAnsi="Book Antiqua" w:cs="Book Antiqua"/>
          <w:b/>
          <w:bCs/>
          <w:color w:val="000000" w:themeColor="text1"/>
        </w:rPr>
        <w:t xml:space="preserve"> </w:t>
      </w:r>
      <w:r w:rsidRPr="005E512C">
        <w:rPr>
          <w:rFonts w:ascii="Book Antiqua" w:eastAsia="Book Antiqua" w:hAnsi="Book Antiqua" w:cs="Book Antiqua"/>
          <w:color w:val="000000" w:themeColor="text1"/>
        </w:rPr>
        <w:t>promising biomarker of bacterial infectious disease discovered in recent years, and its sensitivity and accuracy are better than those of PCT, WBC count, and CRP</w:t>
      </w:r>
      <w:r w:rsidRPr="005E512C">
        <w:rPr>
          <w:rFonts w:ascii="Book Antiqua" w:eastAsia="Book Antiqua" w:hAnsi="Book Antiqua" w:cs="Book Antiqua"/>
          <w:color w:val="000000" w:themeColor="text1"/>
          <w:vertAlign w:val="superscript"/>
        </w:rPr>
        <w:t>[17-19]</w:t>
      </w:r>
      <w:r w:rsidRPr="005E512C">
        <w:rPr>
          <w:rFonts w:ascii="Book Antiqua" w:eastAsia="Book Antiqua" w:hAnsi="Book Antiqua" w:cs="Book Antiqua"/>
          <w:color w:val="000000" w:themeColor="text1"/>
        </w:rPr>
        <w:t>. Based on the aforem</w:t>
      </w:r>
      <w:r w:rsidRPr="005E512C">
        <w:rPr>
          <w:rFonts w:ascii="Book Antiqua" w:eastAsia="Book Antiqua" w:hAnsi="Book Antiqua" w:cs="Book Antiqua"/>
          <w:color w:val="000000" w:themeColor="text1"/>
        </w:rPr>
        <w:t>entioned</w:t>
      </w:r>
      <w:r w:rsidR="003747E6"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findings, we demonstrated that presep</w:t>
      </w:r>
      <w:r w:rsidRPr="005E512C">
        <w:rPr>
          <w:rFonts w:ascii="Book Antiqua" w:eastAsia="Book Antiqua" w:hAnsi="Book Antiqua" w:cs="Book Antiqua"/>
          <w:color w:val="000000" w:themeColor="text1"/>
        </w:rPr>
        <w:t xml:space="preserve">sin had </w:t>
      </w:r>
      <w:r w:rsidR="00E00138">
        <w:rPr>
          <w:rFonts w:ascii="Book Antiqua" w:eastAsia="Book Antiqua" w:hAnsi="Book Antiqua" w:cs="Book Antiqua"/>
          <w:color w:val="000000" w:themeColor="text1"/>
        </w:rPr>
        <w:t xml:space="preserve">a </w:t>
      </w:r>
      <w:r w:rsidRPr="005E512C">
        <w:rPr>
          <w:rFonts w:ascii="Book Antiqua" w:eastAsia="Book Antiqua" w:hAnsi="Book Antiqua" w:cs="Book Antiqua"/>
          <w:color w:val="000000" w:themeColor="text1"/>
        </w:rPr>
        <w:t>higher se</w:t>
      </w:r>
      <w:r w:rsidRPr="005E512C">
        <w:rPr>
          <w:rFonts w:ascii="Book Antiqua" w:eastAsia="Book Antiqua" w:hAnsi="Book Antiqua" w:cs="Book Antiqua"/>
          <w:color w:val="000000" w:themeColor="text1"/>
        </w:rPr>
        <w:t>nsitivity and specificity in risk stratification of acute cholangitis and had a better positive rate in predicting bacterial blood culture.</w:t>
      </w:r>
    </w:p>
    <w:p w14:paraId="5DC81D74" w14:textId="1D725A81" w:rsidR="003747E6" w:rsidRPr="005E512C" w:rsidRDefault="003C1887" w:rsidP="005E512C">
      <w:pPr>
        <w:adjustRightInd w:val="0"/>
        <w:snapToGrid w:val="0"/>
        <w:spacing w:line="360" w:lineRule="auto"/>
        <w:ind w:firstLineChars="100" w:firstLine="240"/>
        <w:jc w:val="both"/>
        <w:rPr>
          <w:rFonts w:ascii="Book Antiqua" w:hAnsi="Book Antiqua"/>
          <w:color w:val="000000" w:themeColor="text1"/>
        </w:rPr>
      </w:pPr>
      <w:r w:rsidRPr="005E512C">
        <w:rPr>
          <w:rFonts w:ascii="Book Antiqua" w:eastAsia="Book Antiqua" w:hAnsi="Book Antiqua" w:cs="Book Antiqua"/>
          <w:color w:val="000000" w:themeColor="text1"/>
        </w:rPr>
        <w:t>A SOFA score ≥ 2 is the diagnostic criterion for sepsis in the new sepsis 3.0 definitions, which show the number and severity of organ dysfunction</w:t>
      </w:r>
      <w:r w:rsidRPr="005E512C">
        <w:rPr>
          <w:rFonts w:ascii="Book Antiqua" w:eastAsia="Book Antiqua" w:hAnsi="Book Antiqua" w:cs="Book Antiqua"/>
          <w:color w:val="000000" w:themeColor="text1"/>
          <w:vertAlign w:val="superscript"/>
        </w:rPr>
        <w:t>[20]</w:t>
      </w:r>
      <w:r w:rsidRPr="005E512C">
        <w:rPr>
          <w:rFonts w:ascii="Book Antiqua" w:eastAsia="Book Antiqua" w:hAnsi="Book Antiqua" w:cs="Book Antiqua"/>
          <w:color w:val="000000" w:themeColor="text1"/>
        </w:rPr>
        <w:t>. As a biomarker of infection, presepsin was superior to CRP and PCT in predicting infection disease</w:t>
      </w:r>
      <w:r w:rsidRPr="005E512C">
        <w:rPr>
          <w:rFonts w:ascii="Book Antiqua" w:eastAsia="Book Antiqua" w:hAnsi="Book Antiqua" w:cs="Book Antiqua"/>
          <w:color w:val="000000" w:themeColor="text1"/>
          <w:vertAlign w:val="superscript"/>
        </w:rPr>
        <w:t>[21]</w:t>
      </w:r>
      <w:r w:rsidRPr="005E512C">
        <w:rPr>
          <w:rFonts w:ascii="Book Antiqua" w:eastAsia="Book Antiqua" w:hAnsi="Book Antiqua" w:cs="Book Antiqua"/>
          <w:color w:val="000000" w:themeColor="text1"/>
        </w:rPr>
        <w:t xml:space="preserve"> and risk stratification</w:t>
      </w:r>
      <w:r w:rsidRPr="005E512C">
        <w:rPr>
          <w:rFonts w:ascii="Book Antiqua" w:eastAsia="Book Antiqua" w:hAnsi="Book Antiqua" w:cs="Book Antiqua"/>
          <w:color w:val="000000" w:themeColor="text1"/>
          <w:vertAlign w:val="superscript"/>
        </w:rPr>
        <w:t>[22]</w:t>
      </w:r>
      <w:r w:rsidRPr="005E512C">
        <w:rPr>
          <w:rFonts w:ascii="Book Antiqua" w:eastAsia="Book Antiqua" w:hAnsi="Book Antiqua" w:cs="Book Antiqua"/>
          <w:color w:val="000000" w:themeColor="text1"/>
        </w:rPr>
        <w:t xml:space="preserve">. In this study, presepsin levels in patients with acute cholangitis on admission were closely related to TG18 and SOFA scores. It implied that presepsin levels were associated with the number and severity of organ dysfunction during acute </w:t>
      </w:r>
      <w:r w:rsidRPr="005E512C">
        <w:rPr>
          <w:rFonts w:ascii="Book Antiqua" w:eastAsia="Book Antiqua" w:hAnsi="Book Antiqua" w:cs="Book Antiqua"/>
          <w:color w:val="000000" w:themeColor="text1"/>
        </w:rPr>
        <w:lastRenderedPageBreak/>
        <w:t>cholangitis. Some studies proposed PCT to evaluate the severity of acute cholangitis</w:t>
      </w:r>
      <w:r w:rsidRPr="005E512C">
        <w:rPr>
          <w:rFonts w:ascii="Book Antiqua" w:eastAsia="Book Antiqua" w:hAnsi="Book Antiqua" w:cs="Book Antiqua"/>
          <w:color w:val="000000" w:themeColor="text1"/>
          <w:vertAlign w:val="superscript"/>
        </w:rPr>
        <w:t>[23,24]</w:t>
      </w:r>
      <w:r w:rsidRPr="005E512C">
        <w:rPr>
          <w:rFonts w:ascii="Book Antiqua" w:eastAsia="Book Antiqua" w:hAnsi="Book Antiqua" w:cs="Book Antiqua"/>
          <w:color w:val="000000" w:themeColor="text1"/>
        </w:rPr>
        <w:t>. However, these studies u</w:t>
      </w:r>
      <w:r w:rsidRPr="005E512C">
        <w:rPr>
          <w:rFonts w:ascii="Book Antiqua" w:eastAsia="Book Antiqua" w:hAnsi="Book Antiqua" w:cs="Book Antiqua"/>
          <w:color w:val="000000" w:themeColor="text1"/>
        </w:rPr>
        <w:t xml:space="preserve">sed very </w:t>
      </w:r>
      <w:r w:rsidR="00E00138">
        <w:rPr>
          <w:rFonts w:ascii="Book Antiqua" w:eastAsia="Book Antiqua" w:hAnsi="Book Antiqua" w:cs="Book Antiqua"/>
          <w:color w:val="000000" w:themeColor="text1"/>
        </w:rPr>
        <w:t>strict</w:t>
      </w:r>
      <w:r w:rsidR="00E00138"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inclusion criteria</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for example, excluding patients who had received antibiotics or nonsteroidal drug before enrolment, or history of a percutaneous bile duct </w:t>
      </w:r>
      <w:r w:rsidRPr="00F83924">
        <w:rPr>
          <w:rFonts w:ascii="Book Antiqua" w:eastAsia="Book Antiqua" w:hAnsi="Book Antiqua" w:cs="Book Antiqua"/>
          <w:i/>
          <w:color w:val="000000" w:themeColor="text1"/>
        </w:rPr>
        <w:t>in situ</w:t>
      </w:r>
      <w:r w:rsidRPr="005E512C">
        <w:rPr>
          <w:rFonts w:ascii="Book Antiqua" w:eastAsia="Book Antiqua" w:hAnsi="Book Antiqua" w:cs="Book Antiqua"/>
          <w:color w:val="000000" w:themeColor="text1"/>
        </w:rPr>
        <w:t xml:space="preserve"> or choledochojejunostomy, or a lower platelet or </w:t>
      </w:r>
      <w:r w:rsidR="00E00138">
        <w:rPr>
          <w:rFonts w:ascii="Book Antiqua" w:eastAsia="Book Antiqua" w:hAnsi="Book Antiqua" w:cs="Book Antiqua"/>
          <w:color w:val="000000" w:themeColor="text1"/>
        </w:rPr>
        <w:t>WBC</w:t>
      </w:r>
      <w:r w:rsidRPr="005E512C">
        <w:rPr>
          <w:rFonts w:ascii="Book Antiqua" w:eastAsia="Book Antiqua" w:hAnsi="Book Antiqua" w:cs="Book Antiqua"/>
          <w:color w:val="000000" w:themeColor="text1"/>
        </w:rPr>
        <w:t xml:space="preserve"> count than normal). Some patients with cholangitis may take antipyretics or antibiotics before seeing a doctor. This may increase the limitations of the above research. This study included various conditions of cholangitis, and the results showed that presepsin had the best predictive value for determining the severity of cholangitis</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 xml:space="preserve">P </w:t>
      </w:r>
      <w:r w:rsidRPr="005E512C">
        <w:rPr>
          <w:rFonts w:ascii="Book Antiqua" w:eastAsia="Book Antiqua" w:hAnsi="Book Antiqua" w:cs="Book Antiqua"/>
          <w:color w:val="000000" w:themeColor="text1"/>
        </w:rPr>
        <w:t>&lt; 0.01). This suggests that presepsin levels could help det</w:t>
      </w:r>
      <w:r w:rsidRPr="005E512C">
        <w:rPr>
          <w:rFonts w:ascii="Book Antiqua" w:eastAsia="Book Antiqua" w:hAnsi="Book Antiqua" w:cs="Book Antiqua"/>
          <w:color w:val="000000" w:themeColor="text1"/>
        </w:rPr>
        <w:t>ermine the severity of acute cholangitis to some extent.</w:t>
      </w:r>
    </w:p>
    <w:p w14:paraId="1A7EDEC6" w14:textId="77777777" w:rsidR="003747E6" w:rsidRPr="005E512C" w:rsidRDefault="003C1887" w:rsidP="005E512C">
      <w:pPr>
        <w:adjustRightInd w:val="0"/>
        <w:snapToGrid w:val="0"/>
        <w:spacing w:line="360" w:lineRule="auto"/>
        <w:ind w:firstLineChars="100" w:firstLine="240"/>
        <w:jc w:val="both"/>
        <w:rPr>
          <w:rFonts w:ascii="Book Antiqua" w:hAnsi="Book Antiqua"/>
          <w:color w:val="000000" w:themeColor="text1"/>
        </w:rPr>
      </w:pPr>
      <w:r w:rsidRPr="005E512C">
        <w:rPr>
          <w:rFonts w:ascii="Book Antiqua" w:eastAsia="Book Antiqua" w:hAnsi="Book Antiqua" w:cs="Book Antiqua"/>
          <w:color w:val="000000" w:themeColor="text1"/>
        </w:rPr>
        <w:t>Most acute cholangitis cases are associated with intestinal bacterial infection and elevated bile acid and bilirubin levels, which play critical roles in innate immune function activation</w:t>
      </w:r>
      <w:r w:rsidRPr="005E512C">
        <w:rPr>
          <w:rFonts w:ascii="Book Antiqua" w:eastAsia="Book Antiqua" w:hAnsi="Book Antiqua" w:cs="Book Antiqua"/>
          <w:color w:val="000000" w:themeColor="text1"/>
          <w:vertAlign w:val="superscript"/>
        </w:rPr>
        <w:t>[25]</w:t>
      </w:r>
      <w:r w:rsidRPr="005E512C">
        <w:rPr>
          <w:rFonts w:ascii="Book Antiqua" w:eastAsia="Book Antiqua" w:hAnsi="Book Antiqua" w:cs="Book Antiqua"/>
          <w:color w:val="000000" w:themeColor="text1"/>
        </w:rPr>
        <w:t xml:space="preserve"> and improper cytokine or antigen secretion in mononuclear/Kupffer cells</w:t>
      </w:r>
      <w:r w:rsidRPr="005E512C">
        <w:rPr>
          <w:rFonts w:ascii="Book Antiqua" w:eastAsia="Book Antiqua" w:hAnsi="Book Antiqua" w:cs="Book Antiqua"/>
          <w:color w:val="000000" w:themeColor="text1"/>
          <w:vertAlign w:val="superscript"/>
        </w:rPr>
        <w:t>[26]</w:t>
      </w:r>
      <w:r w:rsidRPr="005E512C">
        <w:rPr>
          <w:rFonts w:ascii="Book Antiqua" w:eastAsia="Book Antiqua" w:hAnsi="Book Antiqua" w:cs="Book Antiqua"/>
          <w:color w:val="000000" w:themeColor="text1"/>
        </w:rPr>
        <w:t>. CRP and PCT levels are indirect acute-phase biomarkers of host-pathogen systemic responses because their syntheses require interleukin-1 and interleukin-6, secreted by monocytes/macrophages; however, their synthesis is suppressed in patients with acute cholangitis</w:t>
      </w:r>
      <w:r w:rsidRPr="005E512C">
        <w:rPr>
          <w:rFonts w:ascii="Book Antiqua" w:eastAsia="Book Antiqua" w:hAnsi="Book Antiqua" w:cs="Book Antiqua"/>
          <w:color w:val="000000" w:themeColor="text1"/>
          <w:vertAlign w:val="superscript"/>
        </w:rPr>
        <w:t>[26]</w:t>
      </w:r>
      <w:r w:rsidRPr="005E512C">
        <w:rPr>
          <w:rFonts w:ascii="Book Antiqua" w:eastAsia="Book Antiqua" w:hAnsi="Book Antiqua" w:cs="Book Antiqua"/>
          <w:color w:val="000000" w:themeColor="text1"/>
        </w:rPr>
        <w:t>. Presepsin is an infection-specific biomarker for innate immune responses that can directly cleave from the monocyte/macrophage-specific CD14 receptor complex once microbes or lipopolysaccharides invade the bloodstream of an organism</w:t>
      </w:r>
      <w:r w:rsidRPr="005E512C">
        <w:rPr>
          <w:rFonts w:ascii="Book Antiqua" w:eastAsia="Book Antiqua" w:hAnsi="Book Antiqua" w:cs="Book Antiqua"/>
          <w:color w:val="000000" w:themeColor="text1"/>
          <w:vertAlign w:val="superscript"/>
        </w:rPr>
        <w:t>[6,27]</w:t>
      </w:r>
      <w:r w:rsidRPr="005E512C">
        <w:rPr>
          <w:rFonts w:ascii="Book Antiqua" w:eastAsia="Book Antiqua" w:hAnsi="Book Antiqua" w:cs="Book Antiqua"/>
          <w:color w:val="000000" w:themeColor="text1"/>
        </w:rPr>
        <w:t>. In patients with acute cholangitis, presepsin may be excessively secreted in the peripheral blood because of monocyte endocytosis, which reduces the abundance of CD14 on the cell membrane</w:t>
      </w:r>
      <w:r w:rsidRPr="005E512C">
        <w:rPr>
          <w:rFonts w:ascii="Book Antiqua" w:eastAsia="Book Antiqua" w:hAnsi="Book Antiqua" w:cs="Book Antiqua"/>
          <w:color w:val="000000" w:themeColor="text1"/>
          <w:vertAlign w:val="superscript"/>
        </w:rPr>
        <w:t>[28]</w:t>
      </w:r>
      <w:r w:rsidRPr="005E512C">
        <w:rPr>
          <w:rFonts w:ascii="Book Antiqua" w:eastAsia="Book Antiqua" w:hAnsi="Book Antiqua" w:cs="Book Antiqua"/>
          <w:color w:val="000000" w:themeColor="text1"/>
        </w:rPr>
        <w:t>.</w:t>
      </w:r>
    </w:p>
    <w:p w14:paraId="179C0E3D" w14:textId="23A12E37" w:rsidR="003747E6" w:rsidRPr="005E512C" w:rsidRDefault="003C1887" w:rsidP="005E512C">
      <w:pPr>
        <w:adjustRightInd w:val="0"/>
        <w:snapToGrid w:val="0"/>
        <w:spacing w:line="360" w:lineRule="auto"/>
        <w:ind w:firstLineChars="100" w:firstLine="240"/>
        <w:jc w:val="both"/>
        <w:rPr>
          <w:rFonts w:ascii="Book Antiqua" w:hAnsi="Book Antiqua"/>
          <w:color w:val="000000" w:themeColor="text1"/>
        </w:rPr>
      </w:pPr>
      <w:r w:rsidRPr="005E512C">
        <w:rPr>
          <w:rFonts w:ascii="Book Antiqua" w:eastAsia="Book Antiqua" w:hAnsi="Book Antiqua" w:cs="Book Antiqua"/>
          <w:color w:val="000000" w:themeColor="text1"/>
        </w:rPr>
        <w:t>In this study, the overall 28-</w:t>
      </w:r>
      <w:r w:rsidR="00665092" w:rsidRPr="005E512C">
        <w:rPr>
          <w:rFonts w:ascii="Book Antiqua" w:eastAsia="Book Antiqua" w:hAnsi="Book Antiqua" w:cs="Book Antiqua"/>
          <w:color w:val="000000" w:themeColor="text1"/>
        </w:rPr>
        <w:t>d</w:t>
      </w:r>
      <w:r w:rsidRPr="005E512C">
        <w:rPr>
          <w:rFonts w:ascii="Book Antiqua" w:eastAsia="Book Antiqua" w:hAnsi="Book Antiqua" w:cs="Book Antiqua"/>
          <w:color w:val="000000" w:themeColor="text1"/>
        </w:rPr>
        <w:t xml:space="preserve"> mortality rate was 2.4%, which was lower than the reported mortality rate of 2.7%–10% for acute severe cholangitis</w:t>
      </w:r>
      <w:r w:rsidRPr="005E512C">
        <w:rPr>
          <w:rFonts w:ascii="Book Antiqua" w:eastAsia="Book Antiqua" w:hAnsi="Book Antiqua" w:cs="Book Antiqua"/>
          <w:color w:val="000000" w:themeColor="text1"/>
          <w:vertAlign w:val="superscript"/>
        </w:rPr>
        <w:t>[1,3]</w:t>
      </w:r>
      <w:r w:rsidRPr="005E512C">
        <w:rPr>
          <w:rFonts w:ascii="Book Antiqua" w:eastAsia="Book Antiqua" w:hAnsi="Book Antiqua" w:cs="Book Antiqua"/>
          <w:color w:val="000000" w:themeColor="text1"/>
        </w:rPr>
        <w:t>. This may be related to the aggressive and comprehensive treatments as well as shorter observation times. Some studies showed that presepsin levels have significant prognostic value for predicting mortality risk in patients with sepsis, sepsis-related diseases, or bacterial infections</w:t>
      </w:r>
      <w:r w:rsidRPr="005E512C">
        <w:rPr>
          <w:rFonts w:ascii="Book Antiqua" w:eastAsia="Book Antiqua" w:hAnsi="Book Antiqua" w:cs="Book Antiqua"/>
          <w:color w:val="000000" w:themeColor="text1"/>
          <w:vertAlign w:val="superscript"/>
        </w:rPr>
        <w:t>[17,29,30]</w:t>
      </w:r>
      <w:r w:rsidRPr="005E512C">
        <w:rPr>
          <w:rFonts w:ascii="Book Antiqua" w:eastAsia="Book Antiqua" w:hAnsi="Book Antiqua" w:cs="Book Antiqua"/>
          <w:color w:val="000000" w:themeColor="text1"/>
        </w:rPr>
        <w:t>. Pr</w:t>
      </w:r>
      <w:r w:rsidRPr="005E512C">
        <w:rPr>
          <w:rFonts w:ascii="Book Antiqua" w:eastAsia="Book Antiqua" w:hAnsi="Book Antiqua" w:cs="Book Antiqua"/>
          <w:color w:val="000000" w:themeColor="text1"/>
        </w:rPr>
        <w:t>esepsin level in the dea</w:t>
      </w:r>
      <w:r w:rsidRPr="005E512C">
        <w:rPr>
          <w:rFonts w:ascii="Book Antiqua" w:eastAsia="Book Antiqua" w:hAnsi="Book Antiqua" w:cs="Book Antiqua"/>
          <w:color w:val="000000" w:themeColor="text1"/>
        </w:rPr>
        <w:t>t</w:t>
      </w:r>
      <w:r w:rsidRPr="005E512C">
        <w:rPr>
          <w:rFonts w:ascii="Book Antiqua" w:eastAsia="Book Antiqua" w:hAnsi="Book Antiqua" w:cs="Book Antiqua"/>
          <w:color w:val="000000" w:themeColor="text1"/>
        </w:rPr>
        <w:t xml:space="preserve">h group </w:t>
      </w:r>
      <w:r w:rsidR="00E00138" w:rsidRPr="005E512C">
        <w:rPr>
          <w:rFonts w:ascii="Book Antiqua" w:eastAsia="Book Antiqua" w:hAnsi="Book Antiqua" w:cs="Book Antiqua"/>
          <w:color w:val="000000" w:themeColor="text1"/>
        </w:rPr>
        <w:t>w</w:t>
      </w:r>
      <w:r w:rsidR="00E00138">
        <w:rPr>
          <w:rFonts w:ascii="Book Antiqua" w:eastAsia="Book Antiqua" w:hAnsi="Book Antiqua" w:cs="Book Antiqua"/>
          <w:color w:val="000000" w:themeColor="text1"/>
        </w:rPr>
        <w:t>as</w:t>
      </w:r>
      <w:r w:rsidR="00E00138"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higher than </w:t>
      </w:r>
      <w:r w:rsidR="00E00138" w:rsidRPr="005E512C">
        <w:rPr>
          <w:rFonts w:ascii="Book Antiqua" w:eastAsia="Book Antiqua" w:hAnsi="Book Antiqua" w:cs="Book Antiqua"/>
          <w:color w:val="000000" w:themeColor="text1"/>
        </w:rPr>
        <w:t>th</w:t>
      </w:r>
      <w:r w:rsidR="00E00138">
        <w:rPr>
          <w:rFonts w:ascii="Book Antiqua" w:eastAsia="Book Antiqua" w:hAnsi="Book Antiqua" w:cs="Book Antiqua"/>
          <w:color w:val="000000" w:themeColor="text1"/>
        </w:rPr>
        <w:t>at</w:t>
      </w:r>
      <w:r w:rsidR="00E00138"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in the survival group in this study</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i/>
          <w:iCs/>
          <w:color w:val="000000" w:themeColor="text1"/>
        </w:rPr>
        <w:t>P</w:t>
      </w:r>
      <w:r w:rsidRPr="005E512C">
        <w:rPr>
          <w:rFonts w:ascii="Book Antiqua" w:eastAsia="Book Antiqua" w:hAnsi="Book Antiqua" w:cs="Book Antiqua"/>
          <w:color w:val="000000" w:themeColor="text1"/>
        </w:rPr>
        <w:t xml:space="preserve"> &lt; 0.01). Only eight patients lost their lives in 28 </w:t>
      </w:r>
      <w:r w:rsidR="00665092" w:rsidRPr="005E512C">
        <w:rPr>
          <w:rFonts w:ascii="Book Antiqua" w:eastAsia="Book Antiqua" w:hAnsi="Book Antiqua" w:cs="Book Antiqua"/>
          <w:color w:val="000000" w:themeColor="text1"/>
        </w:rPr>
        <w:t>d</w:t>
      </w:r>
      <w:r w:rsidRPr="005E512C">
        <w:rPr>
          <w:rFonts w:ascii="Book Antiqua" w:eastAsia="Book Antiqua" w:hAnsi="Book Antiqua" w:cs="Book Antiqua"/>
          <w:color w:val="000000" w:themeColor="text1"/>
        </w:rPr>
        <w:t xml:space="preserve">, and all of them were in the severe cholangitis group; therefore, </w:t>
      </w:r>
      <w:r w:rsidR="00E00138" w:rsidRPr="005E512C">
        <w:rPr>
          <w:rFonts w:ascii="Book Antiqua" w:eastAsia="Book Antiqua" w:hAnsi="Book Antiqua" w:cs="Book Antiqua"/>
          <w:color w:val="000000" w:themeColor="text1"/>
        </w:rPr>
        <w:t xml:space="preserve">statistical analysis </w:t>
      </w:r>
      <w:r w:rsidR="00E00138">
        <w:rPr>
          <w:rFonts w:ascii="Book Antiqua" w:eastAsia="Book Antiqua" w:hAnsi="Book Antiqua" w:cs="Book Antiqua"/>
          <w:color w:val="000000" w:themeColor="text1"/>
        </w:rPr>
        <w:t xml:space="preserve">of </w:t>
      </w:r>
      <w:r w:rsidRPr="005E512C">
        <w:rPr>
          <w:rFonts w:ascii="Book Antiqua" w:eastAsia="Book Antiqua" w:hAnsi="Book Antiqua" w:cs="Book Antiqua"/>
          <w:color w:val="000000" w:themeColor="text1"/>
        </w:rPr>
        <w:t>prese</w:t>
      </w:r>
      <w:r w:rsidRPr="005E512C">
        <w:rPr>
          <w:rFonts w:ascii="Book Antiqua" w:eastAsia="Book Antiqua" w:hAnsi="Book Antiqua" w:cs="Book Antiqua"/>
          <w:color w:val="000000" w:themeColor="text1"/>
        </w:rPr>
        <w:t xml:space="preserve">psin for the </w:t>
      </w:r>
      <w:r w:rsidRPr="005E512C">
        <w:rPr>
          <w:rFonts w:ascii="Book Antiqua" w:eastAsia="Book Antiqua" w:hAnsi="Book Antiqua" w:cs="Book Antiqua"/>
          <w:color w:val="000000" w:themeColor="text1"/>
        </w:rPr>
        <w:lastRenderedPageBreak/>
        <w:t>prognostic ass</w:t>
      </w:r>
      <w:r w:rsidRPr="005E512C">
        <w:rPr>
          <w:rFonts w:ascii="Book Antiqua" w:eastAsia="Book Antiqua" w:hAnsi="Book Antiqua" w:cs="Book Antiqua"/>
          <w:color w:val="000000" w:themeColor="text1"/>
        </w:rPr>
        <w:t>essment</w:t>
      </w:r>
      <w:r w:rsidR="00E00138">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was not condu</w:t>
      </w:r>
      <w:r w:rsidRPr="005E512C">
        <w:rPr>
          <w:rFonts w:ascii="Book Antiqua" w:eastAsia="Book Antiqua" w:hAnsi="Book Antiqua" w:cs="Book Antiqua"/>
          <w:color w:val="000000" w:themeColor="text1"/>
        </w:rPr>
        <w:t>cted between the survival and death groups. A dataset with a larger number of deaths may help understand the importance of measuring presepsin levels on admission as it may help clinicians determine the risk of death in patients with cholangitis early.</w:t>
      </w:r>
    </w:p>
    <w:p w14:paraId="395A9C59" w14:textId="1FA6BCFA" w:rsidR="003747E6" w:rsidRPr="005E512C" w:rsidRDefault="003C1887" w:rsidP="005E512C">
      <w:pPr>
        <w:adjustRightInd w:val="0"/>
        <w:snapToGrid w:val="0"/>
        <w:spacing w:line="360" w:lineRule="auto"/>
        <w:ind w:firstLineChars="100" w:firstLine="240"/>
        <w:jc w:val="both"/>
        <w:rPr>
          <w:rFonts w:ascii="Book Antiqua" w:hAnsi="Book Antiqua"/>
          <w:color w:val="000000" w:themeColor="text1"/>
        </w:rPr>
      </w:pPr>
      <w:r w:rsidRPr="005E512C">
        <w:rPr>
          <w:rFonts w:ascii="Book Antiqua" w:eastAsia="Book Antiqua" w:hAnsi="Book Antiqua" w:cs="Book Antiqua"/>
          <w:color w:val="000000" w:themeColor="text1"/>
        </w:rPr>
        <w:t>Blood cultures are the gold standard for diagnosing bloodstream infections, especially when a serious infection is suspected; however, blood cultures are often negative, and the results usually arrive after several days</w:t>
      </w:r>
      <w:r w:rsidRPr="005E512C">
        <w:rPr>
          <w:rFonts w:ascii="Book Antiqua" w:eastAsia="Book Antiqua" w:hAnsi="Book Antiqua" w:cs="Book Antiqua"/>
          <w:color w:val="000000" w:themeColor="text1"/>
          <w:vertAlign w:val="superscript"/>
        </w:rPr>
        <w:t>[31]</w:t>
      </w:r>
      <w:r w:rsidRPr="005E512C">
        <w:rPr>
          <w:rFonts w:ascii="Book Antiqua" w:eastAsia="Book Antiqua" w:hAnsi="Book Antiqua" w:cs="Book Antiqua"/>
          <w:color w:val="000000" w:themeColor="text1"/>
        </w:rPr>
        <w:t>. In this study, presepsin was as effective as PCT in predicting positive bacterial cultures. Presepsin levels can be determined much sooner than blood culture, facilitating early risk stratification and treatment to some extent.</w:t>
      </w:r>
    </w:p>
    <w:p w14:paraId="3B124557" w14:textId="3D219C51" w:rsidR="00A77B3E" w:rsidRPr="005E512C" w:rsidRDefault="003C1887" w:rsidP="005E512C">
      <w:pPr>
        <w:adjustRightInd w:val="0"/>
        <w:snapToGrid w:val="0"/>
        <w:spacing w:line="360" w:lineRule="auto"/>
        <w:ind w:firstLineChars="100" w:firstLine="240"/>
        <w:jc w:val="both"/>
        <w:rPr>
          <w:rFonts w:ascii="Book Antiqua" w:hAnsi="Book Antiqua"/>
          <w:color w:val="000000" w:themeColor="text1"/>
        </w:rPr>
      </w:pPr>
      <w:r w:rsidRPr="005E512C">
        <w:rPr>
          <w:rFonts w:ascii="Book Antiqua" w:eastAsia="Book Antiqua" w:hAnsi="Book Antiqua" w:cs="Book Antiqua"/>
          <w:color w:val="000000" w:themeColor="text1"/>
        </w:rPr>
        <w:t>Some limitations should be recognized when interpreting the findings of this study. Fir</w:t>
      </w:r>
      <w:r w:rsidRPr="005E512C">
        <w:rPr>
          <w:rFonts w:ascii="Book Antiqua" w:eastAsia="Book Antiqua" w:hAnsi="Book Antiqua" w:cs="Book Antiqua"/>
          <w:color w:val="000000" w:themeColor="text1"/>
        </w:rPr>
        <w:t xml:space="preserve">st, the study was performed at a single hospital using a relatively small sample size; furthermore, there could be some bias in terms of the enrolled patients. Thus, multicenter and large-sample studies </w:t>
      </w:r>
      <w:r w:rsidR="00E00138">
        <w:rPr>
          <w:rFonts w:ascii="Book Antiqua" w:eastAsia="Book Antiqua" w:hAnsi="Book Antiqua" w:cs="Book Antiqua"/>
          <w:color w:val="000000" w:themeColor="text1"/>
        </w:rPr>
        <w:t>should</w:t>
      </w:r>
      <w:r w:rsidR="00E00138"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be conducted in the future. Second, the etiology and pathogens that were not statistically analyzed could interfere with the presepsin levels in our patients. Third, the duration of </w:t>
      </w:r>
      <w:r w:rsidRPr="005E512C">
        <w:rPr>
          <w:rFonts w:ascii="Book Antiqua" w:eastAsia="Book Antiqua" w:hAnsi="Book Antiqua" w:cs="Book Antiqua"/>
          <w:color w:val="000000" w:themeColor="text1"/>
        </w:rPr>
        <w:t>illness and the effect of previous treatment/medications were not considered when patients were enrolled, which could have affected the biomarkers.</w:t>
      </w:r>
    </w:p>
    <w:p w14:paraId="46FAF45F"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247DAB38"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aps/>
          <w:color w:val="000000" w:themeColor="text1"/>
          <w:u w:val="single"/>
        </w:rPr>
        <w:t>CONCLUSION</w:t>
      </w:r>
    </w:p>
    <w:p w14:paraId="041E3A7F" w14:textId="4D769449"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In conclusion, presepsin levels are correlated with TG18 grade and SOFA scores in patients with acute cholangitis. Presepsin can help predict the positive blood culture, and is also superior to WBC cou</w:t>
      </w:r>
      <w:r w:rsidRPr="005E512C">
        <w:rPr>
          <w:rFonts w:ascii="Book Antiqua" w:eastAsia="Book Antiqua" w:hAnsi="Book Antiqua" w:cs="Book Antiqua"/>
          <w:color w:val="000000" w:themeColor="text1"/>
        </w:rPr>
        <w:t>nt, CRP, P</w:t>
      </w:r>
      <w:r w:rsidRPr="005E512C">
        <w:rPr>
          <w:rFonts w:ascii="Book Antiqua" w:eastAsia="Book Antiqua" w:hAnsi="Book Antiqua" w:cs="Book Antiqua"/>
          <w:color w:val="000000" w:themeColor="text1"/>
        </w:rPr>
        <w:t>CT, and T-Bil in the risk stratification of acute cholangitis. Timely determination of presepsin levels can help clinicians identify the severity of patients with acute cholangitis early.</w:t>
      </w:r>
    </w:p>
    <w:p w14:paraId="16B6C1A0"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7C2EE665"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aps/>
          <w:color w:val="000000" w:themeColor="text1"/>
          <w:u w:val="single"/>
        </w:rPr>
        <w:t>ARTICLE HIGHLIGHTS</w:t>
      </w:r>
    </w:p>
    <w:p w14:paraId="2E49B7A3"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i/>
          <w:color w:val="000000" w:themeColor="text1"/>
        </w:rPr>
        <w:t>Research background</w:t>
      </w:r>
    </w:p>
    <w:p w14:paraId="5D16C74C" w14:textId="254FF128"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lastRenderedPageBreak/>
        <w:t>Acute cholang</w:t>
      </w:r>
      <w:r w:rsidRPr="005E512C">
        <w:rPr>
          <w:rFonts w:ascii="Book Antiqua" w:eastAsia="Book Antiqua" w:hAnsi="Book Antiqua" w:cs="Book Antiqua"/>
          <w:color w:val="000000" w:themeColor="text1"/>
        </w:rPr>
        <w:t xml:space="preserve">itis is an acute inflammatory reaction caused by bacterial infection </w:t>
      </w:r>
      <w:r w:rsidR="00E00138">
        <w:rPr>
          <w:rFonts w:ascii="Book Antiqua" w:eastAsia="Book Antiqua" w:hAnsi="Book Antiqua" w:cs="Book Antiqua"/>
          <w:color w:val="000000" w:themeColor="text1"/>
        </w:rPr>
        <w:t>in</w:t>
      </w:r>
      <w:r w:rsidR="00E00138" w:rsidRPr="005E512C">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the biliary tract. It progresses rapidly and can develop into sepsis or septic shock. The grade of cholangitis can guide clinical treatment and predict the prognosis of patients. Acute cholangitis is currently graded based on age, temperature, </w:t>
      </w:r>
      <w:r w:rsidR="002F0828" w:rsidRPr="005E512C">
        <w:rPr>
          <w:rFonts w:ascii="Book Antiqua" w:eastAsia="Book Antiqua" w:hAnsi="Book Antiqua" w:cs="Book Antiqua"/>
          <w:color w:val="000000" w:themeColor="text1"/>
        </w:rPr>
        <w:t>white blood cell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WBC</w:t>
      </w:r>
      <w:r w:rsidR="002F0828" w:rsidRPr="005E512C">
        <w:rPr>
          <w:rFonts w:ascii="Book Antiqua" w:eastAsia="Book Antiqua" w:hAnsi="Book Antiqua" w:cs="Book Antiqua"/>
          <w:color w:val="000000" w:themeColor="text1"/>
        </w:rPr>
        <w:t>)</w:t>
      </w:r>
      <w:r w:rsidRPr="005E512C">
        <w:rPr>
          <w:rFonts w:ascii="Book Antiqua" w:eastAsia="Book Antiqua" w:hAnsi="Book Antiqua" w:cs="Book Antiqua"/>
          <w:color w:val="000000" w:themeColor="text1"/>
        </w:rPr>
        <w:t xml:space="preserve"> count, total bilirubin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T-Bil) levels, hypoalbuminemia, and </w:t>
      </w:r>
      <w:r w:rsidR="00E00138">
        <w:rPr>
          <w:rFonts w:ascii="Book Antiqua" w:eastAsia="Book Antiqua" w:hAnsi="Book Antiqua" w:cs="Book Antiqua"/>
          <w:color w:val="000000" w:themeColor="text1"/>
        </w:rPr>
        <w:t>o</w:t>
      </w:r>
      <w:r w:rsidR="00E00138" w:rsidRPr="005E512C">
        <w:rPr>
          <w:rFonts w:ascii="Book Antiqua" w:eastAsia="Book Antiqua" w:hAnsi="Book Antiqua" w:cs="Book Antiqua"/>
          <w:color w:val="000000" w:themeColor="text1"/>
        </w:rPr>
        <w:t>rgan</w:t>
      </w:r>
      <w:r w:rsidRPr="005E512C">
        <w:rPr>
          <w:rFonts w:ascii="Book Antiqua" w:eastAsia="Book Antiqua" w:hAnsi="Book Antiqua" w:cs="Book Antiqua"/>
          <w:color w:val="000000" w:themeColor="text1"/>
        </w:rPr>
        <w:t>/system dys</w:t>
      </w:r>
      <w:r w:rsidRPr="005E512C">
        <w:rPr>
          <w:rFonts w:ascii="Book Antiqua" w:eastAsia="Book Antiqua" w:hAnsi="Book Antiqua" w:cs="Book Antiqua"/>
          <w:color w:val="000000" w:themeColor="text1"/>
        </w:rPr>
        <w:t>function.</w:t>
      </w:r>
    </w:p>
    <w:p w14:paraId="4DE89BB4"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6FAA3436"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i/>
          <w:color w:val="000000" w:themeColor="text1"/>
        </w:rPr>
        <w:t>Research motivation</w:t>
      </w:r>
    </w:p>
    <w:p w14:paraId="6FA1E411" w14:textId="75D5A943"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Appropriate use of biliary drainage and antibiotics has observably reduced the mortality rate for acute cholangitis. However, the Tokyo Guidelines 2018</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TG18): Diagnostic Criteria and Severity Grading for Acute Cholangitis is a comprehensive criterion and is cumbersome to use in the emergency department. </w:t>
      </w:r>
    </w:p>
    <w:p w14:paraId="30B7421C"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016FEF3D"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i/>
          <w:color w:val="000000" w:themeColor="text1"/>
        </w:rPr>
        <w:t>Research objectives</w:t>
      </w:r>
    </w:p>
    <w:p w14:paraId="3E399A14"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Presepsin is a promising biomarker for the early diagnosis, severity, and prognosis of acute bacterial infections. To simplify grading, we wanted to evaluate the grading value of presepsin in patients with acute cholangitis. </w:t>
      </w:r>
    </w:p>
    <w:p w14:paraId="42D8BD78"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0FE97F7C"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i/>
          <w:color w:val="000000" w:themeColor="text1"/>
        </w:rPr>
        <w:t>Research methods</w:t>
      </w:r>
    </w:p>
    <w:p w14:paraId="0BCC7830" w14:textId="2792A4A4"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Clinical observational trials were conducted in Beijing</w:t>
      </w:r>
      <w:r w:rsidRPr="005E512C">
        <w:rPr>
          <w:rFonts w:ascii="Book Antiqua" w:eastAsia="Book Antiqua" w:hAnsi="Book Antiqua" w:cs="Book Antiqua"/>
          <w:color w:val="000000" w:themeColor="text1"/>
        </w:rPr>
        <w:t xml:space="preserve"> Friendship Hospital from 2019 to 2020. </w:t>
      </w:r>
      <w:r w:rsidR="00E00138">
        <w:rPr>
          <w:rFonts w:ascii="Book Antiqua" w:eastAsia="Book Antiqua" w:hAnsi="Book Antiqua" w:cs="Book Antiqua"/>
          <w:color w:val="000000" w:themeColor="text1"/>
        </w:rPr>
        <w:t>W</w:t>
      </w:r>
      <w:r w:rsidR="00E00138" w:rsidRPr="005E512C">
        <w:rPr>
          <w:rFonts w:ascii="Book Antiqua" w:eastAsia="Book Antiqua" w:hAnsi="Book Antiqua" w:cs="Book Antiqua"/>
          <w:color w:val="000000" w:themeColor="text1"/>
        </w:rPr>
        <w:t>hole blood w</w:t>
      </w:r>
      <w:r w:rsidR="00E00138">
        <w:rPr>
          <w:rFonts w:ascii="Book Antiqua" w:eastAsia="Book Antiqua" w:hAnsi="Book Antiqua" w:cs="Book Antiqua"/>
          <w:color w:val="000000" w:themeColor="text1"/>
        </w:rPr>
        <w:t>as</w:t>
      </w:r>
      <w:r w:rsidR="00E00138" w:rsidRPr="005E512C">
        <w:rPr>
          <w:rFonts w:ascii="Book Antiqua" w:eastAsia="Book Antiqua" w:hAnsi="Book Antiqua" w:cs="Book Antiqua"/>
          <w:color w:val="000000" w:themeColor="text1"/>
        </w:rPr>
        <w:t xml:space="preserve"> collected </w:t>
      </w:r>
      <w:r w:rsidR="00E00138">
        <w:rPr>
          <w:rFonts w:ascii="Book Antiqua" w:eastAsia="Book Antiqua" w:hAnsi="Book Antiqua" w:cs="Book Antiqua"/>
          <w:color w:val="000000" w:themeColor="text1"/>
        </w:rPr>
        <w:t xml:space="preserve">from </w:t>
      </w:r>
      <w:r w:rsidRPr="005E512C">
        <w:rPr>
          <w:rFonts w:ascii="Book Antiqua" w:eastAsia="Book Antiqua" w:hAnsi="Book Antiqua" w:cs="Book Antiqua"/>
          <w:color w:val="000000" w:themeColor="text1"/>
        </w:rPr>
        <w:t xml:space="preserve">patients with acute cholangitis for </w:t>
      </w:r>
      <w:r w:rsidR="00E00138">
        <w:rPr>
          <w:rFonts w:ascii="Book Antiqua" w:eastAsia="Book Antiqua" w:hAnsi="Book Antiqua" w:cs="Book Antiqua"/>
          <w:color w:val="000000" w:themeColor="text1"/>
        </w:rPr>
        <w:t xml:space="preserve">measuring </w:t>
      </w:r>
      <w:r w:rsidRPr="005E512C">
        <w:rPr>
          <w:rFonts w:ascii="Book Antiqua" w:eastAsia="Book Antiqua" w:hAnsi="Book Antiqua" w:cs="Book Antiqua"/>
          <w:color w:val="000000" w:themeColor="text1"/>
        </w:rPr>
        <w:t>WBC count, C-reactive protein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CRP), procalcitonin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PCT), presepsin, T-Bil and other clinical biochemical indices. Presepsin levels were measured using the PATHFAST analyzer.</w:t>
      </w:r>
    </w:p>
    <w:p w14:paraId="3E2B8F7F"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282CCE9C"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i/>
          <w:color w:val="000000" w:themeColor="text1"/>
        </w:rPr>
        <w:t>Research results</w:t>
      </w:r>
    </w:p>
    <w:p w14:paraId="59FEF77C" w14:textId="1A13B5C4" w:rsidR="00A77B3E" w:rsidRPr="005E512C" w:rsidRDefault="00E00138" w:rsidP="005E512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 t</w:t>
      </w:r>
      <w:r w:rsidRPr="005E512C">
        <w:rPr>
          <w:rFonts w:ascii="Book Antiqua" w:eastAsia="Book Antiqua" w:hAnsi="Book Antiqua" w:cs="Book Antiqua"/>
          <w:color w:val="000000" w:themeColor="text1"/>
        </w:rPr>
        <w:t>otal</w:t>
      </w:r>
      <w:r>
        <w:rPr>
          <w:rFonts w:ascii="Book Antiqua" w:eastAsia="Book Antiqua" w:hAnsi="Book Antiqua" w:cs="Book Antiqua"/>
          <w:color w:val="000000" w:themeColor="text1"/>
        </w:rPr>
        <w:t xml:space="preserve"> of</w:t>
      </w:r>
      <w:r w:rsidRPr="005E512C">
        <w:rPr>
          <w:rFonts w:ascii="Book Antiqua" w:eastAsia="Book Antiqua" w:hAnsi="Book Antiqua" w:cs="Book Antiqua"/>
          <w:color w:val="000000" w:themeColor="text1"/>
        </w:rPr>
        <w:t xml:space="preserve"> </w:t>
      </w:r>
      <w:r w:rsidR="003C1887" w:rsidRPr="005E512C">
        <w:rPr>
          <w:rFonts w:ascii="Book Antiqua" w:eastAsia="Book Antiqua" w:hAnsi="Book Antiqua" w:cs="Book Antiqua"/>
          <w:color w:val="000000" w:themeColor="text1"/>
        </w:rPr>
        <w:t>336 patients were divided into mild, moderate, and severe group</w:t>
      </w:r>
      <w:r w:rsidR="003C1887" w:rsidRPr="005E512C">
        <w:rPr>
          <w:rFonts w:ascii="Book Antiqua" w:eastAsia="Book Antiqua" w:hAnsi="Book Antiqua" w:cs="Book Antiqua"/>
          <w:color w:val="000000" w:themeColor="text1"/>
        </w:rPr>
        <w:t xml:space="preserve">s based on the TG18. The </w:t>
      </w:r>
      <w:r w:rsidR="002F0828" w:rsidRPr="005E512C">
        <w:rPr>
          <w:rFonts w:ascii="Book Antiqua" w:eastAsia="Book Antiqua" w:hAnsi="Book Antiqua" w:cs="Book Antiqua"/>
          <w:color w:val="000000" w:themeColor="text1"/>
        </w:rPr>
        <w:t>area under the receiver operating characteristic curve</w:t>
      </w:r>
      <w:r w:rsidR="006F7889">
        <w:rPr>
          <w:rFonts w:ascii="Book Antiqua" w:eastAsia="Book Antiqua" w:hAnsi="Book Antiqua" w:cs="Book Antiqua"/>
          <w:color w:val="000000" w:themeColor="text1"/>
        </w:rPr>
        <w:t xml:space="preserve"> (</w:t>
      </w:r>
      <w:r w:rsidR="003C1887" w:rsidRPr="005E512C">
        <w:rPr>
          <w:rFonts w:ascii="Book Antiqua" w:eastAsia="Book Antiqua" w:hAnsi="Book Antiqua" w:cs="Book Antiqua"/>
          <w:color w:val="000000" w:themeColor="text1"/>
        </w:rPr>
        <w:t>AUC</w:t>
      </w:r>
      <w:r w:rsidR="002F0828" w:rsidRPr="005E512C">
        <w:rPr>
          <w:rFonts w:ascii="Book Antiqua" w:eastAsia="Book Antiqua" w:hAnsi="Book Antiqua" w:cs="Book Antiqua"/>
          <w:color w:val="000000" w:themeColor="text1"/>
        </w:rPr>
        <w:t>)</w:t>
      </w:r>
      <w:r w:rsidR="003C1887" w:rsidRPr="005E512C">
        <w:rPr>
          <w:rFonts w:ascii="Book Antiqua" w:eastAsia="Book Antiqua" w:hAnsi="Book Antiqua" w:cs="Book Antiqua"/>
          <w:color w:val="000000" w:themeColor="text1"/>
        </w:rPr>
        <w:t xml:space="preserve"> of presepsin in predicting moderate acute cholangitis was 0.728, prominently higher than that of CRP</w:t>
      </w:r>
      <w:r w:rsidR="002F0828" w:rsidRPr="005E512C">
        <w:rPr>
          <w:rFonts w:ascii="Book Antiqua" w:eastAsia="Book Antiqua" w:hAnsi="Book Antiqua" w:cs="Book Antiqua"/>
          <w:color w:val="000000" w:themeColor="text1"/>
        </w:rPr>
        <w:t xml:space="preserve"> </w:t>
      </w:r>
      <w:r w:rsidR="003C1887" w:rsidRPr="005E512C">
        <w:rPr>
          <w:rFonts w:ascii="Book Antiqua" w:eastAsia="Book Antiqua" w:hAnsi="Book Antiqua" w:cs="Book Antiqua"/>
          <w:color w:val="000000" w:themeColor="text1"/>
        </w:rPr>
        <w:t xml:space="preserve">and PCT. The AUC of presepsin in predicting severe acute cholangitis was 0.715, which was higher than that of WBC </w:t>
      </w:r>
      <w:r w:rsidR="003C1887" w:rsidRPr="005E512C">
        <w:rPr>
          <w:rFonts w:ascii="Book Antiqua" w:eastAsia="Book Antiqua" w:hAnsi="Book Antiqua" w:cs="Book Antiqua"/>
          <w:color w:val="000000" w:themeColor="text1"/>
        </w:rPr>
        <w:t>count, CRP, PCT, and T-Bil.</w:t>
      </w:r>
      <w:r w:rsidR="002F0828" w:rsidRPr="005E512C">
        <w:rPr>
          <w:rFonts w:ascii="Book Antiqua" w:eastAsia="Book Antiqua" w:hAnsi="Book Antiqua" w:cs="Book Antiqua"/>
          <w:color w:val="000000" w:themeColor="text1"/>
        </w:rPr>
        <w:t xml:space="preserve"> </w:t>
      </w:r>
      <w:r w:rsidR="003C1887" w:rsidRPr="005E512C">
        <w:rPr>
          <w:rFonts w:ascii="Book Antiqua" w:eastAsia="Book Antiqua" w:hAnsi="Book Antiqua" w:cs="Book Antiqua"/>
          <w:color w:val="000000" w:themeColor="text1"/>
        </w:rPr>
        <w:t>The WBC count, P</w:t>
      </w:r>
      <w:r w:rsidR="003C1887" w:rsidRPr="005E512C">
        <w:rPr>
          <w:rFonts w:ascii="Book Antiqua" w:eastAsia="Book Antiqua" w:hAnsi="Book Antiqua" w:cs="Book Antiqua"/>
          <w:color w:val="000000" w:themeColor="text1"/>
        </w:rPr>
        <w:t xml:space="preserve">CT, and </w:t>
      </w:r>
      <w:r w:rsidR="003C1887" w:rsidRPr="005E512C">
        <w:rPr>
          <w:rFonts w:ascii="Book Antiqua" w:eastAsia="Book Antiqua" w:hAnsi="Book Antiqua" w:cs="Book Antiqua"/>
          <w:color w:val="000000" w:themeColor="text1"/>
        </w:rPr>
        <w:lastRenderedPageBreak/>
        <w:t>presepsin levels in the positive blood culture group were greater than those in the negative blood culture group, and presepsin had the highest AUC.</w:t>
      </w:r>
    </w:p>
    <w:p w14:paraId="25692E75"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4F28133F"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i/>
          <w:color w:val="000000" w:themeColor="text1"/>
        </w:rPr>
        <w:t>Research conclusions</w:t>
      </w:r>
    </w:p>
    <w:p w14:paraId="4F77426F" w14:textId="0130EA03"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Presepsin can help predict the positive blood culture, and is also </w:t>
      </w:r>
      <w:r w:rsidRPr="005E512C">
        <w:rPr>
          <w:rFonts w:ascii="Book Antiqua" w:eastAsia="Book Antiqua" w:hAnsi="Book Antiqua" w:cs="Book Antiqua"/>
          <w:color w:val="000000" w:themeColor="text1"/>
        </w:rPr>
        <w:t xml:space="preserve">superior to WBC count, </w:t>
      </w:r>
      <w:r w:rsidRPr="005E512C">
        <w:rPr>
          <w:rFonts w:ascii="Book Antiqua" w:eastAsia="Book Antiqua" w:hAnsi="Book Antiqua" w:cs="Book Antiqua"/>
          <w:color w:val="000000" w:themeColor="text1"/>
        </w:rPr>
        <w:t>CRP, PCT, and T-Bil in the risk stratification of acute cholangitis.</w:t>
      </w:r>
    </w:p>
    <w:p w14:paraId="2D3C8167"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053D2789"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i/>
          <w:color w:val="000000" w:themeColor="text1"/>
        </w:rPr>
        <w:t>Research perspectives</w:t>
      </w:r>
    </w:p>
    <w:p w14:paraId="16226174"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Timely determination of presepsin levels can help clinicians identify the severity of patients with acute cholangitis early. Presepsin may be an ideal biomarker for simplified grading of acute cholangitis.</w:t>
      </w:r>
    </w:p>
    <w:p w14:paraId="400158D6"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0EB9DE57"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aps/>
          <w:color w:val="000000" w:themeColor="text1"/>
          <w:u w:val="single"/>
        </w:rPr>
        <w:t>ACKNOWLEDGEMENTS</w:t>
      </w:r>
    </w:p>
    <w:p w14:paraId="0B9365DB"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We deeply appreciate the emergency staff, gastroenterologists, hepatobiliary surgeons, radiologists, sonographers, and interventional physicians for their assistance, as well as Na Zeng for biostatistical service. Authors are responsible for obtaining written permission to use any copyrighted text and illustrations.</w:t>
      </w:r>
    </w:p>
    <w:p w14:paraId="30B74984"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028C2752"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REFERENCES</w:t>
      </w:r>
    </w:p>
    <w:p w14:paraId="55CD2A83" w14:textId="037015BF" w:rsidR="00A77B3E" w:rsidRPr="005E512C" w:rsidRDefault="003C1887" w:rsidP="005E512C">
      <w:pPr>
        <w:adjustRightInd w:val="0"/>
        <w:snapToGrid w:val="0"/>
        <w:spacing w:line="360" w:lineRule="auto"/>
        <w:jc w:val="both"/>
        <w:rPr>
          <w:rFonts w:ascii="Book Antiqua" w:hAnsi="Book Antiqua"/>
          <w:color w:val="000000" w:themeColor="text1"/>
        </w:rPr>
      </w:pPr>
      <w:bookmarkStart w:id="3" w:name="OLE_LINK4"/>
      <w:r w:rsidRPr="005E512C">
        <w:rPr>
          <w:rFonts w:ascii="Book Antiqua" w:eastAsia="Book Antiqua" w:hAnsi="Book Antiqua" w:cs="Book Antiqua"/>
          <w:color w:val="000000" w:themeColor="text1"/>
        </w:rPr>
        <w:t xml:space="preserve">1 </w:t>
      </w:r>
      <w:r w:rsidRPr="005E512C">
        <w:rPr>
          <w:rFonts w:ascii="Book Antiqua" w:eastAsia="Book Antiqua" w:hAnsi="Book Antiqua" w:cs="Book Antiqua"/>
          <w:b/>
          <w:bCs/>
          <w:color w:val="000000" w:themeColor="text1"/>
        </w:rPr>
        <w:t>Kimura Y</w:t>
      </w:r>
      <w:r w:rsidRPr="005E512C">
        <w:rPr>
          <w:rFonts w:ascii="Book Antiqua" w:eastAsia="Book Antiqua" w:hAnsi="Book Antiqua" w:cs="Book Antiqua"/>
          <w:color w:val="000000" w:themeColor="text1"/>
        </w:rPr>
        <w:t xml:space="preserve">, Takada T, Kawarada Y, Nimura Y, Hirata K, Sekimoto M, Yoshida M, Mayumi T, Wada K, Miura F, Yasuda H, Yamashita Y, Nagino M, Hirota M, Tanaka A, Tsuyuguchi T, Strasberg SM, Gadacz TR. Definitions, pathophysiology, and epidemiology of acute cholangitis and cholecystitis: Tokyo Guidelines. </w:t>
      </w:r>
      <w:r w:rsidRPr="005E512C">
        <w:rPr>
          <w:rFonts w:ascii="Book Antiqua" w:eastAsia="Book Antiqua" w:hAnsi="Book Antiqua" w:cs="Book Antiqua"/>
          <w:i/>
          <w:iCs/>
          <w:color w:val="000000" w:themeColor="text1"/>
        </w:rPr>
        <w:t>J Hepatobiliary Pancreat Surg</w:t>
      </w:r>
      <w:r w:rsidRPr="005E512C">
        <w:rPr>
          <w:rFonts w:ascii="Book Antiqua" w:eastAsia="Book Antiqua" w:hAnsi="Book Antiqua" w:cs="Book Antiqua"/>
          <w:color w:val="000000" w:themeColor="text1"/>
        </w:rPr>
        <w:t xml:space="preserve"> 2007; </w:t>
      </w:r>
      <w:r w:rsidRPr="005E512C">
        <w:rPr>
          <w:rFonts w:ascii="Book Antiqua" w:eastAsia="Book Antiqua" w:hAnsi="Book Antiqua" w:cs="Book Antiqua"/>
          <w:b/>
          <w:bCs/>
          <w:color w:val="000000" w:themeColor="text1"/>
        </w:rPr>
        <w:t>14</w:t>
      </w:r>
      <w:r w:rsidRPr="005E512C">
        <w:rPr>
          <w:rFonts w:ascii="Book Antiqua" w:eastAsia="Book Antiqua" w:hAnsi="Book Antiqua" w:cs="Book Antiqua"/>
          <w:color w:val="000000" w:themeColor="text1"/>
        </w:rPr>
        <w:t>: 15-26 [PMID: 17252293 DOI: 10.1007/s00534-006-1152-y]</w:t>
      </w:r>
    </w:p>
    <w:p w14:paraId="3AE4C680"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 </w:t>
      </w:r>
      <w:r w:rsidRPr="005E512C">
        <w:rPr>
          <w:rFonts w:ascii="Book Antiqua" w:eastAsia="Book Antiqua" w:hAnsi="Book Antiqua" w:cs="Book Antiqua"/>
          <w:b/>
          <w:bCs/>
          <w:color w:val="000000" w:themeColor="text1"/>
        </w:rPr>
        <w:t>Kimmings AN</w:t>
      </w:r>
      <w:r w:rsidRPr="005E512C">
        <w:rPr>
          <w:rFonts w:ascii="Book Antiqua" w:eastAsia="Book Antiqua" w:hAnsi="Book Antiqua" w:cs="Book Antiqua"/>
          <w:color w:val="000000" w:themeColor="text1"/>
        </w:rPr>
        <w:t xml:space="preserve">, van Deventer SJ, Rauws EAJ, Huibregtse K, Gouma DJ. Systemic inflammatory response in acute cholangitis and after subsequent treatment. </w:t>
      </w:r>
      <w:r w:rsidRPr="005E512C">
        <w:rPr>
          <w:rFonts w:ascii="Book Antiqua" w:eastAsia="Book Antiqua" w:hAnsi="Book Antiqua" w:cs="Book Antiqua"/>
          <w:i/>
          <w:iCs/>
          <w:color w:val="000000" w:themeColor="text1"/>
        </w:rPr>
        <w:t>Eur J Surg</w:t>
      </w:r>
      <w:r w:rsidRPr="005E512C">
        <w:rPr>
          <w:rFonts w:ascii="Book Antiqua" w:eastAsia="Book Antiqua" w:hAnsi="Book Antiqua" w:cs="Book Antiqua"/>
          <w:color w:val="000000" w:themeColor="text1"/>
        </w:rPr>
        <w:t xml:space="preserve"> 2000; </w:t>
      </w:r>
      <w:r w:rsidRPr="005E512C">
        <w:rPr>
          <w:rFonts w:ascii="Book Antiqua" w:eastAsia="Book Antiqua" w:hAnsi="Book Antiqua" w:cs="Book Antiqua"/>
          <w:b/>
          <w:bCs/>
          <w:color w:val="000000" w:themeColor="text1"/>
        </w:rPr>
        <w:t>166</w:t>
      </w:r>
      <w:r w:rsidRPr="005E512C">
        <w:rPr>
          <w:rFonts w:ascii="Book Antiqua" w:eastAsia="Book Antiqua" w:hAnsi="Book Antiqua" w:cs="Book Antiqua"/>
          <w:color w:val="000000" w:themeColor="text1"/>
        </w:rPr>
        <w:t>: 700-705 [PMID: 11034466 DOI: 10.1080/110241500750008457]</w:t>
      </w:r>
    </w:p>
    <w:p w14:paraId="759FDDFC" w14:textId="7C2B7A1D"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lastRenderedPageBreak/>
        <w:t xml:space="preserve">3 </w:t>
      </w:r>
      <w:r w:rsidRPr="005E512C">
        <w:rPr>
          <w:rFonts w:ascii="Book Antiqua" w:eastAsia="Book Antiqua" w:hAnsi="Book Antiqua" w:cs="Book Antiqua"/>
          <w:b/>
          <w:bCs/>
          <w:color w:val="000000" w:themeColor="text1"/>
        </w:rPr>
        <w:t>Welch JP</w:t>
      </w:r>
      <w:r w:rsidRPr="005E512C">
        <w:rPr>
          <w:rFonts w:ascii="Book Antiqua" w:eastAsia="Book Antiqua" w:hAnsi="Book Antiqua" w:cs="Book Antiqua"/>
          <w:color w:val="000000" w:themeColor="text1"/>
        </w:rPr>
        <w:t xml:space="preserve">, Donaldson GA. The urgency of diagnosis and surgical treatment of acute suppurative cholangitis. </w:t>
      </w:r>
      <w:r w:rsidRPr="005E512C">
        <w:rPr>
          <w:rFonts w:ascii="Book Antiqua" w:eastAsia="Book Antiqua" w:hAnsi="Book Antiqua" w:cs="Book Antiqua"/>
          <w:i/>
          <w:iCs/>
          <w:color w:val="000000" w:themeColor="text1"/>
        </w:rPr>
        <w:t>Am J Surg</w:t>
      </w:r>
      <w:r w:rsidRPr="005E512C">
        <w:rPr>
          <w:rFonts w:ascii="Book Antiqua" w:eastAsia="Book Antiqua" w:hAnsi="Book Antiqua" w:cs="Book Antiqua"/>
          <w:color w:val="000000" w:themeColor="text1"/>
        </w:rPr>
        <w:t xml:space="preserve"> 1976; </w:t>
      </w:r>
      <w:r w:rsidRPr="005E512C">
        <w:rPr>
          <w:rFonts w:ascii="Book Antiqua" w:eastAsia="Book Antiqua" w:hAnsi="Book Antiqua" w:cs="Book Antiqua"/>
          <w:b/>
          <w:bCs/>
          <w:color w:val="000000" w:themeColor="text1"/>
        </w:rPr>
        <w:t>131</w:t>
      </w:r>
      <w:r w:rsidRPr="005E512C">
        <w:rPr>
          <w:rFonts w:ascii="Book Antiqua" w:eastAsia="Book Antiqua" w:hAnsi="Book Antiqua" w:cs="Book Antiqua"/>
          <w:color w:val="000000" w:themeColor="text1"/>
        </w:rPr>
        <w:t>: 527-532 [PMID: 1275137 DOI: 10.1016/0002-9610</w:t>
      </w:r>
      <w:r w:rsidR="006F7889">
        <w:rPr>
          <w:rFonts w:ascii="Book Antiqua" w:eastAsia="Book Antiqua" w:hAnsi="Book Antiqua" w:cs="Book Antiqua"/>
          <w:color w:val="000000" w:themeColor="text1"/>
        </w:rPr>
        <w:t>(</w:t>
      </w:r>
      <w:r w:rsidRPr="005E512C">
        <w:rPr>
          <w:rFonts w:ascii="Book Antiqua" w:eastAsia="Book Antiqua" w:hAnsi="Book Antiqua" w:cs="Book Antiqua"/>
          <w:color w:val="000000" w:themeColor="text1"/>
        </w:rPr>
        <w:t>76)90003-9]</w:t>
      </w:r>
    </w:p>
    <w:p w14:paraId="11140350" w14:textId="3EE0E34B"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4 </w:t>
      </w:r>
      <w:r w:rsidR="00617CAD" w:rsidRPr="005E512C">
        <w:rPr>
          <w:rFonts w:ascii="Book Antiqua" w:hAnsi="Book Antiqua"/>
          <w:b/>
          <w:bCs/>
          <w:color w:val="000000" w:themeColor="text1"/>
        </w:rPr>
        <w:t>Kiriyama S</w:t>
      </w:r>
      <w:r w:rsidR="00617CAD" w:rsidRPr="005E512C">
        <w:rPr>
          <w:rFonts w:ascii="Book Antiqua" w:hAnsi="Book Antiqua"/>
          <w:color w:val="000000" w:themeColor="text1"/>
        </w:rPr>
        <w:t>, Kozaka K, Takada T, Strasberg SM, Pitt HA, Gabata T, Hata J, Liau KH, Miura F, Horiguchi A, Liu KH, Su CH, Wada K, Jagannath P, Itoi T, Gouma DJ, Mori Y, Mukai S, Giménez ME, Huang WS, Kim MH, Okamoto K, Belli G, Dervenis C, Chan ACW, Lau WY, Endo I, Gomi H, Yoshida M, Mayumi T, Baron TH, de Santibañes E, Teoh AYB, Hwang TL, Ker CG, Chen MF, Han HS, Yoon YS, Choi IS, Yoon DS, Higuchi R, Kitano S, Inomata M, Deziel DJ, Jonas E, Hirata K, Sumiyama Y, Inui K, Yamamoto M. Tokyo Guidelines 2018: diagnostic criteria and severity grading of acute cholangitis</w:t>
      </w:r>
      <w:r w:rsidR="006F7889">
        <w:rPr>
          <w:rFonts w:ascii="Book Antiqua" w:hAnsi="Book Antiqua"/>
          <w:color w:val="000000" w:themeColor="text1"/>
        </w:rPr>
        <w:t xml:space="preserve"> (</w:t>
      </w:r>
      <w:r w:rsidR="00617CAD" w:rsidRPr="005E512C">
        <w:rPr>
          <w:rFonts w:ascii="Book Antiqua" w:hAnsi="Book Antiqua"/>
          <w:color w:val="000000" w:themeColor="text1"/>
        </w:rPr>
        <w:t xml:space="preserve">with videos). </w:t>
      </w:r>
      <w:r w:rsidR="00617CAD" w:rsidRPr="005E512C">
        <w:rPr>
          <w:rFonts w:ascii="Book Antiqua" w:hAnsi="Book Antiqua"/>
          <w:i/>
          <w:iCs/>
          <w:color w:val="000000" w:themeColor="text1"/>
        </w:rPr>
        <w:t>J Hepatobiliary Pancreat Sci</w:t>
      </w:r>
      <w:r w:rsidR="00617CAD" w:rsidRPr="005E512C">
        <w:rPr>
          <w:rFonts w:ascii="Book Antiqua" w:hAnsi="Book Antiqua"/>
          <w:color w:val="000000" w:themeColor="text1"/>
        </w:rPr>
        <w:t xml:space="preserve"> 2018; </w:t>
      </w:r>
      <w:r w:rsidR="00617CAD" w:rsidRPr="005E512C">
        <w:rPr>
          <w:rFonts w:ascii="Book Antiqua" w:hAnsi="Book Antiqua"/>
          <w:b/>
          <w:bCs/>
          <w:color w:val="000000" w:themeColor="text1"/>
        </w:rPr>
        <w:t>25</w:t>
      </w:r>
      <w:r w:rsidR="00617CAD" w:rsidRPr="005E512C">
        <w:rPr>
          <w:rFonts w:ascii="Book Antiqua" w:hAnsi="Book Antiqua"/>
          <w:color w:val="000000" w:themeColor="text1"/>
        </w:rPr>
        <w:t>: 17-30 [PMID: 29032610 DOI: 10.1002/jhbp.512]</w:t>
      </w:r>
    </w:p>
    <w:p w14:paraId="47CFC3CB" w14:textId="31B931F8"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5 </w:t>
      </w:r>
      <w:r w:rsidRPr="005E512C">
        <w:rPr>
          <w:rFonts w:ascii="Book Antiqua" w:eastAsia="Book Antiqua" w:hAnsi="Book Antiqua" w:cs="Book Antiqua"/>
          <w:b/>
          <w:bCs/>
          <w:color w:val="000000" w:themeColor="text1"/>
        </w:rPr>
        <w:t>Lin J</w:t>
      </w:r>
      <w:r w:rsidRPr="005E512C">
        <w:rPr>
          <w:rFonts w:ascii="Book Antiqua" w:eastAsia="Book Antiqua" w:hAnsi="Book Antiqua" w:cs="Book Antiqua"/>
          <w:color w:val="000000" w:themeColor="text1"/>
        </w:rPr>
        <w:t xml:space="preserve">, Sun H, Li J, Zheng Y, Shao C, Zhang YH, Chang H. Role of Presepsin for the Assessment of Acute Cholangitis Severity. </w:t>
      </w:r>
      <w:r w:rsidRPr="005E512C">
        <w:rPr>
          <w:rFonts w:ascii="Book Antiqua" w:eastAsia="Book Antiqua" w:hAnsi="Book Antiqua" w:cs="Book Antiqua"/>
          <w:i/>
          <w:iCs/>
          <w:color w:val="000000" w:themeColor="text1"/>
        </w:rPr>
        <w:t>Clin Lab</w:t>
      </w:r>
      <w:r w:rsidRPr="005E512C">
        <w:rPr>
          <w:rFonts w:ascii="Book Antiqua" w:eastAsia="Book Antiqua" w:hAnsi="Book Antiqua" w:cs="Book Antiqua"/>
          <w:color w:val="000000" w:themeColor="text1"/>
        </w:rPr>
        <w:t xml:space="preserve"> 2016; </w:t>
      </w:r>
      <w:r w:rsidRPr="005E512C">
        <w:rPr>
          <w:rFonts w:ascii="Book Antiqua" w:eastAsia="Book Antiqua" w:hAnsi="Book Antiqua" w:cs="Book Antiqua"/>
          <w:b/>
          <w:bCs/>
          <w:color w:val="000000" w:themeColor="text1"/>
        </w:rPr>
        <w:t>62</w:t>
      </w:r>
      <w:r w:rsidRPr="005E512C">
        <w:rPr>
          <w:rFonts w:ascii="Book Antiqua" w:eastAsia="Book Antiqua" w:hAnsi="Book Antiqua" w:cs="Book Antiqua"/>
          <w:color w:val="000000" w:themeColor="text1"/>
        </w:rPr>
        <w:t xml:space="preserve">: 679-687 [PMID: 27215088 DOI: </w:t>
      </w:r>
      <w:r w:rsidR="00E7204E" w:rsidRPr="005E512C">
        <w:rPr>
          <w:rFonts w:ascii="Book Antiqua" w:eastAsia="Book Antiqua" w:hAnsi="Book Antiqua" w:cs="Book Antiqua"/>
          <w:color w:val="000000" w:themeColor="text1"/>
        </w:rPr>
        <w:t>10.7754/clin.lab.2015.150832</w:t>
      </w:r>
      <w:r w:rsidRPr="005E512C">
        <w:rPr>
          <w:rFonts w:ascii="Book Antiqua" w:eastAsia="Book Antiqua" w:hAnsi="Book Antiqua" w:cs="Book Antiqua"/>
          <w:color w:val="000000" w:themeColor="text1"/>
        </w:rPr>
        <w:t>]</w:t>
      </w:r>
    </w:p>
    <w:p w14:paraId="08971146"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6 </w:t>
      </w:r>
      <w:r w:rsidRPr="005E512C">
        <w:rPr>
          <w:rFonts w:ascii="Book Antiqua" w:eastAsia="Book Antiqua" w:hAnsi="Book Antiqua" w:cs="Book Antiqua"/>
          <w:b/>
          <w:bCs/>
          <w:color w:val="000000" w:themeColor="text1"/>
        </w:rPr>
        <w:t>Arai Y</w:t>
      </w:r>
      <w:r w:rsidRPr="005E512C">
        <w:rPr>
          <w:rFonts w:ascii="Book Antiqua" w:eastAsia="Book Antiqua" w:hAnsi="Book Antiqua" w:cs="Book Antiqua"/>
          <w:color w:val="000000" w:themeColor="text1"/>
        </w:rPr>
        <w:t xml:space="preserve">, Mizugishi K, Nonomura K, Naitoh K, Takaori-Kondo A, Yamashita K. Phagocytosis by human monocytes is required for the secretion of presepsin. </w:t>
      </w:r>
      <w:r w:rsidRPr="005E512C">
        <w:rPr>
          <w:rFonts w:ascii="Book Antiqua" w:eastAsia="Book Antiqua" w:hAnsi="Book Antiqua" w:cs="Book Antiqua"/>
          <w:i/>
          <w:iCs/>
          <w:color w:val="000000" w:themeColor="text1"/>
        </w:rPr>
        <w:t>J Infect Chemother</w:t>
      </w:r>
      <w:r w:rsidRPr="005E512C">
        <w:rPr>
          <w:rFonts w:ascii="Book Antiqua" w:eastAsia="Book Antiqua" w:hAnsi="Book Antiqua" w:cs="Book Antiqua"/>
          <w:color w:val="000000" w:themeColor="text1"/>
        </w:rPr>
        <w:t xml:space="preserve"> 2015; </w:t>
      </w:r>
      <w:r w:rsidRPr="005E512C">
        <w:rPr>
          <w:rFonts w:ascii="Book Antiqua" w:eastAsia="Book Antiqua" w:hAnsi="Book Antiqua" w:cs="Book Antiqua"/>
          <w:b/>
          <w:bCs/>
          <w:color w:val="000000" w:themeColor="text1"/>
        </w:rPr>
        <w:t>21</w:t>
      </w:r>
      <w:r w:rsidRPr="005E512C">
        <w:rPr>
          <w:rFonts w:ascii="Book Antiqua" w:eastAsia="Book Antiqua" w:hAnsi="Book Antiqua" w:cs="Book Antiqua"/>
          <w:color w:val="000000" w:themeColor="text1"/>
        </w:rPr>
        <w:t>: 564-569 [PMID: 26026662 DOI: 10.1016/j.jiac.2015.04.011]</w:t>
      </w:r>
    </w:p>
    <w:p w14:paraId="267E6BB2" w14:textId="4B18A002"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7 </w:t>
      </w:r>
      <w:r w:rsidRPr="005E512C">
        <w:rPr>
          <w:rFonts w:ascii="Book Antiqua" w:eastAsia="Book Antiqua" w:hAnsi="Book Antiqua" w:cs="Book Antiqua"/>
          <w:b/>
          <w:bCs/>
          <w:color w:val="000000" w:themeColor="text1"/>
        </w:rPr>
        <w:t>Liu B</w:t>
      </w:r>
      <w:r w:rsidRPr="005E512C">
        <w:rPr>
          <w:rFonts w:ascii="Book Antiqua" w:eastAsia="Book Antiqua" w:hAnsi="Book Antiqua" w:cs="Book Antiqua"/>
          <w:color w:val="000000" w:themeColor="text1"/>
        </w:rPr>
        <w:t>, Yin Q, Chen YX, Zhao YZ, Li CS. Role of Presepsin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sCD14-ST) and the CURB65 scoring system in predicting severity and outcome of community-acquired pneumonia in an emergency department. </w:t>
      </w:r>
      <w:r w:rsidRPr="005E512C">
        <w:rPr>
          <w:rFonts w:ascii="Book Antiqua" w:eastAsia="Book Antiqua" w:hAnsi="Book Antiqua" w:cs="Book Antiqua"/>
          <w:i/>
          <w:iCs/>
          <w:color w:val="000000" w:themeColor="text1"/>
        </w:rPr>
        <w:t>Respir Med</w:t>
      </w:r>
      <w:r w:rsidRPr="005E512C">
        <w:rPr>
          <w:rFonts w:ascii="Book Antiqua" w:eastAsia="Book Antiqua" w:hAnsi="Book Antiqua" w:cs="Book Antiqua"/>
          <w:color w:val="000000" w:themeColor="text1"/>
        </w:rPr>
        <w:t xml:space="preserve"> 2014; </w:t>
      </w:r>
      <w:r w:rsidRPr="005E512C">
        <w:rPr>
          <w:rFonts w:ascii="Book Antiqua" w:eastAsia="Book Antiqua" w:hAnsi="Book Antiqua" w:cs="Book Antiqua"/>
          <w:b/>
          <w:bCs/>
          <w:color w:val="000000" w:themeColor="text1"/>
        </w:rPr>
        <w:t>108</w:t>
      </w:r>
      <w:r w:rsidRPr="005E512C">
        <w:rPr>
          <w:rFonts w:ascii="Book Antiqua" w:eastAsia="Book Antiqua" w:hAnsi="Book Antiqua" w:cs="Book Antiqua"/>
          <w:color w:val="000000" w:themeColor="text1"/>
        </w:rPr>
        <w:t>: 1204-1213 [PMID: 24931899 DOI: 10.1016/j.rmed.2014.05.005]</w:t>
      </w:r>
    </w:p>
    <w:p w14:paraId="5AF64728"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8 </w:t>
      </w:r>
      <w:r w:rsidRPr="005E512C">
        <w:rPr>
          <w:rFonts w:ascii="Book Antiqua" w:eastAsia="Book Antiqua" w:hAnsi="Book Antiqua" w:cs="Book Antiqua"/>
          <w:b/>
          <w:bCs/>
          <w:color w:val="000000" w:themeColor="text1"/>
        </w:rPr>
        <w:t>Tavaré A</w:t>
      </w:r>
      <w:r w:rsidRPr="005E512C">
        <w:rPr>
          <w:rFonts w:ascii="Book Antiqua" w:eastAsia="Book Antiqua" w:hAnsi="Book Antiqua" w:cs="Book Antiqua"/>
          <w:color w:val="000000" w:themeColor="text1"/>
        </w:rPr>
        <w:t xml:space="preserve">, O'Flynn N. Recognition, diagnosis, and early management of sepsis: NICE guideline. </w:t>
      </w:r>
      <w:r w:rsidRPr="005E512C">
        <w:rPr>
          <w:rFonts w:ascii="Book Antiqua" w:eastAsia="Book Antiqua" w:hAnsi="Book Antiqua" w:cs="Book Antiqua"/>
          <w:i/>
          <w:iCs/>
          <w:color w:val="000000" w:themeColor="text1"/>
        </w:rPr>
        <w:t>Br J Gen Pract</w:t>
      </w:r>
      <w:r w:rsidRPr="005E512C">
        <w:rPr>
          <w:rFonts w:ascii="Book Antiqua" w:eastAsia="Book Antiqua" w:hAnsi="Book Antiqua" w:cs="Book Antiqua"/>
          <w:color w:val="000000" w:themeColor="text1"/>
        </w:rPr>
        <w:t xml:space="preserve"> 2017; </w:t>
      </w:r>
      <w:r w:rsidRPr="005E512C">
        <w:rPr>
          <w:rFonts w:ascii="Book Antiqua" w:eastAsia="Book Antiqua" w:hAnsi="Book Antiqua" w:cs="Book Antiqua"/>
          <w:b/>
          <w:bCs/>
          <w:color w:val="000000" w:themeColor="text1"/>
        </w:rPr>
        <w:t>67</w:t>
      </w:r>
      <w:r w:rsidRPr="005E512C">
        <w:rPr>
          <w:rFonts w:ascii="Book Antiqua" w:eastAsia="Book Antiqua" w:hAnsi="Book Antiqua" w:cs="Book Antiqua"/>
          <w:color w:val="000000" w:themeColor="text1"/>
        </w:rPr>
        <w:t>: 185-186 [PMID: 28360070 DOI: 10.3399/bjgp17X690401]</w:t>
      </w:r>
    </w:p>
    <w:p w14:paraId="3514ABEA"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9 </w:t>
      </w:r>
      <w:r w:rsidRPr="005E512C">
        <w:rPr>
          <w:rFonts w:ascii="Book Antiqua" w:eastAsia="Book Antiqua" w:hAnsi="Book Antiqua" w:cs="Book Antiqua"/>
          <w:b/>
          <w:bCs/>
          <w:color w:val="000000" w:themeColor="text1"/>
        </w:rPr>
        <w:t>Novelli S</w:t>
      </w:r>
      <w:r w:rsidRPr="005E512C">
        <w:rPr>
          <w:rFonts w:ascii="Book Antiqua" w:eastAsia="Book Antiqua" w:hAnsi="Book Antiqua" w:cs="Book Antiqua"/>
          <w:color w:val="000000" w:themeColor="text1"/>
        </w:rPr>
        <w:t xml:space="preserve">, Morabito V, Ruberto F, Bini F, Marinozzi F, Pugliese F, Berloco P, Pretagostini R. Diagnostic Value of Presepsin for Bacterial Infection in Cirrhosis: A Pilot Study. </w:t>
      </w:r>
      <w:r w:rsidRPr="005E512C">
        <w:rPr>
          <w:rFonts w:ascii="Book Antiqua" w:eastAsia="Book Antiqua" w:hAnsi="Book Antiqua" w:cs="Book Antiqua"/>
          <w:i/>
          <w:iCs/>
          <w:color w:val="000000" w:themeColor="text1"/>
        </w:rPr>
        <w:t>Transplant Proc</w:t>
      </w:r>
      <w:r w:rsidRPr="005E512C">
        <w:rPr>
          <w:rFonts w:ascii="Book Antiqua" w:eastAsia="Book Antiqua" w:hAnsi="Book Antiqua" w:cs="Book Antiqua"/>
          <w:color w:val="000000" w:themeColor="text1"/>
        </w:rPr>
        <w:t xml:space="preserve"> 2020; </w:t>
      </w:r>
      <w:r w:rsidRPr="005E512C">
        <w:rPr>
          <w:rFonts w:ascii="Book Antiqua" w:eastAsia="Book Antiqua" w:hAnsi="Book Antiqua" w:cs="Book Antiqua"/>
          <w:b/>
          <w:bCs/>
          <w:color w:val="000000" w:themeColor="text1"/>
        </w:rPr>
        <w:t>52</w:t>
      </w:r>
      <w:r w:rsidRPr="005E512C">
        <w:rPr>
          <w:rFonts w:ascii="Book Antiqua" w:eastAsia="Book Antiqua" w:hAnsi="Book Antiqua" w:cs="Book Antiqua"/>
          <w:color w:val="000000" w:themeColor="text1"/>
        </w:rPr>
        <w:t>: 1593-1600 [PMID: 32305204 DOI: 10.1016/j.transproceed.2020.02.042]</w:t>
      </w:r>
    </w:p>
    <w:p w14:paraId="7513F670"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lastRenderedPageBreak/>
        <w:t xml:space="preserve">10 </w:t>
      </w:r>
      <w:r w:rsidRPr="005E512C">
        <w:rPr>
          <w:rFonts w:ascii="Book Antiqua" w:eastAsia="Book Antiqua" w:hAnsi="Book Antiqua" w:cs="Book Antiqua"/>
          <w:b/>
          <w:bCs/>
          <w:color w:val="000000" w:themeColor="text1"/>
        </w:rPr>
        <w:t>Kiriyama S</w:t>
      </w:r>
      <w:r w:rsidRPr="005E512C">
        <w:rPr>
          <w:rFonts w:ascii="Book Antiqua" w:eastAsia="Book Antiqua" w:hAnsi="Book Antiqua" w:cs="Book Antiqua"/>
          <w:color w:val="000000" w:themeColor="text1"/>
        </w:rPr>
        <w:t xml:space="preserve">, Takada T, Strasberg SM, Solomkin JS, Mayumi T, Pitt HA, Gouma DJ, Garden OJ, Büchler MW, Yokoe M, Kimura Y, Tsuyuguchi T, Itoi T, Yoshida M, Miura F, Yamashita Y, Okamoto K, Gabata T, Hata J, Higuchi R, Windsor JA, Bornman PC, Fan ST, Singh H, de Santibanes E, Gomi H, Kusachi S, Murata A, Chen XP, Jagannath P, Lee S, Padbury R, Chen MF; Tokyo Guidelines Revision Committee. New diagnostic criteria and severity assessment of acute cholangitis in revised Tokyo Guidelines. </w:t>
      </w:r>
      <w:r w:rsidRPr="005E512C">
        <w:rPr>
          <w:rFonts w:ascii="Book Antiqua" w:eastAsia="Book Antiqua" w:hAnsi="Book Antiqua" w:cs="Book Antiqua"/>
          <w:i/>
          <w:iCs/>
          <w:color w:val="000000" w:themeColor="text1"/>
        </w:rPr>
        <w:t>J Hepatobiliary Pancreat Sci</w:t>
      </w:r>
      <w:r w:rsidRPr="005E512C">
        <w:rPr>
          <w:rFonts w:ascii="Book Antiqua" w:eastAsia="Book Antiqua" w:hAnsi="Book Antiqua" w:cs="Book Antiqua"/>
          <w:color w:val="000000" w:themeColor="text1"/>
        </w:rPr>
        <w:t xml:space="preserve"> 2012; </w:t>
      </w:r>
      <w:r w:rsidRPr="005E512C">
        <w:rPr>
          <w:rFonts w:ascii="Book Antiqua" w:eastAsia="Book Antiqua" w:hAnsi="Book Antiqua" w:cs="Book Antiqua"/>
          <w:b/>
          <w:bCs/>
          <w:color w:val="000000" w:themeColor="text1"/>
        </w:rPr>
        <w:t>19</w:t>
      </w:r>
      <w:r w:rsidRPr="005E512C">
        <w:rPr>
          <w:rFonts w:ascii="Book Antiqua" w:eastAsia="Book Antiqua" w:hAnsi="Book Antiqua" w:cs="Book Antiqua"/>
          <w:color w:val="000000" w:themeColor="text1"/>
        </w:rPr>
        <w:t>: 548-556 [PMID: 22825491 DOI: 10.1007/s00534-012-0537-3]</w:t>
      </w:r>
    </w:p>
    <w:p w14:paraId="19E21D00"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11 </w:t>
      </w:r>
      <w:r w:rsidRPr="005E512C">
        <w:rPr>
          <w:rFonts w:ascii="Book Antiqua" w:eastAsia="Book Antiqua" w:hAnsi="Book Antiqua" w:cs="Book Antiqua"/>
          <w:b/>
          <w:bCs/>
          <w:color w:val="000000" w:themeColor="text1"/>
        </w:rPr>
        <w:t>Kiriyama S</w:t>
      </w:r>
      <w:r w:rsidRPr="005E512C">
        <w:rPr>
          <w:rFonts w:ascii="Book Antiqua" w:eastAsia="Book Antiqua" w:hAnsi="Book Antiqua" w:cs="Book Antiqua"/>
          <w:color w:val="000000" w:themeColor="text1"/>
        </w:rPr>
        <w:t xml:space="preserve">, Takada T, Hwang TL, Akazawa K, Miura F, Gomi H, Mori R, Endo I, Itoi T, Yokoe M, Chen MF, Jan YY, Ker CG, Wang HP, Wada K, Yamaue H, Miyazaki M, Yamamoto M. Clinical application and verification of the TG13 diagnostic and severity grading criteria for acute cholangitis: an international multicenter observational study. </w:t>
      </w:r>
      <w:r w:rsidRPr="005E512C">
        <w:rPr>
          <w:rFonts w:ascii="Book Antiqua" w:eastAsia="Book Antiqua" w:hAnsi="Book Antiqua" w:cs="Book Antiqua"/>
          <w:i/>
          <w:iCs/>
          <w:color w:val="000000" w:themeColor="text1"/>
        </w:rPr>
        <w:t>J Hepatobiliary Pancreat Sci</w:t>
      </w:r>
      <w:r w:rsidRPr="005E512C">
        <w:rPr>
          <w:rFonts w:ascii="Book Antiqua" w:eastAsia="Book Antiqua" w:hAnsi="Book Antiqua" w:cs="Book Antiqua"/>
          <w:color w:val="000000" w:themeColor="text1"/>
        </w:rPr>
        <w:t xml:space="preserve"> 2017; </w:t>
      </w:r>
      <w:r w:rsidRPr="005E512C">
        <w:rPr>
          <w:rFonts w:ascii="Book Antiqua" w:eastAsia="Book Antiqua" w:hAnsi="Book Antiqua" w:cs="Book Antiqua"/>
          <w:b/>
          <w:bCs/>
          <w:color w:val="000000" w:themeColor="text1"/>
        </w:rPr>
        <w:t>24</w:t>
      </w:r>
      <w:r w:rsidRPr="005E512C">
        <w:rPr>
          <w:rFonts w:ascii="Book Antiqua" w:eastAsia="Book Antiqua" w:hAnsi="Book Antiqua" w:cs="Book Antiqua"/>
          <w:color w:val="000000" w:themeColor="text1"/>
        </w:rPr>
        <w:t>: 329-337 [PMID: 28419764 DOI: 10.1002/jhbp.458]</w:t>
      </w:r>
    </w:p>
    <w:p w14:paraId="127F5BA6"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12 </w:t>
      </w:r>
      <w:r w:rsidRPr="005E512C">
        <w:rPr>
          <w:rFonts w:ascii="Book Antiqua" w:eastAsia="Book Antiqua" w:hAnsi="Book Antiqua" w:cs="Book Antiqua"/>
          <w:b/>
          <w:bCs/>
          <w:color w:val="000000" w:themeColor="text1"/>
        </w:rPr>
        <w:t>O'Connor MJ</w:t>
      </w:r>
      <w:r w:rsidRPr="005E512C">
        <w:rPr>
          <w:rFonts w:ascii="Book Antiqua" w:eastAsia="Book Antiqua" w:hAnsi="Book Antiqua" w:cs="Book Antiqua"/>
          <w:color w:val="000000" w:themeColor="text1"/>
        </w:rPr>
        <w:t xml:space="preserve">, Schwartz ML, McQuarrie DG, Sumer HW. Acute bacterial cholangitis: an analysis of clinical manifestation. </w:t>
      </w:r>
      <w:r w:rsidRPr="005E512C">
        <w:rPr>
          <w:rFonts w:ascii="Book Antiqua" w:eastAsia="Book Antiqua" w:hAnsi="Book Antiqua" w:cs="Book Antiqua"/>
          <w:i/>
          <w:iCs/>
          <w:color w:val="000000" w:themeColor="text1"/>
        </w:rPr>
        <w:t>Arch Surg</w:t>
      </w:r>
      <w:r w:rsidRPr="005E512C">
        <w:rPr>
          <w:rFonts w:ascii="Book Antiqua" w:eastAsia="Book Antiqua" w:hAnsi="Book Antiqua" w:cs="Book Antiqua"/>
          <w:color w:val="000000" w:themeColor="text1"/>
        </w:rPr>
        <w:t xml:space="preserve"> 1982; </w:t>
      </w:r>
      <w:r w:rsidRPr="005E512C">
        <w:rPr>
          <w:rFonts w:ascii="Book Antiqua" w:eastAsia="Book Antiqua" w:hAnsi="Book Antiqua" w:cs="Book Antiqua"/>
          <w:b/>
          <w:bCs/>
          <w:color w:val="000000" w:themeColor="text1"/>
        </w:rPr>
        <w:t>117</w:t>
      </w:r>
      <w:r w:rsidRPr="005E512C">
        <w:rPr>
          <w:rFonts w:ascii="Book Antiqua" w:eastAsia="Book Antiqua" w:hAnsi="Book Antiqua" w:cs="Book Antiqua"/>
          <w:color w:val="000000" w:themeColor="text1"/>
        </w:rPr>
        <w:t>: 437-441 [PMID: 7065890 DOI: 10.1001/archsurg.1982.01380280031007]</w:t>
      </w:r>
    </w:p>
    <w:p w14:paraId="3AEBB031"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13 </w:t>
      </w:r>
      <w:r w:rsidRPr="005E512C">
        <w:rPr>
          <w:rFonts w:ascii="Book Antiqua" w:eastAsia="Book Antiqua" w:hAnsi="Book Antiqua" w:cs="Book Antiqua"/>
          <w:b/>
          <w:bCs/>
          <w:color w:val="000000" w:themeColor="text1"/>
        </w:rPr>
        <w:t>Gravito-Soares E</w:t>
      </w:r>
      <w:r w:rsidRPr="005E512C">
        <w:rPr>
          <w:rFonts w:ascii="Book Antiqua" w:eastAsia="Book Antiqua" w:hAnsi="Book Antiqua" w:cs="Book Antiqua"/>
          <w:color w:val="000000" w:themeColor="text1"/>
        </w:rPr>
        <w:t xml:space="preserve">, Gravito-Soares M, Gomes D, Almeida N, Tomé L. Clinical applicability of Tokyo guidelines 2018/2013 in diagnosis and severity evaluation of acute cholangitis and determination of a new severity model. </w:t>
      </w:r>
      <w:r w:rsidRPr="005E512C">
        <w:rPr>
          <w:rFonts w:ascii="Book Antiqua" w:eastAsia="Book Antiqua" w:hAnsi="Book Antiqua" w:cs="Book Antiqua"/>
          <w:i/>
          <w:iCs/>
          <w:color w:val="000000" w:themeColor="text1"/>
        </w:rPr>
        <w:t>Scand J Gastroenterol</w:t>
      </w:r>
      <w:r w:rsidRPr="005E512C">
        <w:rPr>
          <w:rFonts w:ascii="Book Antiqua" w:eastAsia="Book Antiqua" w:hAnsi="Book Antiqua" w:cs="Book Antiqua"/>
          <w:color w:val="000000" w:themeColor="text1"/>
        </w:rPr>
        <w:t xml:space="preserve"> 2018; </w:t>
      </w:r>
      <w:r w:rsidRPr="005E512C">
        <w:rPr>
          <w:rFonts w:ascii="Book Antiqua" w:eastAsia="Book Antiqua" w:hAnsi="Book Antiqua" w:cs="Book Antiqua"/>
          <w:b/>
          <w:bCs/>
          <w:color w:val="000000" w:themeColor="text1"/>
        </w:rPr>
        <w:t>53</w:t>
      </w:r>
      <w:r w:rsidRPr="005E512C">
        <w:rPr>
          <w:rFonts w:ascii="Book Antiqua" w:eastAsia="Book Antiqua" w:hAnsi="Book Antiqua" w:cs="Book Antiqua"/>
          <w:color w:val="000000" w:themeColor="text1"/>
        </w:rPr>
        <w:t>: 329-334 [PMID: 29374984 DOI: 10.1080/00365521.2018.1430255]</w:t>
      </w:r>
    </w:p>
    <w:p w14:paraId="7ED32D2D" w14:textId="650ED0D9"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14 </w:t>
      </w:r>
      <w:r w:rsidRPr="005E512C">
        <w:rPr>
          <w:rFonts w:ascii="Book Antiqua" w:eastAsia="Book Antiqua" w:hAnsi="Book Antiqua" w:cs="Book Antiqua"/>
          <w:b/>
          <w:bCs/>
          <w:color w:val="000000" w:themeColor="text1"/>
        </w:rPr>
        <w:t>Benoist JF</w:t>
      </w:r>
      <w:r w:rsidRPr="005E512C">
        <w:rPr>
          <w:rFonts w:ascii="Book Antiqua" w:eastAsia="Book Antiqua" w:hAnsi="Book Antiqua" w:cs="Book Antiqua"/>
          <w:color w:val="000000" w:themeColor="text1"/>
        </w:rPr>
        <w:t xml:space="preserve">, Mimoz O, Assicot M. [Procalcitonin in severe trauma]. </w:t>
      </w:r>
      <w:r w:rsidRPr="005E512C">
        <w:rPr>
          <w:rFonts w:ascii="Book Antiqua" w:eastAsia="Book Antiqua" w:hAnsi="Book Antiqua" w:cs="Book Antiqua"/>
          <w:i/>
          <w:iCs/>
          <w:color w:val="000000" w:themeColor="text1"/>
        </w:rPr>
        <w:t>Ann Biol Clin</w:t>
      </w:r>
      <w:r w:rsidR="006F7889">
        <w:rPr>
          <w:rFonts w:ascii="Book Antiqua" w:eastAsia="Book Antiqua" w:hAnsi="Book Antiqua" w:cs="Book Antiqua"/>
          <w:i/>
          <w:iCs/>
          <w:color w:val="000000" w:themeColor="text1"/>
        </w:rPr>
        <w:t xml:space="preserve"> (</w:t>
      </w:r>
      <w:r w:rsidRPr="005E512C">
        <w:rPr>
          <w:rFonts w:ascii="Book Antiqua" w:eastAsia="Book Antiqua" w:hAnsi="Book Antiqua" w:cs="Book Antiqua"/>
          <w:i/>
          <w:iCs/>
          <w:color w:val="000000" w:themeColor="text1"/>
        </w:rPr>
        <w:t>Paris)</w:t>
      </w:r>
      <w:r w:rsidRPr="005E512C">
        <w:rPr>
          <w:rFonts w:ascii="Book Antiqua" w:eastAsia="Book Antiqua" w:hAnsi="Book Antiqua" w:cs="Book Antiqua"/>
          <w:color w:val="000000" w:themeColor="text1"/>
        </w:rPr>
        <w:t xml:space="preserve"> 1998; </w:t>
      </w:r>
      <w:r w:rsidRPr="005E512C">
        <w:rPr>
          <w:rFonts w:ascii="Book Antiqua" w:eastAsia="Book Antiqua" w:hAnsi="Book Antiqua" w:cs="Book Antiqua"/>
          <w:b/>
          <w:bCs/>
          <w:color w:val="000000" w:themeColor="text1"/>
        </w:rPr>
        <w:t>56</w:t>
      </w:r>
      <w:r w:rsidRPr="005E512C">
        <w:rPr>
          <w:rFonts w:ascii="Book Antiqua" w:eastAsia="Book Antiqua" w:hAnsi="Book Antiqua" w:cs="Book Antiqua"/>
          <w:color w:val="000000" w:themeColor="text1"/>
        </w:rPr>
        <w:t>: 571-574 [PMID: 9769483]</w:t>
      </w:r>
    </w:p>
    <w:p w14:paraId="06790E56" w14:textId="2AF8A38C"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15 </w:t>
      </w:r>
      <w:r w:rsidRPr="005E512C">
        <w:rPr>
          <w:rFonts w:ascii="Book Antiqua" w:eastAsia="Book Antiqua" w:hAnsi="Book Antiqua" w:cs="Book Antiqua"/>
          <w:b/>
          <w:bCs/>
          <w:color w:val="000000" w:themeColor="text1"/>
        </w:rPr>
        <w:t>Hatherill M</w:t>
      </w:r>
      <w:r w:rsidRPr="005E512C">
        <w:rPr>
          <w:rFonts w:ascii="Book Antiqua" w:eastAsia="Book Antiqua" w:hAnsi="Book Antiqua" w:cs="Book Antiqua"/>
          <w:color w:val="000000" w:themeColor="text1"/>
        </w:rPr>
        <w:t xml:space="preserve">, Jones G, Lim E, Tibby SM, Murdoch IA. Procalcitonin aids diagnosis of adrenocortical failure. </w:t>
      </w:r>
      <w:r w:rsidRPr="005E512C">
        <w:rPr>
          <w:rFonts w:ascii="Book Antiqua" w:eastAsia="Book Antiqua" w:hAnsi="Book Antiqua" w:cs="Book Antiqua"/>
          <w:i/>
          <w:iCs/>
          <w:color w:val="000000" w:themeColor="text1"/>
        </w:rPr>
        <w:t>Lancet</w:t>
      </w:r>
      <w:r w:rsidRPr="005E512C">
        <w:rPr>
          <w:rFonts w:ascii="Book Antiqua" w:eastAsia="Book Antiqua" w:hAnsi="Book Antiqua" w:cs="Book Antiqua"/>
          <w:color w:val="000000" w:themeColor="text1"/>
        </w:rPr>
        <w:t xml:space="preserve"> 1997; </w:t>
      </w:r>
      <w:r w:rsidRPr="005E512C">
        <w:rPr>
          <w:rFonts w:ascii="Book Antiqua" w:eastAsia="Book Antiqua" w:hAnsi="Book Antiqua" w:cs="Book Antiqua"/>
          <w:b/>
          <w:bCs/>
          <w:color w:val="000000" w:themeColor="text1"/>
        </w:rPr>
        <w:t>350</w:t>
      </w:r>
      <w:r w:rsidRPr="005E512C">
        <w:rPr>
          <w:rFonts w:ascii="Book Antiqua" w:eastAsia="Book Antiqua" w:hAnsi="Book Antiqua" w:cs="Book Antiqua"/>
          <w:color w:val="000000" w:themeColor="text1"/>
        </w:rPr>
        <w:t>: 1749-1750 [PMID: 9413471 DOI: 10.1016/s0140-6736</w:t>
      </w:r>
      <w:r w:rsidR="006F7889">
        <w:rPr>
          <w:rFonts w:ascii="Book Antiqua" w:eastAsia="Book Antiqua" w:hAnsi="Book Antiqua" w:cs="Book Antiqua"/>
          <w:color w:val="000000" w:themeColor="text1"/>
        </w:rPr>
        <w:t>(</w:t>
      </w:r>
      <w:r w:rsidRPr="005E512C">
        <w:rPr>
          <w:rFonts w:ascii="Book Antiqua" w:eastAsia="Book Antiqua" w:hAnsi="Book Antiqua" w:cs="Book Antiqua"/>
          <w:color w:val="000000" w:themeColor="text1"/>
        </w:rPr>
        <w:t>05)63573-8]</w:t>
      </w:r>
    </w:p>
    <w:p w14:paraId="6D27BDCD"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16 </w:t>
      </w:r>
      <w:r w:rsidRPr="005E512C">
        <w:rPr>
          <w:rFonts w:ascii="Book Antiqua" w:eastAsia="Book Antiqua" w:hAnsi="Book Antiqua" w:cs="Book Antiqua"/>
          <w:b/>
          <w:bCs/>
          <w:color w:val="000000" w:themeColor="text1"/>
        </w:rPr>
        <w:t>Baumgartner A</w:t>
      </w:r>
      <w:r w:rsidRPr="005E512C">
        <w:rPr>
          <w:rFonts w:ascii="Book Antiqua" w:eastAsia="Book Antiqua" w:hAnsi="Book Antiqua" w:cs="Book Antiqua"/>
          <w:color w:val="000000" w:themeColor="text1"/>
        </w:rPr>
        <w:t xml:space="preserve">, Schuetz P. [Laboratory results in clinical practice: importance of interpretation in the clinical context]. </w:t>
      </w:r>
      <w:r w:rsidRPr="005E512C">
        <w:rPr>
          <w:rFonts w:ascii="Book Antiqua" w:eastAsia="Book Antiqua" w:hAnsi="Book Antiqua" w:cs="Book Antiqua"/>
          <w:i/>
          <w:iCs/>
          <w:color w:val="000000" w:themeColor="text1"/>
        </w:rPr>
        <w:t>Ther Umsch</w:t>
      </w:r>
      <w:r w:rsidRPr="005E512C">
        <w:rPr>
          <w:rFonts w:ascii="Book Antiqua" w:eastAsia="Book Antiqua" w:hAnsi="Book Antiqua" w:cs="Book Antiqua"/>
          <w:color w:val="000000" w:themeColor="text1"/>
        </w:rPr>
        <w:t xml:space="preserve"> 2015; </w:t>
      </w:r>
      <w:r w:rsidRPr="005E512C">
        <w:rPr>
          <w:rFonts w:ascii="Book Antiqua" w:eastAsia="Book Antiqua" w:hAnsi="Book Antiqua" w:cs="Book Antiqua"/>
          <w:b/>
          <w:bCs/>
          <w:color w:val="000000" w:themeColor="text1"/>
        </w:rPr>
        <w:t>72</w:t>
      </w:r>
      <w:r w:rsidRPr="005E512C">
        <w:rPr>
          <w:rFonts w:ascii="Book Antiqua" w:eastAsia="Book Antiqua" w:hAnsi="Book Antiqua" w:cs="Book Antiqua"/>
          <w:color w:val="000000" w:themeColor="text1"/>
        </w:rPr>
        <w:t>: 119-123 [PMID: 25630294 DOI: 10.1024/0040-5930/a000653]</w:t>
      </w:r>
    </w:p>
    <w:p w14:paraId="28A94308"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lastRenderedPageBreak/>
        <w:t xml:space="preserve">17 </w:t>
      </w:r>
      <w:r w:rsidRPr="005E512C">
        <w:rPr>
          <w:rFonts w:ascii="Book Antiqua" w:eastAsia="Book Antiqua" w:hAnsi="Book Antiqua" w:cs="Book Antiqua"/>
          <w:b/>
          <w:bCs/>
          <w:color w:val="000000" w:themeColor="text1"/>
        </w:rPr>
        <w:t>Zhao J</w:t>
      </w:r>
      <w:r w:rsidRPr="005E512C">
        <w:rPr>
          <w:rFonts w:ascii="Book Antiqua" w:eastAsia="Book Antiqua" w:hAnsi="Book Antiqua" w:cs="Book Antiqua"/>
          <w:color w:val="000000" w:themeColor="text1"/>
        </w:rPr>
        <w:t xml:space="preserve">, Tan Y, Wang L, Shi Y. Discriminatory ability and prognostic evaluation of presepsin for sepsis-related acute respiratory distress syndrome. </w:t>
      </w:r>
      <w:r w:rsidRPr="005E512C">
        <w:rPr>
          <w:rFonts w:ascii="Book Antiqua" w:eastAsia="Book Antiqua" w:hAnsi="Book Antiqua" w:cs="Book Antiqua"/>
          <w:i/>
          <w:iCs/>
          <w:color w:val="000000" w:themeColor="text1"/>
        </w:rPr>
        <w:t>Sci Rep</w:t>
      </w:r>
      <w:r w:rsidRPr="005E512C">
        <w:rPr>
          <w:rFonts w:ascii="Book Antiqua" w:eastAsia="Book Antiqua" w:hAnsi="Book Antiqua" w:cs="Book Antiqua"/>
          <w:color w:val="000000" w:themeColor="text1"/>
        </w:rPr>
        <w:t xml:space="preserve"> 2020; </w:t>
      </w:r>
      <w:r w:rsidRPr="005E512C">
        <w:rPr>
          <w:rFonts w:ascii="Book Antiqua" w:eastAsia="Book Antiqua" w:hAnsi="Book Antiqua" w:cs="Book Antiqua"/>
          <w:b/>
          <w:bCs/>
          <w:color w:val="000000" w:themeColor="text1"/>
        </w:rPr>
        <w:t>10</w:t>
      </w:r>
      <w:r w:rsidRPr="005E512C">
        <w:rPr>
          <w:rFonts w:ascii="Book Antiqua" w:eastAsia="Book Antiqua" w:hAnsi="Book Antiqua" w:cs="Book Antiqua"/>
          <w:color w:val="000000" w:themeColor="text1"/>
        </w:rPr>
        <w:t>: 9114 [PMID: 32499573 DOI: 10.1038/s41598-020-66121-7]</w:t>
      </w:r>
    </w:p>
    <w:p w14:paraId="007D5091"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18 </w:t>
      </w:r>
      <w:r w:rsidRPr="005E512C">
        <w:rPr>
          <w:rFonts w:ascii="Book Antiqua" w:eastAsia="Book Antiqua" w:hAnsi="Book Antiqua" w:cs="Book Antiqua"/>
          <w:b/>
          <w:bCs/>
          <w:color w:val="000000" w:themeColor="text1"/>
        </w:rPr>
        <w:t>Venugopalan DP</w:t>
      </w:r>
      <w:r w:rsidRPr="005E512C">
        <w:rPr>
          <w:rFonts w:ascii="Book Antiqua" w:eastAsia="Book Antiqua" w:hAnsi="Book Antiqua" w:cs="Book Antiqua"/>
          <w:color w:val="000000" w:themeColor="text1"/>
        </w:rPr>
        <w:t xml:space="preserve">, Pillai G, Krishnan S. Diagnostic Value and Prognostic Use of Presepsin Versus Procalcitonin in Sepsis. </w:t>
      </w:r>
      <w:r w:rsidRPr="005E512C">
        <w:rPr>
          <w:rFonts w:ascii="Book Antiqua" w:eastAsia="Book Antiqua" w:hAnsi="Book Antiqua" w:cs="Book Antiqua"/>
          <w:i/>
          <w:iCs/>
          <w:color w:val="000000" w:themeColor="text1"/>
        </w:rPr>
        <w:t>Cureus</w:t>
      </w:r>
      <w:r w:rsidRPr="005E512C">
        <w:rPr>
          <w:rFonts w:ascii="Book Antiqua" w:eastAsia="Book Antiqua" w:hAnsi="Book Antiqua" w:cs="Book Antiqua"/>
          <w:color w:val="000000" w:themeColor="text1"/>
        </w:rPr>
        <w:t xml:space="preserve"> 2019; </w:t>
      </w:r>
      <w:r w:rsidRPr="005E512C">
        <w:rPr>
          <w:rFonts w:ascii="Book Antiqua" w:eastAsia="Book Antiqua" w:hAnsi="Book Antiqua" w:cs="Book Antiqua"/>
          <w:b/>
          <w:bCs/>
          <w:color w:val="000000" w:themeColor="text1"/>
        </w:rPr>
        <w:t>11</w:t>
      </w:r>
      <w:r w:rsidRPr="005E512C">
        <w:rPr>
          <w:rFonts w:ascii="Book Antiqua" w:eastAsia="Book Antiqua" w:hAnsi="Book Antiqua" w:cs="Book Antiqua"/>
          <w:color w:val="000000" w:themeColor="text1"/>
        </w:rPr>
        <w:t>: e5151 [PMID: 31523578 DOI: 10.7759/cureus.5151]</w:t>
      </w:r>
    </w:p>
    <w:p w14:paraId="6288892A"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19 </w:t>
      </w:r>
      <w:r w:rsidRPr="005E512C">
        <w:rPr>
          <w:rFonts w:ascii="Book Antiqua" w:eastAsia="Book Antiqua" w:hAnsi="Book Antiqua" w:cs="Book Antiqua"/>
          <w:b/>
          <w:bCs/>
          <w:color w:val="000000" w:themeColor="text1"/>
        </w:rPr>
        <w:t>Unuma K</w:t>
      </w:r>
      <w:r w:rsidRPr="005E512C">
        <w:rPr>
          <w:rFonts w:ascii="Book Antiqua" w:eastAsia="Book Antiqua" w:hAnsi="Book Antiqua" w:cs="Book Antiqua"/>
          <w:color w:val="000000" w:themeColor="text1"/>
        </w:rPr>
        <w:t xml:space="preserve">, Makino Y, Sasaki Y, Iwase H, Uemura K. Presepsin: A potential superior diagnostic biomarker for the postmortem differentiation of sepsis based on the Sepsis-3 criteria. </w:t>
      </w:r>
      <w:r w:rsidRPr="005E512C">
        <w:rPr>
          <w:rFonts w:ascii="Book Antiqua" w:eastAsia="Book Antiqua" w:hAnsi="Book Antiqua" w:cs="Book Antiqua"/>
          <w:i/>
          <w:iCs/>
          <w:color w:val="000000" w:themeColor="text1"/>
        </w:rPr>
        <w:t>Forensic Sci Int</w:t>
      </w:r>
      <w:r w:rsidRPr="005E512C">
        <w:rPr>
          <w:rFonts w:ascii="Book Antiqua" w:eastAsia="Book Antiqua" w:hAnsi="Book Antiqua" w:cs="Book Antiqua"/>
          <w:color w:val="000000" w:themeColor="text1"/>
        </w:rPr>
        <w:t xml:space="preserve"> 2019; </w:t>
      </w:r>
      <w:r w:rsidRPr="005E512C">
        <w:rPr>
          <w:rFonts w:ascii="Book Antiqua" w:eastAsia="Book Antiqua" w:hAnsi="Book Antiqua" w:cs="Book Antiqua"/>
          <w:b/>
          <w:bCs/>
          <w:color w:val="000000" w:themeColor="text1"/>
        </w:rPr>
        <w:t>299</w:t>
      </w:r>
      <w:r w:rsidRPr="005E512C">
        <w:rPr>
          <w:rFonts w:ascii="Book Antiqua" w:eastAsia="Book Antiqua" w:hAnsi="Book Antiqua" w:cs="Book Antiqua"/>
          <w:color w:val="000000" w:themeColor="text1"/>
        </w:rPr>
        <w:t>: 17-20 [PMID: 30954003 DOI: 10.1016/j.forsciint.2019.03.034]</w:t>
      </w:r>
    </w:p>
    <w:p w14:paraId="2B02FCD5"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20 </w:t>
      </w:r>
      <w:r w:rsidRPr="005E512C">
        <w:rPr>
          <w:rFonts w:ascii="Book Antiqua" w:eastAsia="Book Antiqua" w:hAnsi="Book Antiqua" w:cs="Book Antiqua"/>
          <w:b/>
          <w:bCs/>
          <w:color w:val="000000" w:themeColor="text1"/>
        </w:rPr>
        <w:t>Aliu-Bejta A</w:t>
      </w:r>
      <w:r w:rsidRPr="005E512C">
        <w:rPr>
          <w:rFonts w:ascii="Book Antiqua" w:eastAsia="Book Antiqua" w:hAnsi="Book Antiqua" w:cs="Book Antiqua"/>
          <w:color w:val="000000" w:themeColor="text1"/>
        </w:rPr>
        <w:t xml:space="preserve">, Atelj A, Kurshumliu M, Dreshaj S, Baršić B. Presepsin values as markers of severity of sepsis. </w:t>
      </w:r>
      <w:r w:rsidRPr="005E512C">
        <w:rPr>
          <w:rFonts w:ascii="Book Antiqua" w:eastAsia="Book Antiqua" w:hAnsi="Book Antiqua" w:cs="Book Antiqua"/>
          <w:i/>
          <w:iCs/>
          <w:color w:val="000000" w:themeColor="text1"/>
        </w:rPr>
        <w:t>Int J Infect Dis</w:t>
      </w:r>
      <w:r w:rsidRPr="005E512C">
        <w:rPr>
          <w:rFonts w:ascii="Book Antiqua" w:eastAsia="Book Antiqua" w:hAnsi="Book Antiqua" w:cs="Book Antiqua"/>
          <w:color w:val="000000" w:themeColor="text1"/>
        </w:rPr>
        <w:t xml:space="preserve"> 2020; </w:t>
      </w:r>
      <w:r w:rsidRPr="005E512C">
        <w:rPr>
          <w:rFonts w:ascii="Book Antiqua" w:eastAsia="Book Antiqua" w:hAnsi="Book Antiqua" w:cs="Book Antiqua"/>
          <w:b/>
          <w:bCs/>
          <w:color w:val="000000" w:themeColor="text1"/>
        </w:rPr>
        <w:t>95</w:t>
      </w:r>
      <w:r w:rsidRPr="005E512C">
        <w:rPr>
          <w:rFonts w:ascii="Book Antiqua" w:eastAsia="Book Antiqua" w:hAnsi="Book Antiqua" w:cs="Book Antiqua"/>
          <w:color w:val="000000" w:themeColor="text1"/>
        </w:rPr>
        <w:t>: 1-7 [PMID: 32251795 DOI: 10.1016/j.ijid.2020.03.057]</w:t>
      </w:r>
    </w:p>
    <w:p w14:paraId="2CAA3DE3"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21 </w:t>
      </w:r>
      <w:r w:rsidRPr="005E512C">
        <w:rPr>
          <w:rFonts w:ascii="Book Antiqua" w:eastAsia="Book Antiqua" w:hAnsi="Book Antiqua" w:cs="Book Antiqua"/>
          <w:b/>
          <w:bCs/>
          <w:color w:val="000000" w:themeColor="text1"/>
        </w:rPr>
        <w:t>Yao S</w:t>
      </w:r>
      <w:r w:rsidRPr="005E512C">
        <w:rPr>
          <w:rFonts w:ascii="Book Antiqua" w:eastAsia="Book Antiqua" w:hAnsi="Book Antiqua" w:cs="Book Antiqua"/>
          <w:color w:val="000000" w:themeColor="text1"/>
        </w:rPr>
        <w:t xml:space="preserve">, Kaido T, Uozumi R, Hirata M, Iwamura S, Miyachi Y, Macshut M, Sharshar M, Yagi S, Uemoto S. Diagnostic potential of presepsin in bacterial infection following hepato-biliary-pancreatic surgery: A prospective observational study. </w:t>
      </w:r>
      <w:r w:rsidRPr="005E512C">
        <w:rPr>
          <w:rFonts w:ascii="Book Antiqua" w:eastAsia="Book Antiqua" w:hAnsi="Book Antiqua" w:cs="Book Antiqua"/>
          <w:i/>
          <w:iCs/>
          <w:color w:val="000000" w:themeColor="text1"/>
        </w:rPr>
        <w:t>J Hepatobiliary Pancreat Sci</w:t>
      </w:r>
      <w:r w:rsidRPr="005E512C">
        <w:rPr>
          <w:rFonts w:ascii="Book Antiqua" w:eastAsia="Book Antiqua" w:hAnsi="Book Antiqua" w:cs="Book Antiqua"/>
          <w:color w:val="000000" w:themeColor="text1"/>
        </w:rPr>
        <w:t xml:space="preserve"> 2020; </w:t>
      </w:r>
      <w:r w:rsidRPr="005E512C">
        <w:rPr>
          <w:rFonts w:ascii="Book Antiqua" w:eastAsia="Book Antiqua" w:hAnsi="Book Antiqua" w:cs="Book Antiqua"/>
          <w:b/>
          <w:bCs/>
          <w:color w:val="000000" w:themeColor="text1"/>
        </w:rPr>
        <w:t>27</w:t>
      </w:r>
      <w:r w:rsidRPr="005E512C">
        <w:rPr>
          <w:rFonts w:ascii="Book Antiqua" w:eastAsia="Book Antiqua" w:hAnsi="Book Antiqua" w:cs="Book Antiqua"/>
          <w:color w:val="000000" w:themeColor="text1"/>
        </w:rPr>
        <w:t>: 756-766 [PMID: 32654388 DOI: 10.1002/jhbp.802]</w:t>
      </w:r>
    </w:p>
    <w:p w14:paraId="1A150462" w14:textId="32AF612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22 </w:t>
      </w:r>
      <w:r w:rsidRPr="005E512C">
        <w:rPr>
          <w:rFonts w:ascii="Book Antiqua" w:eastAsia="Book Antiqua" w:hAnsi="Book Antiqua" w:cs="Book Antiqua"/>
          <w:b/>
          <w:bCs/>
          <w:color w:val="000000" w:themeColor="text1"/>
        </w:rPr>
        <w:t>Chen M</w:t>
      </w:r>
      <w:r w:rsidRPr="005E512C">
        <w:rPr>
          <w:rFonts w:ascii="Book Antiqua" w:eastAsia="Book Antiqua" w:hAnsi="Book Antiqua" w:cs="Book Antiqua"/>
          <w:color w:val="000000" w:themeColor="text1"/>
        </w:rPr>
        <w:t>, Zhu Y. Utility of sTREM-1 and Presepsin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sCD14-ST) as Diagnostic and Prognostic Markers of Sepsis. </w:t>
      </w:r>
      <w:r w:rsidRPr="005E512C">
        <w:rPr>
          <w:rFonts w:ascii="Book Antiqua" w:eastAsia="Book Antiqua" w:hAnsi="Book Antiqua" w:cs="Book Antiqua"/>
          <w:i/>
          <w:iCs/>
          <w:color w:val="000000" w:themeColor="text1"/>
        </w:rPr>
        <w:t>Clin Lab</w:t>
      </w:r>
      <w:r w:rsidRPr="005E512C">
        <w:rPr>
          <w:rFonts w:ascii="Book Antiqua" w:eastAsia="Book Antiqua" w:hAnsi="Book Antiqua" w:cs="Book Antiqua"/>
          <w:color w:val="000000" w:themeColor="text1"/>
        </w:rPr>
        <w:t xml:space="preserve"> 2020; </w:t>
      </w:r>
      <w:r w:rsidRPr="005E512C">
        <w:rPr>
          <w:rFonts w:ascii="Book Antiqua" w:eastAsia="Book Antiqua" w:hAnsi="Book Antiqua" w:cs="Book Antiqua"/>
          <w:b/>
          <w:bCs/>
          <w:color w:val="000000" w:themeColor="text1"/>
        </w:rPr>
        <w:t>66</w:t>
      </w:r>
      <w:r w:rsidRPr="005E512C">
        <w:rPr>
          <w:rFonts w:ascii="Book Antiqua" w:eastAsia="Book Antiqua" w:hAnsi="Book Antiqua" w:cs="Book Antiqua"/>
          <w:color w:val="000000" w:themeColor="text1"/>
        </w:rPr>
        <w:t xml:space="preserve"> [PMID: 32255294 DOI: 10.7754/Clin.Lab.2019.190508]</w:t>
      </w:r>
    </w:p>
    <w:p w14:paraId="3355F20D"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23 </w:t>
      </w:r>
      <w:r w:rsidRPr="005E512C">
        <w:rPr>
          <w:rFonts w:ascii="Book Antiqua" w:eastAsia="Book Antiqua" w:hAnsi="Book Antiqua" w:cs="Book Antiqua"/>
          <w:b/>
          <w:bCs/>
          <w:color w:val="000000" w:themeColor="text1"/>
        </w:rPr>
        <w:t>Liu R</w:t>
      </w:r>
      <w:r w:rsidRPr="005E512C">
        <w:rPr>
          <w:rFonts w:ascii="Book Antiqua" w:eastAsia="Book Antiqua" w:hAnsi="Book Antiqua" w:cs="Book Antiqua"/>
          <w:color w:val="000000" w:themeColor="text1"/>
        </w:rPr>
        <w:t xml:space="preserve">, Li X, Huang Z, Zhao D, Ganesh BS, Lai G, Pandak WM, Hylemon PB, Bajaj JS, Sanyal AJ, Zhou H. C/EBP homologous protein-induced loss of intestinal epithelial stemness contributes to bile duct ligation-induced cholestatic liver injury in mice. </w:t>
      </w:r>
      <w:r w:rsidRPr="005E512C">
        <w:rPr>
          <w:rFonts w:ascii="Book Antiqua" w:eastAsia="Book Antiqua" w:hAnsi="Book Antiqua" w:cs="Book Antiqua"/>
          <w:i/>
          <w:iCs/>
          <w:color w:val="000000" w:themeColor="text1"/>
        </w:rPr>
        <w:t>Hepatology</w:t>
      </w:r>
      <w:r w:rsidRPr="005E512C">
        <w:rPr>
          <w:rFonts w:ascii="Book Antiqua" w:eastAsia="Book Antiqua" w:hAnsi="Book Antiqua" w:cs="Book Antiqua"/>
          <w:color w:val="000000" w:themeColor="text1"/>
        </w:rPr>
        <w:t xml:space="preserve"> 2018; </w:t>
      </w:r>
      <w:r w:rsidRPr="005E512C">
        <w:rPr>
          <w:rFonts w:ascii="Book Antiqua" w:eastAsia="Book Antiqua" w:hAnsi="Book Antiqua" w:cs="Book Antiqua"/>
          <w:b/>
          <w:bCs/>
          <w:color w:val="000000" w:themeColor="text1"/>
        </w:rPr>
        <w:t>67</w:t>
      </w:r>
      <w:r w:rsidRPr="005E512C">
        <w:rPr>
          <w:rFonts w:ascii="Book Antiqua" w:eastAsia="Book Antiqua" w:hAnsi="Book Antiqua" w:cs="Book Antiqua"/>
          <w:color w:val="000000" w:themeColor="text1"/>
        </w:rPr>
        <w:t>: 1441-1457 [PMID: 28926118 DOI: 10.1002/hep.29540]</w:t>
      </w:r>
    </w:p>
    <w:p w14:paraId="0333BD62"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24 </w:t>
      </w:r>
      <w:r w:rsidRPr="005E512C">
        <w:rPr>
          <w:rFonts w:ascii="Book Antiqua" w:eastAsia="Book Antiqua" w:hAnsi="Book Antiqua" w:cs="Book Antiqua"/>
          <w:b/>
          <w:bCs/>
          <w:color w:val="000000" w:themeColor="text1"/>
        </w:rPr>
        <w:t>Scott-Conner CE</w:t>
      </w:r>
      <w:r w:rsidRPr="005E512C">
        <w:rPr>
          <w:rFonts w:ascii="Book Antiqua" w:eastAsia="Book Antiqua" w:hAnsi="Book Antiqua" w:cs="Book Antiqua"/>
          <w:color w:val="000000" w:themeColor="text1"/>
        </w:rPr>
        <w:t xml:space="preserve">, Grogan JB. The pathophysiology of biliary obstruction and its effect on phagocytic and immune function. </w:t>
      </w:r>
      <w:r w:rsidRPr="005E512C">
        <w:rPr>
          <w:rFonts w:ascii="Book Antiqua" w:eastAsia="Book Antiqua" w:hAnsi="Book Antiqua" w:cs="Book Antiqua"/>
          <w:i/>
          <w:iCs/>
          <w:color w:val="000000" w:themeColor="text1"/>
        </w:rPr>
        <w:t>J Surg Res</w:t>
      </w:r>
      <w:r w:rsidRPr="005E512C">
        <w:rPr>
          <w:rFonts w:ascii="Book Antiqua" w:eastAsia="Book Antiqua" w:hAnsi="Book Antiqua" w:cs="Book Antiqua"/>
          <w:color w:val="000000" w:themeColor="text1"/>
        </w:rPr>
        <w:t xml:space="preserve"> 1994; </w:t>
      </w:r>
      <w:r w:rsidRPr="005E512C">
        <w:rPr>
          <w:rFonts w:ascii="Book Antiqua" w:eastAsia="Book Antiqua" w:hAnsi="Book Antiqua" w:cs="Book Antiqua"/>
          <w:b/>
          <w:bCs/>
          <w:color w:val="000000" w:themeColor="text1"/>
        </w:rPr>
        <w:t>57</w:t>
      </w:r>
      <w:r w:rsidRPr="005E512C">
        <w:rPr>
          <w:rFonts w:ascii="Book Antiqua" w:eastAsia="Book Antiqua" w:hAnsi="Book Antiqua" w:cs="Book Antiqua"/>
          <w:color w:val="000000" w:themeColor="text1"/>
        </w:rPr>
        <w:t>: 316-336 [PMID: 8028341 DOI: 10.1006/jsre.1994.1151]</w:t>
      </w:r>
    </w:p>
    <w:p w14:paraId="72F51837" w14:textId="5A4F4B85"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lastRenderedPageBreak/>
        <w:t xml:space="preserve">25 </w:t>
      </w:r>
      <w:r w:rsidRPr="005E512C">
        <w:rPr>
          <w:rFonts w:ascii="Book Antiqua" w:eastAsia="Book Antiqua" w:hAnsi="Book Antiqua" w:cs="Book Antiqua"/>
          <w:b/>
          <w:bCs/>
          <w:color w:val="000000" w:themeColor="text1"/>
        </w:rPr>
        <w:t>Chenevier-Gobeaux C</w:t>
      </w:r>
      <w:r w:rsidRPr="005E512C">
        <w:rPr>
          <w:rFonts w:ascii="Book Antiqua" w:eastAsia="Book Antiqua" w:hAnsi="Book Antiqua" w:cs="Book Antiqua"/>
          <w:color w:val="000000" w:themeColor="text1"/>
        </w:rPr>
        <w:t>, Borderie D, Weiss N, Mallet-Coste T, Claessens YE. Presepsin</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 xml:space="preserve">sCD14-ST), an innate immune response marker in sepsis. </w:t>
      </w:r>
      <w:r w:rsidRPr="005E512C">
        <w:rPr>
          <w:rFonts w:ascii="Book Antiqua" w:eastAsia="Book Antiqua" w:hAnsi="Book Antiqua" w:cs="Book Antiqua"/>
          <w:i/>
          <w:iCs/>
          <w:color w:val="000000" w:themeColor="text1"/>
        </w:rPr>
        <w:t>Clin Chim Acta</w:t>
      </w:r>
      <w:r w:rsidRPr="005E512C">
        <w:rPr>
          <w:rFonts w:ascii="Book Antiqua" w:eastAsia="Book Antiqua" w:hAnsi="Book Antiqua" w:cs="Book Antiqua"/>
          <w:color w:val="000000" w:themeColor="text1"/>
        </w:rPr>
        <w:t xml:space="preserve"> 2015; </w:t>
      </w:r>
      <w:r w:rsidRPr="005E512C">
        <w:rPr>
          <w:rFonts w:ascii="Book Antiqua" w:eastAsia="Book Antiqua" w:hAnsi="Book Antiqua" w:cs="Book Antiqua"/>
          <w:b/>
          <w:bCs/>
          <w:color w:val="000000" w:themeColor="text1"/>
        </w:rPr>
        <w:t>450</w:t>
      </w:r>
      <w:r w:rsidRPr="005E512C">
        <w:rPr>
          <w:rFonts w:ascii="Book Antiqua" w:eastAsia="Book Antiqua" w:hAnsi="Book Antiqua" w:cs="Book Antiqua"/>
          <w:color w:val="000000" w:themeColor="text1"/>
        </w:rPr>
        <w:t>: 97-103 [PMID: 26164388 DOI: 10.1016/j.cca.2015.06.026]</w:t>
      </w:r>
    </w:p>
    <w:p w14:paraId="3FAED7FD"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26 </w:t>
      </w:r>
      <w:r w:rsidRPr="005E512C">
        <w:rPr>
          <w:rFonts w:ascii="Book Antiqua" w:eastAsia="Book Antiqua" w:hAnsi="Book Antiqua" w:cs="Book Antiqua"/>
          <w:b/>
          <w:bCs/>
          <w:color w:val="000000" w:themeColor="text1"/>
        </w:rPr>
        <w:t>Li J</w:t>
      </w:r>
      <w:r w:rsidRPr="005E512C">
        <w:rPr>
          <w:rFonts w:ascii="Book Antiqua" w:eastAsia="Book Antiqua" w:hAnsi="Book Antiqua" w:cs="Book Antiqua"/>
          <w:color w:val="000000" w:themeColor="text1"/>
        </w:rPr>
        <w:t xml:space="preserve">, Tang Z, Xie M, Hang C, Yu Y, Li C. Association between elevation of plasma biomarkers and monocyte dysfunction and their combination in predicting sepsis: An observational single-centre cohort study. </w:t>
      </w:r>
      <w:r w:rsidRPr="005E512C">
        <w:rPr>
          <w:rFonts w:ascii="Book Antiqua" w:eastAsia="Book Antiqua" w:hAnsi="Book Antiqua" w:cs="Book Antiqua"/>
          <w:i/>
          <w:iCs/>
          <w:color w:val="000000" w:themeColor="text1"/>
        </w:rPr>
        <w:t>Innate Immun</w:t>
      </w:r>
      <w:r w:rsidRPr="005E512C">
        <w:rPr>
          <w:rFonts w:ascii="Book Antiqua" w:eastAsia="Book Antiqua" w:hAnsi="Book Antiqua" w:cs="Book Antiqua"/>
          <w:color w:val="000000" w:themeColor="text1"/>
        </w:rPr>
        <w:t xml:space="preserve"> 2020; </w:t>
      </w:r>
      <w:r w:rsidRPr="005E512C">
        <w:rPr>
          <w:rFonts w:ascii="Book Antiqua" w:eastAsia="Book Antiqua" w:hAnsi="Book Antiqua" w:cs="Book Antiqua"/>
          <w:b/>
          <w:bCs/>
          <w:color w:val="000000" w:themeColor="text1"/>
        </w:rPr>
        <w:t>26</w:t>
      </w:r>
      <w:r w:rsidRPr="005E512C">
        <w:rPr>
          <w:rFonts w:ascii="Book Antiqua" w:eastAsia="Book Antiqua" w:hAnsi="Book Antiqua" w:cs="Book Antiqua"/>
          <w:color w:val="000000" w:themeColor="text1"/>
        </w:rPr>
        <w:t>: 514-527 [PMID: 32456597 DOI: 10.1177/1753425920926602]</w:t>
      </w:r>
    </w:p>
    <w:p w14:paraId="31A0E5F2"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27 </w:t>
      </w:r>
      <w:r w:rsidRPr="005E512C">
        <w:rPr>
          <w:rFonts w:ascii="Book Antiqua" w:eastAsia="Book Antiqua" w:hAnsi="Book Antiqua" w:cs="Book Antiqua"/>
          <w:b/>
          <w:bCs/>
          <w:color w:val="000000" w:themeColor="text1"/>
        </w:rPr>
        <w:t>Drăgoescu AN</w:t>
      </w:r>
      <w:r w:rsidRPr="005E512C">
        <w:rPr>
          <w:rFonts w:ascii="Book Antiqua" w:eastAsia="Book Antiqua" w:hAnsi="Book Antiqua" w:cs="Book Antiqua"/>
          <w:color w:val="000000" w:themeColor="text1"/>
        </w:rPr>
        <w:t>, Pădureanu V, Stănculescu AD, Chiu</w:t>
      </w:r>
      <w:r w:rsidRPr="005E512C">
        <w:rPr>
          <w:rFonts w:ascii="Cambria" w:eastAsia="Book Antiqua" w:hAnsi="Cambria" w:cs="Cambria"/>
          <w:color w:val="000000" w:themeColor="text1"/>
        </w:rPr>
        <w:t>ț</w:t>
      </w:r>
      <w:r w:rsidRPr="005E512C">
        <w:rPr>
          <w:rFonts w:ascii="Book Antiqua" w:eastAsia="Book Antiqua" w:hAnsi="Book Antiqua" w:cs="Book Antiqua"/>
          <w:color w:val="000000" w:themeColor="text1"/>
        </w:rPr>
        <w:t>u LC, Florescu DN, Gheonea IA, Pădureanu R, Stepan A, Streba CT, Droca</w:t>
      </w:r>
      <w:r w:rsidRPr="005E512C">
        <w:rPr>
          <w:rFonts w:ascii="Cambria" w:eastAsia="Book Antiqua" w:hAnsi="Cambria" w:cs="Cambria"/>
          <w:color w:val="000000" w:themeColor="text1"/>
        </w:rPr>
        <w:t>ș</w:t>
      </w:r>
      <w:r w:rsidRPr="005E512C">
        <w:rPr>
          <w:rFonts w:ascii="Book Antiqua" w:eastAsia="Book Antiqua" w:hAnsi="Book Antiqua" w:cs="Book Antiqua"/>
          <w:color w:val="000000" w:themeColor="text1"/>
        </w:rPr>
        <w:t xml:space="preserve"> AI, Ciocâlteu-Ionescu AM, </w:t>
      </w:r>
      <w:r w:rsidRPr="005E512C">
        <w:rPr>
          <w:rFonts w:ascii="Cambria" w:eastAsia="Book Antiqua" w:hAnsi="Cambria" w:cs="Cambria"/>
          <w:color w:val="000000" w:themeColor="text1"/>
        </w:rPr>
        <w:t>Ș</w:t>
      </w:r>
      <w:r w:rsidRPr="005E512C">
        <w:rPr>
          <w:rFonts w:ascii="Book Antiqua" w:eastAsia="Book Antiqua" w:hAnsi="Book Antiqua" w:cs="Book Antiqua"/>
          <w:color w:val="000000" w:themeColor="text1"/>
        </w:rPr>
        <w:t xml:space="preserve">urlin VM, Drăgoescu OP. Presepsin as a Potential Prognostic Marker for Sepsis According to Actual Practice Guidelines. </w:t>
      </w:r>
      <w:r w:rsidRPr="005E512C">
        <w:rPr>
          <w:rFonts w:ascii="Book Antiqua" w:eastAsia="Book Antiqua" w:hAnsi="Book Antiqua" w:cs="Book Antiqua"/>
          <w:i/>
          <w:iCs/>
          <w:color w:val="000000" w:themeColor="text1"/>
        </w:rPr>
        <w:t>J Pers Med</w:t>
      </w:r>
      <w:r w:rsidRPr="005E512C">
        <w:rPr>
          <w:rFonts w:ascii="Book Antiqua" w:eastAsia="Book Antiqua" w:hAnsi="Book Antiqua" w:cs="Book Antiqua"/>
          <w:color w:val="000000" w:themeColor="text1"/>
        </w:rPr>
        <w:t xml:space="preserve"> 2020; </w:t>
      </w:r>
      <w:r w:rsidRPr="005E512C">
        <w:rPr>
          <w:rFonts w:ascii="Book Antiqua" w:eastAsia="Book Antiqua" w:hAnsi="Book Antiqua" w:cs="Book Antiqua"/>
          <w:b/>
          <w:bCs/>
          <w:color w:val="000000" w:themeColor="text1"/>
        </w:rPr>
        <w:t>11</w:t>
      </w:r>
      <w:r w:rsidRPr="005E512C">
        <w:rPr>
          <w:rFonts w:ascii="Book Antiqua" w:eastAsia="Book Antiqua" w:hAnsi="Book Antiqua" w:cs="Book Antiqua"/>
          <w:color w:val="000000" w:themeColor="text1"/>
        </w:rPr>
        <w:t xml:space="preserve"> [PMID: 33374939 DOI: 10.3390/jpm11010002]</w:t>
      </w:r>
    </w:p>
    <w:p w14:paraId="04A23103"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28 </w:t>
      </w:r>
      <w:r w:rsidRPr="005E512C">
        <w:rPr>
          <w:rFonts w:ascii="Book Antiqua" w:eastAsia="Book Antiqua" w:hAnsi="Book Antiqua" w:cs="Book Antiqua"/>
          <w:b/>
          <w:bCs/>
          <w:color w:val="000000" w:themeColor="text1"/>
        </w:rPr>
        <w:t>Ferrarese A</w:t>
      </w:r>
      <w:r w:rsidRPr="005E512C">
        <w:rPr>
          <w:rFonts w:ascii="Book Antiqua" w:eastAsia="Book Antiqua" w:hAnsi="Book Antiqua" w:cs="Book Antiqua"/>
          <w:color w:val="000000" w:themeColor="text1"/>
        </w:rPr>
        <w:t xml:space="preserve">, Frigo AC, Mion MM, Plebani M, Russo FP, Germani G, Gambato M, Cillo U, Cattelan A, Burra P, Senzolo M. Diagnostic and prognostic role of presepsin in patients with cirrhosis and bacterial infection. </w:t>
      </w:r>
      <w:r w:rsidRPr="005E512C">
        <w:rPr>
          <w:rFonts w:ascii="Book Antiqua" w:eastAsia="Book Antiqua" w:hAnsi="Book Antiqua" w:cs="Book Antiqua"/>
          <w:i/>
          <w:iCs/>
          <w:color w:val="000000" w:themeColor="text1"/>
        </w:rPr>
        <w:t>Clin Chem Lab Med</w:t>
      </w:r>
      <w:r w:rsidRPr="005E512C">
        <w:rPr>
          <w:rFonts w:ascii="Book Antiqua" w:eastAsia="Book Antiqua" w:hAnsi="Book Antiqua" w:cs="Book Antiqua"/>
          <w:color w:val="000000" w:themeColor="text1"/>
        </w:rPr>
        <w:t xml:space="preserve"> 2020 [PMID: 33095752 DOI: 10.1515/cclm-2020-1212]</w:t>
      </w:r>
    </w:p>
    <w:p w14:paraId="5D3EE720"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29 </w:t>
      </w:r>
      <w:r w:rsidRPr="005E512C">
        <w:rPr>
          <w:rFonts w:ascii="Book Antiqua" w:eastAsia="Book Antiqua" w:hAnsi="Book Antiqua" w:cs="Book Antiqua"/>
          <w:b/>
          <w:bCs/>
          <w:color w:val="000000" w:themeColor="text1"/>
        </w:rPr>
        <w:t>Zadroga R</w:t>
      </w:r>
      <w:r w:rsidRPr="005E512C">
        <w:rPr>
          <w:rFonts w:ascii="Book Antiqua" w:eastAsia="Book Antiqua" w:hAnsi="Book Antiqua" w:cs="Book Antiqua"/>
          <w:color w:val="000000" w:themeColor="text1"/>
        </w:rPr>
        <w:t xml:space="preserve">, Williams DN, Gottschall R, Hanson K, Nordberg V, Deike M, Kuskowski M, Carlson L, Nicolau DP, Sutherland C, Hansen GT. Comparison of 2 blood culture media shows significant differences in bacterial recovery for patients on antimicrobial therapy. </w:t>
      </w:r>
      <w:r w:rsidRPr="005E512C">
        <w:rPr>
          <w:rFonts w:ascii="Book Antiqua" w:eastAsia="Book Antiqua" w:hAnsi="Book Antiqua" w:cs="Book Antiqua"/>
          <w:i/>
          <w:iCs/>
          <w:color w:val="000000" w:themeColor="text1"/>
        </w:rPr>
        <w:t>Clin Infect Dis</w:t>
      </w:r>
      <w:r w:rsidRPr="005E512C">
        <w:rPr>
          <w:rFonts w:ascii="Book Antiqua" w:eastAsia="Book Antiqua" w:hAnsi="Book Antiqua" w:cs="Book Antiqua"/>
          <w:color w:val="000000" w:themeColor="text1"/>
        </w:rPr>
        <w:t xml:space="preserve"> 2013; </w:t>
      </w:r>
      <w:r w:rsidRPr="005E512C">
        <w:rPr>
          <w:rFonts w:ascii="Book Antiqua" w:eastAsia="Book Antiqua" w:hAnsi="Book Antiqua" w:cs="Book Antiqua"/>
          <w:b/>
          <w:bCs/>
          <w:color w:val="000000" w:themeColor="text1"/>
        </w:rPr>
        <w:t>56</w:t>
      </w:r>
      <w:r w:rsidRPr="005E512C">
        <w:rPr>
          <w:rFonts w:ascii="Book Antiqua" w:eastAsia="Book Antiqua" w:hAnsi="Book Antiqua" w:cs="Book Antiqua"/>
          <w:color w:val="000000" w:themeColor="text1"/>
        </w:rPr>
        <w:t>: 790-797 [PMID: 23223586 DOI: 10.1093/cid/cis1021]</w:t>
      </w:r>
    </w:p>
    <w:p w14:paraId="5135A8D1"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30 </w:t>
      </w:r>
      <w:r w:rsidRPr="005E512C">
        <w:rPr>
          <w:rFonts w:ascii="Book Antiqua" w:eastAsia="Book Antiqua" w:hAnsi="Book Antiqua" w:cs="Book Antiqua"/>
          <w:b/>
          <w:bCs/>
          <w:color w:val="000000" w:themeColor="text1"/>
        </w:rPr>
        <w:t>Webb AL</w:t>
      </w:r>
      <w:r w:rsidRPr="005E512C">
        <w:rPr>
          <w:rFonts w:ascii="Book Antiqua" w:eastAsia="Book Antiqua" w:hAnsi="Book Antiqua" w:cs="Book Antiqua"/>
          <w:color w:val="000000" w:themeColor="text1"/>
        </w:rPr>
        <w:t xml:space="preserve">, Kramer N, Stead TG, Mangal R, Lebowitz D, Dub L, Rosario J, Tak M, Reddy S, Lee JR, Adams J, Banerjee PR, Wallen M, Ganti L. Serum Procalcitonin Level Is Associated with Positive Blood Cultures, In-hospital Mortality, and Septic Shock in Emergency Department Sepsis Patients. </w:t>
      </w:r>
      <w:r w:rsidRPr="005E512C">
        <w:rPr>
          <w:rFonts w:ascii="Book Antiqua" w:eastAsia="Book Antiqua" w:hAnsi="Book Antiqua" w:cs="Book Antiqua"/>
          <w:i/>
          <w:iCs/>
          <w:color w:val="000000" w:themeColor="text1"/>
        </w:rPr>
        <w:t>Cureus</w:t>
      </w:r>
      <w:r w:rsidRPr="005E512C">
        <w:rPr>
          <w:rFonts w:ascii="Book Antiqua" w:eastAsia="Book Antiqua" w:hAnsi="Book Antiqua" w:cs="Book Antiqua"/>
          <w:color w:val="000000" w:themeColor="text1"/>
        </w:rPr>
        <w:t xml:space="preserve"> 2020; </w:t>
      </w:r>
      <w:r w:rsidRPr="005E512C">
        <w:rPr>
          <w:rFonts w:ascii="Book Antiqua" w:eastAsia="Book Antiqua" w:hAnsi="Book Antiqua" w:cs="Book Antiqua"/>
          <w:b/>
          <w:bCs/>
          <w:color w:val="000000" w:themeColor="text1"/>
        </w:rPr>
        <w:t>12</w:t>
      </w:r>
      <w:r w:rsidRPr="005E512C">
        <w:rPr>
          <w:rFonts w:ascii="Book Antiqua" w:eastAsia="Book Antiqua" w:hAnsi="Book Antiqua" w:cs="Book Antiqua"/>
          <w:color w:val="000000" w:themeColor="text1"/>
        </w:rPr>
        <w:t>: e7812 [PMID: 32467788 DOI: 10.7759/cureus.7812]</w:t>
      </w:r>
    </w:p>
    <w:p w14:paraId="129A2CE0" w14:textId="3F402DAE"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 xml:space="preserve">31 </w:t>
      </w:r>
      <w:r w:rsidRPr="005E512C">
        <w:rPr>
          <w:rFonts w:ascii="Book Antiqua" w:eastAsia="Book Antiqua" w:hAnsi="Book Antiqua" w:cs="Book Antiqua"/>
          <w:b/>
          <w:bCs/>
          <w:color w:val="000000" w:themeColor="text1"/>
        </w:rPr>
        <w:t>Yu Y</w:t>
      </w:r>
      <w:r w:rsidRPr="005E512C">
        <w:rPr>
          <w:rFonts w:ascii="Book Antiqua" w:eastAsia="Book Antiqua" w:hAnsi="Book Antiqua" w:cs="Book Antiqua"/>
          <w:color w:val="000000" w:themeColor="text1"/>
        </w:rPr>
        <w:t xml:space="preserve">, Li XX, Jiang LX, Du M, Liu ZG, Cen ZR, Wang H, Guo ZH, Chang P. Procalcitonin levels in patients with positive blood culture, positive body fluid culture, sepsis, and severe sepsis: a cross-sectional study. </w:t>
      </w:r>
      <w:r w:rsidRPr="005E512C">
        <w:rPr>
          <w:rFonts w:ascii="Book Antiqua" w:eastAsia="Book Antiqua" w:hAnsi="Book Antiqua" w:cs="Book Antiqua"/>
          <w:i/>
          <w:iCs/>
          <w:color w:val="000000" w:themeColor="text1"/>
        </w:rPr>
        <w:t>Infect Dis</w:t>
      </w:r>
      <w:r w:rsidR="006F7889">
        <w:rPr>
          <w:rFonts w:ascii="Book Antiqua" w:eastAsia="Book Antiqua" w:hAnsi="Book Antiqua" w:cs="Book Antiqua"/>
          <w:i/>
          <w:iCs/>
          <w:color w:val="000000" w:themeColor="text1"/>
        </w:rPr>
        <w:t xml:space="preserve"> (</w:t>
      </w:r>
      <w:r w:rsidRPr="005E512C">
        <w:rPr>
          <w:rFonts w:ascii="Book Antiqua" w:eastAsia="Book Antiqua" w:hAnsi="Book Antiqua" w:cs="Book Antiqua"/>
          <w:i/>
          <w:iCs/>
          <w:color w:val="000000" w:themeColor="text1"/>
        </w:rPr>
        <w:t>Lond)</w:t>
      </w:r>
      <w:r w:rsidRPr="005E512C">
        <w:rPr>
          <w:rFonts w:ascii="Book Antiqua" w:eastAsia="Book Antiqua" w:hAnsi="Book Antiqua" w:cs="Book Antiqua"/>
          <w:color w:val="000000" w:themeColor="text1"/>
        </w:rPr>
        <w:t xml:space="preserve"> 2016; </w:t>
      </w:r>
      <w:r w:rsidRPr="005E512C">
        <w:rPr>
          <w:rFonts w:ascii="Book Antiqua" w:eastAsia="Book Antiqua" w:hAnsi="Book Antiqua" w:cs="Book Antiqua"/>
          <w:b/>
          <w:bCs/>
          <w:color w:val="000000" w:themeColor="text1"/>
        </w:rPr>
        <w:t>48</w:t>
      </w:r>
      <w:r w:rsidRPr="005E512C">
        <w:rPr>
          <w:rFonts w:ascii="Book Antiqua" w:eastAsia="Book Antiqua" w:hAnsi="Book Antiqua" w:cs="Book Antiqua"/>
          <w:color w:val="000000" w:themeColor="text1"/>
        </w:rPr>
        <w:t>: 63-69 [PMID: 26337821 DOI: 10.3109/23744235.2015.1082618]</w:t>
      </w:r>
    </w:p>
    <w:bookmarkEnd w:id="3"/>
    <w:p w14:paraId="531D6B53" w14:textId="77777777" w:rsidR="00B35099" w:rsidRDefault="00B35099" w:rsidP="005E512C">
      <w:pPr>
        <w:adjustRightInd w:val="0"/>
        <w:snapToGrid w:val="0"/>
        <w:spacing w:line="360" w:lineRule="auto"/>
        <w:jc w:val="both"/>
        <w:rPr>
          <w:rFonts w:ascii="Book Antiqua" w:eastAsia="Book Antiqua" w:hAnsi="Book Antiqua" w:cs="Book Antiqua"/>
          <w:b/>
          <w:color w:val="000000" w:themeColor="text1"/>
        </w:rPr>
      </w:pPr>
    </w:p>
    <w:p w14:paraId="0513B5A5" w14:textId="77777777" w:rsidR="00B35099" w:rsidRDefault="00B35099" w:rsidP="005E512C">
      <w:pPr>
        <w:adjustRightInd w:val="0"/>
        <w:snapToGrid w:val="0"/>
        <w:spacing w:line="360" w:lineRule="auto"/>
        <w:jc w:val="both"/>
        <w:rPr>
          <w:rFonts w:ascii="Book Antiqua" w:eastAsia="Book Antiqua" w:hAnsi="Book Antiqua" w:cs="Book Antiqua"/>
          <w:b/>
          <w:color w:val="000000" w:themeColor="text1"/>
        </w:rPr>
      </w:pPr>
    </w:p>
    <w:p w14:paraId="1B0CD7D3" w14:textId="2AAB34C2"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Footnotes</w:t>
      </w:r>
    </w:p>
    <w:p w14:paraId="56C08BC6" w14:textId="5DFFE6C1"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Institutional review board statement: </w:t>
      </w:r>
      <w:r w:rsidRPr="005E512C">
        <w:rPr>
          <w:rFonts w:ascii="Book Antiqua" w:eastAsia="Book Antiqua" w:hAnsi="Book Antiqua" w:cs="Book Antiqua"/>
          <w:color w:val="000000" w:themeColor="text1"/>
        </w:rPr>
        <w:t>The study was reviewed and approved by the Beijing Friendship Hospital Institutional Review Board</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Approval No. 2018-P2-063-01).</w:t>
      </w:r>
    </w:p>
    <w:p w14:paraId="33BF07C4"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4299C611"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Informed consent statement: </w:t>
      </w:r>
      <w:r w:rsidRPr="005E512C">
        <w:rPr>
          <w:rFonts w:ascii="Book Antiqua" w:eastAsia="Book Antiqua" w:hAnsi="Book Antiqua" w:cs="Book Antiqua"/>
          <w:color w:val="000000" w:themeColor="text1"/>
        </w:rPr>
        <w:t>All study participants, or their legal guardian, provided informed written consent prior to study enrollment.</w:t>
      </w:r>
    </w:p>
    <w:p w14:paraId="2050482E"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42EDC38F"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Conflict-of-interest statement: </w:t>
      </w:r>
      <w:r w:rsidRPr="005E512C">
        <w:rPr>
          <w:rFonts w:ascii="Book Antiqua" w:eastAsia="Book Antiqua" w:hAnsi="Book Antiqua" w:cs="Book Antiqua"/>
          <w:color w:val="000000" w:themeColor="text1"/>
        </w:rPr>
        <w:t>There are no conflicts of interest to report.</w:t>
      </w:r>
    </w:p>
    <w:p w14:paraId="36741D4A" w14:textId="77777777" w:rsidR="00A77B3E" w:rsidRPr="005E512C" w:rsidRDefault="00A77B3E" w:rsidP="005E512C">
      <w:pPr>
        <w:adjustRightInd w:val="0"/>
        <w:snapToGrid w:val="0"/>
        <w:spacing w:line="360" w:lineRule="auto"/>
        <w:ind w:hanging="480"/>
        <w:jc w:val="both"/>
        <w:rPr>
          <w:rFonts w:ascii="Book Antiqua" w:hAnsi="Book Antiqua"/>
          <w:color w:val="000000" w:themeColor="text1"/>
        </w:rPr>
      </w:pPr>
    </w:p>
    <w:p w14:paraId="1F947FA5" w14:textId="1DED03D2"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Data sharing statement: </w:t>
      </w:r>
      <w:r w:rsidRPr="005E512C">
        <w:rPr>
          <w:rFonts w:ascii="Book Antiqua" w:eastAsia="Book Antiqua" w:hAnsi="Book Antiqua" w:cs="Book Antiqua"/>
          <w:color w:val="000000" w:themeColor="text1"/>
        </w:rPr>
        <w:t>No additional data are available</w:t>
      </w:r>
      <w:r w:rsidR="00F25145">
        <w:rPr>
          <w:rFonts w:ascii="Book Antiqua" w:eastAsia="Book Antiqua" w:hAnsi="Book Antiqua" w:cs="Book Antiqua"/>
          <w:color w:val="000000" w:themeColor="text1"/>
        </w:rPr>
        <w:t>.</w:t>
      </w:r>
    </w:p>
    <w:p w14:paraId="2F812709"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08C34742"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STROBE statement: </w:t>
      </w:r>
      <w:r w:rsidRPr="005E512C">
        <w:rPr>
          <w:rFonts w:ascii="Book Antiqua" w:eastAsia="Book Antiqua" w:hAnsi="Book Antiqua" w:cs="Book Antiqua"/>
          <w:color w:val="000000" w:themeColor="text1"/>
        </w:rPr>
        <w:t>The authors have read the STROBE Statement—checklist of items, and the manuscript was prepared and revised according to the STROBE Statement—checklist of items.</w:t>
      </w:r>
    </w:p>
    <w:p w14:paraId="4691714A"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54B3F434" w14:textId="032CF41B"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bCs/>
          <w:color w:val="000000" w:themeColor="text1"/>
        </w:rPr>
        <w:t xml:space="preserve">Open-Access: </w:t>
      </w:r>
      <w:r w:rsidRPr="005E512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AC644E"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6E90D003" w14:textId="46FA9CA8"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 xml:space="preserve">Manuscript source: </w:t>
      </w:r>
      <w:r w:rsidRPr="005E512C">
        <w:rPr>
          <w:rFonts w:ascii="Book Antiqua" w:eastAsia="Book Antiqua" w:hAnsi="Book Antiqua" w:cs="Book Antiqua"/>
          <w:color w:val="000000" w:themeColor="text1"/>
        </w:rPr>
        <w:t xml:space="preserve">Unsolicited </w:t>
      </w:r>
      <w:r w:rsidR="00C82A3E" w:rsidRPr="005E512C">
        <w:rPr>
          <w:rFonts w:ascii="Book Antiqua" w:eastAsia="Book Antiqua" w:hAnsi="Book Antiqua" w:cs="Book Antiqua"/>
          <w:color w:val="000000" w:themeColor="text1"/>
        </w:rPr>
        <w:t>manuscript</w:t>
      </w:r>
    </w:p>
    <w:p w14:paraId="4488EE76"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543109F2"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 xml:space="preserve">Peer-review started: </w:t>
      </w:r>
      <w:r w:rsidRPr="005E512C">
        <w:rPr>
          <w:rFonts w:ascii="Book Antiqua" w:eastAsia="Book Antiqua" w:hAnsi="Book Antiqua" w:cs="Book Antiqua"/>
          <w:color w:val="000000" w:themeColor="text1"/>
        </w:rPr>
        <w:t>June 22, 2021</w:t>
      </w:r>
    </w:p>
    <w:p w14:paraId="78576406"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 xml:space="preserve">First decision: </w:t>
      </w:r>
      <w:r w:rsidRPr="005E512C">
        <w:rPr>
          <w:rFonts w:ascii="Book Antiqua" w:eastAsia="Book Antiqua" w:hAnsi="Book Antiqua" w:cs="Book Antiqua"/>
          <w:color w:val="000000" w:themeColor="text1"/>
        </w:rPr>
        <w:t>July 26, 2021</w:t>
      </w:r>
    </w:p>
    <w:p w14:paraId="4BA53596"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 xml:space="preserve">Article in press: </w:t>
      </w:r>
    </w:p>
    <w:p w14:paraId="1C059BA1"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1E3024B1" w14:textId="62BE4EA2"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lastRenderedPageBreak/>
        <w:t xml:space="preserve">Specialty type: </w:t>
      </w:r>
      <w:r w:rsidRPr="005E512C">
        <w:rPr>
          <w:rFonts w:ascii="Book Antiqua" w:eastAsia="Book Antiqua" w:hAnsi="Book Antiqua" w:cs="Book Antiqua"/>
          <w:color w:val="000000" w:themeColor="text1"/>
        </w:rPr>
        <w:t xml:space="preserve">Emergency </w:t>
      </w:r>
      <w:r w:rsidR="006423E1">
        <w:rPr>
          <w:rFonts w:ascii="Book Antiqua" w:eastAsia="Book Antiqua" w:hAnsi="Book Antiqua" w:cs="Book Antiqua"/>
          <w:color w:val="000000" w:themeColor="text1"/>
        </w:rPr>
        <w:t>m</w:t>
      </w:r>
      <w:r w:rsidRPr="005E512C">
        <w:rPr>
          <w:rFonts w:ascii="Book Antiqua" w:eastAsia="Book Antiqua" w:hAnsi="Book Antiqua" w:cs="Book Antiqua"/>
          <w:color w:val="000000" w:themeColor="text1"/>
        </w:rPr>
        <w:t>edicine</w:t>
      </w:r>
    </w:p>
    <w:p w14:paraId="37FC4C6E"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 xml:space="preserve">Country/Territory of origin: </w:t>
      </w:r>
      <w:r w:rsidRPr="005E512C">
        <w:rPr>
          <w:rFonts w:ascii="Book Antiqua" w:eastAsia="Book Antiqua" w:hAnsi="Book Antiqua" w:cs="Book Antiqua"/>
          <w:color w:val="000000" w:themeColor="text1"/>
        </w:rPr>
        <w:t>China</w:t>
      </w:r>
    </w:p>
    <w:p w14:paraId="650CDF4A" w14:textId="77777777"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b/>
          <w:color w:val="000000" w:themeColor="text1"/>
        </w:rPr>
        <w:t>Peer-review report’s scientific quality classification</w:t>
      </w:r>
    </w:p>
    <w:p w14:paraId="39DF1717" w14:textId="2918E0A0"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Grade A</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Excellent): 0</w:t>
      </w:r>
    </w:p>
    <w:p w14:paraId="3E8594D6" w14:textId="2C1512B9"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Grade B</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Very good): 0</w:t>
      </w:r>
    </w:p>
    <w:p w14:paraId="25ABBA86" w14:textId="124EA244"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Grade C</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Good): C</w:t>
      </w:r>
    </w:p>
    <w:p w14:paraId="481F65EB" w14:textId="24A7AFF8"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Grade D</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Fair): 0</w:t>
      </w:r>
    </w:p>
    <w:p w14:paraId="7795CDE5" w14:textId="0BD1B5B6" w:rsidR="00A77B3E" w:rsidRPr="005E512C" w:rsidRDefault="003C1887" w:rsidP="005E512C">
      <w:pPr>
        <w:adjustRightInd w:val="0"/>
        <w:snapToGrid w:val="0"/>
        <w:spacing w:line="360" w:lineRule="auto"/>
        <w:jc w:val="both"/>
        <w:rPr>
          <w:rFonts w:ascii="Book Antiqua" w:hAnsi="Book Antiqua"/>
          <w:color w:val="000000" w:themeColor="text1"/>
        </w:rPr>
      </w:pPr>
      <w:r w:rsidRPr="005E512C">
        <w:rPr>
          <w:rFonts w:ascii="Book Antiqua" w:eastAsia="Book Antiqua" w:hAnsi="Book Antiqua" w:cs="Book Antiqua"/>
          <w:color w:val="000000" w:themeColor="text1"/>
        </w:rPr>
        <w:t>Grade E</w:t>
      </w:r>
      <w:r w:rsidR="006F7889">
        <w:rPr>
          <w:rFonts w:ascii="Book Antiqua" w:eastAsia="Book Antiqua" w:hAnsi="Book Antiqua" w:cs="Book Antiqua"/>
          <w:color w:val="000000" w:themeColor="text1"/>
        </w:rPr>
        <w:t xml:space="preserve"> (</w:t>
      </w:r>
      <w:r w:rsidRPr="005E512C">
        <w:rPr>
          <w:rFonts w:ascii="Book Antiqua" w:eastAsia="Book Antiqua" w:hAnsi="Book Antiqua" w:cs="Book Antiqua"/>
          <w:color w:val="000000" w:themeColor="text1"/>
        </w:rPr>
        <w:t>Poor): 0</w:t>
      </w:r>
    </w:p>
    <w:p w14:paraId="4908CF1D" w14:textId="77777777" w:rsidR="00A77B3E" w:rsidRPr="005E512C" w:rsidRDefault="00A77B3E" w:rsidP="005E512C">
      <w:pPr>
        <w:adjustRightInd w:val="0"/>
        <w:snapToGrid w:val="0"/>
        <w:spacing w:line="360" w:lineRule="auto"/>
        <w:jc w:val="both"/>
        <w:rPr>
          <w:rFonts w:ascii="Book Antiqua" w:hAnsi="Book Antiqua"/>
          <w:color w:val="000000" w:themeColor="text1"/>
        </w:rPr>
      </w:pPr>
    </w:p>
    <w:p w14:paraId="71FE6E5D" w14:textId="4FF2E44F" w:rsidR="00A77B3E" w:rsidRPr="005E512C" w:rsidRDefault="003C1887" w:rsidP="005E512C">
      <w:pPr>
        <w:adjustRightInd w:val="0"/>
        <w:snapToGrid w:val="0"/>
        <w:spacing w:line="360" w:lineRule="auto"/>
        <w:jc w:val="both"/>
        <w:rPr>
          <w:rFonts w:ascii="Book Antiqua" w:eastAsia="Book Antiqua" w:hAnsi="Book Antiqua" w:cs="Book Antiqua"/>
          <w:b/>
          <w:color w:val="000000" w:themeColor="text1"/>
        </w:rPr>
      </w:pPr>
      <w:r w:rsidRPr="005E512C">
        <w:rPr>
          <w:rFonts w:ascii="Book Antiqua" w:eastAsia="Book Antiqua" w:hAnsi="Book Antiqua" w:cs="Book Antiqua"/>
          <w:b/>
          <w:color w:val="000000" w:themeColor="text1"/>
        </w:rPr>
        <w:t xml:space="preserve">P-Reviewer: </w:t>
      </w:r>
      <w:r w:rsidRPr="005E512C">
        <w:rPr>
          <w:rFonts w:ascii="Book Antiqua" w:eastAsia="Book Antiqua" w:hAnsi="Book Antiqua" w:cs="Book Antiqua"/>
          <w:color w:val="000000" w:themeColor="text1"/>
        </w:rPr>
        <w:t>Imaoka H</w:t>
      </w:r>
      <w:r w:rsidRPr="005E512C">
        <w:rPr>
          <w:rFonts w:ascii="Book Antiqua" w:eastAsia="Book Antiqua" w:hAnsi="Book Antiqua" w:cs="Book Antiqua"/>
          <w:b/>
          <w:color w:val="000000" w:themeColor="text1"/>
        </w:rPr>
        <w:t xml:space="preserve"> S-Editor: </w:t>
      </w:r>
      <w:r w:rsidR="004707EA" w:rsidRPr="005E512C">
        <w:rPr>
          <w:rFonts w:ascii="Book Antiqua" w:eastAsia="Book Antiqua" w:hAnsi="Book Antiqua" w:cs="Book Antiqua"/>
          <w:color w:val="000000" w:themeColor="text1"/>
        </w:rPr>
        <w:t>Wang JL</w:t>
      </w:r>
      <w:r w:rsidRPr="005E512C">
        <w:rPr>
          <w:rFonts w:ascii="Book Antiqua" w:eastAsia="Book Antiqua" w:hAnsi="Book Antiqua" w:cs="Book Antiqua"/>
          <w:b/>
          <w:color w:val="000000" w:themeColor="text1"/>
        </w:rPr>
        <w:t xml:space="preserve"> L</w:t>
      </w:r>
      <w:r w:rsidRPr="005E512C">
        <w:rPr>
          <w:rFonts w:ascii="Book Antiqua" w:eastAsia="Book Antiqua" w:hAnsi="Book Antiqua" w:cs="Book Antiqua"/>
          <w:b/>
          <w:color w:val="000000" w:themeColor="text1"/>
        </w:rPr>
        <w:t xml:space="preserve">-Editor: </w:t>
      </w:r>
      <w:r w:rsidR="00E00138" w:rsidRPr="00F83924">
        <w:rPr>
          <w:rFonts w:ascii="Book Antiqua" w:eastAsia="Book Antiqua" w:hAnsi="Book Antiqua" w:cs="Book Antiqua"/>
          <w:color w:val="000000" w:themeColor="text1"/>
        </w:rPr>
        <w:t>Wang TQ</w:t>
      </w:r>
      <w:r w:rsidR="00E00138">
        <w:rPr>
          <w:rFonts w:ascii="Book Antiqua" w:eastAsia="Book Antiqua" w:hAnsi="Book Antiqua" w:cs="Book Antiqua"/>
          <w:b/>
          <w:color w:val="000000" w:themeColor="text1"/>
        </w:rPr>
        <w:t xml:space="preserve"> </w:t>
      </w:r>
      <w:r w:rsidRPr="005E512C">
        <w:rPr>
          <w:rFonts w:ascii="Book Antiqua" w:eastAsia="Book Antiqua" w:hAnsi="Book Antiqua" w:cs="Book Antiqua"/>
          <w:b/>
          <w:color w:val="000000" w:themeColor="text1"/>
        </w:rPr>
        <w:t>P-Ed</w:t>
      </w:r>
      <w:r w:rsidRPr="005E512C">
        <w:rPr>
          <w:rFonts w:ascii="Book Antiqua" w:eastAsia="Book Antiqua" w:hAnsi="Book Antiqua" w:cs="Book Antiqua"/>
          <w:b/>
          <w:color w:val="000000" w:themeColor="text1"/>
        </w:rPr>
        <w:t xml:space="preserve">itor: </w:t>
      </w:r>
    </w:p>
    <w:p w14:paraId="648CF0DB" w14:textId="0E00E225" w:rsidR="00810D16" w:rsidRPr="005E512C" w:rsidRDefault="00810D16" w:rsidP="005E512C">
      <w:pPr>
        <w:adjustRightInd w:val="0"/>
        <w:snapToGrid w:val="0"/>
        <w:spacing w:line="360" w:lineRule="auto"/>
        <w:jc w:val="both"/>
        <w:rPr>
          <w:rFonts w:ascii="Book Antiqua" w:eastAsia="Book Antiqua" w:hAnsi="Book Antiqua" w:cs="Book Antiqua"/>
          <w:b/>
          <w:color w:val="000000" w:themeColor="text1"/>
        </w:rPr>
      </w:pPr>
    </w:p>
    <w:p w14:paraId="52F05E16" w14:textId="799787B2" w:rsidR="00810D16" w:rsidRPr="005E512C" w:rsidRDefault="00810D16" w:rsidP="005E512C">
      <w:pPr>
        <w:adjustRightInd w:val="0"/>
        <w:snapToGrid w:val="0"/>
        <w:spacing w:line="360" w:lineRule="auto"/>
        <w:jc w:val="both"/>
        <w:rPr>
          <w:rFonts w:ascii="Book Antiqua" w:hAnsi="Book Antiqua" w:cs="Book Antiqua"/>
          <w:b/>
          <w:color w:val="000000" w:themeColor="text1"/>
          <w:lang w:eastAsia="zh-CN"/>
        </w:rPr>
      </w:pPr>
      <w:r w:rsidRPr="005E512C">
        <w:rPr>
          <w:rFonts w:ascii="Book Antiqua" w:hAnsi="Book Antiqua" w:cs="Book Antiqua"/>
          <w:b/>
          <w:color w:val="000000" w:themeColor="text1"/>
          <w:lang w:eastAsia="zh-CN"/>
        </w:rPr>
        <w:t>Figure Legends</w:t>
      </w:r>
    </w:p>
    <w:p w14:paraId="14FEDF31" w14:textId="736838ED" w:rsidR="009C6F6E" w:rsidRPr="005E512C" w:rsidRDefault="009C6F6E" w:rsidP="005E512C">
      <w:pPr>
        <w:adjustRightInd w:val="0"/>
        <w:snapToGrid w:val="0"/>
        <w:spacing w:line="360" w:lineRule="auto"/>
        <w:jc w:val="both"/>
        <w:rPr>
          <w:rFonts w:ascii="Book Antiqua" w:eastAsia="宋体" w:hAnsi="Book Antiqua" w:cs="Times"/>
          <w:b/>
          <w:bCs/>
          <w:color w:val="000000" w:themeColor="text1"/>
        </w:rPr>
      </w:pPr>
      <w:r w:rsidRPr="005E512C">
        <w:rPr>
          <w:rFonts w:ascii="Book Antiqua" w:hAnsi="Book Antiqua"/>
          <w:noProof/>
          <w:color w:val="000000" w:themeColor="text1"/>
          <w:lang w:eastAsia="zh-CN"/>
        </w:rPr>
        <w:drawing>
          <wp:inline distT="0" distB="0" distL="0" distR="0" wp14:anchorId="005CDE1A" wp14:editId="3E9F4106">
            <wp:extent cx="4905057" cy="34801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26500" cy="3495393"/>
                    </a:xfrm>
                    <a:prstGeom prst="rect">
                      <a:avLst/>
                    </a:prstGeom>
                  </pic:spPr>
                </pic:pic>
              </a:graphicData>
            </a:graphic>
          </wp:inline>
        </w:drawing>
      </w:r>
    </w:p>
    <w:p w14:paraId="453DA908" w14:textId="37254AC7" w:rsidR="00810D16" w:rsidRPr="005E512C" w:rsidRDefault="002B5257" w:rsidP="005E512C">
      <w:pPr>
        <w:adjustRightInd w:val="0"/>
        <w:snapToGrid w:val="0"/>
        <w:spacing w:line="360" w:lineRule="auto"/>
        <w:jc w:val="both"/>
        <w:rPr>
          <w:rFonts w:ascii="Book Antiqua" w:eastAsia="宋体" w:hAnsi="Book Antiqua" w:cs="Times"/>
          <w:color w:val="000000" w:themeColor="text1"/>
        </w:rPr>
      </w:pPr>
      <w:r w:rsidRPr="005E512C">
        <w:rPr>
          <w:rFonts w:ascii="Book Antiqua" w:eastAsia="宋体" w:hAnsi="Book Antiqua" w:cs="Times"/>
          <w:b/>
          <w:bCs/>
          <w:color w:val="000000" w:themeColor="text1"/>
        </w:rPr>
        <w:t>Fig</w:t>
      </w:r>
      <w:r w:rsidR="009C6F6E" w:rsidRPr="005E512C">
        <w:rPr>
          <w:rFonts w:ascii="Book Antiqua" w:eastAsia="宋体" w:hAnsi="Book Antiqua" w:cs="Times"/>
          <w:b/>
          <w:bCs/>
          <w:color w:val="000000" w:themeColor="text1"/>
        </w:rPr>
        <w:t xml:space="preserve">ure </w:t>
      </w:r>
      <w:r w:rsidRPr="005E512C">
        <w:rPr>
          <w:rFonts w:ascii="Book Antiqua" w:eastAsia="宋体" w:hAnsi="Book Antiqua" w:cs="Times"/>
          <w:b/>
          <w:bCs/>
          <w:color w:val="000000" w:themeColor="text1"/>
        </w:rPr>
        <w:t>1 Flowchart of the participants.</w:t>
      </w:r>
      <w:r w:rsidRPr="005E512C">
        <w:rPr>
          <w:rFonts w:ascii="Book Antiqua" w:eastAsia="宋体" w:hAnsi="Book Antiqua" w:cs="Times"/>
          <w:color w:val="000000" w:themeColor="text1"/>
        </w:rPr>
        <w:t xml:space="preserve"> Diagnostic criteria and severity grading of acute cholangitis were determined by the Tokyo guidelines 2018: </w:t>
      </w:r>
      <w:r w:rsidR="006423E1">
        <w:rPr>
          <w:rFonts w:ascii="Book Antiqua" w:eastAsia="宋体" w:hAnsi="Book Antiqua" w:cs="Times"/>
          <w:color w:val="000000" w:themeColor="text1"/>
        </w:rPr>
        <w:t>D</w:t>
      </w:r>
      <w:r w:rsidRPr="005E512C">
        <w:rPr>
          <w:rFonts w:ascii="Book Antiqua" w:eastAsia="宋体" w:hAnsi="Book Antiqua" w:cs="Times"/>
          <w:color w:val="000000" w:themeColor="text1"/>
        </w:rPr>
        <w:t>iagnostic criteria and s</w:t>
      </w:r>
      <w:r w:rsidRPr="005E512C">
        <w:rPr>
          <w:rFonts w:ascii="Book Antiqua" w:eastAsia="宋体" w:hAnsi="Book Antiqua" w:cs="Times"/>
          <w:color w:val="000000" w:themeColor="text1"/>
        </w:rPr>
        <w:t>everity grading of acute cholangitis.</w:t>
      </w:r>
    </w:p>
    <w:p w14:paraId="2F848680" w14:textId="77777777" w:rsidR="00833894" w:rsidRPr="005E512C" w:rsidRDefault="009C6F6E" w:rsidP="005E512C">
      <w:pPr>
        <w:autoSpaceDE w:val="0"/>
        <w:autoSpaceDN w:val="0"/>
        <w:adjustRightInd w:val="0"/>
        <w:snapToGrid w:val="0"/>
        <w:spacing w:line="360" w:lineRule="auto"/>
        <w:jc w:val="both"/>
        <w:rPr>
          <w:rFonts w:ascii="Book Antiqua" w:eastAsia="宋体" w:hAnsi="Book Antiqua" w:cs="Times"/>
          <w:color w:val="000000" w:themeColor="text1"/>
        </w:rPr>
      </w:pPr>
      <w:r w:rsidRPr="005E512C">
        <w:rPr>
          <w:rFonts w:ascii="Book Antiqua" w:eastAsia="宋体" w:hAnsi="Book Antiqua" w:cs="Times"/>
          <w:color w:val="000000" w:themeColor="text1"/>
        </w:rPr>
        <w:br w:type="page"/>
      </w:r>
    </w:p>
    <w:p w14:paraId="0E9008D2" w14:textId="043B79EA" w:rsidR="001F1EAB" w:rsidRPr="005E512C" w:rsidRDefault="001F1EAB" w:rsidP="005E512C">
      <w:pPr>
        <w:autoSpaceDE w:val="0"/>
        <w:autoSpaceDN w:val="0"/>
        <w:adjustRightInd w:val="0"/>
        <w:snapToGrid w:val="0"/>
        <w:spacing w:line="360" w:lineRule="auto"/>
        <w:jc w:val="both"/>
        <w:rPr>
          <w:rFonts w:ascii="Book Antiqua" w:eastAsia="宋体" w:hAnsi="Book Antiqua" w:cs="Times"/>
          <w:b/>
          <w:bCs/>
          <w:color w:val="000000" w:themeColor="text1"/>
        </w:rPr>
      </w:pPr>
    </w:p>
    <w:p w14:paraId="5641C5D2" w14:textId="44FE4142" w:rsidR="001F1EAB" w:rsidRPr="005E512C" w:rsidRDefault="008D5FB3" w:rsidP="00F83924">
      <w:pPr>
        <w:autoSpaceDE w:val="0"/>
        <w:autoSpaceDN w:val="0"/>
        <w:adjustRightInd w:val="0"/>
        <w:snapToGrid w:val="0"/>
        <w:spacing w:line="360" w:lineRule="auto"/>
        <w:ind w:firstLineChars="100" w:firstLine="240"/>
        <w:jc w:val="both"/>
        <w:rPr>
          <w:rFonts w:ascii="Book Antiqua" w:eastAsia="宋体" w:hAnsi="Book Antiqua" w:cs="Times"/>
          <w:b/>
          <w:bCs/>
          <w:color w:val="000000" w:themeColor="text1"/>
        </w:rPr>
      </w:pPr>
      <w:r>
        <w:rPr>
          <w:noProof/>
          <w:lang w:eastAsia="zh-CN"/>
        </w:rPr>
        <w:drawing>
          <wp:inline distT="0" distB="0" distL="0" distR="0" wp14:anchorId="691A6BF9" wp14:editId="35AD17FC">
            <wp:extent cx="5054400" cy="2854800"/>
            <wp:effectExtent l="0" t="0" r="0" b="3175"/>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4400" cy="2854800"/>
                    </a:xfrm>
                    <a:prstGeom prst="rect">
                      <a:avLst/>
                    </a:prstGeom>
                  </pic:spPr>
                </pic:pic>
              </a:graphicData>
            </a:graphic>
          </wp:inline>
        </w:drawing>
      </w:r>
    </w:p>
    <w:p w14:paraId="404C868A" w14:textId="0A12E4F5" w:rsidR="00BA67A8" w:rsidRPr="005E512C" w:rsidRDefault="00BA67A8" w:rsidP="005E512C">
      <w:pPr>
        <w:autoSpaceDE w:val="0"/>
        <w:autoSpaceDN w:val="0"/>
        <w:adjustRightInd w:val="0"/>
        <w:snapToGrid w:val="0"/>
        <w:spacing w:line="360" w:lineRule="auto"/>
        <w:jc w:val="both"/>
        <w:rPr>
          <w:rFonts w:ascii="Book Antiqua" w:eastAsia="宋体" w:hAnsi="Book Antiqua" w:cs="Times"/>
          <w:b/>
          <w:bCs/>
          <w:color w:val="000000" w:themeColor="text1"/>
        </w:rPr>
      </w:pPr>
      <w:r w:rsidRPr="005E512C">
        <w:rPr>
          <w:rFonts w:ascii="Book Antiqua" w:hAnsi="Book Antiqua"/>
          <w:noProof/>
          <w:color w:val="000000" w:themeColor="text1"/>
          <w:lang w:eastAsia="zh-CN"/>
        </w:rPr>
        <w:drawing>
          <wp:inline distT="0" distB="0" distL="0" distR="0" wp14:anchorId="3AD58A69" wp14:editId="79DD6E05">
            <wp:extent cx="4981433" cy="35593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6129" cy="3569884"/>
                    </a:xfrm>
                    <a:prstGeom prst="rect">
                      <a:avLst/>
                    </a:prstGeom>
                  </pic:spPr>
                </pic:pic>
              </a:graphicData>
            </a:graphic>
          </wp:inline>
        </w:drawing>
      </w:r>
    </w:p>
    <w:p w14:paraId="11E633FE" w14:textId="77777777" w:rsidR="00571655" w:rsidRPr="005E512C" w:rsidRDefault="00571655" w:rsidP="005E512C">
      <w:pPr>
        <w:autoSpaceDE w:val="0"/>
        <w:autoSpaceDN w:val="0"/>
        <w:adjustRightInd w:val="0"/>
        <w:snapToGrid w:val="0"/>
        <w:spacing w:line="360" w:lineRule="auto"/>
        <w:jc w:val="both"/>
        <w:rPr>
          <w:rFonts w:ascii="Book Antiqua" w:eastAsia="宋体" w:hAnsi="Book Antiqua" w:cs="Times"/>
          <w:b/>
          <w:bCs/>
          <w:color w:val="000000" w:themeColor="text1"/>
        </w:rPr>
      </w:pPr>
    </w:p>
    <w:p w14:paraId="152A72AA" w14:textId="77777777" w:rsidR="00571655" w:rsidRPr="005E512C" w:rsidRDefault="00571655" w:rsidP="005E512C">
      <w:pPr>
        <w:autoSpaceDE w:val="0"/>
        <w:autoSpaceDN w:val="0"/>
        <w:adjustRightInd w:val="0"/>
        <w:snapToGrid w:val="0"/>
        <w:spacing w:line="360" w:lineRule="auto"/>
        <w:jc w:val="both"/>
        <w:rPr>
          <w:rFonts w:ascii="Book Antiqua" w:eastAsia="宋体" w:hAnsi="Book Antiqua" w:cs="Times"/>
          <w:b/>
          <w:bCs/>
          <w:color w:val="000000" w:themeColor="text1"/>
        </w:rPr>
      </w:pPr>
      <w:r w:rsidRPr="005E512C">
        <w:rPr>
          <w:rFonts w:ascii="Book Antiqua" w:hAnsi="Book Antiqua"/>
          <w:noProof/>
          <w:color w:val="000000" w:themeColor="text1"/>
          <w:lang w:eastAsia="zh-CN"/>
        </w:rPr>
        <w:lastRenderedPageBreak/>
        <w:drawing>
          <wp:inline distT="0" distB="0" distL="0" distR="0" wp14:anchorId="7BB8A715" wp14:editId="43C9A745">
            <wp:extent cx="5288507" cy="2693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2761" cy="2696142"/>
                    </a:xfrm>
                    <a:prstGeom prst="rect">
                      <a:avLst/>
                    </a:prstGeom>
                  </pic:spPr>
                </pic:pic>
              </a:graphicData>
            </a:graphic>
          </wp:inline>
        </w:drawing>
      </w:r>
    </w:p>
    <w:p w14:paraId="2B29ECE7" w14:textId="3561AE7E" w:rsidR="00F0129B" w:rsidRPr="005E512C" w:rsidRDefault="002B5257" w:rsidP="005E512C">
      <w:pPr>
        <w:autoSpaceDE w:val="0"/>
        <w:autoSpaceDN w:val="0"/>
        <w:adjustRightInd w:val="0"/>
        <w:snapToGrid w:val="0"/>
        <w:spacing w:line="360" w:lineRule="auto"/>
        <w:jc w:val="both"/>
        <w:rPr>
          <w:rFonts w:ascii="Book Antiqua" w:eastAsia="Book Antiqua" w:hAnsi="Book Antiqua" w:cs="Book Antiqua"/>
          <w:color w:val="000000" w:themeColor="text1"/>
        </w:rPr>
      </w:pPr>
      <w:r w:rsidRPr="005E512C">
        <w:rPr>
          <w:rFonts w:ascii="Book Antiqua" w:eastAsia="宋体" w:hAnsi="Book Antiqua" w:cs="Times"/>
          <w:b/>
          <w:bCs/>
          <w:color w:val="000000" w:themeColor="text1"/>
        </w:rPr>
        <w:t>Fig</w:t>
      </w:r>
      <w:r w:rsidR="00833894" w:rsidRPr="005E512C">
        <w:rPr>
          <w:rFonts w:ascii="Book Antiqua" w:eastAsia="宋体" w:hAnsi="Book Antiqua" w:cs="Times"/>
          <w:b/>
          <w:bCs/>
          <w:color w:val="000000" w:themeColor="text1"/>
        </w:rPr>
        <w:t>ure</w:t>
      </w:r>
      <w:r w:rsidRPr="005E512C">
        <w:rPr>
          <w:rFonts w:ascii="Book Antiqua" w:eastAsia="宋体" w:hAnsi="Book Antiqua" w:cs="Times"/>
          <w:b/>
          <w:bCs/>
          <w:color w:val="000000" w:themeColor="text1"/>
        </w:rPr>
        <w:t xml:space="preserve"> 2 </w:t>
      </w:r>
      <w:bookmarkStart w:id="4" w:name="OLE_LINK3"/>
      <w:r w:rsidRPr="005E512C">
        <w:rPr>
          <w:rFonts w:ascii="Book Antiqua" w:eastAsia="宋体" w:hAnsi="Book Antiqua" w:cs="Times"/>
          <w:b/>
          <w:bCs/>
          <w:color w:val="000000" w:themeColor="text1"/>
        </w:rPr>
        <w:t>Biomarkers in acute cholangitis.</w:t>
      </w:r>
      <w:r w:rsidRPr="005E512C">
        <w:rPr>
          <w:rFonts w:ascii="Book Antiqua" w:eastAsia="宋体" w:hAnsi="Book Antiqua" w:cs="Times"/>
          <w:color w:val="000000" w:themeColor="text1"/>
        </w:rPr>
        <w:t xml:space="preserve"> </w:t>
      </w:r>
      <w:r w:rsidR="001F1EAB" w:rsidRPr="005E512C">
        <w:rPr>
          <w:rFonts w:ascii="Book Antiqua" w:eastAsia="宋体" w:hAnsi="Book Antiqua" w:cs="Times"/>
          <w:color w:val="000000" w:themeColor="text1"/>
        </w:rPr>
        <w:t xml:space="preserve">A: Biomarkers in </w:t>
      </w:r>
      <w:r w:rsidR="00E00138">
        <w:rPr>
          <w:rFonts w:ascii="Book Antiqua" w:eastAsia="宋体" w:hAnsi="Book Antiqua" w:cs="Times"/>
          <w:color w:val="000000" w:themeColor="text1"/>
        </w:rPr>
        <w:t xml:space="preserve">the </w:t>
      </w:r>
      <w:r w:rsidR="00E00138" w:rsidRPr="005E512C">
        <w:rPr>
          <w:rFonts w:ascii="Book Antiqua" w:eastAsia="宋体" w:hAnsi="Book Antiqua" w:cs="Times"/>
          <w:color w:val="000000" w:themeColor="text1"/>
        </w:rPr>
        <w:t>surviv</w:t>
      </w:r>
      <w:r w:rsidR="00E00138">
        <w:rPr>
          <w:rFonts w:ascii="Book Antiqua" w:eastAsia="宋体" w:hAnsi="Book Antiqua" w:cs="Times"/>
          <w:color w:val="000000" w:themeColor="text1"/>
        </w:rPr>
        <w:t>al</w:t>
      </w:r>
      <w:r w:rsidR="00E00138" w:rsidRPr="005E512C">
        <w:rPr>
          <w:rFonts w:ascii="Book Antiqua" w:eastAsia="宋体" w:hAnsi="Book Antiqua" w:cs="Times"/>
          <w:color w:val="000000" w:themeColor="text1"/>
        </w:rPr>
        <w:t xml:space="preserve"> </w:t>
      </w:r>
      <w:r w:rsidR="001F1EAB" w:rsidRPr="005E512C">
        <w:rPr>
          <w:rFonts w:ascii="Book Antiqua" w:eastAsia="宋体" w:hAnsi="Book Antiqua" w:cs="Times"/>
          <w:color w:val="000000" w:themeColor="text1"/>
        </w:rPr>
        <w:t xml:space="preserve">group and death group of acute cholangitis; </w:t>
      </w:r>
      <w:r w:rsidR="001F05EB" w:rsidRPr="005E512C">
        <w:rPr>
          <w:rFonts w:ascii="Book Antiqua" w:eastAsia="宋体" w:hAnsi="Book Antiqua" w:cs="Times"/>
          <w:color w:val="000000" w:themeColor="text1"/>
        </w:rPr>
        <w:t>B: Biomarkers in grading of acute cholangitis;</w:t>
      </w:r>
      <w:r w:rsidR="00571655" w:rsidRPr="005E512C">
        <w:rPr>
          <w:rFonts w:ascii="Book Antiqua" w:hAnsi="Book Antiqua"/>
          <w:color w:val="000000" w:themeColor="text1"/>
        </w:rPr>
        <w:t xml:space="preserve"> </w:t>
      </w:r>
      <w:r w:rsidR="00571655" w:rsidRPr="005E512C">
        <w:rPr>
          <w:rFonts w:ascii="Book Antiqua" w:eastAsia="宋体" w:hAnsi="Book Antiqua" w:cs="Times"/>
          <w:color w:val="000000" w:themeColor="text1"/>
        </w:rPr>
        <w:t>C: Biomarkers in negative and positive blood culture</w:t>
      </w:r>
      <w:r w:rsidR="00E00138">
        <w:rPr>
          <w:rFonts w:ascii="Book Antiqua" w:eastAsia="宋体" w:hAnsi="Book Antiqua" w:cs="Times"/>
          <w:color w:val="000000" w:themeColor="text1"/>
        </w:rPr>
        <w:t xml:space="preserve"> groups, including </w:t>
      </w:r>
      <w:r w:rsidR="00E00138">
        <w:rPr>
          <w:rFonts w:ascii="Book Antiqua" w:eastAsia="Book Antiqua" w:hAnsi="Book Antiqua" w:cs="Book Antiqua"/>
          <w:color w:val="000000" w:themeColor="text1"/>
        </w:rPr>
        <w:t>w</w:t>
      </w:r>
      <w:r w:rsidR="00E00138" w:rsidRPr="005E512C">
        <w:rPr>
          <w:rFonts w:ascii="Book Antiqua" w:eastAsia="Book Antiqua" w:hAnsi="Book Antiqua" w:cs="Book Antiqua"/>
          <w:color w:val="000000" w:themeColor="text1"/>
        </w:rPr>
        <w:t xml:space="preserve">hite </w:t>
      </w:r>
      <w:r w:rsidR="005970FC" w:rsidRPr="005E512C">
        <w:rPr>
          <w:rFonts w:ascii="Book Antiqua" w:eastAsia="Book Antiqua" w:hAnsi="Book Antiqua" w:cs="Book Antiqua"/>
          <w:color w:val="000000" w:themeColor="text1"/>
        </w:rPr>
        <w:t>blood cells</w:t>
      </w:r>
      <w:r w:rsidR="006F7889">
        <w:rPr>
          <w:rFonts w:ascii="Book Antiqua" w:eastAsia="宋体" w:hAnsi="Book Antiqua" w:cs="Times"/>
          <w:color w:val="000000" w:themeColor="text1"/>
        </w:rPr>
        <w:t xml:space="preserve"> (</w:t>
      </w:r>
      <w:r w:rsidR="005970FC" w:rsidRPr="005E512C">
        <w:rPr>
          <w:rFonts w:ascii="Book Antiqua" w:hAnsi="Book Antiqua" w:cs="Times"/>
          <w:color w:val="000000" w:themeColor="text1"/>
        </w:rPr>
        <w:t>× 10</w:t>
      </w:r>
      <w:r w:rsidR="005970FC" w:rsidRPr="005E512C">
        <w:rPr>
          <w:rFonts w:ascii="Book Antiqua" w:hAnsi="Book Antiqua" w:cs="Times"/>
          <w:color w:val="000000" w:themeColor="text1"/>
          <w:vertAlign w:val="superscript"/>
        </w:rPr>
        <w:t>9</w:t>
      </w:r>
      <w:r w:rsidR="005970FC" w:rsidRPr="005E512C">
        <w:rPr>
          <w:rFonts w:ascii="Book Antiqua" w:hAnsi="Book Antiqua" w:cs="Times"/>
          <w:color w:val="000000" w:themeColor="text1"/>
        </w:rPr>
        <w:t>/L</w:t>
      </w:r>
      <w:r w:rsidR="00E00138" w:rsidRPr="005E512C">
        <w:rPr>
          <w:rFonts w:ascii="Book Antiqua" w:eastAsia="宋体" w:hAnsi="Book Antiqua" w:cs="Times"/>
          <w:color w:val="000000" w:themeColor="text1"/>
        </w:rPr>
        <w:t>)</w:t>
      </w:r>
      <w:r w:rsidR="00E00138">
        <w:rPr>
          <w:rFonts w:ascii="Book Antiqua" w:eastAsia="宋体" w:hAnsi="Book Antiqua" w:cs="Times"/>
          <w:color w:val="000000" w:themeColor="text1"/>
        </w:rPr>
        <w:t>,</w:t>
      </w:r>
      <w:r w:rsidR="00E00138" w:rsidRPr="005E512C">
        <w:rPr>
          <w:rFonts w:ascii="Book Antiqua" w:eastAsia="宋体" w:hAnsi="Book Antiqua" w:cs="Times"/>
          <w:color w:val="000000" w:themeColor="text1"/>
        </w:rPr>
        <w:t xml:space="preserve"> </w:t>
      </w:r>
      <w:r w:rsidR="005970FC" w:rsidRPr="005E512C">
        <w:rPr>
          <w:rFonts w:ascii="Book Antiqua" w:eastAsia="宋体" w:hAnsi="Book Antiqua" w:cs="Times"/>
          <w:color w:val="000000" w:themeColor="text1"/>
        </w:rPr>
        <w:t>C-reactive protein</w:t>
      </w:r>
      <w:r w:rsidR="006F7889">
        <w:rPr>
          <w:rFonts w:ascii="Book Antiqua" w:eastAsia="宋体" w:hAnsi="Book Antiqua" w:cs="Times"/>
          <w:color w:val="000000" w:themeColor="text1"/>
        </w:rPr>
        <w:t xml:space="preserve"> (</w:t>
      </w:r>
      <w:r w:rsidR="005970FC" w:rsidRPr="005E512C">
        <w:rPr>
          <w:rFonts w:ascii="Book Antiqua" w:eastAsia="宋体" w:hAnsi="Book Antiqua" w:cs="Times"/>
          <w:color w:val="000000" w:themeColor="text1"/>
        </w:rPr>
        <w:t>mg/L</w:t>
      </w:r>
      <w:r w:rsidR="00E00138" w:rsidRPr="005E512C">
        <w:rPr>
          <w:rFonts w:ascii="Book Antiqua" w:eastAsia="宋体" w:hAnsi="Book Antiqua" w:cs="Times"/>
          <w:color w:val="000000" w:themeColor="text1"/>
        </w:rPr>
        <w:t>)</w:t>
      </w:r>
      <w:r w:rsidR="00E00138">
        <w:rPr>
          <w:rFonts w:ascii="Book Antiqua" w:eastAsia="宋体" w:hAnsi="Book Antiqua" w:cs="Times"/>
          <w:color w:val="000000" w:themeColor="text1"/>
        </w:rPr>
        <w:t>,</w:t>
      </w:r>
      <w:r w:rsidR="00E00138" w:rsidRPr="005E512C">
        <w:rPr>
          <w:rFonts w:ascii="Book Antiqua" w:eastAsia="宋体" w:hAnsi="Book Antiqua" w:cs="Times"/>
          <w:color w:val="000000" w:themeColor="text1"/>
        </w:rPr>
        <w:t xml:space="preserve"> </w:t>
      </w:r>
      <w:r w:rsidR="005970FC" w:rsidRPr="005E512C">
        <w:rPr>
          <w:rFonts w:ascii="Book Antiqua" w:eastAsia="宋体" w:hAnsi="Book Antiqua" w:cs="Times"/>
          <w:color w:val="000000" w:themeColor="text1"/>
        </w:rPr>
        <w:t>procalcitonin</w:t>
      </w:r>
      <w:r w:rsidR="006F7889">
        <w:rPr>
          <w:rFonts w:ascii="Book Antiqua" w:eastAsia="宋体" w:hAnsi="Book Antiqua" w:cs="Times"/>
          <w:color w:val="000000" w:themeColor="text1"/>
        </w:rPr>
        <w:t xml:space="preserve"> (</w:t>
      </w:r>
      <w:r w:rsidR="005970FC" w:rsidRPr="005E512C">
        <w:rPr>
          <w:rFonts w:ascii="Book Antiqua" w:eastAsia="宋体" w:hAnsi="Book Antiqua" w:cs="Times"/>
          <w:color w:val="000000" w:themeColor="text1"/>
        </w:rPr>
        <w:t>ng/mL</w:t>
      </w:r>
      <w:r w:rsidR="00E00138" w:rsidRPr="005E512C">
        <w:rPr>
          <w:rFonts w:ascii="Book Antiqua" w:eastAsia="宋体" w:hAnsi="Book Antiqua" w:cs="Times"/>
          <w:color w:val="000000" w:themeColor="text1"/>
        </w:rPr>
        <w:t>)</w:t>
      </w:r>
      <w:r w:rsidR="00E00138">
        <w:rPr>
          <w:rFonts w:ascii="Book Antiqua" w:eastAsia="宋体" w:hAnsi="Book Antiqua" w:cs="Times"/>
          <w:color w:val="000000" w:themeColor="text1"/>
        </w:rPr>
        <w:t>,</w:t>
      </w:r>
      <w:r w:rsidR="00E00138" w:rsidRPr="005E512C">
        <w:rPr>
          <w:rFonts w:ascii="Book Antiqua" w:eastAsia="宋体" w:hAnsi="Book Antiqua" w:cs="Times"/>
          <w:color w:val="000000" w:themeColor="text1"/>
        </w:rPr>
        <w:t xml:space="preserve"> </w:t>
      </w:r>
      <w:r w:rsidR="005970FC" w:rsidRPr="005E512C">
        <w:rPr>
          <w:rFonts w:ascii="Book Antiqua" w:eastAsia="宋体" w:hAnsi="Book Antiqua" w:cs="Times"/>
          <w:color w:val="000000" w:themeColor="text1"/>
        </w:rPr>
        <w:t>presepsin</w:t>
      </w:r>
      <w:r w:rsidR="006F7889">
        <w:rPr>
          <w:rFonts w:ascii="Book Antiqua" w:eastAsia="宋体" w:hAnsi="Book Antiqua" w:cs="Times"/>
          <w:color w:val="000000" w:themeColor="text1"/>
        </w:rPr>
        <w:t xml:space="preserve"> (</w:t>
      </w:r>
      <w:r w:rsidR="005970FC" w:rsidRPr="005E512C">
        <w:rPr>
          <w:rFonts w:ascii="Book Antiqua" w:eastAsia="宋体" w:hAnsi="Book Antiqua" w:cs="Times"/>
          <w:color w:val="000000" w:themeColor="text1"/>
        </w:rPr>
        <w:t>pg/mL</w:t>
      </w:r>
      <w:r w:rsidR="00E00138" w:rsidRPr="005E512C">
        <w:rPr>
          <w:rFonts w:ascii="Book Antiqua" w:eastAsia="宋体" w:hAnsi="Book Antiqua" w:cs="Times"/>
          <w:color w:val="000000" w:themeColor="text1"/>
        </w:rPr>
        <w:t>)</w:t>
      </w:r>
      <w:r w:rsidR="00E00138">
        <w:rPr>
          <w:rFonts w:ascii="Book Antiqua" w:eastAsia="宋体" w:hAnsi="Book Antiqua" w:cs="Times"/>
          <w:color w:val="000000" w:themeColor="text1"/>
        </w:rPr>
        <w:t>,</w:t>
      </w:r>
      <w:r w:rsidR="00E00138" w:rsidRPr="005E512C">
        <w:rPr>
          <w:rFonts w:ascii="Book Antiqua" w:eastAsia="宋体" w:hAnsi="Book Antiqua" w:cs="Times"/>
          <w:color w:val="000000" w:themeColor="text1"/>
        </w:rPr>
        <w:t xml:space="preserve"> </w:t>
      </w:r>
      <w:r w:rsidR="00E00138">
        <w:rPr>
          <w:rFonts w:ascii="Book Antiqua" w:eastAsia="宋体" w:hAnsi="Book Antiqua" w:cs="Times"/>
          <w:color w:val="000000" w:themeColor="text1"/>
        </w:rPr>
        <w:t xml:space="preserve">and </w:t>
      </w:r>
      <w:r w:rsidR="005970FC" w:rsidRPr="005E512C">
        <w:rPr>
          <w:rFonts w:ascii="Book Antiqua" w:eastAsia="宋体" w:hAnsi="Book Antiqua" w:cs="Times"/>
          <w:color w:val="000000" w:themeColor="text1"/>
        </w:rPr>
        <w:t>total bilirubin</w:t>
      </w:r>
      <w:r w:rsidR="006F7889">
        <w:rPr>
          <w:rFonts w:ascii="Book Antiqua" w:eastAsia="宋体" w:hAnsi="Book Antiqua" w:cs="Times"/>
          <w:color w:val="000000" w:themeColor="text1"/>
        </w:rPr>
        <w:t xml:space="preserve"> (</w:t>
      </w:r>
      <w:r w:rsidR="005970FC" w:rsidRPr="005E512C">
        <w:rPr>
          <w:rFonts w:ascii="Book Antiqua" w:eastAsia="宋体" w:hAnsi="Book Antiqua" w:cs="Times"/>
          <w:color w:val="000000" w:themeColor="text1"/>
        </w:rPr>
        <w:t>µmol/L).</w:t>
      </w:r>
      <w:r w:rsidR="005970FC" w:rsidRPr="005E512C">
        <w:rPr>
          <w:rFonts w:ascii="Book Antiqua" w:eastAsia="Book Antiqua" w:hAnsi="Book Antiqua" w:cs="Book Antiqua"/>
          <w:color w:val="000000" w:themeColor="text1"/>
        </w:rPr>
        <w:t xml:space="preserve"> </w:t>
      </w:r>
      <w:r w:rsidR="00571655" w:rsidRPr="005E512C">
        <w:rPr>
          <w:rFonts w:ascii="Book Antiqua" w:eastAsia="宋体" w:hAnsi="Book Antiqua" w:cs="Times"/>
          <w:i/>
          <w:iCs/>
          <w:color w:val="000000" w:themeColor="text1"/>
        </w:rPr>
        <w:t xml:space="preserve">P </w:t>
      </w:r>
      <w:r w:rsidR="00571655" w:rsidRPr="005E512C">
        <w:rPr>
          <w:rFonts w:ascii="Book Antiqua" w:eastAsia="宋体" w:hAnsi="Book Antiqua" w:cs="Times"/>
          <w:color w:val="000000" w:themeColor="text1"/>
        </w:rPr>
        <w:t xml:space="preserve">&lt; 0.05 was set as the significance level in A and C; </w:t>
      </w:r>
      <w:r w:rsidR="00571655" w:rsidRPr="005E512C">
        <w:rPr>
          <w:rFonts w:ascii="Book Antiqua" w:eastAsia="宋体" w:hAnsi="Book Antiqua" w:cs="Times"/>
          <w:i/>
          <w:iCs/>
          <w:color w:val="000000" w:themeColor="text1"/>
        </w:rPr>
        <w:t xml:space="preserve">P </w:t>
      </w:r>
      <w:r w:rsidR="00571655" w:rsidRPr="005E512C">
        <w:rPr>
          <w:rFonts w:ascii="Book Antiqua" w:eastAsia="宋体" w:hAnsi="Book Antiqua" w:cs="Times"/>
          <w:color w:val="000000" w:themeColor="text1"/>
        </w:rPr>
        <w:t xml:space="preserve">&lt; 0.017 was set as the significance level in B. The presepsin value in the figure </w:t>
      </w:r>
      <w:r w:rsidR="00E00138">
        <w:rPr>
          <w:rFonts w:ascii="Book Antiqua" w:eastAsia="宋体" w:hAnsi="Book Antiqua" w:cs="Times"/>
          <w:color w:val="000000" w:themeColor="text1"/>
        </w:rPr>
        <w:t>i</w:t>
      </w:r>
      <w:r w:rsidR="00E00138" w:rsidRPr="005E512C">
        <w:rPr>
          <w:rFonts w:ascii="Book Antiqua" w:eastAsia="宋体" w:hAnsi="Book Antiqua" w:cs="Times"/>
          <w:color w:val="000000" w:themeColor="text1"/>
        </w:rPr>
        <w:t xml:space="preserve">s </w:t>
      </w:r>
      <w:r w:rsidR="00571655" w:rsidRPr="005E512C">
        <w:rPr>
          <w:rFonts w:ascii="Book Antiqua" w:eastAsia="宋体" w:hAnsi="Book Antiqua" w:cs="Times"/>
          <w:color w:val="000000" w:themeColor="text1"/>
        </w:rPr>
        <w:t>the result of presepsin concentration divided by 30.</w:t>
      </w:r>
      <w:r w:rsidR="00E022D1" w:rsidRPr="005E512C">
        <w:rPr>
          <w:rFonts w:ascii="Book Antiqua" w:eastAsia="宋体" w:hAnsi="Book Antiqua" w:cs="Times"/>
          <w:color w:val="000000" w:themeColor="text1"/>
          <w:lang w:eastAsia="zh-CN"/>
        </w:rPr>
        <w:t xml:space="preserve"> </w:t>
      </w:r>
      <w:bookmarkEnd w:id="4"/>
      <w:r w:rsidR="00E022D1" w:rsidRPr="005E512C">
        <w:rPr>
          <w:rFonts w:ascii="Book Antiqua" w:eastAsia="Book Antiqua" w:hAnsi="Book Antiqua" w:cs="Book Antiqua"/>
          <w:color w:val="000000" w:themeColor="text1"/>
        </w:rPr>
        <w:t xml:space="preserve">WBC: White blood cell; CRP: C-reactive protein; </w:t>
      </w:r>
      <w:r w:rsidR="00E022D1" w:rsidRPr="005E512C">
        <w:rPr>
          <w:rFonts w:ascii="Book Antiqua" w:eastAsia="宋体" w:hAnsi="Book Antiqua" w:cs="Times"/>
          <w:color w:val="000000" w:themeColor="text1"/>
        </w:rPr>
        <w:t xml:space="preserve">PSP: Presepsin; </w:t>
      </w:r>
      <w:r w:rsidR="00E022D1" w:rsidRPr="005E512C">
        <w:rPr>
          <w:rFonts w:ascii="Book Antiqua" w:eastAsia="Book Antiqua" w:hAnsi="Book Antiqua" w:cs="Book Antiqua"/>
          <w:color w:val="000000" w:themeColor="text1"/>
        </w:rPr>
        <w:t>T-Bil: Total bilirubin.</w:t>
      </w:r>
    </w:p>
    <w:p w14:paraId="3FDFAA53" w14:textId="77777777" w:rsidR="00437AAC" w:rsidRPr="005E512C" w:rsidRDefault="00F0129B" w:rsidP="005E512C">
      <w:pPr>
        <w:autoSpaceDE w:val="0"/>
        <w:autoSpaceDN w:val="0"/>
        <w:adjustRightInd w:val="0"/>
        <w:snapToGrid w:val="0"/>
        <w:spacing w:line="360" w:lineRule="auto"/>
        <w:jc w:val="both"/>
        <w:rPr>
          <w:rFonts w:ascii="Book Antiqua" w:eastAsia="Book Antiqua" w:hAnsi="Book Antiqua" w:cs="Book Antiqua"/>
          <w:color w:val="000000" w:themeColor="text1"/>
        </w:rPr>
      </w:pPr>
      <w:r w:rsidRPr="005E512C">
        <w:rPr>
          <w:rFonts w:ascii="Book Antiqua" w:eastAsia="Book Antiqua" w:hAnsi="Book Antiqua" w:cs="Book Antiqua"/>
          <w:color w:val="000000" w:themeColor="text1"/>
        </w:rPr>
        <w:br w:type="page"/>
      </w:r>
    </w:p>
    <w:p w14:paraId="24F2C9C1" w14:textId="77777777" w:rsidR="00F0129B" w:rsidRPr="005E512C" w:rsidRDefault="00F0129B" w:rsidP="005E512C">
      <w:pPr>
        <w:autoSpaceDE w:val="0"/>
        <w:autoSpaceDN w:val="0"/>
        <w:adjustRightInd w:val="0"/>
        <w:snapToGrid w:val="0"/>
        <w:spacing w:line="360" w:lineRule="auto"/>
        <w:jc w:val="both"/>
        <w:rPr>
          <w:rFonts w:ascii="Book Antiqua" w:hAnsi="Book Antiqua"/>
          <w:b/>
          <w:bCs/>
          <w:color w:val="000000" w:themeColor="text1"/>
        </w:rPr>
      </w:pPr>
      <w:r w:rsidRPr="005E512C">
        <w:rPr>
          <w:rFonts w:ascii="Book Antiqua" w:hAnsi="Book Antiqua"/>
          <w:noProof/>
          <w:color w:val="000000" w:themeColor="text1"/>
          <w:lang w:eastAsia="zh-CN"/>
        </w:rPr>
        <w:lastRenderedPageBreak/>
        <w:drawing>
          <wp:inline distT="0" distB="0" distL="0" distR="0" wp14:anchorId="0F55619D" wp14:editId="32CC8DC5">
            <wp:extent cx="4514414" cy="372583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0135" cy="3730560"/>
                    </a:xfrm>
                    <a:prstGeom prst="rect">
                      <a:avLst/>
                    </a:prstGeom>
                  </pic:spPr>
                </pic:pic>
              </a:graphicData>
            </a:graphic>
          </wp:inline>
        </w:drawing>
      </w:r>
      <w:r w:rsidRPr="005E512C">
        <w:rPr>
          <w:rFonts w:ascii="Book Antiqua" w:hAnsi="Book Antiqua"/>
          <w:b/>
          <w:bCs/>
          <w:color w:val="000000" w:themeColor="text1"/>
        </w:rPr>
        <w:t xml:space="preserve"> </w:t>
      </w:r>
    </w:p>
    <w:p w14:paraId="5F2EA309" w14:textId="77777777" w:rsidR="00F0129B" w:rsidRPr="005E512C" w:rsidRDefault="00F0129B" w:rsidP="005E512C">
      <w:pPr>
        <w:autoSpaceDE w:val="0"/>
        <w:autoSpaceDN w:val="0"/>
        <w:adjustRightInd w:val="0"/>
        <w:snapToGrid w:val="0"/>
        <w:spacing w:line="360" w:lineRule="auto"/>
        <w:jc w:val="both"/>
        <w:rPr>
          <w:rFonts w:ascii="Book Antiqua" w:hAnsi="Book Antiqua"/>
          <w:b/>
          <w:bCs/>
          <w:color w:val="000000" w:themeColor="text1"/>
        </w:rPr>
      </w:pPr>
    </w:p>
    <w:p w14:paraId="5A3866BF" w14:textId="35C79DCC" w:rsidR="003B5287" w:rsidRPr="005E512C" w:rsidRDefault="00320C2A" w:rsidP="005E512C">
      <w:pPr>
        <w:autoSpaceDE w:val="0"/>
        <w:autoSpaceDN w:val="0"/>
        <w:adjustRightInd w:val="0"/>
        <w:snapToGrid w:val="0"/>
        <w:spacing w:line="360" w:lineRule="auto"/>
        <w:jc w:val="both"/>
        <w:rPr>
          <w:rFonts w:ascii="Book Antiqua" w:hAnsi="Book Antiqua"/>
          <w:b/>
          <w:bCs/>
          <w:color w:val="000000" w:themeColor="text1"/>
        </w:rPr>
      </w:pPr>
      <w:r w:rsidRPr="005E512C">
        <w:rPr>
          <w:rFonts w:ascii="Book Antiqua" w:hAnsi="Book Antiqua"/>
          <w:noProof/>
          <w:color w:val="000000" w:themeColor="text1"/>
          <w:lang w:eastAsia="zh-CN"/>
        </w:rPr>
        <w:drawing>
          <wp:inline distT="0" distB="0" distL="0" distR="0" wp14:anchorId="45FD59AD" wp14:editId="1FF9639D">
            <wp:extent cx="4121624" cy="336291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9741" cy="3369534"/>
                    </a:xfrm>
                    <a:prstGeom prst="rect">
                      <a:avLst/>
                    </a:prstGeom>
                  </pic:spPr>
                </pic:pic>
              </a:graphicData>
            </a:graphic>
          </wp:inline>
        </w:drawing>
      </w:r>
      <w:r w:rsidR="003B5287" w:rsidRPr="005E512C">
        <w:rPr>
          <w:rFonts w:ascii="Book Antiqua" w:hAnsi="Book Antiqua"/>
          <w:b/>
          <w:bCs/>
          <w:color w:val="000000" w:themeColor="text1"/>
        </w:rPr>
        <w:t xml:space="preserve"> </w:t>
      </w:r>
    </w:p>
    <w:p w14:paraId="5B54B637" w14:textId="77777777" w:rsidR="003B5287" w:rsidRPr="005E512C" w:rsidRDefault="003B5287" w:rsidP="005E512C">
      <w:pPr>
        <w:autoSpaceDE w:val="0"/>
        <w:autoSpaceDN w:val="0"/>
        <w:adjustRightInd w:val="0"/>
        <w:snapToGrid w:val="0"/>
        <w:spacing w:line="360" w:lineRule="auto"/>
        <w:jc w:val="both"/>
        <w:rPr>
          <w:rFonts w:ascii="Book Antiqua" w:hAnsi="Book Antiqua"/>
          <w:b/>
          <w:bCs/>
          <w:color w:val="000000" w:themeColor="text1"/>
        </w:rPr>
      </w:pPr>
    </w:p>
    <w:p w14:paraId="7D27579D" w14:textId="77777777" w:rsidR="00E05853" w:rsidRPr="005E512C" w:rsidRDefault="00E05853" w:rsidP="005E512C">
      <w:pPr>
        <w:autoSpaceDE w:val="0"/>
        <w:autoSpaceDN w:val="0"/>
        <w:adjustRightInd w:val="0"/>
        <w:snapToGrid w:val="0"/>
        <w:spacing w:line="360" w:lineRule="auto"/>
        <w:jc w:val="both"/>
        <w:rPr>
          <w:rFonts w:ascii="Book Antiqua" w:hAnsi="Book Antiqua"/>
          <w:b/>
          <w:bCs/>
          <w:color w:val="000000" w:themeColor="text1"/>
        </w:rPr>
      </w:pPr>
    </w:p>
    <w:p w14:paraId="129D868D" w14:textId="77777777" w:rsidR="00E05853" w:rsidRPr="005E512C" w:rsidRDefault="00E05853" w:rsidP="005E512C">
      <w:pPr>
        <w:autoSpaceDE w:val="0"/>
        <w:autoSpaceDN w:val="0"/>
        <w:adjustRightInd w:val="0"/>
        <w:snapToGrid w:val="0"/>
        <w:spacing w:line="360" w:lineRule="auto"/>
        <w:jc w:val="both"/>
        <w:rPr>
          <w:rFonts w:ascii="Book Antiqua" w:hAnsi="Book Antiqua"/>
          <w:b/>
          <w:bCs/>
          <w:color w:val="000000" w:themeColor="text1"/>
        </w:rPr>
      </w:pPr>
      <w:r w:rsidRPr="005E512C">
        <w:rPr>
          <w:rFonts w:ascii="Book Antiqua" w:hAnsi="Book Antiqua"/>
          <w:noProof/>
          <w:color w:val="000000" w:themeColor="text1"/>
          <w:lang w:eastAsia="zh-CN"/>
        </w:rPr>
        <w:lastRenderedPageBreak/>
        <w:drawing>
          <wp:inline distT="0" distB="0" distL="0" distR="0" wp14:anchorId="46CE3C59" wp14:editId="7A2615F6">
            <wp:extent cx="4163503" cy="33437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9584" cy="3348586"/>
                    </a:xfrm>
                    <a:prstGeom prst="rect">
                      <a:avLst/>
                    </a:prstGeom>
                  </pic:spPr>
                </pic:pic>
              </a:graphicData>
            </a:graphic>
          </wp:inline>
        </w:drawing>
      </w:r>
      <w:r w:rsidRPr="005E512C">
        <w:rPr>
          <w:rFonts w:ascii="Book Antiqua" w:hAnsi="Book Antiqua"/>
          <w:b/>
          <w:bCs/>
          <w:color w:val="000000" w:themeColor="text1"/>
        </w:rPr>
        <w:t xml:space="preserve"> </w:t>
      </w:r>
    </w:p>
    <w:p w14:paraId="7649E318" w14:textId="7D86BAEB" w:rsidR="00C20834" w:rsidRPr="005E512C" w:rsidRDefault="002B5257" w:rsidP="005E512C">
      <w:pPr>
        <w:autoSpaceDE w:val="0"/>
        <w:autoSpaceDN w:val="0"/>
        <w:adjustRightInd w:val="0"/>
        <w:snapToGrid w:val="0"/>
        <w:spacing w:line="360" w:lineRule="auto"/>
        <w:jc w:val="both"/>
        <w:rPr>
          <w:rFonts w:ascii="Book Antiqua" w:eastAsia="宋体" w:hAnsi="Book Antiqua"/>
          <w:color w:val="000000" w:themeColor="text1"/>
        </w:rPr>
      </w:pPr>
      <w:r w:rsidRPr="005E512C">
        <w:rPr>
          <w:rFonts w:ascii="Book Antiqua" w:hAnsi="Book Antiqua"/>
          <w:b/>
          <w:bCs/>
          <w:color w:val="000000" w:themeColor="text1"/>
        </w:rPr>
        <w:t>Fig</w:t>
      </w:r>
      <w:r w:rsidR="00833894" w:rsidRPr="005E512C">
        <w:rPr>
          <w:rFonts w:ascii="Book Antiqua" w:hAnsi="Book Antiqua"/>
          <w:b/>
          <w:bCs/>
          <w:color w:val="000000" w:themeColor="text1"/>
        </w:rPr>
        <w:t xml:space="preserve">ure </w:t>
      </w:r>
      <w:r w:rsidRPr="005E512C">
        <w:rPr>
          <w:rFonts w:ascii="Book Antiqua" w:hAnsi="Book Antiqua"/>
          <w:b/>
          <w:bCs/>
          <w:color w:val="000000" w:themeColor="text1"/>
        </w:rPr>
        <w:t xml:space="preserve">3 Receiver operating characteristic curves for </w:t>
      </w:r>
      <w:r w:rsidR="00C20834" w:rsidRPr="005E512C">
        <w:rPr>
          <w:rFonts w:ascii="Book Antiqua" w:eastAsia="Book Antiqua" w:hAnsi="Book Antiqua" w:cs="Book Antiqua"/>
          <w:b/>
          <w:bCs/>
          <w:color w:val="000000" w:themeColor="text1"/>
        </w:rPr>
        <w:t>white blood cells</w:t>
      </w:r>
      <w:r w:rsidRPr="005E512C">
        <w:rPr>
          <w:rFonts w:ascii="Book Antiqua" w:hAnsi="Book Antiqua"/>
          <w:b/>
          <w:bCs/>
          <w:color w:val="000000" w:themeColor="text1"/>
        </w:rPr>
        <w:t>, C-reactive protein, procalcitonin, presepsin, and tota</w:t>
      </w:r>
      <w:r w:rsidRPr="005E512C">
        <w:rPr>
          <w:rFonts w:ascii="Book Antiqua" w:hAnsi="Book Antiqua"/>
          <w:b/>
          <w:bCs/>
          <w:color w:val="000000" w:themeColor="text1"/>
        </w:rPr>
        <w:t>l bilirubin for</w:t>
      </w:r>
      <w:r w:rsidR="00E00138">
        <w:rPr>
          <w:rFonts w:ascii="Book Antiqua" w:hAnsi="Book Antiqua"/>
          <w:b/>
          <w:bCs/>
          <w:color w:val="000000" w:themeColor="text1"/>
        </w:rPr>
        <w:t xml:space="preserve"> </w:t>
      </w:r>
      <w:r w:rsidRPr="005E512C">
        <w:rPr>
          <w:rFonts w:ascii="Book Antiqua" w:hAnsi="Book Antiqua"/>
          <w:b/>
          <w:bCs/>
          <w:color w:val="000000" w:themeColor="text1"/>
        </w:rPr>
        <w:t>classification of severity and prediction of positive blood culture in acute cholangitis.</w:t>
      </w:r>
      <w:r w:rsidRPr="005E512C">
        <w:rPr>
          <w:rFonts w:ascii="Book Antiqua" w:hAnsi="Book Antiqua"/>
          <w:color w:val="000000" w:themeColor="text1"/>
        </w:rPr>
        <w:t xml:space="preserve"> The Delong test </w:t>
      </w:r>
      <w:r w:rsidR="00E00138">
        <w:rPr>
          <w:rFonts w:ascii="Book Antiqua" w:hAnsi="Book Antiqua"/>
          <w:color w:val="000000" w:themeColor="text1"/>
        </w:rPr>
        <w:t xml:space="preserve">was used to </w:t>
      </w:r>
      <w:r w:rsidRPr="005E512C">
        <w:rPr>
          <w:rFonts w:ascii="Book Antiqua" w:hAnsi="Book Antiqua"/>
          <w:color w:val="000000" w:themeColor="text1"/>
        </w:rPr>
        <w:t xml:space="preserve">compute the </w:t>
      </w:r>
      <w:r w:rsidRPr="005E512C">
        <w:rPr>
          <w:rFonts w:ascii="Book Antiqua" w:hAnsi="Book Antiqua"/>
          <w:i/>
          <w:iCs/>
          <w:color w:val="000000" w:themeColor="text1"/>
        </w:rPr>
        <w:t>P</w:t>
      </w:r>
      <w:r w:rsidRPr="005E512C">
        <w:rPr>
          <w:rFonts w:ascii="Book Antiqua" w:hAnsi="Book Antiqua"/>
          <w:color w:val="000000" w:themeColor="text1"/>
        </w:rPr>
        <w:t xml:space="preserve"> value for comparison of the area under the recei</w:t>
      </w:r>
      <w:r w:rsidRPr="005E512C">
        <w:rPr>
          <w:rFonts w:ascii="Book Antiqua" w:hAnsi="Book Antiqua"/>
          <w:color w:val="000000" w:themeColor="text1"/>
        </w:rPr>
        <w:t>ver operating characteristic curve. A</w:t>
      </w:r>
      <w:r w:rsidR="004D6FF6" w:rsidRPr="005E512C">
        <w:rPr>
          <w:rFonts w:ascii="Book Antiqua" w:hAnsi="Book Antiqua"/>
          <w:color w:val="000000" w:themeColor="text1"/>
        </w:rPr>
        <w:t>:</w:t>
      </w:r>
      <w:r w:rsidRPr="005E512C">
        <w:rPr>
          <w:rFonts w:ascii="Book Antiqua" w:hAnsi="Book Antiqua"/>
          <w:color w:val="000000" w:themeColor="text1"/>
        </w:rPr>
        <w:t xml:space="preserve"> Mild acute cholangitis </w:t>
      </w:r>
      <w:r w:rsidR="00E87D76" w:rsidRPr="005E512C">
        <w:rPr>
          <w:rFonts w:ascii="Book Antiqua" w:hAnsi="Book Antiqua"/>
          <w:i/>
          <w:iCs/>
          <w:color w:val="000000" w:themeColor="text1"/>
        </w:rPr>
        <w:t>vs</w:t>
      </w:r>
      <w:r w:rsidRPr="005E512C">
        <w:rPr>
          <w:rFonts w:ascii="Book Antiqua" w:hAnsi="Book Antiqua"/>
          <w:color w:val="000000" w:themeColor="text1"/>
        </w:rPr>
        <w:t xml:space="preserve"> moderate acute cholangitis</w:t>
      </w:r>
      <w:r w:rsidR="004D6FF6" w:rsidRPr="005E512C">
        <w:rPr>
          <w:rFonts w:ascii="Book Antiqua" w:hAnsi="Book Antiqua"/>
          <w:color w:val="000000" w:themeColor="text1"/>
        </w:rPr>
        <w:t>;</w:t>
      </w:r>
      <w:r w:rsidRPr="005E512C">
        <w:rPr>
          <w:rFonts w:ascii="Book Antiqua" w:hAnsi="Book Antiqua"/>
          <w:color w:val="000000" w:themeColor="text1"/>
        </w:rPr>
        <w:t xml:space="preserve"> B</w:t>
      </w:r>
      <w:r w:rsidR="004D6FF6" w:rsidRPr="005E512C">
        <w:rPr>
          <w:rFonts w:ascii="Book Antiqua" w:hAnsi="Book Antiqua"/>
          <w:color w:val="000000" w:themeColor="text1"/>
        </w:rPr>
        <w:t>:</w:t>
      </w:r>
      <w:r w:rsidRPr="005E512C">
        <w:rPr>
          <w:rFonts w:ascii="Book Antiqua" w:hAnsi="Book Antiqua"/>
          <w:color w:val="000000" w:themeColor="text1"/>
        </w:rPr>
        <w:t xml:space="preserve"> Moderate acute cholangitis </w:t>
      </w:r>
      <w:r w:rsidR="00E87D76" w:rsidRPr="005E512C">
        <w:rPr>
          <w:rFonts w:ascii="Book Antiqua" w:hAnsi="Book Antiqua"/>
          <w:i/>
          <w:iCs/>
          <w:color w:val="000000" w:themeColor="text1"/>
        </w:rPr>
        <w:t>vs</w:t>
      </w:r>
      <w:r w:rsidR="00E87D76" w:rsidRPr="005E512C">
        <w:rPr>
          <w:rFonts w:ascii="Book Antiqua" w:hAnsi="Book Antiqua"/>
          <w:color w:val="000000" w:themeColor="text1"/>
        </w:rPr>
        <w:t xml:space="preserve"> </w:t>
      </w:r>
      <w:r w:rsidRPr="005E512C">
        <w:rPr>
          <w:rFonts w:ascii="Book Antiqua" w:hAnsi="Book Antiqua"/>
          <w:color w:val="000000" w:themeColor="text1"/>
        </w:rPr>
        <w:t>severe acute cholangitis</w:t>
      </w:r>
      <w:r w:rsidR="004D6FF6" w:rsidRPr="005E512C">
        <w:rPr>
          <w:rFonts w:ascii="Book Antiqua" w:hAnsi="Book Antiqua"/>
          <w:color w:val="000000" w:themeColor="text1"/>
        </w:rPr>
        <w:t xml:space="preserve">; </w:t>
      </w:r>
      <w:r w:rsidRPr="005E512C">
        <w:rPr>
          <w:rFonts w:ascii="Book Antiqua" w:hAnsi="Book Antiqua"/>
          <w:color w:val="000000" w:themeColor="text1"/>
        </w:rPr>
        <w:t>C</w:t>
      </w:r>
      <w:r w:rsidR="004D6FF6" w:rsidRPr="005E512C">
        <w:rPr>
          <w:rFonts w:ascii="Book Antiqua" w:eastAsia="宋体" w:hAnsi="Book Antiqua"/>
          <w:color w:val="000000" w:themeColor="text1"/>
        </w:rPr>
        <w:t>:</w:t>
      </w:r>
      <w:r w:rsidRPr="005E512C">
        <w:rPr>
          <w:rFonts w:ascii="Book Antiqua" w:eastAsia="宋体" w:hAnsi="Book Antiqua"/>
          <w:color w:val="000000" w:themeColor="text1"/>
        </w:rPr>
        <w:t xml:space="preserve"> Positive blood culture in acute cholangitis. </w:t>
      </w:r>
      <w:r w:rsidRPr="005E512C">
        <w:rPr>
          <w:rFonts w:ascii="Book Antiqua" w:eastAsia="宋体" w:hAnsi="Book Antiqua"/>
          <w:i/>
          <w:iCs/>
          <w:color w:val="000000" w:themeColor="text1"/>
        </w:rPr>
        <w:t>P</w:t>
      </w:r>
      <w:r w:rsidR="006B3AD1" w:rsidRPr="005E512C">
        <w:rPr>
          <w:rFonts w:ascii="Book Antiqua" w:eastAsia="宋体" w:hAnsi="Book Antiqua"/>
          <w:i/>
          <w:iCs/>
          <w:color w:val="000000" w:themeColor="text1"/>
        </w:rPr>
        <w:t xml:space="preserve"> </w:t>
      </w:r>
      <w:r w:rsidRPr="005E512C">
        <w:rPr>
          <w:rFonts w:ascii="Book Antiqua" w:eastAsia="宋体" w:hAnsi="Book Antiqua"/>
          <w:color w:val="000000" w:themeColor="text1"/>
        </w:rPr>
        <w:t>&lt;</w:t>
      </w:r>
      <w:r w:rsidR="006B3AD1" w:rsidRPr="005E512C">
        <w:rPr>
          <w:rFonts w:ascii="Book Antiqua" w:eastAsia="宋体" w:hAnsi="Book Antiqua"/>
          <w:color w:val="000000" w:themeColor="text1"/>
        </w:rPr>
        <w:t xml:space="preserve"> </w:t>
      </w:r>
      <w:r w:rsidRPr="005E512C">
        <w:rPr>
          <w:rFonts w:ascii="Book Antiqua" w:eastAsia="宋体" w:hAnsi="Book Antiqua"/>
          <w:color w:val="000000" w:themeColor="text1"/>
        </w:rPr>
        <w:t>0.05 was set as the significant level.</w:t>
      </w:r>
      <w:r w:rsidR="00C20834" w:rsidRPr="005E512C">
        <w:rPr>
          <w:rFonts w:ascii="Book Antiqua" w:eastAsia="宋体" w:hAnsi="Book Antiqua"/>
          <w:color w:val="000000" w:themeColor="text1"/>
          <w:lang w:eastAsia="zh-CN"/>
        </w:rPr>
        <w:t xml:space="preserve"> </w:t>
      </w:r>
      <w:r w:rsidR="00C20834" w:rsidRPr="005E512C">
        <w:rPr>
          <w:rFonts w:ascii="Book Antiqua" w:eastAsia="Book Antiqua" w:hAnsi="Book Antiqua" w:cs="Book Antiqua"/>
          <w:color w:val="000000" w:themeColor="text1"/>
        </w:rPr>
        <w:t xml:space="preserve">WBC: White blood cell; CRP: C-reactive protein; </w:t>
      </w:r>
      <w:r w:rsidR="00C20834" w:rsidRPr="005E512C">
        <w:rPr>
          <w:rFonts w:ascii="Book Antiqua" w:eastAsia="宋体" w:hAnsi="Book Antiqua"/>
          <w:color w:val="000000" w:themeColor="text1"/>
          <w:lang w:eastAsia="zh-CN"/>
        </w:rPr>
        <w:t xml:space="preserve">PCT: </w:t>
      </w:r>
      <w:r w:rsidR="00C20834" w:rsidRPr="005E512C">
        <w:rPr>
          <w:rFonts w:ascii="Book Antiqua" w:hAnsi="Book Antiqua"/>
          <w:color w:val="000000" w:themeColor="text1"/>
        </w:rPr>
        <w:t>Procalcitonin</w:t>
      </w:r>
      <w:r w:rsidR="00C20834" w:rsidRPr="005E512C">
        <w:rPr>
          <w:rFonts w:ascii="Book Antiqua" w:eastAsia="宋体" w:hAnsi="Book Antiqua"/>
          <w:color w:val="000000" w:themeColor="text1"/>
          <w:lang w:eastAsia="zh-CN"/>
        </w:rPr>
        <w:t xml:space="preserve">; </w:t>
      </w:r>
      <w:r w:rsidR="00C20834" w:rsidRPr="005E512C">
        <w:rPr>
          <w:rFonts w:ascii="Book Antiqua" w:eastAsia="宋体" w:hAnsi="Book Antiqua" w:cs="Times"/>
          <w:color w:val="000000" w:themeColor="text1"/>
        </w:rPr>
        <w:t xml:space="preserve">PSP: Presepsin; </w:t>
      </w:r>
      <w:r w:rsidR="00C20834" w:rsidRPr="005E512C">
        <w:rPr>
          <w:rFonts w:ascii="Book Antiqua" w:eastAsia="Book Antiqua" w:hAnsi="Book Antiqua" w:cs="Book Antiqua"/>
          <w:color w:val="000000" w:themeColor="text1"/>
        </w:rPr>
        <w:t>T-Bil: Total bilirubin</w:t>
      </w:r>
      <w:r w:rsidR="004D6FF6" w:rsidRPr="005E512C">
        <w:rPr>
          <w:rFonts w:ascii="Book Antiqua" w:eastAsia="Book Antiqua" w:hAnsi="Book Antiqua" w:cs="Book Antiqua"/>
          <w:color w:val="000000" w:themeColor="text1"/>
        </w:rPr>
        <w:t xml:space="preserve">; </w:t>
      </w:r>
      <w:r w:rsidR="004D6FF6" w:rsidRPr="005E512C">
        <w:rPr>
          <w:rFonts w:ascii="Book Antiqua" w:hAnsi="Book Antiqua"/>
          <w:color w:val="000000" w:themeColor="text1"/>
        </w:rPr>
        <w:t>AUC: Area under the receiver operating characteristic curve</w:t>
      </w:r>
      <w:r w:rsidR="00C20834" w:rsidRPr="005E512C">
        <w:rPr>
          <w:rFonts w:ascii="Book Antiqua" w:eastAsia="Book Antiqua" w:hAnsi="Book Antiqua" w:cs="Book Antiqua"/>
          <w:color w:val="000000" w:themeColor="text1"/>
        </w:rPr>
        <w:t>.</w:t>
      </w:r>
    </w:p>
    <w:p w14:paraId="7B41BDF1" w14:textId="34BDB498" w:rsidR="00BF39A6" w:rsidRPr="005E512C" w:rsidRDefault="00BF39A6" w:rsidP="005E512C">
      <w:pPr>
        <w:adjustRightInd w:val="0"/>
        <w:snapToGrid w:val="0"/>
        <w:spacing w:line="360" w:lineRule="auto"/>
        <w:jc w:val="both"/>
        <w:rPr>
          <w:rFonts w:ascii="Book Antiqua" w:hAnsi="Book Antiqua"/>
          <w:color w:val="000000" w:themeColor="text1"/>
          <w:lang w:eastAsia="zh-CN"/>
        </w:rPr>
      </w:pPr>
      <w:r w:rsidRPr="005E512C">
        <w:rPr>
          <w:rFonts w:ascii="Book Antiqua" w:hAnsi="Book Antiqua"/>
          <w:color w:val="000000" w:themeColor="text1"/>
          <w:lang w:eastAsia="zh-CN"/>
        </w:rPr>
        <w:br w:type="page"/>
      </w:r>
      <w:r w:rsidRPr="005E512C">
        <w:rPr>
          <w:rFonts w:ascii="Book Antiqua" w:eastAsia="宋体" w:hAnsi="Book Antiqua" w:cs="Times"/>
          <w:b/>
          <w:bCs/>
          <w:color w:val="000000" w:themeColor="text1"/>
        </w:rPr>
        <w:lastRenderedPageBreak/>
        <w:t>Table 1</w:t>
      </w:r>
      <w:r w:rsidRPr="005E512C">
        <w:rPr>
          <w:rFonts w:ascii="Book Antiqua" w:eastAsia="宋体" w:hAnsi="Book Antiqua" w:cs="Times"/>
          <w:color w:val="000000" w:themeColor="text1"/>
        </w:rPr>
        <w:t xml:space="preserve"> </w:t>
      </w:r>
      <w:r w:rsidRPr="005E512C">
        <w:rPr>
          <w:rFonts w:ascii="Book Antiqua" w:eastAsia="宋体" w:hAnsi="Book Antiqua" w:cs="Times"/>
          <w:b/>
          <w:bCs/>
          <w:color w:val="000000" w:themeColor="text1"/>
        </w:rPr>
        <w:t>Clinic</w:t>
      </w:r>
      <w:r w:rsidRPr="005E512C">
        <w:rPr>
          <w:rFonts w:ascii="Book Antiqua" w:eastAsia="宋体" w:hAnsi="Book Antiqua" w:cs="Times"/>
          <w:b/>
          <w:bCs/>
          <w:color w:val="000000" w:themeColor="text1"/>
        </w:rPr>
        <w:t>al features and results of 336 cases of acute cholangitis</w:t>
      </w:r>
      <w:r w:rsidR="00E00138">
        <w:rPr>
          <w:rFonts w:ascii="Book Antiqua" w:eastAsia="宋体" w:hAnsi="Book Antiqua" w:cs="Times"/>
          <w:b/>
          <w:bCs/>
          <w:color w:val="000000" w:themeColor="text1"/>
        </w:rPr>
        <w:t xml:space="preserve"> </w:t>
      </w:r>
      <w:r w:rsidRPr="005E512C">
        <w:rPr>
          <w:rFonts w:ascii="Book Antiqua" w:eastAsia="宋体" w:hAnsi="Book Antiqua" w:cs="Times"/>
          <w:b/>
          <w:bCs/>
          <w:color w:val="000000" w:themeColor="text1"/>
        </w:rPr>
        <w:t xml:space="preserve">analyzed according to disease severity classified by the Tokyo guidelines 2018: </w:t>
      </w:r>
      <w:r w:rsidR="006423E1">
        <w:rPr>
          <w:rFonts w:ascii="Book Antiqua" w:eastAsia="宋体" w:hAnsi="Book Antiqua" w:cs="Times"/>
          <w:b/>
          <w:bCs/>
          <w:color w:val="000000" w:themeColor="text1"/>
        </w:rPr>
        <w:t>D</w:t>
      </w:r>
      <w:r w:rsidRPr="005E512C">
        <w:rPr>
          <w:rFonts w:ascii="Book Antiqua" w:eastAsia="宋体" w:hAnsi="Book Antiqua" w:cs="Times"/>
          <w:b/>
          <w:bCs/>
          <w:color w:val="000000" w:themeColor="text1"/>
        </w:rPr>
        <w:t>iagnostic criteria and severity grading of acute cholangitis</w:t>
      </w:r>
    </w:p>
    <w:tbl>
      <w:tblPr>
        <w:tblpPr w:leftFromText="180" w:rightFromText="180" w:vertAnchor="page" w:horzAnchor="margin" w:tblpY="2901"/>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1679"/>
        <w:gridCol w:w="1714"/>
        <w:gridCol w:w="1713"/>
        <w:gridCol w:w="1715"/>
        <w:gridCol w:w="1723"/>
        <w:gridCol w:w="816"/>
      </w:tblGrid>
      <w:tr w:rsidR="005E512C" w:rsidRPr="00473C02" w14:paraId="7D2EDA93" w14:textId="77777777" w:rsidTr="009E3041">
        <w:trPr>
          <w:trHeight w:val="279"/>
        </w:trPr>
        <w:tc>
          <w:tcPr>
            <w:tcW w:w="899" w:type="pct"/>
            <w:vMerge w:val="restart"/>
            <w:tcBorders>
              <w:top w:val="single" w:sz="4" w:space="0" w:color="000000" w:themeColor="text1"/>
              <w:bottom w:val="single" w:sz="4" w:space="0" w:color="000000" w:themeColor="text1"/>
            </w:tcBorders>
            <w:shd w:val="clear" w:color="auto" w:fill="auto"/>
          </w:tcPr>
          <w:p w14:paraId="17A7CD29" w14:textId="77777777" w:rsidR="005E512C" w:rsidRPr="00473C02" w:rsidRDefault="005E512C" w:rsidP="005E512C">
            <w:pPr>
              <w:adjustRightInd w:val="0"/>
              <w:snapToGrid w:val="0"/>
              <w:spacing w:line="360" w:lineRule="auto"/>
              <w:jc w:val="both"/>
              <w:rPr>
                <w:rFonts w:ascii="Book Antiqua" w:eastAsia="宋体" w:hAnsi="Book Antiqua" w:cs="Times"/>
                <w:b/>
                <w:bCs/>
                <w:color w:val="000000" w:themeColor="text1"/>
              </w:rPr>
            </w:pPr>
          </w:p>
        </w:tc>
        <w:tc>
          <w:tcPr>
            <w:tcW w:w="918" w:type="pct"/>
            <w:vMerge w:val="restart"/>
            <w:tcBorders>
              <w:top w:val="single" w:sz="4" w:space="0" w:color="000000" w:themeColor="text1"/>
              <w:bottom w:val="single" w:sz="4" w:space="0" w:color="000000" w:themeColor="text1"/>
            </w:tcBorders>
            <w:shd w:val="clear" w:color="auto" w:fill="auto"/>
          </w:tcPr>
          <w:p w14:paraId="274FE1D6" w14:textId="3F76DC2B" w:rsidR="005E512C" w:rsidRPr="00473C02" w:rsidRDefault="005E512C" w:rsidP="005E512C">
            <w:pPr>
              <w:adjustRightInd w:val="0"/>
              <w:snapToGrid w:val="0"/>
              <w:spacing w:line="360" w:lineRule="auto"/>
              <w:jc w:val="both"/>
              <w:rPr>
                <w:rFonts w:ascii="Book Antiqua" w:eastAsia="宋体" w:hAnsi="Book Antiqua" w:cs="Times"/>
                <w:b/>
                <w:bCs/>
                <w:color w:val="000000" w:themeColor="text1"/>
              </w:rPr>
            </w:pPr>
            <w:r w:rsidRPr="00473C02">
              <w:rPr>
                <w:rFonts w:ascii="Book Antiqua" w:eastAsia="宋体" w:hAnsi="Book Antiqua" w:cs="Times"/>
                <w:b/>
                <w:bCs/>
                <w:color w:val="000000" w:themeColor="text1"/>
              </w:rPr>
              <w:t>Acute cholangitis</w:t>
            </w:r>
            <w:r w:rsidR="006F7889" w:rsidRPr="00473C02">
              <w:rPr>
                <w:rFonts w:ascii="Book Antiqua" w:eastAsia="宋体" w:hAnsi="Book Antiqua" w:cs="Times" w:hint="eastAsia"/>
                <w:b/>
                <w:bCs/>
                <w:color w:val="000000" w:themeColor="text1"/>
                <w:lang w:eastAsia="zh-CN"/>
              </w:rPr>
              <w:t xml:space="preserve"> </w:t>
            </w:r>
            <w:r w:rsidR="006F7889" w:rsidRPr="00473C02">
              <w:rPr>
                <w:rFonts w:ascii="Book Antiqua" w:eastAsia="宋体" w:hAnsi="Book Antiqua" w:cs="Times"/>
                <w:b/>
                <w:bCs/>
                <w:color w:val="000000" w:themeColor="text1"/>
              </w:rPr>
              <w:t>(</w:t>
            </w:r>
            <w:r w:rsidRPr="00473C02">
              <w:rPr>
                <w:rFonts w:ascii="Book Antiqua" w:eastAsia="宋体" w:hAnsi="Book Antiqua" w:cs="Times"/>
                <w:b/>
                <w:bCs/>
                <w:i/>
                <w:iCs/>
                <w:color w:val="000000" w:themeColor="text1"/>
              </w:rPr>
              <w:t>n</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color w:val="000000" w:themeColor="text1"/>
              </w:rPr>
              <w:t>=</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color w:val="000000" w:themeColor="text1"/>
              </w:rPr>
              <w:t>336)</w:t>
            </w:r>
          </w:p>
        </w:tc>
        <w:tc>
          <w:tcPr>
            <w:tcW w:w="2757" w:type="pct"/>
            <w:gridSpan w:val="3"/>
            <w:tcBorders>
              <w:top w:val="single" w:sz="4" w:space="0" w:color="000000" w:themeColor="text1"/>
              <w:bottom w:val="single" w:sz="4" w:space="0" w:color="000000" w:themeColor="text1"/>
            </w:tcBorders>
            <w:shd w:val="clear" w:color="auto" w:fill="auto"/>
          </w:tcPr>
          <w:p w14:paraId="3E97A609" w14:textId="77777777" w:rsidR="005E512C" w:rsidRPr="00473C02" w:rsidRDefault="005E512C" w:rsidP="005E512C">
            <w:pPr>
              <w:widowControl w:val="0"/>
              <w:adjustRightInd w:val="0"/>
              <w:snapToGrid w:val="0"/>
              <w:spacing w:line="360" w:lineRule="auto"/>
              <w:ind w:firstLineChars="500" w:firstLine="1205"/>
              <w:jc w:val="both"/>
              <w:rPr>
                <w:rFonts w:ascii="Book Antiqua" w:eastAsia="宋体" w:hAnsi="Book Antiqua" w:cs="Times"/>
                <w:b/>
                <w:bCs/>
                <w:color w:val="000000" w:themeColor="text1"/>
              </w:rPr>
            </w:pPr>
            <w:r w:rsidRPr="00473C02">
              <w:rPr>
                <w:rFonts w:ascii="Book Antiqua" w:eastAsia="宋体" w:hAnsi="Book Antiqua" w:cs="Times"/>
                <w:b/>
                <w:bCs/>
                <w:color w:val="000000" w:themeColor="text1"/>
              </w:rPr>
              <w:t>Severity of acute cholangitis</w:t>
            </w:r>
          </w:p>
        </w:tc>
        <w:tc>
          <w:tcPr>
            <w:tcW w:w="426" w:type="pct"/>
            <w:vMerge w:val="restart"/>
            <w:tcBorders>
              <w:top w:val="single" w:sz="4" w:space="0" w:color="000000" w:themeColor="text1"/>
              <w:bottom w:val="single" w:sz="4" w:space="0" w:color="000000" w:themeColor="text1"/>
            </w:tcBorders>
            <w:shd w:val="clear" w:color="auto" w:fill="auto"/>
          </w:tcPr>
          <w:p w14:paraId="5AC97232" w14:textId="641E89D2" w:rsidR="005E512C" w:rsidRPr="00473C02" w:rsidRDefault="005E512C" w:rsidP="005E512C">
            <w:pPr>
              <w:adjustRightInd w:val="0"/>
              <w:snapToGrid w:val="0"/>
              <w:spacing w:line="360" w:lineRule="auto"/>
              <w:jc w:val="both"/>
              <w:rPr>
                <w:rFonts w:ascii="Book Antiqua" w:eastAsia="宋体" w:hAnsi="Book Antiqua" w:cs="Times"/>
                <w:b/>
                <w:bCs/>
                <w:color w:val="000000" w:themeColor="text1"/>
              </w:rPr>
            </w:pPr>
            <w:r w:rsidRPr="00473C02">
              <w:rPr>
                <w:rFonts w:ascii="Book Antiqua" w:eastAsia="宋体" w:hAnsi="Book Antiqua" w:cs="Times"/>
                <w:b/>
                <w:bCs/>
                <w:i/>
                <w:iCs/>
                <w:color w:val="000000" w:themeColor="text1"/>
              </w:rPr>
              <w:t>P</w:t>
            </w:r>
            <w:r w:rsidR="001231FE" w:rsidRPr="00473C02">
              <w:rPr>
                <w:rFonts w:ascii="Book Antiqua" w:eastAsia="宋体" w:hAnsi="Book Antiqua" w:cs="Times"/>
                <w:b/>
                <w:bCs/>
                <w:i/>
                <w:iCs/>
                <w:color w:val="000000" w:themeColor="text1"/>
              </w:rPr>
              <w:t xml:space="preserve"> </w:t>
            </w:r>
            <w:r w:rsidRPr="00473C02">
              <w:rPr>
                <w:rFonts w:ascii="Book Antiqua" w:eastAsia="宋体" w:hAnsi="Book Antiqua" w:cs="Times"/>
                <w:b/>
                <w:bCs/>
                <w:color w:val="000000" w:themeColor="text1"/>
              </w:rPr>
              <w:t>value</w:t>
            </w:r>
          </w:p>
        </w:tc>
      </w:tr>
      <w:tr w:rsidR="005E512C" w:rsidRPr="00473C02" w14:paraId="614CE4F8" w14:textId="77777777" w:rsidTr="009E3041">
        <w:trPr>
          <w:trHeight w:val="344"/>
        </w:trPr>
        <w:tc>
          <w:tcPr>
            <w:tcW w:w="899" w:type="pct"/>
            <w:vMerge/>
            <w:tcBorders>
              <w:top w:val="single" w:sz="4" w:space="0" w:color="000000" w:themeColor="text1"/>
              <w:bottom w:val="single" w:sz="4" w:space="0" w:color="000000" w:themeColor="text1"/>
            </w:tcBorders>
            <w:shd w:val="clear" w:color="auto" w:fill="auto"/>
          </w:tcPr>
          <w:p w14:paraId="0984479F" w14:textId="77777777" w:rsidR="005E512C" w:rsidRPr="00473C02" w:rsidRDefault="005E512C" w:rsidP="005E512C">
            <w:pPr>
              <w:adjustRightInd w:val="0"/>
              <w:snapToGrid w:val="0"/>
              <w:spacing w:line="360" w:lineRule="auto"/>
              <w:jc w:val="both"/>
              <w:rPr>
                <w:rFonts w:ascii="Book Antiqua" w:eastAsia="宋体" w:hAnsi="Book Antiqua" w:cs="Times"/>
                <w:b/>
                <w:bCs/>
                <w:color w:val="000000" w:themeColor="text1"/>
              </w:rPr>
            </w:pPr>
          </w:p>
        </w:tc>
        <w:tc>
          <w:tcPr>
            <w:tcW w:w="918" w:type="pct"/>
            <w:vMerge/>
            <w:tcBorders>
              <w:top w:val="single" w:sz="4" w:space="0" w:color="000000" w:themeColor="text1"/>
              <w:bottom w:val="single" w:sz="4" w:space="0" w:color="000000" w:themeColor="text1"/>
            </w:tcBorders>
            <w:shd w:val="clear" w:color="auto" w:fill="auto"/>
          </w:tcPr>
          <w:p w14:paraId="32BC48F3" w14:textId="77777777" w:rsidR="005E512C" w:rsidRPr="00473C02" w:rsidRDefault="005E512C" w:rsidP="005E512C">
            <w:pPr>
              <w:adjustRightInd w:val="0"/>
              <w:snapToGrid w:val="0"/>
              <w:spacing w:line="360" w:lineRule="auto"/>
              <w:jc w:val="both"/>
              <w:rPr>
                <w:rFonts w:ascii="Book Antiqua" w:eastAsia="宋体" w:hAnsi="Book Antiqua" w:cs="Times"/>
                <w:b/>
                <w:bCs/>
                <w:color w:val="000000" w:themeColor="text1"/>
              </w:rPr>
            </w:pPr>
          </w:p>
        </w:tc>
        <w:tc>
          <w:tcPr>
            <w:tcW w:w="917" w:type="pct"/>
            <w:tcBorders>
              <w:top w:val="single" w:sz="4" w:space="0" w:color="000000" w:themeColor="text1"/>
              <w:bottom w:val="single" w:sz="4" w:space="0" w:color="000000" w:themeColor="text1"/>
            </w:tcBorders>
            <w:shd w:val="clear" w:color="auto" w:fill="auto"/>
          </w:tcPr>
          <w:p w14:paraId="7C474FDD" w14:textId="7008EFE4" w:rsidR="005E512C" w:rsidRPr="00473C02" w:rsidRDefault="005E512C" w:rsidP="005E512C">
            <w:pPr>
              <w:widowControl w:val="0"/>
              <w:adjustRightInd w:val="0"/>
              <w:snapToGrid w:val="0"/>
              <w:spacing w:line="360" w:lineRule="auto"/>
              <w:jc w:val="both"/>
              <w:rPr>
                <w:rFonts w:ascii="Book Antiqua" w:eastAsia="宋体" w:hAnsi="Book Antiqua" w:cs="Times"/>
                <w:b/>
                <w:bCs/>
                <w:color w:val="000000" w:themeColor="text1"/>
              </w:rPr>
            </w:pPr>
            <w:r w:rsidRPr="00473C02">
              <w:rPr>
                <w:rFonts w:ascii="Book Antiqua" w:eastAsia="宋体" w:hAnsi="Book Antiqua" w:cs="Times"/>
                <w:b/>
                <w:bCs/>
                <w:color w:val="000000" w:themeColor="text1"/>
              </w:rPr>
              <w:t>Mild</w:t>
            </w:r>
            <w:r w:rsidR="006F7889" w:rsidRPr="00473C02">
              <w:rPr>
                <w:rFonts w:ascii="Book Antiqua" w:eastAsia="宋体" w:hAnsi="Book Antiqua" w:cs="Times"/>
                <w:b/>
                <w:bCs/>
                <w:color w:val="000000" w:themeColor="text1"/>
              </w:rPr>
              <w:t xml:space="preserve"> (</w:t>
            </w:r>
            <w:r w:rsidR="006F7889" w:rsidRPr="00473C02">
              <w:rPr>
                <w:rFonts w:ascii="Book Antiqua" w:eastAsia="宋体" w:hAnsi="Book Antiqua" w:cs="Times"/>
                <w:b/>
                <w:bCs/>
                <w:i/>
                <w:iCs/>
                <w:color w:val="000000" w:themeColor="text1"/>
              </w:rPr>
              <w:t>n</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color w:val="000000" w:themeColor="text1"/>
              </w:rPr>
              <w:t>=</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color w:val="000000" w:themeColor="text1"/>
              </w:rPr>
              <w:t>107)</w:t>
            </w:r>
          </w:p>
        </w:tc>
        <w:tc>
          <w:tcPr>
            <w:tcW w:w="918" w:type="pct"/>
            <w:tcBorders>
              <w:top w:val="single" w:sz="4" w:space="0" w:color="000000" w:themeColor="text1"/>
              <w:bottom w:val="single" w:sz="4" w:space="0" w:color="000000" w:themeColor="text1"/>
            </w:tcBorders>
            <w:shd w:val="clear" w:color="auto" w:fill="auto"/>
          </w:tcPr>
          <w:p w14:paraId="56CFDD53" w14:textId="68E01CE6" w:rsidR="005E512C" w:rsidRPr="00473C02" w:rsidRDefault="005E512C" w:rsidP="005E512C">
            <w:pPr>
              <w:adjustRightInd w:val="0"/>
              <w:snapToGrid w:val="0"/>
              <w:spacing w:line="360" w:lineRule="auto"/>
              <w:jc w:val="both"/>
              <w:rPr>
                <w:rFonts w:ascii="Book Antiqua" w:eastAsia="宋体" w:hAnsi="Book Antiqua" w:cs="Times"/>
                <w:b/>
                <w:bCs/>
                <w:color w:val="000000" w:themeColor="text1"/>
              </w:rPr>
            </w:pPr>
            <w:r w:rsidRPr="00473C02">
              <w:rPr>
                <w:rFonts w:ascii="Book Antiqua" w:eastAsia="宋体" w:hAnsi="Book Antiqua" w:cs="Times"/>
                <w:b/>
                <w:bCs/>
                <w:color w:val="000000" w:themeColor="text1"/>
              </w:rPr>
              <w:t>Moderate</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i/>
                <w:iCs/>
                <w:color w:val="000000" w:themeColor="text1"/>
              </w:rPr>
              <w:t>n</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color w:val="000000" w:themeColor="text1"/>
              </w:rPr>
              <w:t>=</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color w:val="000000" w:themeColor="text1"/>
              </w:rPr>
              <w:t>106)</w:t>
            </w:r>
          </w:p>
        </w:tc>
        <w:tc>
          <w:tcPr>
            <w:tcW w:w="922" w:type="pct"/>
            <w:tcBorders>
              <w:top w:val="single" w:sz="4" w:space="0" w:color="000000" w:themeColor="text1"/>
              <w:bottom w:val="single" w:sz="4" w:space="0" w:color="000000" w:themeColor="text1"/>
            </w:tcBorders>
            <w:shd w:val="clear" w:color="auto" w:fill="auto"/>
          </w:tcPr>
          <w:p w14:paraId="7F6AA5B8" w14:textId="3413A4EC" w:rsidR="005E512C" w:rsidRPr="00473C02" w:rsidRDefault="005E512C" w:rsidP="005E512C">
            <w:pPr>
              <w:adjustRightInd w:val="0"/>
              <w:snapToGrid w:val="0"/>
              <w:spacing w:line="360" w:lineRule="auto"/>
              <w:jc w:val="both"/>
              <w:rPr>
                <w:rFonts w:ascii="Book Antiqua" w:eastAsia="宋体" w:hAnsi="Book Antiqua" w:cs="Times"/>
                <w:b/>
                <w:bCs/>
                <w:color w:val="000000" w:themeColor="text1"/>
              </w:rPr>
            </w:pPr>
            <w:r w:rsidRPr="00473C02">
              <w:rPr>
                <w:rFonts w:ascii="Book Antiqua" w:eastAsia="宋体" w:hAnsi="Book Antiqua" w:cs="Times"/>
                <w:b/>
                <w:bCs/>
                <w:color w:val="000000" w:themeColor="text1"/>
              </w:rPr>
              <w:t>Severe</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i/>
                <w:iCs/>
                <w:color w:val="000000" w:themeColor="text1"/>
              </w:rPr>
              <w:t>n</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color w:val="000000" w:themeColor="text1"/>
              </w:rPr>
              <w:t>=</w:t>
            </w:r>
            <w:r w:rsidR="006F7889" w:rsidRPr="00473C02">
              <w:rPr>
                <w:rFonts w:ascii="Book Antiqua" w:eastAsia="宋体" w:hAnsi="Book Antiqua" w:cs="Times"/>
                <w:b/>
                <w:bCs/>
                <w:color w:val="000000" w:themeColor="text1"/>
              </w:rPr>
              <w:t xml:space="preserve"> </w:t>
            </w:r>
            <w:r w:rsidRPr="00473C02">
              <w:rPr>
                <w:rFonts w:ascii="Book Antiqua" w:eastAsia="宋体" w:hAnsi="Book Antiqua" w:cs="Times"/>
                <w:b/>
                <w:bCs/>
                <w:color w:val="000000" w:themeColor="text1"/>
              </w:rPr>
              <w:t>123)</w:t>
            </w:r>
          </w:p>
        </w:tc>
        <w:tc>
          <w:tcPr>
            <w:tcW w:w="426" w:type="pct"/>
            <w:vMerge/>
            <w:tcBorders>
              <w:top w:val="single" w:sz="4" w:space="0" w:color="000000" w:themeColor="text1"/>
              <w:bottom w:val="single" w:sz="4" w:space="0" w:color="000000" w:themeColor="text1"/>
            </w:tcBorders>
            <w:shd w:val="clear" w:color="auto" w:fill="auto"/>
          </w:tcPr>
          <w:p w14:paraId="39648B9D" w14:textId="77777777" w:rsidR="005E512C" w:rsidRPr="00473C02" w:rsidRDefault="005E512C" w:rsidP="005E512C">
            <w:pPr>
              <w:adjustRightInd w:val="0"/>
              <w:snapToGrid w:val="0"/>
              <w:spacing w:line="360" w:lineRule="auto"/>
              <w:jc w:val="both"/>
              <w:rPr>
                <w:rFonts w:ascii="Book Antiqua" w:eastAsia="宋体" w:hAnsi="Book Antiqua" w:cs="Times"/>
                <w:b/>
                <w:bCs/>
                <w:i/>
                <w:iCs/>
                <w:color w:val="000000" w:themeColor="text1"/>
              </w:rPr>
            </w:pPr>
          </w:p>
        </w:tc>
      </w:tr>
      <w:tr w:rsidR="006F7889" w:rsidRPr="00473C02" w14:paraId="4E7E998D" w14:textId="77777777" w:rsidTr="009E3041">
        <w:trPr>
          <w:trHeight w:val="300"/>
        </w:trPr>
        <w:tc>
          <w:tcPr>
            <w:tcW w:w="5000" w:type="pct"/>
            <w:gridSpan w:val="6"/>
            <w:tcBorders>
              <w:top w:val="single" w:sz="4" w:space="0" w:color="000000" w:themeColor="text1"/>
            </w:tcBorders>
            <w:shd w:val="clear" w:color="auto" w:fill="auto"/>
          </w:tcPr>
          <w:p w14:paraId="231DEFA0" w14:textId="5DF19AEB" w:rsidR="006F7889" w:rsidRPr="00473C02" w:rsidRDefault="006F7889" w:rsidP="005E512C">
            <w:pPr>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Features</w:t>
            </w:r>
          </w:p>
        </w:tc>
      </w:tr>
      <w:tr w:rsidR="005E512C" w:rsidRPr="00473C02" w14:paraId="6E642F6E" w14:textId="77777777" w:rsidTr="009E3041">
        <w:trPr>
          <w:trHeight w:val="290"/>
        </w:trPr>
        <w:tc>
          <w:tcPr>
            <w:tcW w:w="899" w:type="pct"/>
            <w:shd w:val="clear" w:color="auto" w:fill="auto"/>
          </w:tcPr>
          <w:p w14:paraId="69D59A8D" w14:textId="213DB880"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Age</w:t>
            </w:r>
            <w:r w:rsidR="006F7889" w:rsidRPr="00473C02">
              <w:rPr>
                <w:rFonts w:ascii="Book Antiqua" w:eastAsia="宋体" w:hAnsi="Book Antiqua" w:cs="Times"/>
                <w:color w:val="000000" w:themeColor="text1"/>
              </w:rPr>
              <w:t xml:space="preserve"> (</w:t>
            </w:r>
            <w:r w:rsidR="00E4170A" w:rsidRPr="00473C02">
              <w:rPr>
                <w:rFonts w:ascii="Book Antiqua" w:eastAsia="宋体" w:hAnsi="Book Antiqua" w:cs="Times" w:hint="eastAsia"/>
                <w:color w:val="000000" w:themeColor="text1"/>
                <w:lang w:eastAsia="zh-CN"/>
              </w:rPr>
              <w:t>yr</w:t>
            </w:r>
            <w:r w:rsidRPr="00473C02">
              <w:rPr>
                <w:rFonts w:ascii="Book Antiqua" w:eastAsia="宋体" w:hAnsi="Book Antiqua" w:cs="Times"/>
                <w:color w:val="000000" w:themeColor="text1"/>
              </w:rPr>
              <w:t>)</w:t>
            </w:r>
          </w:p>
        </w:tc>
        <w:tc>
          <w:tcPr>
            <w:tcW w:w="918" w:type="pct"/>
            <w:shd w:val="clear" w:color="auto" w:fill="auto"/>
          </w:tcPr>
          <w:p w14:paraId="4296F561" w14:textId="418D9443"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75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66-84)</w:t>
            </w:r>
          </w:p>
        </w:tc>
        <w:tc>
          <w:tcPr>
            <w:tcW w:w="917" w:type="pct"/>
            <w:shd w:val="clear" w:color="auto" w:fill="auto"/>
          </w:tcPr>
          <w:p w14:paraId="34506221" w14:textId="44DD250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69</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64-79)</w:t>
            </w:r>
          </w:p>
        </w:tc>
        <w:tc>
          <w:tcPr>
            <w:tcW w:w="918" w:type="pct"/>
            <w:shd w:val="clear" w:color="auto" w:fill="auto"/>
          </w:tcPr>
          <w:p w14:paraId="0AD1684E" w14:textId="7B629BFB"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81</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70-86)</w:t>
            </w:r>
          </w:p>
        </w:tc>
        <w:tc>
          <w:tcPr>
            <w:tcW w:w="922" w:type="pct"/>
            <w:shd w:val="clear" w:color="auto" w:fill="auto"/>
          </w:tcPr>
          <w:p w14:paraId="1E9B236C" w14:textId="4E60097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75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67-85)</w:t>
            </w:r>
          </w:p>
        </w:tc>
        <w:tc>
          <w:tcPr>
            <w:tcW w:w="426" w:type="pct"/>
            <w:shd w:val="clear" w:color="auto" w:fill="auto"/>
          </w:tcPr>
          <w:p w14:paraId="40AAAAB8"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0.000</w:t>
            </w:r>
          </w:p>
        </w:tc>
      </w:tr>
      <w:tr w:rsidR="005E512C" w:rsidRPr="00473C02" w14:paraId="1FACC3FF" w14:textId="77777777" w:rsidTr="009E3041">
        <w:trPr>
          <w:trHeight w:val="247"/>
        </w:trPr>
        <w:tc>
          <w:tcPr>
            <w:tcW w:w="899" w:type="pct"/>
            <w:shd w:val="clear" w:color="auto" w:fill="auto"/>
          </w:tcPr>
          <w:p w14:paraId="147C7FF5"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Male/female</w:t>
            </w:r>
          </w:p>
        </w:tc>
        <w:tc>
          <w:tcPr>
            <w:tcW w:w="918" w:type="pct"/>
            <w:shd w:val="clear" w:color="auto" w:fill="auto"/>
          </w:tcPr>
          <w:p w14:paraId="07458A30"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198/138</w:t>
            </w:r>
          </w:p>
        </w:tc>
        <w:tc>
          <w:tcPr>
            <w:tcW w:w="917" w:type="pct"/>
            <w:shd w:val="clear" w:color="auto" w:fill="auto"/>
          </w:tcPr>
          <w:p w14:paraId="11D2FF0D"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61/46</w:t>
            </w:r>
          </w:p>
        </w:tc>
        <w:tc>
          <w:tcPr>
            <w:tcW w:w="918" w:type="pct"/>
            <w:shd w:val="clear" w:color="auto" w:fill="auto"/>
          </w:tcPr>
          <w:p w14:paraId="668F3E42"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65/41</w:t>
            </w:r>
          </w:p>
        </w:tc>
        <w:tc>
          <w:tcPr>
            <w:tcW w:w="922" w:type="pct"/>
            <w:shd w:val="clear" w:color="auto" w:fill="auto"/>
          </w:tcPr>
          <w:p w14:paraId="20544E15"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72/51</w:t>
            </w:r>
          </w:p>
        </w:tc>
        <w:tc>
          <w:tcPr>
            <w:tcW w:w="426" w:type="pct"/>
            <w:shd w:val="clear" w:color="auto" w:fill="auto"/>
          </w:tcPr>
          <w:p w14:paraId="5D4448E1"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0.810</w:t>
            </w:r>
          </w:p>
        </w:tc>
      </w:tr>
      <w:tr w:rsidR="005E512C" w:rsidRPr="00473C02" w14:paraId="033506CE" w14:textId="77777777" w:rsidTr="009E3041">
        <w:trPr>
          <w:trHeight w:val="290"/>
        </w:trPr>
        <w:tc>
          <w:tcPr>
            <w:tcW w:w="899" w:type="pct"/>
            <w:shd w:val="clear" w:color="auto" w:fill="auto"/>
          </w:tcPr>
          <w:p w14:paraId="41E7C276" w14:textId="6CB60732"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Temperature</w:t>
            </w:r>
            <w:r w:rsidR="006F7889" w:rsidRPr="00473C02">
              <w:rPr>
                <w:rFonts w:ascii="Book Antiqua" w:eastAsia="宋体" w:hAnsi="Book Antiqua" w:cs="Times"/>
                <w:color w:val="000000" w:themeColor="text1"/>
              </w:rPr>
              <w:t xml:space="preserve"> (</w:t>
            </w:r>
            <w:r w:rsidR="006F7889" w:rsidRPr="00473C02">
              <w:rPr>
                <w:rFonts w:ascii="宋体" w:eastAsia="宋体" w:hAnsi="宋体" w:cs="宋体" w:hint="eastAsia"/>
                <w:color w:val="000000" w:themeColor="text1"/>
                <w:lang w:eastAsia="zh-CN"/>
              </w:rPr>
              <w:t>℃</w:t>
            </w:r>
            <w:r w:rsidRPr="00473C02">
              <w:rPr>
                <w:rFonts w:ascii="Book Antiqua" w:eastAsia="宋体" w:hAnsi="Book Antiqua" w:cs="Times"/>
                <w:color w:val="000000" w:themeColor="text1"/>
              </w:rPr>
              <w:t>)</w:t>
            </w:r>
          </w:p>
        </w:tc>
        <w:tc>
          <w:tcPr>
            <w:tcW w:w="918" w:type="pct"/>
            <w:shd w:val="clear" w:color="auto" w:fill="auto"/>
          </w:tcPr>
          <w:p w14:paraId="731C04E0" w14:textId="76A40758"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38.5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37.7-39.3)</w:t>
            </w:r>
          </w:p>
        </w:tc>
        <w:tc>
          <w:tcPr>
            <w:tcW w:w="917" w:type="pct"/>
            <w:shd w:val="clear" w:color="auto" w:fill="auto"/>
          </w:tcPr>
          <w:p w14:paraId="14F407AE" w14:textId="4C27A14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38.2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37.5-39.0)</w:t>
            </w:r>
          </w:p>
        </w:tc>
        <w:tc>
          <w:tcPr>
            <w:tcW w:w="918" w:type="pct"/>
            <w:shd w:val="clear" w:color="auto" w:fill="auto"/>
          </w:tcPr>
          <w:p w14:paraId="70D74CE3" w14:textId="269007C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38.6</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37.8-39.4)</w:t>
            </w:r>
          </w:p>
        </w:tc>
        <w:tc>
          <w:tcPr>
            <w:tcW w:w="922" w:type="pct"/>
            <w:shd w:val="clear" w:color="auto" w:fill="auto"/>
          </w:tcPr>
          <w:p w14:paraId="0EADA6E4" w14:textId="20D16DC3"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38.6</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37.7-39.7)</w:t>
            </w:r>
          </w:p>
        </w:tc>
        <w:tc>
          <w:tcPr>
            <w:tcW w:w="426" w:type="pct"/>
            <w:shd w:val="clear" w:color="auto" w:fill="auto"/>
          </w:tcPr>
          <w:p w14:paraId="36E82736"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0.021</w:t>
            </w:r>
          </w:p>
        </w:tc>
      </w:tr>
      <w:tr w:rsidR="005E512C" w:rsidRPr="00473C02" w14:paraId="2EC3AD82" w14:textId="77777777" w:rsidTr="009E3041">
        <w:trPr>
          <w:trHeight w:val="236"/>
        </w:trPr>
        <w:tc>
          <w:tcPr>
            <w:tcW w:w="899" w:type="pct"/>
            <w:shd w:val="clear" w:color="auto" w:fill="auto"/>
          </w:tcPr>
          <w:p w14:paraId="2452CB8E" w14:textId="4AA7723C"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MAP</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kPa)</w:t>
            </w:r>
          </w:p>
        </w:tc>
        <w:tc>
          <w:tcPr>
            <w:tcW w:w="918" w:type="pct"/>
            <w:shd w:val="clear" w:color="auto" w:fill="auto"/>
          </w:tcPr>
          <w:p w14:paraId="1757BB57" w14:textId="559AF43B"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11.4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10.1-12.7)</w:t>
            </w:r>
          </w:p>
        </w:tc>
        <w:tc>
          <w:tcPr>
            <w:tcW w:w="917" w:type="pct"/>
            <w:shd w:val="clear" w:color="auto" w:fill="auto"/>
          </w:tcPr>
          <w:p w14:paraId="1BBABE4B" w14:textId="526E173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11.6</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10.1-12.6)</w:t>
            </w:r>
          </w:p>
        </w:tc>
        <w:tc>
          <w:tcPr>
            <w:tcW w:w="918" w:type="pct"/>
            <w:shd w:val="clear" w:color="auto" w:fill="auto"/>
          </w:tcPr>
          <w:p w14:paraId="6622F3DF" w14:textId="3B125AD1"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11.6</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10.5-12.8)</w:t>
            </w:r>
          </w:p>
        </w:tc>
        <w:tc>
          <w:tcPr>
            <w:tcW w:w="922" w:type="pct"/>
            <w:shd w:val="clear" w:color="auto" w:fill="auto"/>
          </w:tcPr>
          <w:p w14:paraId="65F2ADCB" w14:textId="1A9DEEF5"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11.2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9.4-12.7)</w:t>
            </w:r>
          </w:p>
        </w:tc>
        <w:tc>
          <w:tcPr>
            <w:tcW w:w="426" w:type="pct"/>
            <w:shd w:val="clear" w:color="auto" w:fill="auto"/>
          </w:tcPr>
          <w:p w14:paraId="2A022149"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0.055</w:t>
            </w:r>
          </w:p>
        </w:tc>
      </w:tr>
      <w:tr w:rsidR="006F7889" w:rsidRPr="00473C02" w14:paraId="5C64E17B" w14:textId="77777777" w:rsidTr="009E3041">
        <w:trPr>
          <w:trHeight w:val="291"/>
        </w:trPr>
        <w:tc>
          <w:tcPr>
            <w:tcW w:w="5000" w:type="pct"/>
            <w:gridSpan w:val="6"/>
            <w:shd w:val="clear" w:color="auto" w:fill="auto"/>
          </w:tcPr>
          <w:p w14:paraId="52C14AF1" w14:textId="1D646FAF" w:rsidR="006F7889" w:rsidRPr="00473C02" w:rsidRDefault="006F7889"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Laboratory test</w:t>
            </w:r>
          </w:p>
        </w:tc>
      </w:tr>
      <w:tr w:rsidR="005E512C" w:rsidRPr="00473C02" w14:paraId="0D215086" w14:textId="77777777" w:rsidTr="009E3041">
        <w:trPr>
          <w:trHeight w:val="322"/>
        </w:trPr>
        <w:tc>
          <w:tcPr>
            <w:tcW w:w="899" w:type="pct"/>
            <w:shd w:val="clear" w:color="auto" w:fill="auto"/>
          </w:tcPr>
          <w:p w14:paraId="252B1509" w14:textId="15BA6973"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WBCs</w:t>
            </w:r>
            <w:r w:rsidR="006F7889" w:rsidRPr="00473C02">
              <w:rPr>
                <w:rFonts w:ascii="Book Antiqua" w:eastAsia="等线" w:hAnsi="Book Antiqua" w:cs="Times"/>
                <w:color w:val="000000" w:themeColor="text1"/>
              </w:rPr>
              <w:t xml:space="preserve"> (</w:t>
            </w:r>
            <w:r w:rsidR="006F7889" w:rsidRPr="00473C02">
              <w:rPr>
                <w:rFonts w:ascii="Book Antiqua" w:eastAsia="等线" w:hAnsi="Book Antiqua" w:cs="Times"/>
                <w:color w:val="000000" w:themeColor="text1"/>
                <w:lang w:eastAsia="zh-CN"/>
              </w:rPr>
              <w:t>×</w:t>
            </w:r>
            <w:r w:rsidR="006423E1">
              <w:rPr>
                <w:rFonts w:ascii="Book Antiqua" w:eastAsia="等线" w:hAnsi="Book Antiqua" w:cs="Times"/>
                <w:color w:val="000000" w:themeColor="text1"/>
                <w:lang w:eastAsia="zh-CN"/>
              </w:rPr>
              <w:t xml:space="preserve"> </w:t>
            </w:r>
            <w:r w:rsidRPr="00473C02">
              <w:rPr>
                <w:rFonts w:ascii="Book Antiqua" w:eastAsia="等线" w:hAnsi="Book Antiqua" w:cs="Times"/>
                <w:color w:val="000000" w:themeColor="text1"/>
              </w:rPr>
              <w:t>10</w:t>
            </w:r>
            <w:r w:rsidRPr="00473C02">
              <w:rPr>
                <w:rFonts w:ascii="Book Antiqua" w:eastAsia="等线" w:hAnsi="Book Antiqua" w:cs="Times"/>
                <w:color w:val="000000" w:themeColor="text1"/>
                <w:vertAlign w:val="superscript"/>
              </w:rPr>
              <w:t>9</w:t>
            </w:r>
            <w:r w:rsidRPr="00473C02">
              <w:rPr>
                <w:rFonts w:ascii="Book Antiqua" w:eastAsia="等线" w:hAnsi="Book Antiqua" w:cs="Times"/>
                <w:color w:val="000000" w:themeColor="text1"/>
              </w:rPr>
              <w:t>/L)</w:t>
            </w:r>
          </w:p>
        </w:tc>
        <w:tc>
          <w:tcPr>
            <w:tcW w:w="918" w:type="pct"/>
            <w:shd w:val="clear" w:color="auto" w:fill="auto"/>
          </w:tcPr>
          <w:p w14:paraId="00D2BC96" w14:textId="71538528"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10.52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7.32-14.78)</w:t>
            </w:r>
          </w:p>
        </w:tc>
        <w:tc>
          <w:tcPr>
            <w:tcW w:w="917" w:type="pct"/>
            <w:shd w:val="clear" w:color="auto" w:fill="auto"/>
          </w:tcPr>
          <w:p w14:paraId="2F997074" w14:textId="1F2C0C34"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8.70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6.19-11.06)</w:t>
            </w:r>
          </w:p>
        </w:tc>
        <w:tc>
          <w:tcPr>
            <w:tcW w:w="918" w:type="pct"/>
            <w:shd w:val="clear" w:color="auto" w:fill="auto"/>
          </w:tcPr>
          <w:p w14:paraId="2C7BE131" w14:textId="72E24994"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13.08</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8.97-16.27)</w:t>
            </w:r>
          </w:p>
        </w:tc>
        <w:tc>
          <w:tcPr>
            <w:tcW w:w="922" w:type="pct"/>
            <w:shd w:val="clear" w:color="auto" w:fill="auto"/>
          </w:tcPr>
          <w:p w14:paraId="277AEBFB" w14:textId="69C4AB03"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11.24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7.36-15.45)</w:t>
            </w:r>
          </w:p>
        </w:tc>
        <w:tc>
          <w:tcPr>
            <w:tcW w:w="426" w:type="pct"/>
            <w:shd w:val="clear" w:color="auto" w:fill="auto"/>
          </w:tcPr>
          <w:p w14:paraId="31BBCFD8"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0.000</w:t>
            </w:r>
          </w:p>
        </w:tc>
      </w:tr>
      <w:tr w:rsidR="005E512C" w:rsidRPr="00473C02" w14:paraId="64DD7516" w14:textId="77777777" w:rsidTr="009E3041">
        <w:trPr>
          <w:trHeight w:val="248"/>
        </w:trPr>
        <w:tc>
          <w:tcPr>
            <w:tcW w:w="899" w:type="pct"/>
            <w:shd w:val="clear" w:color="auto" w:fill="auto"/>
          </w:tcPr>
          <w:p w14:paraId="521AE59B" w14:textId="4F6A99B5"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CRP</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mg/L)</w:t>
            </w:r>
          </w:p>
        </w:tc>
        <w:tc>
          <w:tcPr>
            <w:tcW w:w="918" w:type="pct"/>
            <w:shd w:val="clear" w:color="auto" w:fill="auto"/>
          </w:tcPr>
          <w:p w14:paraId="6CE740FD" w14:textId="439B77EA"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83.71</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43.17-152.86)</w:t>
            </w:r>
          </w:p>
        </w:tc>
        <w:tc>
          <w:tcPr>
            <w:tcW w:w="917" w:type="pct"/>
            <w:shd w:val="clear" w:color="auto" w:fill="auto"/>
          </w:tcPr>
          <w:p w14:paraId="7EB50B9D" w14:textId="3AF261E3"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54.86</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21.36-111.00)</w:t>
            </w:r>
          </w:p>
        </w:tc>
        <w:tc>
          <w:tcPr>
            <w:tcW w:w="918" w:type="pct"/>
            <w:shd w:val="clear" w:color="auto" w:fill="auto"/>
          </w:tcPr>
          <w:p w14:paraId="028B80D9" w14:textId="086E977A"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85.11</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53.17-148.70)</w:t>
            </w:r>
          </w:p>
        </w:tc>
        <w:tc>
          <w:tcPr>
            <w:tcW w:w="922" w:type="pct"/>
            <w:shd w:val="clear" w:color="auto" w:fill="auto"/>
          </w:tcPr>
          <w:p w14:paraId="3CDAAD38" w14:textId="7E0F09FB"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116.92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60.00-175.13)</w:t>
            </w:r>
          </w:p>
        </w:tc>
        <w:tc>
          <w:tcPr>
            <w:tcW w:w="426" w:type="pct"/>
            <w:shd w:val="clear" w:color="auto" w:fill="auto"/>
          </w:tcPr>
          <w:p w14:paraId="2C341384"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0.000</w:t>
            </w:r>
          </w:p>
        </w:tc>
      </w:tr>
      <w:tr w:rsidR="005E512C" w:rsidRPr="00473C02" w14:paraId="48B86448" w14:textId="77777777" w:rsidTr="009E3041">
        <w:trPr>
          <w:trHeight w:val="365"/>
        </w:trPr>
        <w:tc>
          <w:tcPr>
            <w:tcW w:w="899" w:type="pct"/>
            <w:shd w:val="clear" w:color="auto" w:fill="auto"/>
          </w:tcPr>
          <w:p w14:paraId="1EE1A76F" w14:textId="1D939FE4"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PCT</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ng/mL)</w:t>
            </w:r>
          </w:p>
        </w:tc>
        <w:tc>
          <w:tcPr>
            <w:tcW w:w="918" w:type="pct"/>
            <w:shd w:val="clear" w:color="auto" w:fill="auto"/>
          </w:tcPr>
          <w:p w14:paraId="51E10A04" w14:textId="42E0208A"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9.93</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1.93-36.38)</w:t>
            </w:r>
          </w:p>
        </w:tc>
        <w:tc>
          <w:tcPr>
            <w:tcW w:w="917" w:type="pct"/>
            <w:shd w:val="clear" w:color="auto" w:fill="auto"/>
          </w:tcPr>
          <w:p w14:paraId="414A1A3D" w14:textId="4B08E15C"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4.64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0.96-13.31)</w:t>
            </w:r>
          </w:p>
        </w:tc>
        <w:tc>
          <w:tcPr>
            <w:tcW w:w="918" w:type="pct"/>
            <w:shd w:val="clear" w:color="auto" w:fill="auto"/>
          </w:tcPr>
          <w:p w14:paraId="52DD6762" w14:textId="40450DEA"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9.58</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1.33-33.41)</w:t>
            </w:r>
          </w:p>
        </w:tc>
        <w:tc>
          <w:tcPr>
            <w:tcW w:w="922" w:type="pct"/>
            <w:shd w:val="clear" w:color="auto" w:fill="auto"/>
          </w:tcPr>
          <w:p w14:paraId="12D3F08C" w14:textId="3DBC9B03"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22.88</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4.15-51.70)</w:t>
            </w:r>
          </w:p>
        </w:tc>
        <w:tc>
          <w:tcPr>
            <w:tcW w:w="426" w:type="pct"/>
            <w:shd w:val="clear" w:color="auto" w:fill="auto"/>
          </w:tcPr>
          <w:p w14:paraId="67BFEB72"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0.000</w:t>
            </w:r>
          </w:p>
        </w:tc>
      </w:tr>
      <w:tr w:rsidR="005E512C" w:rsidRPr="00473C02" w14:paraId="6EB53F21" w14:textId="77777777" w:rsidTr="009E3041">
        <w:trPr>
          <w:trHeight w:val="580"/>
        </w:trPr>
        <w:tc>
          <w:tcPr>
            <w:tcW w:w="899" w:type="pct"/>
            <w:shd w:val="clear" w:color="auto" w:fill="auto"/>
          </w:tcPr>
          <w:p w14:paraId="64EBFF43" w14:textId="49661C17" w:rsidR="005E512C" w:rsidRPr="00473C02" w:rsidRDefault="005E512C" w:rsidP="005E512C">
            <w:pPr>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Presepsin</w:t>
            </w:r>
            <w:r w:rsidR="006F7889" w:rsidRPr="00473C02">
              <w:rPr>
                <w:rFonts w:ascii="Book Antiqua" w:eastAsia="宋体" w:hAnsi="Book Antiqua" w:cs="Times"/>
                <w:color w:val="000000" w:themeColor="text1"/>
              </w:rPr>
              <w:t xml:space="preserve"> (</w:t>
            </w:r>
            <w:bookmarkStart w:id="5" w:name="_Hlk74736878"/>
            <w:r w:rsidRPr="00473C02">
              <w:rPr>
                <w:rFonts w:ascii="Book Antiqua" w:eastAsia="宋体" w:hAnsi="Book Antiqua" w:cs="Times"/>
                <w:color w:val="000000" w:themeColor="text1"/>
              </w:rPr>
              <w:t>pg/mL</w:t>
            </w:r>
            <w:bookmarkEnd w:id="5"/>
            <w:r w:rsidRPr="00473C02">
              <w:rPr>
                <w:rFonts w:ascii="Book Antiqua" w:eastAsia="宋体" w:hAnsi="Book Antiqua" w:cs="Times"/>
                <w:color w:val="000000" w:themeColor="text1"/>
              </w:rPr>
              <w:t>)</w:t>
            </w:r>
          </w:p>
        </w:tc>
        <w:tc>
          <w:tcPr>
            <w:tcW w:w="918" w:type="pct"/>
            <w:shd w:val="clear" w:color="auto" w:fill="auto"/>
          </w:tcPr>
          <w:p w14:paraId="4CAC96C3" w14:textId="4308E8DF"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2159.50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1477.25-3214.50)</w:t>
            </w:r>
          </w:p>
        </w:tc>
        <w:tc>
          <w:tcPr>
            <w:tcW w:w="917" w:type="pct"/>
            <w:shd w:val="clear" w:color="auto" w:fill="auto"/>
          </w:tcPr>
          <w:p w14:paraId="1420A67C" w14:textId="257FE2B3" w:rsidR="005E512C" w:rsidRPr="00473C02" w:rsidRDefault="005E512C" w:rsidP="005E512C">
            <w:pPr>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1376.00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865.00-1989.00)</w:t>
            </w:r>
          </w:p>
        </w:tc>
        <w:tc>
          <w:tcPr>
            <w:tcW w:w="918" w:type="pct"/>
            <w:shd w:val="clear" w:color="auto" w:fill="auto"/>
          </w:tcPr>
          <w:p w14:paraId="439FAF40" w14:textId="50827C72" w:rsidR="005E512C" w:rsidRPr="00473C02" w:rsidRDefault="005E512C" w:rsidP="005E512C">
            <w:pPr>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2150.50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1757.75-2603.00)</w:t>
            </w:r>
          </w:p>
        </w:tc>
        <w:tc>
          <w:tcPr>
            <w:tcW w:w="922" w:type="pct"/>
            <w:shd w:val="clear" w:color="auto" w:fill="auto"/>
          </w:tcPr>
          <w:p w14:paraId="6012F9AC" w14:textId="79F095EF" w:rsidR="005E512C" w:rsidRPr="00473C02" w:rsidRDefault="005E512C" w:rsidP="005E512C">
            <w:pPr>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3179.00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2214.00-3862.00)</w:t>
            </w:r>
          </w:p>
        </w:tc>
        <w:tc>
          <w:tcPr>
            <w:tcW w:w="426" w:type="pct"/>
            <w:shd w:val="clear" w:color="auto" w:fill="auto"/>
          </w:tcPr>
          <w:p w14:paraId="53012A01"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0.000</w:t>
            </w:r>
          </w:p>
        </w:tc>
      </w:tr>
      <w:tr w:rsidR="005E512C" w:rsidRPr="00473C02" w14:paraId="0F2038BC" w14:textId="77777777" w:rsidTr="009E3041">
        <w:trPr>
          <w:trHeight w:val="430"/>
        </w:trPr>
        <w:tc>
          <w:tcPr>
            <w:tcW w:w="899" w:type="pct"/>
            <w:shd w:val="clear" w:color="auto" w:fill="auto"/>
          </w:tcPr>
          <w:p w14:paraId="3A43BBDE" w14:textId="6FA46A6A"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T-Bil</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µmol/L)</w:t>
            </w:r>
          </w:p>
        </w:tc>
        <w:tc>
          <w:tcPr>
            <w:tcW w:w="918" w:type="pct"/>
            <w:shd w:val="clear" w:color="auto" w:fill="auto"/>
          </w:tcPr>
          <w:p w14:paraId="538AF642" w14:textId="5D213C28"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93.98</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57.06-144.26)</w:t>
            </w:r>
          </w:p>
        </w:tc>
        <w:tc>
          <w:tcPr>
            <w:tcW w:w="917" w:type="pct"/>
            <w:shd w:val="clear" w:color="auto" w:fill="auto"/>
          </w:tcPr>
          <w:p w14:paraId="15162E2D" w14:textId="2D755380"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64.06</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47.90-105.86)</w:t>
            </w:r>
          </w:p>
        </w:tc>
        <w:tc>
          <w:tcPr>
            <w:tcW w:w="918" w:type="pct"/>
            <w:shd w:val="clear" w:color="auto" w:fill="auto"/>
          </w:tcPr>
          <w:p w14:paraId="0EF632EB" w14:textId="6EC5C2A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111.84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88.06-153.27)</w:t>
            </w:r>
          </w:p>
        </w:tc>
        <w:tc>
          <w:tcPr>
            <w:tcW w:w="922" w:type="pct"/>
            <w:shd w:val="clear" w:color="auto" w:fill="auto"/>
          </w:tcPr>
          <w:p w14:paraId="160C0830" w14:textId="51793E2E"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101.81</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60.77-145.04)</w:t>
            </w:r>
          </w:p>
        </w:tc>
        <w:tc>
          <w:tcPr>
            <w:tcW w:w="426" w:type="pct"/>
            <w:shd w:val="clear" w:color="auto" w:fill="auto"/>
          </w:tcPr>
          <w:p w14:paraId="66A2D05C"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0.000</w:t>
            </w:r>
          </w:p>
        </w:tc>
      </w:tr>
      <w:tr w:rsidR="005E512C" w:rsidRPr="00473C02" w14:paraId="4EAAAE7E" w14:textId="77777777" w:rsidTr="009E3041">
        <w:trPr>
          <w:trHeight w:val="390"/>
        </w:trPr>
        <w:tc>
          <w:tcPr>
            <w:tcW w:w="899" w:type="pct"/>
            <w:shd w:val="clear" w:color="auto" w:fill="auto"/>
          </w:tcPr>
          <w:p w14:paraId="622D3992" w14:textId="1B62D371"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D-Bil</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µmol/L)</w:t>
            </w:r>
          </w:p>
        </w:tc>
        <w:tc>
          <w:tcPr>
            <w:tcW w:w="918" w:type="pct"/>
            <w:shd w:val="clear" w:color="auto" w:fill="auto"/>
          </w:tcPr>
          <w:p w14:paraId="7C06757F" w14:textId="40A856B0"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66.89</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37.29-97.33)</w:t>
            </w:r>
          </w:p>
        </w:tc>
        <w:tc>
          <w:tcPr>
            <w:tcW w:w="917" w:type="pct"/>
            <w:shd w:val="clear" w:color="auto" w:fill="auto"/>
          </w:tcPr>
          <w:p w14:paraId="1ED672B7" w14:textId="7DE09D9D"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42.65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30.30-78.95)</w:t>
            </w:r>
          </w:p>
        </w:tc>
        <w:tc>
          <w:tcPr>
            <w:tcW w:w="918" w:type="pct"/>
            <w:shd w:val="clear" w:color="auto" w:fill="auto"/>
          </w:tcPr>
          <w:p w14:paraId="23FB8769" w14:textId="2C7BCA6F"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76.60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58.67-100.71</w:t>
            </w:r>
          </w:p>
        </w:tc>
        <w:tc>
          <w:tcPr>
            <w:tcW w:w="922" w:type="pct"/>
            <w:shd w:val="clear" w:color="auto" w:fill="auto"/>
          </w:tcPr>
          <w:p w14:paraId="03869214" w14:textId="59010B68"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70.13</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40.37-98.56)</w:t>
            </w:r>
          </w:p>
        </w:tc>
        <w:tc>
          <w:tcPr>
            <w:tcW w:w="426" w:type="pct"/>
            <w:shd w:val="clear" w:color="auto" w:fill="auto"/>
          </w:tcPr>
          <w:p w14:paraId="5C9EAEF4"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0.000</w:t>
            </w:r>
          </w:p>
        </w:tc>
      </w:tr>
      <w:tr w:rsidR="005E512C" w:rsidRPr="00473C02" w14:paraId="3A689D1E" w14:textId="77777777" w:rsidTr="009E3041">
        <w:trPr>
          <w:trHeight w:val="409"/>
        </w:trPr>
        <w:tc>
          <w:tcPr>
            <w:tcW w:w="899" w:type="pct"/>
            <w:shd w:val="clear" w:color="auto" w:fill="auto"/>
          </w:tcPr>
          <w:p w14:paraId="04F4E82D" w14:textId="3EADAB35"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Total protein</w:t>
            </w:r>
            <w:r w:rsidR="006F7889" w:rsidRPr="00473C02">
              <w:rPr>
                <w:rFonts w:ascii="Book Antiqua" w:eastAsia="宋体" w:hAnsi="Book Antiqua" w:cs="Times"/>
                <w:color w:val="000000" w:themeColor="text1"/>
              </w:rPr>
              <w:t xml:space="preserve"> </w:t>
            </w:r>
            <w:r w:rsidR="006F7889" w:rsidRPr="00473C02">
              <w:rPr>
                <w:rFonts w:ascii="Book Antiqua" w:eastAsia="宋体" w:hAnsi="Book Antiqua" w:cs="Times"/>
                <w:color w:val="000000" w:themeColor="text1"/>
              </w:rPr>
              <w:lastRenderedPageBreak/>
              <w:t>(</w:t>
            </w:r>
            <w:r w:rsidRPr="00473C02">
              <w:rPr>
                <w:rFonts w:ascii="Book Antiqua" w:eastAsia="宋体" w:hAnsi="Book Antiqua" w:cs="Times"/>
                <w:color w:val="000000" w:themeColor="text1"/>
              </w:rPr>
              <w:t>g/L)</w:t>
            </w:r>
          </w:p>
        </w:tc>
        <w:tc>
          <w:tcPr>
            <w:tcW w:w="918" w:type="pct"/>
            <w:shd w:val="clear" w:color="auto" w:fill="auto"/>
          </w:tcPr>
          <w:p w14:paraId="427BB601" w14:textId="0691AC2D"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lastRenderedPageBreak/>
              <w:t>66.5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59.9-</w:t>
            </w:r>
            <w:r w:rsidRPr="00473C02">
              <w:rPr>
                <w:rFonts w:ascii="Book Antiqua" w:eastAsia="宋体" w:hAnsi="Book Antiqua" w:cs="Times"/>
                <w:color w:val="000000" w:themeColor="text1"/>
              </w:rPr>
              <w:lastRenderedPageBreak/>
              <w:t>71.9)</w:t>
            </w:r>
          </w:p>
        </w:tc>
        <w:tc>
          <w:tcPr>
            <w:tcW w:w="917" w:type="pct"/>
            <w:shd w:val="clear" w:color="auto" w:fill="auto"/>
          </w:tcPr>
          <w:p w14:paraId="1F020BEC" w14:textId="5BCECFCA"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lastRenderedPageBreak/>
              <w:t>68.2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63.5-</w:t>
            </w:r>
            <w:r w:rsidRPr="00473C02">
              <w:rPr>
                <w:rFonts w:ascii="Book Antiqua" w:eastAsia="宋体" w:hAnsi="Book Antiqua" w:cs="Times"/>
                <w:color w:val="000000" w:themeColor="text1"/>
              </w:rPr>
              <w:lastRenderedPageBreak/>
              <w:t>72.3)</w:t>
            </w:r>
          </w:p>
        </w:tc>
        <w:tc>
          <w:tcPr>
            <w:tcW w:w="918" w:type="pct"/>
            <w:shd w:val="clear" w:color="auto" w:fill="auto"/>
          </w:tcPr>
          <w:p w14:paraId="2C90221F" w14:textId="179E0E96"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lastRenderedPageBreak/>
              <w:t>67.8</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61.5-</w:t>
            </w:r>
            <w:r w:rsidRPr="00473C02">
              <w:rPr>
                <w:rFonts w:ascii="Book Antiqua" w:eastAsia="宋体" w:hAnsi="Book Antiqua" w:cs="Times"/>
                <w:color w:val="000000" w:themeColor="text1"/>
              </w:rPr>
              <w:lastRenderedPageBreak/>
              <w:t>72.9)</w:t>
            </w:r>
          </w:p>
        </w:tc>
        <w:tc>
          <w:tcPr>
            <w:tcW w:w="922" w:type="pct"/>
            <w:shd w:val="clear" w:color="auto" w:fill="auto"/>
          </w:tcPr>
          <w:p w14:paraId="3079BA62" w14:textId="5E5E0405"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lastRenderedPageBreak/>
              <w:t>62.0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57.1-</w:t>
            </w:r>
            <w:r w:rsidRPr="00473C02">
              <w:rPr>
                <w:rFonts w:ascii="Book Antiqua" w:eastAsia="宋体" w:hAnsi="Book Antiqua" w:cs="Times"/>
                <w:color w:val="000000" w:themeColor="text1"/>
              </w:rPr>
              <w:lastRenderedPageBreak/>
              <w:t>68.8)</w:t>
            </w:r>
          </w:p>
        </w:tc>
        <w:tc>
          <w:tcPr>
            <w:tcW w:w="426" w:type="pct"/>
            <w:shd w:val="clear" w:color="auto" w:fill="auto"/>
          </w:tcPr>
          <w:p w14:paraId="48F00124"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lastRenderedPageBreak/>
              <w:t>0.000</w:t>
            </w:r>
          </w:p>
        </w:tc>
      </w:tr>
      <w:tr w:rsidR="005E512C" w:rsidRPr="00473C02" w14:paraId="2463B57F" w14:textId="77777777" w:rsidTr="009E3041">
        <w:trPr>
          <w:trHeight w:val="410"/>
        </w:trPr>
        <w:tc>
          <w:tcPr>
            <w:tcW w:w="899" w:type="pct"/>
            <w:shd w:val="clear" w:color="auto" w:fill="auto"/>
          </w:tcPr>
          <w:p w14:paraId="5A6055F9" w14:textId="74D6068E"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Albumin</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g/L)</w:t>
            </w:r>
          </w:p>
        </w:tc>
        <w:tc>
          <w:tcPr>
            <w:tcW w:w="918" w:type="pct"/>
            <w:shd w:val="clear" w:color="auto" w:fill="auto"/>
          </w:tcPr>
          <w:p w14:paraId="3CCF15A3" w14:textId="4698CD02"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33.9</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30.6-37.8)</w:t>
            </w:r>
          </w:p>
        </w:tc>
        <w:tc>
          <w:tcPr>
            <w:tcW w:w="917" w:type="pct"/>
            <w:shd w:val="clear" w:color="auto" w:fill="auto"/>
          </w:tcPr>
          <w:p w14:paraId="6F7DE26F" w14:textId="127AB3E1"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35.4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31.7-39.8)</w:t>
            </w:r>
          </w:p>
        </w:tc>
        <w:tc>
          <w:tcPr>
            <w:tcW w:w="918" w:type="pct"/>
            <w:shd w:val="clear" w:color="auto" w:fill="auto"/>
          </w:tcPr>
          <w:p w14:paraId="4B649C75" w14:textId="02E18A36"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35.4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31.5-38.6)</w:t>
            </w:r>
          </w:p>
        </w:tc>
        <w:tc>
          <w:tcPr>
            <w:tcW w:w="922" w:type="pct"/>
            <w:shd w:val="clear" w:color="auto" w:fill="auto"/>
          </w:tcPr>
          <w:p w14:paraId="6DD31024" w14:textId="423654B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32.0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29.2-36.1)</w:t>
            </w:r>
          </w:p>
        </w:tc>
        <w:tc>
          <w:tcPr>
            <w:tcW w:w="426" w:type="pct"/>
            <w:shd w:val="clear" w:color="auto" w:fill="auto"/>
          </w:tcPr>
          <w:p w14:paraId="551F1489"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0.000</w:t>
            </w:r>
          </w:p>
        </w:tc>
      </w:tr>
      <w:tr w:rsidR="005E512C" w:rsidRPr="00473C02" w14:paraId="777984CA" w14:textId="77777777" w:rsidTr="009E3041">
        <w:trPr>
          <w:trHeight w:val="381"/>
        </w:trPr>
        <w:tc>
          <w:tcPr>
            <w:tcW w:w="899" w:type="pct"/>
            <w:shd w:val="clear" w:color="auto" w:fill="auto"/>
          </w:tcPr>
          <w:p w14:paraId="203687EE" w14:textId="43301A32"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ALT</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U/L)</w:t>
            </w:r>
          </w:p>
        </w:tc>
        <w:tc>
          <w:tcPr>
            <w:tcW w:w="918" w:type="pct"/>
            <w:shd w:val="clear" w:color="auto" w:fill="auto"/>
          </w:tcPr>
          <w:p w14:paraId="6709712D" w14:textId="20353D03"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147.5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75.0-266.5)</w:t>
            </w:r>
          </w:p>
        </w:tc>
        <w:tc>
          <w:tcPr>
            <w:tcW w:w="917" w:type="pct"/>
            <w:shd w:val="clear" w:color="auto" w:fill="auto"/>
          </w:tcPr>
          <w:p w14:paraId="7047C2A2" w14:textId="0006C0F6"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153.0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60.0-311.0</w:t>
            </w:r>
          </w:p>
        </w:tc>
        <w:tc>
          <w:tcPr>
            <w:tcW w:w="918" w:type="pct"/>
            <w:shd w:val="clear" w:color="auto" w:fill="auto"/>
          </w:tcPr>
          <w:p w14:paraId="0C02A14A" w14:textId="1722B116"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150.0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88.4-298.3)</w:t>
            </w:r>
          </w:p>
        </w:tc>
        <w:tc>
          <w:tcPr>
            <w:tcW w:w="922" w:type="pct"/>
            <w:shd w:val="clear" w:color="auto" w:fill="auto"/>
          </w:tcPr>
          <w:p w14:paraId="5BF23EAA" w14:textId="2816ADB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139.0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75.0-240.0</w:t>
            </w:r>
          </w:p>
        </w:tc>
        <w:tc>
          <w:tcPr>
            <w:tcW w:w="426" w:type="pct"/>
            <w:shd w:val="clear" w:color="auto" w:fill="auto"/>
          </w:tcPr>
          <w:p w14:paraId="775AF518"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0.670</w:t>
            </w:r>
          </w:p>
        </w:tc>
      </w:tr>
      <w:tr w:rsidR="005E512C" w:rsidRPr="00473C02" w14:paraId="03A02884" w14:textId="77777777" w:rsidTr="009E3041">
        <w:trPr>
          <w:trHeight w:val="456"/>
        </w:trPr>
        <w:tc>
          <w:tcPr>
            <w:tcW w:w="899" w:type="pct"/>
            <w:shd w:val="clear" w:color="auto" w:fill="auto"/>
          </w:tcPr>
          <w:p w14:paraId="0BE828F4" w14:textId="44033522"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AST</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U/L)</w:t>
            </w:r>
          </w:p>
        </w:tc>
        <w:tc>
          <w:tcPr>
            <w:tcW w:w="918" w:type="pct"/>
            <w:shd w:val="clear" w:color="auto" w:fill="auto"/>
          </w:tcPr>
          <w:p w14:paraId="6477DDF3" w14:textId="6AA08B2B"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137.4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72.1-279.4)</w:t>
            </w:r>
          </w:p>
        </w:tc>
        <w:tc>
          <w:tcPr>
            <w:tcW w:w="917" w:type="pct"/>
            <w:shd w:val="clear" w:color="auto" w:fill="auto"/>
          </w:tcPr>
          <w:p w14:paraId="658A8DCA" w14:textId="454A5BDF"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126.5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64.9-345.5)</w:t>
            </w:r>
          </w:p>
        </w:tc>
        <w:tc>
          <w:tcPr>
            <w:tcW w:w="918" w:type="pct"/>
            <w:shd w:val="clear" w:color="auto" w:fill="auto"/>
          </w:tcPr>
          <w:p w14:paraId="0F6E6869" w14:textId="09E40C8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142.2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96.6-276.8)</w:t>
            </w:r>
          </w:p>
        </w:tc>
        <w:tc>
          <w:tcPr>
            <w:tcW w:w="922" w:type="pct"/>
            <w:shd w:val="clear" w:color="auto" w:fill="auto"/>
          </w:tcPr>
          <w:p w14:paraId="19A83872" w14:textId="7AE53145"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128.3</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69.7-228.9)</w:t>
            </w:r>
          </w:p>
        </w:tc>
        <w:tc>
          <w:tcPr>
            <w:tcW w:w="426" w:type="pct"/>
            <w:shd w:val="clear" w:color="auto" w:fill="auto"/>
          </w:tcPr>
          <w:p w14:paraId="658A3F02"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0.367</w:t>
            </w:r>
          </w:p>
        </w:tc>
      </w:tr>
      <w:tr w:rsidR="005E512C" w:rsidRPr="00473C02" w14:paraId="22CEAE8B" w14:textId="77777777" w:rsidTr="009E3041">
        <w:trPr>
          <w:trHeight w:val="419"/>
        </w:trPr>
        <w:tc>
          <w:tcPr>
            <w:tcW w:w="899" w:type="pct"/>
            <w:shd w:val="clear" w:color="auto" w:fill="auto"/>
          </w:tcPr>
          <w:p w14:paraId="323EFBF0" w14:textId="2A5D2B18"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LDH</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U/L)</w:t>
            </w:r>
          </w:p>
        </w:tc>
        <w:tc>
          <w:tcPr>
            <w:tcW w:w="918" w:type="pct"/>
            <w:shd w:val="clear" w:color="auto" w:fill="auto"/>
          </w:tcPr>
          <w:p w14:paraId="3553F191" w14:textId="016C1272"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243.0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178.0-352.8)</w:t>
            </w:r>
          </w:p>
        </w:tc>
        <w:tc>
          <w:tcPr>
            <w:tcW w:w="917" w:type="pct"/>
            <w:shd w:val="clear" w:color="auto" w:fill="auto"/>
          </w:tcPr>
          <w:p w14:paraId="7067172C" w14:textId="34CF3245"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231.1</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167.0-416.0)</w:t>
            </w:r>
          </w:p>
        </w:tc>
        <w:tc>
          <w:tcPr>
            <w:tcW w:w="918" w:type="pct"/>
            <w:shd w:val="clear" w:color="auto" w:fill="auto"/>
          </w:tcPr>
          <w:p w14:paraId="3DF0E879" w14:textId="20B1B3C1"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235.5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169.5-332.0)</w:t>
            </w:r>
          </w:p>
        </w:tc>
        <w:tc>
          <w:tcPr>
            <w:tcW w:w="922" w:type="pct"/>
            <w:shd w:val="clear" w:color="auto" w:fill="auto"/>
          </w:tcPr>
          <w:p w14:paraId="5E133C9A" w14:textId="108470B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254.0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192.0-356.5)</w:t>
            </w:r>
          </w:p>
        </w:tc>
        <w:tc>
          <w:tcPr>
            <w:tcW w:w="426" w:type="pct"/>
            <w:shd w:val="clear" w:color="auto" w:fill="auto"/>
          </w:tcPr>
          <w:p w14:paraId="2308C733"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0.183</w:t>
            </w:r>
          </w:p>
        </w:tc>
      </w:tr>
      <w:tr w:rsidR="005E512C" w:rsidRPr="00473C02" w14:paraId="50BFB904" w14:textId="77777777" w:rsidTr="009E3041">
        <w:trPr>
          <w:trHeight w:val="431"/>
        </w:trPr>
        <w:tc>
          <w:tcPr>
            <w:tcW w:w="899" w:type="pct"/>
            <w:shd w:val="clear" w:color="auto" w:fill="auto"/>
          </w:tcPr>
          <w:p w14:paraId="6E0ADB1E" w14:textId="6CC6025C"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SOFA score</w:t>
            </w:r>
          </w:p>
        </w:tc>
        <w:tc>
          <w:tcPr>
            <w:tcW w:w="918" w:type="pct"/>
            <w:shd w:val="clear" w:color="auto" w:fill="auto"/>
          </w:tcPr>
          <w:p w14:paraId="3184F8D3" w14:textId="4B476C2E"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3-6)</w:t>
            </w:r>
          </w:p>
        </w:tc>
        <w:tc>
          <w:tcPr>
            <w:tcW w:w="917" w:type="pct"/>
            <w:shd w:val="clear" w:color="auto" w:fill="auto"/>
          </w:tcPr>
          <w:p w14:paraId="554A71EB" w14:textId="4A90D68A"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3-5)</w:t>
            </w:r>
          </w:p>
        </w:tc>
        <w:tc>
          <w:tcPr>
            <w:tcW w:w="918" w:type="pct"/>
            <w:shd w:val="clear" w:color="auto" w:fill="auto"/>
          </w:tcPr>
          <w:p w14:paraId="24013836" w14:textId="147F0EDD"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3-5)</w:t>
            </w:r>
          </w:p>
        </w:tc>
        <w:tc>
          <w:tcPr>
            <w:tcW w:w="922" w:type="pct"/>
            <w:shd w:val="clear" w:color="auto" w:fill="auto"/>
          </w:tcPr>
          <w:p w14:paraId="5DD64269" w14:textId="21797828"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7</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5-9)</w:t>
            </w:r>
          </w:p>
        </w:tc>
        <w:tc>
          <w:tcPr>
            <w:tcW w:w="426" w:type="pct"/>
            <w:shd w:val="clear" w:color="auto" w:fill="auto"/>
          </w:tcPr>
          <w:p w14:paraId="7FBEAB54"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0.000</w:t>
            </w:r>
          </w:p>
        </w:tc>
      </w:tr>
      <w:tr w:rsidR="005E512C" w:rsidRPr="00473C02" w14:paraId="58845645" w14:textId="77777777" w:rsidTr="009E3041">
        <w:trPr>
          <w:trHeight w:val="403"/>
        </w:trPr>
        <w:tc>
          <w:tcPr>
            <w:tcW w:w="899" w:type="pct"/>
            <w:shd w:val="clear" w:color="auto" w:fill="auto"/>
          </w:tcPr>
          <w:p w14:paraId="66299FE6"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 xml:space="preserve">Blood culture </w:t>
            </w:r>
          </w:p>
        </w:tc>
        <w:tc>
          <w:tcPr>
            <w:tcW w:w="918" w:type="pct"/>
            <w:shd w:val="clear" w:color="auto" w:fill="auto"/>
          </w:tcPr>
          <w:p w14:paraId="65E82567" w14:textId="38B33870"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312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92.9%)</w:t>
            </w:r>
          </w:p>
        </w:tc>
        <w:tc>
          <w:tcPr>
            <w:tcW w:w="917" w:type="pct"/>
            <w:shd w:val="clear" w:color="auto" w:fill="auto"/>
          </w:tcPr>
          <w:p w14:paraId="15EFBB02" w14:textId="76D20C4A"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97</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90.7%</w:t>
            </w:r>
          </w:p>
        </w:tc>
        <w:tc>
          <w:tcPr>
            <w:tcW w:w="918" w:type="pct"/>
            <w:shd w:val="clear" w:color="auto" w:fill="auto"/>
          </w:tcPr>
          <w:p w14:paraId="28E6065B" w14:textId="598BB2F2"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98</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92.5%)</w:t>
            </w:r>
          </w:p>
        </w:tc>
        <w:tc>
          <w:tcPr>
            <w:tcW w:w="922" w:type="pct"/>
            <w:shd w:val="clear" w:color="auto" w:fill="auto"/>
          </w:tcPr>
          <w:p w14:paraId="1B8EA79A" w14:textId="06FA76AF"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117</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95.1%)</w:t>
            </w:r>
          </w:p>
        </w:tc>
        <w:tc>
          <w:tcPr>
            <w:tcW w:w="426" w:type="pct"/>
            <w:shd w:val="clear" w:color="auto" w:fill="auto"/>
          </w:tcPr>
          <w:p w14:paraId="4AC090EB"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0.414</w:t>
            </w:r>
          </w:p>
        </w:tc>
      </w:tr>
      <w:tr w:rsidR="005E512C" w:rsidRPr="00473C02" w14:paraId="68DB320F" w14:textId="77777777" w:rsidTr="009E3041">
        <w:trPr>
          <w:trHeight w:val="410"/>
        </w:trPr>
        <w:tc>
          <w:tcPr>
            <w:tcW w:w="899" w:type="pct"/>
            <w:shd w:val="clear" w:color="auto" w:fill="auto"/>
          </w:tcPr>
          <w:p w14:paraId="67EE792B"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Positive blood culture</w:t>
            </w:r>
          </w:p>
        </w:tc>
        <w:tc>
          <w:tcPr>
            <w:tcW w:w="918" w:type="pct"/>
            <w:shd w:val="clear" w:color="auto" w:fill="auto"/>
          </w:tcPr>
          <w:p w14:paraId="42AB5A3C" w14:textId="2CDAC6C2"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93</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29.8%)</w:t>
            </w:r>
          </w:p>
        </w:tc>
        <w:tc>
          <w:tcPr>
            <w:tcW w:w="917" w:type="pct"/>
            <w:shd w:val="clear" w:color="auto" w:fill="auto"/>
          </w:tcPr>
          <w:p w14:paraId="42B1940D" w14:textId="270D3595"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22.7%)</w:t>
            </w:r>
          </w:p>
        </w:tc>
        <w:tc>
          <w:tcPr>
            <w:tcW w:w="918" w:type="pct"/>
            <w:shd w:val="clear" w:color="auto" w:fill="auto"/>
          </w:tcPr>
          <w:p w14:paraId="318991E9" w14:textId="2443B07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31</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31.6%)</w:t>
            </w:r>
          </w:p>
        </w:tc>
        <w:tc>
          <w:tcPr>
            <w:tcW w:w="922" w:type="pct"/>
            <w:shd w:val="clear" w:color="auto" w:fill="auto"/>
          </w:tcPr>
          <w:p w14:paraId="05AF73A9" w14:textId="5045487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40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34.2%)</w:t>
            </w:r>
          </w:p>
        </w:tc>
        <w:tc>
          <w:tcPr>
            <w:tcW w:w="426" w:type="pct"/>
            <w:shd w:val="clear" w:color="auto" w:fill="auto"/>
          </w:tcPr>
          <w:p w14:paraId="36F4CFF8"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0.167</w:t>
            </w:r>
          </w:p>
        </w:tc>
      </w:tr>
      <w:tr w:rsidR="005E512C" w:rsidRPr="00473C02" w14:paraId="496767E1" w14:textId="77777777" w:rsidTr="009E3041">
        <w:trPr>
          <w:trHeight w:val="390"/>
        </w:trPr>
        <w:tc>
          <w:tcPr>
            <w:tcW w:w="899" w:type="pct"/>
            <w:shd w:val="clear" w:color="auto" w:fill="auto"/>
          </w:tcPr>
          <w:p w14:paraId="3C1C68E7" w14:textId="1283D98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bookmarkStart w:id="6" w:name="_Hlk72570447"/>
            <w:r w:rsidRPr="00473C02">
              <w:rPr>
                <w:rFonts w:ascii="Book Antiqua" w:eastAsia="宋体" w:hAnsi="Book Antiqua" w:cs="Times"/>
                <w:color w:val="000000" w:themeColor="text1"/>
              </w:rPr>
              <w:t>G</w:t>
            </w:r>
            <w:bookmarkEnd w:id="6"/>
            <w:r w:rsidRPr="00473C02">
              <w:rPr>
                <w:rFonts w:ascii="Book Antiqua" w:eastAsia="宋体" w:hAnsi="Book Antiqua" w:cs="Times"/>
                <w:color w:val="000000" w:themeColor="text1"/>
                <w:vertAlign w:val="superscript"/>
              </w:rPr>
              <w:t xml:space="preserve">- </w:t>
            </w:r>
            <w:r w:rsidRPr="00473C02">
              <w:rPr>
                <w:rFonts w:ascii="Book Antiqua" w:eastAsia="宋体" w:hAnsi="Book Antiqua" w:cs="Times"/>
                <w:color w:val="000000" w:themeColor="text1"/>
              </w:rPr>
              <w:t>bacteria</w:t>
            </w:r>
          </w:p>
        </w:tc>
        <w:tc>
          <w:tcPr>
            <w:tcW w:w="918" w:type="pct"/>
            <w:shd w:val="clear" w:color="auto" w:fill="auto"/>
          </w:tcPr>
          <w:p w14:paraId="28F13EA3" w14:textId="71986DA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76</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81.7%)</w:t>
            </w:r>
          </w:p>
        </w:tc>
        <w:tc>
          <w:tcPr>
            <w:tcW w:w="917" w:type="pct"/>
            <w:shd w:val="clear" w:color="auto" w:fill="auto"/>
          </w:tcPr>
          <w:p w14:paraId="49FCA917" w14:textId="32A5910F"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20</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90.9%)</w:t>
            </w:r>
          </w:p>
        </w:tc>
        <w:tc>
          <w:tcPr>
            <w:tcW w:w="918" w:type="pct"/>
            <w:shd w:val="clear" w:color="auto" w:fill="auto"/>
          </w:tcPr>
          <w:p w14:paraId="7CEFA1D5" w14:textId="57D80A49"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25</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80.6%)</w:t>
            </w:r>
          </w:p>
        </w:tc>
        <w:tc>
          <w:tcPr>
            <w:tcW w:w="922" w:type="pct"/>
            <w:shd w:val="clear" w:color="auto" w:fill="auto"/>
          </w:tcPr>
          <w:p w14:paraId="1020575A" w14:textId="687D99F0"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31</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77.5%)</w:t>
            </w:r>
          </w:p>
        </w:tc>
        <w:tc>
          <w:tcPr>
            <w:tcW w:w="426" w:type="pct"/>
            <w:shd w:val="clear" w:color="auto" w:fill="auto"/>
          </w:tcPr>
          <w:p w14:paraId="43C3CB9F"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0.418</w:t>
            </w:r>
          </w:p>
        </w:tc>
      </w:tr>
      <w:tr w:rsidR="005E512C" w:rsidRPr="00473C02" w14:paraId="48140DE2" w14:textId="77777777" w:rsidTr="009E3041">
        <w:trPr>
          <w:trHeight w:val="367"/>
        </w:trPr>
        <w:tc>
          <w:tcPr>
            <w:tcW w:w="899" w:type="pct"/>
            <w:shd w:val="clear" w:color="auto" w:fill="auto"/>
          </w:tcPr>
          <w:p w14:paraId="1F0909C4"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G</w:t>
            </w:r>
            <w:r w:rsidRPr="00473C02">
              <w:rPr>
                <w:rFonts w:ascii="Book Antiqua" w:eastAsia="宋体" w:hAnsi="Book Antiqua" w:cs="Times"/>
                <w:color w:val="000000" w:themeColor="text1"/>
                <w:vertAlign w:val="superscript"/>
              </w:rPr>
              <w:t>+</w:t>
            </w:r>
            <w:r w:rsidRPr="00473C02">
              <w:rPr>
                <w:rFonts w:ascii="Book Antiqua" w:eastAsia="宋体" w:hAnsi="Book Antiqua" w:cs="Times"/>
                <w:color w:val="000000" w:themeColor="text1"/>
              </w:rPr>
              <w:t xml:space="preserve"> bacteria</w:t>
            </w:r>
          </w:p>
        </w:tc>
        <w:tc>
          <w:tcPr>
            <w:tcW w:w="918" w:type="pct"/>
            <w:shd w:val="clear" w:color="auto" w:fill="auto"/>
          </w:tcPr>
          <w:p w14:paraId="38C874AD" w14:textId="286754F0"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11</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11.8%)</w:t>
            </w:r>
          </w:p>
        </w:tc>
        <w:tc>
          <w:tcPr>
            <w:tcW w:w="917" w:type="pct"/>
            <w:shd w:val="clear" w:color="auto" w:fill="auto"/>
          </w:tcPr>
          <w:p w14:paraId="7D30EDD5"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w:t>
            </w:r>
          </w:p>
        </w:tc>
        <w:tc>
          <w:tcPr>
            <w:tcW w:w="918" w:type="pct"/>
            <w:shd w:val="clear" w:color="auto" w:fill="auto"/>
          </w:tcPr>
          <w:p w14:paraId="5920EE2D" w14:textId="66F5163C"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4</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12.9%)</w:t>
            </w:r>
          </w:p>
        </w:tc>
        <w:tc>
          <w:tcPr>
            <w:tcW w:w="922" w:type="pct"/>
            <w:shd w:val="clear" w:color="auto" w:fill="auto"/>
          </w:tcPr>
          <w:p w14:paraId="5F5E2078" w14:textId="624B98A5"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7</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17.5%)</w:t>
            </w:r>
          </w:p>
        </w:tc>
        <w:tc>
          <w:tcPr>
            <w:tcW w:w="426" w:type="pct"/>
            <w:shd w:val="clear" w:color="auto" w:fill="auto"/>
          </w:tcPr>
          <w:p w14:paraId="3910798E"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p>
        </w:tc>
      </w:tr>
      <w:tr w:rsidR="005E512C" w:rsidRPr="00473C02" w14:paraId="7377A28B" w14:textId="77777777" w:rsidTr="009E3041">
        <w:trPr>
          <w:trHeight w:val="462"/>
        </w:trPr>
        <w:tc>
          <w:tcPr>
            <w:tcW w:w="899" w:type="pct"/>
            <w:shd w:val="clear" w:color="auto" w:fill="auto"/>
          </w:tcPr>
          <w:p w14:paraId="44657403"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Other bacteria</w:t>
            </w:r>
          </w:p>
        </w:tc>
        <w:tc>
          <w:tcPr>
            <w:tcW w:w="918" w:type="pct"/>
            <w:shd w:val="clear" w:color="auto" w:fill="auto"/>
          </w:tcPr>
          <w:p w14:paraId="032079ED" w14:textId="700D4B23"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6</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6.5%)</w:t>
            </w:r>
          </w:p>
        </w:tc>
        <w:tc>
          <w:tcPr>
            <w:tcW w:w="917" w:type="pct"/>
            <w:shd w:val="clear" w:color="auto" w:fill="auto"/>
          </w:tcPr>
          <w:p w14:paraId="0FF21C9E" w14:textId="62E813BE"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9.1%</w:t>
            </w:r>
          </w:p>
        </w:tc>
        <w:tc>
          <w:tcPr>
            <w:tcW w:w="918" w:type="pct"/>
            <w:shd w:val="clear" w:color="auto" w:fill="auto"/>
          </w:tcPr>
          <w:p w14:paraId="5640909F" w14:textId="472D3E5C"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6.5%)</w:t>
            </w:r>
          </w:p>
        </w:tc>
        <w:tc>
          <w:tcPr>
            <w:tcW w:w="922" w:type="pct"/>
            <w:shd w:val="clear" w:color="auto" w:fill="auto"/>
          </w:tcPr>
          <w:p w14:paraId="05F90F96" w14:textId="7632DF20"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2</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5.0%)</w:t>
            </w:r>
          </w:p>
        </w:tc>
        <w:tc>
          <w:tcPr>
            <w:tcW w:w="426" w:type="pct"/>
            <w:shd w:val="clear" w:color="auto" w:fill="auto"/>
          </w:tcPr>
          <w:p w14:paraId="3ED7AF94"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0.539</w:t>
            </w:r>
          </w:p>
        </w:tc>
      </w:tr>
      <w:tr w:rsidR="005E512C" w:rsidRPr="00473C02" w14:paraId="70734AF8" w14:textId="77777777" w:rsidTr="009E3041">
        <w:trPr>
          <w:trHeight w:val="557"/>
        </w:trPr>
        <w:tc>
          <w:tcPr>
            <w:tcW w:w="899" w:type="pct"/>
            <w:shd w:val="clear" w:color="auto" w:fill="auto"/>
          </w:tcPr>
          <w:p w14:paraId="4FA3B045" w14:textId="462841F9" w:rsidR="005E512C" w:rsidRPr="00473C02" w:rsidRDefault="00513872" w:rsidP="005E512C">
            <w:pPr>
              <w:widowControl w:val="0"/>
              <w:adjustRightInd w:val="0"/>
              <w:snapToGrid w:val="0"/>
              <w:spacing w:line="360" w:lineRule="auto"/>
              <w:jc w:val="both"/>
              <w:rPr>
                <w:rFonts w:ascii="Book Antiqua" w:eastAsia="宋体" w:hAnsi="Book Antiqua" w:cs="Times"/>
                <w:color w:val="000000" w:themeColor="text1"/>
              </w:rPr>
            </w:pPr>
            <w:hyperlink r:id="rId13" w:anchor="%20mortality%20%28rate%29" w:tgtFrame="_blank" w:history="1">
              <w:r w:rsidR="005E512C" w:rsidRPr="00473C02">
                <w:rPr>
                  <w:rFonts w:ascii="Book Antiqua" w:eastAsia="宋体" w:hAnsi="Book Antiqua" w:cs="Times"/>
                  <w:color w:val="000000" w:themeColor="text1"/>
                </w:rPr>
                <w:t>Mortality</w:t>
              </w:r>
            </w:hyperlink>
            <w:r w:rsidR="005E512C" w:rsidRPr="00473C02">
              <w:rPr>
                <w:rFonts w:ascii="Book Antiqua" w:eastAsia="宋体" w:hAnsi="Book Antiqua" w:cs="Times"/>
                <w:color w:val="000000" w:themeColor="text1"/>
              </w:rPr>
              <w:t xml:space="preserve"> in 28</w:t>
            </w:r>
            <w:r w:rsidR="00E00138">
              <w:rPr>
                <w:rFonts w:ascii="Book Antiqua" w:eastAsia="宋体" w:hAnsi="Book Antiqua" w:cs="Times"/>
                <w:color w:val="000000" w:themeColor="text1"/>
              </w:rPr>
              <w:t xml:space="preserve"> </w:t>
            </w:r>
            <w:r w:rsidR="005E512C" w:rsidRPr="00473C02">
              <w:rPr>
                <w:rFonts w:ascii="Book Antiqua" w:eastAsia="宋体" w:hAnsi="Book Antiqua" w:cs="Times"/>
                <w:color w:val="000000" w:themeColor="text1"/>
              </w:rPr>
              <w:t>d</w:t>
            </w:r>
          </w:p>
        </w:tc>
        <w:tc>
          <w:tcPr>
            <w:tcW w:w="918" w:type="pct"/>
            <w:shd w:val="clear" w:color="auto" w:fill="auto"/>
          </w:tcPr>
          <w:p w14:paraId="55AE37FB" w14:textId="5173771C"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8</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2.4%)</w:t>
            </w:r>
          </w:p>
        </w:tc>
        <w:tc>
          <w:tcPr>
            <w:tcW w:w="917" w:type="pct"/>
            <w:shd w:val="clear" w:color="auto" w:fill="auto"/>
          </w:tcPr>
          <w:p w14:paraId="17A68E20"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w:t>
            </w:r>
          </w:p>
        </w:tc>
        <w:tc>
          <w:tcPr>
            <w:tcW w:w="918" w:type="pct"/>
            <w:shd w:val="clear" w:color="auto" w:fill="auto"/>
          </w:tcPr>
          <w:p w14:paraId="6BA7115A"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0</w:t>
            </w:r>
          </w:p>
        </w:tc>
        <w:tc>
          <w:tcPr>
            <w:tcW w:w="922" w:type="pct"/>
            <w:shd w:val="clear" w:color="auto" w:fill="auto"/>
          </w:tcPr>
          <w:p w14:paraId="03519E96" w14:textId="722E3F68"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r w:rsidRPr="00473C02">
              <w:rPr>
                <w:rFonts w:ascii="Book Antiqua" w:eastAsia="宋体" w:hAnsi="Book Antiqua" w:cs="Times"/>
                <w:color w:val="000000" w:themeColor="text1"/>
              </w:rPr>
              <w:t>8</w:t>
            </w:r>
            <w:r w:rsidR="006F7889" w:rsidRPr="00473C02">
              <w:rPr>
                <w:rFonts w:ascii="Book Antiqua" w:eastAsia="宋体" w:hAnsi="Book Antiqua" w:cs="Times"/>
                <w:color w:val="000000" w:themeColor="text1"/>
              </w:rPr>
              <w:t xml:space="preserve"> (</w:t>
            </w:r>
            <w:r w:rsidRPr="00473C02">
              <w:rPr>
                <w:rFonts w:ascii="Book Antiqua" w:eastAsia="宋体" w:hAnsi="Book Antiqua" w:cs="Times"/>
                <w:color w:val="000000" w:themeColor="text1"/>
              </w:rPr>
              <w:t>6.5%)</w:t>
            </w:r>
          </w:p>
        </w:tc>
        <w:tc>
          <w:tcPr>
            <w:tcW w:w="426" w:type="pct"/>
            <w:shd w:val="clear" w:color="auto" w:fill="auto"/>
          </w:tcPr>
          <w:p w14:paraId="6D3DA1C1" w14:textId="77777777" w:rsidR="005E512C" w:rsidRPr="00473C02" w:rsidRDefault="005E512C" w:rsidP="005E512C">
            <w:pPr>
              <w:widowControl w:val="0"/>
              <w:adjustRightInd w:val="0"/>
              <w:snapToGrid w:val="0"/>
              <w:spacing w:line="360" w:lineRule="auto"/>
              <w:jc w:val="both"/>
              <w:rPr>
                <w:rFonts w:ascii="Book Antiqua" w:eastAsia="宋体" w:hAnsi="Book Antiqua" w:cs="Times"/>
                <w:color w:val="000000" w:themeColor="text1"/>
              </w:rPr>
            </w:pPr>
          </w:p>
        </w:tc>
      </w:tr>
    </w:tbl>
    <w:p w14:paraId="1EC5DF67" w14:textId="12A68557" w:rsidR="00BF39A6" w:rsidRPr="005E512C" w:rsidRDefault="00BF39A6" w:rsidP="005E512C">
      <w:pPr>
        <w:adjustRightInd w:val="0"/>
        <w:snapToGrid w:val="0"/>
        <w:spacing w:line="360" w:lineRule="auto"/>
        <w:jc w:val="both"/>
        <w:rPr>
          <w:rFonts w:ascii="Book Antiqua" w:hAnsi="Book Antiqua" w:cs="Times"/>
          <w:color w:val="000000" w:themeColor="text1"/>
        </w:rPr>
      </w:pPr>
      <w:r w:rsidRPr="005E512C">
        <w:rPr>
          <w:rFonts w:ascii="Book Antiqua" w:eastAsia="宋体" w:hAnsi="Book Antiqua" w:cs="Times"/>
          <w:color w:val="000000" w:themeColor="text1"/>
        </w:rPr>
        <w:t xml:space="preserve">Values </w:t>
      </w:r>
      <w:r w:rsidR="00E00138">
        <w:rPr>
          <w:rFonts w:ascii="Book Antiqua" w:eastAsia="宋体" w:hAnsi="Book Antiqua" w:cs="Times"/>
          <w:color w:val="000000" w:themeColor="text1"/>
        </w:rPr>
        <w:t>shown are</w:t>
      </w:r>
      <w:r w:rsidRPr="005E512C">
        <w:rPr>
          <w:rFonts w:ascii="Book Antiqua" w:eastAsia="宋体" w:hAnsi="Book Antiqua" w:cs="Times"/>
          <w:color w:val="000000" w:themeColor="text1"/>
        </w:rPr>
        <w:t xml:space="preserve"> counts and percentages in parentheses</w:t>
      </w:r>
      <w:r w:rsidR="00E00138">
        <w:rPr>
          <w:rFonts w:ascii="Book Antiqua" w:eastAsia="宋体" w:hAnsi="Book Antiqua" w:cs="Times"/>
          <w:color w:val="000000" w:themeColor="text1"/>
        </w:rPr>
        <w:t xml:space="preserve"> </w:t>
      </w:r>
      <w:r w:rsidRPr="005E512C">
        <w:rPr>
          <w:rFonts w:ascii="Book Antiqua" w:eastAsia="宋体" w:hAnsi="Book Antiqua" w:cs="Times"/>
          <w:color w:val="000000" w:themeColor="text1"/>
        </w:rPr>
        <w:t>or the median</w:t>
      </w:r>
      <w:r w:rsidR="006F7889">
        <w:rPr>
          <w:rFonts w:ascii="Book Antiqua" w:eastAsia="宋体" w:hAnsi="Book Antiqua" w:cs="Times"/>
          <w:color w:val="000000" w:themeColor="text1"/>
        </w:rPr>
        <w:t xml:space="preserve"> (</w:t>
      </w:r>
      <w:r w:rsidRPr="005E512C">
        <w:rPr>
          <w:rFonts w:ascii="Book Antiqua" w:eastAsia="宋体" w:hAnsi="Book Antiqua" w:cs="Times"/>
          <w:color w:val="000000" w:themeColor="text1"/>
        </w:rPr>
        <w:t>25</w:t>
      </w:r>
      <w:r w:rsidR="00077B58" w:rsidRPr="00077B58">
        <w:rPr>
          <w:rFonts w:ascii="Book Antiqua" w:eastAsia="宋体" w:hAnsi="Book Antiqua" w:cs="Times"/>
          <w:color w:val="000000" w:themeColor="text1"/>
          <w:vertAlign w:val="superscript"/>
        </w:rPr>
        <w:t>th</w:t>
      </w:r>
      <w:r w:rsidRPr="005E512C">
        <w:rPr>
          <w:rFonts w:ascii="Book Antiqua" w:eastAsia="宋体" w:hAnsi="Book Antiqua" w:cs="Times"/>
          <w:color w:val="000000" w:themeColor="text1"/>
        </w:rPr>
        <w:t>-75</w:t>
      </w:r>
      <w:r w:rsidRPr="005E512C">
        <w:rPr>
          <w:rFonts w:ascii="Book Antiqua" w:eastAsia="宋体" w:hAnsi="Book Antiqua" w:cs="Times"/>
          <w:color w:val="000000" w:themeColor="text1"/>
          <w:vertAlign w:val="superscript"/>
        </w:rPr>
        <w:t>th</w:t>
      </w:r>
      <w:r w:rsidRPr="005E512C">
        <w:rPr>
          <w:rFonts w:ascii="Book Antiqua" w:eastAsia="宋体" w:hAnsi="Book Antiqua" w:cs="Times"/>
          <w:color w:val="000000" w:themeColor="text1"/>
        </w:rPr>
        <w:t xml:space="preserve"> percentiles). </w:t>
      </w:r>
      <w:r w:rsidR="00077B58" w:rsidRPr="005E512C">
        <w:rPr>
          <w:rFonts w:ascii="Book Antiqua" w:eastAsia="宋体" w:hAnsi="Book Antiqua" w:cs="Times"/>
          <w:i/>
          <w:iCs/>
          <w:color w:val="000000" w:themeColor="text1"/>
        </w:rPr>
        <w:t>P</w:t>
      </w:r>
      <w:r w:rsidR="00077B58" w:rsidRPr="005E512C">
        <w:rPr>
          <w:rFonts w:ascii="Book Antiqua" w:eastAsia="宋体" w:hAnsi="Book Antiqua" w:cs="Times"/>
          <w:color w:val="000000" w:themeColor="text1"/>
        </w:rPr>
        <w:t xml:space="preserve"> &lt; 0.05 was set as the significant level.</w:t>
      </w:r>
      <w:r w:rsidR="00077B58">
        <w:rPr>
          <w:rFonts w:ascii="Book Antiqua" w:eastAsia="宋体" w:hAnsi="Book Antiqua" w:cs="Times"/>
          <w:color w:val="000000" w:themeColor="text1"/>
        </w:rPr>
        <w:t xml:space="preserve"> </w:t>
      </w:r>
      <w:r w:rsidR="000B37A1">
        <w:rPr>
          <w:rFonts w:ascii="Book Antiqua" w:eastAsia="宋体" w:hAnsi="Book Antiqua" w:cs="Times"/>
          <w:color w:val="000000" w:themeColor="text1"/>
        </w:rPr>
        <w:t xml:space="preserve">WBC: White blood cell; </w:t>
      </w:r>
      <w:r w:rsidRPr="005E512C">
        <w:rPr>
          <w:rFonts w:ascii="Book Antiqua" w:eastAsia="宋体" w:hAnsi="Book Antiqua" w:cs="Times"/>
          <w:color w:val="000000" w:themeColor="text1"/>
        </w:rPr>
        <w:t>MAP</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w:t>
      </w:r>
      <w:r w:rsidR="00077B58" w:rsidRPr="005E512C">
        <w:rPr>
          <w:rFonts w:ascii="Book Antiqua" w:eastAsia="宋体" w:hAnsi="Book Antiqua" w:cs="Times"/>
          <w:color w:val="000000" w:themeColor="text1"/>
        </w:rPr>
        <w:t xml:space="preserve">Mean </w:t>
      </w:r>
      <w:r w:rsidRPr="005E512C">
        <w:rPr>
          <w:rFonts w:ascii="Book Antiqua" w:eastAsia="宋体" w:hAnsi="Book Antiqua" w:cs="Times"/>
          <w:color w:val="000000" w:themeColor="text1"/>
        </w:rPr>
        <w:t>arterial pressure; CRP</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C-react</w:t>
      </w:r>
      <w:r w:rsidRPr="005E512C">
        <w:rPr>
          <w:rFonts w:ascii="Book Antiqua" w:eastAsia="宋体" w:hAnsi="Book Antiqua" w:cs="Times"/>
          <w:color w:val="000000" w:themeColor="text1"/>
        </w:rPr>
        <w:t>ive protein; PCT</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w:t>
      </w:r>
      <w:r w:rsidR="00077B58" w:rsidRPr="005E512C">
        <w:rPr>
          <w:rFonts w:ascii="Book Antiqua" w:eastAsia="宋体" w:hAnsi="Book Antiqua" w:cs="Times"/>
          <w:color w:val="000000" w:themeColor="text1"/>
        </w:rPr>
        <w:t>Procalcitonin</w:t>
      </w:r>
      <w:r w:rsidRPr="005E512C">
        <w:rPr>
          <w:rFonts w:ascii="Book Antiqua" w:eastAsia="宋体" w:hAnsi="Book Antiqua" w:cs="Times"/>
          <w:color w:val="000000" w:themeColor="text1"/>
        </w:rPr>
        <w:t>; T-Bil</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w:t>
      </w:r>
      <w:r w:rsidR="00077B58" w:rsidRPr="005E512C">
        <w:rPr>
          <w:rFonts w:ascii="Book Antiqua" w:eastAsia="宋体" w:hAnsi="Book Antiqua" w:cs="Times"/>
          <w:color w:val="000000" w:themeColor="text1"/>
        </w:rPr>
        <w:t xml:space="preserve">Total </w:t>
      </w:r>
      <w:r w:rsidRPr="005E512C">
        <w:rPr>
          <w:rFonts w:ascii="Book Antiqua" w:eastAsia="宋体" w:hAnsi="Book Antiqua" w:cs="Times"/>
          <w:color w:val="000000" w:themeColor="text1"/>
        </w:rPr>
        <w:t>bilirubin; D-Bil</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w:t>
      </w:r>
      <w:r w:rsidR="00077B58" w:rsidRPr="005E512C">
        <w:rPr>
          <w:rFonts w:ascii="Book Antiqua" w:eastAsia="宋体" w:hAnsi="Book Antiqua" w:cs="Times"/>
          <w:color w:val="000000" w:themeColor="text1"/>
        </w:rPr>
        <w:t xml:space="preserve">Direct </w:t>
      </w:r>
      <w:r w:rsidRPr="005E512C">
        <w:rPr>
          <w:rFonts w:ascii="Book Antiqua" w:eastAsia="宋体" w:hAnsi="Book Antiqua" w:cs="Times"/>
          <w:color w:val="000000" w:themeColor="text1"/>
        </w:rPr>
        <w:t>bilirubin; ALT</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w:t>
      </w:r>
      <w:r w:rsidR="00077B58" w:rsidRPr="005E512C">
        <w:rPr>
          <w:rFonts w:ascii="Book Antiqua" w:eastAsia="宋体" w:hAnsi="Book Antiqua" w:cs="Times"/>
          <w:color w:val="000000" w:themeColor="text1"/>
        </w:rPr>
        <w:t xml:space="preserve">Alanine </w:t>
      </w:r>
      <w:r w:rsidRPr="005E512C">
        <w:rPr>
          <w:rFonts w:ascii="Book Antiqua" w:eastAsia="宋体" w:hAnsi="Book Antiqua" w:cs="Times"/>
          <w:color w:val="000000" w:themeColor="text1"/>
        </w:rPr>
        <w:t>amino transferase; AST</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w:t>
      </w:r>
      <w:r w:rsidR="00077B58" w:rsidRPr="005E512C">
        <w:rPr>
          <w:rFonts w:ascii="Book Antiqua" w:eastAsia="宋体" w:hAnsi="Book Antiqua" w:cs="Times"/>
          <w:color w:val="000000" w:themeColor="text1"/>
        </w:rPr>
        <w:t xml:space="preserve">Aspartate </w:t>
      </w:r>
      <w:r w:rsidRPr="005E512C">
        <w:rPr>
          <w:rFonts w:ascii="Book Antiqua" w:eastAsia="宋体" w:hAnsi="Book Antiqua" w:cs="Times"/>
          <w:color w:val="000000" w:themeColor="text1"/>
        </w:rPr>
        <w:t>amino transferase; LDH</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w:t>
      </w:r>
      <w:r w:rsidR="00077B58" w:rsidRPr="005E512C">
        <w:rPr>
          <w:rFonts w:ascii="Book Antiqua" w:eastAsia="宋体" w:hAnsi="Book Antiqua" w:cs="Times"/>
          <w:color w:val="000000" w:themeColor="text1"/>
        </w:rPr>
        <w:t xml:space="preserve">Lactated </w:t>
      </w:r>
      <w:r w:rsidRPr="005E512C">
        <w:rPr>
          <w:rFonts w:ascii="Book Antiqua" w:eastAsia="宋体" w:hAnsi="Book Antiqua" w:cs="Times"/>
          <w:color w:val="000000" w:themeColor="text1"/>
        </w:rPr>
        <w:t>hydrogenase; SO</w:t>
      </w:r>
      <w:r w:rsidRPr="005E512C">
        <w:rPr>
          <w:rFonts w:ascii="Book Antiqua" w:eastAsia="宋体" w:hAnsi="Book Antiqua" w:cs="Times"/>
          <w:color w:val="000000" w:themeColor="text1"/>
        </w:rPr>
        <w:t>FA score</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w:t>
      </w:r>
      <w:r w:rsidR="00077B58" w:rsidRPr="005E512C">
        <w:rPr>
          <w:rFonts w:ascii="Book Antiqua" w:eastAsia="宋体" w:hAnsi="Book Antiqua" w:cs="Times"/>
          <w:color w:val="000000" w:themeColor="text1"/>
        </w:rPr>
        <w:t>Seque</w:t>
      </w:r>
      <w:r w:rsidR="00077B58" w:rsidRPr="005E512C">
        <w:rPr>
          <w:rFonts w:ascii="Book Antiqua" w:eastAsia="宋体" w:hAnsi="Book Antiqua" w:cs="Times"/>
          <w:color w:val="000000" w:themeColor="text1"/>
        </w:rPr>
        <w:t xml:space="preserve">ntial </w:t>
      </w:r>
      <w:r w:rsidRPr="005E512C">
        <w:rPr>
          <w:rFonts w:ascii="Book Antiqua" w:eastAsia="宋体" w:hAnsi="Book Antiqua" w:cs="Times"/>
          <w:color w:val="000000" w:themeColor="text1"/>
        </w:rPr>
        <w:t>organ failure assessment scores. G</w:t>
      </w:r>
      <w:r w:rsidRPr="005E512C">
        <w:rPr>
          <w:rFonts w:ascii="Book Antiqua" w:eastAsia="宋体" w:hAnsi="Book Antiqua" w:cs="Times"/>
          <w:color w:val="000000" w:themeColor="text1"/>
          <w:vertAlign w:val="superscript"/>
        </w:rPr>
        <w:t>-</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Gram-negative; G</w:t>
      </w:r>
      <w:r w:rsidRPr="005E512C">
        <w:rPr>
          <w:rFonts w:ascii="Book Antiqua" w:eastAsia="宋体" w:hAnsi="Book Antiqua" w:cs="Times"/>
          <w:color w:val="000000" w:themeColor="text1"/>
          <w:vertAlign w:val="superscript"/>
        </w:rPr>
        <w:t>+</w:t>
      </w:r>
      <w:r w:rsidR="00077B58">
        <w:rPr>
          <w:rFonts w:ascii="Book Antiqua" w:eastAsia="宋体" w:hAnsi="Book Antiqua" w:cs="Times"/>
          <w:color w:val="000000" w:themeColor="text1"/>
        </w:rPr>
        <w:t>:</w:t>
      </w:r>
      <w:r w:rsidRPr="005E512C">
        <w:rPr>
          <w:rFonts w:ascii="Book Antiqua" w:eastAsia="宋体" w:hAnsi="Book Antiqua" w:cs="Times"/>
          <w:color w:val="000000" w:themeColor="text1"/>
        </w:rPr>
        <w:t xml:space="preserve"> Gram-positive. </w:t>
      </w:r>
    </w:p>
    <w:p w14:paraId="281831BC" w14:textId="77777777" w:rsidR="00BF39A6" w:rsidRPr="005E512C" w:rsidRDefault="00BF39A6" w:rsidP="005E512C">
      <w:pPr>
        <w:adjustRightInd w:val="0"/>
        <w:snapToGrid w:val="0"/>
        <w:spacing w:line="360" w:lineRule="auto"/>
        <w:jc w:val="both"/>
        <w:rPr>
          <w:rFonts w:ascii="Book Antiqua" w:eastAsia="宋体" w:hAnsi="Book Antiqua" w:cs="Times"/>
          <w:color w:val="000000" w:themeColor="text1"/>
        </w:rPr>
      </w:pPr>
    </w:p>
    <w:p w14:paraId="7D19611B" w14:textId="04C85DB7" w:rsidR="00BF39A6" w:rsidRPr="000B37A1" w:rsidRDefault="00077B58" w:rsidP="00E95922">
      <w:pPr>
        <w:adjustRightInd w:val="0"/>
        <w:snapToGrid w:val="0"/>
        <w:spacing w:line="360" w:lineRule="auto"/>
        <w:jc w:val="both"/>
        <w:rPr>
          <w:rFonts w:ascii="Book Antiqua" w:eastAsia="宋体" w:hAnsi="Book Antiqua" w:cs="Times"/>
          <w:b/>
          <w:bCs/>
          <w:color w:val="000000" w:themeColor="text1"/>
        </w:rPr>
      </w:pPr>
      <w:r>
        <w:rPr>
          <w:rFonts w:ascii="Book Antiqua" w:eastAsia="宋体" w:hAnsi="Book Antiqua" w:cs="Times"/>
          <w:color w:val="000000" w:themeColor="text1"/>
        </w:rPr>
        <w:br w:type="page"/>
      </w:r>
      <w:bookmarkStart w:id="7" w:name="_Hlk73522320"/>
      <w:r w:rsidR="00BF39A6" w:rsidRPr="000B37A1">
        <w:rPr>
          <w:rFonts w:ascii="Book Antiqua" w:hAnsi="Book Antiqua"/>
          <w:b/>
          <w:bCs/>
          <w:color w:val="000000" w:themeColor="text1"/>
        </w:rPr>
        <w:lastRenderedPageBreak/>
        <w:t xml:space="preserve">Table 2 </w:t>
      </w:r>
      <w:bookmarkStart w:id="8" w:name="_Hlk73521217"/>
      <w:r w:rsidR="00BF39A6" w:rsidRPr="000B37A1">
        <w:rPr>
          <w:rFonts w:ascii="Book Antiqua" w:hAnsi="Book Antiqua"/>
          <w:b/>
          <w:bCs/>
          <w:color w:val="000000" w:themeColor="text1"/>
        </w:rPr>
        <w:t>Corre</w:t>
      </w:r>
      <w:r w:rsidR="00BF39A6" w:rsidRPr="000B37A1">
        <w:rPr>
          <w:rFonts w:ascii="Book Antiqua" w:hAnsi="Book Antiqua"/>
          <w:b/>
          <w:bCs/>
          <w:color w:val="000000" w:themeColor="text1"/>
        </w:rPr>
        <w:t xml:space="preserve">lations </w:t>
      </w:r>
      <w:bookmarkEnd w:id="8"/>
      <w:r w:rsidR="00E00138">
        <w:rPr>
          <w:rFonts w:ascii="Book Antiqua" w:hAnsi="Book Antiqua"/>
          <w:b/>
          <w:bCs/>
          <w:color w:val="000000" w:themeColor="text1"/>
        </w:rPr>
        <w:t>of</w:t>
      </w:r>
      <w:r w:rsidR="00E00138" w:rsidRPr="000B37A1">
        <w:rPr>
          <w:rFonts w:ascii="Book Antiqua" w:hAnsi="Book Antiqua"/>
          <w:b/>
          <w:bCs/>
          <w:color w:val="000000" w:themeColor="text1"/>
        </w:rPr>
        <w:t xml:space="preserve"> </w:t>
      </w:r>
      <w:r w:rsidR="000B37A1" w:rsidRPr="000B37A1">
        <w:rPr>
          <w:rFonts w:ascii="Book Antiqua" w:eastAsia="Book Antiqua" w:hAnsi="Book Antiqua" w:cs="Book Antiqua"/>
          <w:b/>
          <w:bCs/>
          <w:color w:val="000000" w:themeColor="text1"/>
        </w:rPr>
        <w:t xml:space="preserve">Tokyo Guidelines 2018 </w:t>
      </w:r>
      <w:r w:rsidR="00BF39A6" w:rsidRPr="000B37A1">
        <w:rPr>
          <w:rFonts w:ascii="Book Antiqua" w:hAnsi="Book Antiqua"/>
          <w:b/>
          <w:bCs/>
          <w:color w:val="000000" w:themeColor="text1"/>
        </w:rPr>
        <w:t>grade and</w:t>
      </w:r>
      <w:r w:rsidR="00E00138" w:rsidRPr="00E00138">
        <w:rPr>
          <w:rFonts w:ascii="Book Antiqua" w:eastAsia="宋体" w:hAnsi="Book Antiqua" w:cs="Times"/>
          <w:b/>
          <w:bCs/>
          <w:color w:val="000000" w:themeColor="text1"/>
        </w:rPr>
        <w:t xml:space="preserve"> </w:t>
      </w:r>
      <w:r w:rsidR="00E00138" w:rsidRPr="000B37A1">
        <w:rPr>
          <w:rFonts w:ascii="Book Antiqua" w:eastAsia="宋体" w:hAnsi="Book Antiqua" w:cs="Times"/>
          <w:b/>
          <w:bCs/>
          <w:color w:val="000000" w:themeColor="text1"/>
        </w:rPr>
        <w:t>seq</w:t>
      </w:r>
      <w:bookmarkStart w:id="9" w:name="_GoBack"/>
      <w:bookmarkEnd w:id="9"/>
      <w:r w:rsidR="00E00138" w:rsidRPr="000B37A1">
        <w:rPr>
          <w:rFonts w:ascii="Book Antiqua" w:eastAsia="宋体" w:hAnsi="Book Antiqua" w:cs="Times"/>
          <w:b/>
          <w:bCs/>
          <w:color w:val="000000" w:themeColor="text1"/>
        </w:rPr>
        <w:t>uential organ failure assessment</w:t>
      </w:r>
      <w:r w:rsidR="00E00138" w:rsidRPr="000B37A1">
        <w:rPr>
          <w:rFonts w:ascii="Book Antiqua" w:hAnsi="Book Antiqua"/>
          <w:b/>
          <w:bCs/>
          <w:color w:val="000000" w:themeColor="text1"/>
        </w:rPr>
        <w:t xml:space="preserve"> scores</w:t>
      </w:r>
      <w:r w:rsidR="00E00138">
        <w:rPr>
          <w:rFonts w:ascii="Book Antiqua" w:hAnsi="Book Antiqua"/>
          <w:b/>
          <w:bCs/>
          <w:color w:val="000000" w:themeColor="text1"/>
        </w:rPr>
        <w:t xml:space="preserve"> with</w:t>
      </w:r>
      <w:r w:rsidR="00BF39A6" w:rsidRPr="000B37A1">
        <w:rPr>
          <w:rFonts w:ascii="Book Antiqua" w:hAnsi="Book Antiqua"/>
          <w:b/>
          <w:bCs/>
          <w:color w:val="000000" w:themeColor="text1"/>
        </w:rPr>
        <w:t xml:space="preserve"> </w:t>
      </w:r>
      <w:r w:rsidR="000B37A1" w:rsidRPr="000B37A1">
        <w:rPr>
          <w:rFonts w:ascii="Book Antiqua" w:eastAsia="宋体" w:hAnsi="Book Antiqua" w:cs="Times"/>
          <w:b/>
          <w:bCs/>
          <w:color w:val="000000" w:themeColor="text1"/>
        </w:rPr>
        <w:t>white blood cells</w:t>
      </w:r>
      <w:r w:rsidR="00BF39A6" w:rsidRPr="000B37A1">
        <w:rPr>
          <w:rFonts w:ascii="Book Antiqua" w:hAnsi="Book Antiqua"/>
          <w:b/>
          <w:bCs/>
          <w:color w:val="000000" w:themeColor="text1"/>
        </w:rPr>
        <w:t xml:space="preserve">, </w:t>
      </w:r>
      <w:r w:rsidR="000B37A1" w:rsidRPr="000B37A1">
        <w:rPr>
          <w:rFonts w:ascii="Book Antiqua" w:eastAsia="宋体" w:hAnsi="Book Antiqua" w:cs="Times"/>
          <w:b/>
          <w:bCs/>
          <w:color w:val="000000" w:themeColor="text1"/>
        </w:rPr>
        <w:t>C-reactive protein</w:t>
      </w:r>
      <w:r w:rsidR="00BF39A6" w:rsidRPr="000B37A1">
        <w:rPr>
          <w:rFonts w:ascii="Book Antiqua" w:hAnsi="Book Antiqua"/>
          <w:b/>
          <w:bCs/>
          <w:color w:val="000000" w:themeColor="text1"/>
        </w:rPr>
        <w:t xml:space="preserve">, </w:t>
      </w:r>
      <w:r w:rsidR="000B37A1" w:rsidRPr="000B37A1">
        <w:rPr>
          <w:rFonts w:ascii="Book Antiqua" w:eastAsia="宋体" w:hAnsi="Book Antiqua" w:cs="Times"/>
          <w:b/>
          <w:bCs/>
          <w:color w:val="000000" w:themeColor="text1"/>
        </w:rPr>
        <w:t>procalcitonin</w:t>
      </w:r>
      <w:r w:rsidR="00BF39A6" w:rsidRPr="000B37A1">
        <w:rPr>
          <w:rFonts w:ascii="Book Antiqua" w:hAnsi="Book Antiqua"/>
          <w:b/>
          <w:bCs/>
          <w:color w:val="000000" w:themeColor="text1"/>
        </w:rPr>
        <w:t>, presepsin</w:t>
      </w:r>
      <w:r w:rsidR="00E00138">
        <w:rPr>
          <w:rFonts w:ascii="Book Antiqua" w:hAnsi="Book Antiqua"/>
          <w:b/>
          <w:bCs/>
          <w:color w:val="000000" w:themeColor="text1"/>
        </w:rPr>
        <w:t>,</w:t>
      </w:r>
      <w:r w:rsidR="00BF39A6" w:rsidRPr="000B37A1">
        <w:rPr>
          <w:rFonts w:ascii="Book Antiqua" w:hAnsi="Book Antiqua"/>
          <w:b/>
          <w:bCs/>
          <w:color w:val="000000" w:themeColor="text1"/>
        </w:rPr>
        <w:t xml:space="preserve"> and </w:t>
      </w:r>
      <w:r w:rsidR="000B37A1" w:rsidRPr="000B37A1">
        <w:rPr>
          <w:rFonts w:ascii="Book Antiqua" w:eastAsia="宋体" w:hAnsi="Book Antiqua" w:cs="Times"/>
          <w:b/>
          <w:bCs/>
          <w:color w:val="000000" w:themeColor="text1"/>
        </w:rPr>
        <w:t>total bilirubin</w:t>
      </w:r>
    </w:p>
    <w:tbl>
      <w:tblPr>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1970"/>
        <w:gridCol w:w="2437"/>
        <w:gridCol w:w="1531"/>
        <w:gridCol w:w="2065"/>
        <w:gridCol w:w="1357"/>
      </w:tblGrid>
      <w:tr w:rsidR="008944DB" w:rsidRPr="005E512C" w14:paraId="48795563" w14:textId="77777777" w:rsidTr="00C2296D">
        <w:trPr>
          <w:trHeight w:val="369"/>
        </w:trPr>
        <w:tc>
          <w:tcPr>
            <w:tcW w:w="1052" w:type="pct"/>
            <w:vMerge w:val="restart"/>
            <w:tcBorders>
              <w:top w:val="single" w:sz="4" w:space="0" w:color="000000" w:themeColor="text1"/>
              <w:bottom w:val="single" w:sz="4" w:space="0" w:color="000000" w:themeColor="text1"/>
            </w:tcBorders>
            <w:shd w:val="clear" w:color="auto" w:fill="auto"/>
          </w:tcPr>
          <w:bookmarkEnd w:id="7"/>
          <w:p w14:paraId="51AF4E1B" w14:textId="071B8429" w:rsidR="008944DB" w:rsidRPr="005E512C" w:rsidRDefault="008944DB" w:rsidP="005E512C">
            <w:pPr>
              <w:autoSpaceDE w:val="0"/>
              <w:autoSpaceDN w:val="0"/>
              <w:adjustRightInd w:val="0"/>
              <w:snapToGrid w:val="0"/>
              <w:spacing w:line="360" w:lineRule="auto"/>
              <w:jc w:val="both"/>
              <w:rPr>
                <w:rFonts w:ascii="Book Antiqua" w:hAnsi="Book Antiqua"/>
                <w:b/>
                <w:bCs/>
                <w:color w:val="000000" w:themeColor="text1"/>
              </w:rPr>
            </w:pPr>
            <w:r w:rsidRPr="005E512C">
              <w:rPr>
                <w:rFonts w:ascii="Book Antiqua" w:hAnsi="Book Antiqua"/>
                <w:b/>
                <w:bCs/>
                <w:color w:val="000000" w:themeColor="text1"/>
              </w:rPr>
              <w:t>Correlation</w:t>
            </w:r>
          </w:p>
        </w:tc>
        <w:tc>
          <w:tcPr>
            <w:tcW w:w="2120" w:type="pct"/>
            <w:gridSpan w:val="2"/>
            <w:tcBorders>
              <w:top w:val="single" w:sz="4" w:space="0" w:color="000000" w:themeColor="text1"/>
              <w:bottom w:val="single" w:sz="4" w:space="0" w:color="000000" w:themeColor="text1"/>
            </w:tcBorders>
            <w:shd w:val="clear" w:color="auto" w:fill="auto"/>
          </w:tcPr>
          <w:p w14:paraId="5DBBE6F2" w14:textId="6D1007A0" w:rsidR="008944DB" w:rsidRPr="008944DB" w:rsidRDefault="008944DB" w:rsidP="005E512C">
            <w:pPr>
              <w:autoSpaceDE w:val="0"/>
              <w:autoSpaceDN w:val="0"/>
              <w:adjustRightInd w:val="0"/>
              <w:snapToGrid w:val="0"/>
              <w:spacing w:line="360" w:lineRule="auto"/>
              <w:jc w:val="both"/>
              <w:rPr>
                <w:rFonts w:ascii="Book Antiqua" w:hAnsi="Book Antiqua"/>
                <w:b/>
                <w:bCs/>
                <w:color w:val="000000" w:themeColor="text1"/>
              </w:rPr>
            </w:pPr>
            <w:r w:rsidRPr="005E512C">
              <w:rPr>
                <w:rFonts w:ascii="Book Antiqua" w:hAnsi="Book Antiqua"/>
                <w:b/>
                <w:bCs/>
                <w:color w:val="000000" w:themeColor="text1"/>
              </w:rPr>
              <w:t>TG18 grade</w:t>
            </w:r>
          </w:p>
        </w:tc>
        <w:tc>
          <w:tcPr>
            <w:tcW w:w="1828" w:type="pct"/>
            <w:gridSpan w:val="2"/>
            <w:tcBorders>
              <w:top w:val="single" w:sz="4" w:space="0" w:color="000000" w:themeColor="text1"/>
              <w:bottom w:val="single" w:sz="4" w:space="0" w:color="000000" w:themeColor="text1"/>
            </w:tcBorders>
            <w:shd w:val="clear" w:color="auto" w:fill="auto"/>
          </w:tcPr>
          <w:p w14:paraId="6517432F" w14:textId="34C462D3" w:rsidR="008944DB" w:rsidRPr="005E512C" w:rsidRDefault="008944DB" w:rsidP="005E512C">
            <w:pPr>
              <w:autoSpaceDE w:val="0"/>
              <w:autoSpaceDN w:val="0"/>
              <w:adjustRightInd w:val="0"/>
              <w:snapToGrid w:val="0"/>
              <w:spacing w:line="360" w:lineRule="auto"/>
              <w:jc w:val="both"/>
              <w:rPr>
                <w:rFonts w:ascii="Book Antiqua" w:hAnsi="Book Antiqua"/>
                <w:b/>
                <w:bCs/>
                <w:color w:val="000000" w:themeColor="text1"/>
              </w:rPr>
            </w:pPr>
            <w:r w:rsidRPr="005E512C">
              <w:rPr>
                <w:rFonts w:ascii="Book Antiqua" w:hAnsi="Book Antiqua"/>
                <w:b/>
                <w:bCs/>
                <w:color w:val="000000" w:themeColor="text1"/>
              </w:rPr>
              <w:t>SOFA scores</w:t>
            </w:r>
          </w:p>
        </w:tc>
      </w:tr>
      <w:tr w:rsidR="008944DB" w:rsidRPr="005E512C" w14:paraId="4BBAA5FA" w14:textId="77777777" w:rsidTr="00C2296D">
        <w:trPr>
          <w:trHeight w:val="934"/>
        </w:trPr>
        <w:tc>
          <w:tcPr>
            <w:tcW w:w="1052" w:type="pct"/>
            <w:vMerge/>
            <w:tcBorders>
              <w:top w:val="single" w:sz="4" w:space="0" w:color="000000" w:themeColor="text1"/>
              <w:bottom w:val="single" w:sz="4" w:space="0" w:color="000000" w:themeColor="text1"/>
            </w:tcBorders>
            <w:shd w:val="clear" w:color="auto" w:fill="auto"/>
          </w:tcPr>
          <w:p w14:paraId="43B0C2CE" w14:textId="08A5DAB3" w:rsidR="008944DB" w:rsidRPr="005E512C" w:rsidRDefault="008944DB" w:rsidP="005E512C">
            <w:pPr>
              <w:autoSpaceDE w:val="0"/>
              <w:autoSpaceDN w:val="0"/>
              <w:adjustRightInd w:val="0"/>
              <w:snapToGrid w:val="0"/>
              <w:spacing w:line="360" w:lineRule="auto"/>
              <w:jc w:val="both"/>
              <w:rPr>
                <w:rFonts w:ascii="Book Antiqua" w:hAnsi="Book Antiqua"/>
                <w:b/>
                <w:bCs/>
                <w:color w:val="000000" w:themeColor="text1"/>
              </w:rPr>
            </w:pPr>
          </w:p>
        </w:tc>
        <w:tc>
          <w:tcPr>
            <w:tcW w:w="1302" w:type="pct"/>
            <w:tcBorders>
              <w:top w:val="single" w:sz="4" w:space="0" w:color="000000" w:themeColor="text1"/>
              <w:bottom w:val="single" w:sz="4" w:space="0" w:color="000000" w:themeColor="text1"/>
            </w:tcBorders>
            <w:shd w:val="clear" w:color="auto" w:fill="auto"/>
          </w:tcPr>
          <w:p w14:paraId="6F2E1E97" w14:textId="77777777" w:rsidR="008944DB" w:rsidRPr="005E512C" w:rsidRDefault="008944DB" w:rsidP="008944DB">
            <w:pPr>
              <w:autoSpaceDE w:val="0"/>
              <w:autoSpaceDN w:val="0"/>
              <w:adjustRightInd w:val="0"/>
              <w:snapToGrid w:val="0"/>
              <w:spacing w:line="360" w:lineRule="auto"/>
              <w:jc w:val="both"/>
              <w:rPr>
                <w:rFonts w:ascii="Book Antiqua" w:hAnsi="Book Antiqua"/>
                <w:b/>
                <w:bCs/>
                <w:color w:val="000000" w:themeColor="text1"/>
              </w:rPr>
            </w:pPr>
            <w:r w:rsidRPr="005E512C">
              <w:rPr>
                <w:rFonts w:ascii="Book Antiqua" w:hAnsi="Book Antiqua"/>
                <w:b/>
                <w:bCs/>
                <w:color w:val="000000" w:themeColor="text1"/>
              </w:rPr>
              <w:t>Correlation coefficient</w:t>
            </w:r>
          </w:p>
        </w:tc>
        <w:tc>
          <w:tcPr>
            <w:tcW w:w="818" w:type="pct"/>
            <w:tcBorders>
              <w:top w:val="single" w:sz="4" w:space="0" w:color="000000" w:themeColor="text1"/>
              <w:bottom w:val="single" w:sz="4" w:space="0" w:color="000000" w:themeColor="text1"/>
            </w:tcBorders>
            <w:shd w:val="clear" w:color="auto" w:fill="auto"/>
          </w:tcPr>
          <w:p w14:paraId="57588B2E" w14:textId="4DF9C71D" w:rsidR="008944DB" w:rsidRPr="005E512C" w:rsidRDefault="008944DB" w:rsidP="005E512C">
            <w:pPr>
              <w:autoSpaceDE w:val="0"/>
              <w:autoSpaceDN w:val="0"/>
              <w:adjustRightInd w:val="0"/>
              <w:snapToGrid w:val="0"/>
              <w:spacing w:line="360" w:lineRule="auto"/>
              <w:jc w:val="both"/>
              <w:rPr>
                <w:rFonts w:ascii="Book Antiqua" w:hAnsi="Book Antiqua"/>
                <w:b/>
                <w:bCs/>
                <w:i/>
                <w:iCs/>
                <w:color w:val="000000" w:themeColor="text1"/>
              </w:rPr>
            </w:pPr>
            <w:r w:rsidRPr="005E512C">
              <w:rPr>
                <w:rFonts w:ascii="Book Antiqua" w:hAnsi="Book Antiqua"/>
                <w:b/>
                <w:bCs/>
                <w:i/>
                <w:iCs/>
                <w:color w:val="000000" w:themeColor="text1"/>
              </w:rPr>
              <w:t>P</w:t>
            </w:r>
            <w:r w:rsidRPr="005E512C">
              <w:rPr>
                <w:rFonts w:ascii="Book Antiqua" w:hAnsi="Book Antiqua"/>
                <w:b/>
                <w:bCs/>
                <w:color w:val="000000" w:themeColor="text1"/>
              </w:rPr>
              <w:t xml:space="preserve"> value</w:t>
            </w:r>
          </w:p>
        </w:tc>
        <w:tc>
          <w:tcPr>
            <w:tcW w:w="1103" w:type="pct"/>
            <w:tcBorders>
              <w:top w:val="single" w:sz="4" w:space="0" w:color="000000" w:themeColor="text1"/>
              <w:bottom w:val="single" w:sz="4" w:space="0" w:color="000000" w:themeColor="text1"/>
            </w:tcBorders>
            <w:shd w:val="clear" w:color="auto" w:fill="auto"/>
          </w:tcPr>
          <w:p w14:paraId="7AE03528" w14:textId="77777777" w:rsidR="008944DB" w:rsidRPr="005E512C" w:rsidRDefault="008944DB" w:rsidP="008944DB">
            <w:pPr>
              <w:autoSpaceDE w:val="0"/>
              <w:autoSpaceDN w:val="0"/>
              <w:adjustRightInd w:val="0"/>
              <w:snapToGrid w:val="0"/>
              <w:spacing w:line="360" w:lineRule="auto"/>
              <w:jc w:val="both"/>
              <w:rPr>
                <w:rFonts w:ascii="Book Antiqua" w:hAnsi="Book Antiqua"/>
                <w:b/>
                <w:bCs/>
                <w:color w:val="000000" w:themeColor="text1"/>
              </w:rPr>
            </w:pPr>
            <w:r w:rsidRPr="005E512C">
              <w:rPr>
                <w:rFonts w:ascii="Book Antiqua" w:hAnsi="Book Antiqua"/>
                <w:b/>
                <w:bCs/>
                <w:color w:val="000000" w:themeColor="text1"/>
              </w:rPr>
              <w:t>Correlation coefficient</w:t>
            </w:r>
          </w:p>
        </w:tc>
        <w:tc>
          <w:tcPr>
            <w:tcW w:w="725" w:type="pct"/>
            <w:tcBorders>
              <w:top w:val="single" w:sz="4" w:space="0" w:color="000000" w:themeColor="text1"/>
              <w:bottom w:val="single" w:sz="4" w:space="0" w:color="000000" w:themeColor="text1"/>
            </w:tcBorders>
            <w:shd w:val="clear" w:color="auto" w:fill="auto"/>
          </w:tcPr>
          <w:p w14:paraId="06642A62" w14:textId="02038729" w:rsidR="008944DB" w:rsidRPr="005E512C" w:rsidRDefault="008944DB" w:rsidP="005E512C">
            <w:pPr>
              <w:autoSpaceDE w:val="0"/>
              <w:autoSpaceDN w:val="0"/>
              <w:adjustRightInd w:val="0"/>
              <w:snapToGrid w:val="0"/>
              <w:spacing w:line="360" w:lineRule="auto"/>
              <w:jc w:val="both"/>
              <w:rPr>
                <w:rFonts w:ascii="Book Antiqua" w:hAnsi="Book Antiqua"/>
                <w:b/>
                <w:bCs/>
                <w:i/>
                <w:iCs/>
                <w:color w:val="000000" w:themeColor="text1"/>
              </w:rPr>
            </w:pPr>
            <w:r w:rsidRPr="005E512C">
              <w:rPr>
                <w:rFonts w:ascii="Book Antiqua" w:hAnsi="Book Antiqua"/>
                <w:b/>
                <w:bCs/>
                <w:i/>
                <w:iCs/>
                <w:color w:val="000000" w:themeColor="text1"/>
              </w:rPr>
              <w:t>P</w:t>
            </w:r>
            <w:r>
              <w:rPr>
                <w:rFonts w:ascii="Book Antiqua" w:hAnsi="Book Antiqua"/>
                <w:b/>
                <w:bCs/>
                <w:i/>
                <w:iCs/>
                <w:color w:val="000000" w:themeColor="text1"/>
              </w:rPr>
              <w:t xml:space="preserve"> </w:t>
            </w:r>
            <w:r w:rsidRPr="005E512C">
              <w:rPr>
                <w:rFonts w:ascii="Book Antiqua" w:hAnsi="Book Antiqua"/>
                <w:b/>
                <w:bCs/>
                <w:color w:val="000000" w:themeColor="text1"/>
              </w:rPr>
              <w:t>value</w:t>
            </w:r>
          </w:p>
        </w:tc>
      </w:tr>
      <w:tr w:rsidR="005E512C" w:rsidRPr="005E512C" w14:paraId="6322D068" w14:textId="77777777" w:rsidTr="00C2296D">
        <w:trPr>
          <w:trHeight w:val="276"/>
        </w:trPr>
        <w:tc>
          <w:tcPr>
            <w:tcW w:w="1052" w:type="pct"/>
            <w:tcBorders>
              <w:top w:val="single" w:sz="4" w:space="0" w:color="000000" w:themeColor="text1"/>
            </w:tcBorders>
            <w:shd w:val="clear" w:color="auto" w:fill="auto"/>
          </w:tcPr>
          <w:p w14:paraId="420BF0B5" w14:textId="5980B096" w:rsidR="00BF39A6" w:rsidRPr="005E512C" w:rsidRDefault="00BF39A6" w:rsidP="005E512C">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WBCs</w:t>
            </w:r>
          </w:p>
        </w:tc>
        <w:tc>
          <w:tcPr>
            <w:tcW w:w="1302" w:type="pct"/>
            <w:tcBorders>
              <w:top w:val="single" w:sz="4" w:space="0" w:color="000000" w:themeColor="text1"/>
            </w:tcBorders>
            <w:shd w:val="clear" w:color="auto" w:fill="auto"/>
          </w:tcPr>
          <w:p w14:paraId="0FD13CEB" w14:textId="3590F3A0" w:rsidR="00BF39A6" w:rsidRPr="005E512C" w:rsidRDefault="00BF39A6" w:rsidP="005E512C">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0.232</w:t>
            </w:r>
          </w:p>
        </w:tc>
        <w:tc>
          <w:tcPr>
            <w:tcW w:w="818" w:type="pct"/>
            <w:tcBorders>
              <w:top w:val="single" w:sz="4" w:space="0" w:color="000000" w:themeColor="text1"/>
            </w:tcBorders>
            <w:shd w:val="clear" w:color="auto" w:fill="auto"/>
          </w:tcPr>
          <w:p w14:paraId="61DCDADD" w14:textId="05B136C7" w:rsidR="00BF39A6" w:rsidRPr="005E512C" w:rsidRDefault="00BF39A6" w:rsidP="005E512C">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0.000</w:t>
            </w:r>
          </w:p>
        </w:tc>
        <w:tc>
          <w:tcPr>
            <w:tcW w:w="1103" w:type="pct"/>
            <w:tcBorders>
              <w:top w:val="single" w:sz="4" w:space="0" w:color="000000" w:themeColor="text1"/>
            </w:tcBorders>
            <w:shd w:val="clear" w:color="auto" w:fill="auto"/>
          </w:tcPr>
          <w:p w14:paraId="7246ACE1" w14:textId="4D3C2E71" w:rsidR="00BF39A6" w:rsidRPr="005E512C" w:rsidRDefault="00BF39A6" w:rsidP="005E512C">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0.713</w:t>
            </w:r>
          </w:p>
        </w:tc>
        <w:tc>
          <w:tcPr>
            <w:tcW w:w="725" w:type="pct"/>
            <w:tcBorders>
              <w:top w:val="single" w:sz="4" w:space="0" w:color="000000" w:themeColor="text1"/>
            </w:tcBorders>
            <w:shd w:val="clear" w:color="auto" w:fill="auto"/>
          </w:tcPr>
          <w:p w14:paraId="0F058DEF" w14:textId="108DA45B" w:rsidR="00BF39A6" w:rsidRPr="005E512C" w:rsidRDefault="00BF39A6" w:rsidP="005E512C">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 xml:space="preserve">0.001 </w:t>
            </w:r>
          </w:p>
        </w:tc>
      </w:tr>
      <w:tr w:rsidR="00075630" w:rsidRPr="005E512C" w14:paraId="2917B9EC" w14:textId="77777777" w:rsidTr="00C2296D">
        <w:trPr>
          <w:trHeight w:val="342"/>
        </w:trPr>
        <w:tc>
          <w:tcPr>
            <w:tcW w:w="1052" w:type="pct"/>
            <w:shd w:val="clear" w:color="auto" w:fill="auto"/>
          </w:tcPr>
          <w:p w14:paraId="7D86713D" w14:textId="12321687"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CRP</w:t>
            </w:r>
          </w:p>
        </w:tc>
        <w:tc>
          <w:tcPr>
            <w:tcW w:w="1302" w:type="pct"/>
            <w:shd w:val="clear" w:color="auto" w:fill="auto"/>
          </w:tcPr>
          <w:p w14:paraId="29B33988" w14:textId="600496AD"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0.285</w:t>
            </w:r>
          </w:p>
        </w:tc>
        <w:tc>
          <w:tcPr>
            <w:tcW w:w="818" w:type="pct"/>
            <w:shd w:val="clear" w:color="auto" w:fill="auto"/>
          </w:tcPr>
          <w:p w14:paraId="5BB2E05C" w14:textId="62DD1166"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0.000</w:t>
            </w:r>
          </w:p>
        </w:tc>
        <w:tc>
          <w:tcPr>
            <w:tcW w:w="1103" w:type="pct"/>
            <w:shd w:val="clear" w:color="auto" w:fill="auto"/>
          </w:tcPr>
          <w:p w14:paraId="78560DF9" w14:textId="381A642B"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0.319</w:t>
            </w:r>
          </w:p>
        </w:tc>
        <w:tc>
          <w:tcPr>
            <w:tcW w:w="725" w:type="pct"/>
            <w:shd w:val="clear" w:color="auto" w:fill="auto"/>
          </w:tcPr>
          <w:p w14:paraId="18630085" w14:textId="1F0C0858" w:rsidR="00075630"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0.000</w:t>
            </w:r>
          </w:p>
        </w:tc>
      </w:tr>
      <w:tr w:rsidR="00075630" w:rsidRPr="005E512C" w14:paraId="486DAD70" w14:textId="77777777" w:rsidTr="00C2296D">
        <w:trPr>
          <w:trHeight w:val="375"/>
        </w:trPr>
        <w:tc>
          <w:tcPr>
            <w:tcW w:w="1052" w:type="pct"/>
            <w:shd w:val="clear" w:color="auto" w:fill="auto"/>
          </w:tcPr>
          <w:p w14:paraId="1F1B46F1" w14:textId="6CE7CABE"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PCT</w:t>
            </w:r>
          </w:p>
        </w:tc>
        <w:tc>
          <w:tcPr>
            <w:tcW w:w="1302" w:type="pct"/>
            <w:shd w:val="clear" w:color="auto" w:fill="auto"/>
          </w:tcPr>
          <w:p w14:paraId="747D43E5" w14:textId="1D77B3D1"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0.041</w:t>
            </w:r>
          </w:p>
        </w:tc>
        <w:tc>
          <w:tcPr>
            <w:tcW w:w="818" w:type="pct"/>
            <w:shd w:val="clear" w:color="auto" w:fill="auto"/>
          </w:tcPr>
          <w:p w14:paraId="04A298D0" w14:textId="59D38AC8"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0.453</w:t>
            </w:r>
          </w:p>
        </w:tc>
        <w:tc>
          <w:tcPr>
            <w:tcW w:w="1103" w:type="pct"/>
            <w:shd w:val="clear" w:color="auto" w:fill="auto"/>
          </w:tcPr>
          <w:p w14:paraId="6CCD1756" w14:textId="121BB84E"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0.127</w:t>
            </w:r>
          </w:p>
        </w:tc>
        <w:tc>
          <w:tcPr>
            <w:tcW w:w="725" w:type="pct"/>
            <w:shd w:val="clear" w:color="auto" w:fill="auto"/>
          </w:tcPr>
          <w:p w14:paraId="13052BCA" w14:textId="6E5ADAE0" w:rsidR="00075630"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0.020</w:t>
            </w:r>
          </w:p>
        </w:tc>
      </w:tr>
      <w:tr w:rsidR="00075630" w:rsidRPr="005E512C" w14:paraId="0058AADA" w14:textId="77777777" w:rsidTr="00C2296D">
        <w:trPr>
          <w:trHeight w:val="413"/>
        </w:trPr>
        <w:tc>
          <w:tcPr>
            <w:tcW w:w="1052" w:type="pct"/>
            <w:shd w:val="clear" w:color="auto" w:fill="auto"/>
          </w:tcPr>
          <w:p w14:paraId="7EC88A00" w14:textId="5DEC4423" w:rsidR="00075630" w:rsidRPr="005E512C" w:rsidRDefault="0083512A"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Presespin</w:t>
            </w:r>
          </w:p>
        </w:tc>
        <w:tc>
          <w:tcPr>
            <w:tcW w:w="1302" w:type="pct"/>
            <w:shd w:val="clear" w:color="auto" w:fill="auto"/>
          </w:tcPr>
          <w:p w14:paraId="6E631889" w14:textId="2666B1BB"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0.324</w:t>
            </w:r>
          </w:p>
        </w:tc>
        <w:tc>
          <w:tcPr>
            <w:tcW w:w="818" w:type="pct"/>
            <w:shd w:val="clear" w:color="auto" w:fill="auto"/>
          </w:tcPr>
          <w:p w14:paraId="6AB12765" w14:textId="7E8E80E9"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0.000</w:t>
            </w:r>
            <w:r>
              <w:rPr>
                <w:rFonts w:ascii="Book Antiqua" w:hAnsi="Book Antiqua"/>
                <w:color w:val="000000" w:themeColor="text1"/>
              </w:rPr>
              <w:t xml:space="preserve"> </w:t>
            </w:r>
          </w:p>
        </w:tc>
        <w:tc>
          <w:tcPr>
            <w:tcW w:w="1103" w:type="pct"/>
            <w:shd w:val="clear" w:color="auto" w:fill="auto"/>
          </w:tcPr>
          <w:p w14:paraId="29412FA0" w14:textId="69187A4A"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0.384</w:t>
            </w:r>
          </w:p>
        </w:tc>
        <w:tc>
          <w:tcPr>
            <w:tcW w:w="725" w:type="pct"/>
            <w:shd w:val="clear" w:color="auto" w:fill="auto"/>
          </w:tcPr>
          <w:p w14:paraId="44CCD01C" w14:textId="5EF9D04F" w:rsidR="00075630"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0.000</w:t>
            </w:r>
          </w:p>
        </w:tc>
      </w:tr>
      <w:tr w:rsidR="00075630" w:rsidRPr="005E512C" w14:paraId="38B0E1B1" w14:textId="77777777" w:rsidTr="00C2296D">
        <w:trPr>
          <w:trHeight w:val="401"/>
        </w:trPr>
        <w:tc>
          <w:tcPr>
            <w:tcW w:w="1052" w:type="pct"/>
            <w:shd w:val="clear" w:color="auto" w:fill="auto"/>
          </w:tcPr>
          <w:p w14:paraId="5EF2F583" w14:textId="412DA166"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T-Bil</w:t>
            </w:r>
          </w:p>
        </w:tc>
        <w:tc>
          <w:tcPr>
            <w:tcW w:w="1302" w:type="pct"/>
            <w:shd w:val="clear" w:color="auto" w:fill="auto"/>
          </w:tcPr>
          <w:p w14:paraId="29C18F76" w14:textId="6692D37E"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0.057</w:t>
            </w:r>
          </w:p>
        </w:tc>
        <w:tc>
          <w:tcPr>
            <w:tcW w:w="818" w:type="pct"/>
            <w:shd w:val="clear" w:color="auto" w:fill="auto"/>
          </w:tcPr>
          <w:p w14:paraId="01A978CA" w14:textId="67030428"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0.301</w:t>
            </w:r>
          </w:p>
        </w:tc>
        <w:tc>
          <w:tcPr>
            <w:tcW w:w="1103" w:type="pct"/>
            <w:shd w:val="clear" w:color="auto" w:fill="auto"/>
          </w:tcPr>
          <w:p w14:paraId="5D8B8578" w14:textId="77777777"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0.173</w:t>
            </w:r>
          </w:p>
        </w:tc>
        <w:tc>
          <w:tcPr>
            <w:tcW w:w="725" w:type="pct"/>
            <w:shd w:val="clear" w:color="auto" w:fill="auto"/>
          </w:tcPr>
          <w:p w14:paraId="4C8C2D41" w14:textId="6B5C3015" w:rsidR="00075630"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0.001</w:t>
            </w:r>
          </w:p>
        </w:tc>
      </w:tr>
      <w:tr w:rsidR="00075630" w:rsidRPr="005E512C" w14:paraId="33174E48" w14:textId="77777777" w:rsidTr="00C2296D">
        <w:trPr>
          <w:trHeight w:val="393"/>
        </w:trPr>
        <w:tc>
          <w:tcPr>
            <w:tcW w:w="1052" w:type="pct"/>
            <w:shd w:val="clear" w:color="auto" w:fill="auto"/>
          </w:tcPr>
          <w:p w14:paraId="5B889B58" w14:textId="0123CF27"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SOFA</w:t>
            </w:r>
          </w:p>
        </w:tc>
        <w:tc>
          <w:tcPr>
            <w:tcW w:w="1302" w:type="pct"/>
            <w:shd w:val="clear" w:color="auto" w:fill="auto"/>
          </w:tcPr>
          <w:p w14:paraId="22BC6759" w14:textId="259488FE"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0.555</w:t>
            </w:r>
          </w:p>
        </w:tc>
        <w:tc>
          <w:tcPr>
            <w:tcW w:w="818" w:type="pct"/>
            <w:shd w:val="clear" w:color="auto" w:fill="auto"/>
          </w:tcPr>
          <w:p w14:paraId="30D575C8" w14:textId="5C4EBD66"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r w:rsidRPr="005E512C">
              <w:rPr>
                <w:rFonts w:ascii="Book Antiqua" w:hAnsi="Book Antiqua"/>
                <w:color w:val="000000" w:themeColor="text1"/>
              </w:rPr>
              <w:t>0.000</w:t>
            </w:r>
          </w:p>
        </w:tc>
        <w:tc>
          <w:tcPr>
            <w:tcW w:w="1103" w:type="pct"/>
            <w:shd w:val="clear" w:color="auto" w:fill="auto"/>
          </w:tcPr>
          <w:p w14:paraId="08145932" w14:textId="77777777" w:rsidR="00075630" w:rsidRPr="005E512C" w:rsidRDefault="00075630" w:rsidP="00075630">
            <w:pPr>
              <w:autoSpaceDE w:val="0"/>
              <w:autoSpaceDN w:val="0"/>
              <w:adjustRightInd w:val="0"/>
              <w:snapToGrid w:val="0"/>
              <w:spacing w:line="360" w:lineRule="auto"/>
              <w:jc w:val="both"/>
              <w:rPr>
                <w:rFonts w:ascii="Book Antiqua" w:hAnsi="Book Antiqua"/>
                <w:color w:val="000000" w:themeColor="text1"/>
              </w:rPr>
            </w:pPr>
          </w:p>
        </w:tc>
        <w:tc>
          <w:tcPr>
            <w:tcW w:w="725" w:type="pct"/>
            <w:shd w:val="clear" w:color="auto" w:fill="auto"/>
          </w:tcPr>
          <w:p w14:paraId="0FAE76FC" w14:textId="77777777" w:rsidR="00075630" w:rsidRDefault="00075630" w:rsidP="00075630">
            <w:pPr>
              <w:autoSpaceDE w:val="0"/>
              <w:autoSpaceDN w:val="0"/>
              <w:adjustRightInd w:val="0"/>
              <w:snapToGrid w:val="0"/>
              <w:spacing w:line="360" w:lineRule="auto"/>
              <w:jc w:val="both"/>
              <w:rPr>
                <w:rFonts w:ascii="Book Antiqua" w:hAnsi="Book Antiqua"/>
                <w:color w:val="000000" w:themeColor="text1"/>
              </w:rPr>
            </w:pPr>
          </w:p>
        </w:tc>
      </w:tr>
    </w:tbl>
    <w:p w14:paraId="49A203AB" w14:textId="159F72B8" w:rsidR="00BF39A6" w:rsidRPr="00BD70DB" w:rsidRDefault="00484B13" w:rsidP="00BD70DB">
      <w:pPr>
        <w:adjustRightInd w:val="0"/>
        <w:snapToGrid w:val="0"/>
        <w:spacing w:line="360" w:lineRule="auto"/>
        <w:jc w:val="both"/>
        <w:rPr>
          <w:rFonts w:ascii="Book Antiqua" w:hAnsi="Book Antiqua"/>
          <w:color w:val="000000" w:themeColor="text1"/>
          <w:lang w:eastAsia="zh-CN"/>
        </w:rPr>
      </w:pPr>
      <w:r w:rsidRPr="005E512C">
        <w:rPr>
          <w:rFonts w:ascii="Book Antiqua" w:hAnsi="Book Antiqua"/>
          <w:i/>
          <w:iCs/>
          <w:color w:val="000000" w:themeColor="text1"/>
        </w:rPr>
        <w:t>P</w:t>
      </w:r>
      <w:r w:rsidRPr="005E512C">
        <w:rPr>
          <w:rFonts w:ascii="Book Antiqua" w:hAnsi="Book Antiqua"/>
          <w:color w:val="000000" w:themeColor="text1"/>
        </w:rPr>
        <w:t>-value &lt; 0.05 was set as the significant level.</w:t>
      </w:r>
      <w:r>
        <w:rPr>
          <w:rFonts w:ascii="Book Antiqua" w:hAnsi="Book Antiqua" w:hint="eastAsia"/>
          <w:color w:val="000000" w:themeColor="text1"/>
          <w:lang w:eastAsia="zh-CN"/>
        </w:rPr>
        <w:t xml:space="preserve"> </w:t>
      </w:r>
      <w:r w:rsidR="007A047B" w:rsidRPr="00BD70DB">
        <w:rPr>
          <w:rFonts w:ascii="Book Antiqua" w:hAnsi="Book Antiqua"/>
          <w:color w:val="000000" w:themeColor="text1"/>
        </w:rPr>
        <w:t xml:space="preserve">TG18: </w:t>
      </w:r>
      <w:r w:rsidR="00BD70DB" w:rsidRPr="00BD70DB">
        <w:rPr>
          <w:rFonts w:ascii="Book Antiqua" w:eastAsia="宋体" w:hAnsi="Book Antiqua" w:cs="Times"/>
          <w:color w:val="000000" w:themeColor="text1"/>
        </w:rPr>
        <w:t xml:space="preserve">Tokyo guidelines 2018: </w:t>
      </w:r>
      <w:r w:rsidR="006423E1">
        <w:rPr>
          <w:rFonts w:ascii="Book Antiqua" w:eastAsia="宋体" w:hAnsi="Book Antiqua" w:cs="Times"/>
          <w:color w:val="000000" w:themeColor="text1"/>
        </w:rPr>
        <w:t>D</w:t>
      </w:r>
      <w:r w:rsidR="00BD70DB" w:rsidRPr="00BD70DB">
        <w:rPr>
          <w:rFonts w:ascii="Book Antiqua" w:eastAsia="宋体" w:hAnsi="Book Antiqua" w:cs="Times"/>
          <w:color w:val="000000" w:themeColor="text1"/>
        </w:rPr>
        <w:t>iagnostic criteria and severity grading of acute cholangitis</w:t>
      </w:r>
      <w:r w:rsidR="007A047B" w:rsidRPr="00BD70DB">
        <w:rPr>
          <w:rFonts w:ascii="Book Antiqua" w:hAnsi="Book Antiqua"/>
          <w:color w:val="000000" w:themeColor="text1"/>
        </w:rPr>
        <w:t xml:space="preserve">; </w:t>
      </w:r>
      <w:r w:rsidRPr="00BD70DB">
        <w:rPr>
          <w:rFonts w:ascii="Book Antiqua" w:hAnsi="Book Antiqua"/>
          <w:color w:val="000000" w:themeColor="text1"/>
        </w:rPr>
        <w:t xml:space="preserve">CRP: </w:t>
      </w:r>
      <w:r w:rsidR="00BF39A6" w:rsidRPr="00BD70DB">
        <w:rPr>
          <w:rFonts w:ascii="Book Antiqua" w:hAnsi="Book Antiqua"/>
          <w:color w:val="000000" w:themeColor="text1"/>
        </w:rPr>
        <w:t xml:space="preserve">C-reactive protein; </w:t>
      </w:r>
      <w:r w:rsidRPr="00BD70DB">
        <w:rPr>
          <w:rFonts w:ascii="Book Antiqua" w:hAnsi="Book Antiqua"/>
          <w:color w:val="000000" w:themeColor="text1"/>
        </w:rPr>
        <w:t>PCT: Procalcitonin</w:t>
      </w:r>
      <w:r w:rsidR="00BF39A6" w:rsidRPr="00BD70DB">
        <w:rPr>
          <w:rFonts w:ascii="Book Antiqua" w:hAnsi="Book Antiqua"/>
          <w:color w:val="000000" w:themeColor="text1"/>
        </w:rPr>
        <w:t xml:space="preserve">; </w:t>
      </w:r>
      <w:r w:rsidRPr="00BD70DB">
        <w:rPr>
          <w:rFonts w:ascii="Book Antiqua" w:hAnsi="Book Antiqua"/>
          <w:color w:val="000000" w:themeColor="text1"/>
        </w:rPr>
        <w:t xml:space="preserve">T-Bil: Total </w:t>
      </w:r>
      <w:r w:rsidR="00BF39A6" w:rsidRPr="00BD70DB">
        <w:rPr>
          <w:rFonts w:ascii="Book Antiqua" w:hAnsi="Book Antiqua"/>
          <w:color w:val="000000" w:themeColor="text1"/>
        </w:rPr>
        <w:t xml:space="preserve">bilirubin; </w:t>
      </w:r>
      <w:r w:rsidRPr="00BD70DB">
        <w:rPr>
          <w:rFonts w:ascii="Book Antiqua" w:hAnsi="Book Antiqua"/>
          <w:color w:val="000000" w:themeColor="text1"/>
        </w:rPr>
        <w:t xml:space="preserve">SOFA scores: Sequential </w:t>
      </w:r>
      <w:r w:rsidR="00BF39A6" w:rsidRPr="00BD70DB">
        <w:rPr>
          <w:rFonts w:ascii="Book Antiqua" w:hAnsi="Book Antiqua"/>
          <w:color w:val="000000" w:themeColor="text1"/>
        </w:rPr>
        <w:t>organ failure assessment</w:t>
      </w:r>
      <w:r w:rsidR="006F7889" w:rsidRPr="00BD70DB">
        <w:rPr>
          <w:rFonts w:ascii="Book Antiqua" w:hAnsi="Book Antiqua"/>
          <w:color w:val="000000" w:themeColor="text1"/>
        </w:rPr>
        <w:t xml:space="preserve"> </w:t>
      </w:r>
      <w:r w:rsidR="00BF39A6" w:rsidRPr="00BD70DB">
        <w:rPr>
          <w:rFonts w:ascii="Book Antiqua" w:hAnsi="Book Antiqua"/>
          <w:color w:val="000000" w:themeColor="text1"/>
        </w:rPr>
        <w:t xml:space="preserve">scores. </w:t>
      </w:r>
    </w:p>
    <w:p w14:paraId="0AB5CB37" w14:textId="77777777" w:rsidR="00BF39A6" w:rsidRPr="005E512C" w:rsidRDefault="00BF39A6" w:rsidP="005E512C">
      <w:pPr>
        <w:adjustRightInd w:val="0"/>
        <w:snapToGrid w:val="0"/>
        <w:spacing w:line="360" w:lineRule="auto"/>
        <w:jc w:val="both"/>
        <w:rPr>
          <w:rFonts w:ascii="Book Antiqua" w:hAnsi="Book Antiqua"/>
          <w:color w:val="000000" w:themeColor="text1"/>
          <w:lang w:eastAsia="zh-CN"/>
        </w:rPr>
      </w:pPr>
    </w:p>
    <w:sectPr w:rsidR="00BF39A6" w:rsidRPr="005E512C">
      <w:footerReference w:type="default" r:id="rId1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9A4470" w16cid:durableId="24E5BF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D425C" w14:textId="77777777" w:rsidR="00513872" w:rsidRDefault="00513872" w:rsidP="00A31763">
      <w:r>
        <w:separator/>
      </w:r>
    </w:p>
  </w:endnote>
  <w:endnote w:type="continuationSeparator" w:id="0">
    <w:p w14:paraId="5E7B4880" w14:textId="77777777" w:rsidR="00513872" w:rsidRDefault="00513872" w:rsidP="00A31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default"/>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367008"/>
      <w:docPartObj>
        <w:docPartGallery w:val="Page Numbers (Bottom of Page)"/>
        <w:docPartUnique/>
      </w:docPartObj>
    </w:sdtPr>
    <w:sdtEndPr/>
    <w:sdtContent>
      <w:sdt>
        <w:sdtPr>
          <w:id w:val="-1769616900"/>
          <w:docPartObj>
            <w:docPartGallery w:val="Page Numbers (Top of Page)"/>
            <w:docPartUnique/>
          </w:docPartObj>
        </w:sdtPr>
        <w:sdtEndPr/>
        <w:sdtContent>
          <w:p w14:paraId="5AEE158B" w14:textId="4CF81823" w:rsidR="003C1887" w:rsidRDefault="003C188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83924">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83924">
              <w:rPr>
                <w:b/>
                <w:bCs/>
                <w:noProof/>
              </w:rPr>
              <w:t>26</w:t>
            </w:r>
            <w:r>
              <w:rPr>
                <w:b/>
                <w:bCs/>
                <w:sz w:val="24"/>
                <w:szCs w:val="24"/>
              </w:rPr>
              <w:fldChar w:fldCharType="end"/>
            </w:r>
          </w:p>
        </w:sdtContent>
      </w:sdt>
    </w:sdtContent>
  </w:sdt>
  <w:p w14:paraId="4F547C11" w14:textId="77777777" w:rsidR="003C1887" w:rsidRDefault="003C18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A2267" w14:textId="77777777" w:rsidR="00513872" w:rsidRDefault="00513872" w:rsidP="00A31763">
      <w:r>
        <w:separator/>
      </w:r>
    </w:p>
  </w:footnote>
  <w:footnote w:type="continuationSeparator" w:id="0">
    <w:p w14:paraId="362AD2BA" w14:textId="77777777" w:rsidR="00513872" w:rsidRDefault="00513872" w:rsidP="00A317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1FCA"/>
    <w:rsid w:val="00075630"/>
    <w:rsid w:val="00077B58"/>
    <w:rsid w:val="00097B53"/>
    <w:rsid w:val="000B37A1"/>
    <w:rsid w:val="001231FE"/>
    <w:rsid w:val="00144E64"/>
    <w:rsid w:val="00172F66"/>
    <w:rsid w:val="001C005F"/>
    <w:rsid w:val="001D146A"/>
    <w:rsid w:val="001F05EB"/>
    <w:rsid w:val="001F1EAB"/>
    <w:rsid w:val="002B5257"/>
    <w:rsid w:val="002F0828"/>
    <w:rsid w:val="00320C2A"/>
    <w:rsid w:val="00331620"/>
    <w:rsid w:val="00332D8A"/>
    <w:rsid w:val="003747E6"/>
    <w:rsid w:val="003B5287"/>
    <w:rsid w:val="003C1887"/>
    <w:rsid w:val="00432116"/>
    <w:rsid w:val="00437AAC"/>
    <w:rsid w:val="004707EA"/>
    <w:rsid w:val="00470ABF"/>
    <w:rsid w:val="00473C02"/>
    <w:rsid w:val="00483F42"/>
    <w:rsid w:val="00484B13"/>
    <w:rsid w:val="004D6FF6"/>
    <w:rsid w:val="00513872"/>
    <w:rsid w:val="005364F0"/>
    <w:rsid w:val="00571655"/>
    <w:rsid w:val="005970AA"/>
    <w:rsid w:val="005970FC"/>
    <w:rsid w:val="005E512C"/>
    <w:rsid w:val="00617CAD"/>
    <w:rsid w:val="006259EF"/>
    <w:rsid w:val="006423E1"/>
    <w:rsid w:val="00665092"/>
    <w:rsid w:val="00667A49"/>
    <w:rsid w:val="006B3AD1"/>
    <w:rsid w:val="006F7889"/>
    <w:rsid w:val="007571E6"/>
    <w:rsid w:val="007A047B"/>
    <w:rsid w:val="007A71E0"/>
    <w:rsid w:val="00810D16"/>
    <w:rsid w:val="00833894"/>
    <w:rsid w:val="0083512A"/>
    <w:rsid w:val="00841AA9"/>
    <w:rsid w:val="00854EF4"/>
    <w:rsid w:val="008944DB"/>
    <w:rsid w:val="008A6DB9"/>
    <w:rsid w:val="008D5FB3"/>
    <w:rsid w:val="00944868"/>
    <w:rsid w:val="00971C0B"/>
    <w:rsid w:val="00974976"/>
    <w:rsid w:val="009C0A77"/>
    <w:rsid w:val="009C6F6E"/>
    <w:rsid w:val="009E3041"/>
    <w:rsid w:val="00A31763"/>
    <w:rsid w:val="00A77B3E"/>
    <w:rsid w:val="00AA2684"/>
    <w:rsid w:val="00AC08BD"/>
    <w:rsid w:val="00B27401"/>
    <w:rsid w:val="00B35099"/>
    <w:rsid w:val="00B6795C"/>
    <w:rsid w:val="00BA67A8"/>
    <w:rsid w:val="00BD70DB"/>
    <w:rsid w:val="00BF39A6"/>
    <w:rsid w:val="00C20834"/>
    <w:rsid w:val="00C20A54"/>
    <w:rsid w:val="00C2296D"/>
    <w:rsid w:val="00C45FA0"/>
    <w:rsid w:val="00C50BEC"/>
    <w:rsid w:val="00C82A3E"/>
    <w:rsid w:val="00C92DC3"/>
    <w:rsid w:val="00C93199"/>
    <w:rsid w:val="00CA2A55"/>
    <w:rsid w:val="00CB0862"/>
    <w:rsid w:val="00CD108A"/>
    <w:rsid w:val="00D52054"/>
    <w:rsid w:val="00DA68E1"/>
    <w:rsid w:val="00E00138"/>
    <w:rsid w:val="00E022D1"/>
    <w:rsid w:val="00E05853"/>
    <w:rsid w:val="00E226EF"/>
    <w:rsid w:val="00E36751"/>
    <w:rsid w:val="00E4170A"/>
    <w:rsid w:val="00E619B8"/>
    <w:rsid w:val="00E7204E"/>
    <w:rsid w:val="00E87D76"/>
    <w:rsid w:val="00E95922"/>
    <w:rsid w:val="00EF455B"/>
    <w:rsid w:val="00F0129B"/>
    <w:rsid w:val="00F25145"/>
    <w:rsid w:val="00F45053"/>
    <w:rsid w:val="00F83924"/>
    <w:rsid w:val="00FA2ACD"/>
    <w:rsid w:val="00FA2D37"/>
    <w:rsid w:val="00FE24B7"/>
    <w:rsid w:val="00FF4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64289F"/>
  <w15:docId w15:val="{5A98B6DE-B6B3-4D13-86E6-F53D5CAE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317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31763"/>
    <w:rPr>
      <w:sz w:val="18"/>
      <w:szCs w:val="18"/>
    </w:rPr>
  </w:style>
  <w:style w:type="paragraph" w:styleId="a4">
    <w:name w:val="footer"/>
    <w:basedOn w:val="a"/>
    <w:link w:val="Char0"/>
    <w:uiPriority w:val="99"/>
    <w:unhideWhenUsed/>
    <w:rsid w:val="00A31763"/>
    <w:pPr>
      <w:tabs>
        <w:tab w:val="center" w:pos="4153"/>
        <w:tab w:val="right" w:pos="8306"/>
      </w:tabs>
      <w:snapToGrid w:val="0"/>
    </w:pPr>
    <w:rPr>
      <w:sz w:val="18"/>
      <w:szCs w:val="18"/>
    </w:rPr>
  </w:style>
  <w:style w:type="character" w:customStyle="1" w:styleId="Char0">
    <w:name w:val="页脚 Char"/>
    <w:basedOn w:val="a0"/>
    <w:link w:val="a4"/>
    <w:uiPriority w:val="99"/>
    <w:rsid w:val="00A31763"/>
    <w:rPr>
      <w:sz w:val="18"/>
      <w:szCs w:val="18"/>
    </w:rPr>
  </w:style>
  <w:style w:type="paragraph" w:styleId="a5">
    <w:name w:val="Revision"/>
    <w:hidden/>
    <w:uiPriority w:val="99"/>
    <w:semiHidden/>
    <w:rsid w:val="00FE24B7"/>
    <w:rPr>
      <w:sz w:val="24"/>
      <w:szCs w:val="24"/>
    </w:rPr>
  </w:style>
  <w:style w:type="character" w:styleId="a6">
    <w:name w:val="annotation reference"/>
    <w:basedOn w:val="a0"/>
    <w:semiHidden/>
    <w:unhideWhenUsed/>
    <w:rsid w:val="00E00138"/>
    <w:rPr>
      <w:sz w:val="21"/>
      <w:szCs w:val="21"/>
    </w:rPr>
  </w:style>
  <w:style w:type="paragraph" w:styleId="a7">
    <w:name w:val="annotation text"/>
    <w:basedOn w:val="a"/>
    <w:link w:val="Char1"/>
    <w:semiHidden/>
    <w:unhideWhenUsed/>
    <w:rsid w:val="00E00138"/>
  </w:style>
  <w:style w:type="character" w:customStyle="1" w:styleId="Char1">
    <w:name w:val="批注文字 Char"/>
    <w:basedOn w:val="a0"/>
    <w:link w:val="a7"/>
    <w:semiHidden/>
    <w:rsid w:val="00E00138"/>
    <w:rPr>
      <w:sz w:val="24"/>
      <w:szCs w:val="24"/>
    </w:rPr>
  </w:style>
  <w:style w:type="paragraph" w:styleId="a8">
    <w:name w:val="annotation subject"/>
    <w:basedOn w:val="a7"/>
    <w:next w:val="a7"/>
    <w:link w:val="Char2"/>
    <w:semiHidden/>
    <w:unhideWhenUsed/>
    <w:rsid w:val="00E00138"/>
    <w:rPr>
      <w:b/>
      <w:bCs/>
    </w:rPr>
  </w:style>
  <w:style w:type="character" w:customStyle="1" w:styleId="Char2">
    <w:name w:val="批注主题 Char"/>
    <w:basedOn w:val="Char1"/>
    <w:link w:val="a8"/>
    <w:semiHidden/>
    <w:rsid w:val="00E00138"/>
    <w:rPr>
      <w:b/>
      <w:bCs/>
      <w:sz w:val="24"/>
      <w:szCs w:val="24"/>
    </w:rPr>
  </w:style>
  <w:style w:type="paragraph" w:styleId="a9">
    <w:name w:val="Balloon Text"/>
    <w:basedOn w:val="a"/>
    <w:link w:val="Char3"/>
    <w:rsid w:val="00E00138"/>
    <w:rPr>
      <w:sz w:val="18"/>
      <w:szCs w:val="18"/>
    </w:rPr>
  </w:style>
  <w:style w:type="character" w:customStyle="1" w:styleId="Char3">
    <w:name w:val="批注框文本 Char"/>
    <w:basedOn w:val="a0"/>
    <w:link w:val="a9"/>
    <w:rsid w:val="00E001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097846">
      <w:bodyDiv w:val="1"/>
      <w:marLeft w:val="0"/>
      <w:marRight w:val="0"/>
      <w:marTop w:val="0"/>
      <w:marBottom w:val="0"/>
      <w:divBdr>
        <w:top w:val="none" w:sz="0" w:space="0" w:color="auto"/>
        <w:left w:val="none" w:sz="0" w:space="0" w:color="auto"/>
        <w:bottom w:val="none" w:sz="0" w:space="0" w:color="auto"/>
        <w:right w:val="none" w:sz="0" w:space="0" w:color="auto"/>
      </w:divBdr>
    </w:div>
    <w:div w:id="1073695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fanyi.so.com/?src=onebox"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16/09/relationships/commentsIds" Target="commentsId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5860</Words>
  <Characters>33407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2021-09-12T10:16:00Z</dcterms:created>
  <dcterms:modified xsi:type="dcterms:W3CDTF">2021-09-12T10:22:00Z</dcterms:modified>
</cp:coreProperties>
</file>