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F20D"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 xml:space="preserve">Name of Journal: </w:t>
      </w:r>
      <w:r w:rsidRPr="00B22E92">
        <w:rPr>
          <w:rFonts w:ascii="Book Antiqua" w:eastAsia="Book Antiqua" w:hAnsi="Book Antiqua" w:cs="Book Antiqua"/>
          <w:i/>
          <w:color w:val="000000"/>
        </w:rPr>
        <w:t>World Journal of Gastrointestinal Oncology</w:t>
      </w:r>
    </w:p>
    <w:p w14:paraId="1215A628"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 xml:space="preserve">Manuscript NO: </w:t>
      </w:r>
      <w:r w:rsidRPr="00B22E92">
        <w:rPr>
          <w:rFonts w:ascii="Book Antiqua" w:eastAsia="Book Antiqua" w:hAnsi="Book Antiqua" w:cs="Book Antiqua"/>
          <w:color w:val="000000"/>
        </w:rPr>
        <w:t>69305</w:t>
      </w:r>
    </w:p>
    <w:p w14:paraId="6394004E"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 xml:space="preserve">Manuscript Type: </w:t>
      </w:r>
      <w:r w:rsidRPr="00B22E92">
        <w:rPr>
          <w:rFonts w:ascii="Book Antiqua" w:eastAsia="Book Antiqua" w:hAnsi="Book Antiqua" w:cs="Book Antiqua"/>
          <w:color w:val="000000"/>
        </w:rPr>
        <w:t>MINIREVIEWS</w:t>
      </w:r>
    </w:p>
    <w:p w14:paraId="3FDC9DE2" w14:textId="77777777" w:rsidR="00A77B3E" w:rsidRPr="00B22E92" w:rsidRDefault="00A77B3E" w:rsidP="00B22E92">
      <w:pPr>
        <w:spacing w:line="360" w:lineRule="auto"/>
        <w:jc w:val="both"/>
        <w:rPr>
          <w:rFonts w:ascii="Book Antiqua" w:hAnsi="Book Antiqua"/>
        </w:rPr>
      </w:pPr>
    </w:p>
    <w:p w14:paraId="0DA1B003"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Consensus molecular subtypes of colorectal cancer in clinical practice: A translational approach</w:t>
      </w:r>
    </w:p>
    <w:p w14:paraId="0EEA0C74" w14:textId="77777777" w:rsidR="00A77B3E" w:rsidRPr="00B22E92" w:rsidRDefault="00A77B3E" w:rsidP="00B22E92">
      <w:pPr>
        <w:spacing w:line="360" w:lineRule="auto"/>
        <w:jc w:val="both"/>
        <w:rPr>
          <w:rFonts w:ascii="Book Antiqua" w:hAnsi="Book Antiqua"/>
        </w:rPr>
      </w:pPr>
    </w:p>
    <w:p w14:paraId="43EC7BCF" w14:textId="3F494A9A" w:rsidR="00A77B3E" w:rsidRPr="00B22E92" w:rsidRDefault="00B83EE6" w:rsidP="00B22E92">
      <w:pPr>
        <w:spacing w:line="360" w:lineRule="auto"/>
        <w:jc w:val="both"/>
        <w:rPr>
          <w:rFonts w:ascii="Book Antiqua" w:hAnsi="Book Antiqua"/>
        </w:rPr>
      </w:pPr>
      <w:r w:rsidRPr="00B22E92">
        <w:rPr>
          <w:rFonts w:ascii="Book Antiqua" w:eastAsia="Book Antiqua" w:hAnsi="Book Antiqua" w:cs="Book Antiqua"/>
          <w:color w:val="000000"/>
        </w:rPr>
        <w:t xml:space="preserve">Valenzuela G </w:t>
      </w:r>
      <w:r w:rsidRPr="00B22E92">
        <w:rPr>
          <w:rFonts w:ascii="Book Antiqua" w:eastAsia="Book Antiqua" w:hAnsi="Book Antiqua" w:cs="Book Antiqua"/>
          <w:i/>
          <w:iCs/>
          <w:color w:val="000000"/>
        </w:rPr>
        <w:t>et al</w:t>
      </w:r>
      <w:r w:rsidRPr="00B22E92">
        <w:rPr>
          <w:rFonts w:ascii="Book Antiqua" w:eastAsia="Book Antiqua" w:hAnsi="Book Antiqua" w:cs="Book Antiqua"/>
          <w:color w:val="000000"/>
        </w:rPr>
        <w:t xml:space="preserve">. </w:t>
      </w:r>
      <w:r w:rsidR="000A5288" w:rsidRPr="00B22E92">
        <w:rPr>
          <w:rFonts w:ascii="Book Antiqua" w:eastAsia="Book Antiqua" w:hAnsi="Book Antiqua" w:cs="Book Antiqua"/>
          <w:color w:val="000000"/>
        </w:rPr>
        <w:t>Molecular subtypes in colorectal cancer</w:t>
      </w:r>
    </w:p>
    <w:p w14:paraId="62567A7B" w14:textId="77777777" w:rsidR="00A77B3E" w:rsidRPr="00B22E92" w:rsidRDefault="00A77B3E" w:rsidP="00B22E92">
      <w:pPr>
        <w:spacing w:line="360" w:lineRule="auto"/>
        <w:jc w:val="both"/>
        <w:rPr>
          <w:rFonts w:ascii="Book Antiqua" w:hAnsi="Book Antiqua"/>
        </w:rPr>
      </w:pPr>
    </w:p>
    <w:p w14:paraId="2AA5A90F"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color w:val="000000"/>
        </w:rPr>
        <w:t xml:space="preserve">Guillermo Valenzuela, Joaquín </w:t>
      </w:r>
      <w:proofErr w:type="spellStart"/>
      <w:r w:rsidRPr="00B22E92">
        <w:rPr>
          <w:rFonts w:ascii="Book Antiqua" w:eastAsia="Book Antiqua" w:hAnsi="Book Antiqua" w:cs="Book Antiqua"/>
          <w:color w:val="000000"/>
        </w:rPr>
        <w:t>Canepa</w:t>
      </w:r>
      <w:proofErr w:type="spellEnd"/>
      <w:r w:rsidRPr="00B22E92">
        <w:rPr>
          <w:rFonts w:ascii="Book Antiqua" w:eastAsia="Book Antiqua" w:hAnsi="Book Antiqua" w:cs="Book Antiqua"/>
          <w:color w:val="000000"/>
        </w:rPr>
        <w:t xml:space="preserve">, Carolina Simonetti, Loreto Solo de </w:t>
      </w:r>
      <w:proofErr w:type="spellStart"/>
      <w:r w:rsidRPr="00B22E92">
        <w:rPr>
          <w:rFonts w:ascii="Book Antiqua" w:eastAsia="Book Antiqua" w:hAnsi="Book Antiqua" w:cs="Book Antiqua"/>
          <w:color w:val="000000"/>
        </w:rPr>
        <w:t>Zaldívar</w:t>
      </w:r>
      <w:proofErr w:type="spellEnd"/>
      <w:r w:rsidRPr="00B22E92">
        <w:rPr>
          <w:rFonts w:ascii="Book Antiqua" w:eastAsia="Book Antiqua" w:hAnsi="Book Antiqua" w:cs="Book Antiqua"/>
          <w:color w:val="000000"/>
        </w:rPr>
        <w:t xml:space="preserve">, Katherine </w:t>
      </w:r>
      <w:proofErr w:type="spellStart"/>
      <w:r w:rsidRPr="00B22E92">
        <w:rPr>
          <w:rFonts w:ascii="Book Antiqua" w:eastAsia="Book Antiqua" w:hAnsi="Book Antiqua" w:cs="Book Antiqua"/>
          <w:color w:val="000000"/>
        </w:rPr>
        <w:t>Marcelain</w:t>
      </w:r>
      <w:proofErr w:type="spellEnd"/>
      <w:r w:rsidRPr="00B22E92">
        <w:rPr>
          <w:rFonts w:ascii="Book Antiqua" w:eastAsia="Book Antiqua" w:hAnsi="Book Antiqua" w:cs="Book Antiqua"/>
          <w:color w:val="000000"/>
        </w:rPr>
        <w:t>, Jaime González-Montero</w:t>
      </w:r>
    </w:p>
    <w:p w14:paraId="30537F43" w14:textId="77777777" w:rsidR="00A77B3E" w:rsidRPr="00B22E92" w:rsidRDefault="00A77B3E" w:rsidP="00B22E92">
      <w:pPr>
        <w:spacing w:line="360" w:lineRule="auto"/>
        <w:jc w:val="both"/>
        <w:rPr>
          <w:rFonts w:ascii="Book Antiqua" w:hAnsi="Book Antiqua"/>
        </w:rPr>
      </w:pPr>
    </w:p>
    <w:p w14:paraId="0E460CE0" w14:textId="1F2228E8"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olor w:val="000000"/>
        </w:rPr>
        <w:t xml:space="preserve">Guillermo Valenzuela, Joaquín </w:t>
      </w:r>
      <w:proofErr w:type="spellStart"/>
      <w:r w:rsidRPr="00B22E92">
        <w:rPr>
          <w:rFonts w:ascii="Book Antiqua" w:eastAsia="Book Antiqua" w:hAnsi="Book Antiqua" w:cs="Book Antiqua"/>
          <w:b/>
          <w:bCs/>
          <w:color w:val="000000"/>
        </w:rPr>
        <w:t>Canepa</w:t>
      </w:r>
      <w:proofErr w:type="spellEnd"/>
      <w:r w:rsidRPr="00B22E92">
        <w:rPr>
          <w:rFonts w:ascii="Book Antiqua" w:eastAsia="Book Antiqua" w:hAnsi="Book Antiqua" w:cs="Book Antiqua"/>
          <w:b/>
          <w:bCs/>
          <w:color w:val="000000"/>
        </w:rPr>
        <w:t xml:space="preserve">, Carolina Simonetti, Loreto Solo de </w:t>
      </w:r>
      <w:proofErr w:type="spellStart"/>
      <w:r w:rsidRPr="00B22E92">
        <w:rPr>
          <w:rFonts w:ascii="Book Antiqua" w:eastAsia="Book Antiqua" w:hAnsi="Book Antiqua" w:cs="Book Antiqua"/>
          <w:b/>
          <w:bCs/>
          <w:color w:val="000000"/>
        </w:rPr>
        <w:t>Zaldívar</w:t>
      </w:r>
      <w:proofErr w:type="spellEnd"/>
      <w:r w:rsidRPr="00B22E92">
        <w:rPr>
          <w:rFonts w:ascii="Book Antiqua" w:eastAsia="Book Antiqua" w:hAnsi="Book Antiqua" w:cs="Book Antiqua"/>
          <w:b/>
          <w:bCs/>
          <w:color w:val="000000"/>
        </w:rPr>
        <w:t xml:space="preserve">, Katherine </w:t>
      </w:r>
      <w:proofErr w:type="spellStart"/>
      <w:r w:rsidRPr="00B22E92">
        <w:rPr>
          <w:rFonts w:ascii="Book Antiqua" w:eastAsia="Book Antiqua" w:hAnsi="Book Antiqua" w:cs="Book Antiqua"/>
          <w:b/>
          <w:bCs/>
          <w:color w:val="000000"/>
        </w:rPr>
        <w:t>Marcelain</w:t>
      </w:r>
      <w:proofErr w:type="spellEnd"/>
      <w:r w:rsidRPr="00B22E92">
        <w:rPr>
          <w:rFonts w:ascii="Book Antiqua" w:eastAsia="Book Antiqua" w:hAnsi="Book Antiqua" w:cs="Book Antiqua"/>
          <w:b/>
          <w:bCs/>
          <w:color w:val="000000"/>
        </w:rPr>
        <w:t xml:space="preserve">, </w:t>
      </w:r>
      <w:r w:rsidR="00B83EE6" w:rsidRPr="00B22E92">
        <w:rPr>
          <w:rFonts w:ascii="Book Antiqua" w:eastAsia="Book Antiqua" w:hAnsi="Book Antiqua" w:cs="Book Antiqua"/>
          <w:b/>
          <w:bCs/>
          <w:color w:val="000000"/>
        </w:rPr>
        <w:t xml:space="preserve">Jaime González-Montero, </w:t>
      </w:r>
      <w:r w:rsidRPr="00B22E92">
        <w:rPr>
          <w:rFonts w:ascii="Book Antiqua" w:eastAsia="Book Antiqua" w:hAnsi="Book Antiqua" w:cs="Book Antiqua"/>
          <w:color w:val="000000"/>
        </w:rPr>
        <w:t>Basic and Clinical Oncology Department, University of Chile, Santiago 8380453, Chile</w:t>
      </w:r>
    </w:p>
    <w:p w14:paraId="60B91EE8" w14:textId="77777777" w:rsidR="00A77B3E" w:rsidRPr="00B22E92" w:rsidRDefault="00A77B3E" w:rsidP="00B22E92">
      <w:pPr>
        <w:spacing w:line="360" w:lineRule="auto"/>
        <w:jc w:val="both"/>
        <w:rPr>
          <w:rFonts w:ascii="Book Antiqua" w:hAnsi="Book Antiqua"/>
        </w:rPr>
      </w:pPr>
    </w:p>
    <w:p w14:paraId="38E39D4C" w14:textId="5C779269"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olor w:val="000000"/>
        </w:rPr>
        <w:t xml:space="preserve">Author contributions: </w:t>
      </w:r>
      <w:bookmarkStart w:id="0" w:name="OLE_LINK72"/>
      <w:r w:rsidRPr="00B22E92">
        <w:rPr>
          <w:rStyle w:val="Ninguno"/>
          <w:rFonts w:ascii="Book Antiqua" w:eastAsia="Book Antiqua" w:hAnsi="Book Antiqua" w:cs="Book Antiqua"/>
          <w:color w:val="000000"/>
        </w:rPr>
        <w:t xml:space="preserve">Valenzuela </w:t>
      </w:r>
      <w:r w:rsidRPr="00B22E92">
        <w:rPr>
          <w:rStyle w:val="Ninguno"/>
          <w:rFonts w:ascii="Book Antiqua" w:eastAsia="Book Antiqua" w:hAnsi="Book Antiqua" w:cs="Book Antiqua"/>
          <w:color w:val="000000"/>
          <w:shd w:val="clear" w:color="auto" w:fill="FFFFFF"/>
        </w:rPr>
        <w:t>G wrote this manuscript</w:t>
      </w:r>
      <w:r w:rsidR="00B83EE6" w:rsidRPr="00B22E92">
        <w:rPr>
          <w:rStyle w:val="Ninguno"/>
          <w:rFonts w:ascii="Book Antiqua" w:eastAsia="Book Antiqua" w:hAnsi="Book Antiqua" w:cs="Book Antiqua"/>
          <w:color w:val="000000"/>
          <w:shd w:val="clear" w:color="auto" w:fill="FFFFFF"/>
        </w:rPr>
        <w:t>, created figures and tables;</w:t>
      </w:r>
      <w:r w:rsidRPr="00B22E92">
        <w:rPr>
          <w:rStyle w:val="Ninguno"/>
          <w:rFonts w:ascii="Book Antiqua" w:eastAsia="Book Antiqua" w:hAnsi="Book Antiqua" w:cs="Book Antiqua"/>
          <w:color w:val="000000"/>
          <w:shd w:val="clear" w:color="auto" w:fill="FFFFFF"/>
        </w:rPr>
        <w:t xml:space="preserve"> </w:t>
      </w:r>
      <w:proofErr w:type="spellStart"/>
      <w:r w:rsidRPr="00B22E92">
        <w:rPr>
          <w:rStyle w:val="Ninguno"/>
          <w:rFonts w:ascii="Book Antiqua" w:eastAsia="Book Antiqua" w:hAnsi="Book Antiqua" w:cs="Book Antiqua"/>
          <w:color w:val="000000"/>
        </w:rPr>
        <w:t>Canepa</w:t>
      </w:r>
      <w:proofErr w:type="spellEnd"/>
      <w:r w:rsidRPr="00B22E92">
        <w:rPr>
          <w:rStyle w:val="Ninguno"/>
          <w:rFonts w:ascii="Book Antiqua" w:eastAsia="Book Antiqua" w:hAnsi="Book Antiqua" w:cs="Book Antiqua"/>
          <w:color w:val="000000"/>
          <w:shd w:val="clear" w:color="auto" w:fill="FFFFFF"/>
        </w:rPr>
        <w:t xml:space="preserve"> J, </w:t>
      </w:r>
      <w:r w:rsidR="00C86DAE">
        <w:rPr>
          <w:rStyle w:val="Ninguno"/>
          <w:rFonts w:ascii="Book Antiqua" w:eastAsia="Book Antiqua" w:hAnsi="Book Antiqua" w:cs="Book Antiqua"/>
          <w:color w:val="000000"/>
          <w:shd w:val="clear" w:color="auto" w:fill="FFFFFF"/>
        </w:rPr>
        <w:t xml:space="preserve">Solo de </w:t>
      </w:r>
      <w:proofErr w:type="spellStart"/>
      <w:r w:rsidR="00C86DAE">
        <w:rPr>
          <w:rStyle w:val="Ninguno"/>
          <w:rFonts w:ascii="Book Antiqua" w:eastAsia="Book Antiqua" w:hAnsi="Book Antiqua" w:cs="Book Antiqua"/>
          <w:color w:val="000000"/>
          <w:shd w:val="clear" w:color="auto" w:fill="FFFFFF"/>
        </w:rPr>
        <w:t>Zaldívar</w:t>
      </w:r>
      <w:proofErr w:type="spellEnd"/>
      <w:r w:rsidR="00C86DAE">
        <w:rPr>
          <w:rStyle w:val="Ninguno"/>
          <w:rFonts w:ascii="Book Antiqua" w:eastAsia="Book Antiqua" w:hAnsi="Book Antiqua" w:cs="Book Antiqua"/>
          <w:color w:val="000000"/>
          <w:shd w:val="clear" w:color="auto" w:fill="FFFFFF"/>
        </w:rPr>
        <w:t xml:space="preserve"> L</w:t>
      </w:r>
      <w:r w:rsidRPr="00B22E92">
        <w:rPr>
          <w:rStyle w:val="Ninguno"/>
          <w:rFonts w:ascii="Book Antiqua" w:eastAsia="Book Antiqua" w:hAnsi="Book Antiqua" w:cs="Book Antiqua"/>
          <w:color w:val="000000"/>
          <w:shd w:val="clear" w:color="auto" w:fill="FFFFFF"/>
        </w:rPr>
        <w:t xml:space="preserve">, Simonetti C, </w:t>
      </w:r>
      <w:proofErr w:type="spellStart"/>
      <w:r w:rsidRPr="00B22E92">
        <w:rPr>
          <w:rStyle w:val="Ninguno"/>
          <w:rFonts w:ascii="Book Antiqua" w:eastAsia="Book Antiqua" w:hAnsi="Book Antiqua" w:cs="Book Antiqua"/>
          <w:color w:val="000000"/>
          <w:shd w:val="clear" w:color="auto" w:fill="FFFFFF"/>
        </w:rPr>
        <w:t>Marcelain</w:t>
      </w:r>
      <w:proofErr w:type="spellEnd"/>
      <w:r w:rsidRPr="00B22E92">
        <w:rPr>
          <w:rStyle w:val="Ninguno"/>
          <w:rFonts w:ascii="Book Antiqua" w:eastAsia="Book Antiqua" w:hAnsi="Book Antiqua" w:cs="Book Antiqua"/>
          <w:color w:val="000000"/>
          <w:shd w:val="clear" w:color="auto" w:fill="FFFFFF"/>
        </w:rPr>
        <w:t xml:space="preserve"> K, and González-Montero J collected data and references and critically revised the manuscript</w:t>
      </w:r>
      <w:r w:rsidR="00B83EE6" w:rsidRPr="00B22E92">
        <w:rPr>
          <w:rStyle w:val="Ninguno"/>
          <w:rFonts w:ascii="Book Antiqua" w:eastAsia="Book Antiqua" w:hAnsi="Book Antiqua" w:cs="Book Antiqua"/>
          <w:color w:val="000000"/>
          <w:shd w:val="clear" w:color="auto" w:fill="FFFFFF"/>
        </w:rPr>
        <w:t>;</w:t>
      </w:r>
      <w:r w:rsidRPr="00B22E92">
        <w:rPr>
          <w:rStyle w:val="Ninguno"/>
          <w:rFonts w:ascii="Book Antiqua" w:eastAsia="Book Antiqua" w:hAnsi="Book Antiqua" w:cs="Book Antiqua"/>
          <w:color w:val="000000"/>
          <w:shd w:val="clear" w:color="auto" w:fill="FFFFFF"/>
        </w:rPr>
        <w:t xml:space="preserve"> </w:t>
      </w:r>
      <w:r w:rsidR="00B83EE6" w:rsidRPr="00B22E92">
        <w:rPr>
          <w:rStyle w:val="Ninguno"/>
          <w:rFonts w:ascii="Book Antiqua" w:eastAsia="Book Antiqua" w:hAnsi="Book Antiqua" w:cs="Book Antiqua"/>
          <w:color w:val="000000"/>
          <w:shd w:val="clear" w:color="auto" w:fill="FFFFFF"/>
        </w:rPr>
        <w:t>a</w:t>
      </w:r>
      <w:r w:rsidRPr="00B22E92">
        <w:rPr>
          <w:rStyle w:val="Ninguno"/>
          <w:rFonts w:ascii="Book Antiqua" w:eastAsia="Book Antiqua" w:hAnsi="Book Antiqua" w:cs="Book Antiqua"/>
          <w:color w:val="000000"/>
          <w:shd w:val="clear" w:color="auto" w:fill="FFFFFF"/>
        </w:rPr>
        <w:t>ll authors approved the final version of the manuscript for publication</w:t>
      </w:r>
      <w:r w:rsidR="001277C9">
        <w:rPr>
          <w:rStyle w:val="Ninguno"/>
          <w:rFonts w:ascii="Book Antiqua" w:eastAsia="Book Antiqua" w:hAnsi="Book Antiqua" w:cs="Book Antiqua"/>
          <w:color w:val="000000"/>
          <w:shd w:val="clear" w:color="auto" w:fill="FFFFFF"/>
        </w:rPr>
        <w:t>.</w:t>
      </w:r>
    </w:p>
    <w:bookmarkEnd w:id="0"/>
    <w:p w14:paraId="0F163F7C" w14:textId="77777777" w:rsidR="00A77B3E" w:rsidRPr="00B22E92" w:rsidRDefault="00A77B3E" w:rsidP="00B22E92">
      <w:pPr>
        <w:spacing w:line="360" w:lineRule="auto"/>
        <w:jc w:val="both"/>
        <w:rPr>
          <w:rFonts w:ascii="Book Antiqua" w:hAnsi="Book Antiqua"/>
        </w:rPr>
      </w:pPr>
    </w:p>
    <w:p w14:paraId="638E277A" w14:textId="14252D68"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olor w:val="000000"/>
        </w:rPr>
        <w:t xml:space="preserve">Supported by </w:t>
      </w:r>
      <w:bookmarkStart w:id="1" w:name="OLE_LINK83"/>
      <w:bookmarkStart w:id="2" w:name="OLE_LINK73"/>
      <w:proofErr w:type="spellStart"/>
      <w:r w:rsidR="00DF6BFF" w:rsidRPr="00830F15">
        <w:rPr>
          <w:rFonts w:ascii="Book Antiqua" w:eastAsia="Book Antiqua" w:hAnsi="Book Antiqua" w:cs="Book Antiqua"/>
          <w:color w:val="000000"/>
        </w:rPr>
        <w:t>Agencia</w:t>
      </w:r>
      <w:proofErr w:type="spellEnd"/>
      <w:r w:rsidR="00DF6BFF" w:rsidRPr="00830F15">
        <w:rPr>
          <w:rFonts w:ascii="Book Antiqua" w:eastAsia="Book Antiqua" w:hAnsi="Book Antiqua" w:cs="Book Antiqua"/>
          <w:color w:val="000000"/>
        </w:rPr>
        <w:t xml:space="preserve"> Nacional de </w:t>
      </w:r>
      <w:proofErr w:type="spellStart"/>
      <w:r w:rsidR="00DF6BFF" w:rsidRPr="00830F15">
        <w:rPr>
          <w:rFonts w:ascii="Book Antiqua" w:eastAsia="Book Antiqua" w:hAnsi="Book Antiqua" w:cs="Book Antiqua"/>
          <w:color w:val="000000"/>
        </w:rPr>
        <w:t>Investigación</w:t>
      </w:r>
      <w:proofErr w:type="spellEnd"/>
      <w:r w:rsidR="00DF6BFF" w:rsidRPr="00830F15">
        <w:rPr>
          <w:rFonts w:ascii="Book Antiqua" w:eastAsia="Book Antiqua" w:hAnsi="Book Antiqua" w:cs="Book Antiqua"/>
          <w:color w:val="000000"/>
        </w:rPr>
        <w:t xml:space="preserve"> y Desarrollo de Chile, </w:t>
      </w:r>
      <w:proofErr w:type="spellStart"/>
      <w:r w:rsidR="00DF6BFF" w:rsidRPr="00830F15">
        <w:rPr>
          <w:rFonts w:ascii="Book Antiqua" w:eastAsia="Book Antiqua" w:hAnsi="Book Antiqua" w:cs="Book Antiqua"/>
          <w:color w:val="000000"/>
        </w:rPr>
        <w:t>Fondo</w:t>
      </w:r>
      <w:proofErr w:type="spellEnd"/>
      <w:r w:rsidR="00DF6BFF" w:rsidRPr="00830F15">
        <w:rPr>
          <w:rFonts w:ascii="Book Antiqua" w:eastAsia="Book Antiqua" w:hAnsi="Book Antiqua" w:cs="Book Antiqua"/>
          <w:color w:val="000000"/>
        </w:rPr>
        <w:t xml:space="preserve"> Nacional de </w:t>
      </w:r>
      <w:proofErr w:type="spellStart"/>
      <w:r w:rsidR="00DF6BFF" w:rsidRPr="00830F15">
        <w:rPr>
          <w:rFonts w:ascii="Book Antiqua" w:eastAsia="Book Antiqua" w:hAnsi="Book Antiqua" w:cs="Book Antiqua"/>
          <w:color w:val="000000"/>
        </w:rPr>
        <w:t>Investigación</w:t>
      </w:r>
      <w:proofErr w:type="spellEnd"/>
      <w:r w:rsidR="00DF6BFF" w:rsidRPr="00830F15">
        <w:rPr>
          <w:rFonts w:ascii="Book Antiqua" w:eastAsia="Book Antiqua" w:hAnsi="Book Antiqua" w:cs="Book Antiqua"/>
          <w:color w:val="000000"/>
        </w:rPr>
        <w:t xml:space="preserve"> y Desarrollo </w:t>
      </w:r>
      <w:proofErr w:type="spellStart"/>
      <w:r w:rsidR="00DF6BFF" w:rsidRPr="00830F15">
        <w:rPr>
          <w:rFonts w:ascii="Book Antiqua" w:eastAsia="Book Antiqua" w:hAnsi="Book Antiqua" w:cs="Book Antiqua"/>
          <w:color w:val="000000"/>
        </w:rPr>
        <w:t>en</w:t>
      </w:r>
      <w:proofErr w:type="spellEnd"/>
      <w:r w:rsidR="00DF6BFF" w:rsidRPr="00830F15">
        <w:rPr>
          <w:rFonts w:ascii="Book Antiqua" w:eastAsia="Book Antiqua" w:hAnsi="Book Antiqua" w:cs="Book Antiqua"/>
          <w:color w:val="000000"/>
        </w:rPr>
        <w:t xml:space="preserve"> </w:t>
      </w:r>
      <w:proofErr w:type="spellStart"/>
      <w:r w:rsidR="00DF6BFF" w:rsidRPr="00830F15">
        <w:rPr>
          <w:rFonts w:ascii="Book Antiqua" w:eastAsia="Book Antiqua" w:hAnsi="Book Antiqua" w:cs="Book Antiqua"/>
          <w:color w:val="000000"/>
        </w:rPr>
        <w:t>Salud</w:t>
      </w:r>
      <w:proofErr w:type="spellEnd"/>
      <w:r w:rsidR="00DF6BFF" w:rsidRPr="00830F15">
        <w:rPr>
          <w:rFonts w:ascii="Book Antiqua" w:eastAsia="Book Antiqua" w:hAnsi="Book Antiqua" w:cs="Book Antiqua"/>
          <w:color w:val="000000"/>
        </w:rPr>
        <w:t>, FONIS</w:t>
      </w:r>
      <w:bookmarkEnd w:id="1"/>
      <w:r w:rsidR="00DF6BFF" w:rsidRPr="00830F15">
        <w:rPr>
          <w:rFonts w:ascii="Book Antiqua" w:eastAsia="Book Antiqua" w:hAnsi="Book Antiqua" w:cs="Book Antiqua"/>
          <w:color w:val="000000"/>
        </w:rPr>
        <w:t>,</w:t>
      </w:r>
      <w:r w:rsidR="00DF6BFF" w:rsidRPr="00DF6BFF">
        <w:rPr>
          <w:rStyle w:val="Ninguno"/>
          <w:rFonts w:ascii="Book Antiqua" w:eastAsia="Book Antiqua" w:hAnsi="Book Antiqua" w:cs="Book Antiqua"/>
          <w:b/>
          <w:bCs/>
          <w:color w:val="000000"/>
        </w:rPr>
        <w:t xml:space="preserve"> </w:t>
      </w:r>
      <w:r w:rsidR="00DF6BFF" w:rsidRPr="00830F15">
        <w:rPr>
          <w:rStyle w:val="Ninguno"/>
          <w:rFonts w:ascii="Book Antiqua" w:eastAsia="Book Antiqua" w:hAnsi="Book Antiqua" w:cs="Book Antiqua"/>
          <w:color w:val="000000"/>
        </w:rPr>
        <w:t>No. SA20I0059.</w:t>
      </w:r>
      <w:bookmarkEnd w:id="2"/>
      <w:r w:rsidR="00DF6BFF" w:rsidRPr="00DF6BFF" w:rsidDel="00DF6BFF">
        <w:rPr>
          <w:rStyle w:val="Ninguno"/>
          <w:rFonts w:ascii="Book Antiqua" w:eastAsia="Book Antiqua" w:hAnsi="Book Antiqua" w:cs="Book Antiqua"/>
          <w:color w:val="000000"/>
          <w:shd w:val="clear" w:color="auto" w:fill="FFFFFF"/>
        </w:rPr>
        <w:t xml:space="preserve"> </w:t>
      </w:r>
    </w:p>
    <w:p w14:paraId="5F8D4C55" w14:textId="77777777" w:rsidR="00A77B3E" w:rsidRPr="00B22E92" w:rsidRDefault="00A77B3E" w:rsidP="00B22E92">
      <w:pPr>
        <w:spacing w:line="360" w:lineRule="auto"/>
        <w:jc w:val="both"/>
        <w:rPr>
          <w:rFonts w:ascii="Book Antiqua" w:hAnsi="Book Antiqua"/>
        </w:rPr>
      </w:pPr>
    </w:p>
    <w:p w14:paraId="4AB650FD" w14:textId="150C7864"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olor w:val="000000"/>
        </w:rPr>
        <w:t xml:space="preserve">Corresponding author: Jaime González-Montero, MD, PhD, Assistant Professor, Doctor, </w:t>
      </w:r>
      <w:r w:rsidR="00B83EE6" w:rsidRPr="00B22E92">
        <w:rPr>
          <w:rFonts w:ascii="Book Antiqua" w:eastAsia="Book Antiqua" w:hAnsi="Book Antiqua" w:cs="Book Antiqua"/>
          <w:color w:val="000000"/>
        </w:rPr>
        <w:t xml:space="preserve">Basic and Clinical Oncology Department, University of Chile, </w:t>
      </w:r>
      <w:proofErr w:type="spellStart"/>
      <w:r w:rsidR="00B83EE6" w:rsidRPr="00B22E92">
        <w:rPr>
          <w:rFonts w:ascii="Book Antiqua" w:eastAsia="Book Antiqua" w:hAnsi="Book Antiqua" w:cs="Book Antiqua"/>
          <w:color w:val="000000"/>
        </w:rPr>
        <w:t>Independencia</w:t>
      </w:r>
      <w:proofErr w:type="spellEnd"/>
      <w:r w:rsidR="00B83EE6" w:rsidRPr="00B22E92">
        <w:rPr>
          <w:rFonts w:ascii="Book Antiqua" w:eastAsia="Book Antiqua" w:hAnsi="Book Antiqua" w:cs="Book Antiqua"/>
          <w:color w:val="000000"/>
        </w:rPr>
        <w:t xml:space="preserve"> 1027, </w:t>
      </w:r>
      <w:proofErr w:type="spellStart"/>
      <w:r w:rsidR="00B83EE6" w:rsidRPr="00B22E92">
        <w:rPr>
          <w:rFonts w:ascii="Book Antiqua" w:eastAsia="Book Antiqua" w:hAnsi="Book Antiqua" w:cs="Book Antiqua"/>
          <w:color w:val="000000"/>
        </w:rPr>
        <w:t>Casilla</w:t>
      </w:r>
      <w:proofErr w:type="spellEnd"/>
      <w:r w:rsidR="00B83EE6" w:rsidRPr="00B22E92">
        <w:rPr>
          <w:rFonts w:ascii="Book Antiqua" w:eastAsia="Book Antiqua" w:hAnsi="Book Antiqua" w:cs="Book Antiqua"/>
          <w:color w:val="000000"/>
        </w:rPr>
        <w:t xml:space="preserve"> 70058,</w:t>
      </w:r>
      <w:r w:rsidR="00E74605" w:rsidRPr="00B22E92">
        <w:rPr>
          <w:rFonts w:ascii="Book Antiqua" w:eastAsia="Book Antiqua" w:hAnsi="Book Antiqua" w:cs="Book Antiqua"/>
          <w:color w:val="000000"/>
        </w:rPr>
        <w:t xml:space="preserve"> </w:t>
      </w:r>
      <w:r w:rsidR="00B83EE6" w:rsidRPr="00B22E92">
        <w:rPr>
          <w:rFonts w:ascii="Book Antiqua" w:eastAsia="Book Antiqua" w:hAnsi="Book Antiqua" w:cs="Book Antiqua"/>
          <w:color w:val="000000"/>
        </w:rPr>
        <w:t>Santiago 8380453, Chile</w:t>
      </w:r>
      <w:r w:rsidR="00E74605" w:rsidRPr="00B22E92">
        <w:rPr>
          <w:rFonts w:ascii="Book Antiqua" w:eastAsia="Book Antiqua" w:hAnsi="Book Antiqua" w:cs="Book Antiqua"/>
          <w:color w:val="000000"/>
        </w:rPr>
        <w:t>.</w:t>
      </w:r>
      <w:r w:rsidR="00E74605" w:rsidRPr="00B22E92">
        <w:rPr>
          <w:rFonts w:ascii="Book Antiqua" w:hAnsi="Book Antiqua"/>
          <w:lang w:eastAsia="zh-CN"/>
        </w:rPr>
        <w:t xml:space="preserve"> </w:t>
      </w:r>
      <w:r w:rsidRPr="00B22E92">
        <w:rPr>
          <w:rFonts w:ascii="Book Antiqua" w:eastAsia="Book Antiqua" w:hAnsi="Book Antiqua" w:cs="Book Antiqua"/>
          <w:color w:val="000000"/>
        </w:rPr>
        <w:t>jagonzalez@ug.uchile.cl</w:t>
      </w:r>
    </w:p>
    <w:p w14:paraId="4F4DDA44" w14:textId="77777777" w:rsidR="00A77B3E" w:rsidRPr="00B22E92" w:rsidRDefault="00A77B3E" w:rsidP="00B22E92">
      <w:pPr>
        <w:spacing w:line="360" w:lineRule="auto"/>
        <w:jc w:val="both"/>
        <w:rPr>
          <w:rFonts w:ascii="Book Antiqua" w:hAnsi="Book Antiqua"/>
        </w:rPr>
      </w:pPr>
    </w:p>
    <w:p w14:paraId="78BB532B"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olor w:val="000000"/>
        </w:rPr>
        <w:t xml:space="preserve">Received: </w:t>
      </w:r>
      <w:r w:rsidRPr="00B22E92">
        <w:rPr>
          <w:rFonts w:ascii="Book Antiqua" w:eastAsia="Book Antiqua" w:hAnsi="Book Antiqua" w:cs="Book Antiqua"/>
          <w:color w:val="000000"/>
        </w:rPr>
        <w:t>June 24, 2021</w:t>
      </w:r>
    </w:p>
    <w:p w14:paraId="45728B1D" w14:textId="27CA376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olor w:val="000000"/>
        </w:rPr>
        <w:lastRenderedPageBreak/>
        <w:t xml:space="preserve">Revised: </w:t>
      </w:r>
      <w:r w:rsidR="00E74605" w:rsidRPr="00B22E92">
        <w:rPr>
          <w:rFonts w:ascii="Book Antiqua" w:eastAsia="Book Antiqua" w:hAnsi="Book Antiqua" w:cs="Book Antiqua"/>
          <w:color w:val="000000"/>
        </w:rPr>
        <w:t>August 11, 2021</w:t>
      </w:r>
    </w:p>
    <w:p w14:paraId="564F9FFD" w14:textId="10FA4EBD"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olor w:val="000000"/>
        </w:rPr>
        <w:t xml:space="preserve">Accepted: </w:t>
      </w:r>
      <w:r w:rsidR="009D4E25" w:rsidRPr="00D762A5">
        <w:rPr>
          <w:rFonts w:ascii="Book Antiqua" w:eastAsia="宋体" w:hAnsi="Book Antiqua" w:cs="Book Antiqua"/>
          <w:color w:val="000000" w:themeColor="text1"/>
        </w:rPr>
        <w:t>September 19, 2021</w:t>
      </w:r>
    </w:p>
    <w:p w14:paraId="010E343A" w14:textId="77777777" w:rsidR="00E74605" w:rsidRPr="00B22E92" w:rsidRDefault="000A5288" w:rsidP="00B22E92">
      <w:pPr>
        <w:spacing w:line="360" w:lineRule="auto"/>
        <w:jc w:val="both"/>
        <w:rPr>
          <w:rFonts w:ascii="Book Antiqua" w:eastAsia="Book Antiqua" w:hAnsi="Book Antiqua" w:cs="Book Antiqua"/>
          <w:b/>
          <w:bCs/>
          <w:color w:val="000000"/>
        </w:rPr>
      </w:pPr>
      <w:r w:rsidRPr="00B22E92">
        <w:rPr>
          <w:rFonts w:ascii="Book Antiqua" w:eastAsia="Book Antiqua" w:hAnsi="Book Antiqua" w:cs="Book Antiqua"/>
          <w:b/>
          <w:bCs/>
          <w:color w:val="000000"/>
        </w:rPr>
        <w:t>Published online:</w:t>
      </w:r>
    </w:p>
    <w:p w14:paraId="71596AAA" w14:textId="77777777" w:rsidR="00E74605" w:rsidRPr="00B22E92" w:rsidRDefault="00E74605" w:rsidP="00B22E92">
      <w:pPr>
        <w:spacing w:line="360" w:lineRule="auto"/>
        <w:jc w:val="both"/>
        <w:rPr>
          <w:rFonts w:ascii="Book Antiqua" w:eastAsia="Book Antiqua" w:hAnsi="Book Antiqua" w:cs="Book Antiqua"/>
          <w:b/>
          <w:bCs/>
          <w:color w:val="000000"/>
        </w:rPr>
      </w:pPr>
    </w:p>
    <w:p w14:paraId="7D46036E" w14:textId="39865436"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Abstract</w:t>
      </w:r>
    </w:p>
    <w:p w14:paraId="01FE9078" w14:textId="1B987CFF" w:rsidR="00A77B3E" w:rsidRPr="00B22E92" w:rsidRDefault="000A5288" w:rsidP="00B22E92">
      <w:pPr>
        <w:spacing w:line="360" w:lineRule="auto"/>
        <w:jc w:val="both"/>
        <w:rPr>
          <w:rFonts w:ascii="Book Antiqua" w:hAnsi="Book Antiqua"/>
        </w:rPr>
      </w:pPr>
      <w:bookmarkStart w:id="3" w:name="OLE_LINK76"/>
      <w:r w:rsidRPr="00B22E92">
        <w:rPr>
          <w:rFonts w:ascii="Book Antiqua" w:eastAsia="Book Antiqua" w:hAnsi="Book Antiqua" w:cs="Book Antiqua"/>
          <w:color w:val="000000"/>
        </w:rPr>
        <w:t xml:space="preserve">The identification of several genetic mutations in colorectal cancer (CRC) has allowed a better comprehension of the prognosis and response to different antineoplastic treatments. Recently, through a systematic process, consensus molecular subtypes (CMS) have been described to characterize genetic and molecular mutations in CRC patients. Through CMS, CRC patients can be categorized into four molecular subtypes of CRC by wide transcriptional genome analysis. CMS1 has microsatellite instability and mutations in CIMP and BRAF pathways. CMS2, distinguished by mutations in specific pathways linked to cellular metabolism, also has a better prognosis. CMS3 has a KRAS mutation as a hallmark. CMS4 presents mutations in fibrogenesis pathways and mesenchymal–epithelial transition, associated with a worse prognosis. CMS classification can be a meaningful step in providing possible answers to important issues in CRC, such as the use of adjuvant chemotherapy in stage II, personalized first-line chemotherapy for </w:t>
      </w:r>
      <w:proofErr w:type="spellStart"/>
      <w:r w:rsidR="002240DB" w:rsidRPr="00B22E92">
        <w:rPr>
          <w:rFonts w:ascii="Book Antiqua" w:eastAsia="Book Antiqua" w:hAnsi="Book Antiqua" w:cs="Book Antiqua"/>
          <w:color w:val="000000"/>
        </w:rPr>
        <w:t>metastasic</w:t>
      </w:r>
      <w:proofErr w:type="spellEnd"/>
      <w:r w:rsidR="002240DB" w:rsidRPr="00B22E92">
        <w:rPr>
          <w:rFonts w:ascii="Book Antiqua" w:eastAsia="Book Antiqua" w:hAnsi="Book Antiqua" w:cs="Book Antiqua"/>
          <w:color w:val="000000"/>
        </w:rPr>
        <w:t xml:space="preserve"> </w:t>
      </w:r>
      <w:r w:rsidRPr="00B22E92">
        <w:rPr>
          <w:rFonts w:ascii="Book Antiqua" w:eastAsia="Book Antiqua" w:hAnsi="Book Antiqua" w:cs="Book Antiqua"/>
          <w:color w:val="000000"/>
        </w:rPr>
        <w:t>CRC, and possible new target treatments that address specific pathways in each molecular subtype. Understanding CMS is a crucial step in personalized medicine, although prospective clinical trials selecting patients by CMS are required to pass proof-of-concept before becoming a routine clinical tool in oncology routine</w:t>
      </w:r>
      <w:r w:rsidR="002240DB" w:rsidRPr="00B22E92">
        <w:rPr>
          <w:rFonts w:ascii="Book Antiqua" w:eastAsia="Book Antiqua" w:hAnsi="Book Antiqua" w:cs="Book Antiqua"/>
          <w:color w:val="000000"/>
        </w:rPr>
        <w:t xml:space="preserve"> care</w:t>
      </w:r>
      <w:r w:rsidRPr="00B22E92">
        <w:rPr>
          <w:rFonts w:ascii="Book Antiqua" w:eastAsia="Book Antiqua" w:hAnsi="Book Antiqua" w:cs="Book Antiqua"/>
          <w:color w:val="000000"/>
        </w:rPr>
        <w:t>.</w:t>
      </w:r>
    </w:p>
    <w:bookmarkEnd w:id="3"/>
    <w:p w14:paraId="1DF908AA" w14:textId="77777777" w:rsidR="00A77B3E" w:rsidRPr="00B22E92" w:rsidRDefault="00A77B3E" w:rsidP="00B22E92">
      <w:pPr>
        <w:spacing w:line="360" w:lineRule="auto"/>
        <w:jc w:val="both"/>
        <w:rPr>
          <w:rFonts w:ascii="Book Antiqua" w:hAnsi="Book Antiqua"/>
        </w:rPr>
      </w:pPr>
    </w:p>
    <w:p w14:paraId="75CE16A8" w14:textId="4E7A5DBB"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olor w:val="000000"/>
        </w:rPr>
        <w:t xml:space="preserve">Key Words: </w:t>
      </w:r>
      <w:bookmarkStart w:id="4" w:name="OLE_LINK74"/>
      <w:r w:rsidRPr="00B22E92">
        <w:rPr>
          <w:rFonts w:ascii="Book Antiqua" w:eastAsia="Book Antiqua" w:hAnsi="Book Antiqua" w:cs="Book Antiqua"/>
          <w:color w:val="000000"/>
        </w:rPr>
        <w:t>Colorectal neoplasms; Precision medicine; Microsatellite instability; Next-</w:t>
      </w:r>
      <w:r w:rsidR="002240DB" w:rsidRPr="00B22E92">
        <w:rPr>
          <w:rFonts w:ascii="Book Antiqua" w:eastAsia="Book Antiqua" w:hAnsi="Book Antiqua" w:cs="Book Antiqua"/>
          <w:color w:val="000000"/>
        </w:rPr>
        <w:t>generation sequencing</w:t>
      </w:r>
      <w:bookmarkEnd w:id="4"/>
    </w:p>
    <w:p w14:paraId="7E482503" w14:textId="77777777" w:rsidR="00A77B3E" w:rsidRPr="00B22E92" w:rsidRDefault="00A77B3E" w:rsidP="00B22E92">
      <w:pPr>
        <w:spacing w:line="360" w:lineRule="auto"/>
        <w:jc w:val="both"/>
        <w:rPr>
          <w:rFonts w:ascii="Book Antiqua" w:hAnsi="Book Antiqua"/>
        </w:rPr>
      </w:pPr>
    </w:p>
    <w:p w14:paraId="30C0D934"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color w:val="000000"/>
        </w:rPr>
        <w:t xml:space="preserve">Valenzuela G, </w:t>
      </w:r>
      <w:proofErr w:type="spellStart"/>
      <w:r w:rsidRPr="00B22E92">
        <w:rPr>
          <w:rFonts w:ascii="Book Antiqua" w:eastAsia="Book Antiqua" w:hAnsi="Book Antiqua" w:cs="Book Antiqua"/>
          <w:color w:val="000000"/>
        </w:rPr>
        <w:t>Canepa</w:t>
      </w:r>
      <w:proofErr w:type="spellEnd"/>
      <w:r w:rsidRPr="00B22E92">
        <w:rPr>
          <w:rFonts w:ascii="Book Antiqua" w:eastAsia="Book Antiqua" w:hAnsi="Book Antiqua" w:cs="Book Antiqua"/>
          <w:color w:val="000000"/>
        </w:rPr>
        <w:t xml:space="preserve"> J, Simonetti C, Solo de </w:t>
      </w:r>
      <w:proofErr w:type="spellStart"/>
      <w:r w:rsidRPr="00B22E92">
        <w:rPr>
          <w:rFonts w:ascii="Book Antiqua" w:eastAsia="Book Antiqua" w:hAnsi="Book Antiqua" w:cs="Book Antiqua"/>
          <w:color w:val="000000"/>
        </w:rPr>
        <w:t>Zaldívar</w:t>
      </w:r>
      <w:proofErr w:type="spellEnd"/>
      <w:r w:rsidRPr="00B22E92">
        <w:rPr>
          <w:rFonts w:ascii="Book Antiqua" w:eastAsia="Book Antiqua" w:hAnsi="Book Antiqua" w:cs="Book Antiqua"/>
          <w:color w:val="000000"/>
        </w:rPr>
        <w:t xml:space="preserve"> L, </w:t>
      </w:r>
      <w:proofErr w:type="spellStart"/>
      <w:r w:rsidRPr="00B22E92">
        <w:rPr>
          <w:rFonts w:ascii="Book Antiqua" w:eastAsia="Book Antiqua" w:hAnsi="Book Antiqua" w:cs="Book Antiqua"/>
          <w:color w:val="000000"/>
        </w:rPr>
        <w:t>Marcelain</w:t>
      </w:r>
      <w:proofErr w:type="spellEnd"/>
      <w:r w:rsidRPr="00B22E92">
        <w:rPr>
          <w:rFonts w:ascii="Book Antiqua" w:eastAsia="Book Antiqua" w:hAnsi="Book Antiqua" w:cs="Book Antiqua"/>
          <w:color w:val="000000"/>
        </w:rPr>
        <w:t xml:space="preserve"> K, González-Montero J. Consensus molecular subtypes of colorectal cancer in clinical practice: A translational approach. </w:t>
      </w:r>
      <w:r w:rsidRPr="00B22E92">
        <w:rPr>
          <w:rFonts w:ascii="Book Antiqua" w:eastAsia="Book Antiqua" w:hAnsi="Book Antiqua" w:cs="Book Antiqua"/>
          <w:i/>
          <w:iCs/>
          <w:color w:val="000000"/>
        </w:rPr>
        <w:t xml:space="preserve">World J </w:t>
      </w:r>
      <w:proofErr w:type="spellStart"/>
      <w:r w:rsidRPr="00B22E92">
        <w:rPr>
          <w:rFonts w:ascii="Book Antiqua" w:eastAsia="Book Antiqua" w:hAnsi="Book Antiqua" w:cs="Book Antiqua"/>
          <w:i/>
          <w:iCs/>
          <w:color w:val="000000"/>
        </w:rPr>
        <w:t>Gastrointest</w:t>
      </w:r>
      <w:proofErr w:type="spellEnd"/>
      <w:r w:rsidRPr="00B22E92">
        <w:rPr>
          <w:rFonts w:ascii="Book Antiqua" w:eastAsia="Book Antiqua" w:hAnsi="Book Antiqua" w:cs="Book Antiqua"/>
          <w:i/>
          <w:iCs/>
          <w:color w:val="000000"/>
        </w:rPr>
        <w:t xml:space="preserve"> Oncol</w:t>
      </w:r>
      <w:r w:rsidRPr="00B22E92">
        <w:rPr>
          <w:rFonts w:ascii="Book Antiqua" w:eastAsia="Book Antiqua" w:hAnsi="Book Antiqua" w:cs="Book Antiqua"/>
          <w:color w:val="000000"/>
        </w:rPr>
        <w:t xml:space="preserve"> 2021; In press</w:t>
      </w:r>
    </w:p>
    <w:p w14:paraId="71597621" w14:textId="77777777" w:rsidR="00A77B3E" w:rsidRPr="00B22E92" w:rsidRDefault="00A77B3E" w:rsidP="00B22E92">
      <w:pPr>
        <w:spacing w:line="360" w:lineRule="auto"/>
        <w:jc w:val="both"/>
        <w:rPr>
          <w:rFonts w:ascii="Book Antiqua" w:hAnsi="Book Antiqua"/>
        </w:rPr>
      </w:pPr>
    </w:p>
    <w:p w14:paraId="1015D2D1"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olor w:val="000000"/>
        </w:rPr>
        <w:t xml:space="preserve">Core Tip: </w:t>
      </w:r>
      <w:bookmarkStart w:id="5" w:name="OLE_LINK75"/>
      <w:r w:rsidRPr="00B22E92">
        <w:rPr>
          <w:rFonts w:ascii="Book Antiqua" w:eastAsia="Book Antiqua" w:hAnsi="Book Antiqua" w:cs="Book Antiqua"/>
          <w:color w:val="000000"/>
        </w:rPr>
        <w:t>Colorectal cancer has a variable response to different treatments that could be explained by genetic and molecular heterogeneity in the neoplasm. Recently, a novel classification according to consensus molecular subtype has been proposed to explain this neoplasm heterogeneity. From a clinical oncology perspective, this classification opens opportunities to resolve some current clinical questions in the treatment of colorectal cancer.</w:t>
      </w:r>
    </w:p>
    <w:bookmarkEnd w:id="5"/>
    <w:p w14:paraId="30455519" w14:textId="77777777" w:rsidR="00A77B3E" w:rsidRPr="00B22E92" w:rsidRDefault="00A77B3E" w:rsidP="00B22E92">
      <w:pPr>
        <w:spacing w:line="360" w:lineRule="auto"/>
        <w:jc w:val="both"/>
        <w:rPr>
          <w:rFonts w:ascii="Book Antiqua" w:hAnsi="Book Antiqua"/>
        </w:rPr>
      </w:pPr>
    </w:p>
    <w:p w14:paraId="6EDE6A42"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aps/>
          <w:color w:val="000000"/>
          <w:u w:val="single"/>
        </w:rPr>
        <w:t>INTRODUCTION</w:t>
      </w:r>
    </w:p>
    <w:p w14:paraId="659F5F6F" w14:textId="25F7D3DA" w:rsidR="00A77B3E" w:rsidRPr="00B22E92" w:rsidRDefault="000A5288" w:rsidP="00B22E92">
      <w:pPr>
        <w:spacing w:line="360" w:lineRule="auto"/>
        <w:jc w:val="both"/>
        <w:rPr>
          <w:rFonts w:ascii="Book Antiqua" w:hAnsi="Book Antiqua"/>
        </w:rPr>
      </w:pPr>
      <w:bookmarkStart w:id="6" w:name="OLE_LINK77"/>
      <w:r w:rsidRPr="00B22E92">
        <w:rPr>
          <w:rFonts w:ascii="Book Antiqua" w:eastAsia="Book Antiqua" w:hAnsi="Book Antiqua" w:cs="Book Antiqua"/>
          <w:color w:val="000000"/>
        </w:rPr>
        <w:t xml:space="preserve">Colorectal cancer (CRC) is the second leading cause of death by cancer </w:t>
      </w:r>
      <w:proofErr w:type="gramStart"/>
      <w:r w:rsidRPr="00B22E92">
        <w:rPr>
          <w:rFonts w:ascii="Book Antiqua" w:eastAsia="Book Antiqua" w:hAnsi="Book Antiqua" w:cs="Book Antiqua"/>
          <w:color w:val="000000"/>
        </w:rPr>
        <w:t>worldwide</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1]</w:t>
      </w:r>
      <w:r w:rsidRPr="00B22E92">
        <w:rPr>
          <w:rFonts w:ascii="Book Antiqua" w:eastAsia="Book Antiqua" w:hAnsi="Book Antiqua" w:cs="Book Antiqua"/>
          <w:color w:val="000000"/>
        </w:rPr>
        <w:t xml:space="preserve">. Despite important advances in early diagnosis and management, 25% of patients debut in metastatic stages and 50% localized stages, later presenting disseminated </w:t>
      </w:r>
      <w:proofErr w:type="gramStart"/>
      <w:r w:rsidRPr="00B22E92">
        <w:rPr>
          <w:rFonts w:ascii="Book Antiqua" w:eastAsia="Book Antiqua" w:hAnsi="Book Antiqua" w:cs="Book Antiqua"/>
          <w:color w:val="000000"/>
        </w:rPr>
        <w:t>disease</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w:t>
      </w:r>
      <w:r w:rsidRPr="00B22E92">
        <w:rPr>
          <w:rFonts w:ascii="Book Antiqua" w:eastAsia="Book Antiqua" w:hAnsi="Book Antiqua" w:cs="Book Antiqua"/>
          <w:color w:val="000000"/>
        </w:rPr>
        <w:t xml:space="preserve">. Currently, CRC management is based on </w:t>
      </w:r>
      <w:bookmarkStart w:id="7" w:name="OLE_LINK1"/>
      <w:r w:rsidR="002240DB" w:rsidRPr="00B22E92">
        <w:rPr>
          <w:rFonts w:ascii="Book Antiqua" w:eastAsia="Book Antiqua" w:hAnsi="Book Antiqua" w:cs="Book Antiqua"/>
          <w:color w:val="000000"/>
        </w:rPr>
        <w:t>tumor-node-metastasis (</w:t>
      </w:r>
      <w:r w:rsidRPr="00B22E92">
        <w:rPr>
          <w:rFonts w:ascii="Book Antiqua" w:eastAsia="Book Antiqua" w:hAnsi="Book Antiqua" w:cs="Book Antiqua"/>
          <w:color w:val="000000"/>
        </w:rPr>
        <w:t>TNM</w:t>
      </w:r>
      <w:bookmarkEnd w:id="7"/>
      <w:r w:rsidR="002240DB" w:rsidRPr="00B22E92">
        <w:rPr>
          <w:rFonts w:ascii="Book Antiqua" w:eastAsia="Book Antiqua" w:hAnsi="Book Antiqua" w:cs="Book Antiqua"/>
          <w:color w:val="000000"/>
        </w:rPr>
        <w:t>)</w:t>
      </w:r>
      <w:r w:rsidRPr="00B22E92">
        <w:rPr>
          <w:rFonts w:ascii="Book Antiqua" w:eastAsia="Book Antiqua" w:hAnsi="Book Antiqua" w:cs="Book Antiqua"/>
          <w:color w:val="000000"/>
        </w:rPr>
        <w:t xml:space="preserve"> system staging, and in recent years, on several genetic mutations such as microsatellite instability (MSI), KRAS/NRAS, and BRAF. These mutations have a role in selecting better candidates for certain systemic </w:t>
      </w:r>
      <w:proofErr w:type="gramStart"/>
      <w:r w:rsidRPr="00B22E92">
        <w:rPr>
          <w:rFonts w:ascii="Book Antiqua" w:eastAsia="Book Antiqua" w:hAnsi="Book Antiqua" w:cs="Book Antiqua"/>
          <w:color w:val="000000"/>
        </w:rPr>
        <w:t>therapies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3,4]</w:t>
      </w:r>
      <w:r w:rsidRPr="00B22E92">
        <w:rPr>
          <w:rFonts w:ascii="Book Antiqua" w:eastAsia="Book Antiqua" w:hAnsi="Book Antiqua" w:cs="Book Antiqua"/>
          <w:color w:val="000000"/>
        </w:rPr>
        <w:t xml:space="preserve">. Improvements in classic systemic therapies for CRC have allowed more effective and tolerable chemotherapy regimens, mainly based on fluoropyrimidines with oxaliplatin and/or irinotecan. Proposing novel target therapies is also possible for selected </w:t>
      </w:r>
      <w:proofErr w:type="gramStart"/>
      <w:r w:rsidRPr="00B22E92">
        <w:rPr>
          <w:rFonts w:ascii="Book Antiqua" w:eastAsia="Book Antiqua" w:hAnsi="Book Antiqua" w:cs="Book Antiqua"/>
          <w:color w:val="000000"/>
        </w:rPr>
        <w:t>patients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5,6]</w:t>
      </w:r>
      <w:r w:rsidRPr="00B22E92">
        <w:rPr>
          <w:rFonts w:ascii="Book Antiqua" w:eastAsia="Book Antiqua" w:hAnsi="Book Antiqua" w:cs="Book Antiqua"/>
          <w:color w:val="000000"/>
        </w:rPr>
        <w:t>.</w:t>
      </w:r>
    </w:p>
    <w:p w14:paraId="2E1D1019" w14:textId="6ECB3149"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t xml:space="preserve">A new paradigm has resulted from the problem of heterogeneity of </w:t>
      </w:r>
      <w:proofErr w:type="gramStart"/>
      <w:r w:rsidRPr="00B22E92">
        <w:rPr>
          <w:rFonts w:ascii="Book Antiqua" w:eastAsia="Book Antiqua" w:hAnsi="Book Antiqua" w:cs="Book Antiqua"/>
          <w:color w:val="000000"/>
        </w:rPr>
        <w:t>CRC</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7]</w:t>
      </w:r>
      <w:r w:rsidR="002240DB" w:rsidRPr="00B22E92">
        <w:rPr>
          <w:rFonts w:ascii="Book Antiqua" w:eastAsia="Book Antiqua" w:hAnsi="Book Antiqua" w:cs="Book Antiqua"/>
          <w:color w:val="000000"/>
        </w:rPr>
        <w:t>,</w:t>
      </w:r>
      <w:r w:rsidRPr="00B22E92">
        <w:rPr>
          <w:rFonts w:ascii="Book Antiqua" w:eastAsia="Book Antiqua" w:hAnsi="Book Antiqua" w:cs="Book Antiqua"/>
          <w:color w:val="000000"/>
        </w:rPr>
        <w:t xml:space="preserve"> which explains the significant impact of variable responses to classic systemic therapies. Thus, some patients present satisfactory and sustained responses. In contrast, other patients with CRC present low response rates to standard therapies, with rapidly progressive disease and high mortality. It has been argued that one way to approach this paradigm is through the characterization and creation of a framework based on genetic and molecular characteristics to explain the heterogeneity of colon cancer. Recently, a major initiative has emerged to describe CRC heterogeneity. The consensus molecular subtypes (CMS) provide a systematic way to classify CRC into four molecular subtypes according to their molecular and genetic </w:t>
      </w:r>
      <w:proofErr w:type="gramStart"/>
      <w:r w:rsidRPr="00B22E92">
        <w:rPr>
          <w:rFonts w:ascii="Book Antiqua" w:eastAsia="Book Antiqua" w:hAnsi="Book Antiqua" w:cs="Book Antiqua"/>
          <w:color w:val="000000"/>
        </w:rPr>
        <w:t>profile</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8]</w:t>
      </w:r>
      <w:r w:rsidRPr="00B22E92">
        <w:rPr>
          <w:rFonts w:ascii="Book Antiqua" w:eastAsia="Book Antiqua" w:hAnsi="Book Antiqua" w:cs="Book Antiqua"/>
          <w:color w:val="000000"/>
        </w:rPr>
        <w:t>.</w:t>
      </w:r>
    </w:p>
    <w:p w14:paraId="2BFF62B4" w14:textId="259C4B00"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lastRenderedPageBreak/>
        <w:t xml:space="preserve">Characterizing molecular subtypes in the CRC could optimize the management of these patients. Through knowledge of the biology of the disease, we could better predict the response to therapeutic alternatives to select the most appropriate therapy for each </w:t>
      </w:r>
      <w:proofErr w:type="gramStart"/>
      <w:r w:rsidRPr="00B22E92">
        <w:rPr>
          <w:rFonts w:ascii="Book Antiqua" w:eastAsia="Book Antiqua" w:hAnsi="Book Antiqua" w:cs="Book Antiqua"/>
          <w:color w:val="000000"/>
        </w:rPr>
        <w:t>patient</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9,10]</w:t>
      </w:r>
      <w:r w:rsidR="002240DB" w:rsidRPr="00B22E92">
        <w:rPr>
          <w:rFonts w:ascii="Book Antiqua" w:eastAsia="Book Antiqua" w:hAnsi="Book Antiqua" w:cs="Book Antiqua"/>
          <w:color w:val="000000"/>
        </w:rPr>
        <w:t>.</w:t>
      </w:r>
      <w:r w:rsidRPr="00B22E92">
        <w:rPr>
          <w:rFonts w:ascii="Book Antiqua" w:eastAsia="Book Antiqua" w:hAnsi="Book Antiqua" w:cs="Book Antiqua"/>
          <w:color w:val="000000"/>
        </w:rPr>
        <w:t xml:space="preserve"> This approach is a crucial step in the development of personalized therapies in this disease. In this context, the current review aims to present a translational approach for routine oncology clinical practice regarding the implications of CMS classification with a focus on prognosis and promising novel antineoplastic agents in different stages of CRC.</w:t>
      </w:r>
    </w:p>
    <w:bookmarkEnd w:id="6"/>
    <w:p w14:paraId="7F7A6223" w14:textId="77777777" w:rsidR="00A77B3E" w:rsidRPr="00B22E92" w:rsidRDefault="00A77B3E" w:rsidP="00B22E92">
      <w:pPr>
        <w:spacing w:line="360" w:lineRule="auto"/>
        <w:jc w:val="both"/>
        <w:rPr>
          <w:rFonts w:ascii="Book Antiqua" w:hAnsi="Book Antiqua"/>
        </w:rPr>
      </w:pPr>
    </w:p>
    <w:p w14:paraId="1513D540" w14:textId="49716DF5"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aps/>
          <w:color w:val="000000"/>
          <w:u w:val="single"/>
        </w:rPr>
        <w:t>CHARACTERISTICS OF EACH C</w:t>
      </w:r>
      <w:r w:rsidR="002240DB" w:rsidRPr="00B22E92">
        <w:rPr>
          <w:rFonts w:ascii="Book Antiqua" w:eastAsia="Book Antiqua" w:hAnsi="Book Antiqua" w:cs="Book Antiqua"/>
          <w:b/>
          <w:bCs/>
          <w:caps/>
          <w:color w:val="000000"/>
          <w:u w:val="single"/>
        </w:rPr>
        <w:t>MS</w:t>
      </w:r>
    </w:p>
    <w:p w14:paraId="34E8A788" w14:textId="1F8EE716"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color w:val="000000"/>
        </w:rPr>
        <w:t xml:space="preserve">In recent years, different models have been proposed based on genetic, molecular, epigenetic, and phenotypic profiles to explain the heterogeneity of </w:t>
      </w:r>
      <w:proofErr w:type="gramStart"/>
      <w:r w:rsidRPr="00B22E92">
        <w:rPr>
          <w:rFonts w:ascii="Book Antiqua" w:eastAsia="Book Antiqua" w:hAnsi="Book Antiqua" w:cs="Book Antiqua"/>
          <w:color w:val="000000"/>
        </w:rPr>
        <w:t>CRC</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11–15]</w:t>
      </w:r>
      <w:r w:rsidRPr="00B22E92">
        <w:rPr>
          <w:rFonts w:ascii="Book Antiqua" w:eastAsia="Book Antiqua" w:hAnsi="Book Antiqua" w:cs="Book Antiqua"/>
          <w:color w:val="000000"/>
        </w:rPr>
        <w:t xml:space="preserve">, obtaining different molecular classifications with different clinical outcomes. A major collaborative effort to integrate all CRC classifications into a single model was identified by experts from the CRC Subtyping Consortium through the analysis of six independent classification studies, obtaining a CRC classification of four </w:t>
      </w:r>
      <w:proofErr w:type="gramStart"/>
      <w:r w:rsidRPr="00B22E92">
        <w:rPr>
          <w:rFonts w:ascii="Book Antiqua" w:eastAsia="Book Antiqua" w:hAnsi="Book Antiqua" w:cs="Book Antiqua"/>
          <w:color w:val="000000"/>
        </w:rPr>
        <w:t>CMS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8]</w:t>
      </w:r>
      <w:r w:rsidRPr="00B22E92">
        <w:rPr>
          <w:rFonts w:ascii="Book Antiqua" w:eastAsia="Book Antiqua" w:hAnsi="Book Antiqua" w:cs="Book Antiqua"/>
          <w:color w:val="000000"/>
        </w:rPr>
        <w:t xml:space="preserve">. This presents an integrated framework to capture the heterogeneity of CRC at the gene expression and molecular level through transcriptome-wide </w:t>
      </w:r>
      <w:proofErr w:type="gramStart"/>
      <w:r w:rsidRPr="00B22E92">
        <w:rPr>
          <w:rFonts w:ascii="Book Antiqua" w:eastAsia="Book Antiqua" w:hAnsi="Book Antiqua" w:cs="Book Antiqua"/>
          <w:color w:val="000000"/>
        </w:rPr>
        <w:t>analysis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9]</w:t>
      </w:r>
      <w:r w:rsidRPr="00B22E92">
        <w:rPr>
          <w:rFonts w:ascii="Book Antiqua" w:eastAsia="Book Antiqua" w:hAnsi="Book Antiqua" w:cs="Book Antiqua"/>
          <w:color w:val="000000"/>
        </w:rPr>
        <w:t xml:space="preserve">. The methodology of the consensus assessed redundant pathways and upregulation of signaling pathways that are independent of DNA mutations to provide a characterization of the molecular </w:t>
      </w:r>
      <w:proofErr w:type="gramStart"/>
      <w:r w:rsidRPr="00B22E92">
        <w:rPr>
          <w:rFonts w:ascii="Book Antiqua" w:eastAsia="Book Antiqua" w:hAnsi="Book Antiqua" w:cs="Book Antiqua"/>
          <w:color w:val="000000"/>
        </w:rPr>
        <w:t>status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16]</w:t>
      </w:r>
      <w:r w:rsidRPr="00B22E92">
        <w:rPr>
          <w:rFonts w:ascii="Book Antiqua" w:eastAsia="Book Antiqua" w:hAnsi="Book Antiqua" w:cs="Book Antiqua"/>
          <w:color w:val="000000"/>
        </w:rPr>
        <w:t>.</w:t>
      </w:r>
    </w:p>
    <w:p w14:paraId="5C6FD77C" w14:textId="4843F243"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t xml:space="preserve">CRC classification based on genome-wide transcriptional profiles has seen important research developments during the last decade; no single genetic defect can be unequivocally assigned to a specific molecular profile. CMS classifications have certain hallmarks characterizing each </w:t>
      </w:r>
      <w:proofErr w:type="gramStart"/>
      <w:r w:rsidRPr="00B22E92">
        <w:rPr>
          <w:rFonts w:ascii="Book Antiqua" w:eastAsia="Book Antiqua" w:hAnsi="Book Antiqua" w:cs="Book Antiqua"/>
          <w:color w:val="000000"/>
        </w:rPr>
        <w:t>subtype</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9,17,18]</w:t>
      </w:r>
      <w:r w:rsidRPr="00B22E92">
        <w:rPr>
          <w:rFonts w:ascii="Book Antiqua" w:eastAsia="Book Antiqua" w:hAnsi="Book Antiqua" w:cs="Book Antiqua"/>
          <w:color w:val="000000"/>
        </w:rPr>
        <w:t>. In brief, each CMS is characterized as follows.</w:t>
      </w:r>
    </w:p>
    <w:p w14:paraId="49AA8A09" w14:textId="329F5CE4"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t xml:space="preserve">CMS1 (immune) is characterized by MSI, with high mutations of CIMP and BRAF and a low prevalence of SNCA. It is associated with </w:t>
      </w:r>
      <w:r w:rsidR="002240DB" w:rsidRPr="00B22E92">
        <w:rPr>
          <w:rFonts w:ascii="Book Antiqua" w:eastAsia="Book Antiqua" w:hAnsi="Book Antiqua" w:cs="Book Antiqua"/>
          <w:color w:val="000000"/>
        </w:rPr>
        <w:t xml:space="preserve">lymphocyte </w:t>
      </w:r>
      <w:r w:rsidRPr="00B22E92">
        <w:rPr>
          <w:rFonts w:ascii="Book Antiqua" w:eastAsia="Book Antiqua" w:hAnsi="Book Antiqua" w:cs="Book Antiqua"/>
          <w:color w:val="000000"/>
        </w:rPr>
        <w:t xml:space="preserve">infiltration and </w:t>
      </w:r>
      <w:r w:rsidRPr="00B22E92">
        <w:rPr>
          <w:rFonts w:ascii="Book Antiqua" w:eastAsia="Book Antiqua" w:hAnsi="Book Antiqua" w:cs="Book Antiqua"/>
          <w:color w:val="000000"/>
        </w:rPr>
        <w:lastRenderedPageBreak/>
        <w:t xml:space="preserve">immune activation, in addition to hypermethylation and decreased signaling through the WNT </w:t>
      </w:r>
      <w:proofErr w:type="gramStart"/>
      <w:r w:rsidRPr="00B22E92">
        <w:rPr>
          <w:rFonts w:ascii="Book Antiqua" w:eastAsia="Book Antiqua" w:hAnsi="Book Antiqua" w:cs="Book Antiqua"/>
          <w:color w:val="000000"/>
        </w:rPr>
        <w:t>pathway</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19]</w:t>
      </w:r>
      <w:r w:rsidRPr="00B22E92">
        <w:rPr>
          <w:rFonts w:ascii="Book Antiqua" w:eastAsia="Book Antiqua" w:hAnsi="Book Antiqua" w:cs="Book Antiqua"/>
          <w:color w:val="000000"/>
        </w:rPr>
        <w:t>.</w:t>
      </w:r>
    </w:p>
    <w:p w14:paraId="2E7E5AE1" w14:textId="2FDC7F07"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t xml:space="preserve">CMS2 (canonical) has epithelial characteristics. It is characterized by high chromosomal instability, </w:t>
      </w:r>
      <w:r w:rsidR="002240DB" w:rsidRPr="00B22E92">
        <w:rPr>
          <w:rFonts w:ascii="Book Antiqua" w:eastAsia="Book Antiqua" w:hAnsi="Book Antiqua" w:cs="Book Antiqua"/>
          <w:color w:val="000000"/>
        </w:rPr>
        <w:t xml:space="preserve">high somatic copy number alterations (SCNA) </w:t>
      </w:r>
      <w:r w:rsidRPr="00B22E92">
        <w:rPr>
          <w:rFonts w:ascii="Book Antiqua" w:eastAsia="Book Antiqua" w:hAnsi="Book Antiqua" w:cs="Book Antiqua"/>
          <w:color w:val="000000"/>
        </w:rPr>
        <w:t xml:space="preserve">counts, and WNT and MYC mutations, causing high activity of these intracellular signaling </w:t>
      </w:r>
      <w:proofErr w:type="gramStart"/>
      <w:r w:rsidRPr="00B22E92">
        <w:rPr>
          <w:rFonts w:ascii="Book Antiqua" w:eastAsia="Book Antiqua" w:hAnsi="Book Antiqua" w:cs="Book Antiqua"/>
          <w:color w:val="000000"/>
        </w:rPr>
        <w:t>pathways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18,19]</w:t>
      </w:r>
      <w:r w:rsidRPr="00B22E92">
        <w:rPr>
          <w:rFonts w:ascii="Book Antiqua" w:eastAsia="Book Antiqua" w:hAnsi="Book Antiqua" w:cs="Book Antiqua"/>
          <w:color w:val="000000"/>
        </w:rPr>
        <w:t xml:space="preserve">. It also features increased expression of EGFR, its ligands AREG and EREG, and TP53, APC, and RAS </w:t>
      </w:r>
      <w:proofErr w:type="gramStart"/>
      <w:r w:rsidRPr="00B22E92">
        <w:rPr>
          <w:rFonts w:ascii="Book Antiqua" w:eastAsia="Book Antiqua" w:hAnsi="Book Antiqua" w:cs="Book Antiqua"/>
          <w:color w:val="000000"/>
        </w:rPr>
        <w:t>mutation</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20]</w:t>
      </w:r>
      <w:r w:rsidRPr="00B22E92">
        <w:rPr>
          <w:rFonts w:ascii="Book Antiqua" w:eastAsia="Book Antiqua" w:hAnsi="Book Antiqua" w:cs="Book Antiqua"/>
          <w:color w:val="000000"/>
        </w:rPr>
        <w:t xml:space="preserve">. These can be distinguished from other CRC subtypes by marked upregulation of the downstream targets of WNT and MYC and increased expression of EGFR oncogenes, ERBB2 (also known as HER2), insulin-like growth factor 2, insulin receptor substrate 2, hepatocyte nuclear factor transcription factor 4, and </w:t>
      </w:r>
      <w:proofErr w:type="gramStart"/>
      <w:r w:rsidRPr="00B22E92">
        <w:rPr>
          <w:rFonts w:ascii="Book Antiqua" w:eastAsia="Book Antiqua" w:hAnsi="Book Antiqua" w:cs="Book Antiqua"/>
          <w:color w:val="000000"/>
        </w:rPr>
        <w:t>cyclins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19]</w:t>
      </w:r>
      <w:r w:rsidRPr="00B22E92">
        <w:rPr>
          <w:rFonts w:ascii="Book Antiqua" w:eastAsia="Book Antiqua" w:hAnsi="Book Antiqua" w:cs="Book Antiqua"/>
          <w:color w:val="000000"/>
        </w:rPr>
        <w:t>.</w:t>
      </w:r>
    </w:p>
    <w:p w14:paraId="40713AE3" w14:textId="77777777"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t xml:space="preserve">CMS3 (metabolic) has a distinctive global genomic and epigenomic profile with mixed characteristics, metabolic reprogramming, and dysregulated pathways, with increased activity in </w:t>
      </w:r>
      <w:proofErr w:type="spellStart"/>
      <w:r w:rsidRPr="00B22E92">
        <w:rPr>
          <w:rFonts w:ascii="Book Antiqua" w:eastAsia="Book Antiqua" w:hAnsi="Book Antiqua" w:cs="Book Antiqua"/>
          <w:color w:val="000000"/>
        </w:rPr>
        <w:t>glutaminolysis</w:t>
      </w:r>
      <w:proofErr w:type="spellEnd"/>
      <w:r w:rsidRPr="00B22E92">
        <w:rPr>
          <w:rFonts w:ascii="Book Antiqua" w:eastAsia="Book Antiqua" w:hAnsi="Book Antiqua" w:cs="Book Antiqua"/>
          <w:color w:val="000000"/>
        </w:rPr>
        <w:t xml:space="preserve"> and </w:t>
      </w:r>
      <w:proofErr w:type="spellStart"/>
      <w:proofErr w:type="gramStart"/>
      <w:r w:rsidRPr="00B22E92">
        <w:rPr>
          <w:rFonts w:ascii="Book Antiqua" w:eastAsia="Book Antiqua" w:hAnsi="Book Antiqua" w:cs="Book Antiqua"/>
          <w:color w:val="000000"/>
        </w:rPr>
        <w:t>lipidogenesis</w:t>
      </w:r>
      <w:proofErr w:type="spellEnd"/>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20]</w:t>
      </w:r>
      <w:r w:rsidRPr="00B22E92">
        <w:rPr>
          <w:rFonts w:ascii="Book Antiqua" w:eastAsia="Book Antiqua" w:hAnsi="Book Antiqua" w:cs="Book Antiqua"/>
          <w:color w:val="000000"/>
        </w:rPr>
        <w:t xml:space="preserve">, enriched with KRAS-activating mutations. It presents a moderate or low mixed state of MSI and intermediate CIMP, and moderate activation of WNT and MYC, with PIK3CA mutation and IGBP3 overexpression, without BRAF </w:t>
      </w:r>
      <w:proofErr w:type="gramStart"/>
      <w:r w:rsidRPr="00B22E92">
        <w:rPr>
          <w:rFonts w:ascii="Book Antiqua" w:eastAsia="Book Antiqua" w:hAnsi="Book Antiqua" w:cs="Book Antiqua"/>
          <w:color w:val="000000"/>
        </w:rPr>
        <w:t>mutations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19]</w:t>
      </w:r>
      <w:r w:rsidRPr="00B22E92">
        <w:rPr>
          <w:rFonts w:ascii="Book Antiqua" w:eastAsia="Book Antiqua" w:hAnsi="Book Antiqua" w:cs="Book Antiqua"/>
          <w:color w:val="000000"/>
        </w:rPr>
        <w:t>.</w:t>
      </w:r>
    </w:p>
    <w:p w14:paraId="52ECE570" w14:textId="1483FDC3"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t xml:space="preserve">CMS4 (mesenchymal) has positive gene regulation and overexpression of proteins involved in stromal infiltration, mesenchymal activation, extracellular matrix remodeling, </w:t>
      </w:r>
      <w:proofErr w:type="spellStart"/>
      <w:r w:rsidRPr="00B22E92">
        <w:rPr>
          <w:rFonts w:ascii="Book Antiqua" w:eastAsia="Book Antiqua" w:hAnsi="Book Antiqua" w:cs="Book Antiqua"/>
          <w:color w:val="000000"/>
        </w:rPr>
        <w:t>neoangiogenesis</w:t>
      </w:r>
      <w:proofErr w:type="spellEnd"/>
      <w:r w:rsidRPr="00B22E92">
        <w:rPr>
          <w:rFonts w:ascii="Book Antiqua" w:eastAsia="Book Antiqua" w:hAnsi="Book Antiqua" w:cs="Book Antiqua"/>
          <w:color w:val="000000"/>
        </w:rPr>
        <w:t xml:space="preserve">, prominent TGF-β activation, and complement pathways. These are characteristic of mesenchymal epithelial transition, overexpressing EMT genes, evidence of prominent EMT gene </w:t>
      </w:r>
      <w:r w:rsidR="002240DB" w:rsidRPr="00B22E92">
        <w:rPr>
          <w:rFonts w:ascii="Book Antiqua" w:eastAsia="Book Antiqua" w:hAnsi="Book Antiqua" w:cs="Book Antiqua"/>
          <w:color w:val="000000"/>
        </w:rPr>
        <w:t xml:space="preserve">TGF-β </w:t>
      </w:r>
      <w:r w:rsidRPr="00B22E92">
        <w:rPr>
          <w:rFonts w:ascii="Book Antiqua" w:eastAsia="Book Antiqua" w:hAnsi="Book Antiqua" w:cs="Book Antiqua"/>
          <w:color w:val="000000"/>
        </w:rPr>
        <w:t xml:space="preserve">activation, and high SCNA counts. Six immune genes (PROK1, THBS1, FGF11, CRP, S100A14, and CCL19) have been identified as the key factors of CMS4 and can potentially be applied for risk assessment of CRC </w:t>
      </w:r>
      <w:proofErr w:type="gramStart"/>
      <w:r w:rsidRPr="00B22E92">
        <w:rPr>
          <w:rFonts w:ascii="Book Antiqua" w:eastAsia="Book Antiqua" w:hAnsi="Book Antiqua" w:cs="Book Antiqua"/>
          <w:color w:val="000000"/>
        </w:rPr>
        <w:t>patients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19,21]</w:t>
      </w:r>
      <w:r w:rsidRPr="00B22E92">
        <w:rPr>
          <w:rFonts w:ascii="Book Antiqua" w:eastAsia="Book Antiqua" w:hAnsi="Book Antiqua" w:cs="Book Antiqua"/>
          <w:color w:val="000000"/>
        </w:rPr>
        <w:t>. The main hallmarks of CMS are briefly described in Figure 1.</w:t>
      </w:r>
    </w:p>
    <w:p w14:paraId="652AE4C2" w14:textId="77777777" w:rsidR="00A77B3E" w:rsidRPr="00B22E92" w:rsidRDefault="00A77B3E" w:rsidP="00B22E92">
      <w:pPr>
        <w:spacing w:line="360" w:lineRule="auto"/>
        <w:jc w:val="both"/>
        <w:rPr>
          <w:rFonts w:ascii="Book Antiqua" w:hAnsi="Book Antiqua"/>
        </w:rPr>
      </w:pPr>
    </w:p>
    <w:p w14:paraId="3996D5F8"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aps/>
          <w:color w:val="000000"/>
          <w:u w:val="single"/>
        </w:rPr>
        <w:t>IDENTIFYING THE PATIENT MOLECULAR SUBTYPE</w:t>
      </w:r>
    </w:p>
    <w:p w14:paraId="6A9B6FB8" w14:textId="7CEF43D5"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color w:val="000000"/>
        </w:rPr>
        <w:t xml:space="preserve">Classification by CMS in real clinical settings, outside clinical trials, is challenging. In recent years, certain genetic hallmarks have been routinely determined. For example, </w:t>
      </w:r>
      <w:r w:rsidRPr="00B22E92">
        <w:rPr>
          <w:rFonts w:ascii="Book Antiqua" w:eastAsia="Book Antiqua" w:hAnsi="Book Antiqua" w:cs="Book Antiqua"/>
          <w:color w:val="000000"/>
        </w:rPr>
        <w:lastRenderedPageBreak/>
        <w:t xml:space="preserve">MSI mutations are involved in advanced stages of CRC and are highly predictive of CMS1. MSI can be detected by polymerase chain reaction based on a panel of different microsatellite loci or applying immunohistochemistry (IHC) with antibodies against mismatch repair (MMR) </w:t>
      </w:r>
      <w:proofErr w:type="gramStart"/>
      <w:r w:rsidRPr="00B22E92">
        <w:rPr>
          <w:rFonts w:ascii="Book Antiqua" w:eastAsia="Book Antiqua" w:hAnsi="Book Antiqua" w:cs="Book Antiqua"/>
          <w:color w:val="000000"/>
        </w:rPr>
        <w:t>proteins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22]</w:t>
      </w:r>
      <w:r w:rsidRPr="00B22E92">
        <w:rPr>
          <w:rFonts w:ascii="Book Antiqua" w:eastAsia="Book Antiqua" w:hAnsi="Book Antiqua" w:cs="Book Antiqua"/>
          <w:color w:val="000000"/>
        </w:rPr>
        <w:t xml:space="preserve">. For the other subtypes, heterogeneous groups of genetic and molecular conditions are commonly found in pathogenic mutations in CRC, such as KRAS, BRAF, and </w:t>
      </w:r>
      <w:proofErr w:type="gramStart"/>
      <w:r w:rsidRPr="00B22E92">
        <w:rPr>
          <w:rFonts w:ascii="Book Antiqua" w:eastAsia="Book Antiqua" w:hAnsi="Book Antiqua" w:cs="Book Antiqua"/>
          <w:color w:val="000000"/>
        </w:rPr>
        <w:t>APC</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9,22]</w:t>
      </w:r>
      <w:r w:rsidRPr="00B22E92">
        <w:rPr>
          <w:rFonts w:ascii="Book Antiqua" w:eastAsia="Book Antiqua" w:hAnsi="Book Antiqua" w:cs="Book Antiqua"/>
          <w:color w:val="000000"/>
        </w:rPr>
        <w:t xml:space="preserve">. For these mutations, in clinical settings, a commercial genetic panel that includes genes contained in CMS are the </w:t>
      </w:r>
      <w:proofErr w:type="spellStart"/>
      <w:r w:rsidRPr="00B22E92">
        <w:rPr>
          <w:rFonts w:ascii="Book Antiqua" w:eastAsia="Book Antiqua" w:hAnsi="Book Antiqua" w:cs="Book Antiqua"/>
          <w:color w:val="000000"/>
        </w:rPr>
        <w:t>NanoString</w:t>
      </w:r>
      <w:proofErr w:type="spellEnd"/>
      <w:r w:rsidRPr="00B22E92">
        <w:rPr>
          <w:rFonts w:ascii="Book Antiqua" w:eastAsia="Book Antiqua" w:hAnsi="Book Antiqua" w:cs="Book Antiqua"/>
          <w:color w:val="000000"/>
        </w:rPr>
        <w:t xml:space="preserve"> </w:t>
      </w:r>
      <w:proofErr w:type="spellStart"/>
      <w:r w:rsidRPr="00B22E92">
        <w:rPr>
          <w:rFonts w:ascii="Book Antiqua" w:eastAsia="Book Antiqua" w:hAnsi="Book Antiqua" w:cs="Book Antiqua"/>
          <w:color w:val="000000"/>
        </w:rPr>
        <w:t>nCounter</w:t>
      </w:r>
      <w:proofErr w:type="spellEnd"/>
      <w:r w:rsidRPr="00B22E92">
        <w:rPr>
          <w:rFonts w:ascii="Book Antiqua" w:eastAsia="Book Antiqua" w:hAnsi="Book Antiqua" w:cs="Book Antiqua"/>
          <w:color w:val="000000"/>
          <w:vertAlign w:val="superscript"/>
        </w:rPr>
        <w:t>®</w:t>
      </w:r>
      <w:r w:rsidRPr="00B22E92">
        <w:rPr>
          <w:rFonts w:ascii="Book Antiqua" w:eastAsia="Book Antiqua" w:hAnsi="Book Antiqua" w:cs="Book Antiqua"/>
          <w:color w:val="000000"/>
        </w:rPr>
        <w:t xml:space="preserve">, Almac Xcel microarray assay, and Affymetrix </w:t>
      </w:r>
      <w:proofErr w:type="spellStart"/>
      <w:r w:rsidRPr="00B22E92">
        <w:rPr>
          <w:rFonts w:ascii="Book Antiqua" w:eastAsia="Book Antiqua" w:hAnsi="Book Antiqua" w:cs="Book Antiqua"/>
          <w:color w:val="000000"/>
        </w:rPr>
        <w:t>GeneChip</w:t>
      </w:r>
      <w:proofErr w:type="spellEnd"/>
      <w:r w:rsidRPr="00B22E92">
        <w:rPr>
          <w:rFonts w:ascii="Book Antiqua" w:eastAsia="Book Antiqua" w:hAnsi="Book Antiqua" w:cs="Book Antiqua"/>
          <w:color w:val="000000"/>
          <w:vertAlign w:val="superscript"/>
        </w:rPr>
        <w:t>®</w:t>
      </w:r>
      <w:r w:rsidRPr="00B22E92">
        <w:rPr>
          <w:rFonts w:ascii="Book Antiqua" w:eastAsia="Book Antiqua" w:hAnsi="Book Antiqua" w:cs="Book Antiqua"/>
          <w:color w:val="000000"/>
        </w:rPr>
        <w:t xml:space="preserve"> Human Transcriptome Array 2.0 (HTA).</w:t>
      </w:r>
    </w:p>
    <w:p w14:paraId="6819E3DF" w14:textId="4B0AD04E"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t xml:space="preserve">Several research groups have aimed to obtain a practical and robust CMS classifier that works on formalin-fixed, paraffin-embedded primary CRC tissues, based on gene expression or </w:t>
      </w:r>
      <w:proofErr w:type="gramStart"/>
      <w:r w:rsidRPr="00B22E92">
        <w:rPr>
          <w:rFonts w:ascii="Book Antiqua" w:eastAsia="Book Antiqua" w:hAnsi="Book Antiqua" w:cs="Book Antiqua"/>
          <w:color w:val="000000"/>
        </w:rPr>
        <w:t>IHC</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23]</w:t>
      </w:r>
      <w:r w:rsidRPr="00B22E92">
        <w:rPr>
          <w:rFonts w:ascii="Book Antiqua" w:eastAsia="Book Antiqua" w:hAnsi="Book Antiqua" w:cs="Book Antiqua"/>
          <w:color w:val="000000"/>
        </w:rPr>
        <w:t xml:space="preserve">. Categorizing patients relies fundamentally on mutational, transcriptomic, and proteomic data </w:t>
      </w:r>
      <w:proofErr w:type="gramStart"/>
      <w:r w:rsidRPr="00B22E92">
        <w:rPr>
          <w:rFonts w:ascii="Book Antiqua" w:eastAsia="Book Antiqua" w:hAnsi="Book Antiqua" w:cs="Book Antiqua"/>
          <w:color w:val="000000"/>
        </w:rPr>
        <w:t>analysis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24]</w:t>
      </w:r>
      <w:r w:rsidRPr="00B22E92">
        <w:rPr>
          <w:rFonts w:ascii="Book Antiqua" w:eastAsia="Book Antiqua" w:hAnsi="Book Antiqua" w:cs="Book Antiqua"/>
          <w:color w:val="000000"/>
        </w:rPr>
        <w:t>. A novel CMS classifier based on a filtered set of cancer cell-intrinsic, subtype-enriched gene expression markers, referred to as CMS</w:t>
      </w:r>
      <w:r w:rsidR="002240DB" w:rsidRPr="00B22E92">
        <w:rPr>
          <w:rFonts w:ascii="Book Antiqua" w:eastAsia="Book Antiqua" w:hAnsi="Book Antiqua" w:cs="Book Antiqua"/>
          <w:color w:val="000000"/>
        </w:rPr>
        <w:t xml:space="preserve"> </w:t>
      </w:r>
      <w:proofErr w:type="gramStart"/>
      <w:r w:rsidRPr="00B22E92">
        <w:rPr>
          <w:rFonts w:ascii="Book Antiqua" w:eastAsia="Book Antiqua" w:hAnsi="Book Antiqua" w:cs="Book Antiqua"/>
          <w:color w:val="000000"/>
        </w:rPr>
        <w:t>caller</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25]</w:t>
      </w:r>
      <w:r w:rsidRPr="00B22E92">
        <w:rPr>
          <w:rFonts w:ascii="Book Antiqua" w:eastAsia="Book Antiqua" w:hAnsi="Book Antiqua" w:cs="Book Antiqua"/>
          <w:color w:val="000000"/>
        </w:rPr>
        <w:t xml:space="preserve">, provides robust classification of CMS groups in datasets generated on different gene expression platforms and biological sample types, readily available for its purpose. A 40-gene </w:t>
      </w:r>
      <w:proofErr w:type="spellStart"/>
      <w:r w:rsidRPr="00B22E92">
        <w:rPr>
          <w:rFonts w:ascii="Book Antiqua" w:eastAsia="Book Antiqua" w:hAnsi="Book Antiqua" w:cs="Book Antiqua"/>
          <w:color w:val="000000"/>
        </w:rPr>
        <w:t>ColoType</w:t>
      </w:r>
      <w:proofErr w:type="spellEnd"/>
      <w:r w:rsidRPr="00B22E92">
        <w:rPr>
          <w:rFonts w:ascii="Book Antiqua" w:eastAsia="Book Antiqua" w:hAnsi="Book Antiqua" w:cs="Book Antiqua"/>
          <w:color w:val="000000"/>
        </w:rPr>
        <w:t xml:space="preserve"> signature has recently been developed, which uses genome-wide assays, frozen tissue-specific RNA sequences, or FFPE. The results correlate highly with those reported by the other two systems, in addition to allowing accurate and reproducible CMS subtype analysis for clinical </w:t>
      </w:r>
      <w:proofErr w:type="gramStart"/>
      <w:r w:rsidRPr="00B22E92">
        <w:rPr>
          <w:rFonts w:ascii="Book Antiqua" w:eastAsia="Book Antiqua" w:hAnsi="Book Antiqua" w:cs="Book Antiqua"/>
          <w:color w:val="000000"/>
        </w:rPr>
        <w:t>applications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26]</w:t>
      </w:r>
      <w:r w:rsidRPr="00B22E92">
        <w:rPr>
          <w:rFonts w:ascii="Book Antiqua" w:eastAsia="Book Antiqua" w:hAnsi="Book Antiqua" w:cs="Book Antiqua"/>
          <w:color w:val="000000"/>
        </w:rPr>
        <w:t>.</w:t>
      </w:r>
    </w:p>
    <w:p w14:paraId="4447CFC8" w14:textId="58C65C30"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t xml:space="preserve">Routinely practicing CMS classification for patients with CRC is challenging due to the difficult applicability and costs of this </w:t>
      </w:r>
      <w:proofErr w:type="gramStart"/>
      <w:r w:rsidRPr="00B22E92">
        <w:rPr>
          <w:rFonts w:ascii="Book Antiqua" w:eastAsia="Book Antiqua" w:hAnsi="Book Antiqua" w:cs="Book Antiqua"/>
          <w:color w:val="000000"/>
        </w:rPr>
        <w:t>method</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27]</w:t>
      </w:r>
      <w:r w:rsidRPr="00B22E92">
        <w:rPr>
          <w:rFonts w:ascii="Book Antiqua" w:eastAsia="Book Antiqua" w:hAnsi="Book Antiqua" w:cs="Book Antiqua"/>
          <w:color w:val="000000"/>
        </w:rPr>
        <w:t xml:space="preserve">. However, an IHC approach has been proposed, which could represent a reasonable option for the molecular classification of CRC through morphological phenotype and a simpler way to guide case </w:t>
      </w:r>
      <w:proofErr w:type="gramStart"/>
      <w:r w:rsidRPr="00B22E92">
        <w:rPr>
          <w:rFonts w:ascii="Book Antiqua" w:eastAsia="Book Antiqua" w:hAnsi="Book Antiqua" w:cs="Book Antiqua"/>
          <w:color w:val="000000"/>
        </w:rPr>
        <w:t>management</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23,28]</w:t>
      </w:r>
      <w:r w:rsidRPr="00B22E92">
        <w:rPr>
          <w:rFonts w:ascii="Book Antiqua" w:eastAsia="Book Antiqua" w:hAnsi="Book Antiqua" w:cs="Book Antiqua"/>
          <w:color w:val="000000"/>
        </w:rPr>
        <w:t xml:space="preserve">. Several IHC protocols have been proposed, such as a phenotypic subtyping method based on immune infiltrate, stromal invasion, and proliferation </w:t>
      </w:r>
      <w:proofErr w:type="gramStart"/>
      <w:r w:rsidRPr="00B22E92">
        <w:rPr>
          <w:rFonts w:ascii="Book Antiqua" w:eastAsia="Book Antiqua" w:hAnsi="Book Antiqua" w:cs="Book Antiqua"/>
          <w:color w:val="000000"/>
        </w:rPr>
        <w:t>rate</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27]</w:t>
      </w:r>
      <w:r w:rsidRPr="00B22E92">
        <w:rPr>
          <w:rFonts w:ascii="Book Antiqua" w:eastAsia="Book Antiqua" w:hAnsi="Book Antiqua" w:cs="Book Antiqua"/>
          <w:color w:val="000000"/>
        </w:rPr>
        <w:t xml:space="preserve">. Another protocol proposed to correlate specifically with CMS is the IHC detection of MSI with antibodies against MSH1-2 </w:t>
      </w:r>
      <w:r w:rsidR="002240DB" w:rsidRPr="00B22E92">
        <w:rPr>
          <w:rFonts w:ascii="Book Antiqua" w:eastAsia="Book Antiqua" w:hAnsi="Book Antiqua" w:cs="Book Antiqua"/>
          <w:color w:val="000000"/>
        </w:rPr>
        <w:t>MMR</w:t>
      </w:r>
      <w:r w:rsidRPr="00B22E92">
        <w:rPr>
          <w:rFonts w:ascii="Book Antiqua" w:eastAsia="Book Antiqua" w:hAnsi="Book Antiqua" w:cs="Book Antiqua"/>
          <w:color w:val="000000"/>
        </w:rPr>
        <w:t xml:space="preserve"> proteins, allocating samples with high-level MSI to CMS1, then classifying the remaining subtypes through staining </w:t>
      </w:r>
      <w:r w:rsidRPr="00B22E92">
        <w:rPr>
          <w:rFonts w:ascii="Book Antiqua" w:eastAsia="Book Antiqua" w:hAnsi="Book Antiqua" w:cs="Book Antiqua"/>
          <w:color w:val="000000"/>
        </w:rPr>
        <w:lastRenderedPageBreak/>
        <w:t>for four gene product proteins (CDX2, FRD6, HTR2B, and ZEBI), allowing differentiation between CMS2/3 with CMS4</w:t>
      </w:r>
      <w:r w:rsidRPr="00B22E92">
        <w:rPr>
          <w:rFonts w:ascii="Book Antiqua" w:eastAsia="Book Antiqua" w:hAnsi="Book Antiqua" w:cs="Book Antiqua"/>
          <w:color w:val="000000"/>
          <w:vertAlign w:val="superscript"/>
        </w:rPr>
        <w:t>[22]</w:t>
      </w:r>
      <w:r w:rsidRPr="00B22E92">
        <w:rPr>
          <w:rFonts w:ascii="Book Antiqua" w:eastAsia="Book Antiqua" w:hAnsi="Book Antiqua" w:cs="Book Antiqua"/>
          <w:color w:val="000000"/>
        </w:rPr>
        <w:t xml:space="preserve">. This method, complemented with an IHC-based classifier, has demonstrated 87% concordance with transcriptome-based </w:t>
      </w:r>
      <w:proofErr w:type="gramStart"/>
      <w:r w:rsidRPr="00B22E92">
        <w:rPr>
          <w:rFonts w:ascii="Book Antiqua" w:eastAsia="Book Antiqua" w:hAnsi="Book Antiqua" w:cs="Book Antiqua"/>
          <w:color w:val="000000"/>
        </w:rPr>
        <w:t>classification</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23]</w:t>
      </w:r>
      <w:r w:rsidRPr="00B22E92">
        <w:rPr>
          <w:rFonts w:ascii="Book Antiqua" w:eastAsia="Book Antiqua" w:hAnsi="Book Antiqua" w:cs="Book Antiqua"/>
          <w:color w:val="000000"/>
        </w:rPr>
        <w:t xml:space="preserve">, indicating that IHC can be used to categorize CRC molecular subtypes, although not with 100% concordance. However, it has the disadvantage of being unable to distinguish between CMS2 and 3 because both subtypes share similar epithelial features. Recently, an improvement to this protocol has been proposed, adding IHQ for β-catenin to differentiate between CMS2 and 3, with </w:t>
      </w:r>
      <w:r w:rsidR="002240DB" w:rsidRPr="00B22E92">
        <w:rPr>
          <w:rFonts w:ascii="Book Antiqua" w:eastAsia="Book Antiqua" w:hAnsi="Book Antiqua" w:cs="Book Antiqua"/>
          <w:color w:val="000000"/>
        </w:rPr>
        <w:t xml:space="preserve">71.4% </w:t>
      </w:r>
      <w:r w:rsidRPr="00B22E92">
        <w:rPr>
          <w:rFonts w:ascii="Book Antiqua" w:eastAsia="Book Antiqua" w:hAnsi="Book Antiqua" w:cs="Book Antiqua"/>
          <w:color w:val="000000"/>
        </w:rPr>
        <w:t xml:space="preserve">concordance compared to an RNA-sequencing-based classifier. This is based on CMS2 activating WNT pathway-regulated β-catenin </w:t>
      </w:r>
      <w:proofErr w:type="gramStart"/>
      <w:r w:rsidRPr="00B22E92">
        <w:rPr>
          <w:rFonts w:ascii="Book Antiqua" w:eastAsia="Book Antiqua" w:hAnsi="Book Antiqua" w:cs="Book Antiqua"/>
          <w:color w:val="000000"/>
        </w:rPr>
        <w:t>expression</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29]</w:t>
      </w:r>
      <w:r w:rsidRPr="00B22E92">
        <w:rPr>
          <w:rFonts w:ascii="Book Antiqua" w:eastAsia="Book Antiqua" w:hAnsi="Book Antiqua" w:cs="Book Antiqua"/>
          <w:color w:val="000000"/>
        </w:rPr>
        <w:t>.</w:t>
      </w:r>
    </w:p>
    <w:p w14:paraId="11FB0978" w14:textId="4B73AC0A"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t xml:space="preserve">However, the translation of CMS by genome-wide transcriptional profiles into clinical practice is subject to several </w:t>
      </w:r>
      <w:proofErr w:type="gramStart"/>
      <w:r w:rsidRPr="00B22E92">
        <w:rPr>
          <w:rFonts w:ascii="Book Antiqua" w:eastAsia="Book Antiqua" w:hAnsi="Book Antiqua" w:cs="Book Antiqua"/>
          <w:color w:val="000000"/>
        </w:rPr>
        <w:t>obstacles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16]</w:t>
      </w:r>
      <w:r w:rsidRPr="00B22E92">
        <w:rPr>
          <w:rFonts w:ascii="Book Antiqua" w:eastAsia="Book Antiqua" w:hAnsi="Book Antiqua" w:cs="Book Antiqua"/>
          <w:color w:val="000000"/>
        </w:rPr>
        <w:t>, such as the complexity, difficulties of translation to routine pathology, and costs of this method of classification</w:t>
      </w:r>
      <w:r w:rsidRPr="00B22E92">
        <w:rPr>
          <w:rFonts w:ascii="Book Antiqua" w:eastAsia="Book Antiqua" w:hAnsi="Book Antiqua" w:cs="Book Antiqua"/>
          <w:color w:val="000000"/>
          <w:vertAlign w:val="superscript"/>
        </w:rPr>
        <w:t>[24,27]</w:t>
      </w:r>
      <w:r w:rsidRPr="00B22E92">
        <w:rPr>
          <w:rFonts w:ascii="Book Antiqua" w:eastAsia="Book Antiqua" w:hAnsi="Book Antiqua" w:cs="Book Antiqua"/>
          <w:color w:val="000000"/>
        </w:rPr>
        <w:t xml:space="preserve">. Until genomic profiling becomes more widespread in clinical practice, the molecular subtypes of CRC can be assessed by IHC but with less accuracy compared to the transcriptome gold </w:t>
      </w:r>
      <w:proofErr w:type="gramStart"/>
      <w:r w:rsidRPr="00B22E92">
        <w:rPr>
          <w:rFonts w:ascii="Book Antiqua" w:eastAsia="Book Antiqua" w:hAnsi="Book Antiqua" w:cs="Book Antiqua"/>
          <w:color w:val="000000"/>
        </w:rPr>
        <w:t>standard</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23]</w:t>
      </w:r>
      <w:r w:rsidRPr="00B22E92">
        <w:rPr>
          <w:rFonts w:ascii="Book Antiqua" w:eastAsia="Book Antiqua" w:hAnsi="Book Antiqua" w:cs="Book Antiqua"/>
          <w:color w:val="000000"/>
        </w:rPr>
        <w:t>. Nevertheless, CMS is expected to be able to be used in routine clinical practice by overcoming these obstacles and becoming widely available in the near future for the classification of CRC through genome-wide transcriptional profiles.</w:t>
      </w:r>
    </w:p>
    <w:p w14:paraId="66A703F4" w14:textId="77777777" w:rsidR="00A77B3E" w:rsidRPr="00B22E92" w:rsidRDefault="00A77B3E" w:rsidP="00B22E92">
      <w:pPr>
        <w:spacing w:line="360" w:lineRule="auto"/>
        <w:jc w:val="both"/>
        <w:rPr>
          <w:rFonts w:ascii="Book Antiqua" w:hAnsi="Book Antiqua"/>
        </w:rPr>
      </w:pPr>
    </w:p>
    <w:p w14:paraId="304F8CCC" w14:textId="5AA27EE3"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aps/>
          <w:color w:val="000000"/>
          <w:u w:val="single"/>
        </w:rPr>
        <w:t>C</w:t>
      </w:r>
      <w:r w:rsidR="002240DB" w:rsidRPr="00B22E92">
        <w:rPr>
          <w:rFonts w:ascii="Book Antiqua" w:eastAsia="Book Antiqua" w:hAnsi="Book Antiqua" w:cs="Book Antiqua"/>
          <w:b/>
          <w:bCs/>
          <w:caps/>
          <w:color w:val="000000"/>
          <w:u w:val="single"/>
        </w:rPr>
        <w:t>MS</w:t>
      </w:r>
      <w:r w:rsidRPr="00B22E92">
        <w:rPr>
          <w:rFonts w:ascii="Book Antiqua" w:eastAsia="Book Antiqua" w:hAnsi="Book Antiqua" w:cs="Book Antiqua"/>
          <w:b/>
          <w:bCs/>
          <w:caps/>
          <w:color w:val="000000"/>
          <w:u w:val="single"/>
        </w:rPr>
        <w:t xml:space="preserve"> AND PROGNOSIS</w:t>
      </w:r>
    </w:p>
    <w:p w14:paraId="76D929D3" w14:textId="2123613B"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color w:val="000000"/>
        </w:rPr>
        <w:t xml:space="preserve">Traditionally, the prognosis and treatment selection of patients with CRC has been based on the clinical pathological classification of </w:t>
      </w:r>
      <w:proofErr w:type="gramStart"/>
      <w:r w:rsidRPr="00B22E92">
        <w:rPr>
          <w:rFonts w:ascii="Book Antiqua" w:eastAsia="Book Antiqua" w:hAnsi="Book Antiqua" w:cs="Book Antiqua"/>
          <w:color w:val="000000"/>
        </w:rPr>
        <w:t>TNM</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30]</w:t>
      </w:r>
      <w:r w:rsidRPr="00B22E92">
        <w:rPr>
          <w:rFonts w:ascii="Book Antiqua" w:eastAsia="Book Antiqua" w:hAnsi="Book Antiqua" w:cs="Book Antiqua"/>
          <w:color w:val="000000"/>
        </w:rPr>
        <w:t xml:space="preserve">. However, morphologically similar tumors can have different genetic expression and molecular </w:t>
      </w:r>
      <w:proofErr w:type="gramStart"/>
      <w:r w:rsidRPr="00B22E92">
        <w:rPr>
          <w:rFonts w:ascii="Book Antiqua" w:eastAsia="Book Antiqua" w:hAnsi="Book Antiqua" w:cs="Book Antiqua"/>
          <w:color w:val="000000"/>
        </w:rPr>
        <w:t>profiles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9]</w:t>
      </w:r>
      <w:r w:rsidRPr="00B22E92">
        <w:rPr>
          <w:rFonts w:ascii="Book Antiqua" w:eastAsia="Book Antiqua" w:hAnsi="Book Antiqua" w:cs="Book Antiqua"/>
          <w:color w:val="000000"/>
        </w:rPr>
        <w:t xml:space="preserve"> with the capacity to determine different prognoses</w:t>
      </w:r>
      <w:r w:rsidRPr="00B22E92">
        <w:rPr>
          <w:rFonts w:ascii="Book Antiqua" w:eastAsia="Book Antiqua" w:hAnsi="Book Antiqua" w:cs="Book Antiqua"/>
          <w:color w:val="000000"/>
          <w:vertAlign w:val="superscript"/>
        </w:rPr>
        <w:t>[31]</w:t>
      </w:r>
      <w:r w:rsidRPr="00B22E92">
        <w:rPr>
          <w:rFonts w:ascii="Book Antiqua" w:eastAsia="Book Antiqua" w:hAnsi="Book Antiqua" w:cs="Book Antiqua"/>
          <w:color w:val="000000"/>
        </w:rPr>
        <w:t xml:space="preserve">. Currently, the main international clinical guidelines recommend determining certain biomarkers in specific clinical contexts, such as </w:t>
      </w:r>
      <w:proofErr w:type="spellStart"/>
      <w:r w:rsidRPr="00B22E92">
        <w:rPr>
          <w:rFonts w:ascii="Book Antiqua" w:eastAsia="Book Antiqua" w:hAnsi="Book Antiqua" w:cs="Book Antiqua"/>
          <w:color w:val="000000"/>
        </w:rPr>
        <w:t>dMMR</w:t>
      </w:r>
      <w:proofErr w:type="spellEnd"/>
      <w:r w:rsidRPr="00B22E92">
        <w:rPr>
          <w:rFonts w:ascii="Book Antiqua" w:eastAsia="Book Antiqua" w:hAnsi="Book Antiqua" w:cs="Book Antiqua"/>
          <w:color w:val="000000"/>
        </w:rPr>
        <w:t xml:space="preserve">/MSI, BRAF, and RAS in metastatic CRC (mCRC) to select the optimal chemotherapy </w:t>
      </w:r>
      <w:proofErr w:type="gramStart"/>
      <w:r w:rsidRPr="00B22E92">
        <w:rPr>
          <w:rFonts w:ascii="Book Antiqua" w:eastAsia="Book Antiqua" w:hAnsi="Book Antiqua" w:cs="Book Antiqua"/>
          <w:color w:val="000000"/>
        </w:rPr>
        <w:t>treatment</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3,4]</w:t>
      </w:r>
      <w:r w:rsidRPr="00B22E92">
        <w:rPr>
          <w:rFonts w:ascii="Book Antiqua" w:eastAsia="Book Antiqua" w:hAnsi="Book Antiqua" w:cs="Book Antiqua"/>
          <w:color w:val="000000"/>
        </w:rPr>
        <w:t xml:space="preserve">. In particular, the CMS classification was designed to categorize CRC heterogeneity in a transcriptional profile, although each subgroup has </w:t>
      </w:r>
      <w:r w:rsidRPr="00B22E92">
        <w:rPr>
          <w:rFonts w:ascii="Book Antiqua" w:eastAsia="Book Antiqua" w:hAnsi="Book Antiqua" w:cs="Book Antiqua"/>
          <w:color w:val="000000"/>
        </w:rPr>
        <w:lastRenderedPageBreak/>
        <w:t xml:space="preserve">also been reported to have a different prognosis. In an analysis of 4151 patients with </w:t>
      </w:r>
      <w:proofErr w:type="gramStart"/>
      <w:r w:rsidRPr="00B22E92">
        <w:rPr>
          <w:rFonts w:ascii="Book Antiqua" w:eastAsia="Book Antiqua" w:hAnsi="Book Antiqua" w:cs="Book Antiqua"/>
          <w:color w:val="000000"/>
        </w:rPr>
        <w:t>CRC</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8]</w:t>
      </w:r>
      <w:r w:rsidRPr="00B22E92">
        <w:rPr>
          <w:rFonts w:ascii="Book Antiqua" w:eastAsia="Book Antiqua" w:hAnsi="Book Antiqua" w:cs="Book Antiqua"/>
          <w:color w:val="000000"/>
        </w:rPr>
        <w:t>, the overall survival (OS) in CMS4 was worse compared to CMS1–3, and a better OS was found in patients with CMS2. Notably, the OS calculation included patients in all TNM stages. In addition, CMS1 patients have a worse survival rate after relapse, and CMS2 patients have a longer survival after relapse.</w:t>
      </w:r>
    </w:p>
    <w:p w14:paraId="04267AF1" w14:textId="739D2E58"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t xml:space="preserve">Despite the important contribution of CMS classification to understanding the oncogenesis of CRC, whether this classification can better predict the prognosis of CRC patients is still </w:t>
      </w:r>
      <w:proofErr w:type="gramStart"/>
      <w:r w:rsidRPr="00B22E92">
        <w:rPr>
          <w:rFonts w:ascii="Book Antiqua" w:eastAsia="Book Antiqua" w:hAnsi="Book Antiqua" w:cs="Book Antiqua"/>
          <w:color w:val="000000"/>
        </w:rPr>
        <w:t>uncertain</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32]</w:t>
      </w:r>
      <w:r w:rsidRPr="00B22E92">
        <w:rPr>
          <w:rFonts w:ascii="Book Antiqua" w:eastAsia="Book Antiqua" w:hAnsi="Book Antiqua" w:cs="Book Antiqua"/>
          <w:color w:val="000000"/>
        </w:rPr>
        <w:t xml:space="preserve">. In particular, in patients with stage II CRC, controversies exist about the clinical benefits of </w:t>
      </w:r>
      <w:proofErr w:type="gramStart"/>
      <w:r w:rsidRPr="00B22E92">
        <w:rPr>
          <w:rFonts w:ascii="Book Antiqua" w:eastAsia="Book Antiqua" w:hAnsi="Book Antiqua" w:cs="Book Antiqua"/>
          <w:color w:val="000000"/>
        </w:rPr>
        <w:t>chemotherapy</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33]</w:t>
      </w:r>
      <w:r w:rsidRPr="00B22E92">
        <w:rPr>
          <w:rFonts w:ascii="Book Antiqua" w:eastAsia="Book Antiqua" w:hAnsi="Book Antiqua" w:cs="Book Antiqua"/>
          <w:color w:val="000000"/>
        </w:rPr>
        <w:t xml:space="preserve">. Stage II patients are selected for chemotherapy if they have a pathological or clinical risk factor such as T4 status, suboptimal lymph node resection, perineural and perivascular invasion, or colon </w:t>
      </w:r>
      <w:proofErr w:type="gramStart"/>
      <w:r w:rsidRPr="00B22E92">
        <w:rPr>
          <w:rFonts w:ascii="Book Antiqua" w:eastAsia="Book Antiqua" w:hAnsi="Book Antiqua" w:cs="Book Antiqua"/>
          <w:color w:val="000000"/>
        </w:rPr>
        <w:t>perforation</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4]</w:t>
      </w:r>
      <w:r w:rsidRPr="00B22E92">
        <w:rPr>
          <w:rFonts w:ascii="Book Antiqua" w:eastAsia="Book Antiqua" w:hAnsi="Book Antiqua" w:cs="Book Antiqua"/>
          <w:color w:val="000000"/>
        </w:rPr>
        <w:t xml:space="preserve">. In this context, it has been proposed that better markers such as CMS could provide a better selection of patients to undergo chemotherapy. Studies that shown that in stages II–III, patients with CMS 4 have a worse </w:t>
      </w:r>
      <w:proofErr w:type="gramStart"/>
      <w:r w:rsidRPr="00B22E92">
        <w:rPr>
          <w:rFonts w:ascii="Book Antiqua" w:eastAsia="Book Antiqua" w:hAnsi="Book Antiqua" w:cs="Book Antiqua"/>
          <w:color w:val="000000"/>
        </w:rPr>
        <w:t>prognosis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34]</w:t>
      </w:r>
      <w:r w:rsidRPr="00B22E92">
        <w:rPr>
          <w:rFonts w:ascii="Book Antiqua" w:eastAsia="Book Antiqua" w:hAnsi="Book Antiqua" w:cs="Book Antiqua"/>
          <w:color w:val="000000"/>
        </w:rPr>
        <w:t xml:space="preserve">. One study hypothesized that this is a consequence of resistance to fluorouracil–leucovorin regimens commonly used in these </w:t>
      </w:r>
      <w:proofErr w:type="gramStart"/>
      <w:r w:rsidRPr="00B22E92">
        <w:rPr>
          <w:rFonts w:ascii="Book Antiqua" w:eastAsia="Book Antiqua" w:hAnsi="Book Antiqua" w:cs="Book Antiqua"/>
          <w:color w:val="000000"/>
        </w:rPr>
        <w:t>stages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35]</w:t>
      </w:r>
      <w:r w:rsidRPr="00B22E92">
        <w:rPr>
          <w:rFonts w:ascii="Book Antiqua" w:eastAsia="Book Antiqua" w:hAnsi="Book Antiqua" w:cs="Book Antiqua"/>
          <w:color w:val="000000"/>
        </w:rPr>
        <w:t xml:space="preserve">. Likewise, in low-risk stage II CRC patients who did not undergo adjuvant chemotherapy, CMS4 had significantly worse outcomes in relapse-free survival (RFS) compared to other CMS </w:t>
      </w:r>
      <w:proofErr w:type="gramStart"/>
      <w:r w:rsidRPr="00B22E92">
        <w:rPr>
          <w:rFonts w:ascii="Book Antiqua" w:eastAsia="Book Antiqua" w:hAnsi="Book Antiqua" w:cs="Book Antiqua"/>
          <w:color w:val="000000"/>
        </w:rPr>
        <w:t>groups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36]</w:t>
      </w:r>
      <w:r w:rsidRPr="00B22E92">
        <w:rPr>
          <w:rFonts w:ascii="Book Antiqua" w:eastAsia="Book Antiqua" w:hAnsi="Book Antiqua" w:cs="Book Antiqua"/>
          <w:color w:val="000000"/>
        </w:rPr>
        <w:t xml:space="preserve">. Using IHQ CMS classification, Li </w:t>
      </w:r>
      <w:r w:rsidRPr="00B22E92">
        <w:rPr>
          <w:rFonts w:ascii="Book Antiqua" w:eastAsia="Book Antiqua" w:hAnsi="Book Antiqua" w:cs="Book Antiqua"/>
          <w:i/>
          <w:iCs/>
          <w:color w:val="000000"/>
        </w:rPr>
        <w:t xml:space="preserve">et </w:t>
      </w:r>
      <w:proofErr w:type="gramStart"/>
      <w:r w:rsidRPr="00B22E92">
        <w:rPr>
          <w:rFonts w:ascii="Book Antiqua" w:eastAsia="Book Antiqua" w:hAnsi="Book Antiqua" w:cs="Book Antiqua"/>
          <w:i/>
          <w:iCs/>
          <w:color w:val="000000"/>
        </w:rPr>
        <w:t>al</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37]</w:t>
      </w:r>
      <w:r w:rsidRPr="00B22E92">
        <w:rPr>
          <w:rFonts w:ascii="Book Antiqua" w:eastAsia="Book Antiqua" w:hAnsi="Book Antiqua" w:cs="Book Antiqua"/>
          <w:color w:val="000000"/>
        </w:rPr>
        <w:t xml:space="preserve"> described a worse OS and disease-free survival in CMS4 and a better OS with adjuvant chemotherapy for stage II CRC in CMS2</w:t>
      </w:r>
      <w:r w:rsidR="006F0763" w:rsidRPr="00B22E92">
        <w:rPr>
          <w:rFonts w:ascii="Book Antiqua" w:eastAsia="Book Antiqua" w:hAnsi="Book Antiqua" w:cs="Book Antiqua"/>
          <w:color w:val="000000"/>
        </w:rPr>
        <w:t>-</w:t>
      </w:r>
      <w:r w:rsidRPr="00B22E92">
        <w:rPr>
          <w:rFonts w:ascii="Book Antiqua" w:eastAsia="Book Antiqua" w:hAnsi="Book Antiqua" w:cs="Book Antiqua"/>
          <w:color w:val="000000"/>
        </w:rPr>
        <w:t xml:space="preserve">3. Furthermore, it has been suggested that certain gene mutations in each CMS can modify outcomes. For instance, BRAF mutations were associated with metastasis in patients with MSS and CM1(OS 22% in BRAF mutated </w:t>
      </w:r>
      <w:r w:rsidRPr="00B22E92">
        <w:rPr>
          <w:rFonts w:ascii="Book Antiqua" w:eastAsia="Book Antiqua" w:hAnsi="Book Antiqua" w:cs="Book Antiqua"/>
          <w:i/>
          <w:iCs/>
          <w:color w:val="000000"/>
        </w:rPr>
        <w:t>vs</w:t>
      </w:r>
      <w:r w:rsidRPr="00B22E92">
        <w:rPr>
          <w:rFonts w:ascii="Book Antiqua" w:eastAsia="Book Antiqua" w:hAnsi="Book Antiqua" w:cs="Book Antiqua"/>
          <w:color w:val="000000"/>
        </w:rPr>
        <w:t xml:space="preserve"> 81% in wild-type BRAF, </w:t>
      </w:r>
      <w:r w:rsidRPr="00B22E92">
        <w:rPr>
          <w:rFonts w:ascii="Book Antiqua" w:eastAsia="Book Antiqua" w:hAnsi="Book Antiqua" w:cs="Book Antiqua"/>
          <w:i/>
          <w:iCs/>
          <w:color w:val="000000"/>
        </w:rPr>
        <w:t>P</w:t>
      </w:r>
      <w:r w:rsidRPr="00B22E92">
        <w:rPr>
          <w:rFonts w:ascii="Book Antiqua" w:eastAsia="Book Antiqua" w:hAnsi="Book Antiqua" w:cs="Book Antiqua"/>
          <w:color w:val="000000"/>
        </w:rPr>
        <w:t xml:space="preserve"> = 0.001). In CMS2</w:t>
      </w:r>
      <w:r w:rsidR="006F0763" w:rsidRPr="00B22E92">
        <w:rPr>
          <w:rFonts w:ascii="Book Antiqua" w:eastAsia="Book Antiqua" w:hAnsi="Book Antiqua" w:cs="Book Antiqua"/>
          <w:color w:val="000000"/>
        </w:rPr>
        <w:t>-</w:t>
      </w:r>
      <w:r w:rsidRPr="00B22E92">
        <w:rPr>
          <w:rFonts w:ascii="Book Antiqua" w:eastAsia="Book Antiqua" w:hAnsi="Book Antiqua" w:cs="Book Antiqua"/>
          <w:color w:val="000000"/>
        </w:rPr>
        <w:t xml:space="preserve">3 patients, mutated KRAS had worse outcomes (OS 59% in KRAS mutated </w:t>
      </w:r>
      <w:r w:rsidRPr="00B22E92">
        <w:rPr>
          <w:rFonts w:ascii="Book Antiqua" w:eastAsia="Book Antiqua" w:hAnsi="Book Antiqua" w:cs="Book Antiqua"/>
          <w:i/>
          <w:iCs/>
          <w:color w:val="000000"/>
        </w:rPr>
        <w:t>vs</w:t>
      </w:r>
      <w:r w:rsidRPr="00B22E92">
        <w:rPr>
          <w:rFonts w:ascii="Book Antiqua" w:eastAsia="Book Antiqua" w:hAnsi="Book Antiqua" w:cs="Book Antiqua"/>
          <w:color w:val="000000"/>
        </w:rPr>
        <w:t xml:space="preserve"> 75% in wild-type </w:t>
      </w:r>
      <w:proofErr w:type="gramStart"/>
      <w:r w:rsidRPr="00B22E92">
        <w:rPr>
          <w:rFonts w:ascii="Book Antiqua" w:eastAsia="Book Antiqua" w:hAnsi="Book Antiqua" w:cs="Book Antiqua"/>
          <w:color w:val="000000"/>
        </w:rPr>
        <w:t>KRAS)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38]</w:t>
      </w:r>
      <w:r w:rsidRPr="00B22E92">
        <w:rPr>
          <w:rFonts w:ascii="Book Antiqua" w:eastAsia="Book Antiqua" w:hAnsi="Book Antiqua" w:cs="Book Antiqua"/>
          <w:color w:val="000000"/>
        </w:rPr>
        <w:t>. Moreover, patients with MSI and CMS1 have a better OS and RFS compared to CMS2</w:t>
      </w:r>
      <w:r w:rsidR="006F0763" w:rsidRPr="00B22E92">
        <w:rPr>
          <w:rFonts w:ascii="Book Antiqua" w:eastAsia="Book Antiqua" w:hAnsi="Book Antiqua" w:cs="Book Antiqua"/>
          <w:color w:val="000000"/>
        </w:rPr>
        <w:t>-</w:t>
      </w:r>
      <w:r w:rsidRPr="00B22E92">
        <w:rPr>
          <w:rFonts w:ascii="Book Antiqua" w:eastAsia="Book Antiqua" w:hAnsi="Book Antiqua" w:cs="Book Antiqua"/>
          <w:color w:val="000000"/>
        </w:rPr>
        <w:t xml:space="preserve">4. Contrary to previous results, Purcell </w:t>
      </w:r>
      <w:r w:rsidRPr="00B22E92">
        <w:rPr>
          <w:rFonts w:ascii="Book Antiqua" w:eastAsia="Book Antiqua" w:hAnsi="Book Antiqua" w:cs="Book Antiqua"/>
          <w:i/>
          <w:iCs/>
          <w:color w:val="000000"/>
        </w:rPr>
        <w:t xml:space="preserve">et </w:t>
      </w:r>
      <w:proofErr w:type="gramStart"/>
      <w:r w:rsidRPr="00B22E92">
        <w:rPr>
          <w:rFonts w:ascii="Book Antiqua" w:eastAsia="Book Antiqua" w:hAnsi="Book Antiqua" w:cs="Book Antiqua"/>
          <w:i/>
          <w:iCs/>
          <w:color w:val="000000"/>
        </w:rPr>
        <w:t>al</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39]</w:t>
      </w:r>
      <w:r w:rsidRPr="00B22E92">
        <w:rPr>
          <w:rFonts w:ascii="Book Antiqua" w:eastAsia="Book Antiqua" w:hAnsi="Book Antiqua" w:cs="Book Antiqua"/>
          <w:color w:val="000000"/>
        </w:rPr>
        <w:t xml:space="preserve"> reported that stage II patients with CMS3 had a worse prognosis in OS than patients in CMS1</w:t>
      </w:r>
      <w:r w:rsidR="006F0763" w:rsidRPr="00B22E92">
        <w:rPr>
          <w:rFonts w:ascii="Book Antiqua" w:eastAsia="Book Antiqua" w:hAnsi="Book Antiqua" w:cs="Book Antiqua"/>
          <w:color w:val="000000"/>
        </w:rPr>
        <w:t>-</w:t>
      </w:r>
      <w:r w:rsidRPr="00B22E92">
        <w:rPr>
          <w:rFonts w:ascii="Book Antiqua" w:eastAsia="Book Antiqua" w:hAnsi="Book Antiqua" w:cs="Book Antiqua"/>
          <w:color w:val="000000"/>
        </w:rPr>
        <w:t xml:space="preserve">2, although an imbalance between CMS groups, with few CMS4 patients, could explain this result. Besides the possibility for CMS to determine CRC subtypes with worse prognosis for </w:t>
      </w:r>
      <w:r w:rsidRPr="00B22E92">
        <w:rPr>
          <w:rFonts w:ascii="Book Antiqua" w:eastAsia="Book Antiqua" w:hAnsi="Book Antiqua" w:cs="Book Antiqua"/>
          <w:color w:val="000000"/>
        </w:rPr>
        <w:lastRenderedPageBreak/>
        <w:t>proposing personalized treatments, CMS still needs more studies to define the differences in the prognosis of patients through the different TNM stages of CRC.</w:t>
      </w:r>
    </w:p>
    <w:p w14:paraId="5347299F" w14:textId="35B4B849"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t xml:space="preserve">In recent years, a special interest has emerged in defining molecular characteristics in patients with mCRC to select the best chemotherapy </w:t>
      </w:r>
      <w:proofErr w:type="gramStart"/>
      <w:r w:rsidRPr="00B22E92">
        <w:rPr>
          <w:rFonts w:ascii="Book Antiqua" w:eastAsia="Book Antiqua" w:hAnsi="Book Antiqua" w:cs="Book Antiqua"/>
          <w:color w:val="000000"/>
        </w:rPr>
        <w:t>regimen</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40]</w:t>
      </w:r>
      <w:r w:rsidRPr="00B22E92">
        <w:rPr>
          <w:rFonts w:ascii="Book Antiqua" w:eastAsia="Book Antiqua" w:hAnsi="Book Antiqua" w:cs="Book Antiqua"/>
          <w:color w:val="000000"/>
        </w:rPr>
        <w:t>. In particular, the applicability of CMS has been studied most in this subgroup of patients. An analysis of the CALGB/SWOG 80405</w:t>
      </w:r>
      <w:r w:rsidRPr="00B22E92">
        <w:rPr>
          <w:rFonts w:ascii="Book Antiqua" w:eastAsia="Book Antiqua" w:hAnsi="Book Antiqua" w:cs="Book Antiqua"/>
          <w:color w:val="000000"/>
          <w:vertAlign w:val="superscript"/>
        </w:rPr>
        <w:t>[16]</w:t>
      </w:r>
      <w:r w:rsidRPr="00B22E92">
        <w:rPr>
          <w:rFonts w:ascii="Book Antiqua" w:eastAsia="Book Antiqua" w:hAnsi="Book Antiqua" w:cs="Book Antiqua"/>
          <w:color w:val="000000"/>
        </w:rPr>
        <w:t xml:space="preserve"> trial determined the CMS of 664 patients using a genetic panel (</w:t>
      </w:r>
      <w:proofErr w:type="spellStart"/>
      <w:r w:rsidRPr="00B22E92">
        <w:rPr>
          <w:rFonts w:ascii="Book Antiqua" w:eastAsia="Book Antiqua" w:hAnsi="Book Antiqua" w:cs="Book Antiqua"/>
          <w:color w:val="000000"/>
        </w:rPr>
        <w:t>NanoString</w:t>
      </w:r>
      <w:proofErr w:type="spellEnd"/>
      <w:r w:rsidRPr="00B22E92">
        <w:rPr>
          <w:rFonts w:ascii="Book Antiqua" w:eastAsia="Book Antiqua" w:hAnsi="Book Antiqua" w:cs="Book Antiqua"/>
          <w:color w:val="000000"/>
        </w:rPr>
        <w:t xml:space="preserve">). It found a positive relationship between OS and progression-free survival (PFS) and each CMS, determining a mean survival (months) of 15 for CMS1, 40.3 for CMS2, 24.3 for CMS3, and 31.4 for CM4, independent of assigned first-line chemotherapy treatment. In a sub-analysis of the AGITG MAX trial, 237 patients with mCRC were classified by CMS using an Almac Xcel microarray assay. A statistically significant association was found between CMS and OS, but not with PFS, independent of assigned first-line chemotherapy treatment. Similar OS were reported: CMS2 had the larger OS (median 24.2 </w:t>
      </w:r>
      <w:proofErr w:type="spellStart"/>
      <w:r w:rsidRPr="00B22E92">
        <w:rPr>
          <w:rFonts w:ascii="Book Antiqua" w:eastAsia="Book Antiqua" w:hAnsi="Book Antiqua" w:cs="Book Antiqua"/>
          <w:color w:val="000000"/>
        </w:rPr>
        <w:t>mo</w:t>
      </w:r>
      <w:proofErr w:type="spellEnd"/>
      <w:r w:rsidRPr="00B22E92">
        <w:rPr>
          <w:rFonts w:ascii="Book Antiqua" w:eastAsia="Book Antiqua" w:hAnsi="Book Antiqua" w:cs="Book Antiqua"/>
          <w:color w:val="000000"/>
        </w:rPr>
        <w:t xml:space="preserve">), CMS1 had the worst (8.8 </w:t>
      </w:r>
      <w:proofErr w:type="spellStart"/>
      <w:r w:rsidRPr="00B22E92">
        <w:rPr>
          <w:rFonts w:ascii="Book Antiqua" w:eastAsia="Book Antiqua" w:hAnsi="Book Antiqua" w:cs="Book Antiqua"/>
          <w:color w:val="000000"/>
        </w:rPr>
        <w:t>mo</w:t>
      </w:r>
      <w:proofErr w:type="spellEnd"/>
      <w:r w:rsidRPr="00B22E92">
        <w:rPr>
          <w:rFonts w:ascii="Book Antiqua" w:eastAsia="Book Antiqua" w:hAnsi="Book Antiqua" w:cs="Book Antiqua"/>
          <w:color w:val="000000"/>
        </w:rPr>
        <w:t xml:space="preserve">), and CMS3 (17.6 </w:t>
      </w:r>
      <w:proofErr w:type="spellStart"/>
      <w:r w:rsidRPr="00B22E92">
        <w:rPr>
          <w:rFonts w:ascii="Book Antiqua" w:eastAsia="Book Antiqua" w:hAnsi="Book Antiqua" w:cs="Book Antiqua"/>
          <w:color w:val="000000"/>
        </w:rPr>
        <w:t>mo</w:t>
      </w:r>
      <w:proofErr w:type="spellEnd"/>
      <w:r w:rsidRPr="00B22E92">
        <w:rPr>
          <w:rFonts w:ascii="Book Antiqua" w:eastAsia="Book Antiqua" w:hAnsi="Book Antiqua" w:cs="Book Antiqua"/>
          <w:color w:val="000000"/>
        </w:rPr>
        <w:t xml:space="preserve">) and CMS4 (21.4 </w:t>
      </w:r>
      <w:proofErr w:type="spellStart"/>
      <w:r w:rsidRPr="00B22E92">
        <w:rPr>
          <w:rFonts w:ascii="Book Antiqua" w:eastAsia="Book Antiqua" w:hAnsi="Book Antiqua" w:cs="Book Antiqua"/>
          <w:color w:val="000000"/>
        </w:rPr>
        <w:t>mo</w:t>
      </w:r>
      <w:proofErr w:type="spellEnd"/>
      <w:r w:rsidRPr="00B22E92">
        <w:rPr>
          <w:rFonts w:ascii="Book Antiqua" w:eastAsia="Book Antiqua" w:hAnsi="Book Antiqua" w:cs="Book Antiqua"/>
          <w:color w:val="000000"/>
        </w:rPr>
        <w:t xml:space="preserve">) had intermediate </w:t>
      </w:r>
      <w:proofErr w:type="gramStart"/>
      <w:r w:rsidRPr="00B22E92">
        <w:rPr>
          <w:rFonts w:ascii="Book Antiqua" w:eastAsia="Book Antiqua" w:hAnsi="Book Antiqua" w:cs="Book Antiqua"/>
          <w:color w:val="000000"/>
        </w:rPr>
        <w:t>OS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41]</w:t>
      </w:r>
      <w:r w:rsidRPr="00B22E92">
        <w:rPr>
          <w:rFonts w:ascii="Book Antiqua" w:eastAsia="Book Antiqua" w:hAnsi="Book Antiqua" w:cs="Book Antiqua"/>
          <w:color w:val="000000"/>
        </w:rPr>
        <w:t xml:space="preserve">. Similarly, the FIRE-3 </w:t>
      </w:r>
      <w:proofErr w:type="gramStart"/>
      <w:r w:rsidRPr="00B22E92">
        <w:rPr>
          <w:rFonts w:ascii="Book Antiqua" w:eastAsia="Book Antiqua" w:hAnsi="Book Antiqua" w:cs="Book Antiqua"/>
          <w:color w:val="000000"/>
        </w:rPr>
        <w:t>trial</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20]</w:t>
      </w:r>
      <w:r w:rsidRPr="00B22E92">
        <w:rPr>
          <w:rFonts w:ascii="Book Antiqua" w:eastAsia="Book Antiqua" w:hAnsi="Book Antiqua" w:cs="Book Antiqua"/>
          <w:color w:val="000000"/>
        </w:rPr>
        <w:t xml:space="preserve"> that included 438 patients categorized by CMS using the Almac Xcel microarray showed a correlation with OS and PFS independent of assigned treatment, with a worse mean OS in CMS1 (15.9 </w:t>
      </w:r>
      <w:proofErr w:type="spellStart"/>
      <w:r w:rsidRPr="00B22E92">
        <w:rPr>
          <w:rFonts w:ascii="Book Antiqua" w:eastAsia="Book Antiqua" w:hAnsi="Book Antiqua" w:cs="Book Antiqua"/>
          <w:color w:val="000000"/>
        </w:rPr>
        <w:t>mo</w:t>
      </w:r>
      <w:proofErr w:type="spellEnd"/>
      <w:r w:rsidRPr="00B22E92">
        <w:rPr>
          <w:rFonts w:ascii="Book Antiqua" w:eastAsia="Book Antiqua" w:hAnsi="Book Antiqua" w:cs="Book Antiqua"/>
          <w:color w:val="000000"/>
        </w:rPr>
        <w:t xml:space="preserve">) and better OS in CM2 (29.0 </w:t>
      </w:r>
      <w:proofErr w:type="spellStart"/>
      <w:r w:rsidRPr="00B22E92">
        <w:rPr>
          <w:rFonts w:ascii="Book Antiqua" w:eastAsia="Book Antiqua" w:hAnsi="Book Antiqua" w:cs="Book Antiqua"/>
          <w:color w:val="000000"/>
        </w:rPr>
        <w:t>mo</w:t>
      </w:r>
      <w:proofErr w:type="spellEnd"/>
      <w:r w:rsidRPr="00B22E92">
        <w:rPr>
          <w:rFonts w:ascii="Book Antiqua" w:eastAsia="Book Antiqua" w:hAnsi="Book Antiqua" w:cs="Book Antiqua"/>
          <w:color w:val="000000"/>
        </w:rPr>
        <w:t xml:space="preserve">). </w:t>
      </w:r>
      <w:r w:rsidR="006F0763" w:rsidRPr="00B22E92">
        <w:rPr>
          <w:rFonts w:ascii="Book Antiqua" w:eastAsia="Book Antiqua" w:hAnsi="Book Antiqua" w:cs="Book Antiqua"/>
          <w:color w:val="000000"/>
        </w:rPr>
        <w:t xml:space="preserve">Whilst </w:t>
      </w:r>
      <w:r w:rsidRPr="00B22E92">
        <w:rPr>
          <w:rFonts w:ascii="Book Antiqua" w:eastAsia="Book Antiqua" w:hAnsi="Book Antiqua" w:cs="Book Antiqua"/>
          <w:color w:val="000000"/>
        </w:rPr>
        <w:t xml:space="preserve">CM3 (18.6 </w:t>
      </w:r>
      <w:proofErr w:type="spellStart"/>
      <w:r w:rsidRPr="00B22E92">
        <w:rPr>
          <w:rFonts w:ascii="Book Antiqua" w:eastAsia="Book Antiqua" w:hAnsi="Book Antiqua" w:cs="Book Antiqua"/>
          <w:color w:val="000000"/>
        </w:rPr>
        <w:t>mo</w:t>
      </w:r>
      <w:proofErr w:type="spellEnd"/>
      <w:r w:rsidRPr="00B22E92">
        <w:rPr>
          <w:rFonts w:ascii="Book Antiqua" w:eastAsia="Book Antiqua" w:hAnsi="Book Antiqua" w:cs="Book Antiqua"/>
          <w:color w:val="000000"/>
        </w:rPr>
        <w:t xml:space="preserve">) and CMS4 (24.8 </w:t>
      </w:r>
      <w:proofErr w:type="spellStart"/>
      <w:r w:rsidRPr="00B22E92">
        <w:rPr>
          <w:rFonts w:ascii="Book Antiqua" w:eastAsia="Book Antiqua" w:hAnsi="Book Antiqua" w:cs="Book Antiqua"/>
          <w:color w:val="000000"/>
        </w:rPr>
        <w:t>mo</w:t>
      </w:r>
      <w:proofErr w:type="spellEnd"/>
      <w:r w:rsidRPr="00B22E92">
        <w:rPr>
          <w:rFonts w:ascii="Book Antiqua" w:eastAsia="Book Antiqua" w:hAnsi="Book Antiqua" w:cs="Book Antiqua"/>
          <w:color w:val="000000"/>
        </w:rPr>
        <w:t>) had a medium OS. Similar results were also reported by a retrospective analysis finding a worse OS in CMS1 and a better OS in CMS2</w:t>
      </w:r>
      <w:r w:rsidRPr="00B22E92">
        <w:rPr>
          <w:rFonts w:ascii="Book Antiqua" w:eastAsia="Book Antiqua" w:hAnsi="Book Antiqua" w:cs="Book Antiqua"/>
          <w:color w:val="000000"/>
          <w:vertAlign w:val="superscript"/>
        </w:rPr>
        <w:t>[42]</w:t>
      </w:r>
      <w:r w:rsidRPr="00B22E92">
        <w:rPr>
          <w:rFonts w:ascii="Book Antiqua" w:eastAsia="Book Antiqua" w:hAnsi="Book Antiqua" w:cs="Book Antiqua"/>
          <w:color w:val="000000"/>
        </w:rPr>
        <w:t>. Finally, a retrospective analysis of the TRIBE2 trial found better PFS and OS outcomes in CMS2 and CMS4 compared to CMS1 and CMS3</w:t>
      </w:r>
      <w:r w:rsidRPr="00B22E92">
        <w:rPr>
          <w:rFonts w:ascii="Book Antiqua" w:eastAsia="Book Antiqua" w:hAnsi="Book Antiqua" w:cs="Book Antiqua"/>
          <w:color w:val="000000"/>
          <w:vertAlign w:val="superscript"/>
        </w:rPr>
        <w:t>[43]</w:t>
      </w:r>
      <w:r w:rsidRPr="00B22E92">
        <w:rPr>
          <w:rFonts w:ascii="Book Antiqua" w:eastAsia="Book Antiqua" w:hAnsi="Book Antiqua" w:cs="Book Antiqua"/>
          <w:color w:val="000000"/>
        </w:rPr>
        <w:t>. A summary of the main prognoses in published reports of CMS is shown in Table 1. Questions remain in the prognosis of each CMS, especially when analyzing the results at each stage measured by TNM. However, encouraging results have been seen when predicting the subtypes of patients with worse prognoses in mCRC and stage II, opening possibilities to propose personalized treatments based on the molecular landscape of the CRC of each patient.</w:t>
      </w:r>
    </w:p>
    <w:p w14:paraId="6C1489D5" w14:textId="77777777" w:rsidR="00A77B3E" w:rsidRPr="00B22E92" w:rsidRDefault="00A77B3E" w:rsidP="00B22E92">
      <w:pPr>
        <w:spacing w:line="360" w:lineRule="auto"/>
        <w:jc w:val="both"/>
        <w:rPr>
          <w:rFonts w:ascii="Book Antiqua" w:hAnsi="Book Antiqua"/>
        </w:rPr>
      </w:pPr>
    </w:p>
    <w:p w14:paraId="6AF89EBF"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aps/>
          <w:color w:val="000000"/>
          <w:u w:val="single"/>
        </w:rPr>
        <w:t>IMPORTANCE OF CONSIDERING CMS FOR FUTURE CLINICAL TRIALS</w:t>
      </w:r>
    </w:p>
    <w:p w14:paraId="5EEEF4A7" w14:textId="2BB3F3C1"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color w:val="000000"/>
        </w:rPr>
        <w:lastRenderedPageBreak/>
        <w:t xml:space="preserve">Considering the significant recent advances in the molecular and genetic profile of CRC through CMS classification, this knowledge must be projected using a proof-of-concept approach, applying it in clinical </w:t>
      </w:r>
      <w:proofErr w:type="gramStart"/>
      <w:r w:rsidRPr="00B22E92">
        <w:rPr>
          <w:rFonts w:ascii="Book Antiqua" w:eastAsia="Book Antiqua" w:hAnsi="Book Antiqua" w:cs="Book Antiqua"/>
          <w:color w:val="000000"/>
        </w:rPr>
        <w:t>trials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17]</w:t>
      </w:r>
      <w:r w:rsidRPr="00B22E92">
        <w:rPr>
          <w:rFonts w:ascii="Book Antiqua" w:eastAsia="Book Antiqua" w:hAnsi="Book Antiqua" w:cs="Book Antiqua"/>
          <w:color w:val="000000"/>
        </w:rPr>
        <w:t xml:space="preserve">. Patient selection by CMS characterization could be a crucial step in cancer staging and personalized treatment guided by biomarker selection. However, CMS interpretation in the context of clinical trials has some factors that need to be considered when interpreting the results, such as the sample collection site (colon </w:t>
      </w:r>
      <w:r w:rsidRPr="00B22E92">
        <w:rPr>
          <w:rFonts w:ascii="Book Antiqua" w:eastAsia="Book Antiqua" w:hAnsi="Book Antiqua" w:cs="Book Antiqua"/>
          <w:i/>
          <w:iCs/>
          <w:color w:val="000000"/>
        </w:rPr>
        <w:t>vs</w:t>
      </w:r>
      <w:r w:rsidRPr="00B22E92">
        <w:rPr>
          <w:rFonts w:ascii="Book Antiqua" w:eastAsia="Book Antiqua" w:hAnsi="Book Antiqua" w:cs="Book Antiqua"/>
          <w:color w:val="000000"/>
        </w:rPr>
        <w:t xml:space="preserve">. rectum), the trial inclusion and exclusion criteria, the first-line chemotherapy scheme used, specific mutations that alone produce different outcomes, and the method used to predict the </w:t>
      </w:r>
      <w:proofErr w:type="gramStart"/>
      <w:r w:rsidRPr="00B22E92">
        <w:rPr>
          <w:rFonts w:ascii="Book Antiqua" w:eastAsia="Book Antiqua" w:hAnsi="Book Antiqua" w:cs="Book Antiqua"/>
          <w:color w:val="000000"/>
        </w:rPr>
        <w:t>CMS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44]</w:t>
      </w:r>
      <w:r w:rsidRPr="00B22E92">
        <w:rPr>
          <w:rFonts w:ascii="Book Antiqua" w:eastAsia="Book Antiqua" w:hAnsi="Book Antiqua" w:cs="Book Antiqua"/>
          <w:color w:val="000000"/>
        </w:rPr>
        <w:t xml:space="preserve">. Despite these limitations, the identification of CMS in future clinical trials is projected to allow better precision in selecting specific treatments for each patient, especially in the use of immunotherapy for </w:t>
      </w:r>
      <w:proofErr w:type="gramStart"/>
      <w:r w:rsidRPr="00B22E92">
        <w:rPr>
          <w:rFonts w:ascii="Book Antiqua" w:eastAsia="Book Antiqua" w:hAnsi="Book Antiqua" w:cs="Book Antiqua"/>
          <w:color w:val="000000"/>
        </w:rPr>
        <w:t>mCRC</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10,45]</w:t>
      </w:r>
      <w:r w:rsidRPr="00B22E92">
        <w:rPr>
          <w:rFonts w:ascii="Book Antiqua" w:eastAsia="Book Antiqua" w:hAnsi="Book Antiqua" w:cs="Book Antiqua"/>
          <w:color w:val="000000"/>
        </w:rPr>
        <w:t>. In the case of immunotherapy, ongoing trials (NCT03436563) are testing M7824 treatment, an anti-PD-L1/</w:t>
      </w:r>
      <w:r w:rsidR="006F0763" w:rsidRPr="00B22E92">
        <w:rPr>
          <w:rFonts w:ascii="Book Antiqua" w:eastAsia="Book Antiqua" w:hAnsi="Book Antiqua" w:cs="Book Antiqua"/>
          <w:color w:val="000000"/>
        </w:rPr>
        <w:t xml:space="preserve">TGF-β </w:t>
      </w:r>
      <w:r w:rsidRPr="00B22E92">
        <w:rPr>
          <w:rFonts w:ascii="Book Antiqua" w:eastAsia="Book Antiqua" w:hAnsi="Book Antiqua" w:cs="Book Antiqua"/>
          <w:color w:val="000000"/>
        </w:rPr>
        <w:t xml:space="preserve">Trap fusion protein. This treatment has demonstrated an anti-tumor response by </w:t>
      </w:r>
      <w:r w:rsidR="006F0763" w:rsidRPr="00B22E92">
        <w:rPr>
          <w:rFonts w:ascii="Book Antiqua" w:eastAsia="Book Antiqua" w:hAnsi="Book Antiqua" w:cs="Book Antiqua"/>
          <w:color w:val="000000"/>
        </w:rPr>
        <w:t>TGF-β</w:t>
      </w:r>
      <w:r w:rsidRPr="00B22E92">
        <w:rPr>
          <w:rFonts w:ascii="Book Antiqua" w:eastAsia="Book Antiqua" w:hAnsi="Book Antiqua" w:cs="Book Antiqua"/>
          <w:color w:val="000000"/>
        </w:rPr>
        <w:t xml:space="preserve">and PD-L1 immunosuppressive pathways with successful results in murine CRC </w:t>
      </w:r>
      <w:proofErr w:type="gramStart"/>
      <w:r w:rsidRPr="00B22E92">
        <w:rPr>
          <w:rFonts w:ascii="Book Antiqua" w:eastAsia="Book Antiqua" w:hAnsi="Book Antiqua" w:cs="Book Antiqua"/>
          <w:color w:val="000000"/>
        </w:rPr>
        <w:t>models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46,47]</w:t>
      </w:r>
      <w:r w:rsidRPr="00B22E92">
        <w:rPr>
          <w:rFonts w:ascii="Book Antiqua" w:eastAsia="Book Antiqua" w:hAnsi="Book Antiqua" w:cs="Book Antiqua"/>
          <w:color w:val="000000"/>
        </w:rPr>
        <w:t xml:space="preserve">. It has been proposed as a possible treatment for CMS4 because it activates the </w:t>
      </w:r>
      <w:r w:rsidR="006F0763" w:rsidRPr="00B22E92">
        <w:rPr>
          <w:rFonts w:ascii="Book Antiqua" w:eastAsia="Book Antiqua" w:hAnsi="Book Antiqua" w:cs="Book Antiqua"/>
          <w:color w:val="000000"/>
        </w:rPr>
        <w:t>TGF-</w:t>
      </w:r>
      <w:proofErr w:type="gramStart"/>
      <w:r w:rsidRPr="00B22E92">
        <w:rPr>
          <w:rFonts w:ascii="Book Antiqua" w:eastAsia="Book Antiqua" w:hAnsi="Book Antiqua" w:cs="Book Antiqua"/>
          <w:color w:val="000000"/>
        </w:rPr>
        <w:t>pathway</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9,48]</w:t>
      </w:r>
      <w:r w:rsidRPr="00B22E92">
        <w:rPr>
          <w:rFonts w:ascii="Book Antiqua" w:eastAsia="Book Antiqua" w:hAnsi="Book Antiqua" w:cs="Book Antiqua"/>
          <w:color w:val="000000"/>
        </w:rPr>
        <w:t>. In addition, CMS identification could allow selecting a personalized first-line chemotherapy regimen in mCRC. For instance, a possible hypothesis has recently been proposed after analysis through CMS classification in two important clinical trials, FIRE-3</w:t>
      </w:r>
      <w:r w:rsidRPr="00B22E92">
        <w:rPr>
          <w:rFonts w:ascii="Book Antiqua" w:eastAsia="Book Antiqua" w:hAnsi="Book Antiqua" w:cs="Book Antiqua"/>
          <w:color w:val="000000"/>
          <w:vertAlign w:val="superscript"/>
        </w:rPr>
        <w:t>[20]</w:t>
      </w:r>
      <w:r w:rsidRPr="00B22E92">
        <w:rPr>
          <w:rFonts w:ascii="Book Antiqua" w:eastAsia="Book Antiqua" w:hAnsi="Book Antiqua" w:cs="Book Antiqua"/>
          <w:color w:val="000000"/>
        </w:rPr>
        <w:t xml:space="preserve"> and CALGB/SWOG 80405</w:t>
      </w:r>
      <w:r w:rsidRPr="00B22E92">
        <w:rPr>
          <w:rFonts w:ascii="Book Antiqua" w:eastAsia="Book Antiqua" w:hAnsi="Book Antiqua" w:cs="Book Antiqua"/>
          <w:color w:val="000000"/>
          <w:vertAlign w:val="superscript"/>
        </w:rPr>
        <w:t>[16]</w:t>
      </w:r>
      <w:r w:rsidRPr="00B22E92">
        <w:rPr>
          <w:rFonts w:ascii="Book Antiqua" w:eastAsia="Book Antiqua" w:hAnsi="Book Antiqua" w:cs="Book Antiqua"/>
          <w:color w:val="000000"/>
        </w:rPr>
        <w:t xml:space="preserve">, which both compared the response to first-line chemotherapy in addition to cetuximab or bevacizumab. The authors theorized that the combination of irinotecan and cetuximab in all CMS classification, when patients have received oxaliplatin, has a synergic effect in CMS2 and CMS3, but in CMS1 and CMS4 it has an antagonistic effect due to the poor efficacy of oxaliplatin in a fibroblast-rich </w:t>
      </w:r>
      <w:proofErr w:type="gramStart"/>
      <w:r w:rsidRPr="00B22E92">
        <w:rPr>
          <w:rFonts w:ascii="Book Antiqua" w:eastAsia="Book Antiqua" w:hAnsi="Book Antiqua" w:cs="Book Antiqua"/>
          <w:color w:val="000000"/>
        </w:rPr>
        <w:t>microenvironment</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49]</w:t>
      </w:r>
      <w:r w:rsidRPr="00B22E92">
        <w:rPr>
          <w:rFonts w:ascii="Book Antiqua" w:eastAsia="Book Antiqua" w:hAnsi="Book Antiqua" w:cs="Book Antiqua"/>
          <w:color w:val="000000"/>
        </w:rPr>
        <w:t xml:space="preserve">. Recently, different retrospective studies of clinical trials have shown associations between CMS and the prognosis of different chemotherapy </w:t>
      </w:r>
      <w:proofErr w:type="gramStart"/>
      <w:r w:rsidRPr="00B22E92">
        <w:rPr>
          <w:rFonts w:ascii="Book Antiqua" w:eastAsia="Book Antiqua" w:hAnsi="Book Antiqua" w:cs="Book Antiqua"/>
          <w:color w:val="000000"/>
        </w:rPr>
        <w:t>regimens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43,50]</w:t>
      </w:r>
      <w:r w:rsidRPr="00B22E92">
        <w:rPr>
          <w:rFonts w:ascii="Book Antiqua" w:eastAsia="Book Antiqua" w:hAnsi="Book Antiqua" w:cs="Book Antiqua"/>
          <w:color w:val="000000"/>
        </w:rPr>
        <w:t>. However, these results must be confirmed using clinical trials with prospective designs that include different CMS patients.</w:t>
      </w:r>
    </w:p>
    <w:p w14:paraId="102CA0D5" w14:textId="77777777" w:rsidR="00A77B3E" w:rsidRPr="00B22E92" w:rsidRDefault="00A77B3E" w:rsidP="00B22E92">
      <w:pPr>
        <w:spacing w:line="360" w:lineRule="auto"/>
        <w:jc w:val="both"/>
        <w:rPr>
          <w:rFonts w:ascii="Book Antiqua" w:hAnsi="Book Antiqua"/>
        </w:rPr>
      </w:pPr>
    </w:p>
    <w:p w14:paraId="1B22D004"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aps/>
          <w:color w:val="000000"/>
          <w:u w:val="single"/>
        </w:rPr>
        <w:lastRenderedPageBreak/>
        <w:t>CONCLUSION</w:t>
      </w:r>
    </w:p>
    <w:p w14:paraId="2192EB9E" w14:textId="77777777" w:rsidR="00A77B3E" w:rsidRPr="00B22E92" w:rsidRDefault="000A5288" w:rsidP="00B22E92">
      <w:pPr>
        <w:spacing w:line="360" w:lineRule="auto"/>
        <w:jc w:val="both"/>
        <w:rPr>
          <w:rFonts w:ascii="Book Antiqua" w:hAnsi="Book Antiqua"/>
        </w:rPr>
      </w:pPr>
      <w:bookmarkStart w:id="8" w:name="OLE_LINK78"/>
      <w:r w:rsidRPr="00B22E92">
        <w:rPr>
          <w:rFonts w:ascii="Book Antiqua" w:eastAsia="Book Antiqua" w:hAnsi="Book Antiqua" w:cs="Book Antiqua"/>
          <w:color w:val="000000"/>
        </w:rPr>
        <w:t>The CMS provides an interesting opportunity to explore the heterogeneity of CRC. CMS classification can approximate research in frequently unsolved daily clinical practice problems. For instance, in patients with stage II colon cancer, where the benefit of chemotherapy is still unclear, CMS classification could determine which patients would benefit from adjuvant chemotherapy. Likewise, CMS will allow defining the best first-line chemotherapy regimen in mCRC. Understanding the genetic profile of tumors could allow developing new interventions to target treatments that address specific pathways to each molecular subtype. Therefore, CMS comprehension is a crucial step towards personalized medicine, though any interesting perspective must be proven through prospective clinical trials selecting patients by CMS.</w:t>
      </w:r>
    </w:p>
    <w:bookmarkEnd w:id="8"/>
    <w:p w14:paraId="1C65CECA" w14:textId="77777777" w:rsidR="00A77B3E" w:rsidRPr="00B22E92" w:rsidRDefault="00A77B3E" w:rsidP="00B22E92">
      <w:pPr>
        <w:spacing w:line="360" w:lineRule="auto"/>
        <w:jc w:val="both"/>
        <w:rPr>
          <w:rFonts w:ascii="Book Antiqua" w:hAnsi="Book Antiqua"/>
        </w:rPr>
      </w:pPr>
    </w:p>
    <w:p w14:paraId="08BACC51"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aps/>
          <w:color w:val="000000"/>
          <w:u w:val="single"/>
        </w:rPr>
        <w:t>ACKNOWLEDGEMENTS</w:t>
      </w:r>
    </w:p>
    <w:p w14:paraId="013CE3FF" w14:textId="2297D1F9" w:rsidR="00A77B3E" w:rsidRPr="00B22E92" w:rsidRDefault="000A5288" w:rsidP="00B22E92">
      <w:pPr>
        <w:spacing w:line="360" w:lineRule="auto"/>
        <w:jc w:val="both"/>
        <w:rPr>
          <w:rFonts w:ascii="Book Antiqua" w:hAnsi="Book Antiqua"/>
        </w:rPr>
      </w:pPr>
      <w:bookmarkStart w:id="9" w:name="OLE_LINK79"/>
      <w:r w:rsidRPr="00B22E92">
        <w:rPr>
          <w:rFonts w:ascii="Book Antiqua" w:eastAsia="Book Antiqua" w:hAnsi="Book Antiqua" w:cs="Book Antiqua"/>
          <w:color w:val="000000"/>
        </w:rPr>
        <w:t xml:space="preserve">We thank the staff of the </w:t>
      </w:r>
      <w:r w:rsidR="006F0763" w:rsidRPr="00B22E92">
        <w:rPr>
          <w:rFonts w:ascii="Book Antiqua" w:eastAsia="Book Antiqua" w:hAnsi="Book Antiqua" w:cs="Book Antiqua"/>
          <w:color w:val="000000"/>
        </w:rPr>
        <w:t xml:space="preserve">Oncology Department </w:t>
      </w:r>
      <w:r w:rsidRPr="00B22E92">
        <w:rPr>
          <w:rFonts w:ascii="Book Antiqua" w:eastAsia="Book Antiqua" w:hAnsi="Book Antiqua" w:cs="Book Antiqua"/>
          <w:color w:val="000000"/>
        </w:rPr>
        <w:t xml:space="preserve">of the Hospital </w:t>
      </w:r>
      <w:proofErr w:type="spellStart"/>
      <w:r w:rsidRPr="00B22E92">
        <w:rPr>
          <w:rFonts w:ascii="Book Antiqua" w:eastAsia="Book Antiqua" w:hAnsi="Book Antiqua" w:cs="Book Antiqua"/>
          <w:color w:val="000000"/>
        </w:rPr>
        <w:t>Clinico</w:t>
      </w:r>
      <w:proofErr w:type="spellEnd"/>
      <w:r w:rsidRPr="00B22E92">
        <w:rPr>
          <w:rFonts w:ascii="Book Antiqua" w:eastAsia="Book Antiqua" w:hAnsi="Book Antiqua" w:cs="Book Antiqua"/>
          <w:color w:val="000000"/>
        </w:rPr>
        <w:t xml:space="preserve"> de la Universidad de Chile for their help in the research projects about colorectal cancer genomics.</w:t>
      </w:r>
    </w:p>
    <w:bookmarkEnd w:id="9"/>
    <w:p w14:paraId="18035354" w14:textId="77777777" w:rsidR="00A77B3E" w:rsidRPr="00B22E92" w:rsidRDefault="00A77B3E" w:rsidP="00B22E92">
      <w:pPr>
        <w:spacing w:line="360" w:lineRule="auto"/>
        <w:jc w:val="both"/>
        <w:rPr>
          <w:rFonts w:ascii="Book Antiqua" w:hAnsi="Book Antiqua"/>
        </w:rPr>
      </w:pPr>
    </w:p>
    <w:p w14:paraId="6B74889E" w14:textId="53548361"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REFERENCES</w:t>
      </w:r>
    </w:p>
    <w:p w14:paraId="63998D11" w14:textId="77777777" w:rsidR="00B107E9" w:rsidRPr="00B22E92" w:rsidRDefault="00B107E9" w:rsidP="00B22E92">
      <w:pPr>
        <w:spacing w:line="360" w:lineRule="auto"/>
        <w:jc w:val="both"/>
        <w:rPr>
          <w:rFonts w:ascii="Book Antiqua" w:hAnsi="Book Antiqua"/>
        </w:rPr>
      </w:pPr>
      <w:bookmarkStart w:id="10" w:name="OLE_LINK80"/>
      <w:r w:rsidRPr="00B22E92">
        <w:rPr>
          <w:rFonts w:ascii="Book Antiqua" w:hAnsi="Book Antiqua"/>
        </w:rPr>
        <w:t xml:space="preserve">1 </w:t>
      </w:r>
      <w:r w:rsidRPr="00B22E92">
        <w:rPr>
          <w:rFonts w:ascii="Book Antiqua" w:hAnsi="Book Antiqua"/>
          <w:b/>
          <w:bCs/>
        </w:rPr>
        <w:t>Sung H</w:t>
      </w:r>
      <w:r w:rsidRPr="00B22E92">
        <w:rPr>
          <w:rFonts w:ascii="Book Antiqua" w:hAnsi="Book Antiqua"/>
        </w:rPr>
        <w:t xml:space="preserve">, </w:t>
      </w:r>
      <w:proofErr w:type="spellStart"/>
      <w:r w:rsidRPr="00B22E92">
        <w:rPr>
          <w:rFonts w:ascii="Book Antiqua" w:hAnsi="Book Antiqua"/>
        </w:rPr>
        <w:t>Ferlay</w:t>
      </w:r>
      <w:proofErr w:type="spellEnd"/>
      <w:r w:rsidRPr="00B22E92">
        <w:rPr>
          <w:rFonts w:ascii="Book Antiqua" w:hAnsi="Book Antiqua"/>
        </w:rPr>
        <w:t xml:space="preserve"> J, Siegel RL, </w:t>
      </w:r>
      <w:proofErr w:type="spellStart"/>
      <w:r w:rsidRPr="00B22E92">
        <w:rPr>
          <w:rFonts w:ascii="Book Antiqua" w:hAnsi="Book Antiqua"/>
        </w:rPr>
        <w:t>Laversanne</w:t>
      </w:r>
      <w:proofErr w:type="spellEnd"/>
      <w:r w:rsidRPr="00B22E92">
        <w:rPr>
          <w:rFonts w:ascii="Book Antiqua" w:hAnsi="Book Antiqua"/>
        </w:rPr>
        <w:t xml:space="preserve"> M, </w:t>
      </w:r>
      <w:proofErr w:type="spellStart"/>
      <w:r w:rsidRPr="00B22E92">
        <w:rPr>
          <w:rFonts w:ascii="Book Antiqua" w:hAnsi="Book Antiqua"/>
        </w:rPr>
        <w:t>Soerjomataram</w:t>
      </w:r>
      <w:proofErr w:type="spellEnd"/>
      <w:r w:rsidRPr="00B22E92">
        <w:rPr>
          <w:rFonts w:ascii="Book Antiqua" w:hAnsi="Book Antiqua"/>
        </w:rPr>
        <w:t xml:space="preserve"> I, Jemal A, Bray F. Global Cancer Statistics 2020: GLOBOCAN Estimates of Incidence and Mortality Worldwide for 36 Cancers in 185 Countries. </w:t>
      </w:r>
      <w:r w:rsidRPr="00B22E92">
        <w:rPr>
          <w:rFonts w:ascii="Book Antiqua" w:hAnsi="Book Antiqua"/>
          <w:i/>
          <w:iCs/>
        </w:rPr>
        <w:t>CA Cancer J Clin</w:t>
      </w:r>
      <w:r w:rsidRPr="00B22E92">
        <w:rPr>
          <w:rFonts w:ascii="Book Antiqua" w:hAnsi="Book Antiqua"/>
        </w:rPr>
        <w:t xml:space="preserve"> 2021; </w:t>
      </w:r>
      <w:r w:rsidRPr="00B22E92">
        <w:rPr>
          <w:rFonts w:ascii="Book Antiqua" w:hAnsi="Book Antiqua"/>
          <w:b/>
          <w:bCs/>
        </w:rPr>
        <w:t>71</w:t>
      </w:r>
      <w:r w:rsidRPr="00B22E92">
        <w:rPr>
          <w:rFonts w:ascii="Book Antiqua" w:hAnsi="Book Antiqua"/>
        </w:rPr>
        <w:t>: 209-249 [PMID: 33538338 DOI: 10.3322/caac.21660]</w:t>
      </w:r>
    </w:p>
    <w:p w14:paraId="14C5ABD5" w14:textId="77777777" w:rsidR="00B107E9" w:rsidRPr="00B22E92" w:rsidRDefault="00B107E9" w:rsidP="00B22E92">
      <w:pPr>
        <w:spacing w:line="360" w:lineRule="auto"/>
        <w:jc w:val="both"/>
        <w:rPr>
          <w:rFonts w:ascii="Book Antiqua" w:hAnsi="Book Antiqua"/>
        </w:rPr>
      </w:pPr>
      <w:r w:rsidRPr="00B22E92">
        <w:rPr>
          <w:rFonts w:ascii="Book Antiqua" w:hAnsi="Book Antiqua"/>
        </w:rPr>
        <w:t>2 World Health Organization. Global Cancer Observatory. [Internet]. Geneva: 2021. Available from: https://gco.iarc.fr/</w:t>
      </w:r>
    </w:p>
    <w:p w14:paraId="7E5DB802"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3 </w:t>
      </w:r>
      <w:r w:rsidRPr="00B22E92">
        <w:rPr>
          <w:rFonts w:ascii="Book Antiqua" w:hAnsi="Book Antiqua"/>
          <w:b/>
          <w:bCs/>
        </w:rPr>
        <w:t xml:space="preserve">Van </w:t>
      </w:r>
      <w:proofErr w:type="spellStart"/>
      <w:r w:rsidRPr="00B22E92">
        <w:rPr>
          <w:rFonts w:ascii="Book Antiqua" w:hAnsi="Book Antiqua"/>
          <w:b/>
          <w:bCs/>
        </w:rPr>
        <w:t>Cutsem</w:t>
      </w:r>
      <w:proofErr w:type="spellEnd"/>
      <w:r w:rsidRPr="00B22E92">
        <w:rPr>
          <w:rFonts w:ascii="Book Antiqua" w:hAnsi="Book Antiqua"/>
          <w:b/>
          <w:bCs/>
        </w:rPr>
        <w:t xml:space="preserve"> E</w:t>
      </w:r>
      <w:r w:rsidRPr="00B22E92">
        <w:rPr>
          <w:rFonts w:ascii="Book Antiqua" w:hAnsi="Book Antiqua"/>
        </w:rPr>
        <w:t xml:space="preserve">, Cervantes A, Adam R, </w:t>
      </w:r>
      <w:proofErr w:type="spellStart"/>
      <w:r w:rsidRPr="00B22E92">
        <w:rPr>
          <w:rFonts w:ascii="Book Antiqua" w:hAnsi="Book Antiqua"/>
        </w:rPr>
        <w:t>Sobrero</w:t>
      </w:r>
      <w:proofErr w:type="spellEnd"/>
      <w:r w:rsidRPr="00B22E92">
        <w:rPr>
          <w:rFonts w:ascii="Book Antiqua" w:hAnsi="Book Antiqua"/>
        </w:rPr>
        <w:t xml:space="preserve"> A, Van </w:t>
      </w:r>
      <w:proofErr w:type="spellStart"/>
      <w:r w:rsidRPr="00B22E92">
        <w:rPr>
          <w:rFonts w:ascii="Book Antiqua" w:hAnsi="Book Antiqua"/>
        </w:rPr>
        <w:t>Krieken</w:t>
      </w:r>
      <w:proofErr w:type="spellEnd"/>
      <w:r w:rsidRPr="00B22E92">
        <w:rPr>
          <w:rFonts w:ascii="Book Antiqua" w:hAnsi="Book Antiqua"/>
        </w:rPr>
        <w:t xml:space="preserve"> JH, </w:t>
      </w:r>
      <w:proofErr w:type="spellStart"/>
      <w:r w:rsidRPr="00B22E92">
        <w:rPr>
          <w:rFonts w:ascii="Book Antiqua" w:hAnsi="Book Antiqua"/>
        </w:rPr>
        <w:t>Aderka</w:t>
      </w:r>
      <w:proofErr w:type="spellEnd"/>
      <w:r w:rsidRPr="00B22E92">
        <w:rPr>
          <w:rFonts w:ascii="Book Antiqua" w:hAnsi="Book Antiqua"/>
        </w:rPr>
        <w:t xml:space="preserve"> D, Aranda Aguilar E, </w:t>
      </w:r>
      <w:proofErr w:type="spellStart"/>
      <w:r w:rsidRPr="00B22E92">
        <w:rPr>
          <w:rFonts w:ascii="Book Antiqua" w:hAnsi="Book Antiqua"/>
        </w:rPr>
        <w:t>Bardelli</w:t>
      </w:r>
      <w:proofErr w:type="spellEnd"/>
      <w:r w:rsidRPr="00B22E92">
        <w:rPr>
          <w:rFonts w:ascii="Book Antiqua" w:hAnsi="Book Antiqua"/>
        </w:rPr>
        <w:t xml:space="preserve"> A, Benson A, </w:t>
      </w:r>
      <w:proofErr w:type="spellStart"/>
      <w:r w:rsidRPr="00B22E92">
        <w:rPr>
          <w:rFonts w:ascii="Book Antiqua" w:hAnsi="Book Antiqua"/>
        </w:rPr>
        <w:t>Bodoky</w:t>
      </w:r>
      <w:proofErr w:type="spellEnd"/>
      <w:r w:rsidRPr="00B22E92">
        <w:rPr>
          <w:rFonts w:ascii="Book Antiqua" w:hAnsi="Book Antiqua"/>
        </w:rPr>
        <w:t xml:space="preserve"> G, </w:t>
      </w:r>
      <w:proofErr w:type="spellStart"/>
      <w:r w:rsidRPr="00B22E92">
        <w:rPr>
          <w:rFonts w:ascii="Book Antiqua" w:hAnsi="Book Antiqua"/>
        </w:rPr>
        <w:t>Ciardiello</w:t>
      </w:r>
      <w:proofErr w:type="spellEnd"/>
      <w:r w:rsidRPr="00B22E92">
        <w:rPr>
          <w:rFonts w:ascii="Book Antiqua" w:hAnsi="Book Antiqua"/>
        </w:rPr>
        <w:t xml:space="preserve"> F, </w:t>
      </w:r>
      <w:proofErr w:type="spellStart"/>
      <w:r w:rsidRPr="00B22E92">
        <w:rPr>
          <w:rFonts w:ascii="Book Antiqua" w:hAnsi="Book Antiqua"/>
        </w:rPr>
        <w:t>D'Hoore</w:t>
      </w:r>
      <w:proofErr w:type="spellEnd"/>
      <w:r w:rsidRPr="00B22E92">
        <w:rPr>
          <w:rFonts w:ascii="Book Antiqua" w:hAnsi="Book Antiqua"/>
        </w:rPr>
        <w:t xml:space="preserve"> A, Diaz-Rubio E, Douillard JY, </w:t>
      </w:r>
      <w:proofErr w:type="spellStart"/>
      <w:r w:rsidRPr="00B22E92">
        <w:rPr>
          <w:rFonts w:ascii="Book Antiqua" w:hAnsi="Book Antiqua"/>
        </w:rPr>
        <w:t>Ducreux</w:t>
      </w:r>
      <w:proofErr w:type="spellEnd"/>
      <w:r w:rsidRPr="00B22E92">
        <w:rPr>
          <w:rFonts w:ascii="Book Antiqua" w:hAnsi="Book Antiqua"/>
        </w:rPr>
        <w:t xml:space="preserve"> M, Falcone A, </w:t>
      </w:r>
      <w:proofErr w:type="spellStart"/>
      <w:r w:rsidRPr="00B22E92">
        <w:rPr>
          <w:rFonts w:ascii="Book Antiqua" w:hAnsi="Book Antiqua"/>
        </w:rPr>
        <w:t>Grothey</w:t>
      </w:r>
      <w:proofErr w:type="spellEnd"/>
      <w:r w:rsidRPr="00B22E92">
        <w:rPr>
          <w:rFonts w:ascii="Book Antiqua" w:hAnsi="Book Antiqua"/>
        </w:rPr>
        <w:t xml:space="preserve"> A, </w:t>
      </w:r>
      <w:proofErr w:type="spellStart"/>
      <w:r w:rsidRPr="00B22E92">
        <w:rPr>
          <w:rFonts w:ascii="Book Antiqua" w:hAnsi="Book Antiqua"/>
        </w:rPr>
        <w:t>Gruenberger</w:t>
      </w:r>
      <w:proofErr w:type="spellEnd"/>
      <w:r w:rsidRPr="00B22E92">
        <w:rPr>
          <w:rFonts w:ascii="Book Antiqua" w:hAnsi="Book Antiqua"/>
        </w:rPr>
        <w:t xml:space="preserve"> T, </w:t>
      </w:r>
      <w:proofErr w:type="spellStart"/>
      <w:r w:rsidRPr="00B22E92">
        <w:rPr>
          <w:rFonts w:ascii="Book Antiqua" w:hAnsi="Book Antiqua"/>
        </w:rPr>
        <w:t>Haustermans</w:t>
      </w:r>
      <w:proofErr w:type="spellEnd"/>
      <w:r w:rsidRPr="00B22E92">
        <w:rPr>
          <w:rFonts w:ascii="Book Antiqua" w:hAnsi="Book Antiqua"/>
        </w:rPr>
        <w:t xml:space="preserve"> K, Heinemann V, Hoff P, </w:t>
      </w:r>
      <w:proofErr w:type="spellStart"/>
      <w:r w:rsidRPr="00B22E92">
        <w:rPr>
          <w:rFonts w:ascii="Book Antiqua" w:hAnsi="Book Antiqua"/>
        </w:rPr>
        <w:t>Köhne</w:t>
      </w:r>
      <w:proofErr w:type="spellEnd"/>
      <w:r w:rsidRPr="00B22E92">
        <w:rPr>
          <w:rFonts w:ascii="Book Antiqua" w:hAnsi="Book Antiqua"/>
        </w:rPr>
        <w:t xml:space="preserve"> CH, </w:t>
      </w:r>
      <w:proofErr w:type="spellStart"/>
      <w:r w:rsidRPr="00B22E92">
        <w:rPr>
          <w:rFonts w:ascii="Book Antiqua" w:hAnsi="Book Antiqua"/>
        </w:rPr>
        <w:t>Labianca</w:t>
      </w:r>
      <w:proofErr w:type="spellEnd"/>
      <w:r w:rsidRPr="00B22E92">
        <w:rPr>
          <w:rFonts w:ascii="Book Antiqua" w:hAnsi="Book Antiqua"/>
        </w:rPr>
        <w:t xml:space="preserve"> R, Laurent-Puig P, Ma B, Maughan T, </w:t>
      </w:r>
      <w:proofErr w:type="spellStart"/>
      <w:r w:rsidRPr="00B22E92">
        <w:rPr>
          <w:rFonts w:ascii="Book Antiqua" w:hAnsi="Book Antiqua"/>
        </w:rPr>
        <w:t>Muro</w:t>
      </w:r>
      <w:proofErr w:type="spellEnd"/>
      <w:r w:rsidRPr="00B22E92">
        <w:rPr>
          <w:rFonts w:ascii="Book Antiqua" w:hAnsi="Book Antiqua"/>
        </w:rPr>
        <w:t xml:space="preserve"> K, </w:t>
      </w:r>
      <w:proofErr w:type="spellStart"/>
      <w:r w:rsidRPr="00B22E92">
        <w:rPr>
          <w:rFonts w:ascii="Book Antiqua" w:hAnsi="Book Antiqua"/>
        </w:rPr>
        <w:t>Normanno</w:t>
      </w:r>
      <w:proofErr w:type="spellEnd"/>
      <w:r w:rsidRPr="00B22E92">
        <w:rPr>
          <w:rFonts w:ascii="Book Antiqua" w:hAnsi="Book Antiqua"/>
        </w:rPr>
        <w:t xml:space="preserve"> N, </w:t>
      </w:r>
      <w:proofErr w:type="spellStart"/>
      <w:r w:rsidRPr="00B22E92">
        <w:rPr>
          <w:rFonts w:ascii="Book Antiqua" w:hAnsi="Book Antiqua"/>
        </w:rPr>
        <w:t>Österlund</w:t>
      </w:r>
      <w:proofErr w:type="spellEnd"/>
      <w:r w:rsidRPr="00B22E92">
        <w:rPr>
          <w:rFonts w:ascii="Book Antiqua" w:hAnsi="Book Antiqua"/>
        </w:rPr>
        <w:t xml:space="preserve"> P, Oyen WJ, </w:t>
      </w:r>
      <w:proofErr w:type="spellStart"/>
      <w:r w:rsidRPr="00B22E92">
        <w:rPr>
          <w:rFonts w:ascii="Book Antiqua" w:hAnsi="Book Antiqua"/>
        </w:rPr>
        <w:t>Papamichael</w:t>
      </w:r>
      <w:proofErr w:type="spellEnd"/>
      <w:r w:rsidRPr="00B22E92">
        <w:rPr>
          <w:rFonts w:ascii="Book Antiqua" w:hAnsi="Book Antiqua"/>
        </w:rPr>
        <w:t xml:space="preserve"> D, Pentheroudakis G, Pfeiffer P, </w:t>
      </w:r>
      <w:r w:rsidRPr="00B22E92">
        <w:rPr>
          <w:rFonts w:ascii="Book Antiqua" w:hAnsi="Book Antiqua"/>
        </w:rPr>
        <w:lastRenderedPageBreak/>
        <w:t xml:space="preserve">Price TJ, Punt C, </w:t>
      </w:r>
      <w:proofErr w:type="spellStart"/>
      <w:r w:rsidRPr="00B22E92">
        <w:rPr>
          <w:rFonts w:ascii="Book Antiqua" w:hAnsi="Book Antiqua"/>
        </w:rPr>
        <w:t>Ricke</w:t>
      </w:r>
      <w:proofErr w:type="spellEnd"/>
      <w:r w:rsidRPr="00B22E92">
        <w:rPr>
          <w:rFonts w:ascii="Book Antiqua" w:hAnsi="Book Antiqua"/>
        </w:rPr>
        <w:t xml:space="preserve"> J, Roth A, Salazar R, </w:t>
      </w:r>
      <w:proofErr w:type="spellStart"/>
      <w:r w:rsidRPr="00B22E92">
        <w:rPr>
          <w:rFonts w:ascii="Book Antiqua" w:hAnsi="Book Antiqua"/>
        </w:rPr>
        <w:t>Scheithauer</w:t>
      </w:r>
      <w:proofErr w:type="spellEnd"/>
      <w:r w:rsidRPr="00B22E92">
        <w:rPr>
          <w:rFonts w:ascii="Book Antiqua" w:hAnsi="Book Antiqua"/>
        </w:rPr>
        <w:t xml:space="preserve"> W, </w:t>
      </w:r>
      <w:proofErr w:type="spellStart"/>
      <w:r w:rsidRPr="00B22E92">
        <w:rPr>
          <w:rFonts w:ascii="Book Antiqua" w:hAnsi="Book Antiqua"/>
        </w:rPr>
        <w:t>Schmoll</w:t>
      </w:r>
      <w:proofErr w:type="spellEnd"/>
      <w:r w:rsidRPr="00B22E92">
        <w:rPr>
          <w:rFonts w:ascii="Book Antiqua" w:hAnsi="Book Antiqua"/>
        </w:rPr>
        <w:t xml:space="preserve"> HJ, </w:t>
      </w:r>
      <w:proofErr w:type="spellStart"/>
      <w:r w:rsidRPr="00B22E92">
        <w:rPr>
          <w:rFonts w:ascii="Book Antiqua" w:hAnsi="Book Antiqua"/>
        </w:rPr>
        <w:t>Tabernero</w:t>
      </w:r>
      <w:proofErr w:type="spellEnd"/>
      <w:r w:rsidRPr="00B22E92">
        <w:rPr>
          <w:rFonts w:ascii="Book Antiqua" w:hAnsi="Book Antiqua"/>
        </w:rPr>
        <w:t xml:space="preserve"> J, </w:t>
      </w:r>
      <w:proofErr w:type="spellStart"/>
      <w:r w:rsidRPr="00B22E92">
        <w:rPr>
          <w:rFonts w:ascii="Book Antiqua" w:hAnsi="Book Antiqua"/>
        </w:rPr>
        <w:t>Taïeb</w:t>
      </w:r>
      <w:proofErr w:type="spellEnd"/>
      <w:r w:rsidRPr="00B22E92">
        <w:rPr>
          <w:rFonts w:ascii="Book Antiqua" w:hAnsi="Book Antiqua"/>
        </w:rPr>
        <w:t xml:space="preserve"> J, </w:t>
      </w:r>
      <w:proofErr w:type="spellStart"/>
      <w:r w:rsidRPr="00B22E92">
        <w:rPr>
          <w:rFonts w:ascii="Book Antiqua" w:hAnsi="Book Antiqua"/>
        </w:rPr>
        <w:t>Tejpar</w:t>
      </w:r>
      <w:proofErr w:type="spellEnd"/>
      <w:r w:rsidRPr="00B22E92">
        <w:rPr>
          <w:rFonts w:ascii="Book Antiqua" w:hAnsi="Book Antiqua"/>
        </w:rPr>
        <w:t xml:space="preserve"> S, </w:t>
      </w:r>
      <w:proofErr w:type="spellStart"/>
      <w:r w:rsidRPr="00B22E92">
        <w:rPr>
          <w:rFonts w:ascii="Book Antiqua" w:hAnsi="Book Antiqua"/>
        </w:rPr>
        <w:t>Wasan</w:t>
      </w:r>
      <w:proofErr w:type="spellEnd"/>
      <w:r w:rsidRPr="00B22E92">
        <w:rPr>
          <w:rFonts w:ascii="Book Antiqua" w:hAnsi="Book Antiqua"/>
        </w:rPr>
        <w:t xml:space="preserve"> H, Yoshino T, </w:t>
      </w:r>
      <w:proofErr w:type="spellStart"/>
      <w:r w:rsidRPr="00B22E92">
        <w:rPr>
          <w:rFonts w:ascii="Book Antiqua" w:hAnsi="Book Antiqua"/>
        </w:rPr>
        <w:t>Zaanan</w:t>
      </w:r>
      <w:proofErr w:type="spellEnd"/>
      <w:r w:rsidRPr="00B22E92">
        <w:rPr>
          <w:rFonts w:ascii="Book Antiqua" w:hAnsi="Book Antiqua"/>
        </w:rPr>
        <w:t xml:space="preserve"> A, Arnold D. ESMO consensus guidelines for the management of patients with metastatic colorectal cancer. </w:t>
      </w:r>
      <w:r w:rsidRPr="00B22E92">
        <w:rPr>
          <w:rFonts w:ascii="Book Antiqua" w:hAnsi="Book Antiqua"/>
          <w:i/>
          <w:iCs/>
        </w:rPr>
        <w:t>Ann Oncol</w:t>
      </w:r>
      <w:r w:rsidRPr="00B22E92">
        <w:rPr>
          <w:rFonts w:ascii="Book Antiqua" w:hAnsi="Book Antiqua"/>
        </w:rPr>
        <w:t xml:space="preserve"> 2016; </w:t>
      </w:r>
      <w:r w:rsidRPr="00B22E92">
        <w:rPr>
          <w:rFonts w:ascii="Book Antiqua" w:hAnsi="Book Antiqua"/>
          <w:b/>
          <w:bCs/>
        </w:rPr>
        <w:t>27</w:t>
      </w:r>
      <w:r w:rsidRPr="00B22E92">
        <w:rPr>
          <w:rFonts w:ascii="Book Antiqua" w:hAnsi="Book Antiqua"/>
        </w:rPr>
        <w:t>: 1386-1422 [PMID: 27380959 DOI: 10.1093/</w:t>
      </w:r>
      <w:proofErr w:type="spellStart"/>
      <w:r w:rsidRPr="00B22E92">
        <w:rPr>
          <w:rFonts w:ascii="Book Antiqua" w:hAnsi="Book Antiqua"/>
        </w:rPr>
        <w:t>annonc</w:t>
      </w:r>
      <w:proofErr w:type="spellEnd"/>
      <w:r w:rsidRPr="00B22E92">
        <w:rPr>
          <w:rFonts w:ascii="Book Antiqua" w:hAnsi="Book Antiqua"/>
        </w:rPr>
        <w:t>/mdw235]</w:t>
      </w:r>
    </w:p>
    <w:p w14:paraId="6C691651"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4 </w:t>
      </w:r>
      <w:r w:rsidRPr="00B22E92">
        <w:rPr>
          <w:rFonts w:ascii="Book Antiqua" w:hAnsi="Book Antiqua"/>
          <w:b/>
          <w:bCs/>
        </w:rPr>
        <w:t>Benson AB</w:t>
      </w:r>
      <w:r w:rsidRPr="00B22E92">
        <w:rPr>
          <w:rFonts w:ascii="Book Antiqua" w:hAnsi="Book Antiqua"/>
        </w:rPr>
        <w:t xml:space="preserve">, </w:t>
      </w:r>
      <w:proofErr w:type="spellStart"/>
      <w:r w:rsidRPr="00B22E92">
        <w:rPr>
          <w:rFonts w:ascii="Book Antiqua" w:hAnsi="Book Antiqua"/>
        </w:rPr>
        <w:t>Venook</w:t>
      </w:r>
      <w:proofErr w:type="spellEnd"/>
      <w:r w:rsidRPr="00B22E92">
        <w:rPr>
          <w:rFonts w:ascii="Book Antiqua" w:hAnsi="Book Antiqua"/>
        </w:rPr>
        <w:t xml:space="preserve"> AP, Al-</w:t>
      </w:r>
      <w:proofErr w:type="spellStart"/>
      <w:r w:rsidRPr="00B22E92">
        <w:rPr>
          <w:rFonts w:ascii="Book Antiqua" w:hAnsi="Book Antiqua"/>
        </w:rPr>
        <w:t>Hawary</w:t>
      </w:r>
      <w:proofErr w:type="spellEnd"/>
      <w:r w:rsidRPr="00B22E92">
        <w:rPr>
          <w:rFonts w:ascii="Book Antiqua" w:hAnsi="Book Antiqua"/>
        </w:rPr>
        <w:t xml:space="preserve"> MM, </w:t>
      </w:r>
      <w:proofErr w:type="spellStart"/>
      <w:r w:rsidRPr="00B22E92">
        <w:rPr>
          <w:rFonts w:ascii="Book Antiqua" w:hAnsi="Book Antiqua"/>
        </w:rPr>
        <w:t>Cederquist</w:t>
      </w:r>
      <w:proofErr w:type="spellEnd"/>
      <w:r w:rsidRPr="00B22E92">
        <w:rPr>
          <w:rFonts w:ascii="Book Antiqua" w:hAnsi="Book Antiqua"/>
        </w:rPr>
        <w:t xml:space="preserve"> L, Chen YJ, </w:t>
      </w:r>
      <w:proofErr w:type="spellStart"/>
      <w:r w:rsidRPr="00B22E92">
        <w:rPr>
          <w:rFonts w:ascii="Book Antiqua" w:hAnsi="Book Antiqua"/>
        </w:rPr>
        <w:t>Ciombor</w:t>
      </w:r>
      <w:proofErr w:type="spellEnd"/>
      <w:r w:rsidRPr="00B22E92">
        <w:rPr>
          <w:rFonts w:ascii="Book Antiqua" w:hAnsi="Book Antiqua"/>
        </w:rPr>
        <w:t xml:space="preserve"> KK, Cohen S, Cooper HS, Deming D, Engstrom PF, Garrido-Laguna I, </w:t>
      </w:r>
      <w:proofErr w:type="spellStart"/>
      <w:r w:rsidRPr="00B22E92">
        <w:rPr>
          <w:rFonts w:ascii="Book Antiqua" w:hAnsi="Book Antiqua"/>
        </w:rPr>
        <w:t>Grem</w:t>
      </w:r>
      <w:proofErr w:type="spellEnd"/>
      <w:r w:rsidRPr="00B22E92">
        <w:rPr>
          <w:rFonts w:ascii="Book Antiqua" w:hAnsi="Book Antiqua"/>
        </w:rPr>
        <w:t xml:space="preserve"> JL, </w:t>
      </w:r>
      <w:proofErr w:type="spellStart"/>
      <w:r w:rsidRPr="00B22E92">
        <w:rPr>
          <w:rFonts w:ascii="Book Antiqua" w:hAnsi="Book Antiqua"/>
        </w:rPr>
        <w:t>Grothey</w:t>
      </w:r>
      <w:proofErr w:type="spellEnd"/>
      <w:r w:rsidRPr="00B22E92">
        <w:rPr>
          <w:rFonts w:ascii="Book Antiqua" w:hAnsi="Book Antiqua"/>
        </w:rPr>
        <w:t xml:space="preserve"> A, Hochster HS, </w:t>
      </w:r>
      <w:proofErr w:type="spellStart"/>
      <w:r w:rsidRPr="00B22E92">
        <w:rPr>
          <w:rFonts w:ascii="Book Antiqua" w:hAnsi="Book Antiqua"/>
        </w:rPr>
        <w:t>Hoffe</w:t>
      </w:r>
      <w:proofErr w:type="spellEnd"/>
      <w:r w:rsidRPr="00B22E92">
        <w:rPr>
          <w:rFonts w:ascii="Book Antiqua" w:hAnsi="Book Antiqua"/>
        </w:rPr>
        <w:t xml:space="preserve"> S, Hunt S, Kamel A, </w:t>
      </w:r>
      <w:proofErr w:type="spellStart"/>
      <w:r w:rsidRPr="00B22E92">
        <w:rPr>
          <w:rFonts w:ascii="Book Antiqua" w:hAnsi="Book Antiqua"/>
        </w:rPr>
        <w:t>Kirilcuk</w:t>
      </w:r>
      <w:proofErr w:type="spellEnd"/>
      <w:r w:rsidRPr="00B22E92">
        <w:rPr>
          <w:rFonts w:ascii="Book Antiqua" w:hAnsi="Book Antiqua"/>
        </w:rPr>
        <w:t xml:space="preserve"> N, </w:t>
      </w:r>
      <w:proofErr w:type="spellStart"/>
      <w:r w:rsidRPr="00B22E92">
        <w:rPr>
          <w:rFonts w:ascii="Book Antiqua" w:hAnsi="Book Antiqua"/>
        </w:rPr>
        <w:t>Krishnamurthi</w:t>
      </w:r>
      <w:proofErr w:type="spellEnd"/>
      <w:r w:rsidRPr="00B22E92">
        <w:rPr>
          <w:rFonts w:ascii="Book Antiqua" w:hAnsi="Book Antiqua"/>
        </w:rPr>
        <w:t xml:space="preserve"> S, Messersmith WA, </w:t>
      </w:r>
      <w:proofErr w:type="spellStart"/>
      <w:r w:rsidRPr="00B22E92">
        <w:rPr>
          <w:rFonts w:ascii="Book Antiqua" w:hAnsi="Book Antiqua"/>
        </w:rPr>
        <w:t>Meyerhardt</w:t>
      </w:r>
      <w:proofErr w:type="spellEnd"/>
      <w:r w:rsidRPr="00B22E92">
        <w:rPr>
          <w:rFonts w:ascii="Book Antiqua" w:hAnsi="Book Antiqua"/>
        </w:rPr>
        <w:t xml:space="preserve"> J, Miller ED, Mulcahy MF, Murphy JD, </w:t>
      </w:r>
      <w:proofErr w:type="spellStart"/>
      <w:r w:rsidRPr="00B22E92">
        <w:rPr>
          <w:rFonts w:ascii="Book Antiqua" w:hAnsi="Book Antiqua"/>
        </w:rPr>
        <w:t>Nurkin</w:t>
      </w:r>
      <w:proofErr w:type="spellEnd"/>
      <w:r w:rsidRPr="00B22E92">
        <w:rPr>
          <w:rFonts w:ascii="Book Antiqua" w:hAnsi="Book Antiqua"/>
        </w:rPr>
        <w:t xml:space="preserve"> S, </w:t>
      </w:r>
      <w:proofErr w:type="spellStart"/>
      <w:r w:rsidRPr="00B22E92">
        <w:rPr>
          <w:rFonts w:ascii="Book Antiqua" w:hAnsi="Book Antiqua"/>
        </w:rPr>
        <w:t>Saltz</w:t>
      </w:r>
      <w:proofErr w:type="spellEnd"/>
      <w:r w:rsidRPr="00B22E92">
        <w:rPr>
          <w:rFonts w:ascii="Book Antiqua" w:hAnsi="Book Antiqua"/>
        </w:rPr>
        <w:t xml:space="preserve"> L, Sharma S, Shibata D, </w:t>
      </w:r>
      <w:proofErr w:type="spellStart"/>
      <w:r w:rsidRPr="00B22E92">
        <w:rPr>
          <w:rFonts w:ascii="Book Antiqua" w:hAnsi="Book Antiqua"/>
        </w:rPr>
        <w:t>Skibber</w:t>
      </w:r>
      <w:proofErr w:type="spellEnd"/>
      <w:r w:rsidRPr="00B22E92">
        <w:rPr>
          <w:rFonts w:ascii="Book Antiqua" w:hAnsi="Book Antiqua"/>
        </w:rPr>
        <w:t xml:space="preserve"> JM, </w:t>
      </w:r>
      <w:proofErr w:type="spellStart"/>
      <w:r w:rsidRPr="00B22E92">
        <w:rPr>
          <w:rFonts w:ascii="Book Antiqua" w:hAnsi="Book Antiqua"/>
        </w:rPr>
        <w:t>Sofocleous</w:t>
      </w:r>
      <w:proofErr w:type="spellEnd"/>
      <w:r w:rsidRPr="00B22E92">
        <w:rPr>
          <w:rFonts w:ascii="Book Antiqua" w:hAnsi="Book Antiqua"/>
        </w:rPr>
        <w:t xml:space="preserve"> CT, Stoffel EM, </w:t>
      </w:r>
      <w:proofErr w:type="spellStart"/>
      <w:r w:rsidRPr="00B22E92">
        <w:rPr>
          <w:rFonts w:ascii="Book Antiqua" w:hAnsi="Book Antiqua"/>
        </w:rPr>
        <w:t>Stotsky-Himelfarb</w:t>
      </w:r>
      <w:proofErr w:type="spellEnd"/>
      <w:r w:rsidRPr="00B22E92">
        <w:rPr>
          <w:rFonts w:ascii="Book Antiqua" w:hAnsi="Book Antiqua"/>
        </w:rPr>
        <w:t xml:space="preserve"> E, Willett CG, </w:t>
      </w:r>
      <w:proofErr w:type="spellStart"/>
      <w:r w:rsidRPr="00B22E92">
        <w:rPr>
          <w:rFonts w:ascii="Book Antiqua" w:hAnsi="Book Antiqua"/>
        </w:rPr>
        <w:t>Wuthrick</w:t>
      </w:r>
      <w:proofErr w:type="spellEnd"/>
      <w:r w:rsidRPr="00B22E92">
        <w:rPr>
          <w:rFonts w:ascii="Book Antiqua" w:hAnsi="Book Antiqua"/>
        </w:rPr>
        <w:t xml:space="preserve"> E, Gregory KM, Freedman-Cass DA. NCCN Guidelines Insights: Colon Cancer, Version 2.2018. </w:t>
      </w:r>
      <w:r w:rsidRPr="00B22E92">
        <w:rPr>
          <w:rFonts w:ascii="Book Antiqua" w:hAnsi="Book Antiqua"/>
          <w:i/>
          <w:iCs/>
        </w:rPr>
        <w:t xml:space="preserve">J Natl </w:t>
      </w:r>
      <w:proofErr w:type="spellStart"/>
      <w:r w:rsidRPr="00B22E92">
        <w:rPr>
          <w:rFonts w:ascii="Book Antiqua" w:hAnsi="Book Antiqua"/>
          <w:i/>
          <w:iCs/>
        </w:rPr>
        <w:t>Compr</w:t>
      </w:r>
      <w:proofErr w:type="spellEnd"/>
      <w:r w:rsidRPr="00B22E92">
        <w:rPr>
          <w:rFonts w:ascii="Book Antiqua" w:hAnsi="Book Antiqua"/>
          <w:i/>
          <w:iCs/>
        </w:rPr>
        <w:t xml:space="preserve"> </w:t>
      </w:r>
      <w:proofErr w:type="spellStart"/>
      <w:r w:rsidRPr="00B22E92">
        <w:rPr>
          <w:rFonts w:ascii="Book Antiqua" w:hAnsi="Book Antiqua"/>
          <w:i/>
          <w:iCs/>
        </w:rPr>
        <w:t>Canc</w:t>
      </w:r>
      <w:proofErr w:type="spellEnd"/>
      <w:r w:rsidRPr="00B22E92">
        <w:rPr>
          <w:rFonts w:ascii="Book Antiqua" w:hAnsi="Book Antiqua"/>
          <w:i/>
          <w:iCs/>
        </w:rPr>
        <w:t xml:space="preserve"> </w:t>
      </w:r>
      <w:proofErr w:type="spellStart"/>
      <w:r w:rsidRPr="00B22E92">
        <w:rPr>
          <w:rFonts w:ascii="Book Antiqua" w:hAnsi="Book Antiqua"/>
          <w:i/>
          <w:iCs/>
        </w:rPr>
        <w:t>Netw</w:t>
      </w:r>
      <w:proofErr w:type="spellEnd"/>
      <w:r w:rsidRPr="00B22E92">
        <w:rPr>
          <w:rFonts w:ascii="Book Antiqua" w:hAnsi="Book Antiqua"/>
        </w:rPr>
        <w:t xml:space="preserve"> 2018; </w:t>
      </w:r>
      <w:r w:rsidRPr="00B22E92">
        <w:rPr>
          <w:rFonts w:ascii="Book Antiqua" w:hAnsi="Book Antiqua"/>
          <w:b/>
          <w:bCs/>
        </w:rPr>
        <w:t>16</w:t>
      </w:r>
      <w:r w:rsidRPr="00B22E92">
        <w:rPr>
          <w:rFonts w:ascii="Book Antiqua" w:hAnsi="Book Antiqua"/>
        </w:rPr>
        <w:t>: 359-369 [PMID: 29632055 DOI: 10.6004/jnccn.2018.0021]</w:t>
      </w:r>
    </w:p>
    <w:p w14:paraId="168A095B"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5 </w:t>
      </w:r>
      <w:proofErr w:type="spellStart"/>
      <w:r w:rsidRPr="00B22E92">
        <w:rPr>
          <w:rFonts w:ascii="Book Antiqua" w:hAnsi="Book Antiqua"/>
          <w:b/>
          <w:bCs/>
        </w:rPr>
        <w:t>Böckelman</w:t>
      </w:r>
      <w:proofErr w:type="spellEnd"/>
      <w:r w:rsidRPr="00B22E92">
        <w:rPr>
          <w:rFonts w:ascii="Book Antiqua" w:hAnsi="Book Antiqua"/>
          <w:b/>
          <w:bCs/>
        </w:rPr>
        <w:t xml:space="preserve"> C</w:t>
      </w:r>
      <w:r w:rsidRPr="00B22E92">
        <w:rPr>
          <w:rFonts w:ascii="Book Antiqua" w:hAnsi="Book Antiqua"/>
        </w:rPr>
        <w:t xml:space="preserve">, Engelmann BE, </w:t>
      </w:r>
      <w:proofErr w:type="spellStart"/>
      <w:r w:rsidRPr="00B22E92">
        <w:rPr>
          <w:rFonts w:ascii="Book Antiqua" w:hAnsi="Book Antiqua"/>
        </w:rPr>
        <w:t>Kaprio</w:t>
      </w:r>
      <w:proofErr w:type="spellEnd"/>
      <w:r w:rsidRPr="00B22E92">
        <w:rPr>
          <w:rFonts w:ascii="Book Antiqua" w:hAnsi="Book Antiqua"/>
        </w:rPr>
        <w:t xml:space="preserve"> T, Hansen TF, </w:t>
      </w:r>
      <w:proofErr w:type="spellStart"/>
      <w:r w:rsidRPr="00B22E92">
        <w:rPr>
          <w:rFonts w:ascii="Book Antiqua" w:hAnsi="Book Antiqua"/>
        </w:rPr>
        <w:t>Glimelius</w:t>
      </w:r>
      <w:proofErr w:type="spellEnd"/>
      <w:r w:rsidRPr="00B22E92">
        <w:rPr>
          <w:rFonts w:ascii="Book Antiqua" w:hAnsi="Book Antiqua"/>
        </w:rPr>
        <w:t xml:space="preserve"> B. Risk of recurrence in patients with colon cancer stage II and III: a systematic review and meta-analysis of recent literature. </w:t>
      </w:r>
      <w:r w:rsidRPr="00B22E92">
        <w:rPr>
          <w:rFonts w:ascii="Book Antiqua" w:hAnsi="Book Antiqua"/>
          <w:i/>
          <w:iCs/>
        </w:rPr>
        <w:t>Acta Oncol</w:t>
      </w:r>
      <w:r w:rsidRPr="00B22E92">
        <w:rPr>
          <w:rFonts w:ascii="Book Antiqua" w:hAnsi="Book Antiqua"/>
        </w:rPr>
        <w:t xml:space="preserve"> 2015; </w:t>
      </w:r>
      <w:r w:rsidRPr="00B22E92">
        <w:rPr>
          <w:rFonts w:ascii="Book Antiqua" w:hAnsi="Book Antiqua"/>
          <w:b/>
          <w:bCs/>
        </w:rPr>
        <w:t>54</w:t>
      </w:r>
      <w:r w:rsidRPr="00B22E92">
        <w:rPr>
          <w:rFonts w:ascii="Book Antiqua" w:hAnsi="Book Antiqua"/>
        </w:rPr>
        <w:t>: 5-16 [PMID: 25430983 DOI: 10.3109/0284186X.2014.975839]</w:t>
      </w:r>
    </w:p>
    <w:p w14:paraId="48959923"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6 </w:t>
      </w:r>
      <w:r w:rsidRPr="00B22E92">
        <w:rPr>
          <w:rFonts w:ascii="Book Antiqua" w:hAnsi="Book Antiqua"/>
          <w:b/>
          <w:bCs/>
        </w:rPr>
        <w:t>Winder T</w:t>
      </w:r>
      <w:r w:rsidRPr="00B22E92">
        <w:rPr>
          <w:rFonts w:ascii="Book Antiqua" w:hAnsi="Book Antiqua"/>
        </w:rPr>
        <w:t xml:space="preserve">, Lenz HJ. Vascular endothelial growth factor and epidermal growth factor signaling pathways as therapeutic targets for colorectal cancer. </w:t>
      </w:r>
      <w:r w:rsidRPr="00B22E92">
        <w:rPr>
          <w:rFonts w:ascii="Book Antiqua" w:hAnsi="Book Antiqua"/>
          <w:i/>
          <w:iCs/>
        </w:rPr>
        <w:t>Gastroenterology</w:t>
      </w:r>
      <w:r w:rsidRPr="00B22E92">
        <w:rPr>
          <w:rFonts w:ascii="Book Antiqua" w:hAnsi="Book Antiqua"/>
        </w:rPr>
        <w:t xml:space="preserve"> 2010; </w:t>
      </w:r>
      <w:r w:rsidRPr="00B22E92">
        <w:rPr>
          <w:rFonts w:ascii="Book Antiqua" w:hAnsi="Book Antiqua"/>
          <w:b/>
          <w:bCs/>
        </w:rPr>
        <w:t>138</w:t>
      </w:r>
      <w:r w:rsidRPr="00B22E92">
        <w:rPr>
          <w:rFonts w:ascii="Book Antiqua" w:hAnsi="Book Antiqua"/>
        </w:rPr>
        <w:t>: 2163-2176 [PMID: 20420953 DOI: 10.1053/j.gastro.2010.02.005]</w:t>
      </w:r>
    </w:p>
    <w:p w14:paraId="2E20AC95"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7 </w:t>
      </w:r>
      <w:proofErr w:type="spellStart"/>
      <w:r w:rsidRPr="00B22E92">
        <w:rPr>
          <w:rFonts w:ascii="Book Antiqua" w:hAnsi="Book Antiqua"/>
          <w:b/>
          <w:bCs/>
        </w:rPr>
        <w:t>Sagaert</w:t>
      </w:r>
      <w:proofErr w:type="spellEnd"/>
      <w:r w:rsidRPr="00B22E92">
        <w:rPr>
          <w:rFonts w:ascii="Book Antiqua" w:hAnsi="Book Antiqua"/>
          <w:b/>
          <w:bCs/>
        </w:rPr>
        <w:t xml:space="preserve"> X</w:t>
      </w:r>
      <w:r w:rsidRPr="00B22E92">
        <w:rPr>
          <w:rFonts w:ascii="Book Antiqua" w:hAnsi="Book Antiqua"/>
        </w:rPr>
        <w:t xml:space="preserve">, </w:t>
      </w:r>
      <w:proofErr w:type="spellStart"/>
      <w:r w:rsidRPr="00B22E92">
        <w:rPr>
          <w:rFonts w:ascii="Book Antiqua" w:hAnsi="Book Antiqua"/>
        </w:rPr>
        <w:t>Vanstapel</w:t>
      </w:r>
      <w:proofErr w:type="spellEnd"/>
      <w:r w:rsidRPr="00B22E92">
        <w:rPr>
          <w:rFonts w:ascii="Book Antiqua" w:hAnsi="Book Antiqua"/>
        </w:rPr>
        <w:t xml:space="preserve"> A, Verbeek S. Tumor Heterogeneity in Colorectal Cancer: What Do We Know So Far? </w:t>
      </w:r>
      <w:r w:rsidRPr="00B22E92">
        <w:rPr>
          <w:rFonts w:ascii="Book Antiqua" w:hAnsi="Book Antiqua"/>
          <w:i/>
          <w:iCs/>
        </w:rPr>
        <w:t>Pathobiology</w:t>
      </w:r>
      <w:r w:rsidRPr="00B22E92">
        <w:rPr>
          <w:rFonts w:ascii="Book Antiqua" w:hAnsi="Book Antiqua"/>
        </w:rPr>
        <w:t xml:space="preserve"> 2018; </w:t>
      </w:r>
      <w:r w:rsidRPr="00B22E92">
        <w:rPr>
          <w:rFonts w:ascii="Book Antiqua" w:hAnsi="Book Antiqua"/>
          <w:b/>
          <w:bCs/>
        </w:rPr>
        <w:t>85</w:t>
      </w:r>
      <w:r w:rsidRPr="00B22E92">
        <w:rPr>
          <w:rFonts w:ascii="Book Antiqua" w:hAnsi="Book Antiqua"/>
        </w:rPr>
        <w:t>: 72-84 [PMID: 29414818 DOI: 10.1159/000486721]</w:t>
      </w:r>
    </w:p>
    <w:p w14:paraId="368993F1"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8 </w:t>
      </w:r>
      <w:proofErr w:type="spellStart"/>
      <w:r w:rsidRPr="00B22E92">
        <w:rPr>
          <w:rFonts w:ascii="Book Antiqua" w:hAnsi="Book Antiqua"/>
          <w:b/>
          <w:bCs/>
        </w:rPr>
        <w:t>Guinney</w:t>
      </w:r>
      <w:proofErr w:type="spellEnd"/>
      <w:r w:rsidRPr="00B22E92">
        <w:rPr>
          <w:rFonts w:ascii="Book Antiqua" w:hAnsi="Book Antiqua"/>
          <w:b/>
          <w:bCs/>
        </w:rPr>
        <w:t xml:space="preserve"> J</w:t>
      </w:r>
      <w:r w:rsidRPr="00B22E92">
        <w:rPr>
          <w:rFonts w:ascii="Book Antiqua" w:hAnsi="Book Antiqua"/>
        </w:rPr>
        <w:t xml:space="preserve">, </w:t>
      </w:r>
      <w:proofErr w:type="spellStart"/>
      <w:r w:rsidRPr="00B22E92">
        <w:rPr>
          <w:rFonts w:ascii="Book Antiqua" w:hAnsi="Book Antiqua"/>
        </w:rPr>
        <w:t>Dienstmann</w:t>
      </w:r>
      <w:proofErr w:type="spellEnd"/>
      <w:r w:rsidRPr="00B22E92">
        <w:rPr>
          <w:rFonts w:ascii="Book Antiqua" w:hAnsi="Book Antiqua"/>
        </w:rPr>
        <w:t xml:space="preserve"> R, Wang X, de </w:t>
      </w:r>
      <w:proofErr w:type="spellStart"/>
      <w:r w:rsidRPr="00B22E92">
        <w:rPr>
          <w:rFonts w:ascii="Book Antiqua" w:hAnsi="Book Antiqua"/>
        </w:rPr>
        <w:t>Reyniès</w:t>
      </w:r>
      <w:proofErr w:type="spellEnd"/>
      <w:r w:rsidRPr="00B22E92">
        <w:rPr>
          <w:rFonts w:ascii="Book Antiqua" w:hAnsi="Book Antiqua"/>
        </w:rPr>
        <w:t xml:space="preserve"> A, </w:t>
      </w:r>
      <w:proofErr w:type="spellStart"/>
      <w:r w:rsidRPr="00B22E92">
        <w:rPr>
          <w:rFonts w:ascii="Book Antiqua" w:hAnsi="Book Antiqua"/>
        </w:rPr>
        <w:t>Schlicker</w:t>
      </w:r>
      <w:proofErr w:type="spellEnd"/>
      <w:r w:rsidRPr="00B22E92">
        <w:rPr>
          <w:rFonts w:ascii="Book Antiqua" w:hAnsi="Book Antiqua"/>
        </w:rPr>
        <w:t xml:space="preserve"> A, </w:t>
      </w:r>
      <w:proofErr w:type="spellStart"/>
      <w:r w:rsidRPr="00B22E92">
        <w:rPr>
          <w:rFonts w:ascii="Book Antiqua" w:hAnsi="Book Antiqua"/>
        </w:rPr>
        <w:t>Soneson</w:t>
      </w:r>
      <w:proofErr w:type="spellEnd"/>
      <w:r w:rsidRPr="00B22E92">
        <w:rPr>
          <w:rFonts w:ascii="Book Antiqua" w:hAnsi="Book Antiqua"/>
        </w:rPr>
        <w:t xml:space="preserve"> C, Marisa L, </w:t>
      </w:r>
      <w:proofErr w:type="spellStart"/>
      <w:r w:rsidRPr="00B22E92">
        <w:rPr>
          <w:rFonts w:ascii="Book Antiqua" w:hAnsi="Book Antiqua"/>
        </w:rPr>
        <w:t>Roepman</w:t>
      </w:r>
      <w:proofErr w:type="spellEnd"/>
      <w:r w:rsidRPr="00B22E92">
        <w:rPr>
          <w:rFonts w:ascii="Book Antiqua" w:hAnsi="Book Antiqua"/>
        </w:rPr>
        <w:t xml:space="preserve"> P, </w:t>
      </w:r>
      <w:proofErr w:type="spellStart"/>
      <w:r w:rsidRPr="00B22E92">
        <w:rPr>
          <w:rFonts w:ascii="Book Antiqua" w:hAnsi="Book Antiqua"/>
        </w:rPr>
        <w:t>Nyamundanda</w:t>
      </w:r>
      <w:proofErr w:type="spellEnd"/>
      <w:r w:rsidRPr="00B22E92">
        <w:rPr>
          <w:rFonts w:ascii="Book Antiqua" w:hAnsi="Book Antiqua"/>
        </w:rPr>
        <w:t xml:space="preserve"> G, Angelino P, Bot BM, Morris JS, Simon IM, </w:t>
      </w:r>
      <w:proofErr w:type="spellStart"/>
      <w:r w:rsidRPr="00B22E92">
        <w:rPr>
          <w:rFonts w:ascii="Book Antiqua" w:hAnsi="Book Antiqua"/>
        </w:rPr>
        <w:t>Gerster</w:t>
      </w:r>
      <w:proofErr w:type="spellEnd"/>
      <w:r w:rsidRPr="00B22E92">
        <w:rPr>
          <w:rFonts w:ascii="Book Antiqua" w:hAnsi="Book Antiqua"/>
        </w:rPr>
        <w:t xml:space="preserve"> S, Fessler E, De Sousa E Melo F, </w:t>
      </w:r>
      <w:proofErr w:type="spellStart"/>
      <w:r w:rsidRPr="00B22E92">
        <w:rPr>
          <w:rFonts w:ascii="Book Antiqua" w:hAnsi="Book Antiqua"/>
        </w:rPr>
        <w:t>Missiaglia</w:t>
      </w:r>
      <w:proofErr w:type="spellEnd"/>
      <w:r w:rsidRPr="00B22E92">
        <w:rPr>
          <w:rFonts w:ascii="Book Antiqua" w:hAnsi="Book Antiqua"/>
        </w:rPr>
        <w:t xml:space="preserve"> E, </w:t>
      </w:r>
      <w:proofErr w:type="spellStart"/>
      <w:r w:rsidRPr="00B22E92">
        <w:rPr>
          <w:rFonts w:ascii="Book Antiqua" w:hAnsi="Book Antiqua"/>
        </w:rPr>
        <w:t>Ramay</w:t>
      </w:r>
      <w:proofErr w:type="spellEnd"/>
      <w:r w:rsidRPr="00B22E92">
        <w:rPr>
          <w:rFonts w:ascii="Book Antiqua" w:hAnsi="Book Antiqua"/>
        </w:rPr>
        <w:t xml:space="preserve"> H, Barras D, </w:t>
      </w:r>
      <w:proofErr w:type="spellStart"/>
      <w:r w:rsidRPr="00B22E92">
        <w:rPr>
          <w:rFonts w:ascii="Book Antiqua" w:hAnsi="Book Antiqua"/>
        </w:rPr>
        <w:t>Homicsko</w:t>
      </w:r>
      <w:proofErr w:type="spellEnd"/>
      <w:r w:rsidRPr="00B22E92">
        <w:rPr>
          <w:rFonts w:ascii="Book Antiqua" w:hAnsi="Book Antiqua"/>
        </w:rPr>
        <w:t xml:space="preserve"> K, Maru D, </w:t>
      </w:r>
      <w:proofErr w:type="spellStart"/>
      <w:r w:rsidRPr="00B22E92">
        <w:rPr>
          <w:rFonts w:ascii="Book Antiqua" w:hAnsi="Book Antiqua"/>
        </w:rPr>
        <w:t>Manyam</w:t>
      </w:r>
      <w:proofErr w:type="spellEnd"/>
      <w:r w:rsidRPr="00B22E92">
        <w:rPr>
          <w:rFonts w:ascii="Book Antiqua" w:hAnsi="Book Antiqua"/>
        </w:rPr>
        <w:t xml:space="preserve"> GC, Broom B, </w:t>
      </w:r>
      <w:proofErr w:type="spellStart"/>
      <w:r w:rsidRPr="00B22E92">
        <w:rPr>
          <w:rFonts w:ascii="Book Antiqua" w:hAnsi="Book Antiqua"/>
        </w:rPr>
        <w:t>Boige</w:t>
      </w:r>
      <w:proofErr w:type="spellEnd"/>
      <w:r w:rsidRPr="00B22E92">
        <w:rPr>
          <w:rFonts w:ascii="Book Antiqua" w:hAnsi="Book Antiqua"/>
        </w:rPr>
        <w:t xml:space="preserve"> V, Perez-</w:t>
      </w:r>
      <w:proofErr w:type="spellStart"/>
      <w:r w:rsidRPr="00B22E92">
        <w:rPr>
          <w:rFonts w:ascii="Book Antiqua" w:hAnsi="Book Antiqua"/>
        </w:rPr>
        <w:t>Villamil</w:t>
      </w:r>
      <w:proofErr w:type="spellEnd"/>
      <w:r w:rsidRPr="00B22E92">
        <w:rPr>
          <w:rFonts w:ascii="Book Antiqua" w:hAnsi="Book Antiqua"/>
        </w:rPr>
        <w:t xml:space="preserve"> B, </w:t>
      </w:r>
      <w:proofErr w:type="spellStart"/>
      <w:r w:rsidRPr="00B22E92">
        <w:rPr>
          <w:rFonts w:ascii="Book Antiqua" w:hAnsi="Book Antiqua"/>
        </w:rPr>
        <w:t>Laderas</w:t>
      </w:r>
      <w:proofErr w:type="spellEnd"/>
      <w:r w:rsidRPr="00B22E92">
        <w:rPr>
          <w:rFonts w:ascii="Book Antiqua" w:hAnsi="Book Antiqua"/>
        </w:rPr>
        <w:t xml:space="preserve"> T, Salazar R, Gray JW, Hanahan D, </w:t>
      </w:r>
      <w:proofErr w:type="spellStart"/>
      <w:r w:rsidRPr="00B22E92">
        <w:rPr>
          <w:rFonts w:ascii="Book Antiqua" w:hAnsi="Book Antiqua"/>
        </w:rPr>
        <w:t>Tabernero</w:t>
      </w:r>
      <w:proofErr w:type="spellEnd"/>
      <w:r w:rsidRPr="00B22E92">
        <w:rPr>
          <w:rFonts w:ascii="Book Antiqua" w:hAnsi="Book Antiqua"/>
        </w:rPr>
        <w:t xml:space="preserve"> J, </w:t>
      </w:r>
      <w:proofErr w:type="spellStart"/>
      <w:r w:rsidRPr="00B22E92">
        <w:rPr>
          <w:rFonts w:ascii="Book Antiqua" w:hAnsi="Book Antiqua"/>
        </w:rPr>
        <w:t>Bernards</w:t>
      </w:r>
      <w:proofErr w:type="spellEnd"/>
      <w:r w:rsidRPr="00B22E92">
        <w:rPr>
          <w:rFonts w:ascii="Book Antiqua" w:hAnsi="Book Antiqua"/>
        </w:rPr>
        <w:t xml:space="preserve"> R, Friend SH, Laurent-Puig P, </w:t>
      </w:r>
      <w:proofErr w:type="spellStart"/>
      <w:r w:rsidRPr="00B22E92">
        <w:rPr>
          <w:rFonts w:ascii="Book Antiqua" w:hAnsi="Book Antiqua"/>
        </w:rPr>
        <w:t>Medema</w:t>
      </w:r>
      <w:proofErr w:type="spellEnd"/>
      <w:r w:rsidRPr="00B22E92">
        <w:rPr>
          <w:rFonts w:ascii="Book Antiqua" w:hAnsi="Book Antiqua"/>
        </w:rPr>
        <w:t xml:space="preserve"> JP, </w:t>
      </w:r>
      <w:proofErr w:type="spellStart"/>
      <w:r w:rsidRPr="00B22E92">
        <w:rPr>
          <w:rFonts w:ascii="Book Antiqua" w:hAnsi="Book Antiqua"/>
        </w:rPr>
        <w:t>Sadanandam</w:t>
      </w:r>
      <w:proofErr w:type="spellEnd"/>
      <w:r w:rsidRPr="00B22E92">
        <w:rPr>
          <w:rFonts w:ascii="Book Antiqua" w:hAnsi="Book Antiqua"/>
        </w:rPr>
        <w:t xml:space="preserve"> A, Wessels L, </w:t>
      </w:r>
      <w:proofErr w:type="spellStart"/>
      <w:r w:rsidRPr="00B22E92">
        <w:rPr>
          <w:rFonts w:ascii="Book Antiqua" w:hAnsi="Book Antiqua"/>
        </w:rPr>
        <w:t>Delorenzi</w:t>
      </w:r>
      <w:proofErr w:type="spellEnd"/>
      <w:r w:rsidRPr="00B22E92">
        <w:rPr>
          <w:rFonts w:ascii="Book Antiqua" w:hAnsi="Book Antiqua"/>
        </w:rPr>
        <w:t xml:space="preserve"> M, </w:t>
      </w:r>
      <w:proofErr w:type="spellStart"/>
      <w:r w:rsidRPr="00B22E92">
        <w:rPr>
          <w:rFonts w:ascii="Book Antiqua" w:hAnsi="Book Antiqua"/>
        </w:rPr>
        <w:t>Kopetz</w:t>
      </w:r>
      <w:proofErr w:type="spellEnd"/>
      <w:r w:rsidRPr="00B22E92">
        <w:rPr>
          <w:rFonts w:ascii="Book Antiqua" w:hAnsi="Book Antiqua"/>
        </w:rPr>
        <w:t xml:space="preserve"> S, Vermeulen L, </w:t>
      </w:r>
      <w:proofErr w:type="spellStart"/>
      <w:r w:rsidRPr="00B22E92">
        <w:rPr>
          <w:rFonts w:ascii="Book Antiqua" w:hAnsi="Book Antiqua"/>
        </w:rPr>
        <w:t>Tejpar</w:t>
      </w:r>
      <w:proofErr w:type="spellEnd"/>
      <w:r w:rsidRPr="00B22E92">
        <w:rPr>
          <w:rFonts w:ascii="Book Antiqua" w:hAnsi="Book Antiqua"/>
        </w:rPr>
        <w:t xml:space="preserve"> S. The </w:t>
      </w:r>
      <w:r w:rsidRPr="00B22E92">
        <w:rPr>
          <w:rFonts w:ascii="Book Antiqua" w:hAnsi="Book Antiqua"/>
        </w:rPr>
        <w:lastRenderedPageBreak/>
        <w:t xml:space="preserve">consensus molecular subtypes of colorectal cancer. </w:t>
      </w:r>
      <w:r w:rsidRPr="00B22E92">
        <w:rPr>
          <w:rFonts w:ascii="Book Antiqua" w:hAnsi="Book Antiqua"/>
          <w:i/>
          <w:iCs/>
        </w:rPr>
        <w:t>Nat Med</w:t>
      </w:r>
      <w:r w:rsidRPr="00B22E92">
        <w:rPr>
          <w:rFonts w:ascii="Book Antiqua" w:hAnsi="Book Antiqua"/>
        </w:rPr>
        <w:t xml:space="preserve"> 2015; </w:t>
      </w:r>
      <w:r w:rsidRPr="00B22E92">
        <w:rPr>
          <w:rFonts w:ascii="Book Antiqua" w:hAnsi="Book Antiqua"/>
          <w:b/>
          <w:bCs/>
        </w:rPr>
        <w:t>21</w:t>
      </w:r>
      <w:r w:rsidRPr="00B22E92">
        <w:rPr>
          <w:rFonts w:ascii="Book Antiqua" w:hAnsi="Book Antiqua"/>
        </w:rPr>
        <w:t>: 1350-1356 [PMID: 26457759 DOI: 10.1038/nm.3967]</w:t>
      </w:r>
    </w:p>
    <w:p w14:paraId="56FD46C9"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9 </w:t>
      </w:r>
      <w:proofErr w:type="spellStart"/>
      <w:r w:rsidRPr="00B22E92">
        <w:rPr>
          <w:rFonts w:ascii="Book Antiqua" w:hAnsi="Book Antiqua"/>
          <w:b/>
          <w:bCs/>
        </w:rPr>
        <w:t>Menter</w:t>
      </w:r>
      <w:proofErr w:type="spellEnd"/>
      <w:r w:rsidRPr="00B22E92">
        <w:rPr>
          <w:rFonts w:ascii="Book Antiqua" w:hAnsi="Book Antiqua"/>
          <w:b/>
          <w:bCs/>
        </w:rPr>
        <w:t xml:space="preserve"> DG</w:t>
      </w:r>
      <w:r w:rsidRPr="00B22E92">
        <w:rPr>
          <w:rFonts w:ascii="Book Antiqua" w:hAnsi="Book Antiqua"/>
        </w:rPr>
        <w:t xml:space="preserve">, Davis JS, Broom BM, Overman MJ, Morris J, </w:t>
      </w:r>
      <w:proofErr w:type="spellStart"/>
      <w:r w:rsidRPr="00B22E92">
        <w:rPr>
          <w:rFonts w:ascii="Book Antiqua" w:hAnsi="Book Antiqua"/>
        </w:rPr>
        <w:t>Kopetz</w:t>
      </w:r>
      <w:proofErr w:type="spellEnd"/>
      <w:r w:rsidRPr="00B22E92">
        <w:rPr>
          <w:rFonts w:ascii="Book Antiqua" w:hAnsi="Book Antiqua"/>
        </w:rPr>
        <w:t xml:space="preserve"> S. Back to the Colorectal Cancer Consensus Molecular Subtype Future. </w:t>
      </w:r>
      <w:proofErr w:type="spellStart"/>
      <w:r w:rsidRPr="00B22E92">
        <w:rPr>
          <w:rFonts w:ascii="Book Antiqua" w:hAnsi="Book Antiqua"/>
          <w:i/>
          <w:iCs/>
        </w:rPr>
        <w:t>Curr</w:t>
      </w:r>
      <w:proofErr w:type="spellEnd"/>
      <w:r w:rsidRPr="00B22E92">
        <w:rPr>
          <w:rFonts w:ascii="Book Antiqua" w:hAnsi="Book Antiqua"/>
          <w:i/>
          <w:iCs/>
        </w:rPr>
        <w:t xml:space="preserve"> Gastroenterol Rep</w:t>
      </w:r>
      <w:r w:rsidRPr="00B22E92">
        <w:rPr>
          <w:rFonts w:ascii="Book Antiqua" w:hAnsi="Book Antiqua"/>
        </w:rPr>
        <w:t xml:space="preserve"> 2019; </w:t>
      </w:r>
      <w:r w:rsidRPr="00B22E92">
        <w:rPr>
          <w:rFonts w:ascii="Book Antiqua" w:hAnsi="Book Antiqua"/>
          <w:b/>
          <w:bCs/>
        </w:rPr>
        <w:t>21</w:t>
      </w:r>
      <w:r w:rsidRPr="00B22E92">
        <w:rPr>
          <w:rFonts w:ascii="Book Antiqua" w:hAnsi="Book Antiqua"/>
        </w:rPr>
        <w:t>: 5 [PMID: 30701321 DOI: 10.1007/s11894-019-0674-9]</w:t>
      </w:r>
    </w:p>
    <w:p w14:paraId="4D917CBD"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10 </w:t>
      </w:r>
      <w:r w:rsidRPr="00B22E92">
        <w:rPr>
          <w:rFonts w:ascii="Book Antiqua" w:hAnsi="Book Antiqua"/>
          <w:b/>
          <w:bCs/>
        </w:rPr>
        <w:t>Rodriguez-Salas N</w:t>
      </w:r>
      <w:r w:rsidRPr="00B22E92">
        <w:rPr>
          <w:rFonts w:ascii="Book Antiqua" w:hAnsi="Book Antiqua"/>
        </w:rPr>
        <w:t xml:space="preserve">, Dominguez G, </w:t>
      </w:r>
      <w:proofErr w:type="spellStart"/>
      <w:r w:rsidRPr="00B22E92">
        <w:rPr>
          <w:rFonts w:ascii="Book Antiqua" w:hAnsi="Book Antiqua"/>
        </w:rPr>
        <w:t>Barderas</w:t>
      </w:r>
      <w:proofErr w:type="spellEnd"/>
      <w:r w:rsidRPr="00B22E92">
        <w:rPr>
          <w:rFonts w:ascii="Book Antiqua" w:hAnsi="Book Antiqua"/>
        </w:rPr>
        <w:t xml:space="preserve"> R, Mendiola M, García-</w:t>
      </w:r>
      <w:proofErr w:type="spellStart"/>
      <w:r w:rsidRPr="00B22E92">
        <w:rPr>
          <w:rFonts w:ascii="Book Antiqua" w:hAnsi="Book Antiqua"/>
        </w:rPr>
        <w:t>Albéniz</w:t>
      </w:r>
      <w:proofErr w:type="spellEnd"/>
      <w:r w:rsidRPr="00B22E92">
        <w:rPr>
          <w:rFonts w:ascii="Book Antiqua" w:hAnsi="Book Antiqua"/>
        </w:rPr>
        <w:t xml:space="preserve"> X, </w:t>
      </w:r>
      <w:proofErr w:type="spellStart"/>
      <w:r w:rsidRPr="00B22E92">
        <w:rPr>
          <w:rFonts w:ascii="Book Antiqua" w:hAnsi="Book Antiqua"/>
        </w:rPr>
        <w:t>Maurel</w:t>
      </w:r>
      <w:proofErr w:type="spellEnd"/>
      <w:r w:rsidRPr="00B22E92">
        <w:rPr>
          <w:rFonts w:ascii="Book Antiqua" w:hAnsi="Book Antiqua"/>
        </w:rPr>
        <w:t xml:space="preserve"> J, </w:t>
      </w:r>
      <w:proofErr w:type="spellStart"/>
      <w:r w:rsidRPr="00B22E92">
        <w:rPr>
          <w:rFonts w:ascii="Book Antiqua" w:hAnsi="Book Antiqua"/>
        </w:rPr>
        <w:t>Batlle</w:t>
      </w:r>
      <w:proofErr w:type="spellEnd"/>
      <w:r w:rsidRPr="00B22E92">
        <w:rPr>
          <w:rFonts w:ascii="Book Antiqua" w:hAnsi="Book Antiqua"/>
        </w:rPr>
        <w:t xml:space="preserve"> JF. Clinical relevance of colorectal cancer molecular subtypes. </w:t>
      </w:r>
      <w:r w:rsidRPr="00B22E92">
        <w:rPr>
          <w:rFonts w:ascii="Book Antiqua" w:hAnsi="Book Antiqua"/>
          <w:i/>
          <w:iCs/>
        </w:rPr>
        <w:t xml:space="preserve">Crit Rev Oncol </w:t>
      </w:r>
      <w:proofErr w:type="spellStart"/>
      <w:r w:rsidRPr="00B22E92">
        <w:rPr>
          <w:rFonts w:ascii="Book Antiqua" w:hAnsi="Book Antiqua"/>
          <w:i/>
          <w:iCs/>
        </w:rPr>
        <w:t>Hematol</w:t>
      </w:r>
      <w:proofErr w:type="spellEnd"/>
      <w:r w:rsidRPr="00B22E92">
        <w:rPr>
          <w:rFonts w:ascii="Book Antiqua" w:hAnsi="Book Antiqua"/>
        </w:rPr>
        <w:t xml:space="preserve"> 2017; </w:t>
      </w:r>
      <w:r w:rsidRPr="00B22E92">
        <w:rPr>
          <w:rFonts w:ascii="Book Antiqua" w:hAnsi="Book Antiqua"/>
          <w:b/>
          <w:bCs/>
        </w:rPr>
        <w:t>109</w:t>
      </w:r>
      <w:r w:rsidRPr="00B22E92">
        <w:rPr>
          <w:rFonts w:ascii="Book Antiqua" w:hAnsi="Book Antiqua"/>
        </w:rPr>
        <w:t>: 9-19 [PMID: 28010901 DOI: 10.1016/j.critrevonc.2016.11.007]</w:t>
      </w:r>
    </w:p>
    <w:p w14:paraId="616B31D4"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11 </w:t>
      </w:r>
      <w:r w:rsidRPr="00B22E92">
        <w:rPr>
          <w:rFonts w:ascii="Book Antiqua" w:hAnsi="Book Antiqua"/>
          <w:b/>
          <w:bCs/>
        </w:rPr>
        <w:t>Marisa L</w:t>
      </w:r>
      <w:r w:rsidRPr="00B22E92">
        <w:rPr>
          <w:rFonts w:ascii="Book Antiqua" w:hAnsi="Book Antiqua"/>
        </w:rPr>
        <w:t xml:space="preserve">, de </w:t>
      </w:r>
      <w:proofErr w:type="spellStart"/>
      <w:r w:rsidRPr="00B22E92">
        <w:rPr>
          <w:rFonts w:ascii="Book Antiqua" w:hAnsi="Book Antiqua"/>
        </w:rPr>
        <w:t>Reyniès</w:t>
      </w:r>
      <w:proofErr w:type="spellEnd"/>
      <w:r w:rsidRPr="00B22E92">
        <w:rPr>
          <w:rFonts w:ascii="Book Antiqua" w:hAnsi="Book Antiqua"/>
        </w:rPr>
        <w:t xml:space="preserve"> A, Duval A, Selves J, </w:t>
      </w:r>
      <w:proofErr w:type="spellStart"/>
      <w:r w:rsidRPr="00B22E92">
        <w:rPr>
          <w:rFonts w:ascii="Book Antiqua" w:hAnsi="Book Antiqua"/>
        </w:rPr>
        <w:t>Gaub</w:t>
      </w:r>
      <w:proofErr w:type="spellEnd"/>
      <w:r w:rsidRPr="00B22E92">
        <w:rPr>
          <w:rFonts w:ascii="Book Antiqua" w:hAnsi="Book Antiqua"/>
        </w:rPr>
        <w:t xml:space="preserve"> MP, </w:t>
      </w:r>
      <w:proofErr w:type="spellStart"/>
      <w:r w:rsidRPr="00B22E92">
        <w:rPr>
          <w:rFonts w:ascii="Book Antiqua" w:hAnsi="Book Antiqua"/>
        </w:rPr>
        <w:t>Vescovo</w:t>
      </w:r>
      <w:proofErr w:type="spellEnd"/>
      <w:r w:rsidRPr="00B22E92">
        <w:rPr>
          <w:rFonts w:ascii="Book Antiqua" w:hAnsi="Book Antiqua"/>
        </w:rPr>
        <w:t xml:space="preserve"> L, Etienne-Grimaldi MC, </w:t>
      </w:r>
      <w:proofErr w:type="spellStart"/>
      <w:r w:rsidRPr="00B22E92">
        <w:rPr>
          <w:rFonts w:ascii="Book Antiqua" w:hAnsi="Book Antiqua"/>
        </w:rPr>
        <w:t>Schiappa</w:t>
      </w:r>
      <w:proofErr w:type="spellEnd"/>
      <w:r w:rsidRPr="00B22E92">
        <w:rPr>
          <w:rFonts w:ascii="Book Antiqua" w:hAnsi="Book Antiqua"/>
        </w:rPr>
        <w:t xml:space="preserve"> R, </w:t>
      </w:r>
      <w:proofErr w:type="spellStart"/>
      <w:r w:rsidRPr="00B22E92">
        <w:rPr>
          <w:rFonts w:ascii="Book Antiqua" w:hAnsi="Book Antiqua"/>
        </w:rPr>
        <w:t>Guenot</w:t>
      </w:r>
      <w:proofErr w:type="spellEnd"/>
      <w:r w:rsidRPr="00B22E92">
        <w:rPr>
          <w:rFonts w:ascii="Book Antiqua" w:hAnsi="Book Antiqua"/>
        </w:rPr>
        <w:t xml:space="preserve"> D, </w:t>
      </w:r>
      <w:proofErr w:type="spellStart"/>
      <w:r w:rsidRPr="00B22E92">
        <w:rPr>
          <w:rFonts w:ascii="Book Antiqua" w:hAnsi="Book Antiqua"/>
        </w:rPr>
        <w:t>Ayadi</w:t>
      </w:r>
      <w:proofErr w:type="spellEnd"/>
      <w:r w:rsidRPr="00B22E92">
        <w:rPr>
          <w:rFonts w:ascii="Book Antiqua" w:hAnsi="Book Antiqua"/>
        </w:rPr>
        <w:t xml:space="preserve"> M, </w:t>
      </w:r>
      <w:proofErr w:type="spellStart"/>
      <w:r w:rsidRPr="00B22E92">
        <w:rPr>
          <w:rFonts w:ascii="Book Antiqua" w:hAnsi="Book Antiqua"/>
        </w:rPr>
        <w:t>Kirzin</w:t>
      </w:r>
      <w:proofErr w:type="spellEnd"/>
      <w:r w:rsidRPr="00B22E92">
        <w:rPr>
          <w:rFonts w:ascii="Book Antiqua" w:hAnsi="Book Antiqua"/>
        </w:rPr>
        <w:t xml:space="preserve"> S, Chazal M, </w:t>
      </w:r>
      <w:proofErr w:type="spellStart"/>
      <w:r w:rsidRPr="00B22E92">
        <w:rPr>
          <w:rFonts w:ascii="Book Antiqua" w:hAnsi="Book Antiqua"/>
        </w:rPr>
        <w:t>Fléjou</w:t>
      </w:r>
      <w:proofErr w:type="spellEnd"/>
      <w:r w:rsidRPr="00B22E92">
        <w:rPr>
          <w:rFonts w:ascii="Book Antiqua" w:hAnsi="Book Antiqua"/>
        </w:rPr>
        <w:t xml:space="preserve"> JF, </w:t>
      </w:r>
      <w:proofErr w:type="spellStart"/>
      <w:r w:rsidRPr="00B22E92">
        <w:rPr>
          <w:rFonts w:ascii="Book Antiqua" w:hAnsi="Book Antiqua"/>
        </w:rPr>
        <w:t>Benchimol</w:t>
      </w:r>
      <w:proofErr w:type="spellEnd"/>
      <w:r w:rsidRPr="00B22E92">
        <w:rPr>
          <w:rFonts w:ascii="Book Antiqua" w:hAnsi="Book Antiqua"/>
        </w:rPr>
        <w:t xml:space="preserve"> D, Berger A, Lagarde A, </w:t>
      </w:r>
      <w:proofErr w:type="spellStart"/>
      <w:r w:rsidRPr="00B22E92">
        <w:rPr>
          <w:rFonts w:ascii="Book Antiqua" w:hAnsi="Book Antiqua"/>
        </w:rPr>
        <w:t>Pencreach</w:t>
      </w:r>
      <w:proofErr w:type="spellEnd"/>
      <w:r w:rsidRPr="00B22E92">
        <w:rPr>
          <w:rFonts w:ascii="Book Antiqua" w:hAnsi="Book Antiqua"/>
        </w:rPr>
        <w:t xml:space="preserve"> E, </w:t>
      </w:r>
      <w:proofErr w:type="spellStart"/>
      <w:r w:rsidRPr="00B22E92">
        <w:rPr>
          <w:rFonts w:ascii="Book Antiqua" w:hAnsi="Book Antiqua"/>
        </w:rPr>
        <w:t>Piard</w:t>
      </w:r>
      <w:proofErr w:type="spellEnd"/>
      <w:r w:rsidRPr="00B22E92">
        <w:rPr>
          <w:rFonts w:ascii="Book Antiqua" w:hAnsi="Book Antiqua"/>
        </w:rPr>
        <w:t xml:space="preserve"> F, Elias D, Parc Y, </w:t>
      </w:r>
      <w:proofErr w:type="spellStart"/>
      <w:r w:rsidRPr="00B22E92">
        <w:rPr>
          <w:rFonts w:ascii="Book Antiqua" w:hAnsi="Book Antiqua"/>
        </w:rPr>
        <w:t>Olschwang</w:t>
      </w:r>
      <w:proofErr w:type="spellEnd"/>
      <w:r w:rsidRPr="00B22E92">
        <w:rPr>
          <w:rFonts w:ascii="Book Antiqua" w:hAnsi="Book Antiqua"/>
        </w:rPr>
        <w:t xml:space="preserve"> S, Milano G, Laurent-Puig P, </w:t>
      </w:r>
      <w:proofErr w:type="spellStart"/>
      <w:r w:rsidRPr="00B22E92">
        <w:rPr>
          <w:rFonts w:ascii="Book Antiqua" w:hAnsi="Book Antiqua"/>
        </w:rPr>
        <w:t>Boige</w:t>
      </w:r>
      <w:proofErr w:type="spellEnd"/>
      <w:r w:rsidRPr="00B22E92">
        <w:rPr>
          <w:rFonts w:ascii="Book Antiqua" w:hAnsi="Book Antiqua"/>
        </w:rPr>
        <w:t xml:space="preserve"> V. Gene expression classification of colon cancer into molecular subtypes: characterization, validation, and prognostic value. </w:t>
      </w:r>
      <w:proofErr w:type="spellStart"/>
      <w:r w:rsidRPr="00B22E92">
        <w:rPr>
          <w:rFonts w:ascii="Book Antiqua" w:hAnsi="Book Antiqua"/>
          <w:i/>
          <w:iCs/>
        </w:rPr>
        <w:t>PLoS</w:t>
      </w:r>
      <w:proofErr w:type="spellEnd"/>
      <w:r w:rsidRPr="00B22E92">
        <w:rPr>
          <w:rFonts w:ascii="Book Antiqua" w:hAnsi="Book Antiqua"/>
          <w:i/>
          <w:iCs/>
        </w:rPr>
        <w:t xml:space="preserve"> Med</w:t>
      </w:r>
      <w:r w:rsidRPr="00B22E92">
        <w:rPr>
          <w:rFonts w:ascii="Book Antiqua" w:hAnsi="Book Antiqua"/>
        </w:rPr>
        <w:t xml:space="preserve"> 2013; </w:t>
      </w:r>
      <w:r w:rsidRPr="00B22E92">
        <w:rPr>
          <w:rFonts w:ascii="Book Antiqua" w:hAnsi="Book Antiqua"/>
          <w:b/>
          <w:bCs/>
        </w:rPr>
        <w:t>10</w:t>
      </w:r>
      <w:r w:rsidRPr="00B22E92">
        <w:rPr>
          <w:rFonts w:ascii="Book Antiqua" w:hAnsi="Book Antiqua"/>
        </w:rPr>
        <w:t>: e1001453 [PMID: 23700391 DOI: 10.1371/journal.pmed.1001453]</w:t>
      </w:r>
    </w:p>
    <w:p w14:paraId="686383AE"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12 </w:t>
      </w:r>
      <w:proofErr w:type="spellStart"/>
      <w:r w:rsidRPr="00B22E92">
        <w:rPr>
          <w:rFonts w:ascii="Book Antiqua" w:hAnsi="Book Antiqua"/>
          <w:b/>
          <w:bCs/>
        </w:rPr>
        <w:t>Samadder</w:t>
      </w:r>
      <w:proofErr w:type="spellEnd"/>
      <w:r w:rsidRPr="00B22E92">
        <w:rPr>
          <w:rFonts w:ascii="Book Antiqua" w:hAnsi="Book Antiqua"/>
          <w:b/>
          <w:bCs/>
        </w:rPr>
        <w:t xml:space="preserve"> NJ</w:t>
      </w:r>
      <w:r w:rsidRPr="00B22E92">
        <w:rPr>
          <w:rFonts w:ascii="Book Antiqua" w:hAnsi="Book Antiqua"/>
        </w:rPr>
        <w:t xml:space="preserve">, </w:t>
      </w:r>
      <w:proofErr w:type="spellStart"/>
      <w:r w:rsidRPr="00B22E92">
        <w:rPr>
          <w:rFonts w:ascii="Book Antiqua" w:hAnsi="Book Antiqua"/>
        </w:rPr>
        <w:t>Vierkant</w:t>
      </w:r>
      <w:proofErr w:type="spellEnd"/>
      <w:r w:rsidRPr="00B22E92">
        <w:rPr>
          <w:rFonts w:ascii="Book Antiqua" w:hAnsi="Book Antiqua"/>
        </w:rPr>
        <w:t xml:space="preserve"> RA, </w:t>
      </w:r>
      <w:proofErr w:type="spellStart"/>
      <w:r w:rsidRPr="00B22E92">
        <w:rPr>
          <w:rFonts w:ascii="Book Antiqua" w:hAnsi="Book Antiqua"/>
        </w:rPr>
        <w:t>Tillmans</w:t>
      </w:r>
      <w:proofErr w:type="spellEnd"/>
      <w:r w:rsidRPr="00B22E92">
        <w:rPr>
          <w:rFonts w:ascii="Book Antiqua" w:hAnsi="Book Antiqua"/>
        </w:rPr>
        <w:t xml:space="preserve"> LS, Wang AH, </w:t>
      </w:r>
      <w:proofErr w:type="spellStart"/>
      <w:r w:rsidRPr="00B22E92">
        <w:rPr>
          <w:rFonts w:ascii="Book Antiqua" w:hAnsi="Book Antiqua"/>
        </w:rPr>
        <w:t>Weisenberger</w:t>
      </w:r>
      <w:proofErr w:type="spellEnd"/>
      <w:r w:rsidRPr="00B22E92">
        <w:rPr>
          <w:rFonts w:ascii="Book Antiqua" w:hAnsi="Book Antiqua"/>
        </w:rPr>
        <w:t xml:space="preserve"> DJ, Laird PW, Lynch CF, Anderson KE, French AJ, Haile RW, Potter JD, </w:t>
      </w:r>
      <w:proofErr w:type="spellStart"/>
      <w:r w:rsidRPr="00B22E92">
        <w:rPr>
          <w:rFonts w:ascii="Book Antiqua" w:hAnsi="Book Antiqua"/>
        </w:rPr>
        <w:t>Slager</w:t>
      </w:r>
      <w:proofErr w:type="spellEnd"/>
      <w:r w:rsidRPr="00B22E92">
        <w:rPr>
          <w:rFonts w:ascii="Book Antiqua" w:hAnsi="Book Antiqua"/>
        </w:rPr>
        <w:t xml:space="preserve"> SL, </w:t>
      </w:r>
      <w:proofErr w:type="spellStart"/>
      <w:r w:rsidRPr="00B22E92">
        <w:rPr>
          <w:rFonts w:ascii="Book Antiqua" w:hAnsi="Book Antiqua"/>
        </w:rPr>
        <w:t>Smyrk</w:t>
      </w:r>
      <w:proofErr w:type="spellEnd"/>
      <w:r w:rsidRPr="00B22E92">
        <w:rPr>
          <w:rFonts w:ascii="Book Antiqua" w:hAnsi="Book Antiqua"/>
        </w:rPr>
        <w:t xml:space="preserve"> TC, Thibodeau SN, </w:t>
      </w:r>
      <w:proofErr w:type="spellStart"/>
      <w:r w:rsidRPr="00B22E92">
        <w:rPr>
          <w:rFonts w:ascii="Book Antiqua" w:hAnsi="Book Antiqua"/>
        </w:rPr>
        <w:t>Cerhan</w:t>
      </w:r>
      <w:proofErr w:type="spellEnd"/>
      <w:r w:rsidRPr="00B22E92">
        <w:rPr>
          <w:rFonts w:ascii="Book Antiqua" w:hAnsi="Book Antiqua"/>
        </w:rPr>
        <w:t xml:space="preserve"> JR, Limburg PJ. Associations between colorectal cancer molecular markers and pathways with clinicopathologic features in older women. </w:t>
      </w:r>
      <w:r w:rsidRPr="00B22E92">
        <w:rPr>
          <w:rFonts w:ascii="Book Antiqua" w:hAnsi="Book Antiqua"/>
          <w:i/>
          <w:iCs/>
        </w:rPr>
        <w:t>Gastroenterology</w:t>
      </w:r>
      <w:r w:rsidRPr="00B22E92">
        <w:rPr>
          <w:rFonts w:ascii="Book Antiqua" w:hAnsi="Book Antiqua"/>
        </w:rPr>
        <w:t xml:space="preserve"> 2013; </w:t>
      </w:r>
      <w:r w:rsidRPr="00B22E92">
        <w:rPr>
          <w:rFonts w:ascii="Book Antiqua" w:hAnsi="Book Antiqua"/>
          <w:b/>
          <w:bCs/>
        </w:rPr>
        <w:t>145</w:t>
      </w:r>
      <w:r w:rsidRPr="00B22E92">
        <w:rPr>
          <w:rFonts w:ascii="Book Antiqua" w:hAnsi="Book Antiqua"/>
        </w:rPr>
        <w:t>: 348-</w:t>
      </w:r>
      <w:proofErr w:type="gramStart"/>
      <w:r w:rsidRPr="00B22E92">
        <w:rPr>
          <w:rFonts w:ascii="Book Antiqua" w:hAnsi="Book Antiqua"/>
        </w:rPr>
        <w:t>56.e</w:t>
      </w:r>
      <w:proofErr w:type="gramEnd"/>
      <w:r w:rsidRPr="00B22E92">
        <w:rPr>
          <w:rFonts w:ascii="Book Antiqua" w:hAnsi="Book Antiqua"/>
        </w:rPr>
        <w:t>1-2 [PMID: 23665275 DOI: 10.1053/j.gastro.2013.05.001]</w:t>
      </w:r>
    </w:p>
    <w:p w14:paraId="4CBF991B"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13 </w:t>
      </w:r>
      <w:r w:rsidRPr="00B22E92">
        <w:rPr>
          <w:rFonts w:ascii="Book Antiqua" w:hAnsi="Book Antiqua"/>
          <w:b/>
          <w:bCs/>
        </w:rPr>
        <w:t>Domingo E</w:t>
      </w:r>
      <w:r w:rsidRPr="00B22E92">
        <w:rPr>
          <w:rFonts w:ascii="Book Antiqua" w:hAnsi="Book Antiqua"/>
        </w:rPr>
        <w:t xml:space="preserve">, </w:t>
      </w:r>
      <w:proofErr w:type="spellStart"/>
      <w:r w:rsidRPr="00B22E92">
        <w:rPr>
          <w:rFonts w:ascii="Book Antiqua" w:hAnsi="Book Antiqua"/>
        </w:rPr>
        <w:t>Ramamoorthy</w:t>
      </w:r>
      <w:proofErr w:type="spellEnd"/>
      <w:r w:rsidRPr="00B22E92">
        <w:rPr>
          <w:rFonts w:ascii="Book Antiqua" w:hAnsi="Book Antiqua"/>
        </w:rPr>
        <w:t xml:space="preserve"> R, </w:t>
      </w:r>
      <w:proofErr w:type="spellStart"/>
      <w:r w:rsidRPr="00B22E92">
        <w:rPr>
          <w:rFonts w:ascii="Book Antiqua" w:hAnsi="Book Antiqua"/>
        </w:rPr>
        <w:t>Oukrif</w:t>
      </w:r>
      <w:proofErr w:type="spellEnd"/>
      <w:r w:rsidRPr="00B22E92">
        <w:rPr>
          <w:rFonts w:ascii="Book Antiqua" w:hAnsi="Book Antiqua"/>
        </w:rPr>
        <w:t xml:space="preserve"> D, </w:t>
      </w:r>
      <w:proofErr w:type="spellStart"/>
      <w:r w:rsidRPr="00B22E92">
        <w:rPr>
          <w:rFonts w:ascii="Book Antiqua" w:hAnsi="Book Antiqua"/>
        </w:rPr>
        <w:t>Rosmarin</w:t>
      </w:r>
      <w:proofErr w:type="spellEnd"/>
      <w:r w:rsidRPr="00B22E92">
        <w:rPr>
          <w:rFonts w:ascii="Book Antiqua" w:hAnsi="Book Antiqua"/>
        </w:rPr>
        <w:t xml:space="preserve"> D, </w:t>
      </w:r>
      <w:proofErr w:type="spellStart"/>
      <w:r w:rsidRPr="00B22E92">
        <w:rPr>
          <w:rFonts w:ascii="Book Antiqua" w:hAnsi="Book Antiqua"/>
        </w:rPr>
        <w:t>Presz</w:t>
      </w:r>
      <w:proofErr w:type="spellEnd"/>
      <w:r w:rsidRPr="00B22E92">
        <w:rPr>
          <w:rFonts w:ascii="Book Antiqua" w:hAnsi="Book Antiqua"/>
        </w:rPr>
        <w:t xml:space="preserve"> M, Wang H, </w:t>
      </w:r>
      <w:proofErr w:type="spellStart"/>
      <w:r w:rsidRPr="00B22E92">
        <w:rPr>
          <w:rFonts w:ascii="Book Antiqua" w:hAnsi="Book Antiqua"/>
        </w:rPr>
        <w:t>Pulker</w:t>
      </w:r>
      <w:proofErr w:type="spellEnd"/>
      <w:r w:rsidRPr="00B22E92">
        <w:rPr>
          <w:rFonts w:ascii="Book Antiqua" w:hAnsi="Book Antiqua"/>
        </w:rPr>
        <w:t xml:space="preserve"> H, </w:t>
      </w:r>
      <w:proofErr w:type="spellStart"/>
      <w:r w:rsidRPr="00B22E92">
        <w:rPr>
          <w:rFonts w:ascii="Book Antiqua" w:hAnsi="Book Antiqua"/>
        </w:rPr>
        <w:t>Lockstone</w:t>
      </w:r>
      <w:proofErr w:type="spellEnd"/>
      <w:r w:rsidRPr="00B22E92">
        <w:rPr>
          <w:rFonts w:ascii="Book Antiqua" w:hAnsi="Book Antiqua"/>
        </w:rPr>
        <w:t xml:space="preserve"> H, </w:t>
      </w:r>
      <w:proofErr w:type="spellStart"/>
      <w:r w:rsidRPr="00B22E92">
        <w:rPr>
          <w:rFonts w:ascii="Book Antiqua" w:hAnsi="Book Antiqua"/>
        </w:rPr>
        <w:t>Hveem</w:t>
      </w:r>
      <w:proofErr w:type="spellEnd"/>
      <w:r w:rsidRPr="00B22E92">
        <w:rPr>
          <w:rFonts w:ascii="Book Antiqua" w:hAnsi="Book Antiqua"/>
        </w:rPr>
        <w:t xml:space="preserve"> T, Cranston T, Danielsen H, </w:t>
      </w:r>
      <w:proofErr w:type="spellStart"/>
      <w:r w:rsidRPr="00B22E92">
        <w:rPr>
          <w:rFonts w:ascii="Book Antiqua" w:hAnsi="Book Antiqua"/>
        </w:rPr>
        <w:t>Novelli</w:t>
      </w:r>
      <w:proofErr w:type="spellEnd"/>
      <w:r w:rsidRPr="00B22E92">
        <w:rPr>
          <w:rFonts w:ascii="Book Antiqua" w:hAnsi="Book Antiqua"/>
        </w:rPr>
        <w:t xml:space="preserve"> M, Davidson B, Xu ZZ, Molloy P, Johnstone E, Holmes C, Midgley R, Kerr D, </w:t>
      </w:r>
      <w:proofErr w:type="spellStart"/>
      <w:r w:rsidRPr="00B22E92">
        <w:rPr>
          <w:rFonts w:ascii="Book Antiqua" w:hAnsi="Book Antiqua"/>
        </w:rPr>
        <w:t>Sieber</w:t>
      </w:r>
      <w:proofErr w:type="spellEnd"/>
      <w:r w:rsidRPr="00B22E92">
        <w:rPr>
          <w:rFonts w:ascii="Book Antiqua" w:hAnsi="Book Antiqua"/>
        </w:rPr>
        <w:t xml:space="preserve"> O, Tomlinson I. Use of multivariate analysis to suggest a new molecular classification of colorectal cancer. </w:t>
      </w:r>
      <w:r w:rsidRPr="00B22E92">
        <w:rPr>
          <w:rFonts w:ascii="Book Antiqua" w:hAnsi="Book Antiqua"/>
          <w:i/>
          <w:iCs/>
        </w:rPr>
        <w:t xml:space="preserve">J </w:t>
      </w:r>
      <w:proofErr w:type="spellStart"/>
      <w:r w:rsidRPr="00B22E92">
        <w:rPr>
          <w:rFonts w:ascii="Book Antiqua" w:hAnsi="Book Antiqua"/>
          <w:i/>
          <w:iCs/>
        </w:rPr>
        <w:t>Pathol</w:t>
      </w:r>
      <w:proofErr w:type="spellEnd"/>
      <w:r w:rsidRPr="00B22E92">
        <w:rPr>
          <w:rFonts w:ascii="Book Antiqua" w:hAnsi="Book Antiqua"/>
        </w:rPr>
        <w:t xml:space="preserve"> 2013; </w:t>
      </w:r>
      <w:r w:rsidRPr="00B22E92">
        <w:rPr>
          <w:rFonts w:ascii="Book Antiqua" w:hAnsi="Book Antiqua"/>
          <w:b/>
          <w:bCs/>
        </w:rPr>
        <w:t>229</w:t>
      </w:r>
      <w:r w:rsidRPr="00B22E92">
        <w:rPr>
          <w:rFonts w:ascii="Book Antiqua" w:hAnsi="Book Antiqua"/>
        </w:rPr>
        <w:t>: 441-448 [PMID: 23165447 DOI: 10.1002/path.4139]</w:t>
      </w:r>
    </w:p>
    <w:p w14:paraId="6D61740D"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14 </w:t>
      </w:r>
      <w:r w:rsidRPr="00B22E92">
        <w:rPr>
          <w:rFonts w:ascii="Book Antiqua" w:hAnsi="Book Antiqua"/>
          <w:b/>
          <w:bCs/>
        </w:rPr>
        <w:t>Phipps AI</w:t>
      </w:r>
      <w:r w:rsidRPr="00B22E92">
        <w:rPr>
          <w:rFonts w:ascii="Book Antiqua" w:hAnsi="Book Antiqua"/>
        </w:rPr>
        <w:t xml:space="preserve">, Buchanan DD, Makar KW, Win AK, Baron JA, Lindor NM, Potter JD, Newcomb PA. KRAS-mutation status in relation to colorectal cancer survival: the joint impact of correlated </w:t>
      </w:r>
      <w:proofErr w:type="spellStart"/>
      <w:r w:rsidRPr="00B22E92">
        <w:rPr>
          <w:rFonts w:ascii="Book Antiqua" w:hAnsi="Book Antiqua"/>
        </w:rPr>
        <w:t>tumour</w:t>
      </w:r>
      <w:proofErr w:type="spellEnd"/>
      <w:r w:rsidRPr="00B22E92">
        <w:rPr>
          <w:rFonts w:ascii="Book Antiqua" w:hAnsi="Book Antiqua"/>
        </w:rPr>
        <w:t xml:space="preserve"> markers. </w:t>
      </w:r>
      <w:r w:rsidRPr="00B22E92">
        <w:rPr>
          <w:rFonts w:ascii="Book Antiqua" w:hAnsi="Book Antiqua"/>
          <w:i/>
          <w:iCs/>
        </w:rPr>
        <w:t>Br J Cancer</w:t>
      </w:r>
      <w:r w:rsidRPr="00B22E92">
        <w:rPr>
          <w:rFonts w:ascii="Book Antiqua" w:hAnsi="Book Antiqua"/>
        </w:rPr>
        <w:t xml:space="preserve"> 2013; </w:t>
      </w:r>
      <w:r w:rsidRPr="00B22E92">
        <w:rPr>
          <w:rFonts w:ascii="Book Antiqua" w:hAnsi="Book Antiqua"/>
          <w:b/>
          <w:bCs/>
        </w:rPr>
        <w:t>108</w:t>
      </w:r>
      <w:r w:rsidRPr="00B22E92">
        <w:rPr>
          <w:rFonts w:ascii="Book Antiqua" w:hAnsi="Book Antiqua"/>
        </w:rPr>
        <w:t>: 1757-1764 [PMID: 23511557 DOI: 10.1038/bjc.2013.118]</w:t>
      </w:r>
    </w:p>
    <w:p w14:paraId="4EAE0F5B" w14:textId="77777777" w:rsidR="00B107E9" w:rsidRPr="00B22E92" w:rsidRDefault="00B107E9" w:rsidP="00B22E92">
      <w:pPr>
        <w:spacing w:line="360" w:lineRule="auto"/>
        <w:jc w:val="both"/>
        <w:rPr>
          <w:rFonts w:ascii="Book Antiqua" w:hAnsi="Book Antiqua"/>
        </w:rPr>
      </w:pPr>
      <w:r w:rsidRPr="00B22E92">
        <w:rPr>
          <w:rFonts w:ascii="Book Antiqua" w:hAnsi="Book Antiqua"/>
        </w:rPr>
        <w:lastRenderedPageBreak/>
        <w:t xml:space="preserve">15 </w:t>
      </w:r>
      <w:proofErr w:type="spellStart"/>
      <w:r w:rsidRPr="00B22E92">
        <w:rPr>
          <w:rFonts w:ascii="Book Antiqua" w:hAnsi="Book Antiqua"/>
          <w:b/>
          <w:bCs/>
        </w:rPr>
        <w:t>Sinicrope</w:t>
      </w:r>
      <w:proofErr w:type="spellEnd"/>
      <w:r w:rsidRPr="00B22E92">
        <w:rPr>
          <w:rFonts w:ascii="Book Antiqua" w:hAnsi="Book Antiqua"/>
          <w:b/>
          <w:bCs/>
        </w:rPr>
        <w:t xml:space="preserve"> FA</w:t>
      </w:r>
      <w:r w:rsidRPr="00B22E92">
        <w:rPr>
          <w:rFonts w:ascii="Book Antiqua" w:hAnsi="Book Antiqua"/>
        </w:rPr>
        <w:t xml:space="preserve">, Okamoto K, Kasi PM, Kawakami H. Molecular Biomarkers in the Personalized Treatment of Colorectal Cancer. </w:t>
      </w:r>
      <w:r w:rsidRPr="00B22E92">
        <w:rPr>
          <w:rFonts w:ascii="Book Antiqua" w:hAnsi="Book Antiqua"/>
          <w:i/>
          <w:iCs/>
        </w:rPr>
        <w:t>Clin Gastroenterol Hepatol</w:t>
      </w:r>
      <w:r w:rsidRPr="00B22E92">
        <w:rPr>
          <w:rFonts w:ascii="Book Antiqua" w:hAnsi="Book Antiqua"/>
        </w:rPr>
        <w:t xml:space="preserve"> 2016; </w:t>
      </w:r>
      <w:r w:rsidRPr="00B22E92">
        <w:rPr>
          <w:rFonts w:ascii="Book Antiqua" w:hAnsi="Book Antiqua"/>
          <w:b/>
          <w:bCs/>
        </w:rPr>
        <w:t>14</w:t>
      </w:r>
      <w:r w:rsidRPr="00B22E92">
        <w:rPr>
          <w:rFonts w:ascii="Book Antiqua" w:hAnsi="Book Antiqua"/>
        </w:rPr>
        <w:t>: 651-658 [PMID: 26872400 DOI: 10.1016/j.cgh.2016.02.008]</w:t>
      </w:r>
    </w:p>
    <w:p w14:paraId="069000FC"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16 </w:t>
      </w:r>
      <w:r w:rsidRPr="00B22E92">
        <w:rPr>
          <w:rFonts w:ascii="Book Antiqua" w:hAnsi="Book Antiqua"/>
          <w:b/>
          <w:bCs/>
        </w:rPr>
        <w:t>Lenz HJ</w:t>
      </w:r>
      <w:r w:rsidRPr="00B22E92">
        <w:rPr>
          <w:rFonts w:ascii="Book Antiqua" w:hAnsi="Book Antiqua"/>
        </w:rPr>
        <w:t xml:space="preserve">, </w:t>
      </w:r>
      <w:proofErr w:type="spellStart"/>
      <w:r w:rsidRPr="00B22E92">
        <w:rPr>
          <w:rFonts w:ascii="Book Antiqua" w:hAnsi="Book Antiqua"/>
        </w:rPr>
        <w:t>Ou</w:t>
      </w:r>
      <w:proofErr w:type="spellEnd"/>
      <w:r w:rsidRPr="00B22E92">
        <w:rPr>
          <w:rFonts w:ascii="Book Antiqua" w:hAnsi="Book Antiqua"/>
        </w:rPr>
        <w:t xml:space="preserve"> FS, </w:t>
      </w:r>
      <w:proofErr w:type="spellStart"/>
      <w:r w:rsidRPr="00B22E92">
        <w:rPr>
          <w:rFonts w:ascii="Book Antiqua" w:hAnsi="Book Antiqua"/>
        </w:rPr>
        <w:t>Venook</w:t>
      </w:r>
      <w:proofErr w:type="spellEnd"/>
      <w:r w:rsidRPr="00B22E92">
        <w:rPr>
          <w:rFonts w:ascii="Book Antiqua" w:hAnsi="Book Antiqua"/>
        </w:rPr>
        <w:t xml:space="preserve"> AP, Hochster HS, </w:t>
      </w:r>
      <w:proofErr w:type="spellStart"/>
      <w:r w:rsidRPr="00B22E92">
        <w:rPr>
          <w:rFonts w:ascii="Book Antiqua" w:hAnsi="Book Antiqua"/>
        </w:rPr>
        <w:t>Niedzwiecki</w:t>
      </w:r>
      <w:proofErr w:type="spellEnd"/>
      <w:r w:rsidRPr="00B22E92">
        <w:rPr>
          <w:rFonts w:ascii="Book Antiqua" w:hAnsi="Book Antiqua"/>
        </w:rPr>
        <w:t xml:space="preserve"> D, Goldberg RM, Mayer RJ, </w:t>
      </w:r>
      <w:proofErr w:type="spellStart"/>
      <w:r w:rsidRPr="00B22E92">
        <w:rPr>
          <w:rFonts w:ascii="Book Antiqua" w:hAnsi="Book Antiqua"/>
        </w:rPr>
        <w:t>Bertagnolli</w:t>
      </w:r>
      <w:proofErr w:type="spellEnd"/>
      <w:r w:rsidRPr="00B22E92">
        <w:rPr>
          <w:rFonts w:ascii="Book Antiqua" w:hAnsi="Book Antiqua"/>
        </w:rPr>
        <w:t xml:space="preserve"> MM, </w:t>
      </w:r>
      <w:proofErr w:type="spellStart"/>
      <w:r w:rsidRPr="00B22E92">
        <w:rPr>
          <w:rFonts w:ascii="Book Antiqua" w:hAnsi="Book Antiqua"/>
        </w:rPr>
        <w:t>Blanke</w:t>
      </w:r>
      <w:proofErr w:type="spellEnd"/>
      <w:r w:rsidRPr="00B22E92">
        <w:rPr>
          <w:rFonts w:ascii="Book Antiqua" w:hAnsi="Book Antiqua"/>
        </w:rPr>
        <w:t xml:space="preserve"> CD, </w:t>
      </w:r>
      <w:proofErr w:type="spellStart"/>
      <w:r w:rsidRPr="00B22E92">
        <w:rPr>
          <w:rFonts w:ascii="Book Antiqua" w:hAnsi="Book Antiqua"/>
        </w:rPr>
        <w:t>Zemla</w:t>
      </w:r>
      <w:proofErr w:type="spellEnd"/>
      <w:r w:rsidRPr="00B22E92">
        <w:rPr>
          <w:rFonts w:ascii="Book Antiqua" w:hAnsi="Book Antiqua"/>
        </w:rPr>
        <w:t xml:space="preserve"> T, Qu X, </w:t>
      </w:r>
      <w:proofErr w:type="spellStart"/>
      <w:r w:rsidRPr="00B22E92">
        <w:rPr>
          <w:rFonts w:ascii="Book Antiqua" w:hAnsi="Book Antiqua"/>
        </w:rPr>
        <w:t>Wirapati</w:t>
      </w:r>
      <w:proofErr w:type="spellEnd"/>
      <w:r w:rsidRPr="00B22E92">
        <w:rPr>
          <w:rFonts w:ascii="Book Antiqua" w:hAnsi="Book Antiqua"/>
        </w:rPr>
        <w:t xml:space="preserve"> P, </w:t>
      </w:r>
      <w:proofErr w:type="spellStart"/>
      <w:r w:rsidRPr="00B22E92">
        <w:rPr>
          <w:rFonts w:ascii="Book Antiqua" w:hAnsi="Book Antiqua"/>
        </w:rPr>
        <w:t>Tejpar</w:t>
      </w:r>
      <w:proofErr w:type="spellEnd"/>
      <w:r w:rsidRPr="00B22E92">
        <w:rPr>
          <w:rFonts w:ascii="Book Antiqua" w:hAnsi="Book Antiqua"/>
        </w:rPr>
        <w:t xml:space="preserve"> S, </w:t>
      </w:r>
      <w:proofErr w:type="spellStart"/>
      <w:r w:rsidRPr="00B22E92">
        <w:rPr>
          <w:rFonts w:ascii="Book Antiqua" w:hAnsi="Book Antiqua"/>
        </w:rPr>
        <w:t>Innocenti</w:t>
      </w:r>
      <w:proofErr w:type="spellEnd"/>
      <w:r w:rsidRPr="00B22E92">
        <w:rPr>
          <w:rFonts w:ascii="Book Antiqua" w:hAnsi="Book Antiqua"/>
        </w:rPr>
        <w:t xml:space="preserve"> F, </w:t>
      </w:r>
      <w:proofErr w:type="spellStart"/>
      <w:r w:rsidRPr="00B22E92">
        <w:rPr>
          <w:rFonts w:ascii="Book Antiqua" w:hAnsi="Book Antiqua"/>
        </w:rPr>
        <w:t>Kabbarah</w:t>
      </w:r>
      <w:proofErr w:type="spellEnd"/>
      <w:r w:rsidRPr="00B22E92">
        <w:rPr>
          <w:rFonts w:ascii="Book Antiqua" w:hAnsi="Book Antiqua"/>
        </w:rPr>
        <w:t xml:space="preserve"> O. Impact of Consensus Molecular Subtype on Survival in Patients </w:t>
      </w:r>
      <w:proofErr w:type="gramStart"/>
      <w:r w:rsidRPr="00B22E92">
        <w:rPr>
          <w:rFonts w:ascii="Book Antiqua" w:hAnsi="Book Antiqua"/>
        </w:rPr>
        <w:t>With</w:t>
      </w:r>
      <w:proofErr w:type="gramEnd"/>
      <w:r w:rsidRPr="00B22E92">
        <w:rPr>
          <w:rFonts w:ascii="Book Antiqua" w:hAnsi="Book Antiqua"/>
        </w:rPr>
        <w:t xml:space="preserve"> Metastatic Colorectal Cancer: Results From CALGB/SWOG 80405 (Alliance). </w:t>
      </w:r>
      <w:r w:rsidRPr="00B22E92">
        <w:rPr>
          <w:rFonts w:ascii="Book Antiqua" w:hAnsi="Book Antiqua"/>
          <w:i/>
          <w:iCs/>
        </w:rPr>
        <w:t>J Clin Oncol</w:t>
      </w:r>
      <w:r w:rsidRPr="00B22E92">
        <w:rPr>
          <w:rFonts w:ascii="Book Antiqua" w:hAnsi="Book Antiqua"/>
        </w:rPr>
        <w:t xml:space="preserve"> 2019; </w:t>
      </w:r>
      <w:r w:rsidRPr="00B22E92">
        <w:rPr>
          <w:rFonts w:ascii="Book Antiqua" w:hAnsi="Book Antiqua"/>
          <w:b/>
          <w:bCs/>
        </w:rPr>
        <w:t>37</w:t>
      </w:r>
      <w:r w:rsidRPr="00B22E92">
        <w:rPr>
          <w:rFonts w:ascii="Book Antiqua" w:hAnsi="Book Antiqua"/>
        </w:rPr>
        <w:t>: 1876-1885 [PMID: 31042420 DOI: 10.1200/JCO.18.02258]</w:t>
      </w:r>
    </w:p>
    <w:p w14:paraId="5D827EBD"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17 </w:t>
      </w:r>
      <w:proofErr w:type="spellStart"/>
      <w:r w:rsidRPr="00B22E92">
        <w:rPr>
          <w:rFonts w:ascii="Book Antiqua" w:hAnsi="Book Antiqua"/>
          <w:b/>
          <w:bCs/>
        </w:rPr>
        <w:t>Dienstmann</w:t>
      </w:r>
      <w:proofErr w:type="spellEnd"/>
      <w:r w:rsidRPr="00B22E92">
        <w:rPr>
          <w:rFonts w:ascii="Book Antiqua" w:hAnsi="Book Antiqua"/>
          <w:b/>
          <w:bCs/>
        </w:rPr>
        <w:t xml:space="preserve"> R</w:t>
      </w:r>
      <w:r w:rsidRPr="00B22E92">
        <w:rPr>
          <w:rFonts w:ascii="Book Antiqua" w:hAnsi="Book Antiqua"/>
        </w:rPr>
        <w:t xml:space="preserve">, Vermeulen L, </w:t>
      </w:r>
      <w:proofErr w:type="spellStart"/>
      <w:r w:rsidRPr="00B22E92">
        <w:rPr>
          <w:rFonts w:ascii="Book Antiqua" w:hAnsi="Book Antiqua"/>
        </w:rPr>
        <w:t>Guinney</w:t>
      </w:r>
      <w:proofErr w:type="spellEnd"/>
      <w:r w:rsidRPr="00B22E92">
        <w:rPr>
          <w:rFonts w:ascii="Book Antiqua" w:hAnsi="Book Antiqua"/>
        </w:rPr>
        <w:t xml:space="preserve"> J, </w:t>
      </w:r>
      <w:proofErr w:type="spellStart"/>
      <w:r w:rsidRPr="00B22E92">
        <w:rPr>
          <w:rFonts w:ascii="Book Antiqua" w:hAnsi="Book Antiqua"/>
        </w:rPr>
        <w:t>Kopetz</w:t>
      </w:r>
      <w:proofErr w:type="spellEnd"/>
      <w:r w:rsidRPr="00B22E92">
        <w:rPr>
          <w:rFonts w:ascii="Book Antiqua" w:hAnsi="Book Antiqua"/>
        </w:rPr>
        <w:t xml:space="preserve"> S, </w:t>
      </w:r>
      <w:proofErr w:type="spellStart"/>
      <w:r w:rsidRPr="00B22E92">
        <w:rPr>
          <w:rFonts w:ascii="Book Antiqua" w:hAnsi="Book Antiqua"/>
        </w:rPr>
        <w:t>Tejpar</w:t>
      </w:r>
      <w:proofErr w:type="spellEnd"/>
      <w:r w:rsidRPr="00B22E92">
        <w:rPr>
          <w:rFonts w:ascii="Book Antiqua" w:hAnsi="Book Antiqua"/>
        </w:rPr>
        <w:t xml:space="preserve"> S, </w:t>
      </w:r>
      <w:proofErr w:type="spellStart"/>
      <w:r w:rsidRPr="00B22E92">
        <w:rPr>
          <w:rFonts w:ascii="Book Antiqua" w:hAnsi="Book Antiqua"/>
        </w:rPr>
        <w:t>Tabernero</w:t>
      </w:r>
      <w:proofErr w:type="spellEnd"/>
      <w:r w:rsidRPr="00B22E92">
        <w:rPr>
          <w:rFonts w:ascii="Book Antiqua" w:hAnsi="Book Antiqua"/>
        </w:rPr>
        <w:t xml:space="preserve"> J. Consensus molecular subtypes and the evolution of precision medicine in colorectal cancer. </w:t>
      </w:r>
      <w:r w:rsidRPr="00B22E92">
        <w:rPr>
          <w:rFonts w:ascii="Book Antiqua" w:hAnsi="Book Antiqua"/>
          <w:i/>
          <w:iCs/>
        </w:rPr>
        <w:t>Nat Rev Cancer</w:t>
      </w:r>
      <w:r w:rsidRPr="00B22E92">
        <w:rPr>
          <w:rFonts w:ascii="Book Antiqua" w:hAnsi="Book Antiqua"/>
        </w:rPr>
        <w:t xml:space="preserve"> 2017; </w:t>
      </w:r>
      <w:r w:rsidRPr="00B22E92">
        <w:rPr>
          <w:rFonts w:ascii="Book Antiqua" w:hAnsi="Book Antiqua"/>
          <w:b/>
          <w:bCs/>
        </w:rPr>
        <w:t>17</w:t>
      </w:r>
      <w:r w:rsidRPr="00B22E92">
        <w:rPr>
          <w:rFonts w:ascii="Book Antiqua" w:hAnsi="Book Antiqua"/>
        </w:rPr>
        <w:t>: 79-92 [PMID: 28050011 DOI: 10.1038/nrc.2016.126]</w:t>
      </w:r>
    </w:p>
    <w:p w14:paraId="72450587"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18 </w:t>
      </w:r>
      <w:r w:rsidRPr="00B22E92">
        <w:rPr>
          <w:rFonts w:ascii="Book Antiqua" w:hAnsi="Book Antiqua"/>
          <w:b/>
          <w:bCs/>
        </w:rPr>
        <w:t>Wang W</w:t>
      </w:r>
      <w:r w:rsidRPr="00B22E92">
        <w:rPr>
          <w:rFonts w:ascii="Book Antiqua" w:hAnsi="Book Antiqua"/>
        </w:rPr>
        <w:t xml:space="preserve">, </w:t>
      </w:r>
      <w:proofErr w:type="spellStart"/>
      <w:r w:rsidRPr="00B22E92">
        <w:rPr>
          <w:rFonts w:ascii="Book Antiqua" w:hAnsi="Book Antiqua"/>
        </w:rPr>
        <w:t>Kandimalla</w:t>
      </w:r>
      <w:proofErr w:type="spellEnd"/>
      <w:r w:rsidRPr="00B22E92">
        <w:rPr>
          <w:rFonts w:ascii="Book Antiqua" w:hAnsi="Book Antiqua"/>
        </w:rPr>
        <w:t xml:space="preserve"> R, Huang H, Zhu L, Li Y, Gao F, Goel A, Wang X. Molecular subtyping of colorectal cancer: Recent progress, new challenges and emerging opportunities. </w:t>
      </w:r>
      <w:r w:rsidRPr="00B22E92">
        <w:rPr>
          <w:rFonts w:ascii="Book Antiqua" w:hAnsi="Book Antiqua"/>
          <w:i/>
          <w:iCs/>
        </w:rPr>
        <w:t>Semin Cancer Biol</w:t>
      </w:r>
      <w:r w:rsidRPr="00B22E92">
        <w:rPr>
          <w:rFonts w:ascii="Book Antiqua" w:hAnsi="Book Antiqua"/>
        </w:rPr>
        <w:t xml:space="preserve"> 2019; </w:t>
      </w:r>
      <w:r w:rsidRPr="00B22E92">
        <w:rPr>
          <w:rFonts w:ascii="Book Antiqua" w:hAnsi="Book Antiqua"/>
          <w:b/>
          <w:bCs/>
        </w:rPr>
        <w:t>55</w:t>
      </w:r>
      <w:r w:rsidRPr="00B22E92">
        <w:rPr>
          <w:rFonts w:ascii="Book Antiqua" w:hAnsi="Book Antiqua"/>
        </w:rPr>
        <w:t>: 37-52 [PMID: 29775690 DOI: 10.1016/j.semcancer.2018.05.002]</w:t>
      </w:r>
    </w:p>
    <w:p w14:paraId="5CF20952"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19 </w:t>
      </w:r>
      <w:proofErr w:type="spellStart"/>
      <w:r w:rsidRPr="00B22E92">
        <w:rPr>
          <w:rFonts w:ascii="Book Antiqua" w:hAnsi="Book Antiqua"/>
          <w:b/>
          <w:bCs/>
        </w:rPr>
        <w:t>Włodarczyk</w:t>
      </w:r>
      <w:proofErr w:type="spellEnd"/>
      <w:r w:rsidRPr="00B22E92">
        <w:rPr>
          <w:rFonts w:ascii="Book Antiqua" w:hAnsi="Book Antiqua"/>
          <w:b/>
          <w:bCs/>
        </w:rPr>
        <w:t xml:space="preserve"> M</w:t>
      </w:r>
      <w:r w:rsidRPr="00B22E92">
        <w:rPr>
          <w:rFonts w:ascii="Book Antiqua" w:hAnsi="Book Antiqua"/>
        </w:rPr>
        <w:t xml:space="preserve">, </w:t>
      </w:r>
      <w:proofErr w:type="spellStart"/>
      <w:r w:rsidRPr="00B22E92">
        <w:rPr>
          <w:rFonts w:ascii="Book Antiqua" w:hAnsi="Book Antiqua"/>
        </w:rPr>
        <w:t>Włodarczyk</w:t>
      </w:r>
      <w:proofErr w:type="spellEnd"/>
      <w:r w:rsidRPr="00B22E92">
        <w:rPr>
          <w:rFonts w:ascii="Book Antiqua" w:hAnsi="Book Antiqua"/>
        </w:rPr>
        <w:t xml:space="preserve"> J, </w:t>
      </w:r>
      <w:proofErr w:type="spellStart"/>
      <w:r w:rsidRPr="00B22E92">
        <w:rPr>
          <w:rFonts w:ascii="Book Antiqua" w:hAnsi="Book Antiqua"/>
        </w:rPr>
        <w:t>Siwiński</w:t>
      </w:r>
      <w:proofErr w:type="spellEnd"/>
      <w:r w:rsidRPr="00B22E92">
        <w:rPr>
          <w:rFonts w:ascii="Book Antiqua" w:hAnsi="Book Antiqua"/>
        </w:rPr>
        <w:t xml:space="preserve"> P, </w:t>
      </w:r>
      <w:proofErr w:type="spellStart"/>
      <w:r w:rsidRPr="00B22E92">
        <w:rPr>
          <w:rFonts w:ascii="Book Antiqua" w:hAnsi="Book Antiqua"/>
        </w:rPr>
        <w:t>Sobolewska-Włodarczyk</w:t>
      </w:r>
      <w:proofErr w:type="spellEnd"/>
      <w:r w:rsidRPr="00B22E92">
        <w:rPr>
          <w:rFonts w:ascii="Book Antiqua" w:hAnsi="Book Antiqua"/>
        </w:rPr>
        <w:t xml:space="preserve"> A, </w:t>
      </w:r>
      <w:proofErr w:type="spellStart"/>
      <w:r w:rsidRPr="00B22E92">
        <w:rPr>
          <w:rFonts w:ascii="Book Antiqua" w:hAnsi="Book Antiqua"/>
        </w:rPr>
        <w:t>Fichna</w:t>
      </w:r>
      <w:proofErr w:type="spellEnd"/>
      <w:r w:rsidRPr="00B22E92">
        <w:rPr>
          <w:rFonts w:ascii="Book Antiqua" w:hAnsi="Book Antiqua"/>
        </w:rPr>
        <w:t xml:space="preserve"> J. Genetic Molecular Subtypes in Optimizing Personalized Therapy for Metastatic Colorectal Cancer. </w:t>
      </w:r>
      <w:proofErr w:type="spellStart"/>
      <w:r w:rsidRPr="00B22E92">
        <w:rPr>
          <w:rFonts w:ascii="Book Antiqua" w:hAnsi="Book Antiqua"/>
          <w:i/>
          <w:iCs/>
        </w:rPr>
        <w:t>Curr</w:t>
      </w:r>
      <w:proofErr w:type="spellEnd"/>
      <w:r w:rsidRPr="00B22E92">
        <w:rPr>
          <w:rFonts w:ascii="Book Antiqua" w:hAnsi="Book Antiqua"/>
          <w:i/>
          <w:iCs/>
        </w:rPr>
        <w:t xml:space="preserve"> Drug Targets</w:t>
      </w:r>
      <w:r w:rsidRPr="00B22E92">
        <w:rPr>
          <w:rFonts w:ascii="Book Antiqua" w:hAnsi="Book Antiqua"/>
        </w:rPr>
        <w:t xml:space="preserve"> 2018; </w:t>
      </w:r>
      <w:r w:rsidRPr="00B22E92">
        <w:rPr>
          <w:rFonts w:ascii="Book Antiqua" w:hAnsi="Book Antiqua"/>
          <w:b/>
          <w:bCs/>
        </w:rPr>
        <w:t>19</w:t>
      </w:r>
      <w:r w:rsidRPr="00B22E92">
        <w:rPr>
          <w:rFonts w:ascii="Book Antiqua" w:hAnsi="Book Antiqua"/>
        </w:rPr>
        <w:t>: 1731-1737 [PMID: 30073926 DOI: 10.2174/1389450119666180803122744]</w:t>
      </w:r>
    </w:p>
    <w:p w14:paraId="4C5C839A"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20 </w:t>
      </w:r>
      <w:proofErr w:type="spellStart"/>
      <w:r w:rsidRPr="00B22E92">
        <w:rPr>
          <w:rFonts w:ascii="Book Antiqua" w:hAnsi="Book Antiqua"/>
          <w:b/>
          <w:bCs/>
        </w:rPr>
        <w:t>Stintzing</w:t>
      </w:r>
      <w:proofErr w:type="spellEnd"/>
      <w:r w:rsidRPr="00B22E92">
        <w:rPr>
          <w:rFonts w:ascii="Book Antiqua" w:hAnsi="Book Antiqua"/>
          <w:b/>
          <w:bCs/>
        </w:rPr>
        <w:t xml:space="preserve"> S</w:t>
      </w:r>
      <w:r w:rsidRPr="00B22E92">
        <w:rPr>
          <w:rFonts w:ascii="Book Antiqua" w:hAnsi="Book Antiqua"/>
        </w:rPr>
        <w:t xml:space="preserve">, </w:t>
      </w:r>
      <w:proofErr w:type="spellStart"/>
      <w:r w:rsidRPr="00B22E92">
        <w:rPr>
          <w:rFonts w:ascii="Book Antiqua" w:hAnsi="Book Antiqua"/>
        </w:rPr>
        <w:t>Wirapati</w:t>
      </w:r>
      <w:proofErr w:type="spellEnd"/>
      <w:r w:rsidRPr="00B22E92">
        <w:rPr>
          <w:rFonts w:ascii="Book Antiqua" w:hAnsi="Book Antiqua"/>
        </w:rPr>
        <w:t xml:space="preserve"> P, Lenz HJ, </w:t>
      </w:r>
      <w:proofErr w:type="spellStart"/>
      <w:r w:rsidRPr="00B22E92">
        <w:rPr>
          <w:rFonts w:ascii="Book Antiqua" w:hAnsi="Book Antiqua"/>
        </w:rPr>
        <w:t>Neureiter</w:t>
      </w:r>
      <w:proofErr w:type="spellEnd"/>
      <w:r w:rsidRPr="00B22E92">
        <w:rPr>
          <w:rFonts w:ascii="Book Antiqua" w:hAnsi="Book Antiqua"/>
        </w:rPr>
        <w:t xml:space="preserve"> D, Fischer von </w:t>
      </w:r>
      <w:proofErr w:type="spellStart"/>
      <w:r w:rsidRPr="00B22E92">
        <w:rPr>
          <w:rFonts w:ascii="Book Antiqua" w:hAnsi="Book Antiqua"/>
        </w:rPr>
        <w:t>Weikersthal</w:t>
      </w:r>
      <w:proofErr w:type="spellEnd"/>
      <w:r w:rsidRPr="00B22E92">
        <w:rPr>
          <w:rFonts w:ascii="Book Antiqua" w:hAnsi="Book Antiqua"/>
        </w:rPr>
        <w:t xml:space="preserve"> L, Decker T, </w:t>
      </w:r>
      <w:proofErr w:type="spellStart"/>
      <w:r w:rsidRPr="00B22E92">
        <w:rPr>
          <w:rFonts w:ascii="Book Antiqua" w:hAnsi="Book Antiqua"/>
        </w:rPr>
        <w:t>Kiani</w:t>
      </w:r>
      <w:proofErr w:type="spellEnd"/>
      <w:r w:rsidRPr="00B22E92">
        <w:rPr>
          <w:rFonts w:ascii="Book Antiqua" w:hAnsi="Book Antiqua"/>
        </w:rPr>
        <w:t xml:space="preserve"> A, Kaiser F, Al-</w:t>
      </w:r>
      <w:proofErr w:type="spellStart"/>
      <w:r w:rsidRPr="00B22E92">
        <w:rPr>
          <w:rFonts w:ascii="Book Antiqua" w:hAnsi="Book Antiqua"/>
        </w:rPr>
        <w:t>Batran</w:t>
      </w:r>
      <w:proofErr w:type="spellEnd"/>
      <w:r w:rsidRPr="00B22E92">
        <w:rPr>
          <w:rFonts w:ascii="Book Antiqua" w:hAnsi="Book Antiqua"/>
        </w:rPr>
        <w:t xml:space="preserve"> S, </w:t>
      </w:r>
      <w:proofErr w:type="spellStart"/>
      <w:r w:rsidRPr="00B22E92">
        <w:rPr>
          <w:rFonts w:ascii="Book Antiqua" w:hAnsi="Book Antiqua"/>
        </w:rPr>
        <w:t>Heintges</w:t>
      </w:r>
      <w:proofErr w:type="spellEnd"/>
      <w:r w:rsidRPr="00B22E92">
        <w:rPr>
          <w:rFonts w:ascii="Book Antiqua" w:hAnsi="Book Antiqua"/>
        </w:rPr>
        <w:t xml:space="preserve"> T, </w:t>
      </w:r>
      <w:proofErr w:type="spellStart"/>
      <w:r w:rsidRPr="00B22E92">
        <w:rPr>
          <w:rFonts w:ascii="Book Antiqua" w:hAnsi="Book Antiqua"/>
        </w:rPr>
        <w:t>Lerchenmüller</w:t>
      </w:r>
      <w:proofErr w:type="spellEnd"/>
      <w:r w:rsidRPr="00B22E92">
        <w:rPr>
          <w:rFonts w:ascii="Book Antiqua" w:hAnsi="Book Antiqua"/>
        </w:rPr>
        <w:t xml:space="preserve"> C, Kahl C, </w:t>
      </w:r>
      <w:proofErr w:type="spellStart"/>
      <w:r w:rsidRPr="00B22E92">
        <w:rPr>
          <w:rFonts w:ascii="Book Antiqua" w:hAnsi="Book Antiqua"/>
        </w:rPr>
        <w:t>Seipelt</w:t>
      </w:r>
      <w:proofErr w:type="spellEnd"/>
      <w:r w:rsidRPr="00B22E92">
        <w:rPr>
          <w:rFonts w:ascii="Book Antiqua" w:hAnsi="Book Antiqua"/>
        </w:rPr>
        <w:t xml:space="preserve"> G, </w:t>
      </w:r>
      <w:proofErr w:type="spellStart"/>
      <w:r w:rsidRPr="00B22E92">
        <w:rPr>
          <w:rFonts w:ascii="Book Antiqua" w:hAnsi="Book Antiqua"/>
        </w:rPr>
        <w:t>Kullmann</w:t>
      </w:r>
      <w:proofErr w:type="spellEnd"/>
      <w:r w:rsidRPr="00B22E92">
        <w:rPr>
          <w:rFonts w:ascii="Book Antiqua" w:hAnsi="Book Antiqua"/>
        </w:rPr>
        <w:t xml:space="preserve"> F, </w:t>
      </w:r>
      <w:proofErr w:type="spellStart"/>
      <w:r w:rsidRPr="00B22E92">
        <w:rPr>
          <w:rFonts w:ascii="Book Antiqua" w:hAnsi="Book Antiqua"/>
        </w:rPr>
        <w:t>Moehler</w:t>
      </w:r>
      <w:proofErr w:type="spellEnd"/>
      <w:r w:rsidRPr="00B22E92">
        <w:rPr>
          <w:rFonts w:ascii="Book Antiqua" w:hAnsi="Book Antiqua"/>
        </w:rPr>
        <w:t xml:space="preserve"> M, </w:t>
      </w:r>
      <w:proofErr w:type="spellStart"/>
      <w:r w:rsidRPr="00B22E92">
        <w:rPr>
          <w:rFonts w:ascii="Book Antiqua" w:hAnsi="Book Antiqua"/>
        </w:rPr>
        <w:t>Scheithauer</w:t>
      </w:r>
      <w:proofErr w:type="spellEnd"/>
      <w:r w:rsidRPr="00B22E92">
        <w:rPr>
          <w:rFonts w:ascii="Book Antiqua" w:hAnsi="Book Antiqua"/>
        </w:rPr>
        <w:t xml:space="preserve"> W, Held S, Modest DP, Jung A, Kirchner T, </w:t>
      </w:r>
      <w:proofErr w:type="spellStart"/>
      <w:r w:rsidRPr="00B22E92">
        <w:rPr>
          <w:rFonts w:ascii="Book Antiqua" w:hAnsi="Book Antiqua"/>
        </w:rPr>
        <w:t>Aderka</w:t>
      </w:r>
      <w:proofErr w:type="spellEnd"/>
      <w:r w:rsidRPr="00B22E92">
        <w:rPr>
          <w:rFonts w:ascii="Book Antiqua" w:hAnsi="Book Antiqua"/>
        </w:rPr>
        <w:t xml:space="preserve"> D, </w:t>
      </w:r>
      <w:proofErr w:type="spellStart"/>
      <w:r w:rsidRPr="00B22E92">
        <w:rPr>
          <w:rFonts w:ascii="Book Antiqua" w:hAnsi="Book Antiqua"/>
        </w:rPr>
        <w:t>Tejpar</w:t>
      </w:r>
      <w:proofErr w:type="spellEnd"/>
      <w:r w:rsidRPr="00B22E92">
        <w:rPr>
          <w:rFonts w:ascii="Book Antiqua" w:hAnsi="Book Antiqua"/>
        </w:rPr>
        <w:t xml:space="preserve"> S, Heinemann V. Consensus molecular subgroups (CMS) of colorectal cancer (CRC) and first-line efficacy of FOLFIRI plus cetuximab or bevacizumab in the FIRE3 (AIO KRK-0306) trial. </w:t>
      </w:r>
      <w:r w:rsidRPr="00B22E92">
        <w:rPr>
          <w:rFonts w:ascii="Book Antiqua" w:hAnsi="Book Antiqua"/>
          <w:i/>
          <w:iCs/>
        </w:rPr>
        <w:t>Ann Oncol</w:t>
      </w:r>
      <w:r w:rsidRPr="00B22E92">
        <w:rPr>
          <w:rFonts w:ascii="Book Antiqua" w:hAnsi="Book Antiqua"/>
        </w:rPr>
        <w:t xml:space="preserve"> 2019; </w:t>
      </w:r>
      <w:r w:rsidRPr="00B22E92">
        <w:rPr>
          <w:rFonts w:ascii="Book Antiqua" w:hAnsi="Book Antiqua"/>
          <w:b/>
          <w:bCs/>
        </w:rPr>
        <w:t>30</w:t>
      </w:r>
      <w:r w:rsidRPr="00B22E92">
        <w:rPr>
          <w:rFonts w:ascii="Book Antiqua" w:hAnsi="Book Antiqua"/>
        </w:rPr>
        <w:t>: 1796-1803 [PMID: 31868905 DOI: 10.1093/</w:t>
      </w:r>
      <w:proofErr w:type="spellStart"/>
      <w:r w:rsidRPr="00B22E92">
        <w:rPr>
          <w:rFonts w:ascii="Book Antiqua" w:hAnsi="Book Antiqua"/>
        </w:rPr>
        <w:t>annonc</w:t>
      </w:r>
      <w:proofErr w:type="spellEnd"/>
      <w:r w:rsidRPr="00B22E92">
        <w:rPr>
          <w:rFonts w:ascii="Book Antiqua" w:hAnsi="Book Antiqua"/>
        </w:rPr>
        <w:t>/mdz387]</w:t>
      </w:r>
    </w:p>
    <w:p w14:paraId="14318B9B"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21 </w:t>
      </w:r>
      <w:r w:rsidRPr="00B22E92">
        <w:rPr>
          <w:rFonts w:ascii="Book Antiqua" w:hAnsi="Book Antiqua"/>
          <w:b/>
          <w:bCs/>
        </w:rPr>
        <w:t>Zhang B</w:t>
      </w:r>
      <w:r w:rsidRPr="00B22E92">
        <w:rPr>
          <w:rFonts w:ascii="Book Antiqua" w:hAnsi="Book Antiqua"/>
        </w:rPr>
        <w:t xml:space="preserve">, Wang L, Liu Z, Shao B, Jiang W, Shu P. Integrated analysis identifies an immune-based prognostic signature for the mesenchymal identity in colorectal cancer. </w:t>
      </w:r>
      <w:r w:rsidRPr="00B22E92">
        <w:rPr>
          <w:rFonts w:ascii="Book Antiqua" w:hAnsi="Book Antiqua"/>
          <w:i/>
          <w:iCs/>
        </w:rPr>
        <w:lastRenderedPageBreak/>
        <w:t>Medicine (Baltimore)</w:t>
      </w:r>
      <w:r w:rsidRPr="00B22E92">
        <w:rPr>
          <w:rFonts w:ascii="Book Antiqua" w:hAnsi="Book Antiqua"/>
        </w:rPr>
        <w:t xml:space="preserve"> 2020; </w:t>
      </w:r>
      <w:r w:rsidRPr="00B22E92">
        <w:rPr>
          <w:rFonts w:ascii="Book Antiqua" w:hAnsi="Book Antiqua"/>
          <w:b/>
          <w:bCs/>
        </w:rPr>
        <w:t>99</w:t>
      </w:r>
      <w:r w:rsidRPr="00B22E92">
        <w:rPr>
          <w:rFonts w:ascii="Book Antiqua" w:hAnsi="Book Antiqua"/>
        </w:rPr>
        <w:t>: e20617 [PMID: 32569190 DOI: 10.1097/MD.0000000000020617]</w:t>
      </w:r>
    </w:p>
    <w:p w14:paraId="4BC578EC"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22 </w:t>
      </w:r>
      <w:r w:rsidRPr="00B22E92">
        <w:rPr>
          <w:rFonts w:ascii="Book Antiqua" w:hAnsi="Book Antiqua"/>
          <w:b/>
          <w:bCs/>
        </w:rPr>
        <w:t>Ten Hoorn S</w:t>
      </w:r>
      <w:r w:rsidRPr="00B22E92">
        <w:rPr>
          <w:rFonts w:ascii="Book Antiqua" w:hAnsi="Book Antiqua"/>
        </w:rPr>
        <w:t xml:space="preserve">, Trinh A, de Jong J, </w:t>
      </w:r>
      <w:proofErr w:type="spellStart"/>
      <w:r w:rsidRPr="00B22E92">
        <w:rPr>
          <w:rFonts w:ascii="Book Antiqua" w:hAnsi="Book Antiqua"/>
        </w:rPr>
        <w:t>Koens</w:t>
      </w:r>
      <w:proofErr w:type="spellEnd"/>
      <w:r w:rsidRPr="00B22E92">
        <w:rPr>
          <w:rFonts w:ascii="Book Antiqua" w:hAnsi="Book Antiqua"/>
        </w:rPr>
        <w:t xml:space="preserve"> L, Vermeulen L. Classification of Colorectal Cancer in Molecular Subtypes by Immunohistochemistry. </w:t>
      </w:r>
      <w:r w:rsidRPr="00B22E92">
        <w:rPr>
          <w:rFonts w:ascii="Book Antiqua" w:hAnsi="Book Antiqua"/>
          <w:i/>
          <w:iCs/>
        </w:rPr>
        <w:t>Methods Mol Biol</w:t>
      </w:r>
      <w:r w:rsidRPr="00B22E92">
        <w:rPr>
          <w:rFonts w:ascii="Book Antiqua" w:hAnsi="Book Antiqua"/>
        </w:rPr>
        <w:t xml:space="preserve"> 2018; </w:t>
      </w:r>
      <w:r w:rsidRPr="00B22E92">
        <w:rPr>
          <w:rFonts w:ascii="Book Antiqua" w:hAnsi="Book Antiqua"/>
          <w:b/>
          <w:bCs/>
        </w:rPr>
        <w:t>1765</w:t>
      </w:r>
      <w:r w:rsidRPr="00B22E92">
        <w:rPr>
          <w:rFonts w:ascii="Book Antiqua" w:hAnsi="Book Antiqua"/>
        </w:rPr>
        <w:t>: 179-191 [PMID: 29589308 DOI: 10.1007/978-1-4939-7765-9_11]</w:t>
      </w:r>
    </w:p>
    <w:p w14:paraId="71BCD7BD"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23 </w:t>
      </w:r>
      <w:r w:rsidRPr="00B22E92">
        <w:rPr>
          <w:rFonts w:ascii="Book Antiqua" w:hAnsi="Book Antiqua"/>
          <w:b/>
          <w:bCs/>
        </w:rPr>
        <w:t>Trinh A</w:t>
      </w:r>
      <w:r w:rsidRPr="00B22E92">
        <w:rPr>
          <w:rFonts w:ascii="Book Antiqua" w:hAnsi="Book Antiqua"/>
        </w:rPr>
        <w:t xml:space="preserve">, </w:t>
      </w:r>
      <w:proofErr w:type="spellStart"/>
      <w:r w:rsidRPr="00B22E92">
        <w:rPr>
          <w:rFonts w:ascii="Book Antiqua" w:hAnsi="Book Antiqua"/>
        </w:rPr>
        <w:t>Trumpi</w:t>
      </w:r>
      <w:proofErr w:type="spellEnd"/>
      <w:r w:rsidRPr="00B22E92">
        <w:rPr>
          <w:rFonts w:ascii="Book Antiqua" w:hAnsi="Book Antiqua"/>
        </w:rPr>
        <w:t xml:space="preserve"> K, De Sousa E Melo F, Wang X, de Jong JH, Fessler E, </w:t>
      </w:r>
      <w:proofErr w:type="spellStart"/>
      <w:r w:rsidRPr="00B22E92">
        <w:rPr>
          <w:rFonts w:ascii="Book Antiqua" w:hAnsi="Book Antiqua"/>
        </w:rPr>
        <w:t>Kuppen</w:t>
      </w:r>
      <w:proofErr w:type="spellEnd"/>
      <w:r w:rsidRPr="00B22E92">
        <w:rPr>
          <w:rFonts w:ascii="Book Antiqua" w:hAnsi="Book Antiqua"/>
        </w:rPr>
        <w:t xml:space="preserve"> PJ, Reimers MS, </w:t>
      </w:r>
      <w:proofErr w:type="spellStart"/>
      <w:r w:rsidRPr="00B22E92">
        <w:rPr>
          <w:rFonts w:ascii="Book Antiqua" w:hAnsi="Book Antiqua"/>
        </w:rPr>
        <w:t>Swets</w:t>
      </w:r>
      <w:proofErr w:type="spellEnd"/>
      <w:r w:rsidRPr="00B22E92">
        <w:rPr>
          <w:rFonts w:ascii="Book Antiqua" w:hAnsi="Book Antiqua"/>
        </w:rPr>
        <w:t xml:space="preserve"> M, Koopman M, </w:t>
      </w:r>
      <w:proofErr w:type="spellStart"/>
      <w:r w:rsidRPr="00B22E92">
        <w:rPr>
          <w:rFonts w:ascii="Book Antiqua" w:hAnsi="Book Antiqua"/>
        </w:rPr>
        <w:t>Nagtegaal</w:t>
      </w:r>
      <w:proofErr w:type="spellEnd"/>
      <w:r w:rsidRPr="00B22E92">
        <w:rPr>
          <w:rFonts w:ascii="Book Antiqua" w:hAnsi="Book Antiqua"/>
        </w:rPr>
        <w:t xml:space="preserve"> ID, Jansen M, </w:t>
      </w:r>
      <w:proofErr w:type="spellStart"/>
      <w:r w:rsidRPr="00B22E92">
        <w:rPr>
          <w:rFonts w:ascii="Book Antiqua" w:hAnsi="Book Antiqua"/>
        </w:rPr>
        <w:t>Hooijer</w:t>
      </w:r>
      <w:proofErr w:type="spellEnd"/>
      <w:r w:rsidRPr="00B22E92">
        <w:rPr>
          <w:rFonts w:ascii="Book Antiqua" w:hAnsi="Book Antiqua"/>
        </w:rPr>
        <w:t xml:space="preserve"> GK, </w:t>
      </w:r>
      <w:proofErr w:type="spellStart"/>
      <w:r w:rsidRPr="00B22E92">
        <w:rPr>
          <w:rFonts w:ascii="Book Antiqua" w:hAnsi="Book Antiqua"/>
        </w:rPr>
        <w:t>Offerhaus</w:t>
      </w:r>
      <w:proofErr w:type="spellEnd"/>
      <w:r w:rsidRPr="00B22E92">
        <w:rPr>
          <w:rFonts w:ascii="Book Antiqua" w:hAnsi="Book Antiqua"/>
        </w:rPr>
        <w:t xml:space="preserve"> GJ, </w:t>
      </w:r>
      <w:proofErr w:type="spellStart"/>
      <w:r w:rsidRPr="00B22E92">
        <w:rPr>
          <w:rFonts w:ascii="Book Antiqua" w:hAnsi="Book Antiqua"/>
        </w:rPr>
        <w:t>Kranenburg</w:t>
      </w:r>
      <w:proofErr w:type="spellEnd"/>
      <w:r w:rsidRPr="00B22E92">
        <w:rPr>
          <w:rFonts w:ascii="Book Antiqua" w:hAnsi="Book Antiqua"/>
        </w:rPr>
        <w:t xml:space="preserve"> O, Punt CJ, </w:t>
      </w:r>
      <w:proofErr w:type="spellStart"/>
      <w:r w:rsidRPr="00B22E92">
        <w:rPr>
          <w:rFonts w:ascii="Book Antiqua" w:hAnsi="Book Antiqua"/>
        </w:rPr>
        <w:t>Medema</w:t>
      </w:r>
      <w:proofErr w:type="spellEnd"/>
      <w:r w:rsidRPr="00B22E92">
        <w:rPr>
          <w:rFonts w:ascii="Book Antiqua" w:hAnsi="Book Antiqua"/>
        </w:rPr>
        <w:t xml:space="preserve"> JP, </w:t>
      </w:r>
      <w:proofErr w:type="spellStart"/>
      <w:r w:rsidRPr="00B22E92">
        <w:rPr>
          <w:rFonts w:ascii="Book Antiqua" w:hAnsi="Book Antiqua"/>
        </w:rPr>
        <w:t>Markowetz</w:t>
      </w:r>
      <w:proofErr w:type="spellEnd"/>
      <w:r w:rsidRPr="00B22E92">
        <w:rPr>
          <w:rFonts w:ascii="Book Antiqua" w:hAnsi="Book Antiqua"/>
        </w:rPr>
        <w:t xml:space="preserve"> F, Vermeulen L. Practical and Robust Identification of Molecular Subtypes in Colorectal Cancer by Immunohistochemistry. </w:t>
      </w:r>
      <w:r w:rsidRPr="00B22E92">
        <w:rPr>
          <w:rFonts w:ascii="Book Antiqua" w:hAnsi="Book Antiqua"/>
          <w:i/>
          <w:iCs/>
        </w:rPr>
        <w:t>Clin Cancer Res</w:t>
      </w:r>
      <w:r w:rsidRPr="00B22E92">
        <w:rPr>
          <w:rFonts w:ascii="Book Antiqua" w:hAnsi="Book Antiqua"/>
        </w:rPr>
        <w:t xml:space="preserve"> 2017; </w:t>
      </w:r>
      <w:r w:rsidRPr="00B22E92">
        <w:rPr>
          <w:rFonts w:ascii="Book Antiqua" w:hAnsi="Book Antiqua"/>
          <w:b/>
          <w:bCs/>
        </w:rPr>
        <w:t>23</w:t>
      </w:r>
      <w:r w:rsidRPr="00B22E92">
        <w:rPr>
          <w:rFonts w:ascii="Book Antiqua" w:hAnsi="Book Antiqua"/>
        </w:rPr>
        <w:t>: 387-398 [PMID: 27459899 DOI: 10.1158/1078-0432.CCR-16-0680]</w:t>
      </w:r>
    </w:p>
    <w:p w14:paraId="74AD5DFA"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24 </w:t>
      </w:r>
      <w:r w:rsidRPr="00B22E92">
        <w:rPr>
          <w:rFonts w:ascii="Book Antiqua" w:hAnsi="Book Antiqua"/>
          <w:b/>
          <w:bCs/>
        </w:rPr>
        <w:t>Singh MP</w:t>
      </w:r>
      <w:r w:rsidRPr="00B22E92">
        <w:rPr>
          <w:rFonts w:ascii="Book Antiqua" w:hAnsi="Book Antiqua"/>
        </w:rPr>
        <w:t xml:space="preserve">, Rai S, Pandey A, Singh NK, Srivastava S. Molecular subtypes of colorectal cancer: An emerging therapeutic opportunity for personalized medicine. </w:t>
      </w:r>
      <w:r w:rsidRPr="00B22E92">
        <w:rPr>
          <w:rFonts w:ascii="Book Antiqua" w:hAnsi="Book Antiqua"/>
          <w:i/>
          <w:iCs/>
        </w:rPr>
        <w:t>Genes Dis</w:t>
      </w:r>
      <w:r w:rsidRPr="00B22E92">
        <w:rPr>
          <w:rFonts w:ascii="Book Antiqua" w:hAnsi="Book Antiqua"/>
        </w:rPr>
        <w:t xml:space="preserve"> 2021; </w:t>
      </w:r>
      <w:r w:rsidRPr="00B22E92">
        <w:rPr>
          <w:rFonts w:ascii="Book Antiqua" w:hAnsi="Book Antiqua"/>
          <w:b/>
          <w:bCs/>
        </w:rPr>
        <w:t>8</w:t>
      </w:r>
      <w:r w:rsidRPr="00B22E92">
        <w:rPr>
          <w:rFonts w:ascii="Book Antiqua" w:hAnsi="Book Antiqua"/>
        </w:rPr>
        <w:t>: 133-145 [PMID: 33997160 DOI: 10.1016/j.gendis.2019.10.013]</w:t>
      </w:r>
    </w:p>
    <w:p w14:paraId="39FB2473"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25 </w:t>
      </w:r>
      <w:r w:rsidRPr="00B22E92">
        <w:rPr>
          <w:rFonts w:ascii="Book Antiqua" w:hAnsi="Book Antiqua"/>
          <w:b/>
          <w:bCs/>
        </w:rPr>
        <w:t>Eide PW</w:t>
      </w:r>
      <w:r w:rsidRPr="00B22E92">
        <w:rPr>
          <w:rFonts w:ascii="Book Antiqua" w:hAnsi="Book Antiqua"/>
        </w:rPr>
        <w:t xml:space="preserve">, </w:t>
      </w:r>
      <w:proofErr w:type="spellStart"/>
      <w:r w:rsidRPr="00B22E92">
        <w:rPr>
          <w:rFonts w:ascii="Book Antiqua" w:hAnsi="Book Antiqua"/>
        </w:rPr>
        <w:t>Bruun</w:t>
      </w:r>
      <w:proofErr w:type="spellEnd"/>
      <w:r w:rsidRPr="00B22E92">
        <w:rPr>
          <w:rFonts w:ascii="Book Antiqua" w:hAnsi="Book Antiqua"/>
        </w:rPr>
        <w:t xml:space="preserve"> J, </w:t>
      </w:r>
      <w:proofErr w:type="spellStart"/>
      <w:r w:rsidRPr="00B22E92">
        <w:rPr>
          <w:rFonts w:ascii="Book Antiqua" w:hAnsi="Book Antiqua"/>
        </w:rPr>
        <w:t>Lothe</w:t>
      </w:r>
      <w:proofErr w:type="spellEnd"/>
      <w:r w:rsidRPr="00B22E92">
        <w:rPr>
          <w:rFonts w:ascii="Book Antiqua" w:hAnsi="Book Antiqua"/>
        </w:rPr>
        <w:t xml:space="preserve"> RA, </w:t>
      </w:r>
      <w:proofErr w:type="spellStart"/>
      <w:r w:rsidRPr="00B22E92">
        <w:rPr>
          <w:rFonts w:ascii="Book Antiqua" w:hAnsi="Book Antiqua"/>
        </w:rPr>
        <w:t>Sveen</w:t>
      </w:r>
      <w:proofErr w:type="spellEnd"/>
      <w:r w:rsidRPr="00B22E92">
        <w:rPr>
          <w:rFonts w:ascii="Book Antiqua" w:hAnsi="Book Antiqua"/>
        </w:rPr>
        <w:t xml:space="preserve"> A. </w:t>
      </w:r>
      <w:proofErr w:type="spellStart"/>
      <w:r w:rsidRPr="00B22E92">
        <w:rPr>
          <w:rFonts w:ascii="Book Antiqua" w:hAnsi="Book Antiqua"/>
        </w:rPr>
        <w:t>CMScaller</w:t>
      </w:r>
      <w:proofErr w:type="spellEnd"/>
      <w:r w:rsidRPr="00B22E92">
        <w:rPr>
          <w:rFonts w:ascii="Book Antiqua" w:hAnsi="Book Antiqua"/>
        </w:rPr>
        <w:t xml:space="preserve">: an R package for consensus molecular subtyping of colorectal cancer pre-clinical models. </w:t>
      </w:r>
      <w:r w:rsidRPr="00B22E92">
        <w:rPr>
          <w:rFonts w:ascii="Book Antiqua" w:hAnsi="Book Antiqua"/>
          <w:i/>
          <w:iCs/>
        </w:rPr>
        <w:t>Sci Rep</w:t>
      </w:r>
      <w:r w:rsidRPr="00B22E92">
        <w:rPr>
          <w:rFonts w:ascii="Book Antiqua" w:hAnsi="Book Antiqua"/>
        </w:rPr>
        <w:t xml:space="preserve"> 2017; </w:t>
      </w:r>
      <w:r w:rsidRPr="00B22E92">
        <w:rPr>
          <w:rFonts w:ascii="Book Antiqua" w:hAnsi="Book Antiqua"/>
          <w:b/>
          <w:bCs/>
        </w:rPr>
        <w:t>7</w:t>
      </w:r>
      <w:r w:rsidRPr="00B22E92">
        <w:rPr>
          <w:rFonts w:ascii="Book Antiqua" w:hAnsi="Book Antiqua"/>
        </w:rPr>
        <w:t>: 16618 [PMID: 29192179 DOI: 10.1038/s41598-017-16747-x]</w:t>
      </w:r>
    </w:p>
    <w:p w14:paraId="72B22784"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26 </w:t>
      </w:r>
      <w:r w:rsidRPr="00B22E92">
        <w:rPr>
          <w:rFonts w:ascii="Book Antiqua" w:hAnsi="Book Antiqua"/>
          <w:b/>
          <w:bCs/>
        </w:rPr>
        <w:t>Buechler SA</w:t>
      </w:r>
      <w:r w:rsidRPr="00B22E92">
        <w:rPr>
          <w:rFonts w:ascii="Book Antiqua" w:hAnsi="Book Antiqua"/>
        </w:rPr>
        <w:t xml:space="preserve">, Stephens MT, </w:t>
      </w:r>
      <w:proofErr w:type="spellStart"/>
      <w:r w:rsidRPr="00B22E92">
        <w:rPr>
          <w:rFonts w:ascii="Book Antiqua" w:hAnsi="Book Antiqua"/>
        </w:rPr>
        <w:t>Hummon</w:t>
      </w:r>
      <w:proofErr w:type="spellEnd"/>
      <w:r w:rsidRPr="00B22E92">
        <w:rPr>
          <w:rFonts w:ascii="Book Antiqua" w:hAnsi="Book Antiqua"/>
        </w:rPr>
        <w:t xml:space="preserve"> AB, Ludwig K, Cannon E, Carter TC, Resnick J, </w:t>
      </w:r>
      <w:proofErr w:type="spellStart"/>
      <w:r w:rsidRPr="00B22E92">
        <w:rPr>
          <w:rFonts w:ascii="Book Antiqua" w:hAnsi="Book Antiqua"/>
        </w:rPr>
        <w:t>Gökmen</w:t>
      </w:r>
      <w:proofErr w:type="spellEnd"/>
      <w:r w:rsidRPr="00B22E92">
        <w:rPr>
          <w:rFonts w:ascii="Book Antiqua" w:hAnsi="Book Antiqua"/>
        </w:rPr>
        <w:t xml:space="preserve">-Polar Y, </w:t>
      </w:r>
      <w:proofErr w:type="spellStart"/>
      <w:r w:rsidRPr="00B22E92">
        <w:rPr>
          <w:rFonts w:ascii="Book Antiqua" w:hAnsi="Book Antiqua"/>
        </w:rPr>
        <w:t>Badve</w:t>
      </w:r>
      <w:proofErr w:type="spellEnd"/>
      <w:r w:rsidRPr="00B22E92">
        <w:rPr>
          <w:rFonts w:ascii="Book Antiqua" w:hAnsi="Book Antiqua"/>
        </w:rPr>
        <w:t xml:space="preserve"> SS. </w:t>
      </w:r>
      <w:proofErr w:type="spellStart"/>
      <w:r w:rsidRPr="00B22E92">
        <w:rPr>
          <w:rFonts w:ascii="Book Antiqua" w:hAnsi="Book Antiqua"/>
        </w:rPr>
        <w:t>ColoType</w:t>
      </w:r>
      <w:proofErr w:type="spellEnd"/>
      <w:r w:rsidRPr="00B22E92">
        <w:rPr>
          <w:rFonts w:ascii="Book Antiqua" w:hAnsi="Book Antiqua"/>
        </w:rPr>
        <w:t xml:space="preserve">: a forty gene signature for consensus molecular subtyping of colorectal cancer tumors using whole-genome assay or targeted RNA-sequencing. </w:t>
      </w:r>
      <w:r w:rsidRPr="00B22E92">
        <w:rPr>
          <w:rFonts w:ascii="Book Antiqua" w:hAnsi="Book Antiqua"/>
          <w:i/>
          <w:iCs/>
        </w:rPr>
        <w:t>Sci Rep</w:t>
      </w:r>
      <w:r w:rsidRPr="00B22E92">
        <w:rPr>
          <w:rFonts w:ascii="Book Antiqua" w:hAnsi="Book Antiqua"/>
        </w:rPr>
        <w:t xml:space="preserve"> 2020; </w:t>
      </w:r>
      <w:r w:rsidRPr="00B22E92">
        <w:rPr>
          <w:rFonts w:ascii="Book Antiqua" w:hAnsi="Book Antiqua"/>
          <w:b/>
          <w:bCs/>
        </w:rPr>
        <w:t>10</w:t>
      </w:r>
      <w:r w:rsidRPr="00B22E92">
        <w:rPr>
          <w:rFonts w:ascii="Book Antiqua" w:hAnsi="Book Antiqua"/>
        </w:rPr>
        <w:t>: 12123 [PMID: 32694712 DOI: 10.1038/s41598-020-69083-y]</w:t>
      </w:r>
    </w:p>
    <w:p w14:paraId="37A2E7B1"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27 </w:t>
      </w:r>
      <w:proofErr w:type="spellStart"/>
      <w:r w:rsidRPr="00B22E92">
        <w:rPr>
          <w:rFonts w:ascii="Book Antiqua" w:hAnsi="Book Antiqua"/>
          <w:b/>
          <w:bCs/>
        </w:rPr>
        <w:t>Roseweir</w:t>
      </w:r>
      <w:proofErr w:type="spellEnd"/>
      <w:r w:rsidRPr="00B22E92">
        <w:rPr>
          <w:rFonts w:ascii="Book Antiqua" w:hAnsi="Book Antiqua"/>
          <w:b/>
          <w:bCs/>
        </w:rPr>
        <w:t xml:space="preserve"> AK</w:t>
      </w:r>
      <w:r w:rsidRPr="00B22E92">
        <w:rPr>
          <w:rFonts w:ascii="Book Antiqua" w:hAnsi="Book Antiqua"/>
        </w:rPr>
        <w:t xml:space="preserve">, McMillan DC, Horgan PG, Edwards J. Colorectal cancer subtypes: Translation to routine clinical pathology. </w:t>
      </w:r>
      <w:r w:rsidRPr="00B22E92">
        <w:rPr>
          <w:rFonts w:ascii="Book Antiqua" w:hAnsi="Book Antiqua"/>
          <w:i/>
          <w:iCs/>
        </w:rPr>
        <w:t>Cancer Treat Rev</w:t>
      </w:r>
      <w:r w:rsidRPr="00B22E92">
        <w:rPr>
          <w:rFonts w:ascii="Book Antiqua" w:hAnsi="Book Antiqua"/>
        </w:rPr>
        <w:t xml:space="preserve"> 2017; </w:t>
      </w:r>
      <w:r w:rsidRPr="00B22E92">
        <w:rPr>
          <w:rFonts w:ascii="Book Antiqua" w:hAnsi="Book Antiqua"/>
          <w:b/>
          <w:bCs/>
        </w:rPr>
        <w:t>57</w:t>
      </w:r>
      <w:r w:rsidRPr="00B22E92">
        <w:rPr>
          <w:rFonts w:ascii="Book Antiqua" w:hAnsi="Book Antiqua"/>
        </w:rPr>
        <w:t>: 1-7 [PMID: 28505475 DOI: 10.1016/j.ctrv.2017.04.006]</w:t>
      </w:r>
    </w:p>
    <w:p w14:paraId="7F9F4B23"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28 </w:t>
      </w:r>
      <w:r w:rsidRPr="00B22E92">
        <w:rPr>
          <w:rFonts w:ascii="Book Antiqua" w:hAnsi="Book Antiqua"/>
          <w:b/>
          <w:bCs/>
        </w:rPr>
        <w:t>Banias L</w:t>
      </w:r>
      <w:r w:rsidRPr="00B22E92">
        <w:rPr>
          <w:rFonts w:ascii="Book Antiqua" w:hAnsi="Book Antiqua"/>
        </w:rPr>
        <w:t xml:space="preserve">, Jung I, Bara T, </w:t>
      </w:r>
      <w:proofErr w:type="spellStart"/>
      <w:r w:rsidRPr="00B22E92">
        <w:rPr>
          <w:rFonts w:ascii="Book Antiqua" w:hAnsi="Book Antiqua"/>
        </w:rPr>
        <w:t>Fulop</w:t>
      </w:r>
      <w:proofErr w:type="spellEnd"/>
      <w:r w:rsidRPr="00B22E92">
        <w:rPr>
          <w:rFonts w:ascii="Book Antiqua" w:hAnsi="Book Antiqua"/>
        </w:rPr>
        <w:t xml:space="preserve"> Z, Simu P, Simu I, </w:t>
      </w:r>
      <w:proofErr w:type="spellStart"/>
      <w:r w:rsidRPr="00B22E92">
        <w:rPr>
          <w:rFonts w:ascii="Book Antiqua" w:hAnsi="Book Antiqua"/>
        </w:rPr>
        <w:t>Satala</w:t>
      </w:r>
      <w:proofErr w:type="spellEnd"/>
      <w:r w:rsidRPr="00B22E92">
        <w:rPr>
          <w:rFonts w:ascii="Book Antiqua" w:hAnsi="Book Antiqua"/>
        </w:rPr>
        <w:t xml:space="preserve"> C, </w:t>
      </w:r>
      <w:proofErr w:type="spellStart"/>
      <w:r w:rsidRPr="00B22E92">
        <w:rPr>
          <w:rFonts w:ascii="Book Antiqua" w:hAnsi="Book Antiqua"/>
        </w:rPr>
        <w:t>Gurzu</w:t>
      </w:r>
      <w:proofErr w:type="spellEnd"/>
      <w:r w:rsidRPr="00B22E92">
        <w:rPr>
          <w:rFonts w:ascii="Book Antiqua" w:hAnsi="Book Antiqua"/>
        </w:rPr>
        <w:t xml:space="preserve"> S. Immunohistochemical-based molecular subtyping of colorectal carcinoma using </w:t>
      </w:r>
      <w:proofErr w:type="spellStart"/>
      <w:r w:rsidRPr="00B22E92">
        <w:rPr>
          <w:rFonts w:ascii="Book Antiqua" w:hAnsi="Book Antiqua"/>
        </w:rPr>
        <w:t>maspin</w:t>
      </w:r>
      <w:proofErr w:type="spellEnd"/>
      <w:r w:rsidRPr="00B22E92">
        <w:rPr>
          <w:rFonts w:ascii="Book Antiqua" w:hAnsi="Book Antiqua"/>
        </w:rPr>
        <w:t xml:space="preserve"> and markers of epithelial-mesenchymal transition. </w:t>
      </w:r>
      <w:r w:rsidRPr="00B22E92">
        <w:rPr>
          <w:rFonts w:ascii="Book Antiqua" w:hAnsi="Book Antiqua"/>
          <w:i/>
          <w:iCs/>
        </w:rPr>
        <w:t>Oncol Lett</w:t>
      </w:r>
      <w:r w:rsidRPr="00B22E92">
        <w:rPr>
          <w:rFonts w:ascii="Book Antiqua" w:hAnsi="Book Antiqua"/>
        </w:rPr>
        <w:t xml:space="preserve"> 2020; </w:t>
      </w:r>
      <w:r w:rsidRPr="00B22E92">
        <w:rPr>
          <w:rFonts w:ascii="Book Antiqua" w:hAnsi="Book Antiqua"/>
          <w:b/>
          <w:bCs/>
        </w:rPr>
        <w:t>19</w:t>
      </w:r>
      <w:r w:rsidRPr="00B22E92">
        <w:rPr>
          <w:rFonts w:ascii="Book Antiqua" w:hAnsi="Book Antiqua"/>
        </w:rPr>
        <w:t>: 1487-1495 [PMID: 31966075 DOI: 10.3892/ol.2019.11228]</w:t>
      </w:r>
    </w:p>
    <w:p w14:paraId="1D1275C1"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29 </w:t>
      </w:r>
      <w:r w:rsidRPr="00B22E92">
        <w:rPr>
          <w:rFonts w:ascii="Book Antiqua" w:hAnsi="Book Antiqua"/>
          <w:b/>
          <w:bCs/>
        </w:rPr>
        <w:t>Li X</w:t>
      </w:r>
      <w:r w:rsidRPr="00B22E92">
        <w:rPr>
          <w:rFonts w:ascii="Book Antiqua" w:hAnsi="Book Antiqua"/>
        </w:rPr>
        <w:t xml:space="preserve">, Larsson P, </w:t>
      </w:r>
      <w:proofErr w:type="spellStart"/>
      <w:r w:rsidRPr="00B22E92">
        <w:rPr>
          <w:rFonts w:ascii="Book Antiqua" w:hAnsi="Book Antiqua"/>
        </w:rPr>
        <w:t>Ljuslinder</w:t>
      </w:r>
      <w:proofErr w:type="spellEnd"/>
      <w:r w:rsidRPr="00B22E92">
        <w:rPr>
          <w:rFonts w:ascii="Book Antiqua" w:hAnsi="Book Antiqua"/>
        </w:rPr>
        <w:t xml:space="preserve"> I, Ling A, </w:t>
      </w:r>
      <w:proofErr w:type="spellStart"/>
      <w:r w:rsidRPr="00B22E92">
        <w:rPr>
          <w:rFonts w:ascii="Book Antiqua" w:hAnsi="Book Antiqua"/>
        </w:rPr>
        <w:t>Löfgren-Burström</w:t>
      </w:r>
      <w:proofErr w:type="spellEnd"/>
      <w:r w:rsidRPr="00B22E92">
        <w:rPr>
          <w:rFonts w:ascii="Book Antiqua" w:hAnsi="Book Antiqua"/>
        </w:rPr>
        <w:t xml:space="preserve"> A, </w:t>
      </w:r>
      <w:proofErr w:type="spellStart"/>
      <w:r w:rsidRPr="00B22E92">
        <w:rPr>
          <w:rFonts w:ascii="Book Antiqua" w:hAnsi="Book Antiqua"/>
        </w:rPr>
        <w:t>Zingmark</w:t>
      </w:r>
      <w:proofErr w:type="spellEnd"/>
      <w:r w:rsidRPr="00B22E92">
        <w:rPr>
          <w:rFonts w:ascii="Book Antiqua" w:hAnsi="Book Antiqua"/>
        </w:rPr>
        <w:t xml:space="preserve"> C, Edin S, </w:t>
      </w:r>
      <w:proofErr w:type="spellStart"/>
      <w:r w:rsidRPr="00B22E92">
        <w:rPr>
          <w:rFonts w:ascii="Book Antiqua" w:hAnsi="Book Antiqua"/>
        </w:rPr>
        <w:t>Palmqvist</w:t>
      </w:r>
      <w:proofErr w:type="spellEnd"/>
      <w:r w:rsidRPr="00B22E92">
        <w:rPr>
          <w:rFonts w:ascii="Book Antiqua" w:hAnsi="Book Antiqua"/>
        </w:rPr>
        <w:t xml:space="preserve"> R. A modified protein marker panel to identify four consensus molecular </w:t>
      </w:r>
      <w:r w:rsidRPr="00B22E92">
        <w:rPr>
          <w:rFonts w:ascii="Book Antiqua" w:hAnsi="Book Antiqua"/>
        </w:rPr>
        <w:lastRenderedPageBreak/>
        <w:t xml:space="preserve">subtypes in colorectal cancer using immunohistochemistry. </w:t>
      </w:r>
      <w:proofErr w:type="spellStart"/>
      <w:r w:rsidRPr="00B22E92">
        <w:rPr>
          <w:rFonts w:ascii="Book Antiqua" w:hAnsi="Book Antiqua"/>
          <w:i/>
          <w:iCs/>
        </w:rPr>
        <w:t>Pathol</w:t>
      </w:r>
      <w:proofErr w:type="spellEnd"/>
      <w:r w:rsidRPr="00B22E92">
        <w:rPr>
          <w:rFonts w:ascii="Book Antiqua" w:hAnsi="Book Antiqua"/>
          <w:i/>
          <w:iCs/>
        </w:rPr>
        <w:t xml:space="preserve"> Res </w:t>
      </w:r>
      <w:proofErr w:type="spellStart"/>
      <w:r w:rsidRPr="00B22E92">
        <w:rPr>
          <w:rFonts w:ascii="Book Antiqua" w:hAnsi="Book Antiqua"/>
          <w:i/>
          <w:iCs/>
        </w:rPr>
        <w:t>Pract</w:t>
      </w:r>
      <w:proofErr w:type="spellEnd"/>
      <w:r w:rsidRPr="00B22E92">
        <w:rPr>
          <w:rFonts w:ascii="Book Antiqua" w:hAnsi="Book Antiqua"/>
        </w:rPr>
        <w:t xml:space="preserve"> 2021; </w:t>
      </w:r>
      <w:r w:rsidRPr="00B22E92">
        <w:rPr>
          <w:rFonts w:ascii="Book Antiqua" w:hAnsi="Book Antiqua"/>
          <w:b/>
          <w:bCs/>
        </w:rPr>
        <w:t>220</w:t>
      </w:r>
      <w:r w:rsidRPr="00B22E92">
        <w:rPr>
          <w:rFonts w:ascii="Book Antiqua" w:hAnsi="Book Antiqua"/>
        </w:rPr>
        <w:t>: 153379 [PMID: 33721619 DOI: 10.1016/j.prp.2021.153379]</w:t>
      </w:r>
    </w:p>
    <w:p w14:paraId="683C204A"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30 </w:t>
      </w:r>
      <w:proofErr w:type="spellStart"/>
      <w:r w:rsidRPr="00B22E92">
        <w:rPr>
          <w:rFonts w:ascii="Book Antiqua" w:hAnsi="Book Antiqua"/>
          <w:b/>
          <w:bCs/>
        </w:rPr>
        <w:t>Labianca</w:t>
      </w:r>
      <w:proofErr w:type="spellEnd"/>
      <w:r w:rsidRPr="00B22E92">
        <w:rPr>
          <w:rFonts w:ascii="Book Antiqua" w:hAnsi="Book Antiqua"/>
          <w:b/>
          <w:bCs/>
        </w:rPr>
        <w:t xml:space="preserve"> R</w:t>
      </w:r>
      <w:r w:rsidRPr="00B22E92">
        <w:rPr>
          <w:rFonts w:ascii="Book Antiqua" w:hAnsi="Book Antiqua"/>
        </w:rPr>
        <w:t xml:space="preserve">, </w:t>
      </w:r>
      <w:proofErr w:type="spellStart"/>
      <w:r w:rsidRPr="00B22E92">
        <w:rPr>
          <w:rFonts w:ascii="Book Antiqua" w:hAnsi="Book Antiqua"/>
        </w:rPr>
        <w:t>Nordlinger</w:t>
      </w:r>
      <w:proofErr w:type="spellEnd"/>
      <w:r w:rsidRPr="00B22E92">
        <w:rPr>
          <w:rFonts w:ascii="Book Antiqua" w:hAnsi="Book Antiqua"/>
        </w:rPr>
        <w:t xml:space="preserve"> B, Beretta GD, Mosconi S, </w:t>
      </w:r>
      <w:proofErr w:type="spellStart"/>
      <w:r w:rsidRPr="00B22E92">
        <w:rPr>
          <w:rFonts w:ascii="Book Antiqua" w:hAnsi="Book Antiqua"/>
        </w:rPr>
        <w:t>Mandalà</w:t>
      </w:r>
      <w:proofErr w:type="spellEnd"/>
      <w:r w:rsidRPr="00B22E92">
        <w:rPr>
          <w:rFonts w:ascii="Book Antiqua" w:hAnsi="Book Antiqua"/>
        </w:rPr>
        <w:t xml:space="preserve"> M, Cervantes A, Arnold D; ESMO Guidelines Working Group. Early colon cancer: ESMO Clinical Practice Guidelines for diagnosis, treatment and follow-up. </w:t>
      </w:r>
      <w:r w:rsidRPr="00B22E92">
        <w:rPr>
          <w:rFonts w:ascii="Book Antiqua" w:hAnsi="Book Antiqua"/>
          <w:i/>
          <w:iCs/>
        </w:rPr>
        <w:t>Ann Oncol</w:t>
      </w:r>
      <w:r w:rsidRPr="00B22E92">
        <w:rPr>
          <w:rFonts w:ascii="Book Antiqua" w:hAnsi="Book Antiqua"/>
        </w:rPr>
        <w:t xml:space="preserve"> 2013; </w:t>
      </w:r>
      <w:r w:rsidRPr="00B22E92">
        <w:rPr>
          <w:rFonts w:ascii="Book Antiqua" w:hAnsi="Book Antiqua"/>
          <w:b/>
          <w:bCs/>
        </w:rPr>
        <w:t xml:space="preserve">24 </w:t>
      </w:r>
      <w:r w:rsidRPr="00B22E92">
        <w:rPr>
          <w:rFonts w:ascii="Book Antiqua" w:hAnsi="Book Antiqua"/>
        </w:rPr>
        <w:t>Suppl 6: vi64-vi72 [PMID: 24078664 DOI: 10.1093/</w:t>
      </w:r>
      <w:proofErr w:type="spellStart"/>
      <w:r w:rsidRPr="00B22E92">
        <w:rPr>
          <w:rFonts w:ascii="Book Antiqua" w:hAnsi="Book Antiqua"/>
        </w:rPr>
        <w:t>annonc</w:t>
      </w:r>
      <w:proofErr w:type="spellEnd"/>
      <w:r w:rsidRPr="00B22E92">
        <w:rPr>
          <w:rFonts w:ascii="Book Antiqua" w:hAnsi="Book Antiqua"/>
        </w:rPr>
        <w:t>/mdt354]</w:t>
      </w:r>
    </w:p>
    <w:p w14:paraId="65AF930B"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31 </w:t>
      </w:r>
      <w:proofErr w:type="spellStart"/>
      <w:r w:rsidRPr="00B22E92">
        <w:rPr>
          <w:rFonts w:ascii="Book Antiqua" w:hAnsi="Book Antiqua"/>
          <w:b/>
          <w:bCs/>
        </w:rPr>
        <w:t>Koncina</w:t>
      </w:r>
      <w:proofErr w:type="spellEnd"/>
      <w:r w:rsidRPr="00B22E92">
        <w:rPr>
          <w:rFonts w:ascii="Book Antiqua" w:hAnsi="Book Antiqua"/>
          <w:b/>
          <w:bCs/>
        </w:rPr>
        <w:t xml:space="preserve"> E</w:t>
      </w:r>
      <w:r w:rsidRPr="00B22E92">
        <w:rPr>
          <w:rFonts w:ascii="Book Antiqua" w:hAnsi="Book Antiqua"/>
        </w:rPr>
        <w:t xml:space="preserve">, </w:t>
      </w:r>
      <w:proofErr w:type="spellStart"/>
      <w:r w:rsidRPr="00B22E92">
        <w:rPr>
          <w:rFonts w:ascii="Book Antiqua" w:hAnsi="Book Antiqua"/>
        </w:rPr>
        <w:t>Haan</w:t>
      </w:r>
      <w:proofErr w:type="spellEnd"/>
      <w:r w:rsidRPr="00B22E92">
        <w:rPr>
          <w:rFonts w:ascii="Book Antiqua" w:hAnsi="Book Antiqua"/>
        </w:rPr>
        <w:t xml:space="preserve"> S, </w:t>
      </w:r>
      <w:proofErr w:type="spellStart"/>
      <w:r w:rsidRPr="00B22E92">
        <w:rPr>
          <w:rFonts w:ascii="Book Antiqua" w:hAnsi="Book Antiqua"/>
        </w:rPr>
        <w:t>Rauh</w:t>
      </w:r>
      <w:proofErr w:type="spellEnd"/>
      <w:r w:rsidRPr="00B22E92">
        <w:rPr>
          <w:rFonts w:ascii="Book Antiqua" w:hAnsi="Book Antiqua"/>
        </w:rPr>
        <w:t xml:space="preserve"> S, </w:t>
      </w:r>
      <w:proofErr w:type="spellStart"/>
      <w:r w:rsidRPr="00B22E92">
        <w:rPr>
          <w:rFonts w:ascii="Book Antiqua" w:hAnsi="Book Antiqua"/>
        </w:rPr>
        <w:t>Letellier</w:t>
      </w:r>
      <w:proofErr w:type="spellEnd"/>
      <w:r w:rsidRPr="00B22E92">
        <w:rPr>
          <w:rFonts w:ascii="Book Antiqua" w:hAnsi="Book Antiqua"/>
        </w:rPr>
        <w:t xml:space="preserve"> E. Prognostic and Predictive Molecular Biomarkers for Colorectal Cancer: Updates and Challenges. </w:t>
      </w:r>
      <w:r w:rsidRPr="00B22E92">
        <w:rPr>
          <w:rFonts w:ascii="Book Antiqua" w:hAnsi="Book Antiqua"/>
          <w:i/>
          <w:iCs/>
        </w:rPr>
        <w:t>Cancers (Basel)</w:t>
      </w:r>
      <w:r w:rsidRPr="00B22E92">
        <w:rPr>
          <w:rFonts w:ascii="Book Antiqua" w:hAnsi="Book Antiqua"/>
        </w:rPr>
        <w:t xml:space="preserve"> 2020; </w:t>
      </w:r>
      <w:r w:rsidRPr="00B22E92">
        <w:rPr>
          <w:rFonts w:ascii="Book Antiqua" w:hAnsi="Book Antiqua"/>
          <w:b/>
          <w:bCs/>
        </w:rPr>
        <w:t>12</w:t>
      </w:r>
      <w:r w:rsidRPr="00B22E92">
        <w:rPr>
          <w:rFonts w:ascii="Book Antiqua" w:hAnsi="Book Antiqua"/>
        </w:rPr>
        <w:t xml:space="preserve"> [PMID: 32019056 DOI: 10.3390/cancers12020319]</w:t>
      </w:r>
    </w:p>
    <w:p w14:paraId="1BA8F6DF"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32 </w:t>
      </w:r>
      <w:proofErr w:type="spellStart"/>
      <w:r w:rsidRPr="00B22E92">
        <w:rPr>
          <w:rFonts w:ascii="Book Antiqua" w:hAnsi="Book Antiqua"/>
          <w:b/>
          <w:bCs/>
        </w:rPr>
        <w:t>Alwers</w:t>
      </w:r>
      <w:proofErr w:type="spellEnd"/>
      <w:r w:rsidRPr="00B22E92">
        <w:rPr>
          <w:rFonts w:ascii="Book Antiqua" w:hAnsi="Book Antiqua"/>
          <w:b/>
          <w:bCs/>
        </w:rPr>
        <w:t xml:space="preserve"> E</w:t>
      </w:r>
      <w:r w:rsidRPr="00B22E92">
        <w:rPr>
          <w:rFonts w:ascii="Book Antiqua" w:hAnsi="Book Antiqua"/>
        </w:rPr>
        <w:t xml:space="preserve">, Jia M, </w:t>
      </w:r>
      <w:proofErr w:type="spellStart"/>
      <w:r w:rsidRPr="00B22E92">
        <w:rPr>
          <w:rFonts w:ascii="Book Antiqua" w:hAnsi="Book Antiqua"/>
        </w:rPr>
        <w:t>Kloor</w:t>
      </w:r>
      <w:proofErr w:type="spellEnd"/>
      <w:r w:rsidRPr="00B22E92">
        <w:rPr>
          <w:rFonts w:ascii="Book Antiqua" w:hAnsi="Book Antiqua"/>
        </w:rPr>
        <w:t xml:space="preserve"> M, </w:t>
      </w:r>
      <w:proofErr w:type="spellStart"/>
      <w:r w:rsidRPr="00B22E92">
        <w:rPr>
          <w:rFonts w:ascii="Book Antiqua" w:hAnsi="Book Antiqua"/>
        </w:rPr>
        <w:t>Bläker</w:t>
      </w:r>
      <w:proofErr w:type="spellEnd"/>
      <w:r w:rsidRPr="00B22E92">
        <w:rPr>
          <w:rFonts w:ascii="Book Antiqua" w:hAnsi="Book Antiqua"/>
        </w:rPr>
        <w:t xml:space="preserve"> H, Brenner H, Hoffmeister M. Associations Between Molecular Classifications of Colorectal Cancer and Patient Survival: A Systematic Review. </w:t>
      </w:r>
      <w:r w:rsidRPr="00B22E92">
        <w:rPr>
          <w:rFonts w:ascii="Book Antiqua" w:hAnsi="Book Antiqua"/>
          <w:i/>
          <w:iCs/>
        </w:rPr>
        <w:t>Clin Gastroenterol Hepatol</w:t>
      </w:r>
      <w:r w:rsidRPr="00B22E92">
        <w:rPr>
          <w:rFonts w:ascii="Book Antiqua" w:hAnsi="Book Antiqua"/>
        </w:rPr>
        <w:t xml:space="preserve"> 2019; </w:t>
      </w:r>
      <w:r w:rsidRPr="00B22E92">
        <w:rPr>
          <w:rFonts w:ascii="Book Antiqua" w:hAnsi="Book Antiqua"/>
          <w:b/>
          <w:bCs/>
        </w:rPr>
        <w:t>17</w:t>
      </w:r>
      <w:r w:rsidRPr="00B22E92">
        <w:rPr>
          <w:rFonts w:ascii="Book Antiqua" w:hAnsi="Book Antiqua"/>
        </w:rPr>
        <w:t>: 402-410.e2 [PMID: 29306042 DOI: 10.1016/j.cgh.2017.12.038]</w:t>
      </w:r>
    </w:p>
    <w:p w14:paraId="3C1395BD"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33 </w:t>
      </w:r>
      <w:proofErr w:type="spellStart"/>
      <w:r w:rsidRPr="00B22E92">
        <w:rPr>
          <w:rFonts w:ascii="Book Antiqua" w:hAnsi="Book Antiqua"/>
          <w:b/>
          <w:bCs/>
        </w:rPr>
        <w:t>Dotan</w:t>
      </w:r>
      <w:proofErr w:type="spellEnd"/>
      <w:r w:rsidRPr="00B22E92">
        <w:rPr>
          <w:rFonts w:ascii="Book Antiqua" w:hAnsi="Book Antiqua"/>
          <w:b/>
          <w:bCs/>
        </w:rPr>
        <w:t xml:space="preserve"> E</w:t>
      </w:r>
      <w:r w:rsidRPr="00B22E92">
        <w:rPr>
          <w:rFonts w:ascii="Book Antiqua" w:hAnsi="Book Antiqua"/>
        </w:rPr>
        <w:t xml:space="preserve">, Cohen SJ. Challenges in the management of stage II colon cancer. </w:t>
      </w:r>
      <w:r w:rsidRPr="00B22E92">
        <w:rPr>
          <w:rFonts w:ascii="Book Antiqua" w:hAnsi="Book Antiqua"/>
          <w:i/>
          <w:iCs/>
        </w:rPr>
        <w:t>Semin Oncol</w:t>
      </w:r>
      <w:r w:rsidRPr="00B22E92">
        <w:rPr>
          <w:rFonts w:ascii="Book Antiqua" w:hAnsi="Book Antiqua"/>
        </w:rPr>
        <w:t xml:space="preserve"> 2011; </w:t>
      </w:r>
      <w:r w:rsidRPr="00B22E92">
        <w:rPr>
          <w:rFonts w:ascii="Book Antiqua" w:hAnsi="Book Antiqua"/>
          <w:b/>
          <w:bCs/>
        </w:rPr>
        <w:t>38</w:t>
      </w:r>
      <w:r w:rsidRPr="00B22E92">
        <w:rPr>
          <w:rFonts w:ascii="Book Antiqua" w:hAnsi="Book Antiqua"/>
        </w:rPr>
        <w:t>: 511-520 [PMID: 21810510 DOI: 10.1053/j.seminoncol.2011.05.005]</w:t>
      </w:r>
    </w:p>
    <w:p w14:paraId="56644D80"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34 </w:t>
      </w:r>
      <w:r w:rsidRPr="00B22E92">
        <w:rPr>
          <w:rFonts w:ascii="Book Antiqua" w:hAnsi="Book Antiqua"/>
          <w:b/>
          <w:bCs/>
        </w:rPr>
        <w:t>Song N</w:t>
      </w:r>
      <w:r w:rsidRPr="00B22E92">
        <w:rPr>
          <w:rFonts w:ascii="Book Antiqua" w:hAnsi="Book Antiqua"/>
        </w:rPr>
        <w:t>, Pogue-</w:t>
      </w:r>
      <w:proofErr w:type="spellStart"/>
      <w:r w:rsidRPr="00B22E92">
        <w:rPr>
          <w:rFonts w:ascii="Book Antiqua" w:hAnsi="Book Antiqua"/>
        </w:rPr>
        <w:t>Geile</w:t>
      </w:r>
      <w:proofErr w:type="spellEnd"/>
      <w:r w:rsidRPr="00B22E92">
        <w:rPr>
          <w:rFonts w:ascii="Book Antiqua" w:hAnsi="Book Antiqua"/>
        </w:rPr>
        <w:t xml:space="preserve"> KL, Gavin PG, </w:t>
      </w:r>
      <w:proofErr w:type="spellStart"/>
      <w:r w:rsidRPr="00B22E92">
        <w:rPr>
          <w:rFonts w:ascii="Book Antiqua" w:hAnsi="Book Antiqua"/>
        </w:rPr>
        <w:t>Yothers</w:t>
      </w:r>
      <w:proofErr w:type="spellEnd"/>
      <w:r w:rsidRPr="00B22E92">
        <w:rPr>
          <w:rFonts w:ascii="Book Antiqua" w:hAnsi="Book Antiqua"/>
        </w:rPr>
        <w:t xml:space="preserve"> G, Kim SR, Johnson NL, </w:t>
      </w:r>
      <w:proofErr w:type="spellStart"/>
      <w:r w:rsidRPr="00B22E92">
        <w:rPr>
          <w:rFonts w:ascii="Book Antiqua" w:hAnsi="Book Antiqua"/>
        </w:rPr>
        <w:t>Lipchik</w:t>
      </w:r>
      <w:proofErr w:type="spellEnd"/>
      <w:r w:rsidRPr="00B22E92">
        <w:rPr>
          <w:rFonts w:ascii="Book Antiqua" w:hAnsi="Book Antiqua"/>
        </w:rPr>
        <w:t xml:space="preserve"> C, Allegra CJ, </w:t>
      </w:r>
      <w:proofErr w:type="spellStart"/>
      <w:r w:rsidRPr="00B22E92">
        <w:rPr>
          <w:rFonts w:ascii="Book Antiqua" w:hAnsi="Book Antiqua"/>
        </w:rPr>
        <w:t>Petrelli</w:t>
      </w:r>
      <w:proofErr w:type="spellEnd"/>
      <w:r w:rsidRPr="00B22E92">
        <w:rPr>
          <w:rFonts w:ascii="Book Antiqua" w:hAnsi="Book Antiqua"/>
        </w:rPr>
        <w:t xml:space="preserve"> NJ, O'Connell MJ, </w:t>
      </w:r>
      <w:proofErr w:type="spellStart"/>
      <w:r w:rsidRPr="00B22E92">
        <w:rPr>
          <w:rFonts w:ascii="Book Antiqua" w:hAnsi="Book Antiqua"/>
        </w:rPr>
        <w:t>Wolmark</w:t>
      </w:r>
      <w:proofErr w:type="spellEnd"/>
      <w:r w:rsidRPr="00B22E92">
        <w:rPr>
          <w:rFonts w:ascii="Book Antiqua" w:hAnsi="Book Antiqua"/>
        </w:rPr>
        <w:t xml:space="preserve"> N, Paik S. Clinical Outcome </w:t>
      </w:r>
      <w:proofErr w:type="gramStart"/>
      <w:r w:rsidRPr="00B22E92">
        <w:rPr>
          <w:rFonts w:ascii="Book Antiqua" w:hAnsi="Book Antiqua"/>
        </w:rPr>
        <w:t>From</w:t>
      </w:r>
      <w:proofErr w:type="gramEnd"/>
      <w:r w:rsidRPr="00B22E92">
        <w:rPr>
          <w:rFonts w:ascii="Book Antiqua" w:hAnsi="Book Antiqua"/>
        </w:rPr>
        <w:t xml:space="preserve"> Oxaliplatin Treatment in Stage II/III Colon Cancer According to Intrinsic Subtypes: Secondary Analysis of NSABP C-07/NRG Oncology Randomized Clinical Trial. </w:t>
      </w:r>
      <w:r w:rsidRPr="00B22E92">
        <w:rPr>
          <w:rFonts w:ascii="Book Antiqua" w:hAnsi="Book Antiqua"/>
          <w:i/>
          <w:iCs/>
        </w:rPr>
        <w:t>JAMA Oncol</w:t>
      </w:r>
      <w:r w:rsidRPr="00B22E92">
        <w:rPr>
          <w:rFonts w:ascii="Book Antiqua" w:hAnsi="Book Antiqua"/>
        </w:rPr>
        <w:t xml:space="preserve"> 2016; </w:t>
      </w:r>
      <w:r w:rsidRPr="00B22E92">
        <w:rPr>
          <w:rFonts w:ascii="Book Antiqua" w:hAnsi="Book Antiqua"/>
          <w:b/>
          <w:bCs/>
        </w:rPr>
        <w:t>2</w:t>
      </w:r>
      <w:r w:rsidRPr="00B22E92">
        <w:rPr>
          <w:rFonts w:ascii="Book Antiqua" w:hAnsi="Book Antiqua"/>
        </w:rPr>
        <w:t>: 1162-1169 [PMID: 27270348 DOI: 10.1001/jamaoncol.2016.2314]</w:t>
      </w:r>
    </w:p>
    <w:p w14:paraId="60FDF92C"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35 </w:t>
      </w:r>
      <w:proofErr w:type="spellStart"/>
      <w:r w:rsidRPr="00B22E92">
        <w:rPr>
          <w:rFonts w:ascii="Book Antiqua" w:hAnsi="Book Antiqua"/>
          <w:b/>
          <w:bCs/>
        </w:rPr>
        <w:t>Roepman</w:t>
      </w:r>
      <w:proofErr w:type="spellEnd"/>
      <w:r w:rsidRPr="00B22E92">
        <w:rPr>
          <w:rFonts w:ascii="Book Antiqua" w:hAnsi="Book Antiqua"/>
          <w:b/>
          <w:bCs/>
        </w:rPr>
        <w:t xml:space="preserve"> P</w:t>
      </w:r>
      <w:r w:rsidRPr="00B22E92">
        <w:rPr>
          <w:rFonts w:ascii="Book Antiqua" w:hAnsi="Book Antiqua"/>
        </w:rPr>
        <w:t xml:space="preserve">, </w:t>
      </w:r>
      <w:proofErr w:type="spellStart"/>
      <w:r w:rsidRPr="00B22E92">
        <w:rPr>
          <w:rFonts w:ascii="Book Antiqua" w:hAnsi="Book Antiqua"/>
        </w:rPr>
        <w:t>Schlicker</w:t>
      </w:r>
      <w:proofErr w:type="spellEnd"/>
      <w:r w:rsidRPr="00B22E92">
        <w:rPr>
          <w:rFonts w:ascii="Book Antiqua" w:hAnsi="Book Antiqua"/>
        </w:rPr>
        <w:t xml:space="preserve"> A, </w:t>
      </w:r>
      <w:proofErr w:type="spellStart"/>
      <w:r w:rsidRPr="00B22E92">
        <w:rPr>
          <w:rFonts w:ascii="Book Antiqua" w:hAnsi="Book Antiqua"/>
        </w:rPr>
        <w:t>Tabernero</w:t>
      </w:r>
      <w:proofErr w:type="spellEnd"/>
      <w:r w:rsidRPr="00B22E92">
        <w:rPr>
          <w:rFonts w:ascii="Book Antiqua" w:hAnsi="Book Antiqua"/>
        </w:rPr>
        <w:t xml:space="preserve"> J, Majewski I, Tian S, Moreno V, </w:t>
      </w:r>
      <w:proofErr w:type="spellStart"/>
      <w:r w:rsidRPr="00B22E92">
        <w:rPr>
          <w:rFonts w:ascii="Book Antiqua" w:hAnsi="Book Antiqua"/>
        </w:rPr>
        <w:t>Snel</w:t>
      </w:r>
      <w:proofErr w:type="spellEnd"/>
      <w:r w:rsidRPr="00B22E92">
        <w:rPr>
          <w:rFonts w:ascii="Book Antiqua" w:hAnsi="Book Antiqua"/>
        </w:rPr>
        <w:t xml:space="preserve"> MH, </w:t>
      </w:r>
      <w:proofErr w:type="spellStart"/>
      <w:r w:rsidRPr="00B22E92">
        <w:rPr>
          <w:rFonts w:ascii="Book Antiqua" w:hAnsi="Book Antiqua"/>
        </w:rPr>
        <w:t>Chresta</w:t>
      </w:r>
      <w:proofErr w:type="spellEnd"/>
      <w:r w:rsidRPr="00B22E92">
        <w:rPr>
          <w:rFonts w:ascii="Book Antiqua" w:hAnsi="Book Antiqua"/>
        </w:rPr>
        <w:t xml:space="preserve"> CM, Rosenberg R, </w:t>
      </w:r>
      <w:proofErr w:type="spellStart"/>
      <w:r w:rsidRPr="00B22E92">
        <w:rPr>
          <w:rFonts w:ascii="Book Antiqua" w:hAnsi="Book Antiqua"/>
        </w:rPr>
        <w:t>Nitsche</w:t>
      </w:r>
      <w:proofErr w:type="spellEnd"/>
      <w:r w:rsidRPr="00B22E92">
        <w:rPr>
          <w:rFonts w:ascii="Book Antiqua" w:hAnsi="Book Antiqua"/>
        </w:rPr>
        <w:t xml:space="preserve"> U, </w:t>
      </w:r>
      <w:proofErr w:type="spellStart"/>
      <w:r w:rsidRPr="00B22E92">
        <w:rPr>
          <w:rFonts w:ascii="Book Antiqua" w:hAnsi="Book Antiqua"/>
        </w:rPr>
        <w:t>Macarulla</w:t>
      </w:r>
      <w:proofErr w:type="spellEnd"/>
      <w:r w:rsidRPr="00B22E92">
        <w:rPr>
          <w:rFonts w:ascii="Book Antiqua" w:hAnsi="Book Antiqua"/>
        </w:rPr>
        <w:t xml:space="preserve"> T, Capella G, Salazar R, Orphanides G, Wessels LF, </w:t>
      </w:r>
      <w:proofErr w:type="spellStart"/>
      <w:r w:rsidRPr="00B22E92">
        <w:rPr>
          <w:rFonts w:ascii="Book Antiqua" w:hAnsi="Book Antiqua"/>
        </w:rPr>
        <w:t>Bernards</w:t>
      </w:r>
      <w:proofErr w:type="spellEnd"/>
      <w:r w:rsidRPr="00B22E92">
        <w:rPr>
          <w:rFonts w:ascii="Book Antiqua" w:hAnsi="Book Antiqua"/>
        </w:rPr>
        <w:t xml:space="preserve"> R, Simon IM. Colorectal cancer intrinsic subtypes predict chemotherapy benefit, deficient mismatch repair and epithelial-to-mesenchymal transition. </w:t>
      </w:r>
      <w:r w:rsidRPr="00B22E92">
        <w:rPr>
          <w:rFonts w:ascii="Book Antiqua" w:hAnsi="Book Antiqua"/>
          <w:i/>
          <w:iCs/>
        </w:rPr>
        <w:t>Int J Cancer</w:t>
      </w:r>
      <w:r w:rsidRPr="00B22E92">
        <w:rPr>
          <w:rFonts w:ascii="Book Antiqua" w:hAnsi="Book Antiqua"/>
        </w:rPr>
        <w:t xml:space="preserve"> 2014; </w:t>
      </w:r>
      <w:r w:rsidRPr="00B22E92">
        <w:rPr>
          <w:rFonts w:ascii="Book Antiqua" w:hAnsi="Book Antiqua"/>
          <w:b/>
          <w:bCs/>
        </w:rPr>
        <w:t>134</w:t>
      </w:r>
      <w:r w:rsidRPr="00B22E92">
        <w:rPr>
          <w:rFonts w:ascii="Book Antiqua" w:hAnsi="Book Antiqua"/>
        </w:rPr>
        <w:t>: 552-562 [PMID: 23852808 DOI: 10.1002/ijc.28387]</w:t>
      </w:r>
    </w:p>
    <w:p w14:paraId="0A4CE661"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36 </w:t>
      </w:r>
      <w:r w:rsidRPr="00B22E92">
        <w:rPr>
          <w:rFonts w:ascii="Book Antiqua" w:hAnsi="Book Antiqua"/>
          <w:b/>
          <w:bCs/>
        </w:rPr>
        <w:t>Shinto E</w:t>
      </w:r>
      <w:r w:rsidRPr="00B22E92">
        <w:rPr>
          <w:rFonts w:ascii="Book Antiqua" w:hAnsi="Book Antiqua"/>
        </w:rPr>
        <w:t xml:space="preserve">, Oki E, </w:t>
      </w:r>
      <w:proofErr w:type="spellStart"/>
      <w:r w:rsidRPr="00B22E92">
        <w:rPr>
          <w:rFonts w:ascii="Book Antiqua" w:hAnsi="Book Antiqua"/>
        </w:rPr>
        <w:t>Shimokawa</w:t>
      </w:r>
      <w:proofErr w:type="spellEnd"/>
      <w:r w:rsidRPr="00B22E92">
        <w:rPr>
          <w:rFonts w:ascii="Book Antiqua" w:hAnsi="Book Antiqua"/>
        </w:rPr>
        <w:t xml:space="preserve"> M, Yamaguchi S, Ishiguro M, Morita M, </w:t>
      </w:r>
      <w:proofErr w:type="spellStart"/>
      <w:r w:rsidRPr="00B22E92">
        <w:rPr>
          <w:rFonts w:ascii="Book Antiqua" w:hAnsi="Book Antiqua"/>
        </w:rPr>
        <w:t>Kusumoto</w:t>
      </w:r>
      <w:proofErr w:type="spellEnd"/>
      <w:r w:rsidRPr="00B22E92">
        <w:rPr>
          <w:rFonts w:ascii="Book Antiqua" w:hAnsi="Book Antiqua"/>
        </w:rPr>
        <w:t xml:space="preserve"> T, Tomita N, Hashiguchi Y, Tanaka M, </w:t>
      </w:r>
      <w:proofErr w:type="spellStart"/>
      <w:r w:rsidRPr="00B22E92">
        <w:rPr>
          <w:rFonts w:ascii="Book Antiqua" w:hAnsi="Book Antiqua"/>
        </w:rPr>
        <w:t>Ohnuma</w:t>
      </w:r>
      <w:proofErr w:type="spellEnd"/>
      <w:r w:rsidRPr="00B22E92">
        <w:rPr>
          <w:rFonts w:ascii="Book Antiqua" w:hAnsi="Book Antiqua"/>
        </w:rPr>
        <w:t xml:space="preserve"> S, Tada S, Matsushima T, </w:t>
      </w:r>
      <w:proofErr w:type="spellStart"/>
      <w:r w:rsidRPr="00B22E92">
        <w:rPr>
          <w:rFonts w:ascii="Book Antiqua" w:hAnsi="Book Antiqua"/>
        </w:rPr>
        <w:t>Hase</w:t>
      </w:r>
      <w:proofErr w:type="spellEnd"/>
      <w:r w:rsidRPr="00B22E92">
        <w:rPr>
          <w:rFonts w:ascii="Book Antiqua" w:hAnsi="Book Antiqua"/>
        </w:rPr>
        <w:t xml:space="preserve"> K. A Validation Study for Recurrence Risk Stratification of Stage II Colon Cancer Using the 55-Gene Classifier. </w:t>
      </w:r>
      <w:r w:rsidRPr="00B22E92">
        <w:rPr>
          <w:rFonts w:ascii="Book Antiqua" w:hAnsi="Book Antiqua"/>
          <w:i/>
          <w:iCs/>
        </w:rPr>
        <w:t>Oncology</w:t>
      </w:r>
      <w:r w:rsidRPr="00B22E92">
        <w:rPr>
          <w:rFonts w:ascii="Book Antiqua" w:hAnsi="Book Antiqua"/>
        </w:rPr>
        <w:t xml:space="preserve"> 2020; </w:t>
      </w:r>
      <w:r w:rsidRPr="00B22E92">
        <w:rPr>
          <w:rFonts w:ascii="Book Antiqua" w:hAnsi="Book Antiqua"/>
          <w:b/>
          <w:bCs/>
        </w:rPr>
        <w:t>98</w:t>
      </w:r>
      <w:r w:rsidRPr="00B22E92">
        <w:rPr>
          <w:rFonts w:ascii="Book Antiqua" w:hAnsi="Book Antiqua"/>
        </w:rPr>
        <w:t>: 534-541 [PMID: 32235113 DOI: 10.1159/000506369]</w:t>
      </w:r>
    </w:p>
    <w:p w14:paraId="432EBF1A" w14:textId="77777777" w:rsidR="00B107E9" w:rsidRPr="00B22E92" w:rsidRDefault="00B107E9" w:rsidP="00B22E92">
      <w:pPr>
        <w:spacing w:line="360" w:lineRule="auto"/>
        <w:jc w:val="both"/>
        <w:rPr>
          <w:rFonts w:ascii="Book Antiqua" w:hAnsi="Book Antiqua"/>
        </w:rPr>
      </w:pPr>
      <w:r w:rsidRPr="00B22E92">
        <w:rPr>
          <w:rFonts w:ascii="Book Antiqua" w:hAnsi="Book Antiqua"/>
        </w:rPr>
        <w:lastRenderedPageBreak/>
        <w:t xml:space="preserve">37 </w:t>
      </w:r>
      <w:r w:rsidRPr="00B22E92">
        <w:rPr>
          <w:rFonts w:ascii="Book Antiqua" w:hAnsi="Book Antiqua"/>
          <w:b/>
          <w:bCs/>
        </w:rPr>
        <w:t>Li Y</w:t>
      </w:r>
      <w:r w:rsidRPr="00B22E92">
        <w:rPr>
          <w:rFonts w:ascii="Book Antiqua" w:hAnsi="Book Antiqua"/>
        </w:rPr>
        <w:t xml:space="preserve">, Yao Q, Zhang L, Mo S, Cai S, Huang D, Peng J. Immunohistochemistry-Based Consensus Molecular Subtypes as a Prognostic and Predictive Biomarker for Adjuvant Chemotherapy in Patients with Stage II Colorectal Cancer. </w:t>
      </w:r>
      <w:r w:rsidRPr="00B22E92">
        <w:rPr>
          <w:rFonts w:ascii="Book Antiqua" w:hAnsi="Book Antiqua"/>
          <w:i/>
          <w:iCs/>
        </w:rPr>
        <w:t>Oncologist</w:t>
      </w:r>
      <w:r w:rsidRPr="00B22E92">
        <w:rPr>
          <w:rFonts w:ascii="Book Antiqua" w:hAnsi="Book Antiqua"/>
        </w:rPr>
        <w:t xml:space="preserve"> 2020; </w:t>
      </w:r>
      <w:r w:rsidRPr="00B22E92">
        <w:rPr>
          <w:rFonts w:ascii="Book Antiqua" w:hAnsi="Book Antiqua"/>
          <w:b/>
          <w:bCs/>
        </w:rPr>
        <w:t>25</w:t>
      </w:r>
      <w:r w:rsidRPr="00B22E92">
        <w:rPr>
          <w:rFonts w:ascii="Book Antiqua" w:hAnsi="Book Antiqua"/>
        </w:rPr>
        <w:t>: e1968-e1979 [PMID: 32926498 DOI: 10.1002/ONCO.13521]</w:t>
      </w:r>
    </w:p>
    <w:p w14:paraId="73661432"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38 </w:t>
      </w:r>
      <w:proofErr w:type="spellStart"/>
      <w:r w:rsidRPr="00B22E92">
        <w:rPr>
          <w:rFonts w:ascii="Book Antiqua" w:hAnsi="Book Antiqua"/>
          <w:b/>
          <w:bCs/>
        </w:rPr>
        <w:t>Smeby</w:t>
      </w:r>
      <w:proofErr w:type="spellEnd"/>
      <w:r w:rsidRPr="00B22E92">
        <w:rPr>
          <w:rFonts w:ascii="Book Antiqua" w:hAnsi="Book Antiqua"/>
          <w:b/>
          <w:bCs/>
        </w:rPr>
        <w:t xml:space="preserve"> J</w:t>
      </w:r>
      <w:r w:rsidRPr="00B22E92">
        <w:rPr>
          <w:rFonts w:ascii="Book Antiqua" w:hAnsi="Book Antiqua"/>
        </w:rPr>
        <w:t xml:space="preserve">, </w:t>
      </w:r>
      <w:proofErr w:type="spellStart"/>
      <w:r w:rsidRPr="00B22E92">
        <w:rPr>
          <w:rFonts w:ascii="Book Antiqua" w:hAnsi="Book Antiqua"/>
        </w:rPr>
        <w:t>Sveen</w:t>
      </w:r>
      <w:proofErr w:type="spellEnd"/>
      <w:r w:rsidRPr="00B22E92">
        <w:rPr>
          <w:rFonts w:ascii="Book Antiqua" w:hAnsi="Book Antiqua"/>
        </w:rPr>
        <w:t xml:space="preserve"> A, </w:t>
      </w:r>
      <w:proofErr w:type="spellStart"/>
      <w:r w:rsidRPr="00B22E92">
        <w:rPr>
          <w:rFonts w:ascii="Book Antiqua" w:hAnsi="Book Antiqua"/>
        </w:rPr>
        <w:t>Merok</w:t>
      </w:r>
      <w:proofErr w:type="spellEnd"/>
      <w:r w:rsidRPr="00B22E92">
        <w:rPr>
          <w:rFonts w:ascii="Book Antiqua" w:hAnsi="Book Antiqua"/>
        </w:rPr>
        <w:t xml:space="preserve"> MA, Danielsen SA, </w:t>
      </w:r>
      <w:proofErr w:type="spellStart"/>
      <w:r w:rsidRPr="00B22E92">
        <w:rPr>
          <w:rFonts w:ascii="Book Antiqua" w:hAnsi="Book Antiqua"/>
        </w:rPr>
        <w:t>Eilertsen</w:t>
      </w:r>
      <w:proofErr w:type="spellEnd"/>
      <w:r w:rsidRPr="00B22E92">
        <w:rPr>
          <w:rFonts w:ascii="Book Antiqua" w:hAnsi="Book Antiqua"/>
        </w:rPr>
        <w:t xml:space="preserve"> IA, </w:t>
      </w:r>
      <w:proofErr w:type="spellStart"/>
      <w:r w:rsidRPr="00B22E92">
        <w:rPr>
          <w:rFonts w:ascii="Book Antiqua" w:hAnsi="Book Antiqua"/>
        </w:rPr>
        <w:t>Guren</w:t>
      </w:r>
      <w:proofErr w:type="spellEnd"/>
      <w:r w:rsidRPr="00B22E92">
        <w:rPr>
          <w:rFonts w:ascii="Book Antiqua" w:hAnsi="Book Antiqua"/>
        </w:rPr>
        <w:t xml:space="preserve"> MG, </w:t>
      </w:r>
      <w:proofErr w:type="spellStart"/>
      <w:r w:rsidRPr="00B22E92">
        <w:rPr>
          <w:rFonts w:ascii="Book Antiqua" w:hAnsi="Book Antiqua"/>
        </w:rPr>
        <w:t>Dienstmann</w:t>
      </w:r>
      <w:proofErr w:type="spellEnd"/>
      <w:r w:rsidRPr="00B22E92">
        <w:rPr>
          <w:rFonts w:ascii="Book Antiqua" w:hAnsi="Book Antiqua"/>
        </w:rPr>
        <w:t xml:space="preserve"> R, </w:t>
      </w:r>
      <w:proofErr w:type="spellStart"/>
      <w:r w:rsidRPr="00B22E92">
        <w:rPr>
          <w:rFonts w:ascii="Book Antiqua" w:hAnsi="Book Antiqua"/>
        </w:rPr>
        <w:t>Nesbakken</w:t>
      </w:r>
      <w:proofErr w:type="spellEnd"/>
      <w:r w:rsidRPr="00B22E92">
        <w:rPr>
          <w:rFonts w:ascii="Book Antiqua" w:hAnsi="Book Antiqua"/>
        </w:rPr>
        <w:t xml:space="preserve"> A, </w:t>
      </w:r>
      <w:proofErr w:type="spellStart"/>
      <w:r w:rsidRPr="00B22E92">
        <w:rPr>
          <w:rFonts w:ascii="Book Antiqua" w:hAnsi="Book Antiqua"/>
        </w:rPr>
        <w:t>Lothe</w:t>
      </w:r>
      <w:proofErr w:type="spellEnd"/>
      <w:r w:rsidRPr="00B22E92">
        <w:rPr>
          <w:rFonts w:ascii="Book Antiqua" w:hAnsi="Book Antiqua"/>
        </w:rPr>
        <w:t xml:space="preserve"> RA. CMS-dependent prognostic impact of KRAS and BRAFV600E mutations in primary colorectal cancer. </w:t>
      </w:r>
      <w:r w:rsidRPr="00B22E92">
        <w:rPr>
          <w:rFonts w:ascii="Book Antiqua" w:hAnsi="Book Antiqua"/>
          <w:i/>
          <w:iCs/>
        </w:rPr>
        <w:t>Ann Oncol</w:t>
      </w:r>
      <w:r w:rsidRPr="00B22E92">
        <w:rPr>
          <w:rFonts w:ascii="Book Antiqua" w:hAnsi="Book Antiqua"/>
        </w:rPr>
        <w:t xml:space="preserve"> 2018; </w:t>
      </w:r>
      <w:r w:rsidRPr="00B22E92">
        <w:rPr>
          <w:rFonts w:ascii="Book Antiqua" w:hAnsi="Book Antiqua"/>
          <w:b/>
          <w:bCs/>
        </w:rPr>
        <w:t>29</w:t>
      </w:r>
      <w:r w:rsidRPr="00B22E92">
        <w:rPr>
          <w:rFonts w:ascii="Book Antiqua" w:hAnsi="Book Antiqua"/>
        </w:rPr>
        <w:t>: 1227-1234 [PMID: 29518181 DOI: 10.1093/</w:t>
      </w:r>
      <w:proofErr w:type="spellStart"/>
      <w:r w:rsidRPr="00B22E92">
        <w:rPr>
          <w:rFonts w:ascii="Book Antiqua" w:hAnsi="Book Antiqua"/>
        </w:rPr>
        <w:t>annonc</w:t>
      </w:r>
      <w:proofErr w:type="spellEnd"/>
      <w:r w:rsidRPr="00B22E92">
        <w:rPr>
          <w:rFonts w:ascii="Book Antiqua" w:hAnsi="Book Antiqua"/>
        </w:rPr>
        <w:t>/mdy085]</w:t>
      </w:r>
    </w:p>
    <w:p w14:paraId="2E21B482"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39 </w:t>
      </w:r>
      <w:r w:rsidRPr="00B22E92">
        <w:rPr>
          <w:rFonts w:ascii="Book Antiqua" w:hAnsi="Book Antiqua"/>
          <w:b/>
          <w:bCs/>
        </w:rPr>
        <w:t>Purcell RV</w:t>
      </w:r>
      <w:r w:rsidRPr="00B22E92">
        <w:rPr>
          <w:rFonts w:ascii="Book Antiqua" w:hAnsi="Book Antiqua"/>
        </w:rPr>
        <w:t xml:space="preserve">, </w:t>
      </w:r>
      <w:proofErr w:type="spellStart"/>
      <w:r w:rsidRPr="00B22E92">
        <w:rPr>
          <w:rFonts w:ascii="Book Antiqua" w:hAnsi="Book Antiqua"/>
        </w:rPr>
        <w:t>Schmeier</w:t>
      </w:r>
      <w:proofErr w:type="spellEnd"/>
      <w:r w:rsidRPr="00B22E92">
        <w:rPr>
          <w:rFonts w:ascii="Book Antiqua" w:hAnsi="Book Antiqua"/>
        </w:rPr>
        <w:t xml:space="preserve"> S, Lau YC, Pearson JF, </w:t>
      </w:r>
      <w:proofErr w:type="spellStart"/>
      <w:r w:rsidRPr="00B22E92">
        <w:rPr>
          <w:rFonts w:ascii="Book Antiqua" w:hAnsi="Book Antiqua"/>
        </w:rPr>
        <w:t>Frizelle</w:t>
      </w:r>
      <w:proofErr w:type="spellEnd"/>
      <w:r w:rsidRPr="00B22E92">
        <w:rPr>
          <w:rFonts w:ascii="Book Antiqua" w:hAnsi="Book Antiqua"/>
        </w:rPr>
        <w:t xml:space="preserve"> FA. Molecular subtyping improves prognostication of Stage 2 colorectal cancer. </w:t>
      </w:r>
      <w:r w:rsidRPr="00B22E92">
        <w:rPr>
          <w:rFonts w:ascii="Book Antiqua" w:hAnsi="Book Antiqua"/>
          <w:i/>
          <w:iCs/>
        </w:rPr>
        <w:t>BMC Cancer</w:t>
      </w:r>
      <w:r w:rsidRPr="00B22E92">
        <w:rPr>
          <w:rFonts w:ascii="Book Antiqua" w:hAnsi="Book Antiqua"/>
        </w:rPr>
        <w:t xml:space="preserve"> 2019; </w:t>
      </w:r>
      <w:r w:rsidRPr="00B22E92">
        <w:rPr>
          <w:rFonts w:ascii="Book Antiqua" w:hAnsi="Book Antiqua"/>
          <w:b/>
          <w:bCs/>
        </w:rPr>
        <w:t>19</w:t>
      </w:r>
      <w:r w:rsidRPr="00B22E92">
        <w:rPr>
          <w:rFonts w:ascii="Book Antiqua" w:hAnsi="Book Antiqua"/>
        </w:rPr>
        <w:t>: 1155 [PMID: 31775679 DOI: 10.1186/s12885-019-6327-4]</w:t>
      </w:r>
    </w:p>
    <w:p w14:paraId="5E1699E5"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40 </w:t>
      </w:r>
      <w:proofErr w:type="spellStart"/>
      <w:r w:rsidRPr="00B22E92">
        <w:rPr>
          <w:rFonts w:ascii="Book Antiqua" w:hAnsi="Book Antiqua"/>
          <w:b/>
          <w:bCs/>
        </w:rPr>
        <w:t>Seufferlein</w:t>
      </w:r>
      <w:proofErr w:type="spellEnd"/>
      <w:r w:rsidRPr="00B22E92">
        <w:rPr>
          <w:rFonts w:ascii="Book Antiqua" w:hAnsi="Book Antiqua"/>
          <w:b/>
          <w:bCs/>
        </w:rPr>
        <w:t xml:space="preserve"> T</w:t>
      </w:r>
      <w:r w:rsidRPr="00B22E92">
        <w:rPr>
          <w:rFonts w:ascii="Book Antiqua" w:hAnsi="Book Antiqua"/>
        </w:rPr>
        <w:t xml:space="preserve">, </w:t>
      </w:r>
      <w:proofErr w:type="spellStart"/>
      <w:r w:rsidRPr="00B22E92">
        <w:rPr>
          <w:rFonts w:ascii="Book Antiqua" w:hAnsi="Book Antiqua"/>
        </w:rPr>
        <w:t>Simões</w:t>
      </w:r>
      <w:proofErr w:type="spellEnd"/>
      <w:r w:rsidRPr="00B22E92">
        <w:rPr>
          <w:rFonts w:ascii="Book Antiqua" w:hAnsi="Book Antiqua"/>
        </w:rPr>
        <w:t xml:space="preserve"> C, </w:t>
      </w:r>
      <w:proofErr w:type="spellStart"/>
      <w:r w:rsidRPr="00B22E92">
        <w:rPr>
          <w:rFonts w:ascii="Book Antiqua" w:hAnsi="Book Antiqua"/>
        </w:rPr>
        <w:t>Kude</w:t>
      </w:r>
      <w:proofErr w:type="spellEnd"/>
      <w:r w:rsidRPr="00B22E92">
        <w:rPr>
          <w:rFonts w:ascii="Book Antiqua" w:hAnsi="Book Antiqua"/>
        </w:rPr>
        <w:t xml:space="preserve"> F, </w:t>
      </w:r>
      <w:proofErr w:type="spellStart"/>
      <w:r w:rsidRPr="00B22E92">
        <w:rPr>
          <w:rFonts w:ascii="Book Antiqua" w:hAnsi="Book Antiqua"/>
        </w:rPr>
        <w:t>Ettrich</w:t>
      </w:r>
      <w:proofErr w:type="spellEnd"/>
      <w:r w:rsidRPr="00B22E92">
        <w:rPr>
          <w:rFonts w:ascii="Book Antiqua" w:hAnsi="Book Antiqua"/>
        </w:rPr>
        <w:t xml:space="preserve"> TJ. Molecular Approaches to Metastatic Colorectal Cancer: Better Diagnosis - Better Treatment? </w:t>
      </w:r>
      <w:proofErr w:type="spellStart"/>
      <w:r w:rsidRPr="00B22E92">
        <w:rPr>
          <w:rFonts w:ascii="Book Antiqua" w:hAnsi="Book Antiqua"/>
          <w:i/>
          <w:iCs/>
        </w:rPr>
        <w:t>Visc</w:t>
      </w:r>
      <w:proofErr w:type="spellEnd"/>
      <w:r w:rsidRPr="00B22E92">
        <w:rPr>
          <w:rFonts w:ascii="Book Antiqua" w:hAnsi="Book Antiqua"/>
          <w:i/>
          <w:iCs/>
        </w:rPr>
        <w:t xml:space="preserve"> Med</w:t>
      </w:r>
      <w:r w:rsidRPr="00B22E92">
        <w:rPr>
          <w:rFonts w:ascii="Book Antiqua" w:hAnsi="Book Antiqua"/>
        </w:rPr>
        <w:t xml:space="preserve"> 2019; </w:t>
      </w:r>
      <w:r w:rsidRPr="00B22E92">
        <w:rPr>
          <w:rFonts w:ascii="Book Antiqua" w:hAnsi="Book Antiqua"/>
          <w:b/>
          <w:bCs/>
        </w:rPr>
        <w:t>35</w:t>
      </w:r>
      <w:r w:rsidRPr="00B22E92">
        <w:rPr>
          <w:rFonts w:ascii="Book Antiqua" w:hAnsi="Book Antiqua"/>
        </w:rPr>
        <w:t>: 259-264 [PMID: 31602389 DOI: 10.1159/000500617]</w:t>
      </w:r>
    </w:p>
    <w:p w14:paraId="241AC8A6"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41 </w:t>
      </w:r>
      <w:r w:rsidRPr="00B22E92">
        <w:rPr>
          <w:rFonts w:ascii="Book Antiqua" w:hAnsi="Book Antiqua"/>
          <w:b/>
          <w:bCs/>
        </w:rPr>
        <w:t>Mooi JK</w:t>
      </w:r>
      <w:r w:rsidRPr="00B22E92">
        <w:rPr>
          <w:rFonts w:ascii="Book Antiqua" w:hAnsi="Book Antiqua"/>
        </w:rPr>
        <w:t xml:space="preserve">, </w:t>
      </w:r>
      <w:proofErr w:type="spellStart"/>
      <w:r w:rsidRPr="00B22E92">
        <w:rPr>
          <w:rFonts w:ascii="Book Antiqua" w:hAnsi="Book Antiqua"/>
        </w:rPr>
        <w:t>Wirapati</w:t>
      </w:r>
      <w:proofErr w:type="spellEnd"/>
      <w:r w:rsidRPr="00B22E92">
        <w:rPr>
          <w:rFonts w:ascii="Book Antiqua" w:hAnsi="Book Antiqua"/>
        </w:rPr>
        <w:t xml:space="preserve"> P, Asher R, Lee CK, </w:t>
      </w:r>
      <w:proofErr w:type="spellStart"/>
      <w:r w:rsidRPr="00B22E92">
        <w:rPr>
          <w:rFonts w:ascii="Book Antiqua" w:hAnsi="Book Antiqua"/>
        </w:rPr>
        <w:t>Savas</w:t>
      </w:r>
      <w:proofErr w:type="spellEnd"/>
      <w:r w:rsidRPr="00B22E92">
        <w:rPr>
          <w:rFonts w:ascii="Book Antiqua" w:hAnsi="Book Antiqua"/>
        </w:rPr>
        <w:t xml:space="preserve"> P, Price TJ, Townsend A, Hardingham J, Buchanan D, Williams D, </w:t>
      </w:r>
      <w:proofErr w:type="spellStart"/>
      <w:r w:rsidRPr="00B22E92">
        <w:rPr>
          <w:rFonts w:ascii="Book Antiqua" w:hAnsi="Book Antiqua"/>
        </w:rPr>
        <w:t>Tejpar</w:t>
      </w:r>
      <w:proofErr w:type="spellEnd"/>
      <w:r w:rsidRPr="00B22E92">
        <w:rPr>
          <w:rFonts w:ascii="Book Antiqua" w:hAnsi="Book Antiqua"/>
        </w:rPr>
        <w:t xml:space="preserve"> S, </w:t>
      </w:r>
      <w:proofErr w:type="spellStart"/>
      <w:r w:rsidRPr="00B22E92">
        <w:rPr>
          <w:rFonts w:ascii="Book Antiqua" w:hAnsi="Book Antiqua"/>
        </w:rPr>
        <w:t>Mariadason</w:t>
      </w:r>
      <w:proofErr w:type="spellEnd"/>
      <w:r w:rsidRPr="00B22E92">
        <w:rPr>
          <w:rFonts w:ascii="Book Antiqua" w:hAnsi="Book Antiqua"/>
        </w:rPr>
        <w:t xml:space="preserve"> JM, Tebbutt NC. The prognostic impact of consensus molecular subtypes (CMS) and its predictive effects for bevacizumab benefit in metastatic colorectal cancer: molecular analysis of the AGITG MAX clinical trial. </w:t>
      </w:r>
      <w:r w:rsidRPr="00B22E92">
        <w:rPr>
          <w:rFonts w:ascii="Book Antiqua" w:hAnsi="Book Antiqua"/>
          <w:i/>
          <w:iCs/>
        </w:rPr>
        <w:t>Ann Oncol</w:t>
      </w:r>
      <w:r w:rsidRPr="00B22E92">
        <w:rPr>
          <w:rFonts w:ascii="Book Antiqua" w:hAnsi="Book Antiqua"/>
        </w:rPr>
        <w:t xml:space="preserve"> 2018; </w:t>
      </w:r>
      <w:r w:rsidRPr="00B22E92">
        <w:rPr>
          <w:rFonts w:ascii="Book Antiqua" w:hAnsi="Book Antiqua"/>
          <w:b/>
          <w:bCs/>
        </w:rPr>
        <w:t>29</w:t>
      </w:r>
      <w:r w:rsidRPr="00B22E92">
        <w:rPr>
          <w:rFonts w:ascii="Book Antiqua" w:hAnsi="Book Antiqua"/>
        </w:rPr>
        <w:t>: 2240-2246 [PMID: 30247524 DOI: 10.1093/</w:t>
      </w:r>
      <w:proofErr w:type="spellStart"/>
      <w:r w:rsidRPr="00B22E92">
        <w:rPr>
          <w:rFonts w:ascii="Book Antiqua" w:hAnsi="Book Antiqua"/>
        </w:rPr>
        <w:t>annonc</w:t>
      </w:r>
      <w:proofErr w:type="spellEnd"/>
      <w:r w:rsidRPr="00B22E92">
        <w:rPr>
          <w:rFonts w:ascii="Book Antiqua" w:hAnsi="Book Antiqua"/>
        </w:rPr>
        <w:t>/mdy410]</w:t>
      </w:r>
    </w:p>
    <w:p w14:paraId="329055B5"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42 </w:t>
      </w:r>
      <w:proofErr w:type="spellStart"/>
      <w:r w:rsidRPr="00B22E92">
        <w:rPr>
          <w:rFonts w:ascii="Book Antiqua" w:hAnsi="Book Antiqua"/>
          <w:b/>
          <w:bCs/>
        </w:rPr>
        <w:t>Okita</w:t>
      </w:r>
      <w:proofErr w:type="spellEnd"/>
      <w:r w:rsidRPr="00B22E92">
        <w:rPr>
          <w:rFonts w:ascii="Book Antiqua" w:hAnsi="Book Antiqua"/>
          <w:b/>
          <w:bCs/>
        </w:rPr>
        <w:t xml:space="preserve"> A</w:t>
      </w:r>
      <w:r w:rsidRPr="00B22E92">
        <w:rPr>
          <w:rFonts w:ascii="Book Antiqua" w:hAnsi="Book Antiqua"/>
        </w:rPr>
        <w:t xml:space="preserve">, Takahashi S, </w:t>
      </w:r>
      <w:proofErr w:type="spellStart"/>
      <w:r w:rsidRPr="00B22E92">
        <w:rPr>
          <w:rFonts w:ascii="Book Antiqua" w:hAnsi="Book Antiqua"/>
        </w:rPr>
        <w:t>Ouchi</w:t>
      </w:r>
      <w:proofErr w:type="spellEnd"/>
      <w:r w:rsidRPr="00B22E92">
        <w:rPr>
          <w:rFonts w:ascii="Book Antiqua" w:hAnsi="Book Antiqua"/>
        </w:rPr>
        <w:t xml:space="preserve"> K, Inoue M, Watanabe M, Endo M, Honda H, Yamada Y, Ishioka C. Consensus molecular subtypes classification of colorectal cancer as a predictive factor for chemotherapeutic efficacy against metastatic colorectal cancer. </w:t>
      </w:r>
      <w:proofErr w:type="spellStart"/>
      <w:r w:rsidRPr="00B22E92">
        <w:rPr>
          <w:rFonts w:ascii="Book Antiqua" w:hAnsi="Book Antiqua"/>
          <w:i/>
          <w:iCs/>
        </w:rPr>
        <w:t>Oncotarget</w:t>
      </w:r>
      <w:proofErr w:type="spellEnd"/>
      <w:r w:rsidRPr="00B22E92">
        <w:rPr>
          <w:rFonts w:ascii="Book Antiqua" w:hAnsi="Book Antiqua"/>
        </w:rPr>
        <w:t xml:space="preserve"> 2018; </w:t>
      </w:r>
      <w:r w:rsidRPr="00B22E92">
        <w:rPr>
          <w:rFonts w:ascii="Book Antiqua" w:hAnsi="Book Antiqua"/>
          <w:b/>
          <w:bCs/>
        </w:rPr>
        <w:t>9</w:t>
      </w:r>
      <w:r w:rsidRPr="00B22E92">
        <w:rPr>
          <w:rFonts w:ascii="Book Antiqua" w:hAnsi="Book Antiqua"/>
        </w:rPr>
        <w:t>: 18698-18711 [PMID: 29721154 DOI: 10.18632/oncotarget.24617]</w:t>
      </w:r>
    </w:p>
    <w:p w14:paraId="6634CC94"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43 </w:t>
      </w:r>
      <w:r w:rsidRPr="00B22E92">
        <w:rPr>
          <w:rFonts w:ascii="Book Antiqua" w:hAnsi="Book Antiqua"/>
          <w:b/>
          <w:bCs/>
        </w:rPr>
        <w:t>Borelli B</w:t>
      </w:r>
      <w:r w:rsidRPr="00B22E92">
        <w:rPr>
          <w:rFonts w:ascii="Book Antiqua" w:hAnsi="Book Antiqua"/>
        </w:rPr>
        <w:t xml:space="preserve">, Fontana E, Giordano M, </w:t>
      </w:r>
      <w:proofErr w:type="spellStart"/>
      <w:r w:rsidRPr="00B22E92">
        <w:rPr>
          <w:rFonts w:ascii="Book Antiqua" w:hAnsi="Book Antiqua"/>
        </w:rPr>
        <w:t>Antoniotti</w:t>
      </w:r>
      <w:proofErr w:type="spellEnd"/>
      <w:r w:rsidRPr="00B22E92">
        <w:rPr>
          <w:rFonts w:ascii="Book Antiqua" w:hAnsi="Book Antiqua"/>
        </w:rPr>
        <w:t xml:space="preserve"> C, </w:t>
      </w:r>
      <w:proofErr w:type="spellStart"/>
      <w:r w:rsidRPr="00B22E92">
        <w:rPr>
          <w:rFonts w:ascii="Book Antiqua" w:hAnsi="Book Antiqua"/>
        </w:rPr>
        <w:t>Lonardi</w:t>
      </w:r>
      <w:proofErr w:type="spellEnd"/>
      <w:r w:rsidRPr="00B22E92">
        <w:rPr>
          <w:rFonts w:ascii="Book Antiqua" w:hAnsi="Book Antiqua"/>
        </w:rPr>
        <w:t xml:space="preserve"> S, Bergamo F, </w:t>
      </w:r>
      <w:proofErr w:type="spellStart"/>
      <w:r w:rsidRPr="00B22E92">
        <w:rPr>
          <w:rFonts w:ascii="Book Antiqua" w:hAnsi="Book Antiqua"/>
        </w:rPr>
        <w:t>Pietrantonio</w:t>
      </w:r>
      <w:proofErr w:type="spellEnd"/>
      <w:r w:rsidRPr="00B22E92">
        <w:rPr>
          <w:rFonts w:ascii="Book Antiqua" w:hAnsi="Book Antiqua"/>
        </w:rPr>
        <w:t xml:space="preserve"> F, </w:t>
      </w:r>
      <w:proofErr w:type="spellStart"/>
      <w:r w:rsidRPr="00B22E92">
        <w:rPr>
          <w:rFonts w:ascii="Book Antiqua" w:hAnsi="Book Antiqua"/>
        </w:rPr>
        <w:t>Morano</w:t>
      </w:r>
      <w:proofErr w:type="spellEnd"/>
      <w:r w:rsidRPr="00B22E92">
        <w:rPr>
          <w:rFonts w:ascii="Book Antiqua" w:hAnsi="Book Antiqua"/>
        </w:rPr>
        <w:t xml:space="preserve"> F, </w:t>
      </w:r>
      <w:proofErr w:type="spellStart"/>
      <w:r w:rsidRPr="00B22E92">
        <w:rPr>
          <w:rFonts w:ascii="Book Antiqua" w:hAnsi="Book Antiqua"/>
        </w:rPr>
        <w:t>Tamburini</w:t>
      </w:r>
      <w:proofErr w:type="spellEnd"/>
      <w:r w:rsidRPr="00B22E92">
        <w:rPr>
          <w:rFonts w:ascii="Book Antiqua" w:hAnsi="Book Antiqua"/>
        </w:rPr>
        <w:t xml:space="preserve"> E, </w:t>
      </w:r>
      <w:proofErr w:type="spellStart"/>
      <w:r w:rsidRPr="00B22E92">
        <w:rPr>
          <w:rFonts w:ascii="Book Antiqua" w:hAnsi="Book Antiqua"/>
        </w:rPr>
        <w:t>Boccaccino</w:t>
      </w:r>
      <w:proofErr w:type="spellEnd"/>
      <w:r w:rsidRPr="00B22E92">
        <w:rPr>
          <w:rFonts w:ascii="Book Antiqua" w:hAnsi="Book Antiqua"/>
        </w:rPr>
        <w:t xml:space="preserve"> A, Santini D, </w:t>
      </w:r>
      <w:proofErr w:type="spellStart"/>
      <w:r w:rsidRPr="00B22E92">
        <w:rPr>
          <w:rFonts w:ascii="Book Antiqua" w:hAnsi="Book Antiqua"/>
        </w:rPr>
        <w:t>Zucchelli</w:t>
      </w:r>
      <w:proofErr w:type="spellEnd"/>
      <w:r w:rsidRPr="00B22E92">
        <w:rPr>
          <w:rFonts w:ascii="Book Antiqua" w:hAnsi="Book Antiqua"/>
        </w:rPr>
        <w:t xml:space="preserve"> G, Pella N, </w:t>
      </w:r>
      <w:proofErr w:type="spellStart"/>
      <w:r w:rsidRPr="00B22E92">
        <w:rPr>
          <w:rFonts w:ascii="Book Antiqua" w:hAnsi="Book Antiqua"/>
        </w:rPr>
        <w:t>Maiello</w:t>
      </w:r>
      <w:proofErr w:type="spellEnd"/>
      <w:r w:rsidRPr="00B22E92">
        <w:rPr>
          <w:rFonts w:ascii="Book Antiqua" w:hAnsi="Book Antiqua"/>
        </w:rPr>
        <w:t xml:space="preserve"> E, </w:t>
      </w:r>
      <w:proofErr w:type="spellStart"/>
      <w:r w:rsidRPr="00B22E92">
        <w:rPr>
          <w:rFonts w:ascii="Book Antiqua" w:hAnsi="Book Antiqua"/>
        </w:rPr>
        <w:t>Passardi</w:t>
      </w:r>
      <w:proofErr w:type="spellEnd"/>
      <w:r w:rsidRPr="00B22E92">
        <w:rPr>
          <w:rFonts w:ascii="Book Antiqua" w:hAnsi="Book Antiqua"/>
        </w:rPr>
        <w:t xml:space="preserve"> A, </w:t>
      </w:r>
      <w:proofErr w:type="spellStart"/>
      <w:r w:rsidRPr="00B22E92">
        <w:rPr>
          <w:rFonts w:ascii="Book Antiqua" w:hAnsi="Book Antiqua"/>
        </w:rPr>
        <w:t>Zaniboni</w:t>
      </w:r>
      <w:proofErr w:type="spellEnd"/>
      <w:r w:rsidRPr="00B22E92">
        <w:rPr>
          <w:rFonts w:ascii="Book Antiqua" w:hAnsi="Book Antiqua"/>
        </w:rPr>
        <w:t xml:space="preserve"> A, </w:t>
      </w:r>
      <w:proofErr w:type="spellStart"/>
      <w:r w:rsidRPr="00B22E92">
        <w:rPr>
          <w:rFonts w:ascii="Book Antiqua" w:hAnsi="Book Antiqua"/>
        </w:rPr>
        <w:t>Ugolini</w:t>
      </w:r>
      <w:proofErr w:type="spellEnd"/>
      <w:r w:rsidRPr="00B22E92">
        <w:rPr>
          <w:rFonts w:ascii="Book Antiqua" w:hAnsi="Book Antiqua"/>
        </w:rPr>
        <w:t xml:space="preserve"> C, Fontanini G, Falcone A, </w:t>
      </w:r>
      <w:proofErr w:type="spellStart"/>
      <w:r w:rsidRPr="00B22E92">
        <w:rPr>
          <w:rFonts w:ascii="Book Antiqua" w:hAnsi="Book Antiqua"/>
        </w:rPr>
        <w:t>Nyamundanda</w:t>
      </w:r>
      <w:proofErr w:type="spellEnd"/>
      <w:r w:rsidRPr="00B22E92">
        <w:rPr>
          <w:rFonts w:ascii="Book Antiqua" w:hAnsi="Book Antiqua"/>
        </w:rPr>
        <w:t xml:space="preserve"> G, </w:t>
      </w:r>
      <w:proofErr w:type="spellStart"/>
      <w:r w:rsidRPr="00B22E92">
        <w:rPr>
          <w:rFonts w:ascii="Book Antiqua" w:hAnsi="Book Antiqua"/>
        </w:rPr>
        <w:t>Sadanandam</w:t>
      </w:r>
      <w:proofErr w:type="spellEnd"/>
      <w:r w:rsidRPr="00B22E92">
        <w:rPr>
          <w:rFonts w:ascii="Book Antiqua" w:hAnsi="Book Antiqua"/>
        </w:rPr>
        <w:t xml:space="preserve"> A, </w:t>
      </w:r>
      <w:proofErr w:type="spellStart"/>
      <w:r w:rsidRPr="00B22E92">
        <w:rPr>
          <w:rFonts w:ascii="Book Antiqua" w:hAnsi="Book Antiqua"/>
        </w:rPr>
        <w:t>Cremolini</w:t>
      </w:r>
      <w:proofErr w:type="spellEnd"/>
      <w:r w:rsidRPr="00B22E92">
        <w:rPr>
          <w:rFonts w:ascii="Book Antiqua" w:hAnsi="Book Antiqua"/>
        </w:rPr>
        <w:t xml:space="preserve"> C. Prognostic and predictive impact of consensus molecular subtypes and </w:t>
      </w:r>
      <w:proofErr w:type="spellStart"/>
      <w:r w:rsidRPr="00B22E92">
        <w:rPr>
          <w:rFonts w:ascii="Book Antiqua" w:hAnsi="Book Antiqua"/>
        </w:rPr>
        <w:t>CRCAssigner</w:t>
      </w:r>
      <w:proofErr w:type="spellEnd"/>
      <w:r w:rsidRPr="00B22E92">
        <w:rPr>
          <w:rFonts w:ascii="Book Antiqua" w:hAnsi="Book Antiqua"/>
        </w:rPr>
        <w:t xml:space="preserve"> classifications in metastatic colorectal cancer: a translational </w:t>
      </w:r>
      <w:r w:rsidRPr="00B22E92">
        <w:rPr>
          <w:rFonts w:ascii="Book Antiqua" w:hAnsi="Book Antiqua"/>
        </w:rPr>
        <w:lastRenderedPageBreak/>
        <w:t xml:space="preserve">analysis of the TRIBE2 study. </w:t>
      </w:r>
      <w:r w:rsidRPr="00B22E92">
        <w:rPr>
          <w:rFonts w:ascii="Book Antiqua" w:hAnsi="Book Antiqua"/>
          <w:i/>
          <w:iCs/>
        </w:rPr>
        <w:t>ESMO Open</w:t>
      </w:r>
      <w:r w:rsidRPr="00B22E92">
        <w:rPr>
          <w:rFonts w:ascii="Book Antiqua" w:hAnsi="Book Antiqua"/>
        </w:rPr>
        <w:t xml:space="preserve"> 2021; </w:t>
      </w:r>
      <w:r w:rsidRPr="00B22E92">
        <w:rPr>
          <w:rFonts w:ascii="Book Antiqua" w:hAnsi="Book Antiqua"/>
          <w:b/>
          <w:bCs/>
        </w:rPr>
        <w:t>6</w:t>
      </w:r>
      <w:r w:rsidRPr="00B22E92">
        <w:rPr>
          <w:rFonts w:ascii="Book Antiqua" w:hAnsi="Book Antiqua"/>
        </w:rPr>
        <w:t>: 100073 [PMID: 33676295 DOI: 10.1016/j.esmoop.2021.100073]</w:t>
      </w:r>
    </w:p>
    <w:p w14:paraId="12994314"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44 </w:t>
      </w:r>
      <w:r w:rsidRPr="00B22E92">
        <w:rPr>
          <w:rFonts w:ascii="Book Antiqua" w:hAnsi="Book Antiqua"/>
          <w:b/>
          <w:bCs/>
        </w:rPr>
        <w:t>Fontana E</w:t>
      </w:r>
      <w:r w:rsidRPr="00B22E92">
        <w:rPr>
          <w:rFonts w:ascii="Book Antiqua" w:hAnsi="Book Antiqua"/>
        </w:rPr>
        <w:t xml:space="preserve">, Eason K, Cervantes A, Salazar R, </w:t>
      </w:r>
      <w:proofErr w:type="spellStart"/>
      <w:r w:rsidRPr="00B22E92">
        <w:rPr>
          <w:rFonts w:ascii="Book Antiqua" w:hAnsi="Book Antiqua"/>
        </w:rPr>
        <w:t>Sadanandam</w:t>
      </w:r>
      <w:proofErr w:type="spellEnd"/>
      <w:r w:rsidRPr="00B22E92">
        <w:rPr>
          <w:rFonts w:ascii="Book Antiqua" w:hAnsi="Book Antiqua"/>
        </w:rPr>
        <w:t xml:space="preserve"> A. Context matters-consensus molecular subtypes of colorectal cancer as biomarkers for clinical trials. </w:t>
      </w:r>
      <w:r w:rsidRPr="00B22E92">
        <w:rPr>
          <w:rFonts w:ascii="Book Antiqua" w:hAnsi="Book Antiqua"/>
          <w:i/>
          <w:iCs/>
        </w:rPr>
        <w:t>Ann Oncol</w:t>
      </w:r>
      <w:r w:rsidRPr="00B22E92">
        <w:rPr>
          <w:rFonts w:ascii="Book Antiqua" w:hAnsi="Book Antiqua"/>
        </w:rPr>
        <w:t xml:space="preserve"> 2019; </w:t>
      </w:r>
      <w:r w:rsidRPr="00B22E92">
        <w:rPr>
          <w:rFonts w:ascii="Book Antiqua" w:hAnsi="Book Antiqua"/>
          <w:b/>
          <w:bCs/>
        </w:rPr>
        <w:t>30</w:t>
      </w:r>
      <w:r w:rsidRPr="00B22E92">
        <w:rPr>
          <w:rFonts w:ascii="Book Antiqua" w:hAnsi="Book Antiqua"/>
        </w:rPr>
        <w:t>: 520-527 [PMID: 30796810 DOI: 10.1093/</w:t>
      </w:r>
      <w:proofErr w:type="spellStart"/>
      <w:r w:rsidRPr="00B22E92">
        <w:rPr>
          <w:rFonts w:ascii="Book Antiqua" w:hAnsi="Book Antiqua"/>
        </w:rPr>
        <w:t>annonc</w:t>
      </w:r>
      <w:proofErr w:type="spellEnd"/>
      <w:r w:rsidRPr="00B22E92">
        <w:rPr>
          <w:rFonts w:ascii="Book Antiqua" w:hAnsi="Book Antiqua"/>
        </w:rPr>
        <w:t>/mdz052]</w:t>
      </w:r>
    </w:p>
    <w:p w14:paraId="1CAF0CAB"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45 </w:t>
      </w:r>
      <w:r w:rsidRPr="00B22E92">
        <w:rPr>
          <w:rFonts w:ascii="Book Antiqua" w:hAnsi="Book Antiqua"/>
          <w:b/>
          <w:bCs/>
        </w:rPr>
        <w:t>Müller MF</w:t>
      </w:r>
      <w:r w:rsidRPr="00B22E92">
        <w:rPr>
          <w:rFonts w:ascii="Book Antiqua" w:hAnsi="Book Antiqua"/>
        </w:rPr>
        <w:t xml:space="preserve">, Ibrahim AE, Arends MJ. Molecular pathological classification of colorectal cancer. </w:t>
      </w:r>
      <w:proofErr w:type="spellStart"/>
      <w:r w:rsidRPr="00B22E92">
        <w:rPr>
          <w:rFonts w:ascii="Book Antiqua" w:hAnsi="Book Antiqua"/>
          <w:i/>
          <w:iCs/>
        </w:rPr>
        <w:t>Virchows</w:t>
      </w:r>
      <w:proofErr w:type="spellEnd"/>
      <w:r w:rsidRPr="00B22E92">
        <w:rPr>
          <w:rFonts w:ascii="Book Antiqua" w:hAnsi="Book Antiqua"/>
          <w:i/>
          <w:iCs/>
        </w:rPr>
        <w:t xml:space="preserve"> Arch</w:t>
      </w:r>
      <w:r w:rsidRPr="00B22E92">
        <w:rPr>
          <w:rFonts w:ascii="Book Antiqua" w:hAnsi="Book Antiqua"/>
        </w:rPr>
        <w:t xml:space="preserve"> 2016; </w:t>
      </w:r>
      <w:r w:rsidRPr="00B22E92">
        <w:rPr>
          <w:rFonts w:ascii="Book Antiqua" w:hAnsi="Book Antiqua"/>
          <w:b/>
          <w:bCs/>
        </w:rPr>
        <w:t>469</w:t>
      </w:r>
      <w:r w:rsidRPr="00B22E92">
        <w:rPr>
          <w:rFonts w:ascii="Book Antiqua" w:hAnsi="Book Antiqua"/>
        </w:rPr>
        <w:t>: 125-134 [PMID: 27325016 DOI: 10.1007/s00428-016-1956-3]</w:t>
      </w:r>
    </w:p>
    <w:p w14:paraId="0285AAA8"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46 </w:t>
      </w:r>
      <w:r w:rsidRPr="00B22E92">
        <w:rPr>
          <w:rFonts w:ascii="Book Antiqua" w:hAnsi="Book Antiqua"/>
          <w:b/>
          <w:bCs/>
        </w:rPr>
        <w:t>Knudson KM</w:t>
      </w:r>
      <w:r w:rsidRPr="00B22E92">
        <w:rPr>
          <w:rFonts w:ascii="Book Antiqua" w:hAnsi="Book Antiqua"/>
        </w:rPr>
        <w:t xml:space="preserve">, Hicks KC, Luo X, Chen JQ, </w:t>
      </w:r>
      <w:proofErr w:type="spellStart"/>
      <w:r w:rsidRPr="00B22E92">
        <w:rPr>
          <w:rFonts w:ascii="Book Antiqua" w:hAnsi="Book Antiqua"/>
        </w:rPr>
        <w:t>Schlom</w:t>
      </w:r>
      <w:proofErr w:type="spellEnd"/>
      <w:r w:rsidRPr="00B22E92">
        <w:rPr>
          <w:rFonts w:ascii="Book Antiqua" w:hAnsi="Book Antiqua"/>
        </w:rPr>
        <w:t xml:space="preserve"> J, Gameiro SR. M7824, a novel bifunctional anti-PD-L1/TGFβ Trap fusion protein, promotes anti-tumor efficacy as monotherapy and in combination with vaccine. </w:t>
      </w:r>
      <w:proofErr w:type="spellStart"/>
      <w:r w:rsidRPr="00B22E92">
        <w:rPr>
          <w:rFonts w:ascii="Book Antiqua" w:hAnsi="Book Antiqua"/>
          <w:i/>
          <w:iCs/>
        </w:rPr>
        <w:t>Oncoimmunology</w:t>
      </w:r>
      <w:proofErr w:type="spellEnd"/>
      <w:r w:rsidRPr="00B22E92">
        <w:rPr>
          <w:rFonts w:ascii="Book Antiqua" w:hAnsi="Book Antiqua"/>
        </w:rPr>
        <w:t xml:space="preserve"> 2018; </w:t>
      </w:r>
      <w:r w:rsidRPr="00B22E92">
        <w:rPr>
          <w:rFonts w:ascii="Book Antiqua" w:hAnsi="Book Antiqua"/>
          <w:b/>
          <w:bCs/>
        </w:rPr>
        <w:t>7</w:t>
      </w:r>
      <w:r w:rsidRPr="00B22E92">
        <w:rPr>
          <w:rFonts w:ascii="Book Antiqua" w:hAnsi="Book Antiqua"/>
        </w:rPr>
        <w:t>: e1426519 [PMID: 29721396 DOI: 10.1080/2162402X.2018.1426519]</w:t>
      </w:r>
    </w:p>
    <w:p w14:paraId="5CF09ACA"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47 </w:t>
      </w:r>
      <w:r w:rsidRPr="00B22E92">
        <w:rPr>
          <w:rFonts w:ascii="Book Antiqua" w:hAnsi="Book Antiqua"/>
          <w:b/>
          <w:bCs/>
        </w:rPr>
        <w:t>Lind H</w:t>
      </w:r>
      <w:r w:rsidRPr="00B22E92">
        <w:rPr>
          <w:rFonts w:ascii="Book Antiqua" w:hAnsi="Book Antiqua"/>
        </w:rPr>
        <w:t xml:space="preserve">, Gameiro SR, </w:t>
      </w:r>
      <w:proofErr w:type="spellStart"/>
      <w:r w:rsidRPr="00B22E92">
        <w:rPr>
          <w:rFonts w:ascii="Book Antiqua" w:hAnsi="Book Antiqua"/>
        </w:rPr>
        <w:t>Jochems</w:t>
      </w:r>
      <w:proofErr w:type="spellEnd"/>
      <w:r w:rsidRPr="00B22E92">
        <w:rPr>
          <w:rFonts w:ascii="Book Antiqua" w:hAnsi="Book Antiqua"/>
        </w:rPr>
        <w:t xml:space="preserve"> C, Donahue RN, Strauss J, Gulley JL </w:t>
      </w:r>
      <w:proofErr w:type="gramStart"/>
      <w:r w:rsidRPr="00B22E92">
        <w:rPr>
          <w:rFonts w:ascii="Book Antiqua" w:hAnsi="Book Antiqua"/>
        </w:rPr>
        <w:t>MD,,</w:t>
      </w:r>
      <w:proofErr w:type="gramEnd"/>
      <w:r w:rsidRPr="00B22E92">
        <w:rPr>
          <w:rFonts w:ascii="Book Antiqua" w:hAnsi="Book Antiqua"/>
        </w:rPr>
        <w:t xml:space="preserve"> </w:t>
      </w:r>
      <w:proofErr w:type="spellStart"/>
      <w:r w:rsidRPr="00B22E92">
        <w:rPr>
          <w:rFonts w:ascii="Book Antiqua" w:hAnsi="Book Antiqua"/>
        </w:rPr>
        <w:t>Palena</w:t>
      </w:r>
      <w:proofErr w:type="spellEnd"/>
      <w:r w:rsidRPr="00B22E92">
        <w:rPr>
          <w:rFonts w:ascii="Book Antiqua" w:hAnsi="Book Antiqua"/>
        </w:rPr>
        <w:t xml:space="preserve"> C, </w:t>
      </w:r>
      <w:proofErr w:type="spellStart"/>
      <w:r w:rsidRPr="00B22E92">
        <w:rPr>
          <w:rFonts w:ascii="Book Antiqua" w:hAnsi="Book Antiqua"/>
        </w:rPr>
        <w:t>Schlom</w:t>
      </w:r>
      <w:proofErr w:type="spellEnd"/>
      <w:r w:rsidRPr="00B22E92">
        <w:rPr>
          <w:rFonts w:ascii="Book Antiqua" w:hAnsi="Book Antiqua"/>
        </w:rPr>
        <w:t xml:space="preserve"> J. Dual targeting of TGF-β and PD-L1 via a bifunctional anti-PD-L1/TGF-βRII agent: status of preclinical and clinical advances. </w:t>
      </w:r>
      <w:r w:rsidRPr="00B22E92">
        <w:rPr>
          <w:rFonts w:ascii="Book Antiqua" w:hAnsi="Book Antiqua"/>
          <w:i/>
          <w:iCs/>
        </w:rPr>
        <w:t xml:space="preserve">J </w:t>
      </w:r>
      <w:proofErr w:type="spellStart"/>
      <w:r w:rsidRPr="00B22E92">
        <w:rPr>
          <w:rFonts w:ascii="Book Antiqua" w:hAnsi="Book Antiqua"/>
          <w:i/>
          <w:iCs/>
        </w:rPr>
        <w:t>Immunother</w:t>
      </w:r>
      <w:proofErr w:type="spellEnd"/>
      <w:r w:rsidRPr="00B22E92">
        <w:rPr>
          <w:rFonts w:ascii="Book Antiqua" w:hAnsi="Book Antiqua"/>
          <w:i/>
          <w:iCs/>
        </w:rPr>
        <w:t xml:space="preserve"> Cancer</w:t>
      </w:r>
      <w:r w:rsidRPr="00B22E92">
        <w:rPr>
          <w:rFonts w:ascii="Book Antiqua" w:hAnsi="Book Antiqua"/>
        </w:rPr>
        <w:t xml:space="preserve"> 2020; </w:t>
      </w:r>
      <w:r w:rsidRPr="00B22E92">
        <w:rPr>
          <w:rFonts w:ascii="Book Antiqua" w:hAnsi="Book Antiqua"/>
          <w:b/>
          <w:bCs/>
        </w:rPr>
        <w:t>8</w:t>
      </w:r>
      <w:r w:rsidRPr="00B22E92">
        <w:rPr>
          <w:rFonts w:ascii="Book Antiqua" w:hAnsi="Book Antiqua"/>
        </w:rPr>
        <w:t xml:space="preserve"> [PMID: 32079617 DOI: 10.1136/jitc-2019-000433]</w:t>
      </w:r>
    </w:p>
    <w:p w14:paraId="156F1439"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48 </w:t>
      </w:r>
      <w:proofErr w:type="spellStart"/>
      <w:r w:rsidRPr="00B22E92">
        <w:rPr>
          <w:rFonts w:ascii="Book Antiqua" w:hAnsi="Book Antiqua"/>
          <w:b/>
          <w:bCs/>
        </w:rPr>
        <w:t>Kopetz</w:t>
      </w:r>
      <w:proofErr w:type="spellEnd"/>
      <w:r w:rsidRPr="00B22E92">
        <w:rPr>
          <w:rFonts w:ascii="Book Antiqua" w:hAnsi="Book Antiqua"/>
          <w:b/>
          <w:bCs/>
        </w:rPr>
        <w:t xml:space="preserve"> S</w:t>
      </w:r>
      <w:r w:rsidRPr="00B22E92">
        <w:rPr>
          <w:rFonts w:ascii="Book Antiqua" w:hAnsi="Book Antiqua"/>
        </w:rPr>
        <w:t xml:space="preserve">, </w:t>
      </w:r>
      <w:proofErr w:type="spellStart"/>
      <w:r w:rsidRPr="00B22E92">
        <w:rPr>
          <w:rFonts w:ascii="Book Antiqua" w:hAnsi="Book Antiqua"/>
        </w:rPr>
        <w:t>Spira</w:t>
      </w:r>
      <w:proofErr w:type="spellEnd"/>
      <w:r w:rsidRPr="00B22E92">
        <w:rPr>
          <w:rFonts w:ascii="Book Antiqua" w:hAnsi="Book Antiqua"/>
        </w:rPr>
        <w:t xml:space="preserve"> AI, Wertheim M, Kim E, Tan BR, Lenz H-J, </w:t>
      </w:r>
      <w:proofErr w:type="spellStart"/>
      <w:r w:rsidRPr="00B22E92">
        <w:rPr>
          <w:rFonts w:ascii="Book Antiqua" w:hAnsi="Book Antiqua"/>
        </w:rPr>
        <w:t>Nikolinakos</w:t>
      </w:r>
      <w:proofErr w:type="spellEnd"/>
      <w:r w:rsidRPr="00B22E92">
        <w:rPr>
          <w:rFonts w:ascii="Book Antiqua" w:hAnsi="Book Antiqua"/>
        </w:rPr>
        <w:t xml:space="preserve"> P, Rich P, Smith DA, </w:t>
      </w:r>
      <w:proofErr w:type="spellStart"/>
      <w:r w:rsidRPr="00B22E92">
        <w:rPr>
          <w:rFonts w:ascii="Book Antiqua" w:hAnsi="Book Antiqua"/>
        </w:rPr>
        <w:t>Helwig</w:t>
      </w:r>
      <w:proofErr w:type="spellEnd"/>
      <w:r w:rsidRPr="00B22E92">
        <w:rPr>
          <w:rFonts w:ascii="Book Antiqua" w:hAnsi="Book Antiqua"/>
        </w:rPr>
        <w:t xml:space="preserve"> C, </w:t>
      </w:r>
      <w:proofErr w:type="spellStart"/>
      <w:r w:rsidRPr="00B22E92">
        <w:rPr>
          <w:rFonts w:ascii="Book Antiqua" w:hAnsi="Book Antiqua"/>
        </w:rPr>
        <w:t>Dussault</w:t>
      </w:r>
      <w:proofErr w:type="spellEnd"/>
      <w:r w:rsidRPr="00B22E92">
        <w:rPr>
          <w:rFonts w:ascii="Book Antiqua" w:hAnsi="Book Antiqua"/>
        </w:rPr>
        <w:t xml:space="preserve"> I, </w:t>
      </w:r>
      <w:proofErr w:type="spellStart"/>
      <w:r w:rsidRPr="00B22E92">
        <w:rPr>
          <w:rFonts w:ascii="Book Antiqua" w:hAnsi="Book Antiqua"/>
        </w:rPr>
        <w:t>Ojalvo</w:t>
      </w:r>
      <w:proofErr w:type="spellEnd"/>
      <w:r w:rsidRPr="00B22E92">
        <w:rPr>
          <w:rFonts w:ascii="Book Antiqua" w:hAnsi="Book Antiqua"/>
        </w:rPr>
        <w:t xml:space="preserve"> L, Gulley JL. M7824 (MSB0011359C), a bifunctional fusion protein targeting PD-L1 and TGF-β, in patients with heavily pretreated CRC: </w:t>
      </w:r>
      <w:proofErr w:type="spellStart"/>
      <w:r w:rsidRPr="00B22E92">
        <w:rPr>
          <w:rFonts w:ascii="Book Antiqua" w:hAnsi="Book Antiqua"/>
        </w:rPr>
        <w:t>Prelimi</w:t>
      </w:r>
      <w:proofErr w:type="spellEnd"/>
      <w:r w:rsidRPr="00B22E92">
        <w:rPr>
          <w:rFonts w:ascii="Book Antiqua" w:hAnsi="Book Antiqua"/>
        </w:rPr>
        <w:t>-nary results from a phase I trial.</w:t>
      </w:r>
      <w:r w:rsidRPr="00B22E92">
        <w:rPr>
          <w:rFonts w:ascii="Book Antiqua" w:hAnsi="Book Antiqua"/>
          <w:i/>
          <w:iCs/>
        </w:rPr>
        <w:t xml:space="preserve"> J Clin Oncol</w:t>
      </w:r>
      <w:r w:rsidRPr="00B22E92">
        <w:rPr>
          <w:rFonts w:ascii="Book Antiqua" w:hAnsi="Book Antiqua"/>
        </w:rPr>
        <w:t xml:space="preserve"> 2018; </w:t>
      </w:r>
      <w:r w:rsidRPr="00B22E92">
        <w:rPr>
          <w:rFonts w:ascii="Book Antiqua" w:hAnsi="Book Antiqua"/>
          <w:b/>
          <w:bCs/>
        </w:rPr>
        <w:t>36</w:t>
      </w:r>
      <w:r w:rsidRPr="00B22E92">
        <w:rPr>
          <w:rFonts w:ascii="Book Antiqua" w:hAnsi="Book Antiqua"/>
        </w:rPr>
        <w:t>: 764-764 [DOI: 10.1200/JCO.2018.36.4_suppl.764]</w:t>
      </w:r>
    </w:p>
    <w:p w14:paraId="61679B35"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49 </w:t>
      </w:r>
      <w:proofErr w:type="spellStart"/>
      <w:r w:rsidRPr="00B22E92">
        <w:rPr>
          <w:rFonts w:ascii="Book Antiqua" w:hAnsi="Book Antiqua"/>
          <w:b/>
          <w:bCs/>
        </w:rPr>
        <w:t>Aderka</w:t>
      </w:r>
      <w:proofErr w:type="spellEnd"/>
      <w:r w:rsidRPr="00B22E92">
        <w:rPr>
          <w:rFonts w:ascii="Book Antiqua" w:hAnsi="Book Antiqua"/>
          <w:b/>
          <w:bCs/>
        </w:rPr>
        <w:t xml:space="preserve"> D</w:t>
      </w:r>
      <w:r w:rsidRPr="00B22E92">
        <w:rPr>
          <w:rFonts w:ascii="Book Antiqua" w:hAnsi="Book Antiqua"/>
        </w:rPr>
        <w:t xml:space="preserve">, </w:t>
      </w:r>
      <w:proofErr w:type="spellStart"/>
      <w:r w:rsidRPr="00B22E92">
        <w:rPr>
          <w:rFonts w:ascii="Book Antiqua" w:hAnsi="Book Antiqua"/>
        </w:rPr>
        <w:t>Stintzing</w:t>
      </w:r>
      <w:proofErr w:type="spellEnd"/>
      <w:r w:rsidRPr="00B22E92">
        <w:rPr>
          <w:rFonts w:ascii="Book Antiqua" w:hAnsi="Book Antiqua"/>
        </w:rPr>
        <w:t xml:space="preserve"> S, Heinemann V. Explaining the unexplainable: discrepancies in results from the CALGB/SWOG 80405 and FIRE-3 studies. </w:t>
      </w:r>
      <w:r w:rsidRPr="00B22E92">
        <w:rPr>
          <w:rFonts w:ascii="Book Antiqua" w:hAnsi="Book Antiqua"/>
          <w:i/>
          <w:iCs/>
        </w:rPr>
        <w:t>Lancet Oncol</w:t>
      </w:r>
      <w:r w:rsidRPr="00B22E92">
        <w:rPr>
          <w:rFonts w:ascii="Book Antiqua" w:hAnsi="Book Antiqua"/>
        </w:rPr>
        <w:t xml:space="preserve"> 2019; </w:t>
      </w:r>
      <w:r w:rsidRPr="00B22E92">
        <w:rPr>
          <w:rFonts w:ascii="Book Antiqua" w:hAnsi="Book Antiqua"/>
          <w:b/>
          <w:bCs/>
        </w:rPr>
        <w:t>20</w:t>
      </w:r>
      <w:r w:rsidRPr="00B22E92">
        <w:rPr>
          <w:rFonts w:ascii="Book Antiqua" w:hAnsi="Book Antiqua"/>
        </w:rPr>
        <w:t>: e274-e283 [PMID: 31044725 DOI: 10.1016/S1470-2045(19)30172-X]</w:t>
      </w:r>
    </w:p>
    <w:p w14:paraId="75EAB0A7" w14:textId="77777777" w:rsidR="00C86ABE" w:rsidRDefault="00B107E9" w:rsidP="00B22E92">
      <w:pPr>
        <w:spacing w:line="360" w:lineRule="auto"/>
        <w:jc w:val="both"/>
        <w:rPr>
          <w:rFonts w:ascii="Book Antiqua" w:hAnsi="Book Antiqua"/>
        </w:rPr>
      </w:pPr>
      <w:r w:rsidRPr="00B22E92">
        <w:rPr>
          <w:rFonts w:ascii="Book Antiqua" w:hAnsi="Book Antiqua"/>
        </w:rPr>
        <w:t xml:space="preserve">50 </w:t>
      </w:r>
      <w:r w:rsidRPr="00B22E92">
        <w:rPr>
          <w:rFonts w:ascii="Book Antiqua" w:hAnsi="Book Antiqua"/>
          <w:b/>
          <w:bCs/>
        </w:rPr>
        <w:t>Lee MS</w:t>
      </w:r>
      <w:r w:rsidRPr="00B22E92">
        <w:rPr>
          <w:rFonts w:ascii="Book Antiqua" w:hAnsi="Book Antiqua"/>
        </w:rPr>
        <w:t xml:space="preserve">, </w:t>
      </w:r>
      <w:proofErr w:type="spellStart"/>
      <w:r w:rsidRPr="00B22E92">
        <w:rPr>
          <w:rFonts w:ascii="Book Antiqua" w:hAnsi="Book Antiqua"/>
        </w:rPr>
        <w:t>Selitsky</w:t>
      </w:r>
      <w:proofErr w:type="spellEnd"/>
      <w:r w:rsidRPr="00B22E92">
        <w:rPr>
          <w:rFonts w:ascii="Book Antiqua" w:hAnsi="Book Antiqua"/>
        </w:rPr>
        <w:t xml:space="preserve"> SR, Parker JS, </w:t>
      </w:r>
      <w:proofErr w:type="spellStart"/>
      <w:r w:rsidRPr="00B22E92">
        <w:rPr>
          <w:rFonts w:ascii="Book Antiqua" w:hAnsi="Book Antiqua"/>
        </w:rPr>
        <w:t>Auman</w:t>
      </w:r>
      <w:proofErr w:type="spellEnd"/>
      <w:r w:rsidRPr="00B22E92">
        <w:rPr>
          <w:rFonts w:ascii="Book Antiqua" w:hAnsi="Book Antiqua"/>
        </w:rPr>
        <w:t xml:space="preserve"> JT, Wu Y, Hammond K, O’Neil B, </w:t>
      </w:r>
      <w:proofErr w:type="spellStart"/>
      <w:r w:rsidRPr="00B22E92">
        <w:rPr>
          <w:rFonts w:ascii="Book Antiqua" w:hAnsi="Book Antiqua"/>
        </w:rPr>
        <w:t>Sanoff</w:t>
      </w:r>
      <w:proofErr w:type="spellEnd"/>
      <w:r w:rsidRPr="00B22E92">
        <w:rPr>
          <w:rFonts w:ascii="Book Antiqua" w:hAnsi="Book Antiqua"/>
        </w:rPr>
        <w:t xml:space="preserve"> HK, </w:t>
      </w:r>
      <w:proofErr w:type="spellStart"/>
      <w:r w:rsidRPr="00B22E92">
        <w:rPr>
          <w:rFonts w:ascii="Book Antiqua" w:hAnsi="Book Antiqua"/>
        </w:rPr>
        <w:t>Innocenti</w:t>
      </w:r>
      <w:proofErr w:type="spellEnd"/>
      <w:r w:rsidRPr="00B22E92">
        <w:rPr>
          <w:rFonts w:ascii="Book Antiqua" w:hAnsi="Book Antiqua"/>
        </w:rPr>
        <w:t xml:space="preserve"> F. Association of consensus molecular subtypes (CMS) with time to progression (TTP), progression free survival (PFS), and overall survival (OS) with second-line FOLFIRI ± regorafenib in metastatic colorectal cancer (mCRC). </w:t>
      </w:r>
      <w:r w:rsidRPr="00B22E92">
        <w:rPr>
          <w:rFonts w:ascii="Book Antiqua" w:hAnsi="Book Antiqua"/>
          <w:i/>
          <w:iCs/>
        </w:rPr>
        <w:t>J Clin Oncol</w:t>
      </w:r>
      <w:r w:rsidRPr="00B22E92">
        <w:rPr>
          <w:rFonts w:ascii="Book Antiqua" w:hAnsi="Book Antiqua"/>
        </w:rPr>
        <w:t xml:space="preserve"> 2019; </w:t>
      </w:r>
      <w:r w:rsidRPr="00B22E92">
        <w:rPr>
          <w:rFonts w:ascii="Book Antiqua" w:hAnsi="Book Antiqua"/>
          <w:i/>
          <w:iCs/>
        </w:rPr>
        <w:t>37</w:t>
      </w:r>
      <w:r w:rsidRPr="00B22E92">
        <w:rPr>
          <w:rFonts w:ascii="Book Antiqua" w:hAnsi="Book Antiqua"/>
        </w:rPr>
        <w:t>: 597-597 [DOI: 10.1200/JCO.2019.37.4_suppl.597</w:t>
      </w:r>
      <w:r w:rsidR="00C86ABE">
        <w:rPr>
          <w:rFonts w:ascii="Book Antiqua" w:hAnsi="Book Antiqua"/>
        </w:rPr>
        <w:t>]</w:t>
      </w:r>
    </w:p>
    <w:bookmarkEnd w:id="10"/>
    <w:p w14:paraId="438A180A" w14:textId="7323F0F5" w:rsidR="00C86ABE" w:rsidRDefault="00C86ABE" w:rsidP="00B22E92">
      <w:pPr>
        <w:spacing w:line="360" w:lineRule="auto"/>
        <w:jc w:val="both"/>
        <w:rPr>
          <w:rFonts w:ascii="Book Antiqua" w:hAnsi="Book Antiqua"/>
        </w:rPr>
      </w:pPr>
    </w:p>
    <w:p w14:paraId="44DFE928" w14:textId="77777777" w:rsidR="00C86ABE" w:rsidRDefault="00C86ABE" w:rsidP="00B22E92">
      <w:pPr>
        <w:spacing w:line="360" w:lineRule="auto"/>
        <w:jc w:val="both"/>
        <w:rPr>
          <w:rFonts w:ascii="Book Antiqua" w:hAnsi="Book Antiqua"/>
        </w:rPr>
      </w:pPr>
    </w:p>
    <w:p w14:paraId="2FE0BD58" w14:textId="4787E5DD"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Footnotes</w:t>
      </w:r>
    </w:p>
    <w:p w14:paraId="5BCC95F6"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olor w:val="000000"/>
        </w:rPr>
        <w:t xml:space="preserve">Conflict-of-interest statement: </w:t>
      </w:r>
      <w:bookmarkStart w:id="11" w:name="OLE_LINK81"/>
      <w:r w:rsidRPr="00B22E92">
        <w:rPr>
          <w:rStyle w:val="Ninguno"/>
          <w:rFonts w:ascii="Book Antiqua" w:eastAsia="Book Antiqua" w:hAnsi="Book Antiqua" w:cs="Book Antiqua"/>
          <w:color w:val="000000"/>
          <w:shd w:val="clear" w:color="auto" w:fill="FFFFFF"/>
        </w:rPr>
        <w:t>The authors have no conflicts of interest to declare.</w:t>
      </w:r>
      <w:bookmarkEnd w:id="11"/>
    </w:p>
    <w:p w14:paraId="52A1D2A9" w14:textId="77777777" w:rsidR="00A77B3E" w:rsidRPr="00B22E92" w:rsidRDefault="00A77B3E" w:rsidP="00B22E92">
      <w:pPr>
        <w:spacing w:line="360" w:lineRule="auto"/>
        <w:jc w:val="both"/>
        <w:rPr>
          <w:rFonts w:ascii="Book Antiqua" w:hAnsi="Book Antiqua"/>
        </w:rPr>
      </w:pPr>
    </w:p>
    <w:p w14:paraId="251B847F"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olor w:val="000000"/>
        </w:rPr>
        <w:t xml:space="preserve">Open-Access: </w:t>
      </w:r>
      <w:r w:rsidRPr="00B22E9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22E92">
        <w:rPr>
          <w:rFonts w:ascii="Book Antiqua" w:eastAsia="Book Antiqua" w:hAnsi="Book Antiqua" w:cs="Book Antiqua"/>
          <w:color w:val="000000"/>
        </w:rPr>
        <w:t>NonCommercial</w:t>
      </w:r>
      <w:proofErr w:type="spellEnd"/>
      <w:r w:rsidRPr="00B22E9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B6D394" w14:textId="77777777" w:rsidR="00A77B3E" w:rsidRPr="00B22E92" w:rsidRDefault="00A77B3E" w:rsidP="00B22E92">
      <w:pPr>
        <w:spacing w:line="360" w:lineRule="auto"/>
        <w:jc w:val="both"/>
        <w:rPr>
          <w:rFonts w:ascii="Book Antiqua" w:hAnsi="Book Antiqua"/>
        </w:rPr>
      </w:pPr>
    </w:p>
    <w:p w14:paraId="1FDFADA2" w14:textId="015FA4BF"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 xml:space="preserve">Manuscript source: </w:t>
      </w:r>
      <w:r w:rsidRPr="00B22E92">
        <w:rPr>
          <w:rFonts w:ascii="Book Antiqua" w:eastAsia="Book Antiqua" w:hAnsi="Book Antiqua" w:cs="Book Antiqua"/>
          <w:color w:val="000000"/>
        </w:rPr>
        <w:t xml:space="preserve">Unsolicited </w:t>
      </w:r>
      <w:r w:rsidR="00B107E9" w:rsidRPr="00B22E92">
        <w:rPr>
          <w:rFonts w:ascii="Book Antiqua" w:eastAsia="Book Antiqua" w:hAnsi="Book Antiqua" w:cs="Book Antiqua"/>
          <w:color w:val="000000"/>
        </w:rPr>
        <w:t>m</w:t>
      </w:r>
      <w:r w:rsidRPr="00B22E92">
        <w:rPr>
          <w:rFonts w:ascii="Book Antiqua" w:eastAsia="Book Antiqua" w:hAnsi="Book Antiqua" w:cs="Book Antiqua"/>
          <w:color w:val="000000"/>
        </w:rPr>
        <w:t>anuscript</w:t>
      </w:r>
    </w:p>
    <w:p w14:paraId="6314E3A9" w14:textId="77777777" w:rsidR="00A77B3E" w:rsidRPr="00B22E92" w:rsidRDefault="00A77B3E" w:rsidP="00B22E92">
      <w:pPr>
        <w:spacing w:line="360" w:lineRule="auto"/>
        <w:jc w:val="both"/>
        <w:rPr>
          <w:rFonts w:ascii="Book Antiqua" w:hAnsi="Book Antiqua"/>
        </w:rPr>
      </w:pPr>
    </w:p>
    <w:p w14:paraId="336EB2FF"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 xml:space="preserve">Peer-review started: </w:t>
      </w:r>
      <w:r w:rsidRPr="00B22E92">
        <w:rPr>
          <w:rFonts w:ascii="Book Antiqua" w:eastAsia="Book Antiqua" w:hAnsi="Book Antiqua" w:cs="Book Antiqua"/>
          <w:color w:val="000000"/>
        </w:rPr>
        <w:t>June 24, 2021</w:t>
      </w:r>
    </w:p>
    <w:p w14:paraId="38D5A9FE"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 xml:space="preserve">First decision: </w:t>
      </w:r>
      <w:r w:rsidRPr="00B22E92">
        <w:rPr>
          <w:rFonts w:ascii="Book Antiqua" w:eastAsia="Book Antiqua" w:hAnsi="Book Antiqua" w:cs="Book Antiqua"/>
          <w:color w:val="000000"/>
        </w:rPr>
        <w:t>August 8, 2021</w:t>
      </w:r>
    </w:p>
    <w:p w14:paraId="77E74871"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 xml:space="preserve">Article in press: </w:t>
      </w:r>
    </w:p>
    <w:p w14:paraId="7ED308B7" w14:textId="77777777" w:rsidR="00A77B3E" w:rsidRPr="00B22E92" w:rsidRDefault="00A77B3E" w:rsidP="00B22E92">
      <w:pPr>
        <w:spacing w:line="360" w:lineRule="auto"/>
        <w:jc w:val="both"/>
        <w:rPr>
          <w:rFonts w:ascii="Book Antiqua" w:hAnsi="Book Antiqua"/>
        </w:rPr>
      </w:pPr>
    </w:p>
    <w:p w14:paraId="01024374"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 xml:space="preserve">Specialty type: </w:t>
      </w:r>
      <w:r w:rsidRPr="00B22E92">
        <w:rPr>
          <w:rFonts w:ascii="Book Antiqua" w:eastAsia="Book Antiqua" w:hAnsi="Book Antiqua" w:cs="Book Antiqua"/>
          <w:color w:val="000000"/>
        </w:rPr>
        <w:t xml:space="preserve">Oncology </w:t>
      </w:r>
    </w:p>
    <w:p w14:paraId="4EE26D11"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 xml:space="preserve">Country/Territory of origin: </w:t>
      </w:r>
      <w:r w:rsidRPr="00B22E92">
        <w:rPr>
          <w:rFonts w:ascii="Book Antiqua" w:eastAsia="Book Antiqua" w:hAnsi="Book Antiqua" w:cs="Book Antiqua"/>
          <w:color w:val="000000"/>
        </w:rPr>
        <w:t>Chile</w:t>
      </w:r>
    </w:p>
    <w:p w14:paraId="5F7EFA4B"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Peer-review report’s scientific quality classification</w:t>
      </w:r>
    </w:p>
    <w:p w14:paraId="255501BD"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color w:val="000000"/>
        </w:rPr>
        <w:t>Grade A (Excellent): A</w:t>
      </w:r>
    </w:p>
    <w:p w14:paraId="4930781E"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color w:val="000000"/>
        </w:rPr>
        <w:t>Grade B (Very good): 0</w:t>
      </w:r>
    </w:p>
    <w:p w14:paraId="637CE32C"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color w:val="000000"/>
        </w:rPr>
        <w:t>Grade C (Good): 0</w:t>
      </w:r>
    </w:p>
    <w:p w14:paraId="49240BBD"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color w:val="000000"/>
        </w:rPr>
        <w:t>Grade D (Fair): 0</w:t>
      </w:r>
    </w:p>
    <w:p w14:paraId="06E33C10"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color w:val="000000"/>
        </w:rPr>
        <w:t>Grade E (Poor): 0</w:t>
      </w:r>
    </w:p>
    <w:p w14:paraId="5683E297" w14:textId="77777777" w:rsidR="00A77B3E" w:rsidRPr="00B22E92" w:rsidRDefault="00A77B3E" w:rsidP="00B22E92">
      <w:pPr>
        <w:spacing w:line="360" w:lineRule="auto"/>
        <w:jc w:val="both"/>
        <w:rPr>
          <w:rFonts w:ascii="Book Antiqua" w:hAnsi="Book Antiqua"/>
        </w:rPr>
      </w:pPr>
    </w:p>
    <w:p w14:paraId="07E81C2D" w14:textId="77777777" w:rsidR="00C86ABE" w:rsidRDefault="000A5288" w:rsidP="00B22E92">
      <w:pPr>
        <w:spacing w:line="360" w:lineRule="auto"/>
        <w:jc w:val="both"/>
        <w:rPr>
          <w:rFonts w:ascii="Book Antiqua" w:eastAsia="Book Antiqua" w:hAnsi="Book Antiqua" w:cs="Book Antiqua"/>
          <w:b/>
          <w:color w:val="000000"/>
        </w:rPr>
      </w:pPr>
      <w:r w:rsidRPr="00B22E92">
        <w:rPr>
          <w:rFonts w:ascii="Book Antiqua" w:eastAsia="Book Antiqua" w:hAnsi="Book Antiqua" w:cs="Book Antiqua"/>
          <w:b/>
          <w:color w:val="000000"/>
        </w:rPr>
        <w:t xml:space="preserve">P-Reviewer: </w:t>
      </w:r>
      <w:r w:rsidRPr="00B22E92">
        <w:rPr>
          <w:rFonts w:ascii="Book Antiqua" w:eastAsia="Book Antiqua" w:hAnsi="Book Antiqua" w:cs="Book Antiqua"/>
          <w:color w:val="000000"/>
        </w:rPr>
        <w:t>Herold Z</w:t>
      </w:r>
      <w:r w:rsidRPr="00B22E92">
        <w:rPr>
          <w:rFonts w:ascii="Book Antiqua" w:eastAsia="Book Antiqua" w:hAnsi="Book Antiqua" w:cs="Book Antiqua"/>
          <w:b/>
          <w:color w:val="000000"/>
        </w:rPr>
        <w:t xml:space="preserve"> S-Editor: </w:t>
      </w:r>
      <w:r w:rsidR="00B107E9" w:rsidRPr="00B22E92">
        <w:rPr>
          <w:rFonts w:ascii="Book Antiqua" w:eastAsia="Book Antiqua" w:hAnsi="Book Antiqua" w:cs="Book Antiqua"/>
          <w:color w:val="000000"/>
        </w:rPr>
        <w:t>Yan JP</w:t>
      </w:r>
      <w:r w:rsidRPr="00B22E92">
        <w:rPr>
          <w:rFonts w:ascii="Book Antiqua" w:eastAsia="Book Antiqua" w:hAnsi="Book Antiqua" w:cs="Book Antiqua"/>
          <w:b/>
          <w:color w:val="000000"/>
        </w:rPr>
        <w:t xml:space="preserve"> L-Editor:  P-Editor</w:t>
      </w:r>
      <w:r w:rsidR="00C86ABE">
        <w:rPr>
          <w:rFonts w:ascii="Book Antiqua" w:eastAsia="Book Antiqua" w:hAnsi="Book Antiqua" w:cs="Book Antiqua"/>
          <w:b/>
          <w:color w:val="000000"/>
        </w:rPr>
        <w:t xml:space="preserve">: </w:t>
      </w:r>
    </w:p>
    <w:p w14:paraId="48EF84B4" w14:textId="77777777" w:rsidR="00C86ABE" w:rsidRDefault="00C86ABE" w:rsidP="00B22E92">
      <w:pPr>
        <w:spacing w:line="360" w:lineRule="auto"/>
        <w:jc w:val="both"/>
        <w:rPr>
          <w:rFonts w:ascii="Book Antiqua" w:eastAsia="Book Antiqua" w:hAnsi="Book Antiqua" w:cs="Book Antiqua"/>
          <w:b/>
          <w:color w:val="000000"/>
        </w:rPr>
      </w:pPr>
    </w:p>
    <w:p w14:paraId="78F1569E" w14:textId="77777777" w:rsidR="00C86ABE" w:rsidRDefault="00C86ABE" w:rsidP="00B22E92">
      <w:pPr>
        <w:spacing w:line="360" w:lineRule="auto"/>
        <w:jc w:val="both"/>
        <w:rPr>
          <w:rFonts w:ascii="Book Antiqua" w:eastAsia="Book Antiqua" w:hAnsi="Book Antiqua" w:cs="Book Antiqua"/>
          <w:b/>
          <w:color w:val="000000"/>
        </w:rPr>
      </w:pPr>
    </w:p>
    <w:p w14:paraId="25FA51EA" w14:textId="27C2D851" w:rsidR="00A77B3E" w:rsidRPr="00B22E92" w:rsidRDefault="000A5288" w:rsidP="00B22E92">
      <w:pPr>
        <w:spacing w:line="360" w:lineRule="auto"/>
        <w:jc w:val="both"/>
        <w:rPr>
          <w:rFonts w:ascii="Book Antiqua" w:eastAsia="Book Antiqua" w:hAnsi="Book Antiqua" w:cs="Book Antiqua"/>
          <w:b/>
          <w:color w:val="000000"/>
        </w:rPr>
      </w:pPr>
      <w:r w:rsidRPr="00B22E92">
        <w:rPr>
          <w:rFonts w:ascii="Book Antiqua" w:eastAsia="Book Antiqua" w:hAnsi="Book Antiqua" w:cs="Book Antiqua"/>
          <w:b/>
          <w:color w:val="000000"/>
        </w:rPr>
        <w:t>Figure Legends</w:t>
      </w:r>
    </w:p>
    <w:p w14:paraId="4A1040EB" w14:textId="7FB930ED" w:rsidR="00B107E9" w:rsidRPr="00B22E92" w:rsidRDefault="00B22E92" w:rsidP="00B22E92">
      <w:pPr>
        <w:spacing w:line="360" w:lineRule="auto"/>
        <w:jc w:val="both"/>
        <w:rPr>
          <w:rFonts w:ascii="Book Antiqua" w:eastAsia="Book Antiqua" w:hAnsi="Book Antiqua" w:cs="Book Antiqua"/>
          <w:b/>
          <w:color w:val="000000"/>
        </w:rPr>
      </w:pPr>
      <w:r w:rsidRPr="00B22E92">
        <w:rPr>
          <w:rFonts w:ascii="Book Antiqua" w:eastAsia="Book Antiqua" w:hAnsi="Book Antiqua" w:cs="Book Antiqua"/>
          <w:b/>
          <w:noProof/>
          <w:color w:val="000000"/>
        </w:rPr>
        <w:drawing>
          <wp:inline distT="0" distB="0" distL="0" distR="0" wp14:anchorId="7356A602" wp14:editId="0A17A09C">
            <wp:extent cx="5936776" cy="333058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959" cy="3340228"/>
                    </a:xfrm>
                    <a:prstGeom prst="rect">
                      <a:avLst/>
                    </a:prstGeom>
                    <a:noFill/>
                    <a:ln>
                      <a:noFill/>
                    </a:ln>
                  </pic:spPr>
                </pic:pic>
              </a:graphicData>
            </a:graphic>
          </wp:inline>
        </w:drawing>
      </w:r>
    </w:p>
    <w:p w14:paraId="046C7249" w14:textId="77777777" w:rsidR="00B107E9" w:rsidRPr="00B22E92" w:rsidRDefault="00B107E9" w:rsidP="00B22E92">
      <w:pPr>
        <w:spacing w:line="360" w:lineRule="auto"/>
        <w:jc w:val="both"/>
        <w:rPr>
          <w:rFonts w:ascii="Book Antiqua" w:hAnsi="Book Antiqua"/>
        </w:rPr>
      </w:pPr>
    </w:p>
    <w:p w14:paraId="22E4FCD5" w14:textId="6884A4D3" w:rsidR="00A77B3E" w:rsidRPr="00B22E92" w:rsidRDefault="000A5288" w:rsidP="00B22E92">
      <w:pPr>
        <w:spacing w:line="360" w:lineRule="auto"/>
        <w:jc w:val="both"/>
        <w:rPr>
          <w:rFonts w:ascii="Book Antiqua" w:eastAsia="Book Antiqua" w:hAnsi="Book Antiqua" w:cs="Book Antiqua"/>
          <w:color w:val="000000"/>
        </w:rPr>
      </w:pPr>
      <w:bookmarkStart w:id="12" w:name="OLE_LINK82"/>
      <w:r w:rsidRPr="00B22E92">
        <w:rPr>
          <w:rStyle w:val="Ninguno"/>
          <w:rFonts w:ascii="Book Antiqua" w:eastAsia="Book Antiqua" w:hAnsi="Book Antiqua" w:cs="Book Antiqua"/>
          <w:b/>
          <w:bCs/>
          <w:color w:val="000000"/>
          <w:shd w:val="clear" w:color="auto" w:fill="FFFFFF"/>
        </w:rPr>
        <w:t>Fig</w:t>
      </w:r>
      <w:r w:rsidR="00B107E9" w:rsidRPr="00B22E92">
        <w:rPr>
          <w:rStyle w:val="Ninguno"/>
          <w:rFonts w:ascii="Book Antiqua" w:eastAsia="Book Antiqua" w:hAnsi="Book Antiqua" w:cs="Book Antiqua"/>
          <w:b/>
          <w:bCs/>
          <w:color w:val="000000"/>
          <w:shd w:val="clear" w:color="auto" w:fill="FFFFFF"/>
        </w:rPr>
        <w:t>ure</w:t>
      </w:r>
      <w:r w:rsidRPr="00B22E92">
        <w:rPr>
          <w:rStyle w:val="Ninguno"/>
          <w:rFonts w:ascii="Book Antiqua" w:eastAsia="Book Antiqua" w:hAnsi="Book Antiqua" w:cs="Book Antiqua"/>
          <w:b/>
          <w:bCs/>
          <w:color w:val="000000"/>
          <w:shd w:val="clear" w:color="auto" w:fill="FFFFFF"/>
        </w:rPr>
        <w:t xml:space="preserve"> 1 Main characteristics of consensus molecular subtypes in colorectal cancers.</w:t>
      </w:r>
      <w:r w:rsidR="00B107E9" w:rsidRPr="00B22E92">
        <w:rPr>
          <w:rFonts w:ascii="Book Antiqua" w:hAnsi="Book Antiqua"/>
          <w:lang w:eastAsia="zh-CN"/>
        </w:rPr>
        <w:t xml:space="preserve"> </w:t>
      </w:r>
      <w:r w:rsidRPr="00B22E92">
        <w:rPr>
          <w:rStyle w:val="Ninguno"/>
          <w:rFonts w:ascii="Book Antiqua" w:eastAsia="Book Antiqua" w:hAnsi="Book Antiqua" w:cs="Book Antiqua"/>
          <w:color w:val="000000"/>
          <w:shd w:val="clear" w:color="auto" w:fill="FFFFFF"/>
        </w:rPr>
        <w:t xml:space="preserve">After the patient undergoes a biopsy, the diagnosis of colorectal cancer is made and subsequent stratification by </w:t>
      </w:r>
      <w:r w:rsidR="00B107E9" w:rsidRPr="00B22E92">
        <w:rPr>
          <w:rFonts w:ascii="Book Antiqua" w:eastAsia="Book Antiqua" w:hAnsi="Book Antiqua" w:cs="Book Antiqua"/>
          <w:color w:val="000000"/>
        </w:rPr>
        <w:t>tumor-node-metastasis</w:t>
      </w:r>
      <w:r w:rsidRPr="00B22E92">
        <w:rPr>
          <w:rStyle w:val="Ninguno"/>
          <w:rFonts w:ascii="Book Antiqua" w:eastAsia="Book Antiqua" w:hAnsi="Book Antiqua" w:cs="Book Antiqua"/>
          <w:color w:val="000000"/>
          <w:shd w:val="clear" w:color="auto" w:fill="FFFFFF"/>
        </w:rPr>
        <w:t xml:space="preserve"> is performed. Samples can be obtained to allow wide genome sequencing analysis with the objective of characterization into one of four consensus molecular subtypes.</w:t>
      </w:r>
      <w:r w:rsidR="00B107E9" w:rsidRPr="00B22E92">
        <w:rPr>
          <w:rStyle w:val="Ninguno"/>
          <w:rFonts w:ascii="Book Antiqua" w:eastAsia="Book Antiqua" w:hAnsi="Book Antiqua" w:cs="Book Antiqua"/>
          <w:color w:val="000000"/>
          <w:shd w:val="clear" w:color="auto" w:fill="FFFFFF"/>
        </w:rPr>
        <w:t xml:space="preserve"> </w:t>
      </w:r>
      <w:r w:rsidR="00B22E92" w:rsidRPr="00B22E92">
        <w:rPr>
          <w:rStyle w:val="Ninguno"/>
          <w:rFonts w:ascii="Book Antiqua" w:eastAsia="Book Antiqua" w:hAnsi="Book Antiqua" w:cs="Book Antiqua"/>
          <w:color w:val="000000"/>
          <w:shd w:val="clear" w:color="auto" w:fill="FFFFFF"/>
        </w:rPr>
        <w:t xml:space="preserve">CMS: </w:t>
      </w:r>
      <w:r w:rsidR="00B22E92" w:rsidRPr="00B22E92">
        <w:rPr>
          <w:rFonts w:ascii="Book Antiqua" w:eastAsia="Book Antiqua" w:hAnsi="Book Antiqua" w:cs="Book Antiqua"/>
          <w:color w:val="000000"/>
        </w:rPr>
        <w:t>Consensus molecular subtypes;</w:t>
      </w:r>
      <w:r w:rsidR="00B22E92" w:rsidRPr="00B22E92">
        <w:rPr>
          <w:rStyle w:val="Ninguno"/>
          <w:rFonts w:ascii="Book Antiqua" w:eastAsia="Book Antiqua" w:hAnsi="Book Antiqua" w:cs="Book Antiqua"/>
          <w:color w:val="000000"/>
          <w:shd w:val="clear" w:color="auto" w:fill="FFFFFF"/>
        </w:rPr>
        <w:t xml:space="preserve"> SCNA: </w:t>
      </w:r>
      <w:r w:rsidR="00B22E92" w:rsidRPr="00B22E92">
        <w:rPr>
          <w:rFonts w:ascii="Book Antiqua" w:eastAsia="Book Antiqua" w:hAnsi="Book Antiqua" w:cs="Book Antiqua"/>
          <w:color w:val="000000"/>
        </w:rPr>
        <w:t>Somatic copy number alterations.</w:t>
      </w:r>
    </w:p>
    <w:bookmarkEnd w:id="12"/>
    <w:p w14:paraId="3E3A129D" w14:textId="77777777" w:rsidR="00B22E92" w:rsidRPr="00B22E92" w:rsidRDefault="00B22E92" w:rsidP="00B22E92">
      <w:pPr>
        <w:spacing w:line="360" w:lineRule="auto"/>
        <w:jc w:val="both"/>
        <w:rPr>
          <w:rStyle w:val="Ninguno"/>
          <w:rFonts w:ascii="Book Antiqua" w:eastAsia="Book Antiqua" w:hAnsi="Book Antiqua" w:cs="Book Antiqua"/>
          <w:color w:val="000000"/>
          <w:shd w:val="clear" w:color="auto" w:fill="FFFFFF"/>
        </w:rPr>
        <w:sectPr w:rsidR="00B22E92" w:rsidRPr="00B22E92">
          <w:footerReference w:type="default" r:id="rId8"/>
          <w:pgSz w:w="12240" w:h="15840"/>
          <w:pgMar w:top="1440" w:right="1440" w:bottom="1440" w:left="1440" w:header="720" w:footer="720" w:gutter="0"/>
          <w:cols w:space="720"/>
          <w:docGrid w:linePitch="360"/>
        </w:sectPr>
      </w:pPr>
    </w:p>
    <w:p w14:paraId="1CE93111" w14:textId="6E9C11E9" w:rsidR="00B22E92" w:rsidRDefault="000A5288" w:rsidP="00B22E92">
      <w:pPr>
        <w:spacing w:line="360" w:lineRule="auto"/>
        <w:jc w:val="both"/>
        <w:rPr>
          <w:rFonts w:ascii="Book Antiqua" w:hAnsi="Book Antiqua"/>
        </w:rPr>
      </w:pPr>
      <w:r w:rsidRPr="00B22E92">
        <w:rPr>
          <w:rStyle w:val="Ninguno"/>
          <w:rFonts w:ascii="Book Antiqua" w:eastAsia="Book Antiqua" w:hAnsi="Book Antiqua" w:cs="Book Antiqua"/>
          <w:b/>
          <w:bCs/>
          <w:color w:val="000000"/>
          <w:shd w:val="clear" w:color="auto" w:fill="FFFFFF"/>
        </w:rPr>
        <w:lastRenderedPageBreak/>
        <w:t>Table 1 Outcomes in four consensus molecular subtype profiles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1292"/>
        <w:gridCol w:w="1323"/>
        <w:gridCol w:w="1096"/>
        <w:gridCol w:w="1096"/>
        <w:gridCol w:w="1096"/>
        <w:gridCol w:w="1345"/>
      </w:tblGrid>
      <w:tr w:rsidR="00B22E92" w:rsidRPr="00B22E92" w14:paraId="65AF3581" w14:textId="77777777" w:rsidTr="00B22E92">
        <w:trPr>
          <w:trHeight w:val="690"/>
        </w:trPr>
        <w:tc>
          <w:tcPr>
            <w:tcW w:w="1968" w:type="dxa"/>
            <w:vMerge w:val="restart"/>
            <w:tcBorders>
              <w:top w:val="single" w:sz="4" w:space="0" w:color="auto"/>
              <w:bottom w:val="single" w:sz="4" w:space="0" w:color="auto"/>
            </w:tcBorders>
            <w:hideMark/>
          </w:tcPr>
          <w:p w14:paraId="01846F1C" w14:textId="11E414F4" w:rsidR="00B22E92" w:rsidRPr="00B22E92" w:rsidRDefault="00B22E92" w:rsidP="00B22E92">
            <w:pPr>
              <w:spacing w:line="360" w:lineRule="auto"/>
              <w:jc w:val="both"/>
              <w:rPr>
                <w:rFonts w:ascii="Book Antiqua" w:hAnsi="Book Antiqua"/>
                <w:b/>
                <w:bCs/>
              </w:rPr>
            </w:pPr>
            <w:r>
              <w:rPr>
                <w:rFonts w:ascii="Book Antiqua" w:hAnsi="Book Antiqua"/>
                <w:b/>
                <w:bCs/>
              </w:rPr>
              <w:t>Ref.</w:t>
            </w:r>
          </w:p>
        </w:tc>
        <w:tc>
          <w:tcPr>
            <w:tcW w:w="1292" w:type="dxa"/>
            <w:vMerge w:val="restart"/>
            <w:tcBorders>
              <w:top w:val="single" w:sz="4" w:space="0" w:color="auto"/>
              <w:bottom w:val="single" w:sz="4" w:space="0" w:color="auto"/>
            </w:tcBorders>
            <w:hideMark/>
          </w:tcPr>
          <w:p w14:paraId="50A73F3E" w14:textId="77777777" w:rsidR="00B22E92" w:rsidRPr="00B22E92" w:rsidRDefault="00B22E92" w:rsidP="00B22E92">
            <w:pPr>
              <w:spacing w:line="360" w:lineRule="auto"/>
              <w:jc w:val="both"/>
              <w:rPr>
                <w:rFonts w:ascii="Book Antiqua" w:hAnsi="Book Antiqua"/>
                <w:b/>
                <w:bCs/>
                <w:i/>
                <w:iCs/>
              </w:rPr>
            </w:pPr>
            <w:r w:rsidRPr="00B22E92">
              <w:rPr>
                <w:rFonts w:ascii="Book Antiqua" w:hAnsi="Book Antiqua"/>
                <w:b/>
                <w:bCs/>
                <w:i/>
                <w:iCs/>
              </w:rPr>
              <w:t>n</w:t>
            </w:r>
          </w:p>
        </w:tc>
        <w:tc>
          <w:tcPr>
            <w:tcW w:w="1323" w:type="dxa"/>
            <w:vMerge w:val="restart"/>
            <w:tcBorders>
              <w:top w:val="single" w:sz="4" w:space="0" w:color="auto"/>
              <w:bottom w:val="single" w:sz="4" w:space="0" w:color="auto"/>
            </w:tcBorders>
            <w:hideMark/>
          </w:tcPr>
          <w:p w14:paraId="3B31FE99" w14:textId="77777777" w:rsidR="00B22E92" w:rsidRPr="00B22E92" w:rsidRDefault="00B22E92" w:rsidP="00B22E92">
            <w:pPr>
              <w:spacing w:line="360" w:lineRule="auto"/>
              <w:jc w:val="both"/>
              <w:rPr>
                <w:rFonts w:ascii="Book Antiqua" w:hAnsi="Book Antiqua"/>
                <w:b/>
                <w:bCs/>
              </w:rPr>
            </w:pPr>
            <w:r w:rsidRPr="00B22E92">
              <w:rPr>
                <w:rFonts w:ascii="Book Antiqua" w:hAnsi="Book Antiqua"/>
                <w:b/>
                <w:bCs/>
              </w:rPr>
              <w:t>Outcomes</w:t>
            </w:r>
          </w:p>
        </w:tc>
        <w:tc>
          <w:tcPr>
            <w:tcW w:w="1096" w:type="dxa"/>
            <w:vMerge w:val="restart"/>
            <w:tcBorders>
              <w:top w:val="single" w:sz="4" w:space="0" w:color="auto"/>
              <w:bottom w:val="single" w:sz="4" w:space="0" w:color="auto"/>
            </w:tcBorders>
            <w:hideMark/>
          </w:tcPr>
          <w:p w14:paraId="0801070E" w14:textId="23CFADB9" w:rsidR="00B22E92" w:rsidRPr="00B22E92" w:rsidRDefault="00B22E92" w:rsidP="00B22E92">
            <w:pPr>
              <w:spacing w:line="360" w:lineRule="auto"/>
              <w:jc w:val="both"/>
              <w:rPr>
                <w:rFonts w:ascii="Book Antiqua" w:hAnsi="Book Antiqua"/>
                <w:b/>
                <w:bCs/>
              </w:rPr>
            </w:pPr>
            <w:r w:rsidRPr="00B22E92">
              <w:rPr>
                <w:rFonts w:ascii="Book Antiqua" w:hAnsi="Book Antiqua"/>
                <w:b/>
                <w:bCs/>
              </w:rPr>
              <w:t>CMS1</w:t>
            </w:r>
            <w:r>
              <w:rPr>
                <w:rFonts w:ascii="Book Antiqua" w:hAnsi="Book Antiqua"/>
                <w:b/>
                <w:bCs/>
              </w:rPr>
              <w:t>,</w:t>
            </w:r>
            <w:r w:rsidRPr="00B22E92">
              <w:rPr>
                <w:rFonts w:ascii="Book Antiqua" w:hAnsi="Book Antiqua"/>
                <w:b/>
                <w:bCs/>
              </w:rPr>
              <w:t xml:space="preserve"> </w:t>
            </w:r>
            <w:r>
              <w:rPr>
                <w:rFonts w:ascii="Book Antiqua" w:hAnsi="Book Antiqua"/>
                <w:b/>
                <w:bCs/>
              </w:rPr>
              <w:t>m</w:t>
            </w:r>
            <w:r w:rsidRPr="00B22E92">
              <w:rPr>
                <w:rFonts w:ascii="Book Antiqua" w:hAnsi="Book Antiqua"/>
                <w:b/>
                <w:bCs/>
              </w:rPr>
              <w:t>ean (95%CI)</w:t>
            </w:r>
          </w:p>
        </w:tc>
        <w:tc>
          <w:tcPr>
            <w:tcW w:w="1096" w:type="dxa"/>
            <w:vMerge w:val="restart"/>
            <w:tcBorders>
              <w:top w:val="single" w:sz="4" w:space="0" w:color="auto"/>
              <w:bottom w:val="single" w:sz="4" w:space="0" w:color="auto"/>
            </w:tcBorders>
            <w:hideMark/>
          </w:tcPr>
          <w:p w14:paraId="2A7864E7" w14:textId="3666F8B0" w:rsidR="00B22E92" w:rsidRPr="00B22E92" w:rsidRDefault="00B22E92" w:rsidP="00B22E92">
            <w:pPr>
              <w:spacing w:line="360" w:lineRule="auto"/>
              <w:jc w:val="both"/>
              <w:rPr>
                <w:rFonts w:ascii="Book Antiqua" w:hAnsi="Book Antiqua"/>
                <w:b/>
                <w:bCs/>
              </w:rPr>
            </w:pPr>
            <w:r w:rsidRPr="00B22E92">
              <w:rPr>
                <w:rFonts w:ascii="Book Antiqua" w:hAnsi="Book Antiqua"/>
                <w:b/>
                <w:bCs/>
              </w:rPr>
              <w:t>CMS2</w:t>
            </w:r>
            <w:r>
              <w:rPr>
                <w:rFonts w:ascii="Book Antiqua" w:hAnsi="Book Antiqua"/>
                <w:b/>
                <w:bCs/>
              </w:rPr>
              <w:t>,</w:t>
            </w:r>
            <w:r w:rsidRPr="00B22E92">
              <w:rPr>
                <w:rFonts w:ascii="Book Antiqua" w:hAnsi="Book Antiqua"/>
                <w:b/>
                <w:bCs/>
              </w:rPr>
              <w:t xml:space="preserve"> </w:t>
            </w:r>
            <w:r>
              <w:rPr>
                <w:rFonts w:ascii="Book Antiqua" w:hAnsi="Book Antiqua"/>
                <w:b/>
                <w:bCs/>
              </w:rPr>
              <w:t>m</w:t>
            </w:r>
            <w:r w:rsidRPr="00B22E92">
              <w:rPr>
                <w:rFonts w:ascii="Book Antiqua" w:hAnsi="Book Antiqua"/>
                <w:b/>
                <w:bCs/>
              </w:rPr>
              <w:t>ean (95%CI)</w:t>
            </w:r>
          </w:p>
        </w:tc>
        <w:tc>
          <w:tcPr>
            <w:tcW w:w="1096" w:type="dxa"/>
            <w:vMerge w:val="restart"/>
            <w:tcBorders>
              <w:top w:val="single" w:sz="4" w:space="0" w:color="auto"/>
              <w:bottom w:val="single" w:sz="4" w:space="0" w:color="auto"/>
            </w:tcBorders>
            <w:hideMark/>
          </w:tcPr>
          <w:p w14:paraId="67C3A9F6" w14:textId="28F3FE07" w:rsidR="00B22E92" w:rsidRPr="00B22E92" w:rsidRDefault="00B22E92" w:rsidP="00B22E92">
            <w:pPr>
              <w:spacing w:line="360" w:lineRule="auto"/>
              <w:jc w:val="both"/>
              <w:rPr>
                <w:rFonts w:ascii="Book Antiqua" w:hAnsi="Book Antiqua"/>
                <w:b/>
                <w:bCs/>
              </w:rPr>
            </w:pPr>
            <w:r w:rsidRPr="00B22E92">
              <w:rPr>
                <w:rFonts w:ascii="Book Antiqua" w:hAnsi="Book Antiqua"/>
                <w:b/>
                <w:bCs/>
              </w:rPr>
              <w:t>CMS3</w:t>
            </w:r>
            <w:r>
              <w:rPr>
                <w:rFonts w:ascii="Book Antiqua" w:hAnsi="Book Antiqua"/>
                <w:b/>
                <w:bCs/>
              </w:rPr>
              <w:t>,</w:t>
            </w:r>
            <w:r w:rsidRPr="00B22E92">
              <w:rPr>
                <w:rFonts w:ascii="Book Antiqua" w:hAnsi="Book Antiqua"/>
                <w:b/>
                <w:bCs/>
              </w:rPr>
              <w:t xml:space="preserve"> </w:t>
            </w:r>
            <w:r>
              <w:rPr>
                <w:rFonts w:ascii="Book Antiqua" w:hAnsi="Book Antiqua"/>
                <w:b/>
                <w:bCs/>
              </w:rPr>
              <w:t>m</w:t>
            </w:r>
            <w:r w:rsidRPr="00B22E92">
              <w:rPr>
                <w:rFonts w:ascii="Book Antiqua" w:hAnsi="Book Antiqua"/>
                <w:b/>
                <w:bCs/>
              </w:rPr>
              <w:t>ean (95%CI)</w:t>
            </w:r>
          </w:p>
        </w:tc>
        <w:tc>
          <w:tcPr>
            <w:tcW w:w="1345" w:type="dxa"/>
            <w:vMerge w:val="restart"/>
            <w:tcBorders>
              <w:top w:val="single" w:sz="4" w:space="0" w:color="auto"/>
              <w:bottom w:val="single" w:sz="4" w:space="0" w:color="auto"/>
            </w:tcBorders>
            <w:hideMark/>
          </w:tcPr>
          <w:p w14:paraId="585C3D79" w14:textId="76F370B1" w:rsidR="00B22E92" w:rsidRPr="00B22E92" w:rsidRDefault="00B22E92" w:rsidP="00B22E92">
            <w:pPr>
              <w:spacing w:line="360" w:lineRule="auto"/>
              <w:jc w:val="both"/>
              <w:rPr>
                <w:rFonts w:ascii="Book Antiqua" w:hAnsi="Book Antiqua"/>
                <w:b/>
                <w:bCs/>
              </w:rPr>
            </w:pPr>
            <w:r w:rsidRPr="00B22E92">
              <w:rPr>
                <w:rFonts w:ascii="Book Antiqua" w:hAnsi="Book Antiqua"/>
                <w:b/>
                <w:bCs/>
              </w:rPr>
              <w:t>CMS4</w:t>
            </w:r>
            <w:r>
              <w:rPr>
                <w:rFonts w:ascii="Book Antiqua" w:hAnsi="Book Antiqua"/>
                <w:b/>
                <w:bCs/>
              </w:rPr>
              <w:t>,</w:t>
            </w:r>
            <w:r w:rsidRPr="00B22E92">
              <w:rPr>
                <w:rFonts w:ascii="Book Antiqua" w:hAnsi="Book Antiqua"/>
                <w:b/>
                <w:bCs/>
              </w:rPr>
              <w:t xml:space="preserve"> </w:t>
            </w:r>
            <w:r>
              <w:rPr>
                <w:rFonts w:ascii="Book Antiqua" w:hAnsi="Book Antiqua"/>
                <w:b/>
                <w:bCs/>
              </w:rPr>
              <w:t>m</w:t>
            </w:r>
            <w:r w:rsidRPr="00B22E92">
              <w:rPr>
                <w:rFonts w:ascii="Book Antiqua" w:hAnsi="Book Antiqua"/>
                <w:b/>
                <w:bCs/>
              </w:rPr>
              <w:t>ean (95%CI)</w:t>
            </w:r>
          </w:p>
        </w:tc>
      </w:tr>
      <w:tr w:rsidR="00B22E92" w:rsidRPr="00B22E92" w14:paraId="24760AE7" w14:textId="77777777" w:rsidTr="00B22E92">
        <w:trPr>
          <w:trHeight w:val="300"/>
        </w:trPr>
        <w:tc>
          <w:tcPr>
            <w:tcW w:w="1968" w:type="dxa"/>
            <w:vMerge/>
            <w:tcBorders>
              <w:bottom w:val="single" w:sz="4" w:space="0" w:color="auto"/>
            </w:tcBorders>
            <w:hideMark/>
          </w:tcPr>
          <w:p w14:paraId="0DA47AF2" w14:textId="77777777" w:rsidR="00B22E92" w:rsidRPr="00B22E92" w:rsidRDefault="00B22E92" w:rsidP="00B22E92">
            <w:pPr>
              <w:spacing w:line="360" w:lineRule="auto"/>
              <w:jc w:val="both"/>
              <w:rPr>
                <w:rFonts w:ascii="Book Antiqua" w:hAnsi="Book Antiqua"/>
                <w:b/>
                <w:bCs/>
              </w:rPr>
            </w:pPr>
          </w:p>
        </w:tc>
        <w:tc>
          <w:tcPr>
            <w:tcW w:w="1292" w:type="dxa"/>
            <w:vMerge/>
            <w:tcBorders>
              <w:bottom w:val="single" w:sz="4" w:space="0" w:color="auto"/>
            </w:tcBorders>
            <w:hideMark/>
          </w:tcPr>
          <w:p w14:paraId="7A0D4AA9" w14:textId="77777777" w:rsidR="00B22E92" w:rsidRPr="00B22E92" w:rsidRDefault="00B22E92" w:rsidP="00B22E92">
            <w:pPr>
              <w:spacing w:line="360" w:lineRule="auto"/>
              <w:jc w:val="both"/>
              <w:rPr>
                <w:rFonts w:ascii="Book Antiqua" w:hAnsi="Book Antiqua"/>
                <w:b/>
                <w:bCs/>
                <w:i/>
                <w:iCs/>
              </w:rPr>
            </w:pPr>
          </w:p>
        </w:tc>
        <w:tc>
          <w:tcPr>
            <w:tcW w:w="1323" w:type="dxa"/>
            <w:vMerge/>
            <w:tcBorders>
              <w:bottom w:val="single" w:sz="4" w:space="0" w:color="auto"/>
            </w:tcBorders>
            <w:hideMark/>
          </w:tcPr>
          <w:p w14:paraId="6AF630CD" w14:textId="77777777" w:rsidR="00B22E92" w:rsidRPr="00B22E92" w:rsidRDefault="00B22E92" w:rsidP="00B22E92">
            <w:pPr>
              <w:spacing w:line="360" w:lineRule="auto"/>
              <w:jc w:val="both"/>
              <w:rPr>
                <w:rFonts w:ascii="Book Antiqua" w:hAnsi="Book Antiqua"/>
                <w:b/>
                <w:bCs/>
              </w:rPr>
            </w:pPr>
          </w:p>
        </w:tc>
        <w:tc>
          <w:tcPr>
            <w:tcW w:w="1096" w:type="dxa"/>
            <w:vMerge/>
            <w:tcBorders>
              <w:bottom w:val="single" w:sz="4" w:space="0" w:color="auto"/>
            </w:tcBorders>
            <w:hideMark/>
          </w:tcPr>
          <w:p w14:paraId="01BB089C" w14:textId="77777777" w:rsidR="00B22E92" w:rsidRPr="00B22E92" w:rsidRDefault="00B22E92" w:rsidP="00B22E92">
            <w:pPr>
              <w:spacing w:line="360" w:lineRule="auto"/>
              <w:jc w:val="both"/>
              <w:rPr>
                <w:rFonts w:ascii="Book Antiqua" w:hAnsi="Book Antiqua"/>
                <w:b/>
                <w:bCs/>
              </w:rPr>
            </w:pPr>
          </w:p>
        </w:tc>
        <w:tc>
          <w:tcPr>
            <w:tcW w:w="1096" w:type="dxa"/>
            <w:vMerge/>
            <w:tcBorders>
              <w:bottom w:val="single" w:sz="4" w:space="0" w:color="auto"/>
            </w:tcBorders>
            <w:hideMark/>
          </w:tcPr>
          <w:p w14:paraId="7F45FDF1" w14:textId="77777777" w:rsidR="00B22E92" w:rsidRPr="00B22E92" w:rsidRDefault="00B22E92" w:rsidP="00B22E92">
            <w:pPr>
              <w:spacing w:line="360" w:lineRule="auto"/>
              <w:jc w:val="both"/>
              <w:rPr>
                <w:rFonts w:ascii="Book Antiqua" w:hAnsi="Book Antiqua"/>
                <w:b/>
                <w:bCs/>
              </w:rPr>
            </w:pPr>
          </w:p>
        </w:tc>
        <w:tc>
          <w:tcPr>
            <w:tcW w:w="1096" w:type="dxa"/>
            <w:vMerge/>
            <w:tcBorders>
              <w:bottom w:val="single" w:sz="4" w:space="0" w:color="auto"/>
            </w:tcBorders>
            <w:hideMark/>
          </w:tcPr>
          <w:p w14:paraId="3B2C0C60" w14:textId="77777777" w:rsidR="00B22E92" w:rsidRPr="00B22E92" w:rsidRDefault="00B22E92" w:rsidP="00B22E92">
            <w:pPr>
              <w:spacing w:line="360" w:lineRule="auto"/>
              <w:jc w:val="both"/>
              <w:rPr>
                <w:rFonts w:ascii="Book Antiqua" w:hAnsi="Book Antiqua"/>
                <w:b/>
                <w:bCs/>
              </w:rPr>
            </w:pPr>
          </w:p>
        </w:tc>
        <w:tc>
          <w:tcPr>
            <w:tcW w:w="1345" w:type="dxa"/>
            <w:vMerge/>
            <w:tcBorders>
              <w:bottom w:val="single" w:sz="4" w:space="0" w:color="auto"/>
            </w:tcBorders>
            <w:hideMark/>
          </w:tcPr>
          <w:p w14:paraId="23E3992A" w14:textId="77777777" w:rsidR="00B22E92" w:rsidRPr="00B22E92" w:rsidRDefault="00B22E92" w:rsidP="00B22E92">
            <w:pPr>
              <w:spacing w:line="360" w:lineRule="auto"/>
              <w:jc w:val="both"/>
              <w:rPr>
                <w:rFonts w:ascii="Book Antiqua" w:hAnsi="Book Antiqua"/>
                <w:b/>
                <w:bCs/>
              </w:rPr>
            </w:pPr>
          </w:p>
        </w:tc>
      </w:tr>
      <w:tr w:rsidR="00B22E92" w:rsidRPr="00B22E92" w14:paraId="1F44B5C1" w14:textId="77777777" w:rsidTr="00B22E92">
        <w:trPr>
          <w:trHeight w:val="345"/>
        </w:trPr>
        <w:tc>
          <w:tcPr>
            <w:tcW w:w="9216" w:type="dxa"/>
            <w:gridSpan w:val="7"/>
            <w:tcBorders>
              <w:top w:val="single" w:sz="4" w:space="0" w:color="auto"/>
            </w:tcBorders>
            <w:hideMark/>
          </w:tcPr>
          <w:p w14:paraId="5F8D1077" w14:textId="77777777" w:rsidR="00B22E92" w:rsidRPr="00B22E92" w:rsidRDefault="00B22E92" w:rsidP="00B22E92">
            <w:pPr>
              <w:spacing w:line="360" w:lineRule="auto"/>
              <w:jc w:val="both"/>
              <w:rPr>
                <w:rFonts w:ascii="Book Antiqua" w:hAnsi="Book Antiqua"/>
                <w:b/>
                <w:bCs/>
              </w:rPr>
            </w:pPr>
            <w:r w:rsidRPr="00B22E92">
              <w:rPr>
                <w:rFonts w:ascii="Book Antiqua" w:hAnsi="Book Antiqua"/>
                <w:b/>
                <w:bCs/>
              </w:rPr>
              <w:t>Stages I-IV</w:t>
            </w:r>
          </w:p>
        </w:tc>
      </w:tr>
      <w:tr w:rsidR="00B22E92" w:rsidRPr="00B22E92" w14:paraId="28A03E22" w14:textId="77777777" w:rsidTr="00B22E92">
        <w:trPr>
          <w:trHeight w:val="960"/>
        </w:trPr>
        <w:tc>
          <w:tcPr>
            <w:tcW w:w="1968" w:type="dxa"/>
            <w:vMerge w:val="restart"/>
            <w:hideMark/>
          </w:tcPr>
          <w:p w14:paraId="29FD733F" w14:textId="4507135B" w:rsidR="00B22E92" w:rsidRPr="00B22E92" w:rsidRDefault="00B22E92" w:rsidP="00B22E92">
            <w:pPr>
              <w:spacing w:line="360" w:lineRule="auto"/>
              <w:jc w:val="both"/>
              <w:rPr>
                <w:rFonts w:ascii="Book Antiqua" w:hAnsi="Book Antiqua"/>
              </w:rPr>
            </w:pPr>
            <w:r w:rsidRPr="00B22E92">
              <w:rPr>
                <w:rFonts w:ascii="Book Antiqua" w:hAnsi="Book Antiqua"/>
              </w:rPr>
              <w:t xml:space="preserve">Purcell </w:t>
            </w:r>
            <w:r w:rsidRPr="00B22E92">
              <w:rPr>
                <w:rFonts w:ascii="Book Antiqua" w:hAnsi="Book Antiqua"/>
                <w:i/>
                <w:iCs/>
              </w:rPr>
              <w:t xml:space="preserve">et </w:t>
            </w:r>
            <w:proofErr w:type="gramStart"/>
            <w:r w:rsidRPr="00B22E92">
              <w:rPr>
                <w:rFonts w:ascii="Book Antiqua" w:hAnsi="Book Antiqua"/>
                <w:i/>
                <w:iCs/>
              </w:rPr>
              <w:t>al</w:t>
            </w:r>
            <w:r w:rsidRPr="00B22E92">
              <w:rPr>
                <w:rFonts w:ascii="Book Antiqua" w:hAnsi="Book Antiqua"/>
                <w:vertAlign w:val="superscript"/>
              </w:rPr>
              <w:t>[</w:t>
            </w:r>
            <w:proofErr w:type="gramEnd"/>
            <w:r w:rsidRPr="00B22E92">
              <w:rPr>
                <w:rFonts w:ascii="Book Antiqua" w:hAnsi="Book Antiqua"/>
                <w:vertAlign w:val="superscript"/>
              </w:rPr>
              <w:t>39]</w:t>
            </w:r>
            <w:r w:rsidRPr="00B22E92">
              <w:rPr>
                <w:rFonts w:ascii="Book Antiqua" w:hAnsi="Book Antiqua"/>
              </w:rPr>
              <w:t>, 2019</w:t>
            </w:r>
          </w:p>
        </w:tc>
        <w:tc>
          <w:tcPr>
            <w:tcW w:w="1292" w:type="dxa"/>
            <w:vMerge w:val="restart"/>
            <w:hideMark/>
          </w:tcPr>
          <w:p w14:paraId="7B3B1252" w14:textId="77777777" w:rsidR="00B22E92" w:rsidRPr="00B22E92" w:rsidRDefault="00B22E92" w:rsidP="00B22E92">
            <w:pPr>
              <w:spacing w:line="360" w:lineRule="auto"/>
              <w:jc w:val="both"/>
              <w:rPr>
                <w:rFonts w:ascii="Book Antiqua" w:hAnsi="Book Antiqua"/>
              </w:rPr>
            </w:pPr>
            <w:r w:rsidRPr="00B22E92">
              <w:rPr>
                <w:rFonts w:ascii="Book Antiqua" w:hAnsi="Book Antiqua"/>
              </w:rPr>
              <w:t>257</w:t>
            </w:r>
          </w:p>
        </w:tc>
        <w:tc>
          <w:tcPr>
            <w:tcW w:w="1323" w:type="dxa"/>
            <w:hideMark/>
          </w:tcPr>
          <w:p w14:paraId="243ADD36" w14:textId="51E30ECE" w:rsidR="00B22E92" w:rsidRPr="00B22E92" w:rsidRDefault="00B22E92" w:rsidP="00B22E92">
            <w:pPr>
              <w:spacing w:line="360" w:lineRule="auto"/>
              <w:jc w:val="both"/>
              <w:rPr>
                <w:rFonts w:ascii="Book Antiqua" w:hAnsi="Book Antiqua"/>
              </w:rPr>
            </w:pPr>
            <w:r w:rsidRPr="00B22E92">
              <w:rPr>
                <w:rFonts w:ascii="Book Antiqua" w:hAnsi="Book Antiqua"/>
              </w:rPr>
              <w:t>5-yr OS (%)</w:t>
            </w:r>
          </w:p>
        </w:tc>
        <w:tc>
          <w:tcPr>
            <w:tcW w:w="1096" w:type="dxa"/>
            <w:hideMark/>
          </w:tcPr>
          <w:p w14:paraId="01451931" w14:textId="77777777" w:rsidR="00B22E92" w:rsidRPr="00B22E92" w:rsidRDefault="00B22E92" w:rsidP="00B22E92">
            <w:pPr>
              <w:spacing w:line="360" w:lineRule="auto"/>
              <w:jc w:val="both"/>
              <w:rPr>
                <w:rFonts w:ascii="Book Antiqua" w:hAnsi="Book Antiqua"/>
              </w:rPr>
            </w:pPr>
            <w:r w:rsidRPr="00B22E92">
              <w:rPr>
                <w:rFonts w:ascii="Book Antiqua" w:hAnsi="Book Antiqua"/>
              </w:rPr>
              <w:t>63.7 (51.1-79.4)</w:t>
            </w:r>
          </w:p>
        </w:tc>
        <w:tc>
          <w:tcPr>
            <w:tcW w:w="1096" w:type="dxa"/>
            <w:hideMark/>
          </w:tcPr>
          <w:p w14:paraId="52E42598" w14:textId="77777777" w:rsidR="00B22E92" w:rsidRPr="00B22E92" w:rsidRDefault="00B22E92" w:rsidP="00B22E92">
            <w:pPr>
              <w:spacing w:line="360" w:lineRule="auto"/>
              <w:jc w:val="both"/>
              <w:rPr>
                <w:rFonts w:ascii="Book Antiqua" w:hAnsi="Book Antiqua"/>
              </w:rPr>
            </w:pPr>
            <w:r w:rsidRPr="00B22E92">
              <w:rPr>
                <w:rFonts w:ascii="Book Antiqua" w:hAnsi="Book Antiqua"/>
              </w:rPr>
              <w:t>64.4 (56.6-73.4)</w:t>
            </w:r>
          </w:p>
        </w:tc>
        <w:tc>
          <w:tcPr>
            <w:tcW w:w="1096" w:type="dxa"/>
            <w:hideMark/>
          </w:tcPr>
          <w:p w14:paraId="15832C49" w14:textId="77777777" w:rsidR="00B22E92" w:rsidRPr="00B22E92" w:rsidRDefault="00B22E92" w:rsidP="00B22E92">
            <w:pPr>
              <w:spacing w:line="360" w:lineRule="auto"/>
              <w:jc w:val="both"/>
              <w:rPr>
                <w:rFonts w:ascii="Book Antiqua" w:hAnsi="Book Antiqua"/>
              </w:rPr>
            </w:pPr>
            <w:r w:rsidRPr="00B22E92">
              <w:rPr>
                <w:rFonts w:ascii="Book Antiqua" w:hAnsi="Book Antiqua"/>
              </w:rPr>
              <w:t>52.8 (37.1-75.1)</w:t>
            </w:r>
          </w:p>
        </w:tc>
        <w:tc>
          <w:tcPr>
            <w:tcW w:w="1345" w:type="dxa"/>
            <w:hideMark/>
          </w:tcPr>
          <w:p w14:paraId="6446B952" w14:textId="77777777" w:rsidR="00B22E92" w:rsidRPr="00B22E92" w:rsidRDefault="00B22E92" w:rsidP="00B22E92">
            <w:pPr>
              <w:spacing w:line="360" w:lineRule="auto"/>
              <w:jc w:val="both"/>
              <w:rPr>
                <w:rFonts w:ascii="Book Antiqua" w:hAnsi="Book Antiqua"/>
              </w:rPr>
            </w:pPr>
            <w:r w:rsidRPr="00B22E92">
              <w:rPr>
                <w:rFonts w:ascii="Book Antiqua" w:hAnsi="Book Antiqua"/>
              </w:rPr>
              <w:t>42.8 (23.8-76.8)</w:t>
            </w:r>
          </w:p>
        </w:tc>
      </w:tr>
      <w:tr w:rsidR="00B22E92" w:rsidRPr="00B22E92" w14:paraId="4767CD71" w14:textId="77777777" w:rsidTr="00B22E92">
        <w:trPr>
          <w:trHeight w:val="960"/>
        </w:trPr>
        <w:tc>
          <w:tcPr>
            <w:tcW w:w="1968" w:type="dxa"/>
            <w:vMerge/>
            <w:hideMark/>
          </w:tcPr>
          <w:p w14:paraId="267C781E" w14:textId="77777777" w:rsidR="00B22E92" w:rsidRPr="00B22E92" w:rsidRDefault="00B22E92" w:rsidP="00B22E92">
            <w:pPr>
              <w:spacing w:line="360" w:lineRule="auto"/>
              <w:jc w:val="both"/>
              <w:rPr>
                <w:rFonts w:ascii="Book Antiqua" w:hAnsi="Book Antiqua"/>
              </w:rPr>
            </w:pPr>
          </w:p>
        </w:tc>
        <w:tc>
          <w:tcPr>
            <w:tcW w:w="1292" w:type="dxa"/>
            <w:vMerge/>
            <w:hideMark/>
          </w:tcPr>
          <w:p w14:paraId="1018E19B" w14:textId="77777777" w:rsidR="00B22E92" w:rsidRPr="00B22E92" w:rsidRDefault="00B22E92" w:rsidP="00B22E92">
            <w:pPr>
              <w:spacing w:line="360" w:lineRule="auto"/>
              <w:jc w:val="both"/>
              <w:rPr>
                <w:rFonts w:ascii="Book Antiqua" w:hAnsi="Book Antiqua"/>
              </w:rPr>
            </w:pPr>
          </w:p>
        </w:tc>
        <w:tc>
          <w:tcPr>
            <w:tcW w:w="1323" w:type="dxa"/>
            <w:hideMark/>
          </w:tcPr>
          <w:p w14:paraId="2593AE75" w14:textId="3F5BF5BF" w:rsidR="00B22E92" w:rsidRPr="00B22E92" w:rsidRDefault="00B22E92" w:rsidP="00B22E92">
            <w:pPr>
              <w:spacing w:line="360" w:lineRule="auto"/>
              <w:jc w:val="both"/>
              <w:rPr>
                <w:rFonts w:ascii="Book Antiqua" w:hAnsi="Book Antiqua"/>
              </w:rPr>
            </w:pPr>
            <w:r w:rsidRPr="00B22E92">
              <w:rPr>
                <w:rFonts w:ascii="Book Antiqua" w:hAnsi="Book Antiqua"/>
              </w:rPr>
              <w:t>5-yr PFS (%)</w:t>
            </w:r>
          </w:p>
        </w:tc>
        <w:tc>
          <w:tcPr>
            <w:tcW w:w="1096" w:type="dxa"/>
            <w:hideMark/>
          </w:tcPr>
          <w:p w14:paraId="2D988C5B" w14:textId="77777777" w:rsidR="00B22E92" w:rsidRPr="00B22E92" w:rsidRDefault="00B22E92" w:rsidP="00B22E92">
            <w:pPr>
              <w:spacing w:line="360" w:lineRule="auto"/>
              <w:jc w:val="both"/>
              <w:rPr>
                <w:rFonts w:ascii="Book Antiqua" w:hAnsi="Book Antiqua"/>
              </w:rPr>
            </w:pPr>
            <w:r w:rsidRPr="00B22E92">
              <w:rPr>
                <w:rFonts w:ascii="Book Antiqua" w:hAnsi="Book Antiqua"/>
              </w:rPr>
              <w:t>61.2 (48.8-76.8)</w:t>
            </w:r>
          </w:p>
        </w:tc>
        <w:tc>
          <w:tcPr>
            <w:tcW w:w="1096" w:type="dxa"/>
            <w:hideMark/>
          </w:tcPr>
          <w:p w14:paraId="504D4E55" w14:textId="77777777" w:rsidR="00B22E92" w:rsidRPr="00B22E92" w:rsidRDefault="00B22E92" w:rsidP="00B22E92">
            <w:pPr>
              <w:spacing w:line="360" w:lineRule="auto"/>
              <w:jc w:val="both"/>
              <w:rPr>
                <w:rFonts w:ascii="Book Antiqua" w:hAnsi="Book Antiqua"/>
              </w:rPr>
            </w:pPr>
            <w:r w:rsidRPr="00B22E92">
              <w:rPr>
                <w:rFonts w:ascii="Book Antiqua" w:hAnsi="Book Antiqua"/>
              </w:rPr>
              <w:t>59.8 (51.8-68.9)</w:t>
            </w:r>
          </w:p>
        </w:tc>
        <w:tc>
          <w:tcPr>
            <w:tcW w:w="1096" w:type="dxa"/>
            <w:hideMark/>
          </w:tcPr>
          <w:p w14:paraId="40C2F376" w14:textId="77777777" w:rsidR="00B22E92" w:rsidRPr="00B22E92" w:rsidRDefault="00B22E92" w:rsidP="00B22E92">
            <w:pPr>
              <w:spacing w:line="360" w:lineRule="auto"/>
              <w:jc w:val="both"/>
              <w:rPr>
                <w:rFonts w:ascii="Book Antiqua" w:hAnsi="Book Antiqua"/>
              </w:rPr>
            </w:pPr>
            <w:r w:rsidRPr="00B22E92">
              <w:rPr>
                <w:rFonts w:ascii="Book Antiqua" w:hAnsi="Book Antiqua"/>
              </w:rPr>
              <w:t>52.7 (47.5-74.0)</w:t>
            </w:r>
          </w:p>
        </w:tc>
        <w:tc>
          <w:tcPr>
            <w:tcW w:w="1345" w:type="dxa"/>
            <w:hideMark/>
          </w:tcPr>
          <w:p w14:paraId="1202D4E1" w14:textId="77777777" w:rsidR="00B22E92" w:rsidRPr="00B22E92" w:rsidRDefault="00B22E92" w:rsidP="00B22E92">
            <w:pPr>
              <w:spacing w:line="360" w:lineRule="auto"/>
              <w:jc w:val="both"/>
              <w:rPr>
                <w:rFonts w:ascii="Book Antiqua" w:hAnsi="Book Antiqua"/>
              </w:rPr>
            </w:pPr>
            <w:r w:rsidRPr="00B22E92">
              <w:rPr>
                <w:rFonts w:ascii="Book Antiqua" w:hAnsi="Book Antiqua"/>
              </w:rPr>
              <w:t>38.8 (21.0-71.9)</w:t>
            </w:r>
          </w:p>
        </w:tc>
      </w:tr>
      <w:tr w:rsidR="00B22E92" w:rsidRPr="00B22E92" w14:paraId="33E42267" w14:textId="77777777" w:rsidTr="00B22E92">
        <w:trPr>
          <w:trHeight w:val="645"/>
        </w:trPr>
        <w:tc>
          <w:tcPr>
            <w:tcW w:w="1968" w:type="dxa"/>
            <w:vMerge w:val="restart"/>
            <w:hideMark/>
          </w:tcPr>
          <w:p w14:paraId="74415020" w14:textId="0C0615E8" w:rsidR="00B22E92" w:rsidRPr="00B22E92" w:rsidRDefault="00B22E92" w:rsidP="00B22E92">
            <w:pPr>
              <w:spacing w:line="360" w:lineRule="auto"/>
              <w:jc w:val="both"/>
              <w:rPr>
                <w:rFonts w:ascii="Book Antiqua" w:hAnsi="Book Antiqua"/>
              </w:rPr>
            </w:pPr>
            <w:proofErr w:type="spellStart"/>
            <w:r w:rsidRPr="00B22E92">
              <w:rPr>
                <w:rFonts w:ascii="Book Antiqua" w:hAnsi="Book Antiqua"/>
              </w:rPr>
              <w:t>Guinney</w:t>
            </w:r>
            <w:proofErr w:type="spellEnd"/>
            <w:r w:rsidRPr="00B22E92">
              <w:rPr>
                <w:rFonts w:ascii="Book Antiqua" w:hAnsi="Book Antiqua"/>
              </w:rPr>
              <w:t xml:space="preserve"> </w:t>
            </w:r>
            <w:r w:rsidRPr="00B22E92">
              <w:rPr>
                <w:rFonts w:ascii="Book Antiqua" w:hAnsi="Book Antiqua"/>
                <w:i/>
                <w:iCs/>
              </w:rPr>
              <w:t xml:space="preserve">et </w:t>
            </w:r>
            <w:proofErr w:type="gramStart"/>
            <w:r w:rsidRPr="00B22E92">
              <w:rPr>
                <w:rFonts w:ascii="Book Antiqua" w:hAnsi="Book Antiqua"/>
                <w:i/>
                <w:iCs/>
              </w:rPr>
              <w:t>al</w:t>
            </w:r>
            <w:r w:rsidRPr="00B22E92">
              <w:rPr>
                <w:rFonts w:ascii="Book Antiqua" w:hAnsi="Book Antiqua"/>
                <w:vertAlign w:val="superscript"/>
              </w:rPr>
              <w:t>[</w:t>
            </w:r>
            <w:proofErr w:type="gramEnd"/>
            <w:r w:rsidRPr="00B22E92">
              <w:rPr>
                <w:rFonts w:ascii="Book Antiqua" w:hAnsi="Book Antiqua"/>
                <w:vertAlign w:val="superscript"/>
              </w:rPr>
              <w:t>8]</w:t>
            </w:r>
            <w:r w:rsidRPr="00B22E92">
              <w:rPr>
                <w:rFonts w:ascii="Book Antiqua" w:hAnsi="Book Antiqua"/>
              </w:rPr>
              <w:t>, 2015</w:t>
            </w:r>
          </w:p>
        </w:tc>
        <w:tc>
          <w:tcPr>
            <w:tcW w:w="1292" w:type="dxa"/>
            <w:vMerge w:val="restart"/>
            <w:hideMark/>
          </w:tcPr>
          <w:p w14:paraId="08ABC0EF" w14:textId="77777777" w:rsidR="00B22E92" w:rsidRPr="00B22E92" w:rsidRDefault="00B22E92" w:rsidP="00B22E92">
            <w:pPr>
              <w:spacing w:line="360" w:lineRule="auto"/>
              <w:jc w:val="both"/>
              <w:rPr>
                <w:rFonts w:ascii="Book Antiqua" w:hAnsi="Book Antiqua"/>
              </w:rPr>
            </w:pPr>
            <w:r w:rsidRPr="00B22E92">
              <w:rPr>
                <w:rFonts w:ascii="Book Antiqua" w:hAnsi="Book Antiqua"/>
              </w:rPr>
              <w:t>2129</w:t>
            </w:r>
          </w:p>
        </w:tc>
        <w:tc>
          <w:tcPr>
            <w:tcW w:w="1323" w:type="dxa"/>
            <w:hideMark/>
          </w:tcPr>
          <w:p w14:paraId="4015341E" w14:textId="713709A0" w:rsidR="00B22E92" w:rsidRPr="00B22E92" w:rsidRDefault="00B22E92" w:rsidP="00B22E92">
            <w:pPr>
              <w:spacing w:line="360" w:lineRule="auto"/>
              <w:jc w:val="both"/>
              <w:rPr>
                <w:rFonts w:ascii="Book Antiqua" w:hAnsi="Book Antiqua"/>
              </w:rPr>
            </w:pPr>
            <w:r w:rsidRPr="00B22E92">
              <w:rPr>
                <w:rFonts w:ascii="Book Antiqua" w:hAnsi="Book Antiqua"/>
              </w:rPr>
              <w:t>5-yr OS (%)</w:t>
            </w:r>
          </w:p>
        </w:tc>
        <w:tc>
          <w:tcPr>
            <w:tcW w:w="1096" w:type="dxa"/>
            <w:hideMark/>
          </w:tcPr>
          <w:p w14:paraId="087D2B95" w14:textId="77777777" w:rsidR="00B22E92" w:rsidRPr="00B22E92" w:rsidRDefault="00B22E92" w:rsidP="00B22E92">
            <w:pPr>
              <w:spacing w:line="360" w:lineRule="auto"/>
              <w:jc w:val="both"/>
              <w:rPr>
                <w:rFonts w:ascii="Book Antiqua" w:hAnsi="Book Antiqua"/>
              </w:rPr>
            </w:pPr>
            <w:r w:rsidRPr="00B22E92">
              <w:rPr>
                <w:rFonts w:ascii="Book Antiqua" w:hAnsi="Book Antiqua"/>
              </w:rPr>
              <w:t>74 (70-75)</w:t>
            </w:r>
          </w:p>
        </w:tc>
        <w:tc>
          <w:tcPr>
            <w:tcW w:w="1096" w:type="dxa"/>
            <w:hideMark/>
          </w:tcPr>
          <w:p w14:paraId="44FDADF3" w14:textId="77777777" w:rsidR="00B22E92" w:rsidRPr="00B22E92" w:rsidRDefault="00B22E92" w:rsidP="00B22E92">
            <w:pPr>
              <w:spacing w:line="360" w:lineRule="auto"/>
              <w:jc w:val="both"/>
              <w:rPr>
                <w:rFonts w:ascii="Book Antiqua" w:hAnsi="Book Antiqua"/>
              </w:rPr>
            </w:pPr>
            <w:r w:rsidRPr="00B22E92">
              <w:rPr>
                <w:rFonts w:ascii="Book Antiqua" w:hAnsi="Book Antiqua"/>
              </w:rPr>
              <w:t>77 (74-80)</w:t>
            </w:r>
          </w:p>
        </w:tc>
        <w:tc>
          <w:tcPr>
            <w:tcW w:w="1096" w:type="dxa"/>
            <w:hideMark/>
          </w:tcPr>
          <w:p w14:paraId="53070D4E" w14:textId="77777777" w:rsidR="00B22E92" w:rsidRPr="00B22E92" w:rsidRDefault="00B22E92" w:rsidP="00B22E92">
            <w:pPr>
              <w:spacing w:line="360" w:lineRule="auto"/>
              <w:jc w:val="both"/>
              <w:rPr>
                <w:rFonts w:ascii="Book Antiqua" w:hAnsi="Book Antiqua"/>
              </w:rPr>
            </w:pPr>
            <w:r w:rsidRPr="00B22E92">
              <w:rPr>
                <w:rFonts w:ascii="Book Antiqua" w:hAnsi="Book Antiqua"/>
              </w:rPr>
              <w:t>75 (70-80)</w:t>
            </w:r>
          </w:p>
        </w:tc>
        <w:tc>
          <w:tcPr>
            <w:tcW w:w="1345" w:type="dxa"/>
            <w:hideMark/>
          </w:tcPr>
          <w:p w14:paraId="509654DB" w14:textId="77777777" w:rsidR="00B22E92" w:rsidRPr="00B22E92" w:rsidRDefault="00B22E92" w:rsidP="00B22E92">
            <w:pPr>
              <w:spacing w:line="360" w:lineRule="auto"/>
              <w:jc w:val="both"/>
              <w:rPr>
                <w:rFonts w:ascii="Book Antiqua" w:hAnsi="Book Antiqua"/>
              </w:rPr>
            </w:pPr>
            <w:r w:rsidRPr="00B22E92">
              <w:rPr>
                <w:rFonts w:ascii="Book Antiqua" w:hAnsi="Book Antiqua"/>
              </w:rPr>
              <w:t>62 (58-66)</w:t>
            </w:r>
          </w:p>
        </w:tc>
      </w:tr>
      <w:tr w:rsidR="00B22E92" w:rsidRPr="00B22E92" w14:paraId="278806BB" w14:textId="77777777" w:rsidTr="00B22E92">
        <w:trPr>
          <w:trHeight w:val="645"/>
        </w:trPr>
        <w:tc>
          <w:tcPr>
            <w:tcW w:w="1968" w:type="dxa"/>
            <w:vMerge/>
            <w:hideMark/>
          </w:tcPr>
          <w:p w14:paraId="5208A355" w14:textId="77777777" w:rsidR="00B22E92" w:rsidRPr="00B22E92" w:rsidRDefault="00B22E92" w:rsidP="00B22E92">
            <w:pPr>
              <w:spacing w:line="360" w:lineRule="auto"/>
              <w:jc w:val="both"/>
              <w:rPr>
                <w:rFonts w:ascii="Book Antiqua" w:hAnsi="Book Antiqua"/>
                <w:b/>
                <w:bCs/>
              </w:rPr>
            </w:pPr>
          </w:p>
        </w:tc>
        <w:tc>
          <w:tcPr>
            <w:tcW w:w="1292" w:type="dxa"/>
            <w:vMerge/>
            <w:hideMark/>
          </w:tcPr>
          <w:p w14:paraId="306ECC85" w14:textId="77777777" w:rsidR="00B22E92" w:rsidRPr="00B22E92" w:rsidRDefault="00B22E92" w:rsidP="00B22E92">
            <w:pPr>
              <w:spacing w:line="360" w:lineRule="auto"/>
              <w:jc w:val="both"/>
              <w:rPr>
                <w:rFonts w:ascii="Book Antiqua" w:hAnsi="Book Antiqua"/>
              </w:rPr>
            </w:pPr>
          </w:p>
        </w:tc>
        <w:tc>
          <w:tcPr>
            <w:tcW w:w="1323" w:type="dxa"/>
            <w:hideMark/>
          </w:tcPr>
          <w:p w14:paraId="25A8DF96" w14:textId="1CE7349E" w:rsidR="00B22E92" w:rsidRPr="00B22E92" w:rsidRDefault="00B22E92" w:rsidP="00B22E92">
            <w:pPr>
              <w:spacing w:line="360" w:lineRule="auto"/>
              <w:jc w:val="both"/>
              <w:rPr>
                <w:rFonts w:ascii="Book Antiqua" w:hAnsi="Book Antiqua"/>
              </w:rPr>
            </w:pPr>
            <w:r w:rsidRPr="00B22E92">
              <w:rPr>
                <w:rFonts w:ascii="Book Antiqua" w:hAnsi="Book Antiqua"/>
              </w:rPr>
              <w:t>5-yr DFS (%)</w:t>
            </w:r>
          </w:p>
        </w:tc>
        <w:tc>
          <w:tcPr>
            <w:tcW w:w="1096" w:type="dxa"/>
            <w:hideMark/>
          </w:tcPr>
          <w:p w14:paraId="5A964C17" w14:textId="77777777" w:rsidR="00B22E92" w:rsidRPr="00B22E92" w:rsidRDefault="00B22E92" w:rsidP="00B22E92">
            <w:pPr>
              <w:spacing w:line="360" w:lineRule="auto"/>
              <w:jc w:val="both"/>
              <w:rPr>
                <w:rFonts w:ascii="Book Antiqua" w:hAnsi="Book Antiqua"/>
              </w:rPr>
            </w:pPr>
            <w:r w:rsidRPr="00B22E92">
              <w:rPr>
                <w:rFonts w:ascii="Book Antiqua" w:hAnsi="Book Antiqua"/>
              </w:rPr>
              <w:t>75 (70-80)</w:t>
            </w:r>
          </w:p>
        </w:tc>
        <w:tc>
          <w:tcPr>
            <w:tcW w:w="1096" w:type="dxa"/>
            <w:hideMark/>
          </w:tcPr>
          <w:p w14:paraId="52F1FCF3" w14:textId="77777777" w:rsidR="00B22E92" w:rsidRPr="00B22E92" w:rsidRDefault="00B22E92" w:rsidP="00B22E92">
            <w:pPr>
              <w:spacing w:line="360" w:lineRule="auto"/>
              <w:jc w:val="both"/>
              <w:rPr>
                <w:rFonts w:ascii="Book Antiqua" w:hAnsi="Book Antiqua"/>
              </w:rPr>
            </w:pPr>
            <w:r w:rsidRPr="00B22E92">
              <w:rPr>
                <w:rFonts w:ascii="Book Antiqua" w:hAnsi="Book Antiqua"/>
              </w:rPr>
              <w:t>73 (70-77)</w:t>
            </w:r>
          </w:p>
        </w:tc>
        <w:tc>
          <w:tcPr>
            <w:tcW w:w="1096" w:type="dxa"/>
            <w:hideMark/>
          </w:tcPr>
          <w:p w14:paraId="2881D404" w14:textId="77777777" w:rsidR="00B22E92" w:rsidRPr="00B22E92" w:rsidRDefault="00B22E92" w:rsidP="00B22E92">
            <w:pPr>
              <w:spacing w:line="360" w:lineRule="auto"/>
              <w:jc w:val="both"/>
              <w:rPr>
                <w:rFonts w:ascii="Book Antiqua" w:hAnsi="Book Antiqua"/>
              </w:rPr>
            </w:pPr>
            <w:r w:rsidRPr="00B22E92">
              <w:rPr>
                <w:rFonts w:ascii="Book Antiqua" w:hAnsi="Book Antiqua"/>
              </w:rPr>
              <w:t>73 (68-80)</w:t>
            </w:r>
          </w:p>
        </w:tc>
        <w:tc>
          <w:tcPr>
            <w:tcW w:w="1345" w:type="dxa"/>
            <w:hideMark/>
          </w:tcPr>
          <w:p w14:paraId="17AF59D9" w14:textId="77777777" w:rsidR="00B22E92" w:rsidRPr="00B22E92" w:rsidRDefault="00B22E92" w:rsidP="00B22E92">
            <w:pPr>
              <w:spacing w:line="360" w:lineRule="auto"/>
              <w:jc w:val="both"/>
              <w:rPr>
                <w:rFonts w:ascii="Book Antiqua" w:hAnsi="Book Antiqua"/>
              </w:rPr>
            </w:pPr>
            <w:r w:rsidRPr="00B22E92">
              <w:rPr>
                <w:rFonts w:ascii="Book Antiqua" w:hAnsi="Book Antiqua"/>
              </w:rPr>
              <w:t>60 (55-65)</w:t>
            </w:r>
          </w:p>
        </w:tc>
      </w:tr>
      <w:tr w:rsidR="00B22E92" w:rsidRPr="00B22E92" w14:paraId="2165C336" w14:textId="77777777" w:rsidTr="00B22E92">
        <w:trPr>
          <w:trHeight w:val="345"/>
        </w:trPr>
        <w:tc>
          <w:tcPr>
            <w:tcW w:w="9216" w:type="dxa"/>
            <w:gridSpan w:val="7"/>
            <w:hideMark/>
          </w:tcPr>
          <w:p w14:paraId="28770861" w14:textId="77777777" w:rsidR="00B22E92" w:rsidRPr="00B22E92" w:rsidRDefault="00B22E92" w:rsidP="00B22E92">
            <w:pPr>
              <w:spacing w:line="360" w:lineRule="auto"/>
              <w:jc w:val="both"/>
              <w:rPr>
                <w:rFonts w:ascii="Book Antiqua" w:hAnsi="Book Antiqua"/>
                <w:b/>
                <w:bCs/>
              </w:rPr>
            </w:pPr>
            <w:r w:rsidRPr="00B22E92">
              <w:rPr>
                <w:rFonts w:ascii="Book Antiqua" w:hAnsi="Book Antiqua"/>
                <w:b/>
                <w:bCs/>
              </w:rPr>
              <w:t>Stage II</w:t>
            </w:r>
          </w:p>
        </w:tc>
      </w:tr>
      <w:tr w:rsidR="00B22E92" w:rsidRPr="00B22E92" w14:paraId="195FAC72" w14:textId="77777777" w:rsidTr="00B22E92">
        <w:trPr>
          <w:trHeight w:val="675"/>
        </w:trPr>
        <w:tc>
          <w:tcPr>
            <w:tcW w:w="1968" w:type="dxa"/>
            <w:hideMark/>
          </w:tcPr>
          <w:p w14:paraId="57FEA1F1" w14:textId="6C04EC91" w:rsidR="00B22E92" w:rsidRPr="00B22E92" w:rsidRDefault="00B22E92" w:rsidP="00B22E92">
            <w:pPr>
              <w:spacing w:line="360" w:lineRule="auto"/>
              <w:jc w:val="both"/>
              <w:rPr>
                <w:rFonts w:ascii="Book Antiqua" w:hAnsi="Book Antiqua"/>
              </w:rPr>
            </w:pPr>
            <w:r w:rsidRPr="00B22E92">
              <w:rPr>
                <w:rFonts w:ascii="Book Antiqua" w:hAnsi="Book Antiqua"/>
              </w:rPr>
              <w:t xml:space="preserve">Shinto </w:t>
            </w:r>
            <w:r w:rsidRPr="00B22E92">
              <w:rPr>
                <w:rFonts w:ascii="Book Antiqua" w:hAnsi="Book Antiqua"/>
                <w:i/>
                <w:iCs/>
              </w:rPr>
              <w:t xml:space="preserve">et </w:t>
            </w:r>
            <w:proofErr w:type="gramStart"/>
            <w:r w:rsidRPr="00B22E92">
              <w:rPr>
                <w:rFonts w:ascii="Book Antiqua" w:hAnsi="Book Antiqua"/>
                <w:i/>
                <w:iCs/>
              </w:rPr>
              <w:t>al</w:t>
            </w:r>
            <w:r w:rsidRPr="00B22E92">
              <w:rPr>
                <w:rFonts w:ascii="Book Antiqua" w:hAnsi="Book Antiqua"/>
                <w:vertAlign w:val="superscript"/>
              </w:rPr>
              <w:t>[</w:t>
            </w:r>
            <w:proofErr w:type="gramEnd"/>
            <w:r w:rsidRPr="00B22E92">
              <w:rPr>
                <w:rFonts w:ascii="Book Antiqua" w:hAnsi="Book Antiqua"/>
                <w:vertAlign w:val="superscript"/>
              </w:rPr>
              <w:t>36]</w:t>
            </w:r>
            <w:r w:rsidRPr="00B22E92">
              <w:rPr>
                <w:rFonts w:ascii="Book Antiqua" w:hAnsi="Book Antiqua"/>
              </w:rPr>
              <w:t>, 2020</w:t>
            </w:r>
          </w:p>
        </w:tc>
        <w:tc>
          <w:tcPr>
            <w:tcW w:w="1292" w:type="dxa"/>
            <w:hideMark/>
          </w:tcPr>
          <w:p w14:paraId="5E9784A6" w14:textId="77777777" w:rsidR="00B22E92" w:rsidRPr="00B22E92" w:rsidRDefault="00B22E92" w:rsidP="00B22E92">
            <w:pPr>
              <w:spacing w:line="360" w:lineRule="auto"/>
              <w:jc w:val="both"/>
              <w:rPr>
                <w:rFonts w:ascii="Book Antiqua" w:hAnsi="Book Antiqua"/>
              </w:rPr>
            </w:pPr>
            <w:r w:rsidRPr="00B22E92">
              <w:rPr>
                <w:rFonts w:ascii="Book Antiqua" w:hAnsi="Book Antiqua"/>
              </w:rPr>
              <w:t>232</w:t>
            </w:r>
          </w:p>
        </w:tc>
        <w:tc>
          <w:tcPr>
            <w:tcW w:w="1323" w:type="dxa"/>
            <w:hideMark/>
          </w:tcPr>
          <w:p w14:paraId="75C8B5EF" w14:textId="424002FB" w:rsidR="00B22E92" w:rsidRPr="00B22E92" w:rsidRDefault="00B22E92" w:rsidP="00B22E92">
            <w:pPr>
              <w:spacing w:line="360" w:lineRule="auto"/>
              <w:jc w:val="both"/>
              <w:rPr>
                <w:rFonts w:ascii="Book Antiqua" w:hAnsi="Book Antiqua"/>
              </w:rPr>
            </w:pPr>
            <w:r w:rsidRPr="00B22E92">
              <w:rPr>
                <w:rFonts w:ascii="Book Antiqua" w:hAnsi="Book Antiqua"/>
              </w:rPr>
              <w:t>5-yr DFS (%)</w:t>
            </w:r>
          </w:p>
        </w:tc>
        <w:tc>
          <w:tcPr>
            <w:tcW w:w="1096" w:type="dxa"/>
            <w:hideMark/>
          </w:tcPr>
          <w:p w14:paraId="2FF885AA" w14:textId="77777777" w:rsidR="00B22E92" w:rsidRPr="00B22E92" w:rsidRDefault="00B22E92" w:rsidP="00B22E92">
            <w:pPr>
              <w:spacing w:line="360" w:lineRule="auto"/>
              <w:jc w:val="both"/>
              <w:rPr>
                <w:rFonts w:ascii="Book Antiqua" w:hAnsi="Book Antiqua"/>
              </w:rPr>
            </w:pPr>
            <w:r w:rsidRPr="00B22E92">
              <w:rPr>
                <w:rFonts w:ascii="Book Antiqua" w:hAnsi="Book Antiqua"/>
              </w:rPr>
              <w:t>100</w:t>
            </w:r>
          </w:p>
        </w:tc>
        <w:tc>
          <w:tcPr>
            <w:tcW w:w="1096" w:type="dxa"/>
            <w:hideMark/>
          </w:tcPr>
          <w:p w14:paraId="6C2C9DB3" w14:textId="77777777" w:rsidR="00B22E92" w:rsidRPr="00B22E92" w:rsidRDefault="00B22E92" w:rsidP="00B22E92">
            <w:pPr>
              <w:spacing w:line="360" w:lineRule="auto"/>
              <w:jc w:val="both"/>
              <w:rPr>
                <w:rFonts w:ascii="Book Antiqua" w:hAnsi="Book Antiqua"/>
              </w:rPr>
            </w:pPr>
            <w:r w:rsidRPr="00B22E92">
              <w:rPr>
                <w:rFonts w:ascii="Book Antiqua" w:hAnsi="Book Antiqua"/>
              </w:rPr>
              <w:t>85.5</w:t>
            </w:r>
          </w:p>
        </w:tc>
        <w:tc>
          <w:tcPr>
            <w:tcW w:w="1096" w:type="dxa"/>
            <w:hideMark/>
          </w:tcPr>
          <w:p w14:paraId="06AADF28" w14:textId="77777777" w:rsidR="00B22E92" w:rsidRPr="00B22E92" w:rsidRDefault="00B22E92" w:rsidP="00B22E92">
            <w:pPr>
              <w:spacing w:line="360" w:lineRule="auto"/>
              <w:jc w:val="both"/>
              <w:rPr>
                <w:rFonts w:ascii="Book Antiqua" w:hAnsi="Book Antiqua"/>
              </w:rPr>
            </w:pPr>
            <w:r w:rsidRPr="00B22E92">
              <w:rPr>
                <w:rFonts w:ascii="Book Antiqua" w:hAnsi="Book Antiqua"/>
              </w:rPr>
              <w:t>92.3</w:t>
            </w:r>
          </w:p>
        </w:tc>
        <w:tc>
          <w:tcPr>
            <w:tcW w:w="1345" w:type="dxa"/>
            <w:hideMark/>
          </w:tcPr>
          <w:p w14:paraId="643FB036" w14:textId="77777777" w:rsidR="00B22E92" w:rsidRPr="00B22E92" w:rsidRDefault="00B22E92" w:rsidP="00B22E92">
            <w:pPr>
              <w:spacing w:line="360" w:lineRule="auto"/>
              <w:jc w:val="both"/>
              <w:rPr>
                <w:rFonts w:ascii="Book Antiqua" w:hAnsi="Book Antiqua"/>
              </w:rPr>
            </w:pPr>
            <w:r w:rsidRPr="00B22E92">
              <w:rPr>
                <w:rFonts w:ascii="Book Antiqua" w:hAnsi="Book Antiqua"/>
              </w:rPr>
              <w:t>73</w:t>
            </w:r>
          </w:p>
        </w:tc>
      </w:tr>
      <w:tr w:rsidR="00B22E92" w:rsidRPr="00B22E92" w14:paraId="5355AFBC" w14:textId="77777777" w:rsidTr="00B22E92">
        <w:trPr>
          <w:trHeight w:val="345"/>
        </w:trPr>
        <w:tc>
          <w:tcPr>
            <w:tcW w:w="9216" w:type="dxa"/>
            <w:gridSpan w:val="7"/>
            <w:hideMark/>
          </w:tcPr>
          <w:p w14:paraId="066747BE" w14:textId="77777777" w:rsidR="00B22E92" w:rsidRPr="00B22E92" w:rsidRDefault="00B22E92" w:rsidP="00B22E92">
            <w:pPr>
              <w:spacing w:line="360" w:lineRule="auto"/>
              <w:jc w:val="both"/>
              <w:rPr>
                <w:rFonts w:ascii="Book Antiqua" w:hAnsi="Book Antiqua"/>
                <w:b/>
                <w:bCs/>
              </w:rPr>
            </w:pPr>
            <w:r w:rsidRPr="00B22E92">
              <w:rPr>
                <w:rFonts w:ascii="Book Antiqua" w:hAnsi="Book Antiqua"/>
                <w:b/>
                <w:bCs/>
              </w:rPr>
              <w:t>Stage IV</w:t>
            </w:r>
          </w:p>
        </w:tc>
      </w:tr>
      <w:tr w:rsidR="00B22E92" w:rsidRPr="00B22E92" w14:paraId="303AA6C4" w14:textId="77777777" w:rsidTr="00B22E92">
        <w:trPr>
          <w:trHeight w:val="960"/>
        </w:trPr>
        <w:tc>
          <w:tcPr>
            <w:tcW w:w="1968" w:type="dxa"/>
            <w:vMerge w:val="restart"/>
            <w:hideMark/>
          </w:tcPr>
          <w:p w14:paraId="19439BC3" w14:textId="41F7F947" w:rsidR="00B22E92" w:rsidRPr="00B22E92" w:rsidRDefault="00B22E92" w:rsidP="00B22E92">
            <w:pPr>
              <w:spacing w:line="360" w:lineRule="auto"/>
              <w:jc w:val="both"/>
              <w:rPr>
                <w:rFonts w:ascii="Book Antiqua" w:hAnsi="Book Antiqua"/>
              </w:rPr>
            </w:pPr>
            <w:r w:rsidRPr="00B22E92">
              <w:rPr>
                <w:rFonts w:ascii="Book Antiqua" w:hAnsi="Book Antiqua"/>
              </w:rPr>
              <w:t xml:space="preserve">Borelli </w:t>
            </w:r>
            <w:r w:rsidRPr="00B22E92">
              <w:rPr>
                <w:rFonts w:ascii="Book Antiqua" w:hAnsi="Book Antiqua"/>
                <w:i/>
                <w:iCs/>
              </w:rPr>
              <w:t xml:space="preserve">et </w:t>
            </w:r>
            <w:proofErr w:type="gramStart"/>
            <w:r w:rsidRPr="00B22E92">
              <w:rPr>
                <w:rFonts w:ascii="Book Antiqua" w:hAnsi="Book Antiqua"/>
                <w:i/>
                <w:iCs/>
              </w:rPr>
              <w:t>al</w:t>
            </w:r>
            <w:r w:rsidRPr="00B22E92">
              <w:rPr>
                <w:rFonts w:ascii="Book Antiqua" w:hAnsi="Book Antiqua"/>
                <w:vertAlign w:val="superscript"/>
              </w:rPr>
              <w:t>[</w:t>
            </w:r>
            <w:proofErr w:type="gramEnd"/>
            <w:r w:rsidRPr="00B22E92">
              <w:rPr>
                <w:rFonts w:ascii="Book Antiqua" w:hAnsi="Book Antiqua"/>
                <w:vertAlign w:val="superscript"/>
              </w:rPr>
              <w:t>43]</w:t>
            </w:r>
            <w:r w:rsidRPr="00B22E92">
              <w:rPr>
                <w:rFonts w:ascii="Book Antiqua" w:hAnsi="Book Antiqua"/>
              </w:rPr>
              <w:t>, 2021</w:t>
            </w:r>
          </w:p>
        </w:tc>
        <w:tc>
          <w:tcPr>
            <w:tcW w:w="1292" w:type="dxa"/>
            <w:vMerge w:val="restart"/>
            <w:hideMark/>
          </w:tcPr>
          <w:p w14:paraId="51BB40DC" w14:textId="77777777" w:rsidR="00B22E92" w:rsidRPr="00B22E92" w:rsidRDefault="00B22E92" w:rsidP="00B22E92">
            <w:pPr>
              <w:spacing w:line="360" w:lineRule="auto"/>
              <w:jc w:val="both"/>
              <w:rPr>
                <w:rFonts w:ascii="Book Antiqua" w:hAnsi="Book Antiqua"/>
              </w:rPr>
            </w:pPr>
            <w:r w:rsidRPr="00B22E92">
              <w:rPr>
                <w:rFonts w:ascii="Book Antiqua" w:hAnsi="Book Antiqua"/>
              </w:rPr>
              <w:t>426</w:t>
            </w:r>
          </w:p>
        </w:tc>
        <w:tc>
          <w:tcPr>
            <w:tcW w:w="1323" w:type="dxa"/>
            <w:hideMark/>
          </w:tcPr>
          <w:p w14:paraId="17B41A88" w14:textId="26DA0EA4" w:rsidR="00B22E92" w:rsidRPr="00B22E92" w:rsidRDefault="00B22E92" w:rsidP="00B22E92">
            <w:pPr>
              <w:spacing w:line="360" w:lineRule="auto"/>
              <w:jc w:val="both"/>
              <w:rPr>
                <w:rFonts w:ascii="Book Antiqua" w:hAnsi="Book Antiqua"/>
              </w:rPr>
            </w:pPr>
            <w:r w:rsidRPr="00B22E92">
              <w:rPr>
                <w:rFonts w:ascii="Book Antiqua" w:hAnsi="Book Antiqua"/>
              </w:rPr>
              <w:t>OS (</w:t>
            </w:r>
            <w:proofErr w:type="spellStart"/>
            <w:r>
              <w:rPr>
                <w:rFonts w:ascii="Book Antiqua" w:hAnsi="Book Antiqua"/>
              </w:rPr>
              <w:t>mo</w:t>
            </w:r>
            <w:proofErr w:type="spellEnd"/>
            <w:r w:rsidRPr="00B22E92">
              <w:rPr>
                <w:rFonts w:ascii="Book Antiqua" w:hAnsi="Book Antiqua"/>
              </w:rPr>
              <w:t>)</w:t>
            </w:r>
          </w:p>
        </w:tc>
        <w:tc>
          <w:tcPr>
            <w:tcW w:w="1096" w:type="dxa"/>
            <w:hideMark/>
          </w:tcPr>
          <w:p w14:paraId="736A8861" w14:textId="77777777" w:rsidR="00B22E92" w:rsidRPr="00B22E92" w:rsidRDefault="00B22E92" w:rsidP="00B22E92">
            <w:pPr>
              <w:spacing w:line="360" w:lineRule="auto"/>
              <w:jc w:val="both"/>
              <w:rPr>
                <w:rFonts w:ascii="Book Antiqua" w:hAnsi="Book Antiqua"/>
              </w:rPr>
            </w:pPr>
            <w:r w:rsidRPr="00B22E92">
              <w:rPr>
                <w:rFonts w:ascii="Book Antiqua" w:hAnsi="Book Antiqua"/>
              </w:rPr>
              <w:t>13.7 (6.1-27.9)</w:t>
            </w:r>
          </w:p>
        </w:tc>
        <w:tc>
          <w:tcPr>
            <w:tcW w:w="1096" w:type="dxa"/>
            <w:hideMark/>
          </w:tcPr>
          <w:p w14:paraId="58FEDB30" w14:textId="77777777" w:rsidR="00B22E92" w:rsidRPr="00B22E92" w:rsidRDefault="00B22E92" w:rsidP="00B22E92">
            <w:pPr>
              <w:spacing w:line="360" w:lineRule="auto"/>
              <w:jc w:val="both"/>
              <w:rPr>
                <w:rFonts w:ascii="Book Antiqua" w:hAnsi="Book Antiqua"/>
              </w:rPr>
            </w:pPr>
            <w:r w:rsidRPr="00B22E92">
              <w:rPr>
                <w:rFonts w:ascii="Book Antiqua" w:hAnsi="Book Antiqua"/>
              </w:rPr>
              <w:t>27.0 (23.9-30.1)</w:t>
            </w:r>
          </w:p>
        </w:tc>
        <w:tc>
          <w:tcPr>
            <w:tcW w:w="1096" w:type="dxa"/>
            <w:hideMark/>
          </w:tcPr>
          <w:p w14:paraId="442B9448" w14:textId="77777777" w:rsidR="00B22E92" w:rsidRPr="00B22E92" w:rsidRDefault="00B22E92" w:rsidP="00B22E92">
            <w:pPr>
              <w:spacing w:line="360" w:lineRule="auto"/>
              <w:jc w:val="both"/>
              <w:rPr>
                <w:rFonts w:ascii="Book Antiqua" w:hAnsi="Book Antiqua"/>
              </w:rPr>
            </w:pPr>
            <w:r w:rsidRPr="00B22E92">
              <w:rPr>
                <w:rFonts w:ascii="Book Antiqua" w:hAnsi="Book Antiqua"/>
              </w:rPr>
              <w:t>18.3 (16.1-24.0)</w:t>
            </w:r>
          </w:p>
        </w:tc>
        <w:tc>
          <w:tcPr>
            <w:tcW w:w="1345" w:type="dxa"/>
            <w:hideMark/>
          </w:tcPr>
          <w:p w14:paraId="56E471CF" w14:textId="77777777" w:rsidR="00B22E92" w:rsidRPr="00B22E92" w:rsidRDefault="00B22E92" w:rsidP="00B22E92">
            <w:pPr>
              <w:spacing w:line="360" w:lineRule="auto"/>
              <w:jc w:val="both"/>
              <w:rPr>
                <w:rFonts w:ascii="Book Antiqua" w:hAnsi="Book Antiqua"/>
              </w:rPr>
            </w:pPr>
            <w:r w:rsidRPr="00B22E92">
              <w:rPr>
                <w:rFonts w:ascii="Book Antiqua" w:hAnsi="Book Antiqua"/>
              </w:rPr>
              <w:t>26.2 (21.4-29.9)</w:t>
            </w:r>
          </w:p>
        </w:tc>
      </w:tr>
      <w:tr w:rsidR="00B22E92" w:rsidRPr="00B22E92" w14:paraId="2DB184F9" w14:textId="77777777" w:rsidTr="00B22E92">
        <w:trPr>
          <w:trHeight w:val="960"/>
        </w:trPr>
        <w:tc>
          <w:tcPr>
            <w:tcW w:w="1968" w:type="dxa"/>
            <w:vMerge/>
            <w:hideMark/>
          </w:tcPr>
          <w:p w14:paraId="551C8624" w14:textId="77777777" w:rsidR="00B22E92" w:rsidRPr="00B22E92" w:rsidRDefault="00B22E92" w:rsidP="00B22E92">
            <w:pPr>
              <w:spacing w:line="360" w:lineRule="auto"/>
              <w:jc w:val="both"/>
              <w:rPr>
                <w:rFonts w:ascii="Book Antiqua" w:hAnsi="Book Antiqua"/>
              </w:rPr>
            </w:pPr>
          </w:p>
        </w:tc>
        <w:tc>
          <w:tcPr>
            <w:tcW w:w="1292" w:type="dxa"/>
            <w:vMerge/>
            <w:hideMark/>
          </w:tcPr>
          <w:p w14:paraId="42530438" w14:textId="77777777" w:rsidR="00B22E92" w:rsidRPr="00B22E92" w:rsidRDefault="00B22E92" w:rsidP="00B22E92">
            <w:pPr>
              <w:spacing w:line="360" w:lineRule="auto"/>
              <w:jc w:val="both"/>
              <w:rPr>
                <w:rFonts w:ascii="Book Antiqua" w:hAnsi="Book Antiqua"/>
              </w:rPr>
            </w:pPr>
          </w:p>
        </w:tc>
        <w:tc>
          <w:tcPr>
            <w:tcW w:w="1323" w:type="dxa"/>
            <w:hideMark/>
          </w:tcPr>
          <w:p w14:paraId="05D5BCD4" w14:textId="79EBFC11" w:rsidR="00B22E92" w:rsidRPr="00B22E92" w:rsidRDefault="00B22E92" w:rsidP="00B22E92">
            <w:pPr>
              <w:spacing w:line="360" w:lineRule="auto"/>
              <w:jc w:val="both"/>
              <w:rPr>
                <w:rFonts w:ascii="Book Antiqua" w:hAnsi="Book Antiqua"/>
              </w:rPr>
            </w:pPr>
            <w:r w:rsidRPr="00B22E92">
              <w:rPr>
                <w:rFonts w:ascii="Book Antiqua" w:hAnsi="Book Antiqua"/>
              </w:rPr>
              <w:t>PFS (</w:t>
            </w:r>
            <w:proofErr w:type="spellStart"/>
            <w:r>
              <w:rPr>
                <w:rFonts w:ascii="Book Antiqua" w:hAnsi="Book Antiqua"/>
              </w:rPr>
              <w:t>mo</w:t>
            </w:r>
            <w:proofErr w:type="spellEnd"/>
            <w:r w:rsidRPr="00B22E92">
              <w:rPr>
                <w:rFonts w:ascii="Book Antiqua" w:hAnsi="Book Antiqua"/>
              </w:rPr>
              <w:t>)</w:t>
            </w:r>
          </w:p>
        </w:tc>
        <w:tc>
          <w:tcPr>
            <w:tcW w:w="1096" w:type="dxa"/>
            <w:hideMark/>
          </w:tcPr>
          <w:p w14:paraId="73B9B461" w14:textId="77777777" w:rsidR="00B22E92" w:rsidRPr="00B22E92" w:rsidRDefault="00B22E92" w:rsidP="00B22E92">
            <w:pPr>
              <w:spacing w:line="360" w:lineRule="auto"/>
              <w:jc w:val="both"/>
              <w:rPr>
                <w:rFonts w:ascii="Book Antiqua" w:hAnsi="Book Antiqua"/>
              </w:rPr>
            </w:pPr>
            <w:r w:rsidRPr="00B22E92">
              <w:rPr>
                <w:rFonts w:ascii="Book Antiqua" w:hAnsi="Book Antiqua"/>
              </w:rPr>
              <w:t>5.4 (3.8-9.9)</w:t>
            </w:r>
          </w:p>
        </w:tc>
        <w:tc>
          <w:tcPr>
            <w:tcW w:w="1096" w:type="dxa"/>
            <w:hideMark/>
          </w:tcPr>
          <w:p w14:paraId="3649E340" w14:textId="77777777" w:rsidR="00B22E92" w:rsidRPr="00B22E92" w:rsidRDefault="00B22E92" w:rsidP="00B22E92">
            <w:pPr>
              <w:spacing w:line="360" w:lineRule="auto"/>
              <w:jc w:val="both"/>
              <w:rPr>
                <w:rFonts w:ascii="Book Antiqua" w:hAnsi="Book Antiqua"/>
              </w:rPr>
            </w:pPr>
            <w:r w:rsidRPr="00B22E92">
              <w:rPr>
                <w:rFonts w:ascii="Book Antiqua" w:hAnsi="Book Antiqua"/>
              </w:rPr>
              <w:t>12.9 (11.0-14.3)</w:t>
            </w:r>
          </w:p>
        </w:tc>
        <w:tc>
          <w:tcPr>
            <w:tcW w:w="1096" w:type="dxa"/>
            <w:hideMark/>
          </w:tcPr>
          <w:p w14:paraId="4B9FEB63" w14:textId="77777777" w:rsidR="00B22E92" w:rsidRPr="00B22E92" w:rsidRDefault="00B22E92" w:rsidP="00B22E92">
            <w:pPr>
              <w:spacing w:line="360" w:lineRule="auto"/>
              <w:jc w:val="both"/>
              <w:rPr>
                <w:rFonts w:ascii="Book Antiqua" w:hAnsi="Book Antiqua"/>
              </w:rPr>
            </w:pPr>
            <w:r w:rsidRPr="00B22E92">
              <w:rPr>
                <w:rFonts w:ascii="Book Antiqua" w:hAnsi="Book Antiqua"/>
              </w:rPr>
              <w:t>8.3 (7.4-10.1)</w:t>
            </w:r>
          </w:p>
        </w:tc>
        <w:tc>
          <w:tcPr>
            <w:tcW w:w="1345" w:type="dxa"/>
            <w:hideMark/>
          </w:tcPr>
          <w:p w14:paraId="51160656" w14:textId="77777777" w:rsidR="00B22E92" w:rsidRPr="00B22E92" w:rsidRDefault="00B22E92" w:rsidP="00B22E92">
            <w:pPr>
              <w:spacing w:line="360" w:lineRule="auto"/>
              <w:jc w:val="both"/>
              <w:rPr>
                <w:rFonts w:ascii="Book Antiqua" w:hAnsi="Book Antiqua"/>
              </w:rPr>
            </w:pPr>
            <w:r w:rsidRPr="00B22E92">
              <w:rPr>
                <w:rFonts w:ascii="Book Antiqua" w:hAnsi="Book Antiqua"/>
              </w:rPr>
              <w:t>10.7 (9.8-13.1)</w:t>
            </w:r>
          </w:p>
        </w:tc>
      </w:tr>
      <w:tr w:rsidR="00B22E92" w:rsidRPr="00B22E92" w14:paraId="5B463C45" w14:textId="77777777" w:rsidTr="00B22E92">
        <w:trPr>
          <w:trHeight w:val="960"/>
        </w:trPr>
        <w:tc>
          <w:tcPr>
            <w:tcW w:w="1968" w:type="dxa"/>
            <w:vMerge w:val="restart"/>
            <w:hideMark/>
          </w:tcPr>
          <w:p w14:paraId="0E470EB7" w14:textId="278B3E98" w:rsidR="00B22E92" w:rsidRPr="00B22E92" w:rsidRDefault="00B22E92" w:rsidP="00B22E92">
            <w:pPr>
              <w:spacing w:line="360" w:lineRule="auto"/>
              <w:jc w:val="both"/>
              <w:rPr>
                <w:rFonts w:ascii="Book Antiqua" w:hAnsi="Book Antiqua"/>
              </w:rPr>
            </w:pPr>
            <w:proofErr w:type="spellStart"/>
            <w:r w:rsidRPr="00B22E92">
              <w:rPr>
                <w:rFonts w:ascii="Book Antiqua" w:hAnsi="Book Antiqua"/>
              </w:rPr>
              <w:t>Stintzing</w:t>
            </w:r>
            <w:proofErr w:type="spellEnd"/>
            <w:r w:rsidRPr="00B22E92">
              <w:rPr>
                <w:rFonts w:ascii="Book Antiqua" w:hAnsi="Book Antiqua"/>
              </w:rPr>
              <w:t xml:space="preserve"> </w:t>
            </w:r>
            <w:r w:rsidRPr="00B22E92">
              <w:rPr>
                <w:rFonts w:ascii="Book Antiqua" w:hAnsi="Book Antiqua"/>
                <w:i/>
                <w:iCs/>
              </w:rPr>
              <w:t xml:space="preserve">et </w:t>
            </w:r>
            <w:proofErr w:type="gramStart"/>
            <w:r w:rsidRPr="00B22E92">
              <w:rPr>
                <w:rFonts w:ascii="Book Antiqua" w:hAnsi="Book Antiqua"/>
                <w:i/>
                <w:iCs/>
              </w:rPr>
              <w:t>al</w:t>
            </w:r>
            <w:r w:rsidRPr="00B22E92">
              <w:rPr>
                <w:rFonts w:ascii="Book Antiqua" w:hAnsi="Book Antiqua"/>
                <w:vertAlign w:val="superscript"/>
              </w:rPr>
              <w:t>[</w:t>
            </w:r>
            <w:proofErr w:type="gramEnd"/>
            <w:r w:rsidRPr="00B22E92">
              <w:rPr>
                <w:rFonts w:ascii="Book Antiqua" w:hAnsi="Book Antiqua"/>
                <w:vertAlign w:val="superscript"/>
              </w:rPr>
              <w:t>20]</w:t>
            </w:r>
            <w:r w:rsidRPr="00B22E92">
              <w:rPr>
                <w:rFonts w:ascii="Book Antiqua" w:hAnsi="Book Antiqua"/>
              </w:rPr>
              <w:t>, 20</w:t>
            </w:r>
            <w:r>
              <w:rPr>
                <w:rFonts w:ascii="Book Antiqua" w:hAnsi="Book Antiqua"/>
              </w:rPr>
              <w:t>19</w:t>
            </w:r>
          </w:p>
        </w:tc>
        <w:tc>
          <w:tcPr>
            <w:tcW w:w="1292" w:type="dxa"/>
            <w:vMerge w:val="restart"/>
            <w:hideMark/>
          </w:tcPr>
          <w:p w14:paraId="570C362E" w14:textId="77777777" w:rsidR="00B22E92" w:rsidRPr="00B22E92" w:rsidRDefault="00B22E92" w:rsidP="00B22E92">
            <w:pPr>
              <w:spacing w:line="360" w:lineRule="auto"/>
              <w:jc w:val="both"/>
              <w:rPr>
                <w:rFonts w:ascii="Book Antiqua" w:hAnsi="Book Antiqua"/>
              </w:rPr>
            </w:pPr>
            <w:r w:rsidRPr="00B22E92">
              <w:rPr>
                <w:rFonts w:ascii="Book Antiqua" w:hAnsi="Book Antiqua"/>
              </w:rPr>
              <w:t>438</w:t>
            </w:r>
          </w:p>
        </w:tc>
        <w:tc>
          <w:tcPr>
            <w:tcW w:w="1323" w:type="dxa"/>
            <w:hideMark/>
          </w:tcPr>
          <w:p w14:paraId="0A87694B" w14:textId="6E7D88C2" w:rsidR="00B22E92" w:rsidRPr="00B22E92" w:rsidRDefault="00B22E92" w:rsidP="00B22E92">
            <w:pPr>
              <w:spacing w:line="360" w:lineRule="auto"/>
              <w:jc w:val="both"/>
              <w:rPr>
                <w:rFonts w:ascii="Book Antiqua" w:hAnsi="Book Antiqua"/>
              </w:rPr>
            </w:pPr>
            <w:r w:rsidRPr="00B22E92">
              <w:rPr>
                <w:rFonts w:ascii="Book Antiqua" w:hAnsi="Book Antiqua"/>
              </w:rPr>
              <w:t>OS (</w:t>
            </w:r>
            <w:proofErr w:type="spellStart"/>
            <w:r>
              <w:rPr>
                <w:rFonts w:ascii="Book Antiqua" w:hAnsi="Book Antiqua"/>
              </w:rPr>
              <w:t>mo</w:t>
            </w:r>
            <w:proofErr w:type="spellEnd"/>
            <w:r w:rsidRPr="00B22E92">
              <w:rPr>
                <w:rFonts w:ascii="Book Antiqua" w:hAnsi="Book Antiqua"/>
              </w:rPr>
              <w:t>)</w:t>
            </w:r>
          </w:p>
        </w:tc>
        <w:tc>
          <w:tcPr>
            <w:tcW w:w="1096" w:type="dxa"/>
            <w:hideMark/>
          </w:tcPr>
          <w:p w14:paraId="07DF08EA" w14:textId="77777777" w:rsidR="00B22E92" w:rsidRPr="00B22E92" w:rsidRDefault="00B22E92" w:rsidP="00B22E92">
            <w:pPr>
              <w:spacing w:line="360" w:lineRule="auto"/>
              <w:jc w:val="both"/>
              <w:rPr>
                <w:rFonts w:ascii="Book Antiqua" w:hAnsi="Book Antiqua"/>
              </w:rPr>
            </w:pPr>
            <w:r w:rsidRPr="00B22E92">
              <w:rPr>
                <w:rFonts w:ascii="Book Antiqua" w:hAnsi="Book Antiqua"/>
              </w:rPr>
              <w:t>15.9 (11.0-20.8)</w:t>
            </w:r>
          </w:p>
        </w:tc>
        <w:tc>
          <w:tcPr>
            <w:tcW w:w="1096" w:type="dxa"/>
            <w:hideMark/>
          </w:tcPr>
          <w:p w14:paraId="1265A1FF" w14:textId="77777777" w:rsidR="00B22E92" w:rsidRPr="00B22E92" w:rsidRDefault="00B22E92" w:rsidP="00B22E92">
            <w:pPr>
              <w:spacing w:line="360" w:lineRule="auto"/>
              <w:jc w:val="both"/>
              <w:rPr>
                <w:rFonts w:ascii="Book Antiqua" w:hAnsi="Book Antiqua"/>
              </w:rPr>
            </w:pPr>
            <w:r w:rsidRPr="00B22E92">
              <w:rPr>
                <w:rFonts w:ascii="Book Antiqua" w:hAnsi="Book Antiqua"/>
              </w:rPr>
              <w:t>29.0 (26.7-31.4)</w:t>
            </w:r>
          </w:p>
        </w:tc>
        <w:tc>
          <w:tcPr>
            <w:tcW w:w="1096" w:type="dxa"/>
            <w:hideMark/>
          </w:tcPr>
          <w:p w14:paraId="600474D3" w14:textId="77777777" w:rsidR="00B22E92" w:rsidRPr="00B22E92" w:rsidRDefault="00B22E92" w:rsidP="00B22E92">
            <w:pPr>
              <w:spacing w:line="360" w:lineRule="auto"/>
              <w:jc w:val="both"/>
              <w:rPr>
                <w:rFonts w:ascii="Book Antiqua" w:hAnsi="Book Antiqua"/>
              </w:rPr>
            </w:pPr>
            <w:r w:rsidRPr="00B22E92">
              <w:rPr>
                <w:rFonts w:ascii="Book Antiqua" w:hAnsi="Book Antiqua"/>
              </w:rPr>
              <w:t>18.6 (15.4-21.7)</w:t>
            </w:r>
          </w:p>
        </w:tc>
        <w:tc>
          <w:tcPr>
            <w:tcW w:w="1345" w:type="dxa"/>
            <w:hideMark/>
          </w:tcPr>
          <w:p w14:paraId="26029D8B" w14:textId="77777777" w:rsidR="00B22E92" w:rsidRPr="00B22E92" w:rsidRDefault="00B22E92" w:rsidP="00B22E92">
            <w:pPr>
              <w:spacing w:line="360" w:lineRule="auto"/>
              <w:jc w:val="both"/>
              <w:rPr>
                <w:rFonts w:ascii="Book Antiqua" w:hAnsi="Book Antiqua"/>
              </w:rPr>
            </w:pPr>
            <w:r w:rsidRPr="00B22E92">
              <w:rPr>
                <w:rFonts w:ascii="Book Antiqua" w:hAnsi="Book Antiqua"/>
              </w:rPr>
              <w:t>24.8 (22.6-27.1)</w:t>
            </w:r>
          </w:p>
        </w:tc>
      </w:tr>
      <w:tr w:rsidR="00B22E92" w:rsidRPr="00B22E92" w14:paraId="24037E69" w14:textId="77777777" w:rsidTr="00B22E92">
        <w:trPr>
          <w:trHeight w:val="960"/>
        </w:trPr>
        <w:tc>
          <w:tcPr>
            <w:tcW w:w="1968" w:type="dxa"/>
            <w:vMerge/>
            <w:hideMark/>
          </w:tcPr>
          <w:p w14:paraId="30831CE7" w14:textId="77777777" w:rsidR="00B22E92" w:rsidRPr="00B22E92" w:rsidRDefault="00B22E92" w:rsidP="00B22E92">
            <w:pPr>
              <w:spacing w:line="360" w:lineRule="auto"/>
              <w:jc w:val="both"/>
              <w:rPr>
                <w:rFonts w:ascii="Book Antiqua" w:hAnsi="Book Antiqua"/>
                <w:b/>
                <w:bCs/>
              </w:rPr>
            </w:pPr>
          </w:p>
        </w:tc>
        <w:tc>
          <w:tcPr>
            <w:tcW w:w="1292" w:type="dxa"/>
            <w:vMerge/>
            <w:hideMark/>
          </w:tcPr>
          <w:p w14:paraId="30F88ABB" w14:textId="77777777" w:rsidR="00B22E92" w:rsidRPr="00B22E92" w:rsidRDefault="00B22E92" w:rsidP="00B22E92">
            <w:pPr>
              <w:spacing w:line="360" w:lineRule="auto"/>
              <w:jc w:val="both"/>
              <w:rPr>
                <w:rFonts w:ascii="Book Antiqua" w:hAnsi="Book Antiqua"/>
              </w:rPr>
            </w:pPr>
          </w:p>
        </w:tc>
        <w:tc>
          <w:tcPr>
            <w:tcW w:w="1323" w:type="dxa"/>
            <w:hideMark/>
          </w:tcPr>
          <w:p w14:paraId="49EF0658" w14:textId="392F6E34" w:rsidR="00B22E92" w:rsidRPr="00B22E92" w:rsidRDefault="00B22E92" w:rsidP="00B22E92">
            <w:pPr>
              <w:spacing w:line="360" w:lineRule="auto"/>
              <w:jc w:val="both"/>
              <w:rPr>
                <w:rFonts w:ascii="Book Antiqua" w:hAnsi="Book Antiqua"/>
              </w:rPr>
            </w:pPr>
            <w:r w:rsidRPr="00B22E92">
              <w:rPr>
                <w:rFonts w:ascii="Book Antiqua" w:hAnsi="Book Antiqua"/>
              </w:rPr>
              <w:t>PFS (</w:t>
            </w:r>
            <w:proofErr w:type="spellStart"/>
            <w:r>
              <w:rPr>
                <w:rFonts w:ascii="Book Antiqua" w:hAnsi="Book Antiqua"/>
              </w:rPr>
              <w:t>mo</w:t>
            </w:r>
            <w:proofErr w:type="spellEnd"/>
            <w:r w:rsidRPr="00B22E92">
              <w:rPr>
                <w:rFonts w:ascii="Book Antiqua" w:hAnsi="Book Antiqua"/>
              </w:rPr>
              <w:t>)</w:t>
            </w:r>
          </w:p>
        </w:tc>
        <w:tc>
          <w:tcPr>
            <w:tcW w:w="1096" w:type="dxa"/>
            <w:hideMark/>
          </w:tcPr>
          <w:p w14:paraId="71D332B6" w14:textId="77777777" w:rsidR="00B22E92" w:rsidRPr="00B22E92" w:rsidRDefault="00B22E92" w:rsidP="00B22E92">
            <w:pPr>
              <w:spacing w:line="360" w:lineRule="auto"/>
              <w:jc w:val="both"/>
              <w:rPr>
                <w:rFonts w:ascii="Book Antiqua" w:hAnsi="Book Antiqua"/>
              </w:rPr>
            </w:pPr>
            <w:r w:rsidRPr="00B22E92">
              <w:rPr>
                <w:rFonts w:ascii="Book Antiqua" w:hAnsi="Book Antiqua"/>
              </w:rPr>
              <w:t>8.2 (6.7-9.6)</w:t>
            </w:r>
          </w:p>
        </w:tc>
        <w:tc>
          <w:tcPr>
            <w:tcW w:w="1096" w:type="dxa"/>
            <w:hideMark/>
          </w:tcPr>
          <w:p w14:paraId="4E4D5AAA" w14:textId="77777777" w:rsidR="00B22E92" w:rsidRPr="00B22E92" w:rsidRDefault="00B22E92" w:rsidP="00B22E92">
            <w:pPr>
              <w:spacing w:line="360" w:lineRule="auto"/>
              <w:jc w:val="both"/>
              <w:rPr>
                <w:rFonts w:ascii="Book Antiqua" w:hAnsi="Book Antiqua"/>
              </w:rPr>
            </w:pPr>
            <w:r w:rsidRPr="00B22E92">
              <w:rPr>
                <w:rFonts w:ascii="Book Antiqua" w:hAnsi="Book Antiqua"/>
              </w:rPr>
              <w:t>11.7 (10.8-12.6)</w:t>
            </w:r>
          </w:p>
        </w:tc>
        <w:tc>
          <w:tcPr>
            <w:tcW w:w="1096" w:type="dxa"/>
            <w:hideMark/>
          </w:tcPr>
          <w:p w14:paraId="089C10FD" w14:textId="77777777" w:rsidR="00B22E92" w:rsidRPr="00B22E92" w:rsidRDefault="00B22E92" w:rsidP="00B22E92">
            <w:pPr>
              <w:spacing w:line="360" w:lineRule="auto"/>
              <w:jc w:val="both"/>
              <w:rPr>
                <w:rFonts w:ascii="Book Antiqua" w:hAnsi="Book Antiqua"/>
              </w:rPr>
            </w:pPr>
            <w:r w:rsidRPr="00B22E92">
              <w:rPr>
                <w:rFonts w:ascii="Book Antiqua" w:hAnsi="Book Antiqua"/>
              </w:rPr>
              <w:t>8.5 (6.8-10.3)</w:t>
            </w:r>
          </w:p>
        </w:tc>
        <w:tc>
          <w:tcPr>
            <w:tcW w:w="1345" w:type="dxa"/>
            <w:hideMark/>
          </w:tcPr>
          <w:p w14:paraId="66447C98" w14:textId="77777777" w:rsidR="00B22E92" w:rsidRPr="00B22E92" w:rsidRDefault="00B22E92" w:rsidP="00B22E92">
            <w:pPr>
              <w:spacing w:line="360" w:lineRule="auto"/>
              <w:jc w:val="both"/>
              <w:rPr>
                <w:rFonts w:ascii="Book Antiqua" w:hAnsi="Book Antiqua"/>
              </w:rPr>
            </w:pPr>
            <w:r w:rsidRPr="00B22E92">
              <w:rPr>
                <w:rFonts w:ascii="Book Antiqua" w:hAnsi="Book Antiqua"/>
              </w:rPr>
              <w:t>9.6 (8.6-10.6)</w:t>
            </w:r>
          </w:p>
        </w:tc>
      </w:tr>
      <w:tr w:rsidR="00B22E92" w:rsidRPr="00B22E92" w14:paraId="15BBDB00" w14:textId="77777777" w:rsidTr="00B22E92">
        <w:trPr>
          <w:trHeight w:val="960"/>
        </w:trPr>
        <w:tc>
          <w:tcPr>
            <w:tcW w:w="1968" w:type="dxa"/>
            <w:vMerge w:val="restart"/>
            <w:hideMark/>
          </w:tcPr>
          <w:p w14:paraId="35154FB2" w14:textId="4E5BED93" w:rsidR="00B22E92" w:rsidRPr="00B22E92" w:rsidRDefault="00B22E92" w:rsidP="00B22E92">
            <w:pPr>
              <w:spacing w:line="360" w:lineRule="auto"/>
              <w:jc w:val="both"/>
              <w:rPr>
                <w:rFonts w:ascii="Book Antiqua" w:hAnsi="Book Antiqua"/>
              </w:rPr>
            </w:pPr>
            <w:r w:rsidRPr="00B22E92">
              <w:rPr>
                <w:rFonts w:ascii="Book Antiqua" w:hAnsi="Book Antiqua"/>
              </w:rPr>
              <w:t xml:space="preserve">Lenz </w:t>
            </w:r>
            <w:r w:rsidRPr="00B22E92">
              <w:rPr>
                <w:rFonts w:ascii="Book Antiqua" w:hAnsi="Book Antiqua"/>
                <w:i/>
                <w:iCs/>
              </w:rPr>
              <w:t xml:space="preserve">et </w:t>
            </w:r>
            <w:proofErr w:type="gramStart"/>
            <w:r w:rsidRPr="00B22E92">
              <w:rPr>
                <w:rFonts w:ascii="Book Antiqua" w:hAnsi="Book Antiqua"/>
                <w:i/>
                <w:iCs/>
              </w:rPr>
              <w:t>al</w:t>
            </w:r>
            <w:r w:rsidRPr="00B22E92">
              <w:rPr>
                <w:rFonts w:ascii="Book Antiqua" w:hAnsi="Book Antiqua"/>
                <w:vertAlign w:val="superscript"/>
              </w:rPr>
              <w:t>[</w:t>
            </w:r>
            <w:proofErr w:type="gramEnd"/>
            <w:r w:rsidRPr="00B22E92">
              <w:rPr>
                <w:rFonts w:ascii="Book Antiqua" w:hAnsi="Book Antiqua"/>
                <w:vertAlign w:val="superscript"/>
              </w:rPr>
              <w:t>16]</w:t>
            </w:r>
            <w:r w:rsidRPr="00B22E92">
              <w:rPr>
                <w:rFonts w:ascii="Book Antiqua" w:hAnsi="Book Antiqua"/>
              </w:rPr>
              <w:t>, 2019</w:t>
            </w:r>
          </w:p>
        </w:tc>
        <w:tc>
          <w:tcPr>
            <w:tcW w:w="1292" w:type="dxa"/>
            <w:vMerge w:val="restart"/>
            <w:hideMark/>
          </w:tcPr>
          <w:p w14:paraId="0D9F396E" w14:textId="77777777" w:rsidR="00B22E92" w:rsidRPr="00B22E92" w:rsidRDefault="00B22E92" w:rsidP="00B22E92">
            <w:pPr>
              <w:spacing w:line="360" w:lineRule="auto"/>
              <w:jc w:val="both"/>
              <w:rPr>
                <w:rFonts w:ascii="Book Antiqua" w:hAnsi="Book Antiqua"/>
              </w:rPr>
            </w:pPr>
            <w:r w:rsidRPr="00B22E92">
              <w:rPr>
                <w:rFonts w:ascii="Book Antiqua" w:hAnsi="Book Antiqua"/>
              </w:rPr>
              <w:t>581</w:t>
            </w:r>
          </w:p>
        </w:tc>
        <w:tc>
          <w:tcPr>
            <w:tcW w:w="1323" w:type="dxa"/>
            <w:hideMark/>
          </w:tcPr>
          <w:p w14:paraId="306AFBAA" w14:textId="777E96FC" w:rsidR="00B22E92" w:rsidRPr="00B22E92" w:rsidRDefault="00B22E92" w:rsidP="00B22E92">
            <w:pPr>
              <w:spacing w:line="360" w:lineRule="auto"/>
              <w:jc w:val="both"/>
              <w:rPr>
                <w:rFonts w:ascii="Book Antiqua" w:hAnsi="Book Antiqua"/>
              </w:rPr>
            </w:pPr>
            <w:r w:rsidRPr="00B22E92">
              <w:rPr>
                <w:rFonts w:ascii="Book Antiqua" w:hAnsi="Book Antiqua"/>
              </w:rPr>
              <w:t>OS (</w:t>
            </w:r>
            <w:proofErr w:type="spellStart"/>
            <w:r>
              <w:rPr>
                <w:rFonts w:ascii="Book Antiqua" w:hAnsi="Book Antiqua"/>
              </w:rPr>
              <w:t>mo</w:t>
            </w:r>
            <w:proofErr w:type="spellEnd"/>
            <w:r w:rsidRPr="00B22E92">
              <w:rPr>
                <w:rFonts w:ascii="Book Antiqua" w:hAnsi="Book Antiqua"/>
              </w:rPr>
              <w:t>)</w:t>
            </w:r>
          </w:p>
        </w:tc>
        <w:tc>
          <w:tcPr>
            <w:tcW w:w="1096" w:type="dxa"/>
            <w:hideMark/>
          </w:tcPr>
          <w:p w14:paraId="13458645" w14:textId="77777777" w:rsidR="00B22E92" w:rsidRPr="00B22E92" w:rsidRDefault="00B22E92" w:rsidP="00B22E92">
            <w:pPr>
              <w:spacing w:line="360" w:lineRule="auto"/>
              <w:jc w:val="both"/>
              <w:rPr>
                <w:rFonts w:ascii="Book Antiqua" w:hAnsi="Book Antiqua"/>
              </w:rPr>
            </w:pPr>
            <w:r w:rsidRPr="00B22E92">
              <w:rPr>
                <w:rFonts w:ascii="Book Antiqua" w:hAnsi="Book Antiqua"/>
              </w:rPr>
              <w:t>15.0 (11.7-22.4)</w:t>
            </w:r>
          </w:p>
        </w:tc>
        <w:tc>
          <w:tcPr>
            <w:tcW w:w="1096" w:type="dxa"/>
            <w:hideMark/>
          </w:tcPr>
          <w:p w14:paraId="6D3CD2EA" w14:textId="77777777" w:rsidR="00B22E92" w:rsidRPr="00B22E92" w:rsidRDefault="00B22E92" w:rsidP="00B22E92">
            <w:pPr>
              <w:spacing w:line="360" w:lineRule="auto"/>
              <w:jc w:val="both"/>
              <w:rPr>
                <w:rFonts w:ascii="Book Antiqua" w:hAnsi="Book Antiqua"/>
              </w:rPr>
            </w:pPr>
            <w:r w:rsidRPr="00B22E92">
              <w:rPr>
                <w:rFonts w:ascii="Book Antiqua" w:hAnsi="Book Antiqua"/>
              </w:rPr>
              <w:t>40.3 (36.1-43.1)</w:t>
            </w:r>
          </w:p>
        </w:tc>
        <w:tc>
          <w:tcPr>
            <w:tcW w:w="1096" w:type="dxa"/>
            <w:hideMark/>
          </w:tcPr>
          <w:p w14:paraId="517450A5" w14:textId="77777777" w:rsidR="00B22E92" w:rsidRPr="00B22E92" w:rsidRDefault="00B22E92" w:rsidP="00B22E92">
            <w:pPr>
              <w:spacing w:line="360" w:lineRule="auto"/>
              <w:jc w:val="both"/>
              <w:rPr>
                <w:rFonts w:ascii="Book Antiqua" w:hAnsi="Book Antiqua"/>
              </w:rPr>
            </w:pPr>
            <w:r w:rsidRPr="00B22E92">
              <w:rPr>
                <w:rFonts w:ascii="Book Antiqua" w:hAnsi="Book Antiqua"/>
              </w:rPr>
              <w:t>24.3 (16.4-29.0)</w:t>
            </w:r>
          </w:p>
        </w:tc>
        <w:tc>
          <w:tcPr>
            <w:tcW w:w="1345" w:type="dxa"/>
            <w:hideMark/>
          </w:tcPr>
          <w:p w14:paraId="7646AAAC" w14:textId="77777777" w:rsidR="00B22E92" w:rsidRPr="00B22E92" w:rsidRDefault="00B22E92" w:rsidP="00B22E92">
            <w:pPr>
              <w:spacing w:line="360" w:lineRule="auto"/>
              <w:jc w:val="both"/>
              <w:rPr>
                <w:rFonts w:ascii="Book Antiqua" w:hAnsi="Book Antiqua"/>
              </w:rPr>
            </w:pPr>
            <w:r w:rsidRPr="00B22E92">
              <w:rPr>
                <w:rFonts w:ascii="Book Antiqua" w:hAnsi="Book Antiqua"/>
              </w:rPr>
              <w:t>31.4 (26.3-36.9)</w:t>
            </w:r>
          </w:p>
        </w:tc>
      </w:tr>
      <w:tr w:rsidR="00B22E92" w:rsidRPr="00B22E92" w14:paraId="2403A966" w14:textId="77777777" w:rsidTr="00B22E92">
        <w:trPr>
          <w:trHeight w:val="960"/>
        </w:trPr>
        <w:tc>
          <w:tcPr>
            <w:tcW w:w="1968" w:type="dxa"/>
            <w:vMerge/>
            <w:hideMark/>
          </w:tcPr>
          <w:p w14:paraId="62CD40E7" w14:textId="77777777" w:rsidR="00B22E92" w:rsidRPr="00B22E92" w:rsidRDefault="00B22E92" w:rsidP="00B22E92">
            <w:pPr>
              <w:spacing w:line="360" w:lineRule="auto"/>
              <w:jc w:val="both"/>
              <w:rPr>
                <w:rFonts w:ascii="Book Antiqua" w:hAnsi="Book Antiqua"/>
              </w:rPr>
            </w:pPr>
          </w:p>
        </w:tc>
        <w:tc>
          <w:tcPr>
            <w:tcW w:w="1292" w:type="dxa"/>
            <w:vMerge/>
            <w:hideMark/>
          </w:tcPr>
          <w:p w14:paraId="773FB6B4" w14:textId="77777777" w:rsidR="00B22E92" w:rsidRPr="00B22E92" w:rsidRDefault="00B22E92" w:rsidP="00B22E92">
            <w:pPr>
              <w:spacing w:line="360" w:lineRule="auto"/>
              <w:jc w:val="both"/>
              <w:rPr>
                <w:rFonts w:ascii="Book Antiqua" w:hAnsi="Book Antiqua"/>
              </w:rPr>
            </w:pPr>
          </w:p>
        </w:tc>
        <w:tc>
          <w:tcPr>
            <w:tcW w:w="1323" w:type="dxa"/>
            <w:hideMark/>
          </w:tcPr>
          <w:p w14:paraId="625120F5" w14:textId="4EC697C1" w:rsidR="00B22E92" w:rsidRPr="00B22E92" w:rsidRDefault="00B22E92" w:rsidP="00B22E92">
            <w:pPr>
              <w:spacing w:line="360" w:lineRule="auto"/>
              <w:jc w:val="both"/>
              <w:rPr>
                <w:rFonts w:ascii="Book Antiqua" w:hAnsi="Book Antiqua"/>
              </w:rPr>
            </w:pPr>
            <w:r w:rsidRPr="00B22E92">
              <w:rPr>
                <w:rFonts w:ascii="Book Antiqua" w:hAnsi="Book Antiqua"/>
              </w:rPr>
              <w:t>PFS (</w:t>
            </w:r>
            <w:proofErr w:type="spellStart"/>
            <w:r>
              <w:rPr>
                <w:rFonts w:ascii="Book Antiqua" w:hAnsi="Book Antiqua"/>
              </w:rPr>
              <w:t>mo</w:t>
            </w:r>
            <w:proofErr w:type="spellEnd"/>
            <w:r w:rsidRPr="00B22E92">
              <w:rPr>
                <w:rFonts w:ascii="Book Antiqua" w:hAnsi="Book Antiqua"/>
              </w:rPr>
              <w:t>)</w:t>
            </w:r>
          </w:p>
        </w:tc>
        <w:tc>
          <w:tcPr>
            <w:tcW w:w="1096" w:type="dxa"/>
            <w:hideMark/>
          </w:tcPr>
          <w:p w14:paraId="5D6A43B9" w14:textId="77777777" w:rsidR="00B22E92" w:rsidRPr="00B22E92" w:rsidRDefault="00B22E92" w:rsidP="00B22E92">
            <w:pPr>
              <w:spacing w:line="360" w:lineRule="auto"/>
              <w:jc w:val="both"/>
              <w:rPr>
                <w:rFonts w:ascii="Book Antiqua" w:hAnsi="Book Antiqua"/>
              </w:rPr>
            </w:pPr>
            <w:r w:rsidRPr="00B22E92">
              <w:rPr>
                <w:rFonts w:ascii="Book Antiqua" w:hAnsi="Book Antiqua"/>
              </w:rPr>
              <w:t>7.1 (5.7-8.6)</w:t>
            </w:r>
          </w:p>
        </w:tc>
        <w:tc>
          <w:tcPr>
            <w:tcW w:w="1096" w:type="dxa"/>
            <w:hideMark/>
          </w:tcPr>
          <w:p w14:paraId="50B4FF8D" w14:textId="77777777" w:rsidR="00B22E92" w:rsidRPr="00B22E92" w:rsidRDefault="00B22E92" w:rsidP="00B22E92">
            <w:pPr>
              <w:spacing w:line="360" w:lineRule="auto"/>
              <w:jc w:val="both"/>
              <w:rPr>
                <w:rFonts w:ascii="Book Antiqua" w:hAnsi="Book Antiqua"/>
              </w:rPr>
            </w:pPr>
            <w:r w:rsidRPr="00B22E92">
              <w:rPr>
                <w:rFonts w:ascii="Book Antiqua" w:hAnsi="Book Antiqua"/>
              </w:rPr>
              <w:t>13.4 (12.8-15.4)</w:t>
            </w:r>
          </w:p>
        </w:tc>
        <w:tc>
          <w:tcPr>
            <w:tcW w:w="1096" w:type="dxa"/>
            <w:hideMark/>
          </w:tcPr>
          <w:p w14:paraId="4ABC9AEA" w14:textId="77777777" w:rsidR="00B22E92" w:rsidRPr="00B22E92" w:rsidRDefault="00B22E92" w:rsidP="00B22E92">
            <w:pPr>
              <w:spacing w:line="360" w:lineRule="auto"/>
              <w:jc w:val="both"/>
              <w:rPr>
                <w:rFonts w:ascii="Book Antiqua" w:hAnsi="Book Antiqua"/>
              </w:rPr>
            </w:pPr>
            <w:r w:rsidRPr="00B22E92">
              <w:rPr>
                <w:rFonts w:ascii="Book Antiqua" w:hAnsi="Book Antiqua"/>
              </w:rPr>
              <w:t>8.7 (7.2-9.8)</w:t>
            </w:r>
          </w:p>
        </w:tc>
        <w:tc>
          <w:tcPr>
            <w:tcW w:w="1345" w:type="dxa"/>
            <w:hideMark/>
          </w:tcPr>
          <w:p w14:paraId="408FE2EB" w14:textId="77777777" w:rsidR="00B22E92" w:rsidRPr="00B22E92" w:rsidRDefault="00B22E92" w:rsidP="00B22E92">
            <w:pPr>
              <w:spacing w:line="360" w:lineRule="auto"/>
              <w:jc w:val="both"/>
              <w:rPr>
                <w:rFonts w:ascii="Book Antiqua" w:hAnsi="Book Antiqua"/>
              </w:rPr>
            </w:pPr>
            <w:r w:rsidRPr="00B22E92">
              <w:rPr>
                <w:rFonts w:ascii="Book Antiqua" w:hAnsi="Book Antiqua"/>
              </w:rPr>
              <w:t>11.0 (9.7-12.0)</w:t>
            </w:r>
          </w:p>
        </w:tc>
      </w:tr>
      <w:tr w:rsidR="00B22E92" w:rsidRPr="00B22E92" w14:paraId="1EDF6037" w14:textId="77777777" w:rsidTr="00B22E92">
        <w:trPr>
          <w:trHeight w:val="960"/>
        </w:trPr>
        <w:tc>
          <w:tcPr>
            <w:tcW w:w="1968" w:type="dxa"/>
            <w:vMerge w:val="restart"/>
            <w:hideMark/>
          </w:tcPr>
          <w:p w14:paraId="3B86746A" w14:textId="35580AB4" w:rsidR="00B22E92" w:rsidRPr="00B22E92" w:rsidRDefault="00B22E92" w:rsidP="00B22E92">
            <w:pPr>
              <w:spacing w:line="360" w:lineRule="auto"/>
              <w:jc w:val="both"/>
              <w:rPr>
                <w:rFonts w:ascii="Book Antiqua" w:hAnsi="Book Antiqua"/>
              </w:rPr>
            </w:pPr>
            <w:r w:rsidRPr="00B22E92">
              <w:rPr>
                <w:rFonts w:ascii="Book Antiqua" w:hAnsi="Book Antiqua"/>
              </w:rPr>
              <w:t xml:space="preserve">Mooi </w:t>
            </w:r>
            <w:r w:rsidRPr="00B22E92">
              <w:rPr>
                <w:rFonts w:ascii="Book Antiqua" w:hAnsi="Book Antiqua"/>
                <w:i/>
                <w:iCs/>
              </w:rPr>
              <w:t xml:space="preserve">et </w:t>
            </w:r>
            <w:proofErr w:type="gramStart"/>
            <w:r w:rsidRPr="00B22E92">
              <w:rPr>
                <w:rFonts w:ascii="Book Antiqua" w:hAnsi="Book Antiqua"/>
                <w:i/>
                <w:iCs/>
              </w:rPr>
              <w:t>al</w:t>
            </w:r>
            <w:r w:rsidRPr="00B22E92">
              <w:rPr>
                <w:rFonts w:ascii="Book Antiqua" w:hAnsi="Book Antiqua"/>
                <w:vertAlign w:val="superscript"/>
              </w:rPr>
              <w:t>[</w:t>
            </w:r>
            <w:proofErr w:type="gramEnd"/>
            <w:r w:rsidRPr="00B22E92">
              <w:rPr>
                <w:rFonts w:ascii="Book Antiqua" w:hAnsi="Book Antiqua"/>
                <w:vertAlign w:val="superscript"/>
              </w:rPr>
              <w:t>41]</w:t>
            </w:r>
            <w:r w:rsidRPr="00B22E92">
              <w:rPr>
                <w:rFonts w:ascii="Book Antiqua" w:hAnsi="Book Antiqua"/>
              </w:rPr>
              <w:t>, 2018</w:t>
            </w:r>
          </w:p>
        </w:tc>
        <w:tc>
          <w:tcPr>
            <w:tcW w:w="1292" w:type="dxa"/>
            <w:vMerge w:val="restart"/>
            <w:hideMark/>
          </w:tcPr>
          <w:p w14:paraId="302CCF7D" w14:textId="77777777" w:rsidR="00B22E92" w:rsidRPr="00B22E92" w:rsidRDefault="00B22E92" w:rsidP="00B22E92">
            <w:pPr>
              <w:spacing w:line="360" w:lineRule="auto"/>
              <w:jc w:val="both"/>
              <w:rPr>
                <w:rFonts w:ascii="Book Antiqua" w:hAnsi="Book Antiqua"/>
              </w:rPr>
            </w:pPr>
            <w:r w:rsidRPr="00B22E92">
              <w:rPr>
                <w:rFonts w:ascii="Book Antiqua" w:hAnsi="Book Antiqua"/>
              </w:rPr>
              <w:t>237</w:t>
            </w:r>
          </w:p>
        </w:tc>
        <w:tc>
          <w:tcPr>
            <w:tcW w:w="1323" w:type="dxa"/>
            <w:hideMark/>
          </w:tcPr>
          <w:p w14:paraId="4220C51A" w14:textId="61CFA31A" w:rsidR="00B22E92" w:rsidRPr="00B22E92" w:rsidRDefault="00B22E92" w:rsidP="00B22E92">
            <w:pPr>
              <w:spacing w:line="360" w:lineRule="auto"/>
              <w:jc w:val="both"/>
              <w:rPr>
                <w:rFonts w:ascii="Book Antiqua" w:hAnsi="Book Antiqua"/>
              </w:rPr>
            </w:pPr>
            <w:r w:rsidRPr="00B22E92">
              <w:rPr>
                <w:rFonts w:ascii="Book Antiqua" w:hAnsi="Book Antiqua"/>
              </w:rPr>
              <w:t>OS (</w:t>
            </w:r>
            <w:proofErr w:type="spellStart"/>
            <w:r>
              <w:rPr>
                <w:rFonts w:ascii="Book Antiqua" w:hAnsi="Book Antiqua"/>
              </w:rPr>
              <w:t>mo</w:t>
            </w:r>
            <w:proofErr w:type="spellEnd"/>
            <w:r w:rsidRPr="00B22E92">
              <w:rPr>
                <w:rFonts w:ascii="Book Antiqua" w:hAnsi="Book Antiqua"/>
              </w:rPr>
              <w:t>)</w:t>
            </w:r>
          </w:p>
        </w:tc>
        <w:tc>
          <w:tcPr>
            <w:tcW w:w="1096" w:type="dxa"/>
            <w:hideMark/>
          </w:tcPr>
          <w:p w14:paraId="7E36565A" w14:textId="77777777" w:rsidR="00B22E92" w:rsidRPr="00B22E92" w:rsidRDefault="00B22E92" w:rsidP="00B22E92">
            <w:pPr>
              <w:spacing w:line="360" w:lineRule="auto"/>
              <w:jc w:val="both"/>
              <w:rPr>
                <w:rFonts w:ascii="Book Antiqua" w:hAnsi="Book Antiqua"/>
              </w:rPr>
            </w:pPr>
            <w:r w:rsidRPr="00B22E92">
              <w:rPr>
                <w:rFonts w:ascii="Book Antiqua" w:hAnsi="Book Antiqua"/>
              </w:rPr>
              <w:t>8.8 (6.5-16.0)</w:t>
            </w:r>
          </w:p>
        </w:tc>
        <w:tc>
          <w:tcPr>
            <w:tcW w:w="1096" w:type="dxa"/>
            <w:hideMark/>
          </w:tcPr>
          <w:p w14:paraId="059BA7B8" w14:textId="77777777" w:rsidR="00B22E92" w:rsidRPr="00B22E92" w:rsidRDefault="00B22E92" w:rsidP="00B22E92">
            <w:pPr>
              <w:spacing w:line="360" w:lineRule="auto"/>
              <w:jc w:val="both"/>
              <w:rPr>
                <w:rFonts w:ascii="Book Antiqua" w:hAnsi="Book Antiqua"/>
              </w:rPr>
            </w:pPr>
            <w:r w:rsidRPr="00B22E92">
              <w:rPr>
                <w:rFonts w:ascii="Book Antiqua" w:hAnsi="Book Antiqua"/>
              </w:rPr>
              <w:t>24.2 (19.1-27.4)</w:t>
            </w:r>
          </w:p>
        </w:tc>
        <w:tc>
          <w:tcPr>
            <w:tcW w:w="1096" w:type="dxa"/>
            <w:hideMark/>
          </w:tcPr>
          <w:p w14:paraId="3F7DFC69" w14:textId="77777777" w:rsidR="00B22E92" w:rsidRPr="00B22E92" w:rsidRDefault="00B22E92" w:rsidP="00B22E92">
            <w:pPr>
              <w:spacing w:line="360" w:lineRule="auto"/>
              <w:jc w:val="both"/>
              <w:rPr>
                <w:rFonts w:ascii="Book Antiqua" w:hAnsi="Book Antiqua"/>
              </w:rPr>
            </w:pPr>
            <w:r w:rsidRPr="00B22E92">
              <w:rPr>
                <w:rFonts w:ascii="Book Antiqua" w:hAnsi="Book Antiqua"/>
              </w:rPr>
              <w:t>17.6 (11.3-24.6)</w:t>
            </w:r>
          </w:p>
        </w:tc>
        <w:tc>
          <w:tcPr>
            <w:tcW w:w="1345" w:type="dxa"/>
            <w:hideMark/>
          </w:tcPr>
          <w:p w14:paraId="5F491552" w14:textId="77777777" w:rsidR="00B22E92" w:rsidRPr="00B22E92" w:rsidRDefault="00B22E92" w:rsidP="00B22E92">
            <w:pPr>
              <w:spacing w:line="360" w:lineRule="auto"/>
              <w:jc w:val="both"/>
              <w:rPr>
                <w:rFonts w:ascii="Book Antiqua" w:hAnsi="Book Antiqua"/>
              </w:rPr>
            </w:pPr>
            <w:r w:rsidRPr="00B22E92">
              <w:rPr>
                <w:rFonts w:ascii="Book Antiqua" w:hAnsi="Book Antiqua"/>
              </w:rPr>
              <w:t>21.4 (15.8-23.1)</w:t>
            </w:r>
          </w:p>
        </w:tc>
      </w:tr>
      <w:tr w:rsidR="00B22E92" w:rsidRPr="00B22E92" w14:paraId="5596B07B" w14:textId="77777777" w:rsidTr="00B22E92">
        <w:trPr>
          <w:trHeight w:val="645"/>
        </w:trPr>
        <w:tc>
          <w:tcPr>
            <w:tcW w:w="1968" w:type="dxa"/>
            <w:vMerge/>
            <w:hideMark/>
          </w:tcPr>
          <w:p w14:paraId="7A7AD340" w14:textId="77777777" w:rsidR="00B22E92" w:rsidRPr="00B22E92" w:rsidRDefault="00B22E92" w:rsidP="00B22E92">
            <w:pPr>
              <w:spacing w:line="360" w:lineRule="auto"/>
              <w:jc w:val="both"/>
              <w:rPr>
                <w:rFonts w:ascii="Book Antiqua" w:hAnsi="Book Antiqua"/>
              </w:rPr>
            </w:pPr>
          </w:p>
        </w:tc>
        <w:tc>
          <w:tcPr>
            <w:tcW w:w="1292" w:type="dxa"/>
            <w:vMerge/>
            <w:hideMark/>
          </w:tcPr>
          <w:p w14:paraId="55074412" w14:textId="77777777" w:rsidR="00B22E92" w:rsidRPr="00B22E92" w:rsidRDefault="00B22E92" w:rsidP="00B22E92">
            <w:pPr>
              <w:spacing w:line="360" w:lineRule="auto"/>
              <w:jc w:val="both"/>
              <w:rPr>
                <w:rFonts w:ascii="Book Antiqua" w:hAnsi="Book Antiqua"/>
              </w:rPr>
            </w:pPr>
          </w:p>
        </w:tc>
        <w:tc>
          <w:tcPr>
            <w:tcW w:w="1323" w:type="dxa"/>
            <w:hideMark/>
          </w:tcPr>
          <w:p w14:paraId="12CB5044" w14:textId="49CD2182" w:rsidR="00B22E92" w:rsidRPr="00B22E92" w:rsidRDefault="00B22E92" w:rsidP="00B22E92">
            <w:pPr>
              <w:spacing w:line="360" w:lineRule="auto"/>
              <w:jc w:val="both"/>
              <w:rPr>
                <w:rFonts w:ascii="Book Antiqua" w:hAnsi="Book Antiqua"/>
              </w:rPr>
            </w:pPr>
            <w:r w:rsidRPr="00B22E92">
              <w:rPr>
                <w:rFonts w:ascii="Book Antiqua" w:hAnsi="Book Antiqua"/>
              </w:rPr>
              <w:t>PFS (</w:t>
            </w:r>
            <w:proofErr w:type="spellStart"/>
            <w:r>
              <w:rPr>
                <w:rFonts w:ascii="Book Antiqua" w:hAnsi="Book Antiqua"/>
              </w:rPr>
              <w:t>mo</w:t>
            </w:r>
            <w:proofErr w:type="spellEnd"/>
            <w:r w:rsidRPr="00B22E92">
              <w:rPr>
                <w:rFonts w:ascii="Book Antiqua" w:hAnsi="Book Antiqua"/>
              </w:rPr>
              <w:t>)</w:t>
            </w:r>
          </w:p>
        </w:tc>
        <w:tc>
          <w:tcPr>
            <w:tcW w:w="4633" w:type="dxa"/>
            <w:gridSpan w:val="4"/>
            <w:hideMark/>
          </w:tcPr>
          <w:p w14:paraId="1CD2FF7F" w14:textId="77777777" w:rsidR="00B22E92" w:rsidRPr="00B22E92" w:rsidRDefault="00B22E92" w:rsidP="00B22E92">
            <w:pPr>
              <w:spacing w:line="360" w:lineRule="auto"/>
              <w:jc w:val="both"/>
              <w:rPr>
                <w:rFonts w:ascii="Book Antiqua" w:hAnsi="Book Antiqua"/>
              </w:rPr>
            </w:pPr>
            <w:r w:rsidRPr="00B22E92">
              <w:rPr>
                <w:rFonts w:ascii="Book Antiqua" w:hAnsi="Book Antiqua"/>
              </w:rPr>
              <w:t>No statistical differences in this cohort</w:t>
            </w:r>
          </w:p>
        </w:tc>
      </w:tr>
      <w:tr w:rsidR="00B22E92" w:rsidRPr="00B22E92" w14:paraId="08CDAF1D" w14:textId="77777777" w:rsidTr="00B22E92">
        <w:trPr>
          <w:trHeight w:val="960"/>
        </w:trPr>
        <w:tc>
          <w:tcPr>
            <w:tcW w:w="1968" w:type="dxa"/>
            <w:tcBorders>
              <w:bottom w:val="single" w:sz="4" w:space="0" w:color="auto"/>
            </w:tcBorders>
            <w:hideMark/>
          </w:tcPr>
          <w:p w14:paraId="10FD3F1F" w14:textId="70A61E96" w:rsidR="00B22E92" w:rsidRPr="00B22E92" w:rsidRDefault="00B22E92" w:rsidP="00B22E92">
            <w:pPr>
              <w:spacing w:line="360" w:lineRule="auto"/>
              <w:jc w:val="both"/>
              <w:rPr>
                <w:rFonts w:ascii="Book Antiqua" w:hAnsi="Book Antiqua"/>
              </w:rPr>
            </w:pPr>
            <w:proofErr w:type="spellStart"/>
            <w:r w:rsidRPr="00B22E92">
              <w:rPr>
                <w:rFonts w:ascii="Book Antiqua" w:hAnsi="Book Antiqua"/>
              </w:rPr>
              <w:t>Okita</w:t>
            </w:r>
            <w:proofErr w:type="spellEnd"/>
            <w:r w:rsidRPr="00B22E92">
              <w:rPr>
                <w:rFonts w:ascii="Book Antiqua" w:hAnsi="Book Antiqua"/>
              </w:rPr>
              <w:t xml:space="preserve"> </w:t>
            </w:r>
            <w:r w:rsidRPr="00B22E92">
              <w:rPr>
                <w:rFonts w:ascii="Book Antiqua" w:hAnsi="Book Antiqua"/>
                <w:i/>
                <w:iCs/>
              </w:rPr>
              <w:t xml:space="preserve">et </w:t>
            </w:r>
            <w:proofErr w:type="gramStart"/>
            <w:r w:rsidRPr="00B22E92">
              <w:rPr>
                <w:rFonts w:ascii="Book Antiqua" w:hAnsi="Book Antiqua"/>
                <w:i/>
                <w:iCs/>
              </w:rPr>
              <w:t>al</w:t>
            </w:r>
            <w:r w:rsidRPr="00B22E92">
              <w:rPr>
                <w:rFonts w:ascii="Book Antiqua" w:hAnsi="Book Antiqua"/>
                <w:vertAlign w:val="superscript"/>
              </w:rPr>
              <w:t>[</w:t>
            </w:r>
            <w:proofErr w:type="gramEnd"/>
            <w:r w:rsidRPr="00B22E92">
              <w:rPr>
                <w:rFonts w:ascii="Book Antiqua" w:hAnsi="Book Antiqua"/>
                <w:vertAlign w:val="superscript"/>
              </w:rPr>
              <w:t>42]</w:t>
            </w:r>
            <w:r w:rsidRPr="00B22E92">
              <w:rPr>
                <w:rFonts w:ascii="Book Antiqua" w:hAnsi="Book Antiqua"/>
              </w:rPr>
              <w:t>, 2018</w:t>
            </w:r>
          </w:p>
        </w:tc>
        <w:tc>
          <w:tcPr>
            <w:tcW w:w="1292" w:type="dxa"/>
            <w:tcBorders>
              <w:bottom w:val="single" w:sz="4" w:space="0" w:color="auto"/>
            </w:tcBorders>
            <w:hideMark/>
          </w:tcPr>
          <w:p w14:paraId="5E6B32F8" w14:textId="77777777" w:rsidR="00B22E92" w:rsidRPr="00B22E92" w:rsidRDefault="00B22E92" w:rsidP="00B22E92">
            <w:pPr>
              <w:spacing w:line="360" w:lineRule="auto"/>
              <w:jc w:val="both"/>
              <w:rPr>
                <w:rFonts w:ascii="Book Antiqua" w:hAnsi="Book Antiqua"/>
              </w:rPr>
            </w:pPr>
            <w:r w:rsidRPr="00B22E92">
              <w:rPr>
                <w:rFonts w:ascii="Book Antiqua" w:hAnsi="Book Antiqua"/>
              </w:rPr>
              <w:t>193</w:t>
            </w:r>
          </w:p>
        </w:tc>
        <w:tc>
          <w:tcPr>
            <w:tcW w:w="1323" w:type="dxa"/>
            <w:tcBorders>
              <w:bottom w:val="single" w:sz="4" w:space="0" w:color="auto"/>
            </w:tcBorders>
            <w:hideMark/>
          </w:tcPr>
          <w:p w14:paraId="518F4276" w14:textId="0075E52D" w:rsidR="00B22E92" w:rsidRPr="00B22E92" w:rsidRDefault="00B22E92" w:rsidP="00B22E92">
            <w:pPr>
              <w:spacing w:line="360" w:lineRule="auto"/>
              <w:jc w:val="both"/>
              <w:rPr>
                <w:rFonts w:ascii="Book Antiqua" w:hAnsi="Book Antiqua"/>
              </w:rPr>
            </w:pPr>
            <w:r w:rsidRPr="00B22E92">
              <w:rPr>
                <w:rFonts w:ascii="Book Antiqua" w:hAnsi="Book Antiqua"/>
              </w:rPr>
              <w:t>OS (</w:t>
            </w:r>
            <w:proofErr w:type="spellStart"/>
            <w:r>
              <w:rPr>
                <w:rFonts w:ascii="Book Antiqua" w:hAnsi="Book Antiqua"/>
              </w:rPr>
              <w:t>mo</w:t>
            </w:r>
            <w:proofErr w:type="spellEnd"/>
            <w:r w:rsidRPr="00B22E92">
              <w:rPr>
                <w:rFonts w:ascii="Book Antiqua" w:hAnsi="Book Antiqua"/>
              </w:rPr>
              <w:t>)</w:t>
            </w:r>
          </w:p>
        </w:tc>
        <w:tc>
          <w:tcPr>
            <w:tcW w:w="1096" w:type="dxa"/>
            <w:tcBorders>
              <w:bottom w:val="single" w:sz="4" w:space="0" w:color="auto"/>
            </w:tcBorders>
            <w:hideMark/>
          </w:tcPr>
          <w:p w14:paraId="7FF5980F" w14:textId="77777777" w:rsidR="00B22E92" w:rsidRPr="00B22E92" w:rsidRDefault="00B22E92" w:rsidP="00B22E92">
            <w:pPr>
              <w:spacing w:line="360" w:lineRule="auto"/>
              <w:jc w:val="both"/>
              <w:rPr>
                <w:rFonts w:ascii="Book Antiqua" w:hAnsi="Book Antiqua"/>
              </w:rPr>
            </w:pPr>
            <w:r w:rsidRPr="00B22E92">
              <w:rPr>
                <w:rFonts w:ascii="Book Antiqua" w:hAnsi="Book Antiqua"/>
              </w:rPr>
              <w:t>21.4 (13.3-35.5)</w:t>
            </w:r>
          </w:p>
        </w:tc>
        <w:tc>
          <w:tcPr>
            <w:tcW w:w="1096" w:type="dxa"/>
            <w:tcBorders>
              <w:bottom w:val="single" w:sz="4" w:space="0" w:color="auto"/>
            </w:tcBorders>
            <w:hideMark/>
          </w:tcPr>
          <w:p w14:paraId="0BD76692" w14:textId="77777777" w:rsidR="00B22E92" w:rsidRPr="00B22E92" w:rsidRDefault="00B22E92" w:rsidP="00B22E92">
            <w:pPr>
              <w:spacing w:line="360" w:lineRule="auto"/>
              <w:jc w:val="both"/>
              <w:rPr>
                <w:rFonts w:ascii="Book Antiqua" w:hAnsi="Book Antiqua"/>
              </w:rPr>
            </w:pPr>
            <w:r w:rsidRPr="00B22E92">
              <w:rPr>
                <w:rFonts w:ascii="Book Antiqua" w:hAnsi="Book Antiqua"/>
              </w:rPr>
              <w:t>48.1 (34.8-65.6)</w:t>
            </w:r>
          </w:p>
        </w:tc>
        <w:tc>
          <w:tcPr>
            <w:tcW w:w="1096" w:type="dxa"/>
            <w:tcBorders>
              <w:bottom w:val="single" w:sz="4" w:space="0" w:color="auto"/>
            </w:tcBorders>
            <w:hideMark/>
          </w:tcPr>
          <w:p w14:paraId="6186B0E6" w14:textId="77777777" w:rsidR="00B22E92" w:rsidRPr="00B22E92" w:rsidRDefault="00B22E92" w:rsidP="00B22E92">
            <w:pPr>
              <w:spacing w:line="360" w:lineRule="auto"/>
              <w:jc w:val="both"/>
              <w:rPr>
                <w:rFonts w:ascii="Book Antiqua" w:hAnsi="Book Antiqua"/>
              </w:rPr>
            </w:pPr>
            <w:r w:rsidRPr="00B22E92">
              <w:rPr>
                <w:rFonts w:ascii="Book Antiqua" w:hAnsi="Book Antiqua"/>
              </w:rPr>
              <w:t>38.7 (30.6-45.6)</w:t>
            </w:r>
          </w:p>
        </w:tc>
        <w:tc>
          <w:tcPr>
            <w:tcW w:w="1345" w:type="dxa"/>
            <w:tcBorders>
              <w:bottom w:val="single" w:sz="4" w:space="0" w:color="auto"/>
            </w:tcBorders>
            <w:hideMark/>
          </w:tcPr>
          <w:p w14:paraId="073D5ACC" w14:textId="77777777" w:rsidR="00B22E92" w:rsidRPr="00B22E92" w:rsidRDefault="00B22E92" w:rsidP="00B22E92">
            <w:pPr>
              <w:spacing w:line="360" w:lineRule="auto"/>
              <w:jc w:val="both"/>
              <w:rPr>
                <w:rFonts w:ascii="Book Antiqua" w:hAnsi="Book Antiqua"/>
              </w:rPr>
            </w:pPr>
            <w:r w:rsidRPr="00B22E92">
              <w:rPr>
                <w:rFonts w:ascii="Book Antiqua" w:hAnsi="Book Antiqua"/>
              </w:rPr>
              <w:t>44.0 (33.0-50.5)</w:t>
            </w:r>
          </w:p>
        </w:tc>
      </w:tr>
    </w:tbl>
    <w:p w14:paraId="118786EA" w14:textId="3DC7F3B4" w:rsidR="00A77B3E" w:rsidRPr="00B22E92" w:rsidRDefault="00B22E92" w:rsidP="00B22E92">
      <w:pPr>
        <w:spacing w:line="360" w:lineRule="auto"/>
        <w:jc w:val="both"/>
        <w:rPr>
          <w:rFonts w:ascii="Book Antiqua" w:hAnsi="Book Antiqua"/>
          <w:lang w:eastAsia="zh-CN"/>
        </w:rPr>
      </w:pPr>
      <w:r w:rsidRPr="00B22E92">
        <w:rPr>
          <w:rFonts w:ascii="Book Antiqua" w:hAnsi="Book Antiqua"/>
        </w:rPr>
        <w:t>OS: Overall survival</w:t>
      </w:r>
      <w:r>
        <w:rPr>
          <w:rFonts w:ascii="Book Antiqua" w:hAnsi="Book Antiqua"/>
        </w:rPr>
        <w:t>;</w:t>
      </w:r>
      <w:r w:rsidRPr="00B22E92">
        <w:rPr>
          <w:rFonts w:ascii="Book Antiqua" w:hAnsi="Book Antiqua"/>
        </w:rPr>
        <w:t xml:space="preserve"> DFS: Disease-free survival</w:t>
      </w:r>
      <w:r>
        <w:rPr>
          <w:rFonts w:ascii="Book Antiqua" w:hAnsi="Book Antiqua"/>
        </w:rPr>
        <w:t>;</w:t>
      </w:r>
      <w:r w:rsidRPr="00B22E92">
        <w:rPr>
          <w:rFonts w:ascii="Book Antiqua" w:hAnsi="Book Antiqua"/>
        </w:rPr>
        <w:t xml:space="preserve"> PFS: Progression-free survival</w:t>
      </w:r>
      <w:r>
        <w:rPr>
          <w:rFonts w:ascii="Book Antiqua" w:hAnsi="Book Antiqua" w:hint="eastAsia"/>
          <w:lang w:eastAsia="zh-CN"/>
        </w:rPr>
        <w:t>.</w:t>
      </w:r>
    </w:p>
    <w:sectPr w:rsidR="00A77B3E" w:rsidRPr="00B22E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5E7E" w14:textId="77777777" w:rsidR="009F5318" w:rsidRDefault="009F5318" w:rsidP="00E74605">
      <w:r>
        <w:separator/>
      </w:r>
    </w:p>
  </w:endnote>
  <w:endnote w:type="continuationSeparator" w:id="0">
    <w:p w14:paraId="50CD54FD" w14:textId="77777777" w:rsidR="009F5318" w:rsidRDefault="009F5318" w:rsidP="00E7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AB74" w14:textId="77777777" w:rsidR="00E74605" w:rsidRPr="00E74605" w:rsidRDefault="00E74605" w:rsidP="00E74605">
    <w:pPr>
      <w:pStyle w:val="a5"/>
      <w:jc w:val="right"/>
      <w:rPr>
        <w:rFonts w:ascii="Book Antiqua" w:hAnsi="Book Antiqua"/>
        <w:color w:val="000000" w:themeColor="text1"/>
        <w:sz w:val="24"/>
        <w:szCs w:val="24"/>
      </w:rPr>
    </w:pPr>
    <w:r w:rsidRPr="00E74605">
      <w:rPr>
        <w:rFonts w:ascii="Book Antiqua" w:hAnsi="Book Antiqua"/>
        <w:color w:val="000000" w:themeColor="text1"/>
        <w:sz w:val="24"/>
        <w:szCs w:val="24"/>
        <w:lang w:val="zh-CN" w:eastAsia="zh-CN"/>
      </w:rPr>
      <w:t xml:space="preserve"> </w:t>
    </w:r>
    <w:r w:rsidRPr="00E74605">
      <w:rPr>
        <w:rFonts w:ascii="Book Antiqua" w:hAnsi="Book Antiqua"/>
        <w:color w:val="000000" w:themeColor="text1"/>
        <w:sz w:val="24"/>
        <w:szCs w:val="24"/>
      </w:rPr>
      <w:fldChar w:fldCharType="begin"/>
    </w:r>
    <w:r w:rsidRPr="00E74605">
      <w:rPr>
        <w:rFonts w:ascii="Book Antiqua" w:hAnsi="Book Antiqua"/>
        <w:color w:val="000000" w:themeColor="text1"/>
        <w:sz w:val="24"/>
        <w:szCs w:val="24"/>
      </w:rPr>
      <w:instrText>PAGE  \* Arabic  \* MERGEFORMAT</w:instrText>
    </w:r>
    <w:r w:rsidRPr="00E74605">
      <w:rPr>
        <w:rFonts w:ascii="Book Antiqua" w:hAnsi="Book Antiqua"/>
        <w:color w:val="000000" w:themeColor="text1"/>
        <w:sz w:val="24"/>
        <w:szCs w:val="24"/>
      </w:rPr>
      <w:fldChar w:fldCharType="separate"/>
    </w:r>
    <w:r w:rsidRPr="00E74605">
      <w:rPr>
        <w:rFonts w:ascii="Book Antiqua" w:hAnsi="Book Antiqua"/>
        <w:color w:val="000000" w:themeColor="text1"/>
        <w:sz w:val="24"/>
        <w:szCs w:val="24"/>
        <w:lang w:val="zh-CN" w:eastAsia="zh-CN"/>
      </w:rPr>
      <w:t>2</w:t>
    </w:r>
    <w:r w:rsidRPr="00E74605">
      <w:rPr>
        <w:rFonts w:ascii="Book Antiqua" w:hAnsi="Book Antiqua"/>
        <w:color w:val="000000" w:themeColor="text1"/>
        <w:sz w:val="24"/>
        <w:szCs w:val="24"/>
      </w:rPr>
      <w:fldChar w:fldCharType="end"/>
    </w:r>
    <w:r w:rsidRPr="00E74605">
      <w:rPr>
        <w:rFonts w:ascii="Book Antiqua" w:hAnsi="Book Antiqua"/>
        <w:color w:val="000000" w:themeColor="text1"/>
        <w:sz w:val="24"/>
        <w:szCs w:val="24"/>
        <w:lang w:val="zh-CN" w:eastAsia="zh-CN"/>
      </w:rPr>
      <w:t xml:space="preserve"> / </w:t>
    </w:r>
    <w:r w:rsidRPr="00E74605">
      <w:rPr>
        <w:rFonts w:ascii="Book Antiqua" w:hAnsi="Book Antiqua"/>
        <w:color w:val="000000" w:themeColor="text1"/>
        <w:sz w:val="24"/>
        <w:szCs w:val="24"/>
      </w:rPr>
      <w:fldChar w:fldCharType="begin"/>
    </w:r>
    <w:r w:rsidRPr="00E74605">
      <w:rPr>
        <w:rFonts w:ascii="Book Antiqua" w:hAnsi="Book Antiqua"/>
        <w:color w:val="000000" w:themeColor="text1"/>
        <w:sz w:val="24"/>
        <w:szCs w:val="24"/>
      </w:rPr>
      <w:instrText>NUMPAGES  \* Arabic  \* MERGEFORMAT</w:instrText>
    </w:r>
    <w:r w:rsidRPr="00E74605">
      <w:rPr>
        <w:rFonts w:ascii="Book Antiqua" w:hAnsi="Book Antiqua"/>
        <w:color w:val="000000" w:themeColor="text1"/>
        <w:sz w:val="24"/>
        <w:szCs w:val="24"/>
      </w:rPr>
      <w:fldChar w:fldCharType="separate"/>
    </w:r>
    <w:r w:rsidRPr="00E74605">
      <w:rPr>
        <w:rFonts w:ascii="Book Antiqua" w:hAnsi="Book Antiqua"/>
        <w:color w:val="000000" w:themeColor="text1"/>
        <w:sz w:val="24"/>
        <w:szCs w:val="24"/>
        <w:lang w:val="zh-CN" w:eastAsia="zh-CN"/>
      </w:rPr>
      <w:t>2</w:t>
    </w:r>
    <w:r w:rsidRPr="00E74605">
      <w:rPr>
        <w:rFonts w:ascii="Book Antiqua" w:hAnsi="Book Antiqua"/>
        <w:color w:val="000000" w:themeColor="text1"/>
        <w:sz w:val="24"/>
        <w:szCs w:val="24"/>
      </w:rPr>
      <w:fldChar w:fldCharType="end"/>
    </w:r>
  </w:p>
  <w:p w14:paraId="3F9CB535" w14:textId="77777777" w:rsidR="00E74605" w:rsidRDefault="00E746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174F" w14:textId="77777777" w:rsidR="009F5318" w:rsidRDefault="009F5318" w:rsidP="00E74605">
      <w:r>
        <w:separator/>
      </w:r>
    </w:p>
  </w:footnote>
  <w:footnote w:type="continuationSeparator" w:id="0">
    <w:p w14:paraId="3B32301E" w14:textId="77777777" w:rsidR="009F5318" w:rsidRDefault="009F5318" w:rsidP="00E74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5288"/>
    <w:rsid w:val="001277C9"/>
    <w:rsid w:val="002240DB"/>
    <w:rsid w:val="002F0C39"/>
    <w:rsid w:val="00306356"/>
    <w:rsid w:val="00327FD2"/>
    <w:rsid w:val="0048016A"/>
    <w:rsid w:val="006F0763"/>
    <w:rsid w:val="007704F1"/>
    <w:rsid w:val="00774511"/>
    <w:rsid w:val="00830F15"/>
    <w:rsid w:val="00863680"/>
    <w:rsid w:val="00896F26"/>
    <w:rsid w:val="008C19F5"/>
    <w:rsid w:val="009D4E25"/>
    <w:rsid w:val="009F5318"/>
    <w:rsid w:val="009F53CF"/>
    <w:rsid w:val="00A67DE1"/>
    <w:rsid w:val="00A77B3E"/>
    <w:rsid w:val="00B107E9"/>
    <w:rsid w:val="00B22E92"/>
    <w:rsid w:val="00B83EE6"/>
    <w:rsid w:val="00C61F7E"/>
    <w:rsid w:val="00C86ABE"/>
    <w:rsid w:val="00C86DAE"/>
    <w:rsid w:val="00CA2A55"/>
    <w:rsid w:val="00CB43EC"/>
    <w:rsid w:val="00DF6BFF"/>
    <w:rsid w:val="00E038F9"/>
    <w:rsid w:val="00E74605"/>
    <w:rsid w:val="00E75E28"/>
    <w:rsid w:val="00F92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E173D"/>
  <w15:docId w15:val="{47F4DE92-63B0-49A2-B862-203CEB6A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nguno">
    <w:name w:val="Ninguno"/>
    <w:basedOn w:val="a0"/>
  </w:style>
  <w:style w:type="paragraph" w:styleId="a3">
    <w:name w:val="header"/>
    <w:basedOn w:val="a"/>
    <w:link w:val="a4"/>
    <w:unhideWhenUsed/>
    <w:rsid w:val="00E746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74605"/>
    <w:rPr>
      <w:sz w:val="18"/>
      <w:szCs w:val="18"/>
    </w:rPr>
  </w:style>
  <w:style w:type="paragraph" w:styleId="a5">
    <w:name w:val="footer"/>
    <w:basedOn w:val="a"/>
    <w:link w:val="a6"/>
    <w:uiPriority w:val="99"/>
    <w:unhideWhenUsed/>
    <w:rsid w:val="00E74605"/>
    <w:pPr>
      <w:tabs>
        <w:tab w:val="center" w:pos="4153"/>
        <w:tab w:val="right" w:pos="8306"/>
      </w:tabs>
      <w:snapToGrid w:val="0"/>
    </w:pPr>
    <w:rPr>
      <w:sz w:val="18"/>
      <w:szCs w:val="18"/>
    </w:rPr>
  </w:style>
  <w:style w:type="character" w:customStyle="1" w:styleId="a6">
    <w:name w:val="页脚 字符"/>
    <w:basedOn w:val="a0"/>
    <w:link w:val="a5"/>
    <w:uiPriority w:val="99"/>
    <w:rsid w:val="00E74605"/>
    <w:rPr>
      <w:sz w:val="18"/>
      <w:szCs w:val="18"/>
    </w:rPr>
  </w:style>
  <w:style w:type="table" w:styleId="a7">
    <w:name w:val="Table Grid"/>
    <w:basedOn w:val="a1"/>
    <w:rsid w:val="00B22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C86DAE"/>
    <w:rPr>
      <w:sz w:val="16"/>
      <w:szCs w:val="16"/>
    </w:rPr>
  </w:style>
  <w:style w:type="paragraph" w:styleId="a9">
    <w:name w:val="annotation text"/>
    <w:basedOn w:val="a"/>
    <w:link w:val="aa"/>
    <w:semiHidden/>
    <w:unhideWhenUsed/>
    <w:rsid w:val="00C86DAE"/>
    <w:rPr>
      <w:sz w:val="20"/>
      <w:szCs w:val="20"/>
    </w:rPr>
  </w:style>
  <w:style w:type="character" w:customStyle="1" w:styleId="aa">
    <w:name w:val="批注文字 字符"/>
    <w:basedOn w:val="a0"/>
    <w:link w:val="a9"/>
    <w:semiHidden/>
    <w:rsid w:val="00C86DAE"/>
  </w:style>
  <w:style w:type="paragraph" w:styleId="ab">
    <w:name w:val="annotation subject"/>
    <w:basedOn w:val="a9"/>
    <w:next w:val="a9"/>
    <w:link w:val="ac"/>
    <w:semiHidden/>
    <w:unhideWhenUsed/>
    <w:rsid w:val="00C86DAE"/>
    <w:rPr>
      <w:b/>
      <w:bCs/>
    </w:rPr>
  </w:style>
  <w:style w:type="character" w:customStyle="1" w:styleId="ac">
    <w:name w:val="批注主题 字符"/>
    <w:basedOn w:val="aa"/>
    <w:link w:val="ab"/>
    <w:semiHidden/>
    <w:rsid w:val="00C86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77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7F4CE-0D8C-492B-A306-84B5059F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6032</Words>
  <Characters>34387</Characters>
  <Application>Microsoft Office Word</Application>
  <DocSecurity>0</DocSecurity>
  <Lines>286</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2021-09-19T07:48:00Z</dcterms:created>
  <dcterms:modified xsi:type="dcterms:W3CDTF">2021-09-19T07:48:00Z</dcterms:modified>
</cp:coreProperties>
</file>