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Pediatrics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69462</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pPr>
    </w:p>
    <w:p>
      <w:pPr>
        <w:spacing w:line="360" w:lineRule="auto"/>
        <w:jc w:val="both"/>
      </w:pPr>
      <w:bookmarkStart w:id="0" w:name="OLE_LINK9"/>
      <w:bookmarkStart w:id="1" w:name="OLE_LINK8"/>
      <w:r>
        <w:rPr>
          <w:rFonts w:ascii="Book Antiqua" w:hAnsi="Book Antiqua" w:eastAsia="Book Antiqua" w:cs="Book Antiqua"/>
          <w:b/>
          <w:color w:val="000000"/>
        </w:rPr>
        <w:t xml:space="preserve">Advances in pediatric non-alcoholic fatty liver disease: </w:t>
      </w:r>
      <w:r>
        <w:rPr>
          <w:rFonts w:hint="eastAsia" w:ascii="Book Antiqua" w:hAnsi="Book Antiqua" w:cs="Book Antiqua"/>
          <w:b/>
          <w:color w:val="000000"/>
          <w:lang w:eastAsia="zh-CN"/>
        </w:rPr>
        <w:t>F</w:t>
      </w:r>
      <w:r>
        <w:rPr>
          <w:rFonts w:ascii="Book Antiqua" w:hAnsi="Book Antiqua" w:eastAsia="Book Antiqua" w:cs="Book Antiqua"/>
          <w:b/>
          <w:color w:val="000000"/>
        </w:rPr>
        <w:t>rom genetics to lipidomics</w:t>
      </w:r>
    </w:p>
    <w:bookmarkEnd w:id="0"/>
    <w:bookmarkEnd w:id="1"/>
    <w:p>
      <w:pPr>
        <w:spacing w:line="360" w:lineRule="auto"/>
        <w:jc w:val="both"/>
      </w:pPr>
    </w:p>
    <w:p>
      <w:pPr>
        <w:spacing w:line="360" w:lineRule="auto"/>
        <w:jc w:val="both"/>
      </w:pPr>
      <w:r>
        <w:rPr>
          <w:rFonts w:ascii="Book Antiqua" w:hAnsi="Book Antiqua" w:eastAsia="Book Antiqua" w:cs="Book Antiqua"/>
          <w:color w:val="000000"/>
        </w:rPr>
        <w:t>Riccio</w:t>
      </w:r>
      <w:r>
        <w:rPr>
          <w:rFonts w:hint="eastAsia" w:ascii="Book Antiqua" w:hAnsi="Book Antiqua" w:cs="Book Antiqua"/>
          <w:color w:val="000000"/>
          <w:lang w:eastAsia="zh-CN"/>
        </w:rPr>
        <w:t xml:space="preserve"> S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P</w:t>
      </w:r>
      <w:r>
        <w:rPr>
          <w:rFonts w:ascii="Book Antiqua" w:hAnsi="Book Antiqua" w:eastAsia="Book Antiqua" w:cs="Book Antiqua"/>
          <w:color w:val="000000"/>
        </w:rPr>
        <w:t>ediatric NAFLD pathophysiology</w:t>
      </w:r>
    </w:p>
    <w:p>
      <w:pPr>
        <w:spacing w:line="360" w:lineRule="auto"/>
        <w:jc w:val="both"/>
      </w:pPr>
    </w:p>
    <w:p>
      <w:pPr>
        <w:spacing w:line="360" w:lineRule="auto"/>
        <w:jc w:val="both"/>
      </w:pPr>
      <w:r>
        <w:rPr>
          <w:rFonts w:ascii="Book Antiqua" w:hAnsi="Book Antiqua" w:eastAsia="Book Antiqua" w:cs="Book Antiqua"/>
          <w:color w:val="000000"/>
        </w:rPr>
        <w:t xml:space="preserve">Simona </w:t>
      </w:r>
      <w:bookmarkStart w:id="2" w:name="OLE_LINK3"/>
      <w:r>
        <w:rPr>
          <w:rFonts w:ascii="Book Antiqua" w:hAnsi="Book Antiqua" w:eastAsia="Book Antiqua" w:cs="Book Antiqua"/>
          <w:color w:val="000000"/>
        </w:rPr>
        <w:t>Riccio</w:t>
      </w:r>
      <w:bookmarkEnd w:id="2"/>
      <w:r>
        <w:rPr>
          <w:rFonts w:ascii="Book Antiqua" w:hAnsi="Book Antiqua" w:eastAsia="Book Antiqua" w:cs="Book Antiqua"/>
          <w:color w:val="000000"/>
        </w:rPr>
        <w:t xml:space="preserve">, Rosa Melone, Caterina Vitulano, Pierfrancesco Guida, Ivan Maddaluno, Stefano Guarino, Pierluigi Marzuillo, Emanuele Miraglia del Giudice, Anna </w:t>
      </w:r>
      <w:r>
        <w:rPr>
          <w:rFonts w:hint="eastAsia" w:ascii="Book Antiqua" w:hAnsi="Book Antiqua" w:cs="Book Antiqua"/>
          <w:color w:val="000000"/>
          <w:lang w:eastAsia="zh-CN"/>
        </w:rPr>
        <w:t>D</w:t>
      </w:r>
      <w:r>
        <w:rPr>
          <w:rFonts w:ascii="Book Antiqua" w:hAnsi="Book Antiqua" w:eastAsia="Book Antiqua" w:cs="Book Antiqua"/>
          <w:color w:val="000000"/>
        </w:rPr>
        <w:t>i Sessa</w:t>
      </w:r>
    </w:p>
    <w:p>
      <w:pPr>
        <w:spacing w:line="360" w:lineRule="auto"/>
        <w:jc w:val="both"/>
      </w:pPr>
    </w:p>
    <w:p>
      <w:pPr>
        <w:spacing w:line="360" w:lineRule="auto"/>
        <w:jc w:val="both"/>
      </w:pPr>
      <w:r>
        <w:rPr>
          <w:rFonts w:ascii="Book Antiqua" w:hAnsi="Book Antiqua" w:eastAsia="Book Antiqua" w:cs="Book Antiqua"/>
          <w:b/>
          <w:bCs/>
          <w:color w:val="000000"/>
        </w:rPr>
        <w:t xml:space="preserve">Simona Riccio, Rosa Melone, Caterina Vitulano, Pierfrancesco Guida, Ivan Maddaluno, Stefano Guarino, Pierluigi Marzuillo, Emanuele Miraglia </w:t>
      </w:r>
      <w:r>
        <w:rPr>
          <w:rFonts w:hint="eastAsia" w:ascii="Book Antiqua" w:hAnsi="Book Antiqua" w:cs="Book Antiqua"/>
          <w:b/>
          <w:bCs/>
          <w:color w:val="000000"/>
          <w:lang w:eastAsia="zh-CN"/>
        </w:rPr>
        <w:t>d</w:t>
      </w:r>
      <w:r>
        <w:rPr>
          <w:rFonts w:ascii="Book Antiqua" w:hAnsi="Book Antiqua" w:eastAsia="Book Antiqua" w:cs="Book Antiqua"/>
          <w:b/>
          <w:bCs/>
          <w:color w:val="000000"/>
        </w:rPr>
        <w:t xml:space="preserve">el Giudice, Anna </w:t>
      </w:r>
      <w:r>
        <w:rPr>
          <w:rFonts w:hint="eastAsia" w:ascii="Book Antiqua" w:hAnsi="Book Antiqua" w:cs="Book Antiqua"/>
          <w:b/>
          <w:bCs/>
          <w:color w:val="000000"/>
          <w:lang w:eastAsia="zh-CN"/>
        </w:rPr>
        <w:t>D</w:t>
      </w:r>
      <w:r>
        <w:rPr>
          <w:rFonts w:ascii="Book Antiqua" w:hAnsi="Book Antiqua" w:eastAsia="Book Antiqua" w:cs="Book Antiqua"/>
          <w:b/>
          <w:bCs/>
          <w:color w:val="000000"/>
        </w:rPr>
        <w:t xml:space="preserve">i Sessa, </w:t>
      </w:r>
      <w:bookmarkStart w:id="3" w:name="OLE_LINK5"/>
      <w:bookmarkStart w:id="4" w:name="OLE_LINK4"/>
      <w:r>
        <w:rPr>
          <w:rFonts w:ascii="Book Antiqua" w:hAnsi="Book Antiqua" w:eastAsia="Book Antiqua" w:cs="Book Antiqua"/>
          <w:color w:val="000000"/>
        </w:rPr>
        <w:t xml:space="preserve">Department </w:t>
      </w:r>
      <w:r>
        <w:rPr>
          <w:rFonts w:hint="eastAsia" w:ascii="Book Antiqua" w:hAnsi="Book Antiqua" w:cs="Book Antiqua"/>
          <w:color w:val="000000"/>
          <w:lang w:eastAsia="zh-CN"/>
        </w:rPr>
        <w:t>o</w:t>
      </w:r>
      <w:r>
        <w:rPr>
          <w:rFonts w:ascii="Book Antiqua" w:hAnsi="Book Antiqua" w:eastAsia="Book Antiqua" w:cs="Book Antiqua"/>
          <w:color w:val="000000"/>
        </w:rPr>
        <w:t xml:space="preserve">f Woman, Child, General </w:t>
      </w:r>
      <w:r>
        <w:rPr>
          <w:rFonts w:hint="eastAsia" w:ascii="Book Antiqua" w:hAnsi="Book Antiqua" w:cs="Book Antiqua"/>
          <w:color w:val="000000"/>
          <w:lang w:eastAsia="zh-CN"/>
        </w:rPr>
        <w:t>a</w:t>
      </w:r>
      <w:r>
        <w:rPr>
          <w:rFonts w:ascii="Book Antiqua" w:hAnsi="Book Antiqua" w:eastAsia="Book Antiqua" w:cs="Book Antiqua"/>
          <w:color w:val="000000"/>
        </w:rPr>
        <w:t xml:space="preserve">nd Specialized Surgery, University </w:t>
      </w:r>
      <w:r>
        <w:rPr>
          <w:rFonts w:hint="eastAsia" w:ascii="Book Antiqua" w:hAnsi="Book Antiqua" w:cs="Book Antiqua"/>
          <w:color w:val="000000"/>
          <w:lang w:eastAsia="zh-CN"/>
        </w:rPr>
        <w:t>o</w:t>
      </w:r>
      <w:r>
        <w:rPr>
          <w:rFonts w:ascii="Book Antiqua" w:hAnsi="Book Antiqua" w:eastAsia="Book Antiqua" w:cs="Book Antiqua"/>
          <w:color w:val="000000"/>
        </w:rPr>
        <w:t>f Campania Luigi Vanvitelli</w:t>
      </w:r>
      <w:bookmarkEnd w:id="3"/>
      <w:bookmarkEnd w:id="4"/>
      <w:r>
        <w:rPr>
          <w:rFonts w:ascii="Book Antiqua" w:hAnsi="Book Antiqua" w:eastAsia="Book Antiqua" w:cs="Book Antiqua"/>
          <w:color w:val="000000"/>
        </w:rPr>
        <w:t>, Naples 80138, Italy</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color w:val="000000"/>
        </w:rPr>
        <w:t>Riccio S and Di Sessa A wrote the manuscript; Miraglia del Giudice E, Di Sessa A, and Marzuillo P conceived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Guarino S, Miraglia del Giudice E, Di Sessa A, and Marzuillo P supervised the manuscript drafting</w:t>
      </w:r>
      <w:r>
        <w:rPr>
          <w:rFonts w:hint="eastAsia" w:ascii="Book Antiqua" w:hAnsi="Book Antiqua" w:cs="Book Antiqua"/>
          <w:color w:val="000000"/>
          <w:lang w:eastAsia="zh-CN"/>
        </w:rPr>
        <w:t>;</w:t>
      </w:r>
      <w:r>
        <w:rPr>
          <w:rFonts w:ascii="Book Antiqua" w:hAnsi="Book Antiqua" w:eastAsia="Book Antiqua" w:cs="Book Antiqua"/>
          <w:color w:val="000000"/>
        </w:rPr>
        <w:t xml:space="preserve"> Riccio S, Melone R, Vitulano C, Guida P, and Maddaluno I reviewed the literature data; Riccio S prepared the tables. Each author contributed important intellectual content during manuscript drafting or revision.</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Anna Di Sessa, MD, PhD, Research Fellow, </w:t>
      </w:r>
      <w:r>
        <w:rPr>
          <w:rFonts w:ascii="Book Antiqua" w:hAnsi="Book Antiqua" w:eastAsia="Book Antiqua" w:cs="Book Antiqua"/>
          <w:color w:val="000000"/>
        </w:rPr>
        <w:t xml:space="preserve">Department </w:t>
      </w:r>
      <w:r>
        <w:rPr>
          <w:rFonts w:ascii="Book Antiqua" w:hAnsi="Book Antiqua" w:cs="Book Antiqua"/>
          <w:color w:val="000000"/>
          <w:lang w:eastAsia="zh-CN"/>
        </w:rPr>
        <w:t>o</w:t>
      </w:r>
      <w:r>
        <w:rPr>
          <w:rFonts w:ascii="Book Antiqua" w:hAnsi="Book Antiqua" w:eastAsia="Book Antiqua" w:cs="Book Antiqua"/>
          <w:color w:val="000000"/>
        </w:rPr>
        <w:t xml:space="preserve">f Woman, Child, General </w:t>
      </w:r>
      <w:r>
        <w:rPr>
          <w:rFonts w:ascii="Book Antiqua" w:hAnsi="Book Antiqua" w:cs="Book Antiqua"/>
          <w:color w:val="000000"/>
          <w:lang w:eastAsia="zh-CN"/>
        </w:rPr>
        <w:t>a</w:t>
      </w:r>
      <w:r>
        <w:rPr>
          <w:rFonts w:ascii="Book Antiqua" w:hAnsi="Book Antiqua" w:eastAsia="Book Antiqua" w:cs="Book Antiqua"/>
          <w:color w:val="000000"/>
        </w:rPr>
        <w:t xml:space="preserve">nd Specialized Surgery, University </w:t>
      </w:r>
      <w:r>
        <w:rPr>
          <w:rFonts w:ascii="Book Antiqua" w:hAnsi="Book Antiqua" w:cs="Book Antiqua"/>
          <w:color w:val="000000"/>
          <w:lang w:eastAsia="zh-CN"/>
        </w:rPr>
        <w:t>o</w:t>
      </w:r>
      <w:r>
        <w:rPr>
          <w:rFonts w:ascii="Book Antiqua" w:hAnsi="Book Antiqua" w:eastAsia="Book Antiqua" w:cs="Book Antiqua"/>
          <w:color w:val="000000"/>
        </w:rPr>
        <w:t xml:space="preserve">f Campania Luigi Vanvitelli, </w:t>
      </w:r>
      <w:r>
        <w:rPr>
          <w:rFonts w:ascii="Book Antiqua" w:hAnsi="Book Antiqua" w:eastAsia="Book Antiqua" w:cs="Book Antiqua"/>
          <w:iCs/>
          <w:color w:val="000000"/>
        </w:rPr>
        <w:t>Via</w:t>
      </w:r>
      <w:r>
        <w:rPr>
          <w:rFonts w:ascii="Book Antiqua" w:hAnsi="Book Antiqua" w:eastAsia="Book Antiqua" w:cs="Book Antiqua"/>
          <w:color w:val="000000"/>
        </w:rPr>
        <w:t xml:space="preserve"> De Crecchio 2, Naples 80138, Italy. anna.disessa@libero.it</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June 30,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5, 2021</w:t>
      </w:r>
    </w:p>
    <w:p>
      <w:pPr>
        <w:spacing w:line="360" w:lineRule="auto"/>
        <w:jc w:val="both"/>
        <w:rPr>
          <w:b w:val="0"/>
          <w:bCs w:val="0"/>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2, 2022</w:t>
      </w:r>
    </w:p>
    <w:p>
      <w:pPr>
        <w:spacing w:line="360" w:lineRule="auto"/>
        <w:jc w:val="both"/>
        <w:rPr>
          <w:rFonts w:hint="default" w:eastAsia="宋体"/>
          <w:lang w:val="en-US" w:eastAsia="zh-CN"/>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9,</w:t>
      </w:r>
      <w:r>
        <w:rPr>
          <w:rFonts w:hint="eastAsia" w:ascii="Book Antiqua" w:hAnsi="Book Antiqua" w:eastAsia="宋体" w:cs="Book Antiqua"/>
          <w:i w:val="0"/>
          <w:iCs w:val="0"/>
          <w:caps w:val="0"/>
          <w:color w:val="000000"/>
          <w:spacing w:val="0"/>
          <w:sz w:val="24"/>
          <w:szCs w:val="24"/>
          <w:shd w:val="clear" w:fill="FFFFFF"/>
          <w:lang w:val="en-US" w:eastAsia="zh-CN"/>
        </w:rPr>
        <w:t xml:space="preserve"> 2022</w:t>
      </w:r>
    </w:p>
    <w:p>
      <w:pPr>
        <w:spacing w:line="360" w:lineRule="auto"/>
        <w:jc w:val="both"/>
      </w:pPr>
      <w:r>
        <w:rPr>
          <w:rFonts w:ascii="Book Antiqua" w:hAnsi="Book Antiqua" w:eastAsia="Book Antiqua" w:cs="Book Antiqua"/>
          <w:b/>
          <w:color w:val="000000"/>
        </w:rPr>
        <w:t>Abstract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As a result of the obesity epidemic, </w:t>
      </w:r>
      <w:bookmarkStart w:id="5" w:name="OLE_LINK16"/>
      <w:bookmarkStart w:id="6" w:name="OLE_LINK1"/>
      <w:bookmarkStart w:id="7" w:name="OLE_LINK2"/>
      <w:bookmarkStart w:id="8" w:name="OLE_LINK10"/>
      <w:bookmarkStart w:id="9" w:name="OLE_LINK11"/>
      <w:r>
        <w:rPr>
          <w:rFonts w:ascii="Book Antiqua" w:hAnsi="Book Antiqua" w:eastAsia="Book Antiqua" w:cs="Book Antiqua"/>
          <w:color w:val="000000"/>
        </w:rPr>
        <w:t>non</w:t>
      </w:r>
      <w:r>
        <w:rPr>
          <w:rFonts w:hint="eastAsia" w:ascii="Book Antiqua" w:hAnsi="Book Antiqua" w:cs="Book Antiqua"/>
          <w:color w:val="000000"/>
          <w:lang w:eastAsia="zh-CN"/>
        </w:rPr>
        <w:t>-</w:t>
      </w:r>
      <w:r>
        <w:rPr>
          <w:rFonts w:ascii="Book Antiqua" w:hAnsi="Book Antiqua" w:eastAsia="Book Antiqua" w:cs="Book Antiqua"/>
          <w:color w:val="000000"/>
        </w:rPr>
        <w:t>alcoholic fatty liver disease</w:t>
      </w:r>
      <w:bookmarkEnd w:id="5"/>
      <w:bookmarkEnd w:id="6"/>
      <w:bookmarkEnd w:id="7"/>
      <w:r>
        <w:rPr>
          <w:rFonts w:ascii="Book Antiqua" w:hAnsi="Book Antiqua" w:eastAsia="Book Antiqua" w:cs="Book Antiqua"/>
          <w:color w:val="000000"/>
        </w:rPr>
        <w:t xml:space="preserve"> (NAFLD) </w:t>
      </w:r>
      <w:bookmarkEnd w:id="8"/>
      <w:bookmarkEnd w:id="9"/>
      <w:r>
        <w:rPr>
          <w:rFonts w:ascii="Book Antiqua" w:hAnsi="Book Antiqua" w:eastAsia="Book Antiqua" w:cs="Book Antiqua"/>
          <w:color w:val="000000"/>
        </w:rPr>
        <w:t>represents a global medical concern in childhood with a closely related increased cardiometabolic risk. Knowledge on NAFLD pathophysiology has been largely expanded over the last decades. Besides the well-known key NAFLD genes (including t</w:t>
      </w:r>
      <w:r>
        <w:rPr>
          <w:rFonts w:ascii="Book Antiqua" w:hAnsi="Book Antiqua" w:eastAsia="Book Antiqua" w:cs="Book Antiqua"/>
          <w:color w:val="000000"/>
          <w:shd w:val="clear" w:color="auto" w:fill="FFFFFF"/>
        </w:rPr>
        <w:t>he I148M variant of the</w:t>
      </w:r>
      <w:r>
        <w:rPr>
          <w:rFonts w:hint="eastAsia" w:ascii="Book Antiqua" w:hAnsi="Book Antiqua" w:cs="Book Antiqua"/>
          <w:i/>
          <w:iCs/>
          <w:color w:val="000000"/>
          <w:shd w:val="clear" w:color="auto" w:fill="FFFFFF"/>
          <w:lang w:eastAsia="zh-CN"/>
        </w:rPr>
        <w:t xml:space="preserve"> </w:t>
      </w:r>
      <w:r>
        <w:rPr>
          <w:rFonts w:ascii="Book Antiqua" w:hAnsi="Book Antiqua" w:eastAsia="Book Antiqua" w:cs="Book Antiqua"/>
          <w:i/>
          <w:iCs/>
          <w:color w:val="000000"/>
          <w:shd w:val="clear" w:color="auto" w:fill="FFFFFF"/>
        </w:rPr>
        <w:t>PNPLA3</w:t>
      </w:r>
      <w:r>
        <w:rPr>
          <w:rFonts w:ascii="Book Antiqua" w:hAnsi="Book Antiqua" w:eastAsia="Book Antiqua" w:cs="Book Antiqua"/>
          <w:color w:val="000000"/>
          <w:shd w:val="clear" w:color="auto" w:fill="FFFFFF"/>
        </w:rPr>
        <w:t xml:space="preserve"> gene, the E167K allele of the</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i/>
          <w:iCs/>
          <w:color w:val="000000"/>
          <w:shd w:val="clear" w:color="auto" w:fill="FFFFFF"/>
        </w:rPr>
        <w:t>TM6SF2</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the </w:t>
      </w:r>
      <w:r>
        <w:rPr>
          <w:rFonts w:ascii="Book Antiqua" w:hAnsi="Book Antiqua" w:eastAsia="Book Antiqua" w:cs="Book Antiqua"/>
          <w:i/>
          <w:color w:val="000000"/>
        </w:rPr>
        <w:t>GCKR</w:t>
      </w:r>
      <w:r>
        <w:rPr>
          <w:rFonts w:ascii="Book Antiqua" w:hAnsi="Book Antiqua" w:eastAsia="Book Antiqua" w:cs="Book Antiqua"/>
          <w:color w:val="000000"/>
        </w:rPr>
        <w:t xml:space="preserve"> gene, </w:t>
      </w:r>
      <w:r>
        <w:rPr>
          <w:rFonts w:ascii="Book Antiqua" w:hAnsi="Book Antiqua" w:eastAsia="Book Antiqua" w:cs="Book Antiqua"/>
          <w:color w:val="000000"/>
          <w:shd w:val="clear" w:color="auto" w:fill="FFFFFF"/>
        </w:rPr>
        <w:t xml:space="preserve">the </w:t>
      </w:r>
      <w:r>
        <w:rPr>
          <w:rFonts w:ascii="Book Antiqua" w:hAnsi="Book Antiqua" w:eastAsia="Book Antiqua" w:cs="Book Antiqua"/>
          <w:i/>
          <w:iCs/>
          <w:color w:val="000000"/>
          <w:shd w:val="clear" w:color="auto" w:fill="FFFFFF"/>
        </w:rPr>
        <w:t>MBOAT7-TMC4</w:t>
      </w:r>
      <w:r>
        <w:rPr>
          <w:rFonts w:ascii="Book Antiqua" w:hAnsi="Book Antiqua" w:eastAsia="Book Antiqua" w:cs="Book Antiqua"/>
          <w:color w:val="000000"/>
          <w:shd w:val="clear" w:color="auto" w:fill="FFFFFF"/>
        </w:rPr>
        <w:t xml:space="preserve"> rs641738 variant, and the rs72613567:TA variant in the</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i/>
          <w:iCs/>
          <w:color w:val="000000"/>
          <w:shd w:val="clear" w:color="auto" w:fill="FFFFFF"/>
        </w:rPr>
        <w:t>HSD17B13</w:t>
      </w:r>
      <w:r>
        <w:rPr>
          <w:rFonts w:ascii="Book Antiqua" w:hAnsi="Book Antiqua" w:eastAsia="Book Antiqua" w:cs="Book Antiqua"/>
          <w:color w:val="000000"/>
          <w:shd w:val="clear" w:color="auto" w:fill="FFFFFF"/>
        </w:rPr>
        <w:t xml:space="preserve"> gene), an intriguing pathogenic role has also been demonstrated for the gut microbiota. More interestingly,</w:t>
      </w:r>
      <w:r>
        <w:rPr>
          <w:rFonts w:ascii="Book Antiqua" w:hAnsi="Book Antiqua" w:eastAsia="Book Antiqua" w:cs="Book Antiqua"/>
          <w:color w:val="000000"/>
        </w:rPr>
        <w:t xml:space="preserve"> evidence has added new factors involved in the “multiple hits” theory. In particular, omics determinants have been highlighted as potential innovative markers for NAFLD diagnosis </w:t>
      </w:r>
      <w:bookmarkStart w:id="10" w:name="OLE_LINK6"/>
      <w:bookmarkStart w:id="11" w:name="OLE_LINK7"/>
      <w:r>
        <w:rPr>
          <w:rFonts w:ascii="Book Antiqua" w:hAnsi="Book Antiqua" w:eastAsia="Book Antiqua" w:cs="Book Antiqua"/>
          <w:color w:val="000000"/>
        </w:rPr>
        <w:t xml:space="preserve">and </w:t>
      </w:r>
      <w:bookmarkEnd w:id="10"/>
      <w:bookmarkEnd w:id="11"/>
      <w:r>
        <w:rPr>
          <w:rFonts w:ascii="Book Antiqua" w:hAnsi="Book Antiqua" w:eastAsia="Book Antiqua" w:cs="Book Antiqua"/>
          <w:color w:val="000000"/>
        </w:rPr>
        <w:t>treatment. In fact, different branches of omics including metabolomics, lipidomics (in particular sphingolipids and ceramides), transcriptomics (including micro RNAs), epigenomics (such as DNA methylation), proteomics, and glycomics represent the most attractive pathogenic elements in NAFLD development, by providing insightful perspectives in this field. In this perspective, we aimed to provide a comprehensive overview of NAFLD pathophysiology in children, from the oldest pathogenic elements (including genetics) to the newest intriguing perspectives (such as omics branches).</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Fatty; Liver; Genetics; Lipidomics; Pediatric</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Riccio S, Melone R, Vitulano C, Guida P, Maddaluno I, Guarino S, Marzuillo P, Miraglia del Giudice E, Di Sessa A.</w:t>
      </w:r>
      <w:r>
        <w:rPr>
          <w:rFonts w:ascii="Book Antiqua" w:hAnsi="Book Antiqua" w:eastAsia="Book Antiqua" w:cs="Book Antiqua"/>
          <w:b/>
          <w:color w:val="000000"/>
        </w:rPr>
        <w:t xml:space="preserve"> </w:t>
      </w:r>
      <w:r>
        <w:rPr>
          <w:rFonts w:ascii="Book Antiqua" w:hAnsi="Book Antiqua" w:eastAsia="Book Antiqua" w:cs="Book Antiqua"/>
          <w:color w:val="000000"/>
        </w:rPr>
        <w:t xml:space="preserve">Advances in pediatric non-alcoholic fatty liver disease: </w:t>
      </w:r>
      <w:r>
        <w:rPr>
          <w:rFonts w:ascii="Book Antiqua" w:hAnsi="Book Antiqua" w:cs="Book Antiqua"/>
          <w:color w:val="000000"/>
          <w:lang w:eastAsia="zh-CN"/>
        </w:rPr>
        <w:t>F</w:t>
      </w:r>
      <w:r>
        <w:rPr>
          <w:rFonts w:ascii="Book Antiqua" w:hAnsi="Book Antiqua" w:eastAsia="Book Antiqua" w:cs="Book Antiqua"/>
          <w:color w:val="000000"/>
        </w:rPr>
        <w:t xml:space="preserve">rom genetics to lipidomics. </w:t>
      </w:r>
      <w:r>
        <w:rPr>
          <w:rFonts w:ascii="Book Antiqua" w:hAnsi="Book Antiqua" w:eastAsia="Book Antiqua" w:cs="Book Antiqua"/>
          <w:i/>
          <w:iCs/>
          <w:color w:val="000000"/>
        </w:rPr>
        <w:t>World J Clin Pediatr</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11(3): </w:t>
      </w:r>
      <w:r>
        <w:rPr>
          <w:rFonts w:hint="default" w:ascii="Book Antiqua" w:hAnsi="Book Antiqua" w:eastAsia="Book Antiqua" w:cs="Book Antiqua"/>
          <w:i w:val="0"/>
          <w:iCs w:val="0"/>
          <w:color w:val="000000"/>
          <w:kern w:val="0"/>
          <w:sz w:val="24"/>
          <w:szCs w:val="24"/>
          <w:u w:val="none"/>
          <w:lang w:val="en-US" w:eastAsia="zh-CN" w:bidi="ar"/>
        </w:rPr>
        <w:t>221-238</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https://www.wjgnet.com/2219-2808/full/v11/i3/</w:t>
      </w:r>
      <w:r>
        <w:rPr>
          <w:rFonts w:hint="default" w:ascii="Book Antiqua" w:hAnsi="Book Antiqua" w:eastAsia="Book Antiqua" w:cs="Book Antiqua"/>
          <w:i w:val="0"/>
          <w:iCs w:val="0"/>
          <w:color w:val="000000"/>
          <w:kern w:val="0"/>
          <w:sz w:val="24"/>
          <w:szCs w:val="24"/>
          <w:u w:val="none"/>
          <w:lang w:val="en-US" w:eastAsia="zh-CN" w:bidi="ar"/>
        </w:rPr>
        <w:t>221</w:t>
      </w:r>
      <w:r>
        <w:rPr>
          <w:rFonts w:hint="eastAsia" w:ascii="Book Antiqua" w:hAnsi="Book Antiqua" w:eastAsia="Book Antiqua" w:cs="Book Antiqua"/>
          <w:color w:val="000000"/>
        </w:rPr>
        <w:t xml:space="preserve">.htm  </w:t>
      </w:r>
    </w:p>
    <w:p>
      <w:pPr>
        <w:spacing w:line="360" w:lineRule="auto"/>
        <w:jc w:val="both"/>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https://dx.doi.org/10.5409/wjcp.v11.i3.</w:t>
      </w:r>
      <w:r>
        <w:rPr>
          <w:rFonts w:hint="default" w:ascii="Book Antiqua" w:hAnsi="Book Antiqua" w:eastAsia="Book Antiqua" w:cs="Book Antiqua"/>
          <w:i w:val="0"/>
          <w:iCs w:val="0"/>
          <w:color w:val="000000"/>
          <w:kern w:val="0"/>
          <w:sz w:val="24"/>
          <w:szCs w:val="24"/>
          <w:u w:val="none"/>
          <w:lang w:val="en-US" w:eastAsia="zh-CN" w:bidi="ar"/>
        </w:rPr>
        <w:t>221</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 large body of evidence supported a complex non</w:t>
      </w:r>
      <w:r>
        <w:rPr>
          <w:rFonts w:ascii="Book Antiqua" w:hAnsi="Book Antiqua" w:cs="Book Antiqua"/>
          <w:color w:val="000000"/>
          <w:lang w:eastAsia="zh-CN"/>
        </w:rPr>
        <w:t>-</w:t>
      </w:r>
      <w:r>
        <w:rPr>
          <w:rFonts w:ascii="Book Antiqua" w:hAnsi="Book Antiqua" w:eastAsia="Book Antiqua" w:cs="Book Antiqua"/>
          <w:color w:val="000000"/>
        </w:rPr>
        <w:t>alcoholic fatty liver disease (NAFLD) physiopathology with several factors involved in this tangled puzzle. Considering the cardiometabolic burden of NAFLD even in childhood, a better knowledge of NAFLD physiopathology is fundamental for novel therapeutic strategies.</w:t>
      </w:r>
      <w:r>
        <w:rPr>
          <w:lang w:eastAsia="zh-CN"/>
        </w:rPr>
        <w:br w:type="page"/>
      </w: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Due to the increasing rate in pediatric obesity worldwide, non</w:t>
      </w:r>
      <w:r>
        <w:rPr>
          <w:rFonts w:hint="eastAsia" w:ascii="Book Antiqua" w:hAnsi="Book Antiqua" w:cs="Book Antiqua"/>
          <w:color w:val="000000"/>
          <w:lang w:eastAsia="zh-CN"/>
        </w:rPr>
        <w:t>-</w:t>
      </w:r>
      <w:r>
        <w:rPr>
          <w:rFonts w:ascii="Book Antiqua" w:hAnsi="Book Antiqua" w:eastAsia="Book Antiqua" w:cs="Book Antiqua"/>
          <w:color w:val="000000"/>
        </w:rPr>
        <w:t>alcoholic fatty liver disease (NAFLD) has become the most common chronic liver disease in childhood</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Current pediatric estimates report a prevalence of 3</w:t>
      </w:r>
      <w:r>
        <w:rPr>
          <w:rFonts w:hint="eastAsia" w:ascii="Book Antiqua" w:hAnsi="Book Antiqua" w:cs="Book Antiqua"/>
          <w:color w:val="000000"/>
          <w:lang w:eastAsia="zh-CN"/>
        </w:rPr>
        <w:t>%</w:t>
      </w:r>
      <w:r>
        <w:rPr>
          <w:rFonts w:ascii="Book Antiqua" w:hAnsi="Book Antiqua" w:eastAsia="Book Antiqua" w:cs="Book Antiqua"/>
          <w:color w:val="000000"/>
        </w:rPr>
        <w:t>-10% in the general population, while a dramatic increase (up to 50%) has been observed in children and adolescents with obesity</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Owing to its strong relationship with the metabolic syndrome (</w:t>
      </w:r>
      <w:bookmarkStart w:id="12" w:name="OLE_LINK12"/>
      <w:bookmarkStart w:id="13" w:name="OLE_LINK13"/>
      <w:r>
        <w:rPr>
          <w:rFonts w:ascii="Book Antiqua" w:hAnsi="Book Antiqua" w:eastAsia="Book Antiqua" w:cs="Book Antiqua"/>
          <w:color w:val="000000"/>
        </w:rPr>
        <w:t>MetS</w:t>
      </w:r>
      <w:bookmarkEnd w:id="12"/>
      <w:bookmarkEnd w:id="13"/>
      <w:r>
        <w:rPr>
          <w:rFonts w:ascii="Book Antiqua" w:hAnsi="Book Antiqua" w:eastAsia="Book Antiqua" w:cs="Book Antiqua"/>
          <w:color w:val="000000"/>
        </w:rPr>
        <w:t>) and insulin resistance (IR), both metabolic and cardiovascular risks are increased in children with NAFLD</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Hepatic fat accumulation represents the hallmark of the disease, that includes a wide spectrum of progressive forms ranging from simple steatosis through non</w:t>
      </w:r>
      <w:r>
        <w:rPr>
          <w:rFonts w:hint="eastAsia" w:ascii="Book Antiqua" w:hAnsi="Book Antiqua" w:cs="Book Antiqua"/>
          <w:color w:val="000000"/>
          <w:lang w:eastAsia="zh-CN"/>
        </w:rPr>
        <w:t>-</w:t>
      </w:r>
      <w:r>
        <w:rPr>
          <w:rFonts w:ascii="Book Antiqua" w:hAnsi="Book Antiqua" w:eastAsia="Book Antiqua" w:cs="Book Antiqua"/>
          <w:color w:val="000000"/>
        </w:rPr>
        <w:t>alcoholic steatohepatitis (NASH) to fibrosis and cirrhosis</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xml:space="preserve">. Lipolysis of adipose tissue and </w:t>
      </w:r>
      <w:r>
        <w:rPr>
          <w:rFonts w:ascii="Book Antiqua" w:hAnsi="Book Antiqua" w:eastAsia="Book Antiqua" w:cs="Book Antiqua"/>
          <w:i/>
          <w:iCs/>
          <w:color w:val="000000"/>
        </w:rPr>
        <w:t xml:space="preserve">de novo </w:t>
      </w:r>
      <w:r>
        <w:rPr>
          <w:rFonts w:ascii="Book Antiqua" w:hAnsi="Book Antiqua" w:eastAsia="Book Antiqua" w:cs="Book Antiqua"/>
          <w:color w:val="000000"/>
        </w:rPr>
        <w:t>hepatic lipogenesis are the main biological pathogenic processes contributing to fatty liver and</w:t>
      </w:r>
      <w:r>
        <w:rPr>
          <w:rFonts w:hint="eastAsia" w:ascii="Book Antiqua" w:hAnsi="Book Antiqua" w:cs="Book Antiqua"/>
          <w:color w:val="000000"/>
          <w:lang w:eastAsia="zh-CN"/>
        </w:rPr>
        <w:t xml:space="preserve"> </w:t>
      </w:r>
      <w:r>
        <w:rPr>
          <w:rFonts w:ascii="Book Antiqua" w:hAnsi="Book Antiqua" w:eastAsia="Book Antiqua" w:cs="Book Antiqua"/>
          <w:color w:val="000000"/>
        </w:rPr>
        <w:t>IR</w:t>
      </w:r>
      <w:r>
        <w:rPr>
          <w:rFonts w:ascii="Book Antiqua" w:hAnsi="Book Antiqua" w:eastAsia="Book Antiqua" w:cs="Book Antiqua"/>
          <w:color w:val="000000"/>
          <w:szCs w:val="30"/>
          <w:vertAlign w:val="superscript"/>
        </w:rPr>
        <w:t>[3,6]</w:t>
      </w:r>
      <w:r>
        <w:rPr>
          <w:rFonts w:ascii="Book Antiqua" w:hAnsi="Book Antiqua" w:eastAsia="Book Antiqua" w:cs="Book Antiqua"/>
          <w:color w:val="000000"/>
        </w:rPr>
        <w:t>. Taken together, they result in an increased flux of free fatty acids to the liver and skeletal muscle that might activate lipotoxic pathways responsible for more progressive forms of hepatocellular injury. Interestingly, recent studies have highlighted not only the role of lipotoxicity but also of fatty acid composition as central players in NAFLD</w:t>
      </w:r>
      <w:r>
        <w:rPr>
          <w:rFonts w:ascii="Book Antiqua" w:hAnsi="Book Antiqua" w:eastAsia="Book Antiqua" w:cs="Book Antiqua"/>
          <w:color w:val="000000"/>
          <w:szCs w:val="30"/>
          <w:vertAlign w:val="superscript"/>
        </w:rPr>
        <w:t>[7-9]</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Pathophysiological hypotheses of NAFLD have been resumed in the “multiple hits” theory, by assuming the role of genetics, microbial, metabolic, and environmental factors through a complex interplay</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2,10-12]</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K</w:t>
      </w:r>
      <w:bookmarkStart w:id="14" w:name="OLE_LINK463"/>
      <w:bookmarkStart w:id="15" w:name="OLE_LINK464"/>
      <w:r>
        <w:rPr>
          <w:rFonts w:ascii="Book Antiqua" w:hAnsi="Book Antiqua" w:eastAsia="Book Antiqua" w:cs="Book Antiqua"/>
          <w:color w:val="000000"/>
        </w:rPr>
        <w:t>ey genetic factors for NAFLD are represented by t</w:t>
      </w:r>
      <w:r>
        <w:rPr>
          <w:rFonts w:ascii="Book Antiqua" w:hAnsi="Book Antiqua" w:eastAsia="Book Antiqua" w:cs="Book Antiqua"/>
          <w:color w:val="000000"/>
          <w:shd w:val="clear" w:color="auto" w:fill="FFFFFF"/>
        </w:rPr>
        <w:t>he I148M variant of the</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i/>
          <w:iCs/>
          <w:color w:val="000000"/>
          <w:shd w:val="clear" w:color="auto" w:fill="FFFFFF"/>
        </w:rPr>
        <w:t>PNPLA3</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gene</w:t>
      </w:r>
      <w:r>
        <w:rPr>
          <w:rFonts w:ascii="Book Antiqua" w:hAnsi="Book Antiqua" w:eastAsia="Book Antiqua" w:cs="Book Antiqua"/>
          <w:color w:val="000000"/>
          <w:szCs w:val="30"/>
          <w:shd w:val="clear" w:color="auto" w:fill="FFFFFF"/>
          <w:vertAlign w:val="superscript"/>
        </w:rPr>
        <w:t>[13]</w:t>
      </w:r>
      <w:r>
        <w:rPr>
          <w:rFonts w:ascii="Book Antiqua" w:hAnsi="Book Antiqua" w:eastAsia="Book Antiqua" w:cs="Book Antiqua"/>
          <w:color w:val="000000"/>
          <w:shd w:val="clear" w:color="auto" w:fill="FFFFFF"/>
        </w:rPr>
        <w:t>, the E167K allele of the</w:t>
      </w:r>
      <w:r>
        <w:rPr>
          <w:rFonts w:ascii="Book Antiqua" w:hAnsi="Book Antiqua" w:eastAsia="Book Antiqua" w:cs="Book Antiqua"/>
          <w:i/>
          <w:iCs/>
          <w:color w:val="000000"/>
          <w:shd w:val="clear" w:color="auto" w:fill="FFFFFF"/>
        </w:rPr>
        <w:t xml:space="preserve"> TM6SF2</w:t>
      </w:r>
      <w:r>
        <w:rPr>
          <w:rFonts w:ascii="Book Antiqua" w:hAnsi="Book Antiqua" w:eastAsia="Book Antiqua" w:cs="Book Antiqua"/>
          <w:color w:val="000000"/>
          <w:szCs w:val="30"/>
          <w:shd w:val="clear" w:color="auto" w:fill="FFFFFF"/>
          <w:vertAlign w:val="superscript"/>
        </w:rPr>
        <w:t>[14,15]</w:t>
      </w:r>
      <w:r>
        <w:rPr>
          <w:rFonts w:ascii="Book Antiqua" w:hAnsi="Book Antiqua" w:eastAsia="Book Antiqua" w:cs="Book Antiqua"/>
          <w:color w:val="000000"/>
          <w:shd w:val="clear" w:color="auto" w:fill="FFFFFF"/>
        </w:rPr>
        <w:t xml:space="preserve">, the </w:t>
      </w:r>
      <w:r>
        <w:rPr>
          <w:rFonts w:ascii="Book Antiqua" w:hAnsi="Book Antiqua" w:eastAsia="Book Antiqua" w:cs="Book Antiqua"/>
          <w:i/>
          <w:iCs/>
          <w:color w:val="000000"/>
          <w:shd w:val="clear" w:color="auto" w:fill="FFFFFF"/>
        </w:rPr>
        <w:t>MBOAT7-TMC4</w:t>
      </w:r>
      <w:r>
        <w:rPr>
          <w:rFonts w:ascii="Book Antiqua" w:hAnsi="Book Antiqua" w:eastAsia="Book Antiqua" w:cs="Book Antiqua"/>
          <w:color w:val="000000"/>
          <w:shd w:val="clear" w:color="auto" w:fill="FFFFFF"/>
        </w:rPr>
        <w:t xml:space="preserve"> rs641738 variant</w:t>
      </w:r>
      <w:r>
        <w:rPr>
          <w:rFonts w:ascii="Book Antiqua" w:hAnsi="Book Antiqua" w:eastAsia="Book Antiqua" w:cs="Book Antiqua"/>
          <w:color w:val="000000"/>
          <w:szCs w:val="30"/>
          <w:shd w:val="clear" w:color="auto" w:fill="FFFFFF"/>
          <w:vertAlign w:val="superscript"/>
        </w:rPr>
        <w:t>[16]</w:t>
      </w:r>
      <w:r>
        <w:rPr>
          <w:rFonts w:ascii="Book Antiqua" w:hAnsi="Book Antiqua" w:eastAsia="Book Antiqua" w:cs="Book Antiqua"/>
          <w:color w:val="000000"/>
          <w:shd w:val="clear" w:color="auto" w:fill="FFFFFF"/>
        </w:rPr>
        <w:t>, and the rs72613567:TA variant in the</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i/>
          <w:iCs/>
          <w:color w:val="000000"/>
          <w:shd w:val="clear" w:color="auto" w:fill="FFFFFF"/>
        </w:rPr>
        <w:t>HSD17B13</w:t>
      </w:r>
      <w:r>
        <w:rPr>
          <w:rFonts w:ascii="Book Antiqua" w:hAnsi="Book Antiqua" w:eastAsia="Book Antiqua" w:cs="Book Antiqua"/>
          <w:color w:val="000000"/>
          <w:shd w:val="clear" w:color="auto" w:fill="FFFFFF"/>
        </w:rPr>
        <w:t xml:space="preserve"> gene</w:t>
      </w:r>
      <w:r>
        <w:rPr>
          <w:rFonts w:ascii="Book Antiqua" w:hAnsi="Book Antiqua" w:eastAsia="Book Antiqua" w:cs="Book Antiqua"/>
          <w:color w:val="000000"/>
          <w:szCs w:val="30"/>
          <w:shd w:val="clear" w:color="auto" w:fill="FFFFFF"/>
          <w:vertAlign w:val="superscript"/>
        </w:rPr>
        <w:t>[17]</w:t>
      </w:r>
      <w:r>
        <w:rPr>
          <w:rFonts w:ascii="Book Antiqua" w:hAnsi="Book Antiqua" w:eastAsia="Book Antiqua" w:cs="Book Antiqua"/>
          <w:color w:val="000000"/>
          <w:shd w:val="clear" w:color="auto" w:fill="FFFFFF"/>
        </w:rPr>
        <w:t xml:space="preserve"> </w:t>
      </w:r>
      <w:bookmarkStart w:id="16" w:name="OLE_LINK466"/>
      <w:bookmarkStart w:id="17" w:name="OLE_LINK465"/>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Table</w:t>
      </w:r>
      <w:r>
        <w:rPr>
          <w:rFonts w:ascii="Book Antiqua" w:hAnsi="Book Antiqua" w:eastAsia="Book Antiqua" w:cs="Book Antiqua"/>
          <w:color w:val="000000"/>
          <w:shd w:val="clear" w:color="auto" w:fill="FFFFFF"/>
        </w:rPr>
        <w:t xml:space="preserve"> </w:t>
      </w:r>
      <w:bookmarkEnd w:id="16"/>
      <w:bookmarkEnd w:id="17"/>
      <w:r>
        <w:rPr>
          <w:rFonts w:hint="eastAsia" w:ascii="Book Antiqua" w:hAnsi="Book Antiqua" w:cs="Book Antiqua"/>
          <w:color w:val="000000"/>
          <w:shd w:val="clear" w:color="auto" w:fill="FFFFFF"/>
          <w:lang w:eastAsia="zh-CN"/>
        </w:rPr>
        <w:t>1</w:t>
      </w:r>
      <w:r>
        <w:rPr>
          <w:rFonts w:ascii="Book Antiqua" w:hAnsi="Book Antiqua" w:eastAsia="Book Antiqua" w:cs="Book Antiqua"/>
          <w:color w:val="000000"/>
          <w:shd w:val="clear" w:color="auto" w:fill="FFFFFF"/>
        </w:rPr>
        <w:t xml:space="preserve">). </w:t>
      </w:r>
    </w:p>
    <w:bookmarkEnd w:id="14"/>
    <w:bookmarkEnd w:id="15"/>
    <w:p>
      <w:pPr>
        <w:spacing w:line="360" w:lineRule="auto"/>
        <w:ind w:firstLine="240" w:firstLineChars="100"/>
        <w:jc w:val="both"/>
      </w:pPr>
      <w:r>
        <w:rPr>
          <w:rFonts w:ascii="Book Antiqua" w:hAnsi="Book Antiqua" w:eastAsia="Book Antiqua" w:cs="Book Antiqua"/>
          <w:color w:val="000000"/>
          <w:shd w:val="clear" w:color="auto" w:fill="FFFFFF"/>
        </w:rPr>
        <w:t>Recently, advances in the understanding of NAFLD pathogenesis have reported the role of specific lipid classes (in particular sphingolipids and ceramides) and their correlation also with IR, by underscoring the strength of the tangled link between NAFLD and IR</w:t>
      </w:r>
      <w:r>
        <w:rPr>
          <w:rFonts w:ascii="Book Antiqua" w:hAnsi="Book Antiqua" w:eastAsia="Book Antiqua" w:cs="Book Antiqua"/>
          <w:color w:val="000000"/>
          <w:szCs w:val="30"/>
          <w:shd w:val="clear" w:color="auto" w:fill="FFFFFF"/>
          <w:vertAlign w:val="superscript"/>
        </w:rPr>
        <w:t>[9,18-21]</w:t>
      </w:r>
      <w:r>
        <w:rPr>
          <w:rFonts w:ascii="Book Antiqua" w:hAnsi="Book Antiqua" w:eastAsia="Book Antiqua" w:cs="Book Antiqua"/>
          <w:color w:val="000000"/>
          <w:shd w:val="clear" w:color="auto" w:fill="FFFFFF"/>
        </w:rPr>
        <w:t>.</w:t>
      </w:r>
    </w:p>
    <w:p>
      <w:pPr>
        <w:spacing w:line="360" w:lineRule="auto"/>
        <w:ind w:firstLine="240" w:firstLineChars="100"/>
        <w:jc w:val="both"/>
        <w:rPr>
          <w:rFonts w:ascii="Book Antiqua" w:hAnsi="Book Antiqua" w:cs="Book Antiqua"/>
          <w:color w:val="000000"/>
          <w:shd w:val="clear" w:color="auto" w:fill="FFFFFF"/>
          <w:lang w:eastAsia="zh-CN"/>
        </w:rPr>
      </w:pPr>
      <w:r>
        <w:rPr>
          <w:rFonts w:ascii="Book Antiqua" w:hAnsi="Book Antiqua" w:eastAsia="Book Antiqua" w:cs="Book Antiqua"/>
          <w:color w:val="000000"/>
          <w:shd w:val="clear" w:color="auto" w:fill="FFFFFF"/>
        </w:rPr>
        <w:t>For this reason, we aimed to provide a comprehensive overview from the oldest to the newest pathophysiological evidence on pediatric NAFLD.</w:t>
      </w:r>
    </w:p>
    <w:p>
      <w:pPr>
        <w:spacing w:line="360" w:lineRule="auto"/>
        <w:jc w:val="both"/>
        <w:rPr>
          <w:rFonts w:ascii="Book Antiqua" w:hAnsi="Book Antiqua" w:cs="Book Antiqua"/>
          <w:color w:val="000000"/>
          <w:shd w:val="clear" w:color="auto" w:fill="FFFFFF"/>
          <w:lang w:eastAsia="zh-CN"/>
        </w:rPr>
      </w:pPr>
    </w:p>
    <w:p>
      <w:pPr>
        <w:adjustRightInd w:val="0"/>
        <w:snapToGrid w:val="0"/>
        <w:spacing w:line="360" w:lineRule="auto"/>
        <w:jc w:val="both"/>
        <w:rPr>
          <w:rFonts w:ascii="Book Antiqua" w:hAnsi="Book Antiqua"/>
          <w:b/>
          <w:bCs/>
          <w:u w:val="single"/>
        </w:rPr>
      </w:pPr>
      <w:r>
        <w:rPr>
          <w:rFonts w:ascii="Book Antiqua" w:hAnsi="Book Antiqua"/>
          <w:b/>
          <w:bCs/>
          <w:u w:val="single"/>
        </w:rPr>
        <w:t>NAFLD PATHOGENESIS: THE “MULTIPLE HITS” THEORY</w:t>
      </w:r>
    </w:p>
    <w:p>
      <w:pPr>
        <w:adjustRightInd w:val="0"/>
        <w:snapToGrid w:val="0"/>
        <w:spacing w:line="360" w:lineRule="auto"/>
        <w:jc w:val="both"/>
        <w:rPr>
          <w:rFonts w:ascii="Book Antiqua" w:hAnsi="Book Antiqua"/>
        </w:rPr>
      </w:pPr>
      <w:r>
        <w:rPr>
          <w:rFonts w:ascii="Book Antiqua" w:hAnsi="Book Antiqua"/>
        </w:rPr>
        <w:t>One of the most recurrent questions regarding NAFLD concerns the potential progression to more severe forms in certain subjects. This seems to be relevant as hepatic inflammation or fibrosis determine the long-term prognosis of the disease, while simple steatosis does not seem to worsen the outcome</w:t>
      </w:r>
      <w:r>
        <w:rPr>
          <w:rFonts w:ascii="Book Antiqua" w:hAnsi="Book Antiqua"/>
          <w:vertAlign w:val="superscript"/>
        </w:rPr>
        <w:t>[22,23]</w:t>
      </w:r>
      <w:r>
        <w:rPr>
          <w:rFonts w:ascii="Book Antiqua" w:hAnsi="Book Antiqua"/>
        </w:rPr>
        <w:t>, although some studies would seem to weaken this assumption</w:t>
      </w:r>
      <w:r>
        <w:rPr>
          <w:rFonts w:ascii="Book Antiqua" w:hAnsi="Book Antiqua"/>
          <w:vertAlign w:val="superscript"/>
        </w:rPr>
        <w:t>[24,25]</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bCs/>
        </w:rPr>
        <w:t>In an attempt to explain NAFLD pathogenesis</w:t>
      </w:r>
      <w:r>
        <w:rPr>
          <w:rFonts w:ascii="Book Antiqua" w:hAnsi="Book Antiqua"/>
        </w:rPr>
        <w:t xml:space="preserve">, </w:t>
      </w:r>
      <w:bookmarkStart w:id="18" w:name="OLE_LINK485"/>
      <w:bookmarkStart w:id="19" w:name="OLE_LINK486"/>
      <w:r>
        <w:rPr>
          <w:rFonts w:ascii="Book Antiqua" w:hAnsi="Book Antiqua"/>
        </w:rPr>
        <w:t xml:space="preserve">Day </w:t>
      </w:r>
      <w:bookmarkEnd w:id="18"/>
      <w:bookmarkEnd w:id="19"/>
      <w:bookmarkStart w:id="20" w:name="OLE_LINK488"/>
      <w:bookmarkStart w:id="21" w:name="OLE_LINK487"/>
      <w:r>
        <w:rPr>
          <w:rFonts w:ascii="Book Antiqua" w:hAnsi="Book Antiqua"/>
          <w:i/>
        </w:rPr>
        <w:t>et al</w:t>
      </w:r>
      <w:r>
        <w:rPr>
          <w:rFonts w:ascii="Book Antiqua" w:hAnsi="Book Antiqua"/>
          <w:vertAlign w:val="superscript"/>
        </w:rPr>
        <w:t>[</w:t>
      </w:r>
      <w:bookmarkEnd w:id="20"/>
      <w:bookmarkEnd w:id="21"/>
      <w:r>
        <w:rPr>
          <w:rFonts w:ascii="Book Antiqua" w:hAnsi="Book Antiqua"/>
          <w:vertAlign w:val="superscript"/>
        </w:rPr>
        <w:t>26]</w:t>
      </w:r>
      <w:r>
        <w:rPr>
          <w:rFonts w:ascii="Book Antiqua" w:hAnsi="Book Antiqua"/>
        </w:rPr>
        <w:t xml:space="preserve"> first proposed the ‘‘</w:t>
      </w:r>
      <w:r>
        <w:rPr>
          <w:rFonts w:ascii="Book Antiqua" w:hAnsi="Book Antiqua"/>
          <w:bCs/>
        </w:rPr>
        <w:t>two hit’’ model theory</w:t>
      </w:r>
      <w:r>
        <w:rPr>
          <w:rFonts w:ascii="Book Antiqua" w:hAnsi="Book Antiqua"/>
        </w:rPr>
        <w:t>, suggesting that after a first hit (</w:t>
      </w:r>
      <w:r>
        <w:rPr>
          <w:rFonts w:ascii="Book Antiqua" w:hAnsi="Book Antiqua"/>
          <w:i/>
        </w:rPr>
        <w:t>i.e.</w:t>
      </w:r>
      <w:r>
        <w:rPr>
          <w:rFonts w:ascii="Book Antiqua" w:hAnsi="Book Antiqua"/>
        </w:rPr>
        <w:t>, hepatic steatosis), another hit (</w:t>
      </w:r>
      <w:r>
        <w:rPr>
          <w:rFonts w:ascii="Book Antiqua" w:hAnsi="Book Antiqua"/>
          <w:i/>
        </w:rPr>
        <w:t>e.g.</w:t>
      </w:r>
      <w:r>
        <w:rPr>
          <w:rFonts w:ascii="Book Antiqua" w:hAnsi="Book Antiqua"/>
        </w:rPr>
        <w:t>, gut-derived endotoxin) contributed to NASH development. Later, a more complex model called the “</w:t>
      </w:r>
      <w:r>
        <w:rPr>
          <w:rFonts w:ascii="Book Antiqua" w:hAnsi="Book Antiqua"/>
          <w:bCs/>
        </w:rPr>
        <w:t>multiple parallel hits model</w:t>
      </w:r>
      <w:r>
        <w:rPr>
          <w:rFonts w:ascii="Book Antiqua" w:hAnsi="Book Antiqua"/>
        </w:rPr>
        <w:t>”</w:t>
      </w:r>
      <w:r>
        <w:rPr>
          <w:rFonts w:ascii="Book Antiqua" w:hAnsi="Book Antiqua"/>
          <w:vertAlign w:val="superscript"/>
        </w:rPr>
        <w:t xml:space="preserve">[23] </w:t>
      </w:r>
      <w:r>
        <w:rPr>
          <w:rFonts w:ascii="Book Antiqua" w:hAnsi="Book Antiqua"/>
        </w:rPr>
        <w:t>in which multiple factors (including genetics, obesity, insulin resistance, metabolic and environmental determinants) act together to induce NAFLD development and progression in genetically predisposed or high-risk individuals was proposed. In particular, increased lipid storage, lipogenesis, and adipokine synthesis in adipose and liver tissue, may act as stress signals for the endoplasmic reticulum (ER) with subsequent hepatocellular damage</w:t>
      </w:r>
      <w:r>
        <w:rPr>
          <w:rFonts w:ascii="Book Antiqua" w:hAnsi="Book Antiqua"/>
          <w:vertAlign w:val="superscript"/>
        </w:rPr>
        <w:t>[27]</w:t>
      </w:r>
      <w:r>
        <w:rPr>
          <w:rFonts w:ascii="Book Antiqua" w:hAnsi="Book Antiqua"/>
        </w:rPr>
        <w:t xml:space="preserve">. In addition, certain genes (such as </w:t>
      </w:r>
      <w:r>
        <w:rPr>
          <w:rFonts w:ascii="Book Antiqua" w:hAnsi="Book Antiqua"/>
          <w:i/>
        </w:rPr>
        <w:t>PNPLA3, TM6SF2, GCKR, MBOAT7</w:t>
      </w:r>
      <w:r>
        <w:rPr>
          <w:rFonts w:ascii="Book Antiqua" w:hAnsi="Book Antiqua"/>
        </w:rPr>
        <w:t xml:space="preserve">, and </w:t>
      </w:r>
      <w:r>
        <w:rPr>
          <w:rFonts w:ascii="Book Antiqua" w:hAnsi="Book Antiqua"/>
          <w:i/>
        </w:rPr>
        <w:t>HSD17B13</w:t>
      </w:r>
      <w:r>
        <w:rPr>
          <w:rFonts w:ascii="Book Antiqua" w:hAnsi="Book Antiqua"/>
        </w:rPr>
        <w:t>) have been strongly related to NAFLD susceptibility.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i/>
        </w:rPr>
      </w:pPr>
      <w:r>
        <w:rPr>
          <w:rFonts w:ascii="Book Antiqua" w:hAnsi="Book Antiqua"/>
          <w:b/>
          <w:i/>
        </w:rPr>
        <w:t>Genetics</w:t>
      </w:r>
    </w:p>
    <w:p>
      <w:pPr>
        <w:adjustRightInd w:val="0"/>
        <w:snapToGrid w:val="0"/>
        <w:spacing w:line="360" w:lineRule="auto"/>
        <w:jc w:val="both"/>
        <w:rPr>
          <w:rFonts w:ascii="Book Antiqua" w:hAnsi="Book Antiqua"/>
          <w:b/>
          <w:lang w:eastAsia="zh-CN"/>
        </w:rPr>
      </w:pPr>
      <w:r>
        <w:rPr>
          <w:rFonts w:ascii="Book Antiqua" w:hAnsi="Book Antiqua"/>
          <w:b/>
          <w:i/>
        </w:rPr>
        <w:t>PNPLA3</w:t>
      </w:r>
      <w:r>
        <w:rPr>
          <w:rFonts w:hint="eastAsia" w:ascii="Book Antiqua" w:hAnsi="Book Antiqua"/>
          <w:b/>
          <w:i/>
          <w:lang w:eastAsia="zh-CN"/>
        </w:rPr>
        <w:t xml:space="preserve">: </w:t>
      </w:r>
      <w:r>
        <w:rPr>
          <w:rFonts w:ascii="Book Antiqua" w:hAnsi="Book Antiqua"/>
        </w:rPr>
        <w:t xml:space="preserve">The </w:t>
      </w:r>
      <w:r>
        <w:rPr>
          <w:rFonts w:ascii="Book Antiqua" w:hAnsi="Book Antiqua"/>
          <w:i/>
        </w:rPr>
        <w:t>PNPLA3</w:t>
      </w:r>
      <w:r>
        <w:rPr>
          <w:rFonts w:ascii="Book Antiqua" w:hAnsi="Book Antiqua"/>
        </w:rPr>
        <w:t xml:space="preserve"> gene, discovered by Hobbs </w:t>
      </w:r>
      <w:r>
        <w:rPr>
          <w:rFonts w:hint="eastAsia" w:ascii="Book Antiqua" w:hAnsi="Book Antiqua"/>
          <w:lang w:eastAsia="zh-CN"/>
        </w:rPr>
        <w:t>and</w:t>
      </w:r>
      <w:r>
        <w:rPr>
          <w:rFonts w:ascii="Book Antiqua" w:hAnsi="Book Antiqua"/>
        </w:rPr>
        <w:t xml:space="preserve"> colleagues in 2008, has been largely accepted as the most important genetic determinant in NAFLD development. </w:t>
      </w:r>
      <w:r>
        <w:rPr>
          <w:rFonts w:ascii="Book Antiqua" w:hAnsi="Book Antiqua"/>
          <w:i/>
        </w:rPr>
        <w:t>PNPLA3</w:t>
      </w:r>
      <w:r>
        <w:rPr>
          <w:rFonts w:ascii="Book Antiqua" w:hAnsi="Book Antiqua"/>
        </w:rPr>
        <w:t xml:space="preserve"> is located on chromosome 22 and</w:t>
      </w:r>
      <w:r>
        <w:rPr>
          <w:rFonts w:hint="eastAsia" w:ascii="Book Antiqua" w:hAnsi="Book Antiqua"/>
          <w:lang w:eastAsia="zh-CN"/>
        </w:rPr>
        <w:t xml:space="preserve"> </w:t>
      </w:r>
      <w:r>
        <w:rPr>
          <w:rFonts w:ascii="Book Antiqua" w:hAnsi="Book Antiqua"/>
        </w:rPr>
        <w:t>belongs to the patatin-like phospholipase family. Its expression seems to be influenced by several factors, including diet, obesity, insulin and glucose levels, and gene mutation</w:t>
      </w:r>
      <w:r>
        <w:rPr>
          <w:rFonts w:ascii="Book Antiqua" w:hAnsi="Book Antiqua"/>
          <w:vertAlign w:val="superscript"/>
        </w:rPr>
        <w:t>[28]</w:t>
      </w:r>
      <w:r>
        <w:rPr>
          <w:rFonts w:ascii="Book Antiqua" w:hAnsi="Book Antiqua"/>
        </w:rPr>
        <w:t xml:space="preserve">. </w:t>
      </w:r>
      <w:r>
        <w:rPr>
          <w:rFonts w:ascii="Book Antiqua" w:hAnsi="Book Antiqua"/>
          <w:i/>
        </w:rPr>
        <w:t>PNPLA3</w:t>
      </w:r>
      <w:r>
        <w:rPr>
          <w:rFonts w:ascii="Book Antiqua" w:hAnsi="Book Antiqua"/>
        </w:rPr>
        <w:t xml:space="preserve"> encodes for a protein called adiponutrin, an enzyme found in liver and adipose tissue that appears to confer susceptibility to increased liver fat levels and liver inflammation</w:t>
      </w:r>
      <w:r>
        <w:rPr>
          <w:rFonts w:ascii="Book Antiqua" w:hAnsi="Book Antiqua"/>
          <w:vertAlign w:val="superscript"/>
        </w:rPr>
        <w:t>[29]</w:t>
      </w:r>
      <w:r>
        <w:rPr>
          <w:rFonts w:ascii="Book Antiqua" w:hAnsi="Book Antiqua"/>
        </w:rPr>
        <w:t xml:space="preserve">. The discovery of </w:t>
      </w:r>
      <w:r>
        <w:rPr>
          <w:rFonts w:ascii="Book Antiqua" w:hAnsi="Book Antiqua"/>
          <w:i/>
        </w:rPr>
        <w:t>PNPLA3</w:t>
      </w:r>
      <w:r>
        <w:rPr>
          <w:rFonts w:ascii="Book Antiqua" w:hAnsi="Book Antiqua"/>
        </w:rPr>
        <w:t xml:space="preserve"> has brought new insights into the understanding of fatty liver, specifically lipid remodeling in intracellular droplets has been identified as a common mechanism underlying disease progression independent of environmental triggers. In particular, </w:t>
      </w:r>
      <w:r>
        <w:rPr>
          <w:rFonts w:ascii="Book Antiqua" w:hAnsi="Book Antiqua"/>
          <w:i/>
        </w:rPr>
        <w:t>PNPLA3</w:t>
      </w:r>
      <w:r>
        <w:rPr>
          <w:rFonts w:ascii="Book Antiqua" w:hAnsi="Book Antiqua"/>
        </w:rPr>
        <w:t xml:space="preserve"> is involved in the remodeling of triglycerides, phospholipids, and retinyl ester release, acting as a lipase on lipid droplets</w:t>
      </w:r>
      <w:r>
        <w:rPr>
          <w:rFonts w:ascii="Book Antiqua" w:hAnsi="Book Antiqua"/>
          <w:vertAlign w:val="superscript"/>
        </w:rPr>
        <w:t>[30]</w:t>
      </w:r>
      <w:r>
        <w:rPr>
          <w:rFonts w:ascii="Book Antiqua" w:hAnsi="Book Antiqua"/>
        </w:rPr>
        <w:t xml:space="preserve">. Adiponutrin is an enzyme with retinyl-palmitate lipase function that, in response to insulin, has been shown to be responsible for the release of retinol from lipid droplets in hepatic stellate cells </w:t>
      </w:r>
      <w:r>
        <w:rPr>
          <w:rFonts w:ascii="Book Antiqua" w:hAnsi="Book Antiqua"/>
          <w:i/>
        </w:rPr>
        <w:t>in vitro</w:t>
      </w:r>
      <w:r>
        <w:rPr>
          <w:rFonts w:ascii="Book Antiqua" w:hAnsi="Book Antiqua"/>
        </w:rPr>
        <w:t xml:space="preserve"> and </w:t>
      </w:r>
      <w:r>
        <w:rPr>
          <w:rFonts w:ascii="Book Antiqua" w:hAnsi="Book Antiqua"/>
          <w:i/>
        </w:rPr>
        <w:t>ex vivo</w:t>
      </w:r>
      <w:r>
        <w:rPr>
          <w:rFonts w:ascii="Book Antiqua" w:hAnsi="Book Antiqua"/>
          <w:vertAlign w:val="superscript"/>
        </w:rPr>
        <w:t>[31]</w:t>
      </w:r>
      <w:r>
        <w:rPr>
          <w:rFonts w:ascii="Book Antiqua" w:hAnsi="Book Antiqua"/>
        </w:rPr>
        <w:t xml:space="preserve">. It is induced by diet and </w:t>
      </w:r>
      <w:r>
        <w:rPr>
          <w:rFonts w:ascii="Book Antiqua" w:hAnsi="Book Antiqua"/>
          <w:lang w:val="el-GR"/>
        </w:rPr>
        <w:t>Ι</w:t>
      </w:r>
      <w:r>
        <w:rPr>
          <w:rFonts w:ascii="Book Antiqua" w:hAnsi="Book Antiqua"/>
        </w:rPr>
        <w:t>R</w:t>
      </w:r>
      <w:r>
        <w:rPr>
          <w:rFonts w:ascii="Book Antiqua" w:hAnsi="Book Antiqua"/>
          <w:vertAlign w:val="superscript"/>
        </w:rPr>
        <w:t xml:space="preserve">[32] </w:t>
      </w:r>
      <w:r>
        <w:rPr>
          <w:rFonts w:ascii="Book Antiqua" w:hAnsi="Book Antiqua"/>
        </w:rPr>
        <w:t>and exhibits lipolytic activity on triglycerides</w:t>
      </w:r>
      <w:r>
        <w:rPr>
          <w:rFonts w:ascii="Book Antiqua" w:hAnsi="Book Antiqua"/>
          <w:vertAlign w:val="superscript"/>
        </w:rPr>
        <w:t>[33]</w:t>
      </w:r>
      <w:r>
        <w:rPr>
          <w:rFonts w:ascii="Book Antiqua" w:hAnsi="Book Antiqua"/>
        </w:rPr>
        <w:t>.</w:t>
      </w:r>
      <w:r>
        <w:rPr>
          <w:rFonts w:hint="eastAsia" w:ascii="Book Antiqua" w:hAnsi="Book Antiqua"/>
          <w:b/>
          <w:lang w:eastAsia="zh-CN"/>
        </w:rPr>
        <w:t xml:space="preserve"> </w:t>
      </w:r>
    </w:p>
    <w:p>
      <w:pPr>
        <w:adjustRightInd w:val="0"/>
        <w:snapToGrid w:val="0"/>
        <w:spacing w:line="360" w:lineRule="auto"/>
        <w:ind w:firstLine="240" w:firstLineChars="100"/>
        <w:jc w:val="both"/>
        <w:rPr>
          <w:rFonts w:ascii="Book Antiqua" w:hAnsi="Book Antiqua"/>
          <w:b/>
          <w:lang w:eastAsia="zh-CN"/>
        </w:rPr>
      </w:pPr>
      <w:r>
        <w:rPr>
          <w:rFonts w:ascii="Book Antiqua" w:hAnsi="Book Antiqua"/>
        </w:rPr>
        <w:t xml:space="preserve">Several studies have investigated the major pathogenic role of the </w:t>
      </w:r>
      <w:r>
        <w:rPr>
          <w:rFonts w:ascii="Book Antiqua" w:hAnsi="Book Antiqua"/>
          <w:i/>
        </w:rPr>
        <w:t>PNPLA3</w:t>
      </w:r>
      <w:r>
        <w:rPr>
          <w:rFonts w:ascii="Book Antiqua" w:hAnsi="Book Antiqua"/>
        </w:rPr>
        <w:t xml:space="preserve"> rs738409 (</w:t>
      </w:r>
      <w:r>
        <w:rPr>
          <w:rFonts w:ascii="Book Antiqua" w:hAnsi="Book Antiqua"/>
          <w:i/>
        </w:rPr>
        <w:t>PNPLA3</w:t>
      </w:r>
      <w:r>
        <w:rPr>
          <w:rFonts w:ascii="Book Antiqua" w:hAnsi="Book Antiqua"/>
        </w:rPr>
        <w:t xml:space="preserve"> I148M) single nucleotide polymorphism (SNP) in NAFLD development. It is a non-synonymous variant in which there is a cytosine to guanosine change leading to an amino acid substitution of isoleucine to methionine at amino acid position 148 of the coding sequence, in the active site of the enzyme (I148M). This amino acid substitution affects the function of the enzyme (loss of-function), leading to intrahepatic triglyceride accumulation and consequent development of microvesicular steatosis. On the other hand, adiponutrin might exhibit a gain of lipogenic function, which could further lead to hepatic fatty acid accumulation</w:t>
      </w:r>
      <w:r>
        <w:rPr>
          <w:rFonts w:ascii="Book Antiqua" w:hAnsi="Book Antiqua"/>
          <w:vertAlign w:val="superscript"/>
        </w:rPr>
        <w:t>[34]</w:t>
      </w:r>
      <w:r>
        <w:rPr>
          <w:rFonts w:ascii="Book Antiqua" w:hAnsi="Book Antiqua"/>
        </w:rPr>
        <w:t>. The I148M variant, due to the altered enzymatic activity, determines an altered lipid remodeling, with accumulation of polyunsaturated fatty acids in diacylglycerol and triglycerides, and a parallel depletion in phospholipids</w:t>
      </w:r>
      <w:r>
        <w:rPr>
          <w:rFonts w:ascii="Book Antiqua" w:hAnsi="Book Antiqua"/>
          <w:vertAlign w:val="superscript"/>
        </w:rPr>
        <w:t>[30]</w:t>
      </w:r>
      <w:r>
        <w:rPr>
          <w:rFonts w:ascii="Book Antiqua" w:hAnsi="Book Antiqua"/>
        </w:rPr>
        <w:t xml:space="preserve">. Several studies have reported that the </w:t>
      </w:r>
      <w:r>
        <w:rPr>
          <w:rFonts w:ascii="Book Antiqua" w:hAnsi="Book Antiqua"/>
          <w:i/>
        </w:rPr>
        <w:t>PNPLA3</w:t>
      </w:r>
      <w:r>
        <w:rPr>
          <w:rFonts w:ascii="Book Antiqua" w:hAnsi="Book Antiqua"/>
        </w:rPr>
        <w:t xml:space="preserve"> SNP resulted in decreased retinol metabolism and decreased hepatic protein levels of retinol dehydrogenase 16, which correlate with fibrosis severity</w:t>
      </w:r>
      <w:r>
        <w:rPr>
          <w:rFonts w:ascii="Book Antiqua" w:hAnsi="Book Antiqua"/>
          <w:vertAlign w:val="superscript"/>
        </w:rPr>
        <w:t>[31]</w:t>
      </w:r>
      <w:r>
        <w:rPr>
          <w:rFonts w:ascii="Book Antiqua" w:hAnsi="Book Antiqua"/>
        </w:rPr>
        <w:t>.</w:t>
      </w:r>
      <w:r>
        <w:rPr>
          <w:rFonts w:hint="eastAsia" w:ascii="Book Antiqua" w:hAnsi="Book Antiqua"/>
          <w:b/>
          <w:lang w:eastAsia="zh-CN"/>
        </w:rPr>
        <w:t xml:space="preserve"> </w:t>
      </w:r>
    </w:p>
    <w:p>
      <w:pPr>
        <w:adjustRightInd w:val="0"/>
        <w:snapToGrid w:val="0"/>
        <w:spacing w:line="360" w:lineRule="auto"/>
        <w:ind w:firstLine="240" w:firstLineChars="100"/>
        <w:jc w:val="both"/>
        <w:rPr>
          <w:rFonts w:ascii="Book Antiqua" w:hAnsi="Book Antiqua"/>
          <w:b/>
          <w:i/>
          <w:lang w:eastAsia="zh-CN"/>
        </w:rPr>
      </w:pPr>
      <w:r>
        <w:rPr>
          <w:rFonts w:ascii="Book Antiqua" w:hAnsi="Book Antiqua"/>
        </w:rPr>
        <w:t xml:space="preserve">There is strong evidence in the literature for an association between the </w:t>
      </w:r>
      <w:r>
        <w:rPr>
          <w:rFonts w:ascii="Book Antiqua" w:hAnsi="Book Antiqua"/>
          <w:i/>
        </w:rPr>
        <w:t>PNPLA3</w:t>
      </w:r>
      <w:r>
        <w:rPr>
          <w:rFonts w:ascii="Book Antiqua" w:hAnsi="Book Antiqua"/>
        </w:rPr>
        <w:t xml:space="preserve"> 148M allele and NAFLD in both adults and children. In 2008, Romeo </w:t>
      </w:r>
      <w:r>
        <w:rPr>
          <w:rFonts w:ascii="Book Antiqua" w:hAnsi="Book Antiqua"/>
          <w:i/>
        </w:rPr>
        <w:t>et al</w:t>
      </w:r>
      <w:r>
        <w:rPr>
          <w:rFonts w:ascii="Book Antiqua" w:hAnsi="Book Antiqua"/>
          <w:vertAlign w:val="superscript"/>
        </w:rPr>
        <w:t>[29]</w:t>
      </w:r>
      <w:r>
        <w:rPr>
          <w:rFonts w:ascii="Book Antiqua" w:hAnsi="Book Antiqua"/>
        </w:rPr>
        <w:t xml:space="preserve"> first reported the association between the </w:t>
      </w:r>
      <w:r>
        <w:rPr>
          <w:rFonts w:ascii="Book Antiqua" w:hAnsi="Book Antiqua"/>
          <w:i/>
        </w:rPr>
        <w:t>PNPLA3</w:t>
      </w:r>
      <w:r>
        <w:rPr>
          <w:rFonts w:ascii="Book Antiqua" w:hAnsi="Book Antiqua"/>
        </w:rPr>
        <w:t xml:space="preserve"> gene polymorphism </w:t>
      </w:r>
      <w:r>
        <w:rPr>
          <w:rFonts w:hint="eastAsia" w:ascii="Book Antiqua" w:hAnsi="Book Antiqua"/>
          <w:lang w:eastAsia="zh-CN"/>
        </w:rPr>
        <w:t>(</w:t>
      </w:r>
      <w:r>
        <w:rPr>
          <w:rFonts w:ascii="Book Antiqua" w:hAnsi="Book Antiqua"/>
        </w:rPr>
        <w:t>rs738409C/G</w:t>
      </w:r>
      <w:r>
        <w:rPr>
          <w:rFonts w:hint="eastAsia" w:ascii="Book Antiqua" w:hAnsi="Book Antiqua"/>
          <w:lang w:eastAsia="zh-CN"/>
        </w:rPr>
        <w:t>)</w:t>
      </w:r>
      <w:r>
        <w:rPr>
          <w:rFonts w:ascii="Book Antiqua" w:hAnsi="Book Antiqua"/>
        </w:rPr>
        <w:t xml:space="preserve"> and NAFLD in a multiethnic cohort of Hispanic, African American, and European American adults. </w:t>
      </w:r>
    </w:p>
    <w:p>
      <w:pPr>
        <w:adjustRightInd w:val="0"/>
        <w:snapToGrid w:val="0"/>
        <w:spacing w:line="360" w:lineRule="auto"/>
        <w:ind w:firstLine="240" w:firstLineChars="100"/>
        <w:jc w:val="both"/>
        <w:rPr>
          <w:rFonts w:ascii="Book Antiqua" w:hAnsi="Book Antiqua"/>
          <w:lang w:eastAsia="zh-CN"/>
        </w:rPr>
      </w:pPr>
      <w:r>
        <w:rPr>
          <w:rFonts w:ascii="Book Antiqua" w:hAnsi="Book Antiqua"/>
        </w:rPr>
        <w:t xml:space="preserve">Similarly, a large body of evidence supported the role of this gene in NAFLD development in children. Santoro </w:t>
      </w:r>
      <w:r>
        <w:rPr>
          <w:rFonts w:ascii="Book Antiqua" w:hAnsi="Book Antiqua"/>
          <w:i/>
        </w:rPr>
        <w:t>et al</w:t>
      </w:r>
      <w:r>
        <w:rPr>
          <w:rFonts w:ascii="Book Antiqua" w:hAnsi="Book Antiqua"/>
          <w:vertAlign w:val="superscript"/>
        </w:rPr>
        <w:t>[35]</w:t>
      </w:r>
      <w:r>
        <w:rPr>
          <w:rFonts w:ascii="Book Antiqua" w:hAnsi="Book Antiqua"/>
        </w:rPr>
        <w:t xml:space="preserve">, in a multiethnic group of 85 obese youths with magnetic resonance imaging (MRI)-detected steatosis, demonstrated that the prevalence of the G allele was higher in subjects with hepatic steatosis. Another study investigating 1048 obese Italian children, reported that children carrying the 148M allele showed higher aspartate aminotransferase (AST) </w:t>
      </w:r>
      <w:r>
        <w:rPr>
          <w:rFonts w:hint="eastAsia" w:ascii="Book Antiqua" w:hAnsi="Book Antiqua"/>
          <w:lang w:eastAsia="zh-CN"/>
        </w:rPr>
        <w:t>and</w:t>
      </w:r>
      <w:r>
        <w:rPr>
          <w:rFonts w:ascii="Book Antiqua" w:hAnsi="Book Antiqua"/>
        </w:rPr>
        <w:t xml:space="preserve"> alanine aminotransferase (ALT) levels, in particular homozygous 148M carriers with a high level of abdominal fat (expressed as Waist/Height ratio greater than 0.62) had a higher odds ratio (OR) for developing pathological ALT. Thus, it was observed for the first time that the extent of </w:t>
      </w:r>
      <w:r>
        <w:rPr>
          <w:rFonts w:ascii="Book Antiqua" w:hAnsi="Book Antiqua"/>
          <w:i/>
        </w:rPr>
        <w:t>PNPLA3</w:t>
      </w:r>
      <w:r>
        <w:rPr>
          <w:rFonts w:ascii="Book Antiqua" w:hAnsi="Book Antiqua"/>
        </w:rPr>
        <w:t xml:space="preserve"> association with liver enzymes was determined by the amount of abdominal fat</w:t>
      </w:r>
      <w:r>
        <w:rPr>
          <w:rFonts w:ascii="Book Antiqua" w:hAnsi="Book Antiqua"/>
          <w:vertAlign w:val="superscript"/>
        </w:rPr>
        <w:t>[36]</w:t>
      </w:r>
      <w:r>
        <w:rPr>
          <w:rFonts w:ascii="Book Antiqua" w:hAnsi="Book Antiqua"/>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 xml:space="preserve">Romeo </w:t>
      </w:r>
      <w:r>
        <w:rPr>
          <w:rFonts w:ascii="Book Antiqua" w:hAnsi="Book Antiqua"/>
          <w:i/>
        </w:rPr>
        <w:t>et al</w:t>
      </w:r>
      <w:r>
        <w:rPr>
          <w:rFonts w:ascii="Book Antiqua" w:hAnsi="Book Antiqua"/>
          <w:vertAlign w:val="superscript"/>
        </w:rPr>
        <w:t>[37]</w:t>
      </w:r>
      <w:r>
        <w:rPr>
          <w:rFonts w:ascii="Book Antiqua" w:hAnsi="Book Antiqua"/>
        </w:rPr>
        <w:t>, in a 2010 study of 475 obese/overweight children and adolescents with steatosis evaluated by liver ultrasound, reported that the I148M variant of the</w:t>
      </w:r>
      <w:r>
        <w:rPr>
          <w:rFonts w:ascii="Book Antiqua" w:hAnsi="Book Antiqua"/>
          <w:i/>
        </w:rPr>
        <w:t xml:space="preserve"> PNPLA3</w:t>
      </w:r>
      <w:r>
        <w:rPr>
          <w:rFonts w:ascii="Book Antiqua" w:hAnsi="Book Antiqua"/>
        </w:rPr>
        <w:t xml:space="preserve"> gene was associated with increased ALT/AST levels in obese children and adolescents, suggesting that it conferred a genetic susceptibility to liver damage at an early age. </w:t>
      </w:r>
    </w:p>
    <w:p>
      <w:pPr>
        <w:adjustRightInd w:val="0"/>
        <w:snapToGrid w:val="0"/>
        <w:spacing w:line="360" w:lineRule="auto"/>
        <w:ind w:firstLine="240" w:firstLineChars="100"/>
        <w:jc w:val="both"/>
        <w:rPr>
          <w:rFonts w:ascii="Book Antiqua" w:hAnsi="Book Antiqua"/>
          <w:b/>
          <w:lang w:eastAsia="zh-CN"/>
        </w:rPr>
      </w:pPr>
      <w:r>
        <w:rPr>
          <w:rFonts w:ascii="Book Antiqua" w:hAnsi="Book Antiqua"/>
        </w:rPr>
        <w:t xml:space="preserve">In addition, it has been demonstrated that the frequency of the </w:t>
      </w:r>
      <w:r>
        <w:rPr>
          <w:rFonts w:ascii="Book Antiqua" w:hAnsi="Book Antiqua"/>
          <w:i/>
        </w:rPr>
        <w:t>PNPLA3</w:t>
      </w:r>
      <w:r>
        <w:rPr>
          <w:rFonts w:ascii="Book Antiqua" w:hAnsi="Book Antiqua"/>
        </w:rPr>
        <w:t xml:space="preserve"> risk allele rs738409 was lower in African Americans, by suggesting some protection from hepatic steatosis in obese African American youths</w:t>
      </w:r>
      <w:r>
        <w:rPr>
          <w:rFonts w:ascii="Book Antiqua" w:hAnsi="Book Antiqua"/>
          <w:vertAlign w:val="superscript"/>
        </w:rPr>
        <w:t>[38]</w:t>
      </w:r>
      <w:r>
        <w:rPr>
          <w:rFonts w:ascii="Book Antiqua" w:hAnsi="Book Antiqua"/>
        </w:rPr>
        <w:t xml:space="preserve">. In a 2018 study, Hudert </w:t>
      </w:r>
      <w:r>
        <w:rPr>
          <w:rFonts w:ascii="Book Antiqua" w:hAnsi="Book Antiqua"/>
          <w:i/>
        </w:rPr>
        <w:t>et al</w:t>
      </w:r>
      <w:r>
        <w:rPr>
          <w:rFonts w:ascii="Book Antiqua" w:hAnsi="Book Antiqua"/>
          <w:vertAlign w:val="superscript"/>
        </w:rPr>
        <w:t>[39]</w:t>
      </w:r>
      <w:r>
        <w:rPr>
          <w:rFonts w:ascii="Book Antiqua" w:hAnsi="Book Antiqua"/>
        </w:rPr>
        <w:t xml:space="preserve"> in a cohort of Berlin adolescents aged 10-17 years with NAFLD observed that the</w:t>
      </w:r>
      <w:r>
        <w:rPr>
          <w:rFonts w:ascii="Book Antiqua" w:hAnsi="Book Antiqua"/>
          <w:i/>
        </w:rPr>
        <w:t xml:space="preserve"> PNPLA3</w:t>
      </w:r>
      <w:r>
        <w:rPr>
          <w:rFonts w:ascii="Book Antiqua" w:hAnsi="Book Antiqua"/>
        </w:rPr>
        <w:t xml:space="preserve"> rs 73844078G variant was significantly associated with the severity of steatosis, with an increased risk of progression to fibrosis.</w:t>
      </w:r>
      <w:r>
        <w:rPr>
          <w:rFonts w:ascii="Book Antiqua" w:hAnsi="Book Antiqua"/>
          <w:b/>
        </w:rPr>
        <w:t xml:space="preserve"> </w:t>
      </w:r>
    </w:p>
    <w:p>
      <w:pPr>
        <w:adjustRightInd w:val="0"/>
        <w:snapToGrid w:val="0"/>
        <w:spacing w:line="360" w:lineRule="auto"/>
        <w:ind w:firstLine="240" w:firstLineChars="100"/>
        <w:jc w:val="both"/>
        <w:rPr>
          <w:rFonts w:ascii="Book Antiqua" w:hAnsi="Book Antiqua"/>
          <w:lang w:eastAsia="zh-CN"/>
        </w:rPr>
      </w:pPr>
      <w:r>
        <w:rPr>
          <w:rFonts w:ascii="Book Antiqua" w:hAnsi="Book Antiqua"/>
        </w:rPr>
        <w:t xml:space="preserve">The association between </w:t>
      </w:r>
      <w:r>
        <w:rPr>
          <w:rFonts w:ascii="Book Antiqua" w:hAnsi="Book Antiqua"/>
          <w:i/>
        </w:rPr>
        <w:t xml:space="preserve">PNPLA3 </w:t>
      </w:r>
      <w:r>
        <w:rPr>
          <w:rFonts w:ascii="Book Antiqua" w:hAnsi="Book Antiqua"/>
        </w:rPr>
        <w:t xml:space="preserve">gene and the other major genetic variants of NAFLD was also evaluated. Viitasalo </w:t>
      </w:r>
      <w:r>
        <w:rPr>
          <w:rFonts w:ascii="Book Antiqua" w:hAnsi="Book Antiqua"/>
          <w:i/>
        </w:rPr>
        <w:t>et al</w:t>
      </w:r>
      <w:r>
        <w:rPr>
          <w:rFonts w:ascii="Book Antiqua" w:hAnsi="Book Antiqua"/>
          <w:vertAlign w:val="superscript"/>
        </w:rPr>
        <w:t>[40]</w:t>
      </w:r>
      <w:r>
        <w:rPr>
          <w:rFonts w:ascii="Book Antiqua" w:hAnsi="Book Antiqua"/>
        </w:rPr>
        <w:t xml:space="preserve"> demonstrated higher serum ALT levels in children carrying the risk alleles for the polymorphisms </w:t>
      </w:r>
      <w:r>
        <w:rPr>
          <w:rFonts w:ascii="Book Antiqua" w:hAnsi="Book Antiqua"/>
          <w:i/>
        </w:rPr>
        <w:t>PNPLA3, MBOAT7</w:t>
      </w:r>
      <w:r>
        <w:rPr>
          <w:rFonts w:hint="eastAsia" w:ascii="Book Antiqua" w:hAnsi="Book Antiqua"/>
          <w:i/>
          <w:lang w:eastAsia="zh-CN"/>
        </w:rPr>
        <w:t xml:space="preserve"> </w:t>
      </w:r>
      <w:r>
        <w:rPr>
          <w:rFonts w:ascii="Book Antiqua" w:hAnsi="Book Antiqua"/>
        </w:rPr>
        <w:t>and</w:t>
      </w:r>
      <w:r>
        <w:rPr>
          <w:rFonts w:ascii="Book Antiqua" w:hAnsi="Book Antiqua"/>
          <w:i/>
        </w:rPr>
        <w:t xml:space="preserve"> TM6SF2</w:t>
      </w:r>
      <w:r>
        <w:rPr>
          <w:rFonts w:ascii="Book Antiqua" w:hAnsi="Book Antiqua"/>
        </w:rPr>
        <w:t xml:space="preserve">. Grandone </w:t>
      </w:r>
      <w:r>
        <w:rPr>
          <w:rFonts w:ascii="Book Antiqua" w:hAnsi="Book Antiqua"/>
          <w:i/>
        </w:rPr>
        <w:t>et al</w:t>
      </w:r>
      <w:r>
        <w:rPr>
          <w:rFonts w:ascii="Book Antiqua" w:hAnsi="Book Antiqua" w:cs="HelveticaNeueLTStd-Lt"/>
          <w:vertAlign w:val="superscript"/>
        </w:rPr>
        <w:t>[15]</w:t>
      </w:r>
      <w:r>
        <w:rPr>
          <w:rFonts w:ascii="Book Antiqua" w:hAnsi="Book Antiqua"/>
        </w:rPr>
        <w:t xml:space="preserve"> reported </w:t>
      </w:r>
      <w:r>
        <w:rPr>
          <w:rFonts w:ascii="Book Antiqua" w:hAnsi="Book Antiqua" w:cs="HelveticaNeueLTStd-Lt"/>
        </w:rPr>
        <w:t xml:space="preserve">that homozygous subjects for the </w:t>
      </w:r>
      <w:r>
        <w:rPr>
          <w:rFonts w:ascii="Book Antiqua" w:hAnsi="Book Antiqua" w:cs="HelveticaNeueLTStd-LtIt"/>
          <w:iCs/>
        </w:rPr>
        <w:t xml:space="preserve">PNPLA3 </w:t>
      </w:r>
      <w:r>
        <w:rPr>
          <w:rFonts w:ascii="Book Antiqua" w:hAnsi="Book Antiqua" w:cs="HelveticaNeueLTStd-Lt"/>
        </w:rPr>
        <w:t xml:space="preserve">148M allele carrying the rare variant of </w:t>
      </w:r>
      <w:r>
        <w:rPr>
          <w:rFonts w:ascii="Book Antiqua" w:hAnsi="Book Antiqua" w:cs="HelveticaNeueLTStd-LtIt"/>
          <w:iCs/>
        </w:rPr>
        <w:t xml:space="preserve">TM6SF2 </w:t>
      </w:r>
      <w:r>
        <w:rPr>
          <w:rFonts w:ascii="Book Antiqua" w:hAnsi="Book Antiqua" w:cs="HelveticaNeueLTStd-Lt"/>
        </w:rPr>
        <w:t>showed an OR of 12.2 (confidence interval 3.8</w:t>
      </w:r>
      <w:r>
        <w:rPr>
          <w:rFonts w:hint="eastAsia" w:ascii="Book Antiqua" w:hAnsi="Book Antiqua" w:cs="HelveticaNeueLTStd-Lt"/>
          <w:lang w:eastAsia="zh-CN"/>
        </w:rPr>
        <w:t>-</w:t>
      </w:r>
      <w:r>
        <w:rPr>
          <w:rFonts w:ascii="Book Antiqua" w:hAnsi="Book Antiqua" w:cs="HelveticaNeueLTStd-Lt"/>
        </w:rPr>
        <w:t xml:space="preserve">39.6, </w:t>
      </w:r>
      <w:r>
        <w:rPr>
          <w:rFonts w:ascii="Book Antiqua" w:hAnsi="Book Antiqua" w:cs="HelveticaNeueLTStd-LtIt"/>
          <w:i/>
          <w:iCs/>
        </w:rPr>
        <w:t>P</w:t>
      </w:r>
      <w:r>
        <w:rPr>
          <w:rFonts w:ascii="Book Antiqua" w:hAnsi="Book Antiqua" w:cs="HelveticaNeueLTStd-LtIt"/>
          <w:iCs/>
        </w:rPr>
        <w:t xml:space="preserve"> </w:t>
      </w:r>
      <w:r>
        <w:rPr>
          <w:rFonts w:ascii="Book Antiqua" w:hAnsi="Book Antiqua" w:eastAsia="BSSymbol-Medium" w:cs="BSSymbol-Medium"/>
        </w:rPr>
        <w:t xml:space="preserve">= </w:t>
      </w:r>
      <w:r>
        <w:rPr>
          <w:rFonts w:ascii="Book Antiqua" w:hAnsi="Book Antiqua" w:cs="HelveticaNeueLTStd-Lt"/>
        </w:rPr>
        <w:t>0.000001) to have hypertransaminasemia compared with the remaining patients</w:t>
      </w:r>
      <w:r>
        <w:rPr>
          <w:rFonts w:ascii="Book Antiqua" w:hAnsi="Book Antiqua"/>
        </w:rPr>
        <w:t>. Of interest, an Italian pediatric study also confirmed the combined effect of the 3 major risk variants (</w:t>
      </w:r>
      <w:r>
        <w:rPr>
          <w:rFonts w:ascii="Book Antiqua" w:hAnsi="Book Antiqua"/>
          <w:i/>
        </w:rPr>
        <w:t>PNPLA3, TM6F2</w:t>
      </w:r>
      <w:r>
        <w:rPr>
          <w:rFonts w:ascii="Book Antiqua" w:hAnsi="Book Antiqua"/>
        </w:rPr>
        <w:t xml:space="preserve"> and </w:t>
      </w:r>
      <w:r>
        <w:rPr>
          <w:rFonts w:ascii="Book Antiqua" w:hAnsi="Book Antiqua"/>
          <w:i/>
        </w:rPr>
        <w:t>MBOAT7</w:t>
      </w:r>
      <w:r>
        <w:rPr>
          <w:rFonts w:ascii="Book Antiqua" w:hAnsi="Book Antiqua"/>
        </w:rPr>
        <w:t>) on NAFLD risk</w:t>
      </w:r>
      <w:r>
        <w:rPr>
          <w:rFonts w:ascii="Book Antiqua" w:hAnsi="Book Antiqua"/>
          <w:vertAlign w:val="superscript"/>
        </w:rPr>
        <w:t>[16]</w:t>
      </w:r>
      <w:r>
        <w:rPr>
          <w:rFonts w:ascii="Book Antiqua" w:hAnsi="Book Antiqua"/>
        </w:rPr>
        <w:t>.</w:t>
      </w:r>
      <w:r>
        <w:rPr>
          <w:rFonts w:ascii="Book Antiqua" w:hAnsi="Book Antiqua"/>
          <w:b/>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 xml:space="preserve">Besides, the interaction of the </w:t>
      </w:r>
      <w:r>
        <w:rPr>
          <w:rFonts w:ascii="Book Antiqua" w:hAnsi="Book Antiqua"/>
          <w:i/>
        </w:rPr>
        <w:t>PNPLA3</w:t>
      </w:r>
      <w:r>
        <w:rPr>
          <w:rFonts w:ascii="Book Antiqua" w:hAnsi="Book Antiqua"/>
        </w:rPr>
        <w:t xml:space="preserve"> 148M allele with environmental risk factors for NAFLD such as obesity, nutrients (including carbohydrate and polyunsaturated fatty acids), physical activity, and sedentary behaviors have been demonstrated in children with NAFLD</w:t>
      </w:r>
      <w:r>
        <w:rPr>
          <w:rFonts w:ascii="Book Antiqua" w:hAnsi="Book Antiqua"/>
          <w:vertAlign w:val="superscript"/>
        </w:rPr>
        <w:t>[41-45]</w:t>
      </w:r>
      <w:r>
        <w:rPr>
          <w:rFonts w:ascii="Book Antiqua" w:hAnsi="Book Antiqua"/>
        </w:rPr>
        <w:t>.</w:t>
      </w:r>
      <w:r>
        <w:rPr>
          <w:rFonts w:ascii="Book Antiqua" w:hAnsi="Book Antiqua"/>
          <w:b/>
        </w:rPr>
        <w:t xml:space="preserve"> </w:t>
      </w:r>
      <w:r>
        <w:rPr>
          <w:rFonts w:ascii="Book Antiqua" w:hAnsi="Book Antiqua"/>
        </w:rPr>
        <w:t xml:space="preserve">Dai </w:t>
      </w:r>
      <w:r>
        <w:rPr>
          <w:rFonts w:ascii="Book Antiqua" w:hAnsi="Book Antiqua"/>
          <w:i/>
        </w:rPr>
        <w:t>et al</w:t>
      </w:r>
      <w:r>
        <w:rPr>
          <w:rFonts w:ascii="Book Antiqua" w:hAnsi="Book Antiqua"/>
          <w:vertAlign w:val="superscript"/>
        </w:rPr>
        <w:t>[28]</w:t>
      </w:r>
      <w:r>
        <w:rPr>
          <w:rFonts w:ascii="Book Antiqua" w:hAnsi="Book Antiqua"/>
        </w:rPr>
        <w:t xml:space="preserve">, in a meta-analysis, reported a strong influence of the </w:t>
      </w:r>
      <w:r>
        <w:rPr>
          <w:rFonts w:ascii="Book Antiqua" w:hAnsi="Book Antiqua"/>
          <w:i/>
        </w:rPr>
        <w:t>PNPLA3</w:t>
      </w:r>
      <w:r>
        <w:rPr>
          <w:rFonts w:ascii="Book Antiqua" w:hAnsi="Book Antiqua"/>
        </w:rPr>
        <w:t xml:space="preserve"> rs738409 polymorphism not only on fatty liver but also on histological damage. </w:t>
      </w:r>
    </w:p>
    <w:p>
      <w:pPr>
        <w:adjustRightInd w:val="0"/>
        <w:snapToGrid w:val="0"/>
        <w:spacing w:line="360" w:lineRule="auto"/>
        <w:ind w:firstLine="240" w:firstLineChars="100"/>
        <w:jc w:val="both"/>
        <w:rPr>
          <w:rFonts w:ascii="Book Antiqua" w:hAnsi="Book Antiqua"/>
        </w:rPr>
      </w:pPr>
      <w:r>
        <w:rPr>
          <w:rFonts w:ascii="Book Antiqua" w:hAnsi="Book Antiqua"/>
        </w:rPr>
        <w:t>More recently, compelling evidence has also supported an intriguing role of this gene in reducing the estimated glomerular filtration rate independently of common renal and metabolic factors both in adults and children</w:t>
      </w:r>
      <w:r>
        <w:rPr>
          <w:rFonts w:ascii="Book Antiqua" w:hAnsi="Book Antiqua"/>
          <w:vertAlign w:val="superscript"/>
        </w:rPr>
        <w:t>[46-49]</w:t>
      </w:r>
      <w:r>
        <w:rPr>
          <w:rFonts w:ascii="Book Antiqua" w:hAnsi="Book Antiqua"/>
        </w:rPr>
        <w:t>. This gene seems to promote both fibrogenesis and glomerulosclerosis through the activation of renal pericytes in which the 148M allele is highly expressed</w:t>
      </w:r>
      <w:r>
        <w:rPr>
          <w:rFonts w:ascii="Book Antiqua" w:hAnsi="Book Antiqua"/>
          <w:vertAlign w:val="superscript"/>
        </w:rPr>
        <w:t>[47,48]</w:t>
      </w:r>
      <w:r>
        <w:rPr>
          <w:rFonts w:ascii="Book Antiqua" w:hAnsi="Book Antiqua"/>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Considering its detrimental effect on renal function in childhood</w:t>
      </w:r>
      <w:r>
        <w:rPr>
          <w:rFonts w:ascii="Book Antiqua" w:hAnsi="Book Antiqua"/>
          <w:vertAlign w:val="superscript"/>
        </w:rPr>
        <w:t>[46-48]</w:t>
      </w:r>
      <w:r>
        <w:rPr>
          <w:rFonts w:ascii="Book Antiqua" w:hAnsi="Book Antiqua"/>
        </w:rPr>
        <w:t xml:space="preserve">, these findings demonstrated that the </w:t>
      </w:r>
      <w:r>
        <w:rPr>
          <w:rFonts w:ascii="Book Antiqua" w:hAnsi="Book Antiqua"/>
          <w:i/>
        </w:rPr>
        <w:t>PNPLA3</w:t>
      </w:r>
      <w:r>
        <w:rPr>
          <w:rFonts w:ascii="Book Antiqua" w:hAnsi="Book Antiqua"/>
        </w:rPr>
        <w:t xml:space="preserve"> gene acts not only as one of the major genetic player in NAFLD development but also as a harmful factor beyond the liver</w:t>
      </w:r>
      <w:r>
        <w:rPr>
          <w:rFonts w:ascii="Book Antiqua" w:hAnsi="Book Antiqua"/>
          <w:vertAlign w:val="superscript"/>
        </w:rPr>
        <w:t>[46-48]</w:t>
      </w:r>
      <w:r>
        <w:rPr>
          <w:rFonts w:ascii="Book Antiqua" w:hAnsi="Book Antiqua"/>
        </w:rPr>
        <w:t>.</w:t>
      </w:r>
    </w:p>
    <w:p>
      <w:pPr>
        <w:pStyle w:val="4"/>
        <w:adjustRightInd w:val="0"/>
        <w:snapToGrid w:val="0"/>
        <w:spacing w:line="360" w:lineRule="auto"/>
        <w:jc w:val="both"/>
        <w:rPr>
          <w:rFonts w:ascii="Book Antiqua" w:hAnsi="Book Antiqua" w:cs="Segoe UI"/>
          <w:b/>
          <w:i/>
          <w:sz w:val="24"/>
          <w:szCs w:val="24"/>
          <w:lang w:val="en-US" w:eastAsia="zh-CN"/>
        </w:rPr>
      </w:pPr>
    </w:p>
    <w:p>
      <w:pPr>
        <w:pStyle w:val="4"/>
        <w:adjustRightInd w:val="0"/>
        <w:snapToGrid w:val="0"/>
        <w:spacing w:line="360" w:lineRule="auto"/>
        <w:jc w:val="both"/>
        <w:rPr>
          <w:rFonts w:ascii="Book Antiqua" w:hAnsi="Book Antiqua" w:eastAsia="Times New Roman" w:cs="Segoe UI"/>
          <w:b/>
          <w:i/>
          <w:sz w:val="24"/>
          <w:szCs w:val="24"/>
          <w:lang w:val="en-US" w:eastAsia="it-IT"/>
        </w:rPr>
      </w:pPr>
      <w:r>
        <w:rPr>
          <w:rFonts w:ascii="Book Antiqua" w:hAnsi="Book Antiqua" w:eastAsia="Times New Roman" w:cs="Segoe UI"/>
          <w:b/>
          <w:i/>
          <w:sz w:val="24"/>
          <w:szCs w:val="24"/>
          <w:lang w:val="en-US" w:eastAsia="it-IT"/>
        </w:rPr>
        <w:t>GCKR</w:t>
      </w:r>
      <w:r>
        <w:rPr>
          <w:rFonts w:hint="eastAsia" w:ascii="Book Antiqua" w:hAnsi="Book Antiqua" w:cs="Segoe UI"/>
          <w:b/>
          <w:sz w:val="24"/>
          <w:szCs w:val="24"/>
          <w:lang w:val="en-US" w:eastAsia="zh-CN"/>
        </w:rPr>
        <w:t xml:space="preserve">: </w:t>
      </w:r>
      <w:r>
        <w:rPr>
          <w:rFonts w:ascii="Book Antiqua" w:hAnsi="Book Antiqua" w:eastAsia="Times New Roman" w:cs="Segoe UI"/>
          <w:sz w:val="24"/>
          <w:szCs w:val="24"/>
          <w:lang w:val="en-US" w:eastAsia="it-IT"/>
        </w:rPr>
        <w:t xml:space="preserve">Several studies reported that variations at the </w:t>
      </w:r>
      <w:r>
        <w:rPr>
          <w:rFonts w:ascii="Book Antiqua" w:hAnsi="Book Antiqua" w:eastAsia="Times New Roman" w:cs="Segoe UI"/>
          <w:i/>
          <w:sz w:val="24"/>
          <w:szCs w:val="24"/>
          <w:lang w:val="en-US" w:eastAsia="it-IT"/>
        </w:rPr>
        <w:t>GCKR</w:t>
      </w:r>
      <w:r>
        <w:rPr>
          <w:rFonts w:ascii="Book Antiqua" w:hAnsi="Book Antiqua" w:eastAsia="Times New Roman" w:cs="Segoe UI"/>
          <w:sz w:val="24"/>
          <w:szCs w:val="24"/>
          <w:lang w:val="en-US" w:eastAsia="it-IT"/>
        </w:rPr>
        <w:t xml:space="preserve"> gene locus are associated with NAFLD and appear to influence hepatic fat accumulation. The GCKR</w:t>
      </w:r>
      <w:r>
        <w:rPr>
          <w:rFonts w:hint="eastAsia" w:ascii="Book Antiqua" w:hAnsi="Book Antiqua" w:cs="Segoe UI"/>
          <w:sz w:val="24"/>
          <w:szCs w:val="24"/>
          <w:lang w:val="en-US" w:eastAsia="zh-CN"/>
        </w:rPr>
        <w:t xml:space="preserve"> protein</w:t>
      </w:r>
      <w:r>
        <w:rPr>
          <w:rFonts w:ascii="Book Antiqua" w:hAnsi="Book Antiqua" w:eastAsia="Times New Roman" w:cs="Segoe UI"/>
          <w:sz w:val="24"/>
          <w:szCs w:val="24"/>
          <w:lang w:val="en-US" w:eastAsia="it-IT"/>
        </w:rPr>
        <w:t xml:space="preserve"> has an inhibitory action on the activity of the enzyme glucokinase that regulates the hepatic storage and disposal of glucose. In particular, </w:t>
      </w:r>
      <w:r>
        <w:rPr>
          <w:rFonts w:ascii="Book Antiqua" w:hAnsi="Book Antiqua" w:eastAsia="Times New Roman" w:cs="Segoe UI"/>
          <w:i/>
          <w:sz w:val="24"/>
          <w:szCs w:val="24"/>
          <w:lang w:val="en-US" w:eastAsia="it-IT"/>
        </w:rPr>
        <w:t>GCKR</w:t>
      </w:r>
      <w:r>
        <w:rPr>
          <w:rFonts w:ascii="Book Antiqua" w:hAnsi="Book Antiqua" w:eastAsia="Times New Roman" w:cs="Segoe UI"/>
          <w:sz w:val="24"/>
          <w:szCs w:val="24"/>
          <w:lang w:val="en-US" w:eastAsia="it-IT"/>
        </w:rPr>
        <w:t xml:space="preserve"> forms an inactive complex with the enzyme glucokinase and transports it from the cytoplasm to the nucleus, thus controlling both activity and intracellular localization of this key enzyme of glucose metabolism</w:t>
      </w:r>
      <w:r>
        <w:rPr>
          <w:rFonts w:ascii="Book Antiqua" w:hAnsi="Book Antiqua" w:eastAsia="Times New Roman" w:cs="Segoe UI"/>
          <w:sz w:val="24"/>
          <w:szCs w:val="24"/>
          <w:vertAlign w:val="superscript"/>
          <w:lang w:val="en-US" w:eastAsia="it-IT"/>
        </w:rPr>
        <w:t>[49]</w:t>
      </w:r>
      <w:r>
        <w:rPr>
          <w:rFonts w:ascii="Book Antiqua" w:hAnsi="Book Antiqua" w:eastAsia="Times New Roman" w:cs="Segoe UI"/>
          <w:sz w:val="24"/>
          <w:szCs w:val="24"/>
          <w:lang w:val="en-US" w:eastAsia="it-IT"/>
        </w:rPr>
        <w:t xml:space="preserve">. </w:t>
      </w:r>
    </w:p>
    <w:p>
      <w:pPr>
        <w:pStyle w:val="4"/>
        <w:adjustRightInd w:val="0"/>
        <w:snapToGrid w:val="0"/>
        <w:spacing w:line="360" w:lineRule="auto"/>
        <w:ind w:firstLine="240" w:firstLineChars="100"/>
        <w:jc w:val="both"/>
        <w:rPr>
          <w:rFonts w:ascii="Book Antiqua" w:hAnsi="Book Antiqua" w:eastAsia="Times New Roman" w:cs="Segoe UI"/>
          <w:sz w:val="24"/>
          <w:szCs w:val="24"/>
          <w:lang w:val="en-US" w:eastAsia="it-IT"/>
        </w:rPr>
      </w:pPr>
      <w:r>
        <w:rPr>
          <w:rFonts w:ascii="Book Antiqua" w:hAnsi="Book Antiqua" w:eastAsia="Times New Roman" w:cs="Segoe UI"/>
          <w:sz w:val="24"/>
          <w:szCs w:val="24"/>
          <w:lang w:val="en-US" w:eastAsia="it-IT"/>
        </w:rPr>
        <w:t xml:space="preserve">Fructose-6-phosphate (F6P) enhances GCKR-mediated inhibition. By controlling glucose influx into hepatocytes, </w:t>
      </w:r>
      <w:r>
        <w:rPr>
          <w:rFonts w:ascii="Book Antiqua" w:hAnsi="Book Antiqua" w:eastAsia="Times New Roman" w:cs="Segoe UI"/>
          <w:i/>
          <w:sz w:val="24"/>
          <w:szCs w:val="24"/>
          <w:lang w:val="en-US" w:eastAsia="it-IT"/>
        </w:rPr>
        <w:t>GCKR</w:t>
      </w:r>
      <w:r>
        <w:rPr>
          <w:rFonts w:ascii="Book Antiqua" w:hAnsi="Book Antiqua" w:eastAsia="Times New Roman" w:cs="Segoe UI"/>
          <w:sz w:val="24"/>
          <w:szCs w:val="24"/>
          <w:lang w:val="en-US" w:eastAsia="it-IT"/>
        </w:rPr>
        <w:t xml:space="preserve"> regulates </w:t>
      </w:r>
      <w:r>
        <w:rPr>
          <w:rFonts w:ascii="Book Antiqua" w:hAnsi="Book Antiqua" w:eastAsia="Times New Roman" w:cs="Segoe UI"/>
          <w:i/>
          <w:sz w:val="24"/>
          <w:szCs w:val="24"/>
          <w:lang w:val="en-US" w:eastAsia="it-IT"/>
        </w:rPr>
        <w:t>de novo</w:t>
      </w:r>
      <w:r>
        <w:rPr>
          <w:rFonts w:ascii="Book Antiqua" w:hAnsi="Book Antiqua" w:eastAsia="Times New Roman" w:cs="Segoe UI"/>
          <w:sz w:val="24"/>
          <w:szCs w:val="24"/>
          <w:lang w:val="en-US" w:eastAsia="it-IT"/>
        </w:rPr>
        <w:t xml:space="preserve"> lipogenesis. The mechanism responsible for liver injury is probably due to the lack of inhibition of glucokinase enzymatic activity by F6P and consequently uncontrolled lipogenesis</w:t>
      </w:r>
      <w:r>
        <w:rPr>
          <w:rFonts w:ascii="Book Antiqua" w:hAnsi="Book Antiqua" w:eastAsia="Times New Roman" w:cs="Segoe UI"/>
          <w:sz w:val="24"/>
          <w:szCs w:val="24"/>
          <w:vertAlign w:val="superscript"/>
          <w:lang w:val="en-US" w:eastAsia="it-IT"/>
        </w:rPr>
        <w:t>[50]</w:t>
      </w:r>
      <w:r>
        <w:rPr>
          <w:rFonts w:ascii="Book Antiqua" w:hAnsi="Book Antiqua" w:eastAsia="Times New Roman" w:cs="Segoe UI"/>
          <w:sz w:val="24"/>
          <w:szCs w:val="24"/>
          <w:lang w:val="en-US" w:eastAsia="it-IT"/>
        </w:rPr>
        <w:t>.</w:t>
      </w:r>
    </w:p>
    <w:p>
      <w:pPr>
        <w:pStyle w:val="4"/>
        <w:adjustRightInd w:val="0"/>
        <w:snapToGrid w:val="0"/>
        <w:spacing w:line="360" w:lineRule="auto"/>
        <w:ind w:firstLine="240" w:firstLineChars="100"/>
        <w:jc w:val="both"/>
        <w:rPr>
          <w:rFonts w:ascii="Book Antiqua" w:hAnsi="Book Antiqua" w:eastAsia="Times New Roman" w:cs="Segoe UI"/>
          <w:sz w:val="24"/>
          <w:szCs w:val="24"/>
          <w:lang w:val="en-US" w:eastAsia="it-IT"/>
        </w:rPr>
      </w:pPr>
      <w:r>
        <w:rPr>
          <w:rFonts w:ascii="Book Antiqua" w:hAnsi="Book Antiqua" w:eastAsia="Times New Roman" w:cs="Segoe UI"/>
          <w:i/>
          <w:sz w:val="24"/>
          <w:szCs w:val="24"/>
          <w:lang w:val="en-US" w:eastAsia="it-IT"/>
        </w:rPr>
        <w:t>GCKR</w:t>
      </w:r>
      <w:r>
        <w:rPr>
          <w:rFonts w:ascii="Book Antiqua" w:hAnsi="Book Antiqua" w:eastAsia="Times New Roman" w:cs="Segoe UI"/>
          <w:sz w:val="24"/>
          <w:szCs w:val="24"/>
          <w:lang w:val="en-US" w:eastAsia="it-IT"/>
        </w:rPr>
        <w:t xml:space="preserve"> gene polymorphisms (rs780094 and rs1260326) have been identified that appear to be important in the pathogenesis of NAFLD. In particular, Beer </w:t>
      </w:r>
      <w:r>
        <w:rPr>
          <w:rFonts w:ascii="Book Antiqua" w:hAnsi="Book Antiqua" w:eastAsia="Times New Roman" w:cs="Segoe UI"/>
          <w:i/>
          <w:sz w:val="24"/>
          <w:szCs w:val="24"/>
          <w:lang w:val="en-US" w:eastAsia="it-IT"/>
        </w:rPr>
        <w:t>et al</w:t>
      </w:r>
      <w:r>
        <w:rPr>
          <w:rFonts w:ascii="Book Antiqua" w:hAnsi="Book Antiqua" w:eastAsia="Times New Roman" w:cs="Segoe UI"/>
          <w:sz w:val="24"/>
          <w:szCs w:val="24"/>
          <w:vertAlign w:val="superscript"/>
          <w:lang w:val="en-US" w:eastAsia="it-IT"/>
        </w:rPr>
        <w:t>[51]</w:t>
      </w:r>
      <w:r>
        <w:rPr>
          <w:rFonts w:ascii="Book Antiqua" w:hAnsi="Book Antiqua" w:eastAsia="Times New Roman" w:cs="Segoe UI"/>
          <w:sz w:val="24"/>
          <w:szCs w:val="24"/>
          <w:lang w:val="en-US" w:eastAsia="it-IT"/>
        </w:rPr>
        <w:t xml:space="preserve"> and Valenti </w:t>
      </w:r>
      <w:r>
        <w:rPr>
          <w:rFonts w:ascii="Book Antiqua" w:hAnsi="Book Antiqua" w:eastAsia="Times New Roman" w:cs="Segoe UI"/>
          <w:i/>
          <w:sz w:val="24"/>
          <w:szCs w:val="24"/>
          <w:lang w:val="en-US" w:eastAsia="it-IT"/>
        </w:rPr>
        <w:t>et al</w:t>
      </w:r>
      <w:r>
        <w:rPr>
          <w:rFonts w:ascii="Book Antiqua" w:hAnsi="Book Antiqua" w:eastAsia="Times New Roman" w:cs="Segoe UI"/>
          <w:sz w:val="24"/>
          <w:szCs w:val="24"/>
          <w:vertAlign w:val="superscript"/>
          <w:lang w:val="en-US" w:eastAsia="it-IT"/>
        </w:rPr>
        <w:t>[52]</w:t>
      </w:r>
      <w:r>
        <w:rPr>
          <w:rFonts w:ascii="Book Antiqua" w:hAnsi="Book Antiqua" w:eastAsia="Times New Roman" w:cs="Segoe UI"/>
          <w:sz w:val="24"/>
          <w:szCs w:val="24"/>
          <w:lang w:val="en-US" w:eastAsia="it-IT"/>
        </w:rPr>
        <w:t xml:space="preserve"> reported that in the association with NAFLD and consequently in the accumulation of hepatic fat, the common missense loss-of-function </w:t>
      </w:r>
      <w:r>
        <w:rPr>
          <w:rFonts w:ascii="Book Antiqua" w:hAnsi="Book Antiqua" w:eastAsia="Times New Roman" w:cs="Segoe UI"/>
          <w:i/>
          <w:sz w:val="24"/>
          <w:szCs w:val="24"/>
          <w:lang w:val="en-US" w:eastAsia="it-IT"/>
        </w:rPr>
        <w:t xml:space="preserve">GCKR </w:t>
      </w:r>
      <w:r>
        <w:rPr>
          <w:rFonts w:ascii="Book Antiqua" w:hAnsi="Book Antiqua" w:eastAsia="Times New Roman" w:cs="Segoe UI"/>
          <w:sz w:val="24"/>
          <w:szCs w:val="24"/>
          <w:lang w:val="en-US" w:eastAsia="it-IT"/>
        </w:rPr>
        <w:t>mutation (rs1260326 C&gt;T) encoding for the P446L protein variant plays an important pathogenic role. The P446L variant blocks the inhibitory activity of GCKR on the enzyme glucokinase, resulting in a steady increase in hepatic glucokinase and glucose uptake by the liver. Hepatic glycolysis associated with the minor allele P446L results in lower levels of both glucose and insulin, but leads to increased levels of malonyl-CoA which in turn blocks fatty acid oxidation through inhibition of carnitine-palmytoyltransferase-1 and acts as a substrate for lipogenesis, thus promoting hepatic fat accumulation</w:t>
      </w:r>
      <w:r>
        <w:rPr>
          <w:rFonts w:ascii="Book Antiqua" w:hAnsi="Book Antiqua" w:eastAsia="Times New Roman" w:cs="Segoe UI"/>
          <w:sz w:val="24"/>
          <w:szCs w:val="24"/>
          <w:vertAlign w:val="superscript"/>
          <w:lang w:val="en-US" w:eastAsia="it-IT"/>
        </w:rPr>
        <w:t>[53]</w:t>
      </w:r>
      <w:r>
        <w:rPr>
          <w:rFonts w:ascii="Book Antiqua" w:hAnsi="Book Antiqua" w:eastAsia="Times New Roman" w:cs="Segoe UI"/>
          <w:sz w:val="24"/>
          <w:szCs w:val="24"/>
          <w:lang w:val="en-US" w:eastAsia="it-IT"/>
        </w:rPr>
        <w:t xml:space="preserve">. The </w:t>
      </w:r>
      <w:r>
        <w:rPr>
          <w:rFonts w:ascii="Book Antiqua" w:hAnsi="Book Antiqua"/>
          <w:i/>
          <w:sz w:val="24"/>
          <w:lang w:val="en-US"/>
        </w:rPr>
        <w:t xml:space="preserve">GCKR </w:t>
      </w:r>
      <w:r>
        <w:rPr>
          <w:rFonts w:ascii="Book Antiqua" w:hAnsi="Book Antiqua" w:eastAsia="Times New Roman" w:cs="Segoe UI"/>
          <w:sz w:val="24"/>
          <w:szCs w:val="24"/>
          <w:lang w:val="en-US" w:eastAsia="it-IT"/>
        </w:rPr>
        <w:t>rs780094 C&gt;T variant has been found to be associated with increased intrahepatic fat accumulation and progressive forms of NAFLD</w:t>
      </w:r>
      <w:r>
        <w:rPr>
          <w:rFonts w:ascii="Book Antiqua" w:hAnsi="Book Antiqua" w:eastAsia="Times New Roman" w:cs="Segoe UI"/>
          <w:sz w:val="24"/>
          <w:szCs w:val="24"/>
          <w:vertAlign w:val="superscript"/>
          <w:lang w:val="en-US" w:eastAsia="it-IT"/>
        </w:rPr>
        <w:t>[54,55]</w:t>
      </w:r>
      <w:r>
        <w:rPr>
          <w:rFonts w:ascii="Book Antiqua" w:hAnsi="Book Antiqua" w:eastAsia="Times New Roman" w:cs="Segoe UI"/>
          <w:sz w:val="24"/>
          <w:szCs w:val="24"/>
          <w:lang w:val="en-US" w:eastAsia="it-IT"/>
        </w:rPr>
        <w:t>.</w:t>
      </w:r>
    </w:p>
    <w:p>
      <w:pPr>
        <w:pStyle w:val="4"/>
        <w:adjustRightInd w:val="0"/>
        <w:snapToGrid w:val="0"/>
        <w:spacing w:line="360" w:lineRule="auto"/>
        <w:ind w:firstLine="240" w:firstLineChars="100"/>
        <w:jc w:val="both"/>
        <w:rPr>
          <w:rFonts w:ascii="Book Antiqua" w:hAnsi="Book Antiqua" w:eastAsia="Times New Roman" w:cs="Segoe UI"/>
          <w:sz w:val="24"/>
          <w:szCs w:val="24"/>
          <w:lang w:val="en-US" w:eastAsia="it-IT"/>
        </w:rPr>
      </w:pPr>
      <w:r>
        <w:rPr>
          <w:rFonts w:ascii="Book Antiqua" w:hAnsi="Book Antiqua" w:eastAsia="Times New Roman" w:cs="Segoe UI"/>
          <w:sz w:val="24"/>
          <w:szCs w:val="24"/>
          <w:lang w:val="en-US" w:eastAsia="it-IT"/>
        </w:rPr>
        <w:t xml:space="preserve">A pediatric study involving 70 obese adolescents demonstrated that the </w:t>
      </w:r>
      <w:r>
        <w:rPr>
          <w:rFonts w:ascii="Book Antiqua" w:hAnsi="Book Antiqua" w:eastAsia="Times New Roman" w:cs="Segoe UI"/>
          <w:i/>
          <w:sz w:val="24"/>
          <w:szCs w:val="24"/>
          <w:lang w:val="en-US" w:eastAsia="it-IT"/>
        </w:rPr>
        <w:t>GCKR</w:t>
      </w:r>
      <w:r>
        <w:rPr>
          <w:rFonts w:ascii="Book Antiqua" w:hAnsi="Book Antiqua" w:eastAsia="Times New Roman" w:cs="Segoe UI"/>
          <w:sz w:val="24"/>
          <w:szCs w:val="24"/>
          <w:lang w:val="en-US" w:eastAsia="it-IT"/>
        </w:rPr>
        <w:t xml:space="preserve"> rs780094 C&gt;T variant was associated with NAFLD and decreased levels of </w:t>
      </w:r>
      <w:r>
        <w:rPr>
          <w:rFonts w:ascii="Book Antiqua" w:hAnsi="Book Antiqua" w:eastAsia="Times New Roman" w:cs="Segoe UI"/>
          <w:i/>
          <w:sz w:val="24"/>
          <w:szCs w:val="24"/>
          <w:lang w:val="en-US" w:eastAsia="it-IT"/>
        </w:rPr>
        <w:t>GCKR</w:t>
      </w:r>
      <w:r>
        <w:rPr>
          <w:rFonts w:ascii="Book Antiqua" w:hAnsi="Book Antiqua" w:eastAsia="Times New Roman" w:cs="Segoe UI"/>
          <w:sz w:val="24"/>
          <w:szCs w:val="24"/>
          <w:lang w:val="en-US" w:eastAsia="it-IT"/>
        </w:rPr>
        <w:t xml:space="preserve"> protein, while the </w:t>
      </w:r>
      <w:r>
        <w:rPr>
          <w:rFonts w:ascii="Book Antiqua" w:hAnsi="Book Antiqua"/>
          <w:i/>
          <w:sz w:val="24"/>
          <w:lang w:val="en-US"/>
        </w:rPr>
        <w:t>GCKR</w:t>
      </w:r>
      <w:r>
        <w:rPr>
          <w:rFonts w:ascii="Book Antiqua" w:hAnsi="Book Antiqua" w:eastAsia="Times New Roman" w:cs="Segoe UI"/>
          <w:sz w:val="24"/>
          <w:szCs w:val="24"/>
          <w:lang w:val="en-US" w:eastAsia="it-IT"/>
        </w:rPr>
        <w:t xml:space="preserve"> rs780094C&gt;T and rs1260326C&gt;T variants were associated with fibrosis and decreased levels of GCKR protein</w:t>
      </w:r>
      <w:r>
        <w:rPr>
          <w:rFonts w:ascii="Book Antiqua" w:hAnsi="Book Antiqua" w:eastAsia="Times New Roman" w:cs="Segoe UI"/>
          <w:sz w:val="24"/>
          <w:szCs w:val="24"/>
          <w:vertAlign w:val="superscript"/>
          <w:lang w:val="en-US" w:eastAsia="it-IT"/>
        </w:rPr>
        <w:t>[39]</w:t>
      </w:r>
      <w:r>
        <w:rPr>
          <w:rFonts w:ascii="Book Antiqua" w:hAnsi="Book Antiqua" w:eastAsia="Times New Roman" w:cs="Segoe UI"/>
          <w:sz w:val="24"/>
          <w:szCs w:val="24"/>
          <w:lang w:val="en-US" w:eastAsia="it-IT"/>
        </w:rPr>
        <w:t xml:space="preserve">. Lin </w:t>
      </w:r>
      <w:r>
        <w:rPr>
          <w:rFonts w:ascii="Book Antiqua" w:hAnsi="Book Antiqua" w:eastAsia="Times New Roman" w:cs="Segoe UI"/>
          <w:i/>
          <w:sz w:val="24"/>
          <w:szCs w:val="24"/>
          <w:lang w:val="en-US" w:eastAsia="it-IT"/>
        </w:rPr>
        <w:t>et al</w:t>
      </w:r>
      <w:r>
        <w:rPr>
          <w:rFonts w:ascii="Book Antiqua" w:hAnsi="Book Antiqua" w:eastAsia="Times New Roman" w:cs="Segoe UI"/>
          <w:sz w:val="24"/>
          <w:szCs w:val="24"/>
          <w:vertAlign w:val="superscript"/>
          <w:lang w:val="en-US" w:eastAsia="it-IT"/>
        </w:rPr>
        <w:t>[56]</w:t>
      </w:r>
      <w:r>
        <w:rPr>
          <w:rFonts w:ascii="Book Antiqua" w:hAnsi="Book Antiqua" w:eastAsia="Times New Roman" w:cs="Segoe UI"/>
          <w:sz w:val="24"/>
          <w:szCs w:val="24"/>
          <w:lang w:val="en-US" w:eastAsia="it-IT"/>
        </w:rPr>
        <w:t xml:space="preserve">, in a study examining 797 obese Taiwanese children, reported that the </w:t>
      </w:r>
      <w:r>
        <w:rPr>
          <w:rFonts w:ascii="Book Antiqua" w:hAnsi="Book Antiqua" w:eastAsia="Times New Roman" w:cs="Segoe UI"/>
          <w:i/>
          <w:sz w:val="24"/>
          <w:szCs w:val="24"/>
          <w:lang w:val="en-US" w:eastAsia="it-IT"/>
        </w:rPr>
        <w:t>GCKR</w:t>
      </w:r>
      <w:r>
        <w:rPr>
          <w:rFonts w:ascii="Book Antiqua" w:hAnsi="Book Antiqua" w:eastAsia="Times New Roman" w:cs="Segoe UI"/>
          <w:sz w:val="24"/>
          <w:szCs w:val="24"/>
          <w:lang w:val="en-US" w:eastAsia="it-IT"/>
        </w:rPr>
        <w:t xml:space="preserve"> rs780094T variant was associated with an increased risk of NAFLD, by further demonstrating that the </w:t>
      </w:r>
      <w:r>
        <w:rPr>
          <w:rFonts w:ascii="Book Antiqua" w:hAnsi="Book Antiqua" w:eastAsia="Times New Roman" w:cs="Segoe UI"/>
          <w:i/>
          <w:sz w:val="24"/>
          <w:szCs w:val="24"/>
          <w:lang w:val="en-US" w:eastAsia="it-IT"/>
        </w:rPr>
        <w:t>GCKR</w:t>
      </w:r>
      <w:r>
        <w:rPr>
          <w:rFonts w:ascii="Book Antiqua" w:hAnsi="Book Antiqua" w:eastAsia="Times New Roman" w:cs="Segoe UI"/>
          <w:sz w:val="24"/>
          <w:szCs w:val="24"/>
          <w:lang w:val="en-US" w:eastAsia="it-IT"/>
        </w:rPr>
        <w:t xml:space="preserve"> and </w:t>
      </w:r>
      <w:r>
        <w:rPr>
          <w:rFonts w:ascii="Book Antiqua" w:hAnsi="Book Antiqua" w:eastAsia="Times New Roman" w:cs="Segoe UI"/>
          <w:i/>
          <w:sz w:val="24"/>
          <w:szCs w:val="24"/>
          <w:lang w:val="en-US" w:eastAsia="it-IT"/>
        </w:rPr>
        <w:t>PNPLA3</w:t>
      </w:r>
      <w:r>
        <w:rPr>
          <w:rFonts w:ascii="Book Antiqua" w:hAnsi="Book Antiqua" w:eastAsia="Times New Roman" w:cs="Segoe UI"/>
          <w:sz w:val="24"/>
          <w:szCs w:val="24"/>
          <w:lang w:val="en-US" w:eastAsia="it-IT"/>
        </w:rPr>
        <w:t xml:space="preserve"> variants were common NAFLD risk genetic factors in obese individuals. In fact, several studies have also reported a combined effect of the </w:t>
      </w:r>
      <w:r>
        <w:rPr>
          <w:rFonts w:ascii="Book Antiqua" w:hAnsi="Book Antiqua" w:eastAsia="Times New Roman" w:cs="Segoe UI"/>
          <w:i/>
          <w:sz w:val="24"/>
          <w:szCs w:val="24"/>
          <w:lang w:val="en-US" w:eastAsia="it-IT"/>
        </w:rPr>
        <w:t>PNPLA3</w:t>
      </w:r>
      <w:r>
        <w:rPr>
          <w:rFonts w:ascii="Book Antiqua" w:hAnsi="Book Antiqua" w:eastAsia="Times New Roman" w:cs="Segoe UI"/>
          <w:sz w:val="24"/>
          <w:szCs w:val="24"/>
          <w:lang w:val="en-US" w:eastAsia="it-IT"/>
        </w:rPr>
        <w:t xml:space="preserve"> and </w:t>
      </w:r>
      <w:r>
        <w:rPr>
          <w:rFonts w:ascii="Book Antiqua" w:hAnsi="Book Antiqua" w:eastAsia="Times New Roman" w:cs="Segoe UI"/>
          <w:i/>
          <w:sz w:val="24"/>
          <w:szCs w:val="24"/>
          <w:lang w:val="en-US" w:eastAsia="it-IT"/>
        </w:rPr>
        <w:t>GCKR</w:t>
      </w:r>
      <w:r>
        <w:rPr>
          <w:rFonts w:ascii="Book Antiqua" w:hAnsi="Book Antiqua" w:eastAsia="Times New Roman" w:cs="Segoe UI"/>
          <w:sz w:val="24"/>
          <w:szCs w:val="24"/>
          <w:lang w:val="en-US" w:eastAsia="it-IT"/>
        </w:rPr>
        <w:t xml:space="preserve"> SNPs as NAFLD risk polymorphisms. In particular, Santoro </w:t>
      </w:r>
      <w:bookmarkStart w:id="22" w:name="OLE_LINK490"/>
      <w:bookmarkStart w:id="23" w:name="OLE_LINK489"/>
      <w:r>
        <w:rPr>
          <w:rFonts w:ascii="Book Antiqua" w:hAnsi="Book Antiqua"/>
          <w:i/>
          <w:sz w:val="24"/>
          <w:lang w:val="en-US"/>
        </w:rPr>
        <w:t>et al</w:t>
      </w:r>
      <w:bookmarkEnd w:id="22"/>
      <w:bookmarkEnd w:id="23"/>
      <w:r>
        <w:rPr>
          <w:rFonts w:ascii="Book Antiqua" w:hAnsi="Book Antiqua" w:eastAsia="Times New Roman" w:cs="Segoe UI"/>
          <w:sz w:val="24"/>
          <w:szCs w:val="24"/>
          <w:vertAlign w:val="superscript"/>
          <w:lang w:val="en-US" w:eastAsia="it-IT"/>
        </w:rPr>
        <w:t>[57]</w:t>
      </w:r>
      <w:r>
        <w:rPr>
          <w:rFonts w:ascii="Book Antiqua" w:hAnsi="Book Antiqua" w:eastAsia="Times New Roman" w:cs="Segoe UI"/>
          <w:sz w:val="24"/>
          <w:szCs w:val="24"/>
          <w:lang w:val="en-US" w:eastAsia="it-IT"/>
        </w:rPr>
        <w:t xml:space="preserve"> in a study of 455 obese children and adolescents reported that the </w:t>
      </w:r>
      <w:r>
        <w:rPr>
          <w:rFonts w:ascii="Book Antiqua" w:hAnsi="Book Antiqua" w:eastAsia="Times New Roman" w:cs="Segoe UI"/>
          <w:i/>
          <w:sz w:val="24"/>
          <w:szCs w:val="24"/>
          <w:lang w:val="en-US" w:eastAsia="it-IT"/>
        </w:rPr>
        <w:t>GCKR</w:t>
      </w:r>
      <w:r>
        <w:rPr>
          <w:rFonts w:ascii="Book Antiqua" w:hAnsi="Book Antiqua" w:eastAsia="Times New Roman" w:cs="Segoe UI"/>
          <w:sz w:val="24"/>
          <w:szCs w:val="24"/>
          <w:lang w:val="en-US" w:eastAsia="it-IT"/>
        </w:rPr>
        <w:t xml:space="preserve"> rs1260326 variant was associated with hepatic fat accumulation along with large levels of very-low-density lipoprotein (VLDL) and triglycerides, further demonstrating that </w:t>
      </w:r>
      <w:r>
        <w:rPr>
          <w:rFonts w:ascii="Book Antiqua" w:hAnsi="Book Antiqua" w:eastAsia="Times New Roman" w:cs="Segoe UI"/>
          <w:i/>
          <w:sz w:val="24"/>
          <w:szCs w:val="24"/>
          <w:lang w:val="en-US" w:eastAsia="it-IT"/>
        </w:rPr>
        <w:t>GCKR</w:t>
      </w:r>
      <w:r>
        <w:rPr>
          <w:rFonts w:ascii="Book Antiqua" w:hAnsi="Book Antiqua" w:eastAsia="Times New Roman" w:cs="Segoe UI"/>
          <w:sz w:val="24"/>
          <w:szCs w:val="24"/>
          <w:lang w:val="en-US" w:eastAsia="it-IT"/>
        </w:rPr>
        <w:t xml:space="preserve"> and </w:t>
      </w:r>
      <w:r>
        <w:rPr>
          <w:rFonts w:ascii="Book Antiqua" w:hAnsi="Book Antiqua" w:eastAsia="Times New Roman" w:cs="Segoe UI"/>
          <w:i/>
          <w:sz w:val="24"/>
          <w:szCs w:val="24"/>
          <w:lang w:val="en-US" w:eastAsia="it-IT"/>
        </w:rPr>
        <w:t>PNPLA3</w:t>
      </w:r>
      <w:r>
        <w:rPr>
          <w:rFonts w:ascii="Book Antiqua" w:hAnsi="Book Antiqua" w:eastAsia="Times New Roman" w:cs="Segoe UI"/>
          <w:sz w:val="24"/>
          <w:szCs w:val="24"/>
          <w:lang w:val="en-US" w:eastAsia="it-IT"/>
        </w:rPr>
        <w:t xml:space="preserve"> synergistically act to convey susceptibility to fatty liver in obese youths.</w:t>
      </w:r>
    </w:p>
    <w:p>
      <w:pPr>
        <w:pStyle w:val="4"/>
        <w:adjustRightInd w:val="0"/>
        <w:snapToGrid w:val="0"/>
        <w:spacing w:line="360" w:lineRule="auto"/>
        <w:ind w:firstLine="240" w:firstLineChars="100"/>
        <w:jc w:val="both"/>
        <w:rPr>
          <w:rFonts w:ascii="Book Antiqua" w:hAnsi="Book Antiqua" w:eastAsia="Times New Roman" w:cs="Segoe UI"/>
          <w:sz w:val="24"/>
          <w:szCs w:val="24"/>
          <w:lang w:val="en-US" w:eastAsia="it-IT"/>
        </w:rPr>
      </w:pPr>
      <w:r>
        <w:rPr>
          <w:rFonts w:ascii="Book Antiqua" w:hAnsi="Book Antiqua" w:eastAsia="Times New Roman" w:cs="Segoe UI"/>
          <w:sz w:val="24"/>
          <w:szCs w:val="24"/>
          <w:lang w:val="en-US" w:eastAsia="it-IT"/>
        </w:rPr>
        <w:t xml:space="preserve">More recent studies confirmed the strong association of the three major genetic variants such as </w:t>
      </w:r>
      <w:r>
        <w:rPr>
          <w:rFonts w:ascii="Book Antiqua" w:hAnsi="Book Antiqua" w:eastAsia="Times New Roman" w:cs="Segoe UI"/>
          <w:i/>
          <w:sz w:val="24"/>
          <w:szCs w:val="24"/>
          <w:lang w:val="en-US" w:eastAsia="it-IT"/>
        </w:rPr>
        <w:t>TM6SF2</w:t>
      </w:r>
      <w:r>
        <w:rPr>
          <w:rFonts w:ascii="Book Antiqua" w:hAnsi="Book Antiqua" w:eastAsia="Times New Roman" w:cs="Segoe UI"/>
          <w:sz w:val="24"/>
          <w:szCs w:val="24"/>
          <w:lang w:val="en-US" w:eastAsia="it-IT"/>
        </w:rPr>
        <w:t xml:space="preserve"> rs58542926, </w:t>
      </w:r>
      <w:r>
        <w:rPr>
          <w:rFonts w:ascii="Book Antiqua" w:hAnsi="Book Antiqua" w:eastAsia="Times New Roman" w:cs="Segoe UI"/>
          <w:i/>
          <w:sz w:val="24"/>
          <w:szCs w:val="24"/>
          <w:lang w:val="en-US" w:eastAsia="it-IT"/>
        </w:rPr>
        <w:t>PNPLA3</w:t>
      </w:r>
      <w:r>
        <w:rPr>
          <w:rFonts w:ascii="Book Antiqua" w:hAnsi="Book Antiqua" w:eastAsia="Times New Roman" w:cs="Segoe UI"/>
          <w:sz w:val="24"/>
          <w:szCs w:val="24"/>
          <w:lang w:val="en-US" w:eastAsia="it-IT"/>
        </w:rPr>
        <w:t xml:space="preserve">rs738409, and </w:t>
      </w:r>
      <w:r>
        <w:rPr>
          <w:rFonts w:ascii="Book Antiqua" w:hAnsi="Book Antiqua" w:eastAsia="Times New Roman" w:cs="Segoe UI"/>
          <w:i/>
          <w:sz w:val="24"/>
          <w:szCs w:val="24"/>
          <w:lang w:val="en-US" w:eastAsia="it-IT"/>
        </w:rPr>
        <w:t>GCKR</w:t>
      </w:r>
      <w:r>
        <w:rPr>
          <w:rFonts w:ascii="Book Antiqua" w:hAnsi="Book Antiqua" w:eastAsia="Times New Roman" w:cs="Segoe UI"/>
          <w:sz w:val="24"/>
          <w:szCs w:val="24"/>
          <w:lang w:val="en-US" w:eastAsia="it-IT"/>
        </w:rPr>
        <w:t xml:space="preserve"> rs1260326 with NAFLD in obese children and adolescents</w:t>
      </w:r>
      <w:r>
        <w:rPr>
          <w:rFonts w:ascii="Book Antiqua" w:hAnsi="Book Antiqua" w:eastAsia="Times New Roman" w:cs="Segoe UI"/>
          <w:sz w:val="24"/>
          <w:szCs w:val="24"/>
          <w:vertAlign w:val="superscript"/>
          <w:lang w:val="en-US" w:eastAsia="it-IT"/>
        </w:rPr>
        <w:t>[58]</w:t>
      </w:r>
      <w:r>
        <w:rPr>
          <w:rFonts w:ascii="Book Antiqua" w:hAnsi="Book Antiqua" w:eastAsia="Times New Roman" w:cs="Segoe UI"/>
          <w:sz w:val="24"/>
          <w:szCs w:val="24"/>
          <w:lang w:val="en-US" w:eastAsia="it-IT"/>
        </w:rPr>
        <w:t>.</w:t>
      </w:r>
    </w:p>
    <w:p>
      <w:pPr>
        <w:adjustRightInd w:val="0"/>
        <w:snapToGrid w:val="0"/>
        <w:spacing w:line="360" w:lineRule="auto"/>
        <w:jc w:val="both"/>
        <w:rPr>
          <w:rFonts w:ascii="Book Antiqua" w:hAnsi="Book Antiqua"/>
          <w:b/>
          <w:i/>
          <w:lang w:eastAsia="zh-CN"/>
        </w:rPr>
      </w:pPr>
    </w:p>
    <w:p>
      <w:pPr>
        <w:adjustRightInd w:val="0"/>
        <w:snapToGrid w:val="0"/>
        <w:spacing w:line="360" w:lineRule="auto"/>
        <w:jc w:val="both"/>
        <w:rPr>
          <w:rFonts w:ascii="Book Antiqua" w:hAnsi="Book Antiqua"/>
          <w:b/>
        </w:rPr>
      </w:pPr>
      <w:r>
        <w:rPr>
          <w:rFonts w:ascii="Book Antiqua" w:hAnsi="Book Antiqua"/>
          <w:b/>
          <w:i/>
        </w:rPr>
        <w:t>TM6SF2</w:t>
      </w:r>
      <w:r>
        <w:rPr>
          <w:rFonts w:hint="eastAsia" w:ascii="Book Antiqua" w:hAnsi="Book Antiqua"/>
          <w:b/>
          <w:lang w:eastAsia="zh-CN"/>
        </w:rPr>
        <w:t xml:space="preserve">: </w:t>
      </w:r>
      <w:r>
        <w:rPr>
          <w:rFonts w:ascii="Book Antiqua" w:hAnsi="Book Antiqua"/>
          <w:i/>
        </w:rPr>
        <w:t>TM6SF2</w:t>
      </w:r>
      <w:r>
        <w:rPr>
          <w:rFonts w:ascii="Book Antiqua" w:hAnsi="Book Antiqua"/>
        </w:rPr>
        <w:t xml:space="preserve"> is responsible for the regulation of lipid metabolism in the liver</w:t>
      </w:r>
      <w:r>
        <w:rPr>
          <w:rFonts w:ascii="Book Antiqua" w:hAnsi="Book Antiqua"/>
          <w:vertAlign w:val="superscript"/>
        </w:rPr>
        <w:t>[59]</w:t>
      </w:r>
      <w:r>
        <w:rPr>
          <w:rFonts w:ascii="Book Antiqua" w:hAnsi="Book Antiqua"/>
        </w:rPr>
        <w:t>. In particular,</w:t>
      </w:r>
      <w:r>
        <w:rPr>
          <w:rFonts w:ascii="Book Antiqua" w:hAnsi="Book Antiqua"/>
          <w:i/>
        </w:rPr>
        <w:t xml:space="preserve"> TM6SF2</w:t>
      </w:r>
      <w:r>
        <w:rPr>
          <w:rFonts w:ascii="Book Antiqua" w:hAnsi="Book Antiqua"/>
        </w:rPr>
        <w:t xml:space="preserve"> gene contributes to the secretion of VLDL from the liver</w:t>
      </w:r>
      <w:r>
        <w:rPr>
          <w:rFonts w:ascii="Book Antiqua" w:hAnsi="Book Antiqua"/>
          <w:vertAlign w:val="superscript"/>
        </w:rPr>
        <w:t>[60]</w:t>
      </w:r>
      <w:r>
        <w:rPr>
          <w:rFonts w:ascii="Book Antiqua" w:hAnsi="Book Antiqua"/>
        </w:rPr>
        <w:t>. As suggested by recent evidence</w:t>
      </w:r>
      <w:r>
        <w:rPr>
          <w:rFonts w:ascii="Book Antiqua" w:hAnsi="Book Antiqua"/>
          <w:vertAlign w:val="superscript"/>
        </w:rPr>
        <w:t>[61]</w:t>
      </w:r>
      <w:r>
        <w:rPr>
          <w:rFonts w:ascii="Book Antiqua" w:hAnsi="Book Antiqua"/>
        </w:rPr>
        <w:t xml:space="preserve">, </w:t>
      </w:r>
      <w:r>
        <w:rPr>
          <w:rFonts w:ascii="Book Antiqua" w:hAnsi="Book Antiqua"/>
          <w:i/>
        </w:rPr>
        <w:t>TM6SF2</w:t>
      </w:r>
      <w:r>
        <w:rPr>
          <w:rFonts w:ascii="Book Antiqua" w:hAnsi="Book Antiqua"/>
        </w:rPr>
        <w:t xml:space="preserve"> is a polytopic membrane protein acting as a lipid transporter. It is predominantly expressed in the liver, small intestine, and kidney. </w:t>
      </w:r>
      <w:r>
        <w:rPr>
          <w:rFonts w:ascii="Book Antiqua" w:hAnsi="Book Antiqua"/>
          <w:i/>
        </w:rPr>
        <w:t xml:space="preserve">TM6SF2 </w:t>
      </w:r>
      <w:r>
        <w:rPr>
          <w:rFonts w:ascii="Book Antiqua" w:hAnsi="Book Antiqua"/>
        </w:rPr>
        <w:t xml:space="preserve">encodes a 351 amino acid protein with 7-10 </w:t>
      </w:r>
      <w:r>
        <w:rPr>
          <w:rFonts w:ascii="Book Antiqua" w:hAnsi="Book Antiqua"/>
          <w:color w:val="212121"/>
          <w:shd w:val="clear" w:color="auto" w:fill="FFFFFF"/>
        </w:rPr>
        <w:t>predicted transmembrane domains</w:t>
      </w:r>
      <w:r>
        <w:rPr>
          <w:rFonts w:ascii="Book Antiqua" w:hAnsi="Book Antiqua"/>
          <w:color w:val="212121"/>
          <w:shd w:val="clear" w:color="auto" w:fill="FFFFFF"/>
          <w:vertAlign w:val="superscript"/>
        </w:rPr>
        <w:t>[60]</w:t>
      </w:r>
      <w:r>
        <w:rPr>
          <w:rFonts w:ascii="Book Antiqua" w:hAnsi="Book Antiqua"/>
          <w:color w:val="212121"/>
          <w:shd w:val="clear" w:color="auto" w:fill="FFFFFF"/>
        </w:rPr>
        <w:t xml:space="preserve">. </w:t>
      </w:r>
      <w:r>
        <w:rPr>
          <w:rFonts w:ascii="Book Antiqua" w:hAnsi="Book Antiqua"/>
        </w:rPr>
        <w:t xml:space="preserve">Sliz </w:t>
      </w:r>
      <w:r>
        <w:rPr>
          <w:rFonts w:ascii="Book Antiqua" w:hAnsi="Book Antiqua"/>
          <w:i/>
        </w:rPr>
        <w:t>et al</w:t>
      </w:r>
      <w:r>
        <w:rPr>
          <w:rFonts w:ascii="Book Antiqua" w:hAnsi="Book Antiqua"/>
          <w:vertAlign w:val="superscript"/>
        </w:rPr>
        <w:t>[62]</w:t>
      </w:r>
      <w:r>
        <w:rPr>
          <w:rFonts w:ascii="Book Antiqua" w:hAnsi="Book Antiqua"/>
        </w:rPr>
        <w:t xml:space="preserve"> reported an association of the </w:t>
      </w:r>
      <w:r>
        <w:rPr>
          <w:rFonts w:ascii="Book Antiqua" w:hAnsi="Book Antiqua"/>
          <w:i/>
        </w:rPr>
        <w:t>TM6SF2</w:t>
      </w:r>
      <w:r>
        <w:rPr>
          <w:rFonts w:ascii="Book Antiqua" w:hAnsi="Book Antiqua"/>
        </w:rPr>
        <w:t xml:space="preserve"> rs58542926-T allele with lower-risk lipoprotein lipid profile and lower levels of glycerol and glycoprotein acetylation. Specifically, the authors reported that the </w:t>
      </w:r>
      <w:r>
        <w:rPr>
          <w:rFonts w:ascii="Book Antiqua" w:hAnsi="Book Antiqua"/>
          <w:i/>
        </w:rPr>
        <w:t>TM6SF2</w:t>
      </w:r>
      <w:r>
        <w:rPr>
          <w:rFonts w:ascii="Book Antiqua" w:hAnsi="Book Antiqua"/>
        </w:rPr>
        <w:t xml:space="preserve"> variant was associated with lower concentrations of all lipoprotein particle subclasses </w:t>
      </w:r>
      <w:r>
        <w:rPr>
          <w:rFonts w:hint="eastAsia" w:ascii="Book Antiqua" w:hAnsi="Book Antiqua"/>
          <w:lang w:eastAsia="zh-CN"/>
        </w:rPr>
        <w:t>[</w:t>
      </w:r>
      <w:r>
        <w:rPr>
          <w:rFonts w:ascii="Book Antiqua" w:hAnsi="Book Antiqua"/>
        </w:rPr>
        <w:t xml:space="preserve">including VLDL and low-density lipoprotein </w:t>
      </w:r>
      <w:r>
        <w:rPr>
          <w:rFonts w:hint="eastAsia" w:ascii="Book Antiqua" w:hAnsi="Book Antiqua"/>
          <w:lang w:eastAsia="zh-CN"/>
        </w:rPr>
        <w:t>(</w:t>
      </w:r>
      <w:r>
        <w:rPr>
          <w:rFonts w:ascii="Book Antiqua" w:hAnsi="Book Antiqua"/>
        </w:rPr>
        <w:t>LDL)</w:t>
      </w:r>
      <w:r>
        <w:rPr>
          <w:rFonts w:hint="eastAsia" w:ascii="Book Antiqua" w:hAnsi="Book Antiqua"/>
          <w:lang w:eastAsia="zh-CN"/>
        </w:rPr>
        <w:t>]</w:t>
      </w:r>
      <w:r>
        <w:rPr>
          <w:rFonts w:ascii="Book Antiqua" w:hAnsi="Book Antiqua"/>
        </w:rPr>
        <w:t>. In addition, there was an inverse association between this variant and total serum triglycerides and triglycerides in all lipoprotein subclasses, including high-density lipoprotein (HDL</w:t>
      </w:r>
      <w:r>
        <w:rPr>
          <w:rFonts w:hint="eastAsia" w:ascii="Book Antiqua" w:hAnsi="Book Antiqua"/>
          <w:lang w:eastAsia="zh-CN"/>
        </w:rPr>
        <w:t>)</w:t>
      </w:r>
      <w:r>
        <w:rPr>
          <w:rFonts w:ascii="Book Antiqua" w:hAnsi="Book Antiqua"/>
        </w:rPr>
        <w:t xml:space="preserve"> subclasses. Finally, the </w:t>
      </w:r>
      <w:r>
        <w:rPr>
          <w:rFonts w:ascii="Book Antiqua" w:hAnsi="Book Antiqua"/>
          <w:i/>
        </w:rPr>
        <w:t>TM6SF2</w:t>
      </w:r>
      <w:r>
        <w:rPr>
          <w:rFonts w:ascii="Book Antiqua" w:hAnsi="Book Antiqua"/>
        </w:rPr>
        <w:t xml:space="preserve"> rs58542926-T allele did not appear to affect apolipoprotein A-I concentration, whereas it was associated with lower apolipoprotein B concentration. Furthermore, it was also found to impair the secretory pathway leading to hepatic lipid accumulation and reduced levels of circulating lipids and lipoproteins.</w:t>
      </w:r>
    </w:p>
    <w:p>
      <w:pPr>
        <w:adjustRightInd w:val="0"/>
        <w:snapToGrid w:val="0"/>
        <w:spacing w:line="360" w:lineRule="auto"/>
        <w:ind w:firstLine="240" w:firstLineChars="100"/>
        <w:jc w:val="both"/>
        <w:rPr>
          <w:rFonts w:ascii="Book Antiqua" w:hAnsi="Book Antiqua"/>
        </w:rPr>
      </w:pPr>
      <w:r>
        <w:rPr>
          <w:rFonts w:ascii="Book Antiqua" w:hAnsi="Book Antiqua"/>
        </w:rPr>
        <w:t xml:space="preserve">In the last few years, a single nucleotide rs58542926 C&gt;T polymorphism giving rise to the E167K </w:t>
      </w:r>
      <w:r>
        <w:rPr>
          <w:rFonts w:ascii="Book Antiqua" w:hAnsi="Book Antiqua"/>
          <w:i/>
        </w:rPr>
        <w:t>TM6SF2</w:t>
      </w:r>
      <w:r>
        <w:rPr>
          <w:rFonts w:ascii="Book Antiqua" w:hAnsi="Book Antiqua"/>
        </w:rPr>
        <w:t xml:space="preserve"> variant was noted in the complex puzzle of NAFLD pathophysiology</w:t>
      </w:r>
      <w:r>
        <w:rPr>
          <w:rFonts w:ascii="Book Antiqua" w:hAnsi="Book Antiqua"/>
          <w:vertAlign w:val="superscript"/>
        </w:rPr>
        <w:t>[34]</w:t>
      </w:r>
      <w:r>
        <w:rPr>
          <w:rFonts w:ascii="Book Antiqua" w:hAnsi="Book Antiqua"/>
        </w:rPr>
        <w:t>. It was associated with increased liver fat content, NASH, advanced liver fibrosis, and cirrhosis</w:t>
      </w:r>
      <w:r>
        <w:rPr>
          <w:rFonts w:ascii="Book Antiqua" w:hAnsi="Book Antiqua"/>
          <w:vertAlign w:val="superscript"/>
        </w:rPr>
        <w:t>[63]</w:t>
      </w:r>
      <w:r>
        <w:rPr>
          <w:rFonts w:ascii="Book Antiqua" w:hAnsi="Book Antiqua"/>
        </w:rPr>
        <w:t xml:space="preserve">. This variant is characterized by an adenine-guanine substitution in nucleotide 499 that replaces glutamate at residue 167 with lysine (c.499A &gt; G; p.Glu167Lys) leading to a loss of function in hepatic secretion of </w:t>
      </w:r>
      <w:bookmarkStart w:id="24" w:name="OLE_LINK27"/>
      <w:bookmarkStart w:id="25" w:name="OLE_LINK28"/>
      <w:r>
        <w:rPr>
          <w:rFonts w:ascii="Book Antiqua" w:hAnsi="Book Antiqua"/>
        </w:rPr>
        <w:t>VLDL</w:t>
      </w:r>
      <w:bookmarkEnd w:id="24"/>
      <w:bookmarkEnd w:id="25"/>
      <w:r>
        <w:rPr>
          <w:rFonts w:ascii="Book Antiqua" w:hAnsi="Book Antiqua"/>
          <w:vertAlign w:val="superscript"/>
        </w:rPr>
        <w:t>[61]</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 xml:space="preserve">Another study on two large histologically characterized adult cohorts (including steatosis, steatohepatitis, fibrosis and cirrhosis) reported an association of the </w:t>
      </w:r>
      <w:r>
        <w:rPr>
          <w:rFonts w:ascii="Book Antiqua" w:hAnsi="Book Antiqua"/>
          <w:i/>
        </w:rPr>
        <w:t xml:space="preserve">TM6SF2 </w:t>
      </w:r>
      <w:r>
        <w:rPr>
          <w:rFonts w:ascii="Book Antiqua" w:hAnsi="Book Antiqua"/>
        </w:rPr>
        <w:t>gene</w:t>
      </w:r>
      <w:r>
        <w:rPr>
          <w:rFonts w:ascii="Book Antiqua" w:hAnsi="Book Antiqua"/>
          <w:i/>
        </w:rPr>
        <w:t xml:space="preserve"> </w:t>
      </w:r>
      <w:r>
        <w:rPr>
          <w:rFonts w:ascii="Book Antiqua" w:hAnsi="Book Antiqua"/>
        </w:rPr>
        <w:t xml:space="preserve">with advanced liver fibrosis, regardless of the </w:t>
      </w:r>
      <w:r>
        <w:rPr>
          <w:rFonts w:ascii="Book Antiqua" w:hAnsi="Book Antiqua"/>
          <w:i/>
        </w:rPr>
        <w:t>PNPLA3</w:t>
      </w:r>
      <w:r>
        <w:rPr>
          <w:rFonts w:ascii="Book Antiqua" w:hAnsi="Book Antiqua"/>
        </w:rPr>
        <w:t xml:space="preserve"> genotype presence</w:t>
      </w:r>
      <w:r>
        <w:rPr>
          <w:rFonts w:ascii="Book Antiqua" w:hAnsi="Book Antiqua"/>
          <w:vertAlign w:val="superscript"/>
        </w:rPr>
        <w:t>[64]</w:t>
      </w:r>
      <w:r>
        <w:rPr>
          <w:rFonts w:ascii="Book Antiqua" w:hAnsi="Book Antiqua"/>
        </w:rPr>
        <w:t>. This association was also independently validated in another large European cohort</w:t>
      </w:r>
      <w:r>
        <w:rPr>
          <w:rFonts w:ascii="Book Antiqua" w:hAnsi="Book Antiqua"/>
          <w:vertAlign w:val="superscript"/>
        </w:rPr>
        <w:t>[65]</w:t>
      </w:r>
      <w:r>
        <w:rPr>
          <w:rFonts w:ascii="Book Antiqua" w:hAnsi="Book Antiqua"/>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 xml:space="preserve">Thus, </w:t>
      </w:r>
      <w:r>
        <w:rPr>
          <w:rFonts w:ascii="Book Antiqua" w:hAnsi="Book Antiqua"/>
          <w:i/>
        </w:rPr>
        <w:t>TM6SF2</w:t>
      </w:r>
      <w:r>
        <w:rPr>
          <w:rFonts w:ascii="Book Antiqua" w:hAnsi="Book Antiqua"/>
        </w:rPr>
        <w:t xml:space="preserve"> might be considered as a regulator of liver fat metabolism with the opposite effects on triglyceride-rich lipoprotein secretion and hepatic lipid droplet content</w:t>
      </w:r>
      <w:r>
        <w:rPr>
          <w:rFonts w:ascii="Book Antiqua" w:hAnsi="Book Antiqua"/>
          <w:vertAlign w:val="superscript"/>
        </w:rPr>
        <w:t>[34]</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Chen</w:t>
      </w:r>
      <w:r>
        <w:rPr>
          <w:rFonts w:ascii="Book Antiqua" w:hAnsi="Book Antiqua"/>
          <w:i/>
        </w:rPr>
        <w:t xml:space="preserve"> et al</w:t>
      </w:r>
      <w:r>
        <w:rPr>
          <w:rFonts w:ascii="Book Antiqua" w:hAnsi="Book Antiqua"/>
          <w:vertAlign w:val="superscript"/>
        </w:rPr>
        <w:t>[59]</w:t>
      </w:r>
      <w:r>
        <w:rPr>
          <w:rFonts w:ascii="Book Antiqua" w:hAnsi="Book Antiqua"/>
        </w:rPr>
        <w:t xml:space="preserve"> in a recent meta-analysis, on associations of TM6SF2 polymorphisms with chronic liver disease, suggested that rs58542926 polymorphism may be significantly associated with chronic liver disease in both Asians and Caucasians. In addition, Holmen </w:t>
      </w:r>
      <w:r>
        <w:rPr>
          <w:rFonts w:ascii="Book Antiqua" w:hAnsi="Book Antiqua"/>
          <w:i/>
        </w:rPr>
        <w:t>et al</w:t>
      </w:r>
      <w:r>
        <w:rPr>
          <w:rFonts w:ascii="Book Antiqua" w:hAnsi="Book Antiqua"/>
          <w:vertAlign w:val="superscript"/>
        </w:rPr>
        <w:t>[66]</w:t>
      </w:r>
      <w:r>
        <w:rPr>
          <w:rFonts w:ascii="Book Antiqua" w:hAnsi="Book Antiqua"/>
        </w:rPr>
        <w:t xml:space="preserve"> showed in a longitudinal adult Norwegian study an association of the E167K TM6SF2 variant with lower total cholesterol levels resulting in a reduced risk of myocardial infarction. Accordingly, Dongiovanni </w:t>
      </w:r>
      <w:r>
        <w:rPr>
          <w:rFonts w:ascii="Book Antiqua" w:hAnsi="Book Antiqua"/>
          <w:i/>
        </w:rPr>
        <w:t>et al</w:t>
      </w:r>
      <w:r>
        <w:rPr>
          <w:rFonts w:ascii="Book Antiqua" w:hAnsi="Book Antiqua"/>
          <w:vertAlign w:val="superscript"/>
        </w:rPr>
        <w:t>[65]</w:t>
      </w:r>
      <w:r>
        <w:rPr>
          <w:rFonts w:ascii="Book Antiqua" w:hAnsi="Book Antiqua"/>
        </w:rPr>
        <w:t xml:space="preserve"> showed an effect of this polymorphism on reducing the risk of carotid atherosclerosis in adults.</w:t>
      </w:r>
    </w:p>
    <w:p>
      <w:pPr>
        <w:adjustRightInd w:val="0"/>
        <w:snapToGrid w:val="0"/>
        <w:spacing w:line="360" w:lineRule="auto"/>
        <w:ind w:firstLine="240" w:firstLineChars="100"/>
        <w:jc w:val="both"/>
        <w:rPr>
          <w:rFonts w:ascii="Book Antiqua" w:hAnsi="Book Antiqua"/>
        </w:rPr>
      </w:pPr>
      <w:r>
        <w:rPr>
          <w:rFonts w:ascii="Book Antiqua" w:hAnsi="Book Antiqua"/>
        </w:rPr>
        <w:t xml:space="preserve">The effect of this polymorphism on ALT and cholesterol levels has also been confirmed in children and adolescents. Grandone </w:t>
      </w:r>
      <w:bookmarkStart w:id="26" w:name="OLE_LINK31"/>
      <w:bookmarkStart w:id="27" w:name="OLE_LINK34"/>
      <w:bookmarkStart w:id="28" w:name="OLE_LINK33"/>
      <w:bookmarkStart w:id="29" w:name="OLE_LINK32"/>
      <w:r>
        <w:rPr>
          <w:rFonts w:ascii="Book Antiqua" w:hAnsi="Book Antiqua"/>
          <w:i/>
        </w:rPr>
        <w:t>et al</w:t>
      </w:r>
      <w:bookmarkEnd w:id="26"/>
      <w:bookmarkEnd w:id="27"/>
      <w:bookmarkEnd w:id="28"/>
      <w:bookmarkEnd w:id="29"/>
      <w:r>
        <w:rPr>
          <w:rFonts w:ascii="Book Antiqua" w:hAnsi="Book Antiqua"/>
          <w:vertAlign w:val="superscript"/>
        </w:rPr>
        <w:t>[15]</w:t>
      </w:r>
      <w:r>
        <w:rPr>
          <w:rFonts w:ascii="Book Antiqua" w:hAnsi="Book Antiqua"/>
        </w:rPr>
        <w:t xml:space="preserve"> demonstrated in a cohort of 1010 obese Caucasian children and adolescents that the TM6SF2 167K allele in carriers was associated with hepatic steatosis, higher ALT levels and lower total cholesterol, LDL-cholesterol, triglycerides and non-high density lipoproteins. In addition, subjects homozygous for the </w:t>
      </w:r>
      <w:r>
        <w:rPr>
          <w:rFonts w:ascii="Book Antiqua" w:hAnsi="Book Antiqua"/>
          <w:i/>
        </w:rPr>
        <w:t xml:space="preserve">PNPLA3 </w:t>
      </w:r>
      <w:r>
        <w:rPr>
          <w:rFonts w:ascii="Book Antiqua" w:hAnsi="Book Antiqua"/>
        </w:rPr>
        <w:t xml:space="preserve">148M allele carrying the rare variant of </w:t>
      </w:r>
      <w:r>
        <w:rPr>
          <w:rFonts w:ascii="Book Antiqua" w:hAnsi="Book Antiqua"/>
          <w:i/>
        </w:rPr>
        <w:t>TM6SF2</w:t>
      </w:r>
      <w:r>
        <w:rPr>
          <w:rFonts w:ascii="Book Antiqua" w:hAnsi="Book Antiqua"/>
        </w:rPr>
        <w:t xml:space="preserve"> showed an OR of 12.2 for presenting hypertransaminasemia compared with the remaining patients. Thus, the effect of </w:t>
      </w:r>
      <w:r>
        <w:rPr>
          <w:rFonts w:ascii="Book Antiqua" w:hAnsi="Book Antiqua"/>
          <w:i/>
        </w:rPr>
        <w:t>PNPLA3</w:t>
      </w:r>
      <w:r>
        <w:rPr>
          <w:rFonts w:ascii="Book Antiqua" w:hAnsi="Book Antiqua"/>
        </w:rPr>
        <w:t xml:space="preserve"> and </w:t>
      </w:r>
      <w:r>
        <w:rPr>
          <w:rFonts w:ascii="Book Antiqua" w:hAnsi="Book Antiqua"/>
          <w:i/>
        </w:rPr>
        <w:t xml:space="preserve">TM6SF2 </w:t>
      </w:r>
      <w:r>
        <w:rPr>
          <w:rFonts w:ascii="Book Antiqua" w:hAnsi="Book Antiqua"/>
        </w:rPr>
        <w:t>alleles appeared to be additive in determining pediatric NAFLD. As previously demonstrated in adults, the authors found that the TMS6SF2 E167K variant predisposed to NAFLD in obese children, with a relevant beneficial effect on cardiovascular risk</w:t>
      </w:r>
      <w:bookmarkStart w:id="30" w:name="OLE_LINK29"/>
      <w:bookmarkStart w:id="31" w:name="OLE_LINK30"/>
      <w:r>
        <w:rPr>
          <w:rFonts w:ascii="Book Antiqua" w:hAnsi="Book Antiqua"/>
          <w:vertAlign w:val="superscript"/>
        </w:rPr>
        <w:t>[15]</w:t>
      </w:r>
      <w:bookmarkEnd w:id="30"/>
      <w:bookmarkEnd w:id="31"/>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 xml:space="preserve">It is noteworthy that recent data also showed a protective effect of the </w:t>
      </w:r>
      <w:r>
        <w:rPr>
          <w:rFonts w:ascii="Book Antiqua" w:hAnsi="Book Antiqua"/>
          <w:i/>
        </w:rPr>
        <w:t>TM6SF2</w:t>
      </w:r>
      <w:r>
        <w:rPr>
          <w:rFonts w:ascii="Book Antiqua" w:hAnsi="Book Antiqua"/>
        </w:rPr>
        <w:t xml:space="preserve"> gene on renal function both in adults and children through the reduction of lipotoxicity</w:t>
      </w:r>
      <w:r>
        <w:rPr>
          <w:rFonts w:ascii="Book Antiqua" w:hAnsi="Book Antiqua"/>
          <w:vertAlign w:val="superscript"/>
        </w:rPr>
        <w:t>[47,67]</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 xml:space="preserve">In conclusion, the discovery of the E167K variant adds another piece not only in the complex pathophysiology of NAFLD but also in the larger context of NAFLD-related cardiometabolic risk. </w:t>
      </w:r>
    </w:p>
    <w:p>
      <w:pPr>
        <w:adjustRightInd w:val="0"/>
        <w:snapToGrid w:val="0"/>
        <w:spacing w:line="360" w:lineRule="auto"/>
        <w:jc w:val="both"/>
        <w:rPr>
          <w:rFonts w:ascii="Book Antiqua" w:hAnsi="Book Antiqua"/>
          <w:b/>
          <w:i/>
          <w:lang w:eastAsia="zh-CN"/>
        </w:rPr>
      </w:pPr>
    </w:p>
    <w:p>
      <w:pPr>
        <w:adjustRightInd w:val="0"/>
        <w:snapToGrid w:val="0"/>
        <w:spacing w:line="360" w:lineRule="auto"/>
        <w:jc w:val="both"/>
        <w:rPr>
          <w:rFonts w:ascii="Book Antiqua" w:hAnsi="Book Antiqua"/>
          <w:b/>
          <w:i/>
        </w:rPr>
      </w:pPr>
      <w:r>
        <w:rPr>
          <w:rFonts w:ascii="Book Antiqua" w:hAnsi="Book Antiqua"/>
          <w:b/>
          <w:i/>
        </w:rPr>
        <w:t>MBOAT7</w:t>
      </w:r>
      <w:r>
        <w:rPr>
          <w:rFonts w:hint="eastAsia" w:ascii="Book Antiqua" w:hAnsi="Book Antiqua"/>
          <w:b/>
          <w:lang w:eastAsia="zh-CN"/>
        </w:rPr>
        <w:t xml:space="preserve">: </w:t>
      </w:r>
      <w:r>
        <w:rPr>
          <w:rFonts w:ascii="Book Antiqua" w:hAnsi="Book Antiqua"/>
        </w:rPr>
        <w:t>The pathogenic role of this gene in NAFLD susceptibility has been largely studied both in adults and children. Findings demonstrated its effect in increasing</w:t>
      </w:r>
      <w:r>
        <w:rPr>
          <w:rFonts w:ascii="Book Antiqua" w:hAnsi="Book Antiqua"/>
          <w:lang w:val="en-GB"/>
        </w:rPr>
        <w:t xml:space="preserve"> not only the risk (and the severity) of NAFLD but also of other chronic liver diseases (</w:t>
      </w:r>
      <w:r>
        <w:rPr>
          <w:rFonts w:ascii="Book Antiqua" w:hAnsi="Book Antiqua"/>
          <w:i/>
          <w:lang w:val="en-GB"/>
        </w:rPr>
        <w:t>e.g.</w:t>
      </w:r>
      <w:r>
        <w:rPr>
          <w:rFonts w:ascii="Book Antiqua" w:hAnsi="Book Antiqua"/>
          <w:lang w:val="en-GB"/>
        </w:rPr>
        <w:t xml:space="preserve"> hepatitis B and C virus-related</w:t>
      </w:r>
      <w:r>
        <w:rPr>
          <w:rFonts w:hint="eastAsia" w:ascii="Book Antiqua" w:hAnsi="Book Antiqua"/>
          <w:lang w:val="en-GB" w:eastAsia="zh-CN"/>
        </w:rPr>
        <w:t>)</w:t>
      </w:r>
      <w:r>
        <w:rPr>
          <w:rFonts w:ascii="Book Antiqua" w:hAnsi="Book Antiqua"/>
          <w:lang w:val="en-GB"/>
        </w:rPr>
        <w:t xml:space="preserve">. </w:t>
      </w:r>
      <w:r>
        <w:rPr>
          <w:rFonts w:ascii="Book Antiqua" w:hAnsi="Book Antiqua"/>
          <w:i/>
        </w:rPr>
        <w:t>MBOAT7</w:t>
      </w:r>
      <w:r>
        <w:rPr>
          <w:rFonts w:ascii="Book Antiqua" w:hAnsi="Book Antiqua"/>
        </w:rPr>
        <w:t xml:space="preserve"> encodes lysophosphatidylinositol acyltransferase, involved in the inflammation cascade through the regulation of arachidonic acid levels and leukotriene synthesis in neutrophils. A combined effect of this gene with the major NAFLD risk polymorphisms (such as </w:t>
      </w:r>
      <w:r>
        <w:rPr>
          <w:rFonts w:ascii="Book Antiqua" w:hAnsi="Book Antiqua"/>
          <w:i/>
        </w:rPr>
        <w:t>PNPLA3</w:t>
      </w:r>
      <w:r>
        <w:rPr>
          <w:rFonts w:ascii="Book Antiqua" w:hAnsi="Book Antiqua"/>
        </w:rPr>
        <w:t xml:space="preserve"> and </w:t>
      </w:r>
      <w:r>
        <w:rPr>
          <w:rFonts w:ascii="Book Antiqua" w:hAnsi="Book Antiqua"/>
          <w:i/>
        </w:rPr>
        <w:t>TM6SF2</w:t>
      </w:r>
      <w:r>
        <w:rPr>
          <w:rFonts w:ascii="Book Antiqua" w:hAnsi="Book Antiqua"/>
        </w:rPr>
        <w:t>) has also been highlighted in adult and pediatric studies</w:t>
      </w:r>
      <w:r>
        <w:rPr>
          <w:rFonts w:ascii="Book Antiqua" w:hAnsi="Book Antiqua"/>
          <w:vertAlign w:val="superscript"/>
        </w:rPr>
        <w:t>[</w:t>
      </w:r>
      <w:r>
        <w:rPr>
          <w:rFonts w:hint="eastAsia" w:ascii="Book Antiqua" w:hAnsi="Book Antiqua"/>
          <w:vertAlign w:val="superscript"/>
          <w:lang w:eastAsia="zh-CN"/>
        </w:rPr>
        <w:t>16</w:t>
      </w:r>
      <w:r>
        <w:rPr>
          <w:rFonts w:ascii="Book Antiqua" w:hAnsi="Book Antiqua"/>
          <w:vertAlign w:val="superscript"/>
        </w:rPr>
        <w:t>]</w:t>
      </w:r>
      <w:r>
        <w:rPr>
          <w:rFonts w:ascii="Book Antiqua" w:hAnsi="Book Antiqua"/>
        </w:rPr>
        <w:t xml:space="preserve">. Similar to renal effects observed for </w:t>
      </w:r>
      <w:r>
        <w:rPr>
          <w:rFonts w:ascii="Book Antiqua" w:hAnsi="Book Antiqua"/>
          <w:i/>
        </w:rPr>
        <w:t xml:space="preserve">PNPLA3 </w:t>
      </w:r>
      <w:r>
        <w:rPr>
          <w:rFonts w:ascii="Book Antiqua" w:hAnsi="Book Antiqua"/>
        </w:rPr>
        <w:t xml:space="preserve">and </w:t>
      </w:r>
      <w:r>
        <w:rPr>
          <w:rFonts w:ascii="Book Antiqua" w:hAnsi="Book Antiqua"/>
          <w:i/>
        </w:rPr>
        <w:t>TM6SF2</w:t>
      </w:r>
      <w:r>
        <w:rPr>
          <w:rFonts w:ascii="Book Antiqua" w:hAnsi="Book Antiqua"/>
        </w:rPr>
        <w:t>, a role for this gene in kidney dysfunction has also been demonstrated</w:t>
      </w:r>
      <w:r>
        <w:rPr>
          <w:rFonts w:ascii="Book Antiqua" w:hAnsi="Book Antiqua"/>
          <w:vertAlign w:val="superscript"/>
        </w:rPr>
        <w:t>[47]</w:t>
      </w:r>
      <w:r>
        <w:rPr>
          <w:rFonts w:ascii="Book Antiqua" w:hAnsi="Book Antiqua"/>
        </w:rPr>
        <w:t xml:space="preserve">. </w:t>
      </w:r>
    </w:p>
    <w:p>
      <w:pPr>
        <w:adjustRightInd w:val="0"/>
        <w:snapToGrid w:val="0"/>
        <w:spacing w:line="360" w:lineRule="auto"/>
        <w:jc w:val="both"/>
        <w:rPr>
          <w:rFonts w:ascii="Book Antiqua" w:hAnsi="Book Antiqua"/>
          <w:b/>
        </w:rPr>
      </w:pPr>
    </w:p>
    <w:p>
      <w:pPr>
        <w:adjustRightInd w:val="0"/>
        <w:snapToGrid w:val="0"/>
        <w:spacing w:line="360" w:lineRule="auto"/>
        <w:jc w:val="both"/>
        <w:rPr>
          <w:rFonts w:ascii="Book Antiqua" w:hAnsi="Book Antiqua"/>
          <w:i/>
        </w:rPr>
      </w:pPr>
      <w:r>
        <w:rPr>
          <w:rFonts w:ascii="Book Antiqua" w:hAnsi="Book Antiqua"/>
          <w:b/>
          <w:i/>
        </w:rPr>
        <w:t>HSD17B13</w:t>
      </w:r>
      <w:r>
        <w:rPr>
          <w:rFonts w:hint="eastAsia" w:ascii="Book Antiqua" w:hAnsi="Book Antiqua"/>
          <w:b/>
          <w:lang w:eastAsia="zh-CN"/>
        </w:rPr>
        <w:t>:</w:t>
      </w:r>
      <w:r>
        <w:rPr>
          <w:rFonts w:ascii="Book Antiqua" w:hAnsi="Book Antiqua"/>
          <w:b/>
          <w:i/>
        </w:rPr>
        <w:t xml:space="preserve"> </w:t>
      </w:r>
      <w:r>
        <w:rPr>
          <w:rFonts w:ascii="Book Antiqua" w:hAnsi="Book Antiqua"/>
        </w:rPr>
        <w:t>The 17β-hydroxysteroid dehydrogenases (HSD17Bs) encompasses a large family of 15 members involved in various metabolic processes such as the metabolism of steroid hormones, cholesterol, fatty acids, and bile acids</w:t>
      </w:r>
      <w:r>
        <w:rPr>
          <w:rFonts w:ascii="Book Antiqua" w:hAnsi="Book Antiqua"/>
          <w:vertAlign w:val="superscript"/>
        </w:rPr>
        <w:t>[6</w:t>
      </w:r>
      <w:r>
        <w:rPr>
          <w:rFonts w:hint="eastAsia" w:ascii="Book Antiqua" w:hAnsi="Book Antiqua"/>
          <w:vertAlign w:val="superscript"/>
          <w:lang w:eastAsia="zh-CN"/>
        </w:rPr>
        <w:t>8</w:t>
      </w:r>
      <w:r>
        <w:rPr>
          <w:rFonts w:ascii="Book Antiqua" w:hAnsi="Book Antiqua"/>
          <w:vertAlign w:val="superscript"/>
        </w:rPr>
        <w:t>]</w:t>
      </w:r>
      <w:r>
        <w:rPr>
          <w:rFonts w:ascii="Book Antiqua" w:hAnsi="Book Antiqua"/>
        </w:rPr>
        <w:t xml:space="preserve">. In 2008, </w:t>
      </w:r>
      <w:bookmarkStart w:id="32" w:name="OLE_LINK491"/>
      <w:bookmarkStart w:id="33" w:name="OLE_LINK492"/>
      <w:r>
        <w:rPr>
          <w:rFonts w:ascii="Book Antiqua" w:hAnsi="Book Antiqua"/>
        </w:rPr>
        <w:t>Hori</w:t>
      </w:r>
      <w:bookmarkEnd w:id="32"/>
      <w:bookmarkEnd w:id="33"/>
      <w:r>
        <w:rPr>
          <w:rFonts w:ascii="Book Antiqua" w:hAnsi="Book Antiqua"/>
        </w:rPr>
        <w:t xml:space="preserve">guchi identified </w:t>
      </w:r>
      <w:r>
        <w:rPr>
          <w:rFonts w:ascii="Book Antiqua" w:hAnsi="Book Antiqua"/>
          <w:i/>
        </w:rPr>
        <w:t>HSD17B13</w:t>
      </w:r>
      <w:r>
        <w:rPr>
          <w:rFonts w:ascii="Book Antiqua" w:hAnsi="Book Antiqua"/>
        </w:rPr>
        <w:t xml:space="preserve"> as a novel lipid droplet (LD) associated protein. The human </w:t>
      </w:r>
      <w:r>
        <w:rPr>
          <w:rFonts w:ascii="Book Antiqua" w:hAnsi="Book Antiqua"/>
          <w:i/>
        </w:rPr>
        <w:t>HSD17B13</w:t>
      </w:r>
      <w:r>
        <w:rPr>
          <w:rFonts w:ascii="Book Antiqua" w:hAnsi="Book Antiqua"/>
        </w:rPr>
        <w:t xml:space="preserve"> gene is located on chromosome 4 (4q22.1) and its expression is highly restricted to the liver, particularly in hepatocytes</w:t>
      </w:r>
      <w:r>
        <w:rPr>
          <w:rFonts w:ascii="Book Antiqua" w:hAnsi="Book Antiqua"/>
          <w:vertAlign w:val="superscript"/>
        </w:rPr>
        <w:t>[</w:t>
      </w:r>
      <w:r>
        <w:rPr>
          <w:rFonts w:hint="eastAsia" w:ascii="Book Antiqua" w:hAnsi="Book Antiqua"/>
          <w:vertAlign w:val="superscript"/>
          <w:lang w:eastAsia="zh-CN"/>
        </w:rPr>
        <w:t>69</w:t>
      </w:r>
      <w:r>
        <w:rPr>
          <w:rFonts w:ascii="Book Antiqua" w:hAnsi="Book Antiqua"/>
          <w:vertAlign w:val="superscript"/>
        </w:rPr>
        <w:t>]</w:t>
      </w:r>
      <w:r>
        <w:rPr>
          <w:rFonts w:ascii="Book Antiqua" w:hAnsi="Book Antiqua"/>
        </w:rPr>
        <w:t xml:space="preserve">. The human </w:t>
      </w:r>
      <w:r>
        <w:rPr>
          <w:rFonts w:ascii="Book Antiqua" w:hAnsi="Book Antiqua"/>
          <w:i/>
        </w:rPr>
        <w:t>HSD17B13</w:t>
      </w:r>
      <w:r>
        <w:rPr>
          <w:rFonts w:ascii="Book Antiqua" w:hAnsi="Book Antiqua"/>
        </w:rPr>
        <w:t xml:space="preserve"> gene encodes a 300 amino acid protein, hydroxyl-steroid 17-beta dehydrogenase 13, a liver-specific LD-associated protein which is localized to lipid droplets</w:t>
      </w:r>
      <w:r>
        <w:rPr>
          <w:rFonts w:ascii="Book Antiqua" w:hAnsi="Book Antiqua"/>
          <w:vertAlign w:val="superscript"/>
        </w:rPr>
        <w:t>[7</w:t>
      </w:r>
      <w:r>
        <w:rPr>
          <w:rFonts w:hint="eastAsia" w:ascii="Book Antiqua" w:hAnsi="Book Antiqua"/>
          <w:vertAlign w:val="superscript"/>
          <w:lang w:eastAsia="zh-CN"/>
        </w:rPr>
        <w:t>0</w:t>
      </w:r>
      <w:r>
        <w:rPr>
          <w:rFonts w:ascii="Book Antiqua" w:hAnsi="Book Antiqua"/>
          <w:vertAlign w:val="superscript"/>
        </w:rPr>
        <w:t>]</w:t>
      </w:r>
      <w:r>
        <w:rPr>
          <w:rFonts w:ascii="Book Antiqua" w:hAnsi="Book Antiqua"/>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 xml:space="preserve">To date, the physiological function of </w:t>
      </w:r>
      <w:r>
        <w:rPr>
          <w:rFonts w:ascii="Book Antiqua" w:hAnsi="Book Antiqua"/>
          <w:i/>
        </w:rPr>
        <w:t>HSD17B13</w:t>
      </w:r>
      <w:r>
        <w:rPr>
          <w:rFonts w:ascii="Book Antiqua" w:hAnsi="Book Antiqua"/>
        </w:rPr>
        <w:t xml:space="preserve"> remains largely unclear. </w:t>
      </w:r>
      <w:r>
        <w:rPr>
          <w:rFonts w:ascii="Book Antiqua" w:hAnsi="Book Antiqua"/>
          <w:i/>
        </w:rPr>
        <w:t>HSD17B13</w:t>
      </w:r>
      <w:r>
        <w:rPr>
          <w:rFonts w:ascii="Book Antiqua" w:hAnsi="Book Antiqua"/>
        </w:rPr>
        <w:t xml:space="preserve"> appears to have a role in estradiol metabolism and enzymatic activity against bioactive lipid mediators, such as leukotriene B4, that are involved in lipid-mediated inflammation</w:t>
      </w:r>
      <w:r>
        <w:rPr>
          <w:rFonts w:ascii="Book Antiqua" w:hAnsi="Book Antiqua"/>
          <w:vertAlign w:val="superscript"/>
        </w:rPr>
        <w:t>[7</w:t>
      </w:r>
      <w:r>
        <w:rPr>
          <w:rFonts w:hint="eastAsia" w:ascii="Book Antiqua" w:hAnsi="Book Antiqua"/>
          <w:vertAlign w:val="superscript"/>
          <w:lang w:eastAsia="zh-CN"/>
        </w:rPr>
        <w:t>1</w:t>
      </w:r>
      <w:r>
        <w:rPr>
          <w:rFonts w:ascii="Book Antiqua" w:hAnsi="Book Antiqua"/>
          <w:vertAlign w:val="superscript"/>
        </w:rPr>
        <w:t>]</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 xml:space="preserve">In a 2019 study, Ma </w:t>
      </w:r>
      <w:r>
        <w:rPr>
          <w:rFonts w:hint="eastAsia" w:ascii="Book Antiqua" w:hAnsi="Book Antiqua"/>
          <w:i/>
          <w:lang w:eastAsia="zh-CN"/>
        </w:rPr>
        <w:t>e</w:t>
      </w:r>
      <w:r>
        <w:rPr>
          <w:rFonts w:ascii="Book Antiqua" w:hAnsi="Book Antiqua"/>
          <w:i/>
        </w:rPr>
        <w:t>t al</w:t>
      </w:r>
      <w:r>
        <w:rPr>
          <w:rFonts w:ascii="Book Antiqua" w:hAnsi="Book Antiqua"/>
          <w:vertAlign w:val="superscript"/>
        </w:rPr>
        <w:t>[7</w:t>
      </w:r>
      <w:r>
        <w:rPr>
          <w:rFonts w:hint="eastAsia" w:ascii="Book Antiqua" w:hAnsi="Book Antiqua"/>
          <w:vertAlign w:val="superscript"/>
          <w:lang w:eastAsia="zh-CN"/>
        </w:rPr>
        <w:t>2</w:t>
      </w:r>
      <w:r>
        <w:rPr>
          <w:rFonts w:ascii="Book Antiqua" w:hAnsi="Book Antiqua"/>
          <w:vertAlign w:val="superscript"/>
        </w:rPr>
        <w:t>]</w:t>
      </w:r>
      <w:r>
        <w:rPr>
          <w:rFonts w:ascii="Book Antiqua" w:hAnsi="Book Antiqua"/>
        </w:rPr>
        <w:t xml:space="preserve"> reported that HSD17B13 exerts retinol dehydrogenase activity </w:t>
      </w:r>
      <w:r>
        <w:rPr>
          <w:rFonts w:ascii="Book Antiqua" w:hAnsi="Book Antiqua"/>
          <w:i/>
        </w:rPr>
        <w:t>in vitro</w:t>
      </w:r>
      <w:r>
        <w:rPr>
          <w:rFonts w:ascii="Book Antiqua" w:hAnsi="Book Antiqua"/>
        </w:rPr>
        <w:t xml:space="preserve">, which is closely linked to lipid droplets. Indeed, it was observed that </w:t>
      </w:r>
      <w:r>
        <w:rPr>
          <w:rFonts w:ascii="Book Antiqua" w:hAnsi="Book Antiqua"/>
          <w:i/>
        </w:rPr>
        <w:t>HSD17B13</w:t>
      </w:r>
      <w:r>
        <w:rPr>
          <w:rFonts w:ascii="Book Antiqua" w:hAnsi="Book Antiqua"/>
        </w:rPr>
        <w:t xml:space="preserve"> catalyzes the oxidation of retinol to retinaldehyde, the rate-limiting step in all</w:t>
      </w:r>
      <w:r>
        <w:rPr>
          <w:rFonts w:hint="eastAsia" w:ascii="Book Antiqua" w:hAnsi="Book Antiqua"/>
          <w:lang w:eastAsia="zh-CN"/>
        </w:rPr>
        <w:t>-</w:t>
      </w:r>
      <w:r>
        <w:rPr>
          <w:rFonts w:ascii="Book Antiqua" w:hAnsi="Book Antiqua"/>
        </w:rPr>
        <w:t>trans retinoic acid biosynthesis.</w:t>
      </w:r>
    </w:p>
    <w:p>
      <w:pPr>
        <w:adjustRightInd w:val="0"/>
        <w:snapToGrid w:val="0"/>
        <w:spacing w:line="360" w:lineRule="auto"/>
        <w:ind w:firstLine="240" w:firstLineChars="100"/>
        <w:jc w:val="both"/>
        <w:rPr>
          <w:rFonts w:ascii="Book Antiqua" w:hAnsi="Book Antiqua"/>
        </w:rPr>
      </w:pPr>
      <w:r>
        <w:rPr>
          <w:rFonts w:ascii="Book Antiqua" w:hAnsi="Book Antiqua"/>
        </w:rPr>
        <w:t xml:space="preserve">The fact that </w:t>
      </w:r>
      <w:r>
        <w:rPr>
          <w:rFonts w:ascii="Book Antiqua" w:hAnsi="Book Antiqua"/>
          <w:i/>
        </w:rPr>
        <w:t>HSD17B13</w:t>
      </w:r>
      <w:r>
        <w:rPr>
          <w:rFonts w:ascii="Book Antiqua" w:hAnsi="Book Antiqua"/>
        </w:rPr>
        <w:t xml:space="preserve"> is highly abundant in the liver and selectively expressed on the lipid droplet surface suggests a potential critical effect in lipid droplet function, as supported by growing data demonstrating the key role of the </w:t>
      </w:r>
      <w:r>
        <w:rPr>
          <w:rFonts w:ascii="Book Antiqua" w:hAnsi="Book Antiqua"/>
          <w:i/>
        </w:rPr>
        <w:t xml:space="preserve">HSD17B13 </w:t>
      </w:r>
      <w:r>
        <w:rPr>
          <w:rFonts w:ascii="Book Antiqua" w:hAnsi="Book Antiqua"/>
        </w:rPr>
        <w:t>gene in hepatic lipid homeostasis and NAFLD pathogenesis</w:t>
      </w:r>
      <w:r>
        <w:rPr>
          <w:rFonts w:ascii="Book Antiqua" w:hAnsi="Book Antiqua"/>
          <w:vertAlign w:val="superscript"/>
        </w:rPr>
        <w:t>[7</w:t>
      </w:r>
      <w:r>
        <w:rPr>
          <w:rFonts w:hint="eastAsia" w:ascii="Book Antiqua" w:hAnsi="Book Antiqua"/>
          <w:vertAlign w:val="superscript"/>
          <w:lang w:eastAsia="zh-CN"/>
        </w:rPr>
        <w:t>3</w:t>
      </w:r>
      <w:r>
        <w:rPr>
          <w:rFonts w:ascii="Book Antiqua" w:hAnsi="Book Antiqua"/>
          <w:vertAlign w:val="superscript"/>
        </w:rPr>
        <w:t>]</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 xml:space="preserve">In contrast, inactivating variants in the </w:t>
      </w:r>
      <w:r>
        <w:rPr>
          <w:rFonts w:ascii="Book Antiqua" w:hAnsi="Book Antiqua"/>
          <w:i/>
        </w:rPr>
        <w:t>HSD17B13</w:t>
      </w:r>
      <w:r>
        <w:rPr>
          <w:rFonts w:ascii="Book Antiqua" w:hAnsi="Book Antiqua"/>
        </w:rPr>
        <w:t xml:space="preserve"> gene have recently been linked with a reduced risk of chronic liver disease in several studies</w:t>
      </w:r>
      <w:r>
        <w:rPr>
          <w:rFonts w:ascii="Book Antiqua" w:hAnsi="Book Antiqua"/>
          <w:vertAlign w:val="superscript"/>
        </w:rPr>
        <w:t>[63]</w:t>
      </w:r>
      <w:r>
        <w:rPr>
          <w:rFonts w:ascii="Book Antiqua" w:hAnsi="Book Antiqua"/>
        </w:rPr>
        <w:t xml:space="preserve">. In 2018, Abul-Husn </w:t>
      </w:r>
      <w:r>
        <w:rPr>
          <w:rFonts w:ascii="Book Antiqua" w:hAnsi="Book Antiqua"/>
          <w:i/>
        </w:rPr>
        <w:t>et al</w:t>
      </w:r>
      <w:r>
        <w:rPr>
          <w:rFonts w:ascii="Book Antiqua" w:hAnsi="Book Antiqua"/>
          <w:vertAlign w:val="superscript"/>
        </w:rPr>
        <w:t>[7</w:t>
      </w:r>
      <w:r>
        <w:rPr>
          <w:rFonts w:hint="eastAsia" w:ascii="Book Antiqua" w:hAnsi="Book Antiqua"/>
          <w:vertAlign w:val="superscript"/>
          <w:lang w:eastAsia="zh-CN"/>
        </w:rPr>
        <w:t>1</w:t>
      </w:r>
      <w:r>
        <w:rPr>
          <w:rFonts w:ascii="Book Antiqua" w:hAnsi="Book Antiqua"/>
          <w:vertAlign w:val="superscript"/>
        </w:rPr>
        <w:t>]</w:t>
      </w:r>
      <w:r>
        <w:rPr>
          <w:rFonts w:ascii="Book Antiqua" w:hAnsi="Book Antiqua"/>
        </w:rPr>
        <w:t xml:space="preserve"> reported that a loss-of-function variation in the </w:t>
      </w:r>
      <w:r>
        <w:rPr>
          <w:rFonts w:ascii="Book Antiqua" w:hAnsi="Book Antiqua"/>
          <w:i/>
        </w:rPr>
        <w:t xml:space="preserve">HSD17B13 </w:t>
      </w:r>
      <w:r>
        <w:rPr>
          <w:rFonts w:ascii="Book Antiqua" w:hAnsi="Book Antiqua"/>
        </w:rPr>
        <w:t xml:space="preserve">(rs72613567:TA) gene resulting in a truncated protein confers protection against chronic liver damage and attenuates the progression of NAFLD and </w:t>
      </w:r>
      <w:r>
        <w:rPr>
          <w:rFonts w:ascii="Book Antiqua" w:hAnsi="Book Antiqua"/>
          <w:shd w:val="clear" w:color="auto" w:fill="FFFFFF"/>
        </w:rPr>
        <w:t>alcoholic liver disease</w:t>
      </w:r>
      <w:r>
        <w:rPr>
          <w:rFonts w:hint="eastAsia" w:ascii="Book Antiqua" w:hAnsi="Book Antiqua"/>
          <w:shd w:val="clear" w:color="auto" w:fill="FFFFFF"/>
          <w:lang w:eastAsia="zh-CN"/>
        </w:rPr>
        <w:t xml:space="preserve"> (</w:t>
      </w:r>
      <w:r>
        <w:rPr>
          <w:rFonts w:ascii="Book Antiqua" w:hAnsi="Book Antiqua"/>
        </w:rPr>
        <w:t>ALD</w:t>
      </w:r>
      <w:r>
        <w:rPr>
          <w:rFonts w:ascii="Book Antiqua" w:hAnsi="Book Antiqua" w:cs="Helvetica"/>
          <w:color w:val="464E56"/>
          <w:shd w:val="clear" w:color="auto" w:fill="FFFFFF"/>
        </w:rPr>
        <w:t>)</w:t>
      </w:r>
      <w:r>
        <w:rPr>
          <w:rFonts w:hint="eastAsia" w:ascii="Book Antiqua" w:hAnsi="Book Antiqua" w:cs="Helvetica"/>
          <w:color w:val="464E56"/>
          <w:shd w:val="clear" w:color="auto" w:fill="FFFFFF"/>
          <w:lang w:eastAsia="zh-CN"/>
        </w:rPr>
        <w:t xml:space="preserve"> </w:t>
      </w:r>
      <w:r>
        <w:rPr>
          <w:rFonts w:ascii="Book Antiqua" w:hAnsi="Book Antiqua"/>
        </w:rPr>
        <w:t xml:space="preserve">in European Americans through reduced enzymatic activity against several proinflammatory lipid species. </w:t>
      </w:r>
      <w:r>
        <w:rPr>
          <w:rFonts w:ascii="Book Antiqua" w:hAnsi="Book Antiqua"/>
          <w:color w:val="000000"/>
          <w:shd w:val="clear" w:color="auto" w:fill="FFFFFF"/>
        </w:rPr>
        <w:t xml:space="preserve">Sookoian </w:t>
      </w:r>
      <w:r>
        <w:rPr>
          <w:rFonts w:ascii="Book Antiqua" w:hAnsi="Book Antiqua"/>
          <w:i/>
          <w:color w:val="000000"/>
          <w:shd w:val="clear" w:color="auto" w:fill="FFFFFF"/>
        </w:rPr>
        <w:t>et al</w:t>
      </w:r>
      <w:r>
        <w:rPr>
          <w:rFonts w:ascii="Book Antiqua" w:hAnsi="Book Antiqua"/>
          <w:color w:val="000000"/>
          <w:shd w:val="clear" w:color="auto" w:fill="FFFFFF"/>
          <w:vertAlign w:val="superscript"/>
        </w:rPr>
        <w:t>[7</w:t>
      </w:r>
      <w:r>
        <w:rPr>
          <w:rFonts w:hint="eastAsia" w:ascii="Book Antiqua" w:hAnsi="Book Antiqua"/>
          <w:color w:val="000000"/>
          <w:shd w:val="clear" w:color="auto" w:fill="FFFFFF"/>
          <w:vertAlign w:val="superscript"/>
          <w:lang w:eastAsia="zh-CN"/>
        </w:rPr>
        <w:t>4</w:t>
      </w:r>
      <w:r>
        <w:rPr>
          <w:rFonts w:ascii="Book Antiqua" w:hAnsi="Book Antiqua"/>
          <w:color w:val="000000"/>
          <w:shd w:val="clear" w:color="auto" w:fill="FFFFFF"/>
          <w:vertAlign w:val="superscript"/>
        </w:rPr>
        <w:t>]</w:t>
      </w:r>
      <w:r>
        <w:rPr>
          <w:rFonts w:ascii="Book Antiqua" w:hAnsi="Book Antiqua"/>
          <w:color w:val="000000"/>
          <w:shd w:val="clear" w:color="auto" w:fill="FFFFFF"/>
        </w:rPr>
        <w:t xml:space="preserve"> in an exome-wide association study, confirmed that the </w:t>
      </w:r>
      <w:r>
        <w:rPr>
          <w:rFonts w:ascii="Book Antiqua" w:hAnsi="Book Antiqua"/>
          <w:i/>
          <w:color w:val="000000"/>
          <w:shd w:val="clear" w:color="auto" w:fill="FFFFFF"/>
        </w:rPr>
        <w:t>HSD17B13</w:t>
      </w:r>
      <w:r>
        <w:rPr>
          <w:rFonts w:ascii="Book Antiqua" w:hAnsi="Book Antiqua"/>
          <w:color w:val="000000"/>
          <w:shd w:val="clear" w:color="auto" w:fill="FFFFFF"/>
        </w:rPr>
        <w:t xml:space="preserve"> rs72613567 variant had an influence on the susceptibility and histological severity of NAFLD. Furtherm</w:t>
      </w:r>
      <w:r>
        <w:rPr>
          <w:rFonts w:ascii="Book Antiqua" w:hAnsi="Book Antiqua"/>
        </w:rPr>
        <w:t xml:space="preserve">ore, Pirola </w:t>
      </w:r>
      <w:r>
        <w:rPr>
          <w:rFonts w:ascii="Book Antiqua" w:hAnsi="Book Antiqua"/>
          <w:i/>
        </w:rPr>
        <w:t>et al</w:t>
      </w:r>
      <w:r>
        <w:rPr>
          <w:rFonts w:ascii="Book Antiqua" w:hAnsi="Book Antiqua"/>
          <w:vertAlign w:val="superscript"/>
        </w:rPr>
        <w:t>[7</w:t>
      </w:r>
      <w:r>
        <w:rPr>
          <w:rFonts w:hint="eastAsia" w:ascii="Book Antiqua" w:hAnsi="Book Antiqua"/>
          <w:vertAlign w:val="superscript"/>
          <w:lang w:eastAsia="zh-CN"/>
        </w:rPr>
        <w:t>5</w:t>
      </w:r>
      <w:r>
        <w:rPr>
          <w:rFonts w:ascii="Book Antiqua" w:hAnsi="Book Antiqua"/>
          <w:vertAlign w:val="superscript"/>
        </w:rPr>
        <w:t>]</w:t>
      </w:r>
      <w:r>
        <w:rPr>
          <w:rFonts w:ascii="Book Antiqua" w:hAnsi="Book Antiqua"/>
        </w:rPr>
        <w:t xml:space="preserve"> observed a lower risk of progressive NASH in subjects carrying the rs72613567:TA variant compared to non-carriers. </w:t>
      </w:r>
      <w:r>
        <w:rPr>
          <w:rFonts w:ascii="Book Antiqua" w:hAnsi="Book Antiqua"/>
          <w:color w:val="000000"/>
          <w:shd w:val="clear" w:color="auto" w:fill="FFFFFF"/>
        </w:rPr>
        <w:t xml:space="preserve">However, the exact role of </w:t>
      </w:r>
      <w:r>
        <w:rPr>
          <w:rFonts w:ascii="Book Antiqua" w:hAnsi="Book Antiqua"/>
          <w:i/>
          <w:color w:val="000000"/>
          <w:shd w:val="clear" w:color="auto" w:fill="FFFFFF"/>
        </w:rPr>
        <w:t xml:space="preserve">HSD17B13 </w:t>
      </w:r>
      <w:r>
        <w:rPr>
          <w:rFonts w:ascii="Book Antiqua" w:hAnsi="Book Antiqua"/>
          <w:color w:val="000000"/>
          <w:shd w:val="clear" w:color="auto" w:fill="FFFFFF"/>
        </w:rPr>
        <w:t xml:space="preserve">in the NAFLD pathophysiology remains largely uncharacterized. Recently, interesting studies on the inactivation of </w:t>
      </w:r>
      <w:r>
        <w:rPr>
          <w:rFonts w:ascii="Book Antiqua" w:hAnsi="Book Antiqua"/>
          <w:i/>
          <w:color w:val="000000"/>
          <w:shd w:val="clear" w:color="auto" w:fill="FFFFFF"/>
        </w:rPr>
        <w:t>HSD17B13</w:t>
      </w:r>
      <w:r>
        <w:rPr>
          <w:rFonts w:ascii="Book Antiqua" w:hAnsi="Book Antiqua"/>
          <w:color w:val="000000"/>
          <w:shd w:val="clear" w:color="auto" w:fill="FFFFFF"/>
        </w:rPr>
        <w:t xml:space="preserve"> in mice and the identification of an enzymatic active site that metabolizes retinol have been reported</w:t>
      </w:r>
      <w:r>
        <w:rPr>
          <w:rFonts w:ascii="Book Antiqua" w:hAnsi="Book Antiqua"/>
          <w:color w:val="000000"/>
          <w:shd w:val="clear" w:color="auto" w:fill="FFFFFF"/>
          <w:vertAlign w:val="superscript"/>
        </w:rPr>
        <w:t>[7</w:t>
      </w:r>
      <w:r>
        <w:rPr>
          <w:rFonts w:hint="eastAsia" w:ascii="Book Antiqua" w:hAnsi="Book Antiqua"/>
          <w:color w:val="000000"/>
          <w:shd w:val="clear" w:color="auto" w:fill="FFFFFF"/>
          <w:vertAlign w:val="superscript"/>
          <w:lang w:eastAsia="zh-CN"/>
        </w:rPr>
        <w:t>6</w:t>
      </w:r>
      <w:r>
        <w:rPr>
          <w:rFonts w:ascii="Book Antiqua" w:hAnsi="Book Antiqua"/>
          <w:color w:val="000000"/>
          <w:shd w:val="clear" w:color="auto" w:fill="FFFFFF"/>
          <w:vertAlign w:val="superscript"/>
        </w:rPr>
        <w:t>,7</w:t>
      </w:r>
      <w:r>
        <w:rPr>
          <w:rFonts w:hint="eastAsia" w:ascii="Book Antiqua" w:hAnsi="Book Antiqua"/>
          <w:color w:val="000000"/>
          <w:shd w:val="clear" w:color="auto" w:fill="FFFFFF"/>
          <w:vertAlign w:val="superscript"/>
          <w:lang w:eastAsia="zh-CN"/>
        </w:rPr>
        <w:t>7</w:t>
      </w:r>
      <w:r>
        <w:rPr>
          <w:rFonts w:ascii="Book Antiqua" w:hAnsi="Book Antiqua"/>
          <w:color w:val="000000"/>
          <w:shd w:val="clear" w:color="auto" w:fill="FFFFFF"/>
          <w:vertAlign w:val="superscript"/>
        </w:rPr>
        <w:t>]</w:t>
      </w:r>
      <w:r>
        <w:rPr>
          <w:rFonts w:ascii="Book Antiqua" w:hAnsi="Book Antiqua"/>
          <w:color w:val="000000"/>
          <w:shd w:val="clear" w:color="auto" w:fill="FFFFFF"/>
        </w:rPr>
        <w:t>, but pathophysiological evidence on human models is still limited</w:t>
      </w:r>
      <w:r>
        <w:rPr>
          <w:rFonts w:ascii="Book Antiqua" w:hAnsi="Book Antiqua"/>
          <w:color w:val="000000"/>
          <w:shd w:val="clear" w:color="auto" w:fill="FFFFFF"/>
          <w:vertAlign w:val="superscript"/>
        </w:rPr>
        <w:t>[7</w:t>
      </w:r>
      <w:r>
        <w:rPr>
          <w:rFonts w:hint="eastAsia" w:ascii="Book Antiqua" w:hAnsi="Book Antiqua"/>
          <w:color w:val="000000"/>
          <w:shd w:val="clear" w:color="auto" w:fill="FFFFFF"/>
          <w:vertAlign w:val="superscript"/>
          <w:lang w:eastAsia="zh-CN"/>
        </w:rPr>
        <w:t>4</w:t>
      </w:r>
      <w:r>
        <w:rPr>
          <w:rFonts w:ascii="Book Antiqua" w:hAnsi="Book Antiqua"/>
          <w:color w:val="000000"/>
          <w:shd w:val="clear" w:color="auto" w:fill="FFFFFF"/>
          <w:vertAlign w:val="superscript"/>
        </w:rPr>
        <w:t>,7</w:t>
      </w:r>
      <w:r>
        <w:rPr>
          <w:rFonts w:hint="eastAsia" w:ascii="Book Antiqua" w:hAnsi="Book Antiqua"/>
          <w:color w:val="000000"/>
          <w:shd w:val="clear" w:color="auto" w:fill="FFFFFF"/>
          <w:vertAlign w:val="superscript"/>
          <w:lang w:eastAsia="zh-CN"/>
        </w:rPr>
        <w:t>8</w:t>
      </w:r>
      <w:r>
        <w:rPr>
          <w:rFonts w:ascii="Book Antiqua" w:hAnsi="Book Antiqua"/>
          <w:color w:val="000000"/>
          <w:shd w:val="clear" w:color="auto" w:fill="FFFFFF"/>
          <w:vertAlign w:val="superscript"/>
        </w:rPr>
        <w:t>]</w:t>
      </w:r>
      <w:r>
        <w:rPr>
          <w:rFonts w:ascii="Book Antiqua" w:hAnsi="Book Antiqua"/>
          <w:color w:val="000000"/>
          <w:shd w:val="clear" w:color="auto" w:fill="FFFFFF"/>
        </w:rPr>
        <w:t>.</w:t>
      </w:r>
      <w:r>
        <w:rPr>
          <w:rFonts w:ascii="Book Antiqua" w:hAnsi="Book Antiqua"/>
        </w:rPr>
        <w:t xml:space="preserve"> T</w:t>
      </w:r>
      <w:r>
        <w:rPr>
          <w:rFonts w:ascii="Book Antiqua" w:hAnsi="Book Antiqua"/>
          <w:color w:val="000000"/>
          <w:shd w:val="clear" w:color="auto" w:fill="FFFFFF"/>
        </w:rPr>
        <w:t xml:space="preserve">he rs72613567: TA </w:t>
      </w:r>
      <w:r>
        <w:rPr>
          <w:rFonts w:ascii="Book Antiqua" w:hAnsi="Book Antiqua"/>
          <w:i/>
          <w:color w:val="000000"/>
          <w:shd w:val="clear" w:color="auto" w:fill="FFFFFF"/>
        </w:rPr>
        <w:t>HSD17B13</w:t>
      </w:r>
      <w:r>
        <w:rPr>
          <w:rFonts w:ascii="Book Antiqua" w:hAnsi="Book Antiqua"/>
          <w:color w:val="000000"/>
          <w:shd w:val="clear" w:color="auto" w:fill="FFFFFF"/>
        </w:rPr>
        <w:t xml:space="preserve"> variant seems to affect liver by modulating hepatic retinol metabolism and by reducing stellate cell activity</w:t>
      </w:r>
      <w:r>
        <w:rPr>
          <w:rFonts w:ascii="Book Antiqua" w:hAnsi="Book Antiqua"/>
          <w:color w:val="000000"/>
          <w:shd w:val="clear" w:color="auto" w:fill="FFFFFF"/>
          <w:vertAlign w:val="superscript"/>
        </w:rPr>
        <w:t>[7</w:t>
      </w:r>
      <w:r>
        <w:rPr>
          <w:rFonts w:hint="eastAsia" w:ascii="Book Antiqua" w:hAnsi="Book Antiqua"/>
          <w:color w:val="000000"/>
          <w:shd w:val="clear" w:color="auto" w:fill="FFFFFF"/>
          <w:vertAlign w:val="superscript"/>
          <w:lang w:eastAsia="zh-CN"/>
        </w:rPr>
        <w:t>8</w:t>
      </w:r>
      <w:r>
        <w:rPr>
          <w:rFonts w:ascii="Book Antiqua" w:hAnsi="Book Antiqua"/>
          <w:color w:val="000000"/>
          <w:shd w:val="clear" w:color="auto" w:fill="FFFFFF"/>
          <w:vertAlign w:val="superscript"/>
        </w:rPr>
        <w:t>]</w:t>
      </w:r>
      <w:r>
        <w:rPr>
          <w:rFonts w:ascii="Book Antiqua" w:hAnsi="Book Antiqua"/>
          <w:color w:val="000000"/>
          <w:shd w:val="clear" w:color="auto" w:fill="FFFFFF"/>
        </w:rPr>
        <w:t>.</w:t>
      </w:r>
      <w:r>
        <w:rPr>
          <w:rFonts w:ascii="Book Antiqua" w:hAnsi="Book Antiqua"/>
        </w:rPr>
        <w:t xml:space="preserve"> Another study, examining a large adult population, reported a protective role of this variant against various liver diseases such as cirrhosis, and hepatocellular carcinoma (HCC). In particular, </w:t>
      </w:r>
      <w:r>
        <w:rPr>
          <w:rFonts w:ascii="Book Antiqua" w:hAnsi="Book Antiqua"/>
          <w:i/>
        </w:rPr>
        <w:t>HSD17B13</w:t>
      </w:r>
      <w:r>
        <w:rPr>
          <w:rFonts w:ascii="Book Antiqua" w:hAnsi="Book Antiqua"/>
        </w:rPr>
        <w:t xml:space="preserve"> rs72613567 was associated with reduced inflammation and fibrosis, and milder disease severity of NAFLD. Thus, </w:t>
      </w:r>
      <w:r>
        <w:rPr>
          <w:rFonts w:ascii="Book Antiqua" w:hAnsi="Book Antiqua"/>
          <w:i/>
        </w:rPr>
        <w:t xml:space="preserve">HSD17B13 </w:t>
      </w:r>
      <w:r>
        <w:rPr>
          <w:rFonts w:ascii="Book Antiqua" w:hAnsi="Book Antiqua"/>
        </w:rPr>
        <w:t>rs72613567 represents an important protective factor in distinct liver diseases (including ALD, cirrhosis, and HCC) and seems to be associated with milder histological progression of NAFLD</w:t>
      </w:r>
      <w:r>
        <w:rPr>
          <w:rFonts w:ascii="Book Antiqua" w:hAnsi="Book Antiqua"/>
          <w:vertAlign w:val="superscript"/>
        </w:rPr>
        <w:t>[</w:t>
      </w:r>
      <w:r>
        <w:rPr>
          <w:rFonts w:hint="eastAsia" w:ascii="Book Antiqua" w:hAnsi="Book Antiqua"/>
          <w:vertAlign w:val="superscript"/>
          <w:lang w:eastAsia="zh-CN"/>
        </w:rPr>
        <w:t>79</w:t>
      </w:r>
      <w:r>
        <w:rPr>
          <w:rFonts w:ascii="Book Antiqua" w:hAnsi="Book Antiqua"/>
          <w:vertAlign w:val="superscript"/>
        </w:rPr>
        <w:t>,8</w:t>
      </w:r>
      <w:r>
        <w:rPr>
          <w:rFonts w:hint="eastAsia" w:ascii="Book Antiqua" w:hAnsi="Book Antiqua"/>
          <w:vertAlign w:val="superscript"/>
          <w:lang w:eastAsia="zh-CN"/>
        </w:rPr>
        <w:t>0</w:t>
      </w:r>
      <w:r>
        <w:rPr>
          <w:rFonts w:ascii="Book Antiqua" w:hAnsi="Book Antiqua"/>
          <w:vertAlign w:val="superscript"/>
        </w:rPr>
        <w:t>]</w:t>
      </w:r>
      <w:r>
        <w:rPr>
          <w:rFonts w:ascii="Book Antiqua" w:hAnsi="Book Antiqua"/>
        </w:rPr>
        <w:t xml:space="preserve">. In 2019, Yang </w:t>
      </w:r>
      <w:r>
        <w:rPr>
          <w:rFonts w:hint="eastAsia" w:ascii="Book Antiqua" w:hAnsi="Book Antiqua"/>
          <w:i/>
          <w:lang w:eastAsia="zh-CN"/>
        </w:rPr>
        <w:t>e</w:t>
      </w:r>
      <w:r>
        <w:rPr>
          <w:rFonts w:ascii="Book Antiqua" w:hAnsi="Book Antiqua"/>
          <w:i/>
        </w:rPr>
        <w:t>t al</w:t>
      </w:r>
      <w:r>
        <w:rPr>
          <w:rFonts w:ascii="Book Antiqua" w:hAnsi="Book Antiqua"/>
          <w:vertAlign w:val="superscript"/>
        </w:rPr>
        <w:t>[8</w:t>
      </w:r>
      <w:r>
        <w:rPr>
          <w:rFonts w:hint="eastAsia" w:ascii="Book Antiqua" w:hAnsi="Book Antiqua"/>
          <w:vertAlign w:val="superscript"/>
          <w:lang w:eastAsia="zh-CN"/>
        </w:rPr>
        <w:t>1</w:t>
      </w:r>
      <w:r>
        <w:rPr>
          <w:rFonts w:ascii="Book Antiqua" w:hAnsi="Book Antiqua"/>
          <w:vertAlign w:val="superscript"/>
        </w:rPr>
        <w:t>]</w:t>
      </w:r>
      <w:r>
        <w:rPr>
          <w:rFonts w:ascii="Book Antiqua" w:hAnsi="Book Antiqua"/>
        </w:rPr>
        <w:t xml:space="preserve"> in a multicenter European study of a total of 3315 patients with or without HCC but with chronic liver disease, reported that the </w:t>
      </w:r>
      <w:r>
        <w:rPr>
          <w:rFonts w:ascii="Book Antiqua" w:hAnsi="Book Antiqua"/>
          <w:i/>
        </w:rPr>
        <w:t>HSD17B13</w:t>
      </w:r>
      <w:r>
        <w:rPr>
          <w:rFonts w:ascii="Book Antiqua" w:hAnsi="Book Antiqua"/>
        </w:rPr>
        <w:t xml:space="preserve"> loss-of-function variant rs72613567 is protective of HCC development in patients with ALD. Taken together, these findings suggested the potential therapeutic role of the </w:t>
      </w:r>
      <w:r>
        <w:rPr>
          <w:rFonts w:ascii="Book Antiqua" w:hAnsi="Book Antiqua"/>
          <w:i/>
        </w:rPr>
        <w:t>HSD17B13</w:t>
      </w:r>
      <w:r>
        <w:rPr>
          <w:rFonts w:ascii="Book Antiqua" w:hAnsi="Book Antiqua"/>
        </w:rPr>
        <w:t xml:space="preserve"> inhibition</w:t>
      </w:r>
      <w:r>
        <w:rPr>
          <w:rFonts w:ascii="Book Antiqua" w:hAnsi="Book Antiqua"/>
          <w:vertAlign w:val="superscript"/>
        </w:rPr>
        <w:t>[</w:t>
      </w:r>
      <w:r>
        <w:rPr>
          <w:rFonts w:hint="eastAsia" w:ascii="Book Antiqua" w:hAnsi="Book Antiqua"/>
          <w:vertAlign w:val="superscript"/>
          <w:lang w:eastAsia="zh-CN"/>
        </w:rPr>
        <w:t>79</w:t>
      </w:r>
      <w:r>
        <w:rPr>
          <w:rFonts w:ascii="Book Antiqua" w:hAnsi="Book Antiqua"/>
          <w:vertAlign w:val="superscript"/>
        </w:rPr>
        <w:t>]</w:t>
      </w:r>
      <w:r>
        <w:rPr>
          <w:rFonts w:ascii="Book Antiqua" w:hAnsi="Book Antiqua"/>
        </w:rPr>
        <w:t xml:space="preserve"> in patients at high risk for liver diseases. The rs72613567 variant also appears to interact with PNPLA3 I148M through the additional </w:t>
      </w:r>
      <w:r>
        <w:rPr>
          <w:rFonts w:ascii="Book Antiqua" w:hAnsi="Book Antiqua"/>
          <w:i/>
        </w:rPr>
        <w:t>HSD17B13</w:t>
      </w:r>
      <w:r>
        <w:rPr>
          <w:rFonts w:ascii="Book Antiqua" w:hAnsi="Book Antiqua"/>
        </w:rPr>
        <w:t xml:space="preserve"> TA alleles that reduce the effect of the additional </w:t>
      </w:r>
      <w:r>
        <w:rPr>
          <w:rFonts w:ascii="Book Antiqua" w:hAnsi="Book Antiqua"/>
          <w:i/>
        </w:rPr>
        <w:t>PNPLA3</w:t>
      </w:r>
      <w:r>
        <w:rPr>
          <w:rFonts w:ascii="Book Antiqua" w:hAnsi="Book Antiqua"/>
        </w:rPr>
        <w:t xml:space="preserve"> I148M alleles on serum ALT levels. It also mitigated liver damage in individuals genetically predisposed to hepatic steatosis by </w:t>
      </w:r>
      <w:r>
        <w:rPr>
          <w:rFonts w:ascii="Book Antiqua" w:hAnsi="Book Antiqua"/>
          <w:i/>
        </w:rPr>
        <w:t>PNPLA3</w:t>
      </w:r>
      <w:r>
        <w:rPr>
          <w:rFonts w:ascii="Book Antiqua" w:hAnsi="Book Antiqua"/>
        </w:rPr>
        <w:t xml:space="preserve"> I148M</w:t>
      </w:r>
      <w:r>
        <w:rPr>
          <w:rFonts w:ascii="Book Antiqua" w:hAnsi="Book Antiqua"/>
          <w:vertAlign w:val="superscript"/>
        </w:rPr>
        <w:t>[7</w:t>
      </w:r>
      <w:r>
        <w:rPr>
          <w:rFonts w:hint="eastAsia" w:ascii="Book Antiqua" w:hAnsi="Book Antiqua"/>
          <w:vertAlign w:val="superscript"/>
          <w:lang w:eastAsia="zh-CN"/>
        </w:rPr>
        <w:t>1</w:t>
      </w:r>
      <w:r>
        <w:rPr>
          <w:rFonts w:ascii="Book Antiqua" w:hAnsi="Book Antiqua"/>
          <w:vertAlign w:val="superscript"/>
        </w:rPr>
        <w:t>]</w:t>
      </w:r>
      <w:r>
        <w:rPr>
          <w:rFonts w:ascii="Book Antiqua" w:hAnsi="Book Antiqua"/>
        </w:rPr>
        <w:t xml:space="preserve">. The protective effect of the rs72613567:TA </w:t>
      </w:r>
      <w:r>
        <w:rPr>
          <w:rFonts w:ascii="Book Antiqua" w:hAnsi="Book Antiqua"/>
          <w:i/>
        </w:rPr>
        <w:t>HSD17B13</w:t>
      </w:r>
      <w:r>
        <w:rPr>
          <w:rFonts w:ascii="Book Antiqua" w:hAnsi="Book Antiqua"/>
        </w:rPr>
        <w:t xml:space="preserve"> variant in reducing liver damage has also been observed in children</w:t>
      </w:r>
      <w:r>
        <w:rPr>
          <w:rFonts w:ascii="Book Antiqua" w:hAnsi="Book Antiqua"/>
          <w:vertAlign w:val="superscript"/>
        </w:rPr>
        <w:t>[17]</w:t>
      </w:r>
      <w:r>
        <w:rPr>
          <w:rFonts w:ascii="Book Antiqua" w:hAnsi="Book Antiqua"/>
        </w:rPr>
        <w:t xml:space="preserve">. By analyzing a large cohort of Italian obese children, carriers of the </w:t>
      </w:r>
      <w:r>
        <w:rPr>
          <w:rFonts w:ascii="Book Antiqua" w:hAnsi="Book Antiqua"/>
          <w:i/>
        </w:rPr>
        <w:t xml:space="preserve">HSD17B13 </w:t>
      </w:r>
      <w:r>
        <w:rPr>
          <w:rFonts w:ascii="Book Antiqua" w:hAnsi="Book Antiqua"/>
        </w:rPr>
        <w:t xml:space="preserve">variant showed lower NAFLD risk than noncarriers. It is noteworthy that this variant was found to protect against liver damage even among patients stratified on the basis of the number of the steatogenic alleles of the three major NAFLD risk polymorphisms (such as </w:t>
      </w:r>
      <w:r>
        <w:rPr>
          <w:rFonts w:ascii="Book Antiqua" w:hAnsi="Book Antiqua"/>
          <w:i/>
        </w:rPr>
        <w:t xml:space="preserve">PNPLA3, TM6SF2, </w:t>
      </w:r>
      <w:r>
        <w:rPr>
          <w:rFonts w:ascii="Book Antiqua" w:hAnsi="Book Antiqua"/>
        </w:rPr>
        <w:t>and</w:t>
      </w:r>
      <w:r>
        <w:rPr>
          <w:rFonts w:ascii="Book Antiqua" w:hAnsi="Book Antiqua"/>
          <w:i/>
        </w:rPr>
        <w:t xml:space="preserve"> MBOAT7</w:t>
      </w:r>
      <w:r>
        <w:rPr>
          <w:rFonts w:ascii="Book Antiqua" w:hAnsi="Book Antiqua"/>
        </w:rPr>
        <w:t>genes). More interestingly, recent pediatric evidence</w:t>
      </w:r>
      <w:r>
        <w:rPr>
          <w:rFonts w:ascii="Book Antiqua" w:hAnsi="Book Antiqua"/>
          <w:vertAlign w:val="superscript"/>
        </w:rPr>
        <w:t>[47,48,8</w:t>
      </w:r>
      <w:r>
        <w:rPr>
          <w:rFonts w:hint="eastAsia" w:ascii="Book Antiqua" w:hAnsi="Book Antiqua"/>
          <w:vertAlign w:val="superscript"/>
          <w:lang w:eastAsia="zh-CN"/>
        </w:rPr>
        <w:t>2</w:t>
      </w:r>
      <w:r>
        <w:rPr>
          <w:rFonts w:ascii="Book Antiqua" w:hAnsi="Book Antiqua"/>
          <w:vertAlign w:val="superscript"/>
        </w:rPr>
        <w:t>]</w:t>
      </w:r>
      <w:r>
        <w:rPr>
          <w:rFonts w:ascii="Book Antiqua" w:hAnsi="Book Antiqua"/>
        </w:rPr>
        <w:t xml:space="preserve"> showed a similar protective effect of this gene also on renal function, by supposing its role in retinol metabolism through modulation of both inflammation and fibrogenesis. Another variant (rs143404524) in the </w:t>
      </w:r>
      <w:r>
        <w:rPr>
          <w:rFonts w:ascii="Book Antiqua" w:hAnsi="Book Antiqua"/>
          <w:i/>
        </w:rPr>
        <w:t>HSD17B13</w:t>
      </w:r>
      <w:r>
        <w:rPr>
          <w:rFonts w:ascii="Book Antiqua" w:hAnsi="Book Antiqua"/>
        </w:rPr>
        <w:t xml:space="preserve"> gene, resulting in a truncated protein has also been associated with a reduced risk of chronic liver disease in the adult population</w:t>
      </w:r>
      <w:r>
        <w:rPr>
          <w:rFonts w:ascii="Book Antiqua" w:hAnsi="Book Antiqua"/>
          <w:vertAlign w:val="superscript"/>
        </w:rPr>
        <w:t>[8</w:t>
      </w:r>
      <w:r>
        <w:rPr>
          <w:rFonts w:hint="eastAsia" w:ascii="Book Antiqua" w:hAnsi="Book Antiqua"/>
          <w:vertAlign w:val="superscript"/>
          <w:lang w:eastAsia="zh-CN"/>
        </w:rPr>
        <w:t>3</w:t>
      </w:r>
      <w:r>
        <w:rPr>
          <w:rFonts w:ascii="Book Antiqua" w:hAnsi="Book Antiqua"/>
          <w:vertAlign w:val="superscript"/>
        </w:rPr>
        <w:t>]</w:t>
      </w:r>
      <w:r>
        <w:rPr>
          <w:rFonts w:ascii="Book Antiqua" w:hAnsi="Book Antiqua"/>
        </w:rPr>
        <w:t xml:space="preserve">. Finally, it has also been demonstrated that the rs62305723 variant of the </w:t>
      </w:r>
      <w:r>
        <w:rPr>
          <w:rFonts w:ascii="Book Antiqua" w:hAnsi="Book Antiqua"/>
          <w:i/>
        </w:rPr>
        <w:t xml:space="preserve">HSD17B13 </w:t>
      </w:r>
      <w:r>
        <w:rPr>
          <w:rFonts w:ascii="Book Antiqua" w:hAnsi="Book Antiqua"/>
        </w:rPr>
        <w:t>gene, a missense variant that confers loss of enzyme activity was associated with decreased steatohepatitis</w:t>
      </w:r>
      <w:r>
        <w:rPr>
          <w:rFonts w:ascii="Book Antiqua" w:hAnsi="Book Antiqua"/>
          <w:vertAlign w:val="superscript"/>
        </w:rPr>
        <w:t>[7</w:t>
      </w:r>
      <w:r>
        <w:rPr>
          <w:rFonts w:hint="eastAsia" w:ascii="Book Antiqua" w:hAnsi="Book Antiqua"/>
          <w:vertAlign w:val="superscript"/>
          <w:lang w:eastAsia="zh-CN"/>
        </w:rPr>
        <w:t>2</w:t>
      </w:r>
      <w:r>
        <w:rPr>
          <w:rFonts w:ascii="Book Antiqua" w:hAnsi="Book Antiqua"/>
          <w:vertAlign w:val="superscript"/>
        </w:rPr>
        <w:t>]</w:t>
      </w:r>
      <w:r>
        <w:rPr>
          <w:rFonts w:ascii="Book Antiqua" w:hAnsi="Book Antiqua"/>
        </w:rPr>
        <w:t xml:space="preserve">. In conclusion, the </w:t>
      </w:r>
      <w:r>
        <w:rPr>
          <w:rFonts w:ascii="Book Antiqua" w:hAnsi="Book Antiqua"/>
          <w:i/>
        </w:rPr>
        <w:t>HSD17B13</w:t>
      </w:r>
      <w:r>
        <w:rPr>
          <w:rFonts w:ascii="Book Antiqua" w:hAnsi="Book Antiqua"/>
        </w:rPr>
        <w:t xml:space="preserve"> gene represents a well-known genetic factor with a protective role against liver damage both in adults and children</w:t>
      </w:r>
      <w:r>
        <w:rPr>
          <w:rFonts w:ascii="Book Antiqua" w:hAnsi="Book Antiqua"/>
          <w:vertAlign w:val="superscript"/>
        </w:rPr>
        <w:t>[6</w:t>
      </w:r>
      <w:r>
        <w:rPr>
          <w:rFonts w:hint="eastAsia" w:ascii="Book Antiqua" w:hAnsi="Book Antiqua"/>
          <w:vertAlign w:val="superscript"/>
          <w:lang w:eastAsia="zh-CN"/>
        </w:rPr>
        <w:t>8</w:t>
      </w:r>
      <w:r>
        <w:rPr>
          <w:rFonts w:ascii="Book Antiqua" w:hAnsi="Book Antiqua"/>
          <w:vertAlign w:val="superscript"/>
        </w:rPr>
        <w:t>]</w:t>
      </w:r>
      <w:r>
        <w:rPr>
          <w:rFonts w:ascii="Book Antiqua" w:hAnsi="Book Antiqua"/>
        </w:rPr>
        <w:t xml:space="preserve"> that might be considered an important pharmacological target for NAFLD treatment</w:t>
      </w:r>
      <w:r>
        <w:rPr>
          <w:rFonts w:ascii="Book Antiqua" w:hAnsi="Book Antiqua"/>
          <w:vertAlign w:val="superscript"/>
        </w:rPr>
        <w:t>[17,8</w:t>
      </w:r>
      <w:r>
        <w:rPr>
          <w:rFonts w:hint="eastAsia" w:ascii="Book Antiqua" w:hAnsi="Book Antiqua"/>
          <w:vertAlign w:val="superscript"/>
          <w:lang w:eastAsia="zh-CN"/>
        </w:rPr>
        <w:t>4</w:t>
      </w:r>
      <w:r>
        <w:rPr>
          <w:rFonts w:ascii="Book Antiqua" w:hAnsi="Book Antiqua"/>
          <w:vertAlign w:val="superscript"/>
        </w:rPr>
        <w:t>]</w:t>
      </w:r>
      <w:r>
        <w:rPr>
          <w:rFonts w:ascii="Book Antiqua" w:hAnsi="Book Antiqua"/>
        </w:rPr>
        <w:t xml:space="preserve">. </w:t>
      </w:r>
    </w:p>
    <w:p>
      <w:pPr>
        <w:adjustRightInd w:val="0"/>
        <w:snapToGrid w:val="0"/>
        <w:spacing w:line="360" w:lineRule="auto"/>
        <w:jc w:val="both"/>
        <w:rPr>
          <w:rFonts w:ascii="Book Antiqua" w:hAnsi="Book Antiqua"/>
          <w:b/>
          <w:bCs/>
          <w:lang w:eastAsia="zh-CN"/>
        </w:rPr>
      </w:pPr>
    </w:p>
    <w:p>
      <w:pPr>
        <w:adjustRightInd w:val="0"/>
        <w:snapToGrid w:val="0"/>
        <w:spacing w:line="360" w:lineRule="auto"/>
        <w:jc w:val="both"/>
        <w:rPr>
          <w:rFonts w:ascii="Book Antiqua" w:hAnsi="Book Antiqua"/>
          <w:b/>
          <w:bCs/>
          <w:u w:val="single"/>
        </w:rPr>
      </w:pPr>
      <w:r>
        <w:rPr>
          <w:rFonts w:ascii="Book Antiqua" w:hAnsi="Book Antiqua"/>
          <w:b/>
          <w:bCs/>
          <w:u w:val="single"/>
        </w:rPr>
        <w:t xml:space="preserve">NAFLD AND THE “GUT-LIVER AXIS” </w:t>
      </w:r>
    </w:p>
    <w:p>
      <w:pPr>
        <w:adjustRightInd w:val="0"/>
        <w:snapToGrid w:val="0"/>
        <w:spacing w:line="360" w:lineRule="auto"/>
        <w:jc w:val="both"/>
        <w:rPr>
          <w:rFonts w:ascii="Book Antiqua" w:hAnsi="Book Antiqua"/>
          <w:b/>
          <w:bCs/>
        </w:rPr>
      </w:pPr>
      <w:r>
        <w:rPr>
          <w:rFonts w:ascii="Book Antiqua" w:hAnsi="Book Antiqua"/>
          <w:bCs/>
        </w:rPr>
        <w:t>Recently</w:t>
      </w:r>
      <w:r>
        <w:rPr>
          <w:rFonts w:ascii="Book Antiqua" w:hAnsi="Book Antiqua"/>
        </w:rPr>
        <w:t xml:space="preserve">, compelling evidence has supported the close and interdependent relationship between the liver and gut axis in the pathogenesis of numerous chronic liver diseases such as chronic hepatitis B and C, ALD, NAFLD, NASH, development of liver cirrhosis, and HCC (Figure </w:t>
      </w:r>
      <w:r>
        <w:rPr>
          <w:rFonts w:hint="eastAsia" w:ascii="Book Antiqua" w:hAnsi="Book Antiqua"/>
          <w:lang w:eastAsia="zh-CN"/>
        </w:rPr>
        <w:t>1</w:t>
      </w:r>
      <w:r>
        <w:rPr>
          <w:rFonts w:ascii="Book Antiqua" w:hAnsi="Book Antiqua"/>
        </w:rPr>
        <w:t>).</w:t>
      </w:r>
    </w:p>
    <w:p>
      <w:pPr>
        <w:adjustRightInd w:val="0"/>
        <w:snapToGrid w:val="0"/>
        <w:spacing w:line="360" w:lineRule="auto"/>
        <w:ind w:firstLine="240" w:firstLineChars="100"/>
        <w:jc w:val="both"/>
        <w:rPr>
          <w:rFonts w:ascii="Book Antiqua" w:hAnsi="Book Antiqua"/>
          <w:b/>
          <w:bCs/>
          <w:lang w:eastAsia="zh-CN"/>
        </w:rPr>
      </w:pPr>
      <w:r>
        <w:rPr>
          <w:rFonts w:ascii="Book Antiqua" w:hAnsi="Book Antiqua"/>
        </w:rPr>
        <w:t xml:space="preserve">Bäckhed </w:t>
      </w:r>
      <w:r>
        <w:rPr>
          <w:rFonts w:ascii="Book Antiqua" w:hAnsi="Book Antiqua"/>
          <w:i/>
        </w:rPr>
        <w:t>et al</w:t>
      </w:r>
      <w:r>
        <w:rPr>
          <w:rFonts w:ascii="Book Antiqua" w:hAnsi="Book Antiqua"/>
          <w:vertAlign w:val="superscript"/>
        </w:rPr>
        <w:t>[8</w:t>
      </w:r>
      <w:r>
        <w:rPr>
          <w:rFonts w:hint="eastAsia" w:ascii="Book Antiqua" w:hAnsi="Book Antiqua"/>
          <w:vertAlign w:val="superscript"/>
          <w:lang w:eastAsia="zh-CN"/>
        </w:rPr>
        <w:t>5</w:t>
      </w:r>
      <w:r>
        <w:rPr>
          <w:rFonts w:ascii="Book Antiqua" w:hAnsi="Book Antiqua"/>
          <w:vertAlign w:val="superscript"/>
        </w:rPr>
        <w:t>]</w:t>
      </w:r>
      <w:r>
        <w:rPr>
          <w:rFonts w:ascii="Book Antiqua" w:hAnsi="Book Antiqua"/>
        </w:rPr>
        <w:t xml:space="preserve"> for the first time described the role of gut microbiota in the context of NAFLD and obesity, taking part in the processes of absorption and storage of energy but also in the production of triglycerides, responsible for the infiltration of hepatocytes.</w:t>
      </w:r>
    </w:p>
    <w:p>
      <w:pPr>
        <w:adjustRightInd w:val="0"/>
        <w:snapToGrid w:val="0"/>
        <w:spacing w:line="360" w:lineRule="auto"/>
        <w:ind w:firstLine="240" w:firstLineChars="100"/>
        <w:jc w:val="both"/>
        <w:rPr>
          <w:rFonts w:ascii="Book Antiqua" w:hAnsi="Book Antiqua"/>
        </w:rPr>
      </w:pPr>
      <w:r>
        <w:rPr>
          <w:rFonts w:ascii="Book Antiqua" w:hAnsi="Book Antiqua"/>
        </w:rPr>
        <w:t>Crosstalk between the liver and gut occurs by means of the biliary tract, portal vein and systemic mediators</w:t>
      </w:r>
      <w:r>
        <w:rPr>
          <w:rFonts w:ascii="Book Antiqua" w:hAnsi="Book Antiqua"/>
          <w:vertAlign w:val="superscript"/>
        </w:rPr>
        <w:t>[8</w:t>
      </w:r>
      <w:r>
        <w:rPr>
          <w:rFonts w:hint="eastAsia" w:ascii="Book Antiqua" w:hAnsi="Book Antiqua"/>
          <w:vertAlign w:val="superscript"/>
          <w:lang w:eastAsia="zh-CN"/>
        </w:rPr>
        <w:t>6</w:t>
      </w:r>
      <w:r>
        <w:rPr>
          <w:rFonts w:ascii="Book Antiqua" w:hAnsi="Book Antiqua"/>
          <w:vertAlign w:val="superscript"/>
        </w:rPr>
        <w:t>]</w:t>
      </w:r>
      <w:r>
        <w:rPr>
          <w:rFonts w:ascii="Book Antiqua" w:hAnsi="Book Antiqua"/>
        </w:rPr>
        <w:t>. The liver contributes to the maintenance of gut eubiosis through the transport of bile salts and antimicrobial molecules to the intestinal lumen. Conversely, the gut regulates bile acids (BAs) composition. In addition, BAs using farnesoid X receptor (FXR) in the enterocytes and G protein-coupled bile acid receptor 1 (also known as TGR5) are involved in the regulation of glucose and lipid metabolism, anti-inflammatory immune responses and host energy expenditure</w:t>
      </w:r>
      <w:r>
        <w:rPr>
          <w:rFonts w:ascii="Book Antiqua" w:hAnsi="Book Antiqua"/>
          <w:vertAlign w:val="superscript"/>
        </w:rPr>
        <w:t>[8</w:t>
      </w:r>
      <w:r>
        <w:rPr>
          <w:rFonts w:hint="eastAsia" w:ascii="Book Antiqua" w:hAnsi="Book Antiqua"/>
          <w:vertAlign w:val="superscript"/>
          <w:lang w:eastAsia="zh-CN"/>
        </w:rPr>
        <w:t>7</w:t>
      </w:r>
      <w:r>
        <w:rPr>
          <w:rFonts w:ascii="Book Antiqua" w:hAnsi="Book Antiqua"/>
          <w:vertAlign w:val="superscript"/>
        </w:rPr>
        <w:t>-9</w:t>
      </w:r>
      <w:r>
        <w:rPr>
          <w:rFonts w:hint="eastAsia" w:ascii="Book Antiqua" w:hAnsi="Book Antiqua"/>
          <w:vertAlign w:val="superscript"/>
          <w:lang w:eastAsia="zh-CN"/>
        </w:rPr>
        <w:t>1</w:t>
      </w:r>
      <w:r>
        <w:rPr>
          <w:rFonts w:ascii="Book Antiqua" w:hAnsi="Book Antiqua"/>
          <w:vertAlign w:val="superscript"/>
        </w:rPr>
        <w:t>]</w:t>
      </w:r>
      <w:r>
        <w:rPr>
          <w:rFonts w:ascii="Book Antiqua" w:hAnsi="Book Antiqua"/>
        </w:rPr>
        <w:t>. Furthermore, the gut through secretion of the incretin hormones glucagon-like peptide-1 (GLP-1) and glucose-dependent insulinotropic peptide influences the pancreas in regulating both insulin and glucagon secretion</w:t>
      </w:r>
      <w:r>
        <w:rPr>
          <w:rFonts w:ascii="Book Antiqua" w:hAnsi="Book Antiqua"/>
          <w:vertAlign w:val="superscript"/>
        </w:rPr>
        <w:t>[9</w:t>
      </w:r>
      <w:r>
        <w:rPr>
          <w:rFonts w:hint="eastAsia" w:ascii="Book Antiqua" w:hAnsi="Book Antiqua"/>
          <w:vertAlign w:val="superscript"/>
          <w:lang w:eastAsia="zh-CN"/>
        </w:rPr>
        <w:t>2</w:t>
      </w:r>
      <w:r>
        <w:rPr>
          <w:rFonts w:ascii="Book Antiqua" w:hAnsi="Book Antiqua"/>
          <w:vertAlign w:val="superscript"/>
        </w:rPr>
        <w:t>]</w:t>
      </w:r>
      <w:r>
        <w:rPr>
          <w:rFonts w:ascii="Book Antiqua" w:hAnsi="Book Antiqua"/>
        </w:rPr>
        <w:t>. Moreover, GLP-1 interaction with its receptor (also located on the hepatocytes) results in reduced hepatic fat deposition and IR. Finally, it promotes energy expenditure and peripheral utilization of triglycerides for energy production</w:t>
      </w:r>
      <w:r>
        <w:rPr>
          <w:rFonts w:ascii="Book Antiqua" w:hAnsi="Book Antiqua"/>
          <w:vertAlign w:val="superscript"/>
        </w:rPr>
        <w:t>[9</w:t>
      </w:r>
      <w:r>
        <w:rPr>
          <w:rFonts w:hint="eastAsia" w:ascii="Book Antiqua" w:hAnsi="Book Antiqua"/>
          <w:vertAlign w:val="superscript"/>
          <w:lang w:eastAsia="zh-CN"/>
        </w:rPr>
        <w:t>3</w:t>
      </w:r>
      <w:r>
        <w:rPr>
          <w:rFonts w:ascii="Book Antiqua" w:hAnsi="Book Antiqua"/>
          <w:vertAlign w:val="superscript"/>
        </w:rPr>
        <w:t>]</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BAs synthesis is regulated by two hepatic methods:</w:t>
      </w:r>
      <w:r>
        <w:rPr>
          <w:rFonts w:hint="eastAsia" w:ascii="Book Antiqua" w:hAnsi="Book Antiqua"/>
          <w:lang w:eastAsia="zh-CN"/>
        </w:rPr>
        <w:t xml:space="preserve"> </w:t>
      </w:r>
      <w:r>
        <w:rPr>
          <w:rFonts w:ascii="Book Antiqua" w:hAnsi="Book Antiqua"/>
        </w:rPr>
        <w:t>the enterohepatic circulation (with a subsequent negative feedback loop on the expression of CYP7A1) and FGF19,</w:t>
      </w:r>
      <w:r>
        <w:rPr>
          <w:rFonts w:hint="eastAsia" w:ascii="Book Antiqua" w:hAnsi="Book Antiqua"/>
          <w:lang w:eastAsia="zh-CN"/>
        </w:rPr>
        <w:t xml:space="preserve"> </w:t>
      </w:r>
      <w:r>
        <w:rPr>
          <w:rFonts w:ascii="Book Antiqua" w:hAnsi="Book Antiqua"/>
        </w:rPr>
        <w:t xml:space="preserve">(derived from the activation of FXR by BAs in the ileum and has an inhibitory effect on </w:t>
      </w:r>
      <w:r>
        <w:rPr>
          <w:rFonts w:ascii="Book Antiqua" w:hAnsi="Book Antiqua"/>
          <w:i/>
        </w:rPr>
        <w:t>CYP7A1</w:t>
      </w:r>
      <w:r>
        <w:rPr>
          <w:rFonts w:ascii="Book Antiqua" w:hAnsi="Book Antiqua"/>
        </w:rPr>
        <w:t xml:space="preserve"> gene</w:t>
      </w:r>
      <w:r>
        <w:rPr>
          <w:rFonts w:ascii="Book Antiqua" w:hAnsi="Book Antiqua"/>
          <w:vertAlign w:val="superscript"/>
        </w:rPr>
        <w:t>[9</w:t>
      </w:r>
      <w:r>
        <w:rPr>
          <w:rFonts w:hint="eastAsia" w:ascii="Book Antiqua" w:hAnsi="Book Antiqua"/>
          <w:vertAlign w:val="superscript"/>
          <w:lang w:eastAsia="zh-CN"/>
        </w:rPr>
        <w:t>4</w:t>
      </w:r>
      <w:r>
        <w:rPr>
          <w:rFonts w:ascii="Book Antiqua" w:hAnsi="Book Antiqua"/>
          <w:vertAlign w:val="superscript"/>
        </w:rPr>
        <w:t>]</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Impaired FXR-FGF19 signaling and elevated circulating BA levels were described both in children and adults with NAFLD. However, experimental therapeutic interventions targeting BA signaling with FXR agonists (obeticholic acid) have produced contradictory results</w:t>
      </w:r>
      <w:r>
        <w:rPr>
          <w:rFonts w:ascii="Book Antiqua" w:hAnsi="Book Antiqua"/>
          <w:vertAlign w:val="superscript"/>
        </w:rPr>
        <w:t>[9</w:t>
      </w:r>
      <w:r>
        <w:rPr>
          <w:rFonts w:hint="eastAsia" w:ascii="Book Antiqua" w:hAnsi="Book Antiqua"/>
          <w:vertAlign w:val="superscript"/>
          <w:lang w:eastAsia="zh-CN"/>
        </w:rPr>
        <w:t>5</w:t>
      </w:r>
      <w:r>
        <w:rPr>
          <w:rFonts w:ascii="Book Antiqua" w:hAnsi="Book Antiqua"/>
          <w:vertAlign w:val="superscript"/>
        </w:rPr>
        <w:t>]</w:t>
      </w:r>
      <w:r>
        <w:rPr>
          <w:rFonts w:ascii="Book Antiqua" w:hAnsi="Book Antiqua"/>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Some differences were reported in the composition of gut microbiota (</w:t>
      </w:r>
      <w:r>
        <w:rPr>
          <w:rFonts w:ascii="Book Antiqua" w:hAnsi="Book Antiqua"/>
          <w:i/>
        </w:rPr>
        <w:t>i.e.</w:t>
      </w:r>
      <w:r>
        <w:rPr>
          <w:rFonts w:ascii="Book Antiqua" w:hAnsi="Book Antiqua"/>
        </w:rPr>
        <w:t xml:space="preserve"> dysbiosis) in healthy controls than in subjects with simple fatty liver disease (</w:t>
      </w:r>
      <w:bookmarkStart w:id="34" w:name="OLE_LINK37"/>
      <w:bookmarkStart w:id="35" w:name="OLE_LINK38"/>
      <w:r>
        <w:rPr>
          <w:rFonts w:ascii="Book Antiqua" w:hAnsi="Book Antiqua"/>
        </w:rPr>
        <w:t>FLD</w:t>
      </w:r>
      <w:bookmarkEnd w:id="34"/>
      <w:bookmarkEnd w:id="35"/>
      <w:r>
        <w:rPr>
          <w:rFonts w:ascii="Book Antiqua" w:hAnsi="Book Antiqua"/>
        </w:rPr>
        <w:t>) and NASH</w:t>
      </w:r>
      <w:r>
        <w:rPr>
          <w:rFonts w:ascii="Book Antiqua" w:hAnsi="Book Antiqua"/>
          <w:vertAlign w:val="superscript"/>
        </w:rPr>
        <w:t>[9</w:t>
      </w:r>
      <w:r>
        <w:rPr>
          <w:rFonts w:hint="eastAsia" w:ascii="Book Antiqua" w:hAnsi="Book Antiqua"/>
          <w:vertAlign w:val="superscript"/>
          <w:lang w:eastAsia="zh-CN"/>
        </w:rPr>
        <w:t>6</w:t>
      </w:r>
      <w:r>
        <w:rPr>
          <w:rFonts w:ascii="Book Antiqua" w:hAnsi="Book Antiqua"/>
          <w:vertAlign w:val="superscript"/>
        </w:rPr>
        <w:t>]</w:t>
      </w:r>
      <w:r>
        <w:rPr>
          <w:rFonts w:ascii="Book Antiqua" w:hAnsi="Book Antiqua"/>
        </w:rPr>
        <w:t>. In fact, many pediatric studies have reported a decreased gut microbiota alpha diversity, measured with the Shannon index</w:t>
      </w:r>
      <w:r>
        <w:rPr>
          <w:rFonts w:ascii="Book Antiqua" w:hAnsi="Book Antiqua"/>
          <w:vertAlign w:val="superscript"/>
        </w:rPr>
        <w:t>[45,9</w:t>
      </w:r>
      <w:r>
        <w:rPr>
          <w:rFonts w:hint="eastAsia" w:ascii="Book Antiqua" w:hAnsi="Book Antiqua"/>
          <w:vertAlign w:val="superscript"/>
          <w:lang w:eastAsia="zh-CN"/>
        </w:rPr>
        <w:t>7</w:t>
      </w:r>
      <w:r>
        <w:rPr>
          <w:rFonts w:ascii="Book Antiqua" w:hAnsi="Book Antiqua"/>
          <w:vertAlign w:val="superscript"/>
        </w:rPr>
        <w:t>-</w:t>
      </w:r>
      <w:r>
        <w:rPr>
          <w:rFonts w:hint="eastAsia" w:ascii="Book Antiqua" w:hAnsi="Book Antiqua"/>
          <w:vertAlign w:val="superscript"/>
          <w:lang w:eastAsia="zh-CN"/>
        </w:rPr>
        <w:t>99</w:t>
      </w:r>
      <w:r>
        <w:rPr>
          <w:rFonts w:ascii="Book Antiqua" w:hAnsi="Book Antiqua"/>
          <w:vertAlign w:val="superscript"/>
        </w:rPr>
        <w:t>]</w:t>
      </w:r>
      <w:r>
        <w:rPr>
          <w:rFonts w:ascii="Book Antiqua" w:hAnsi="Book Antiqua"/>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 xml:space="preserve">In 2006, Turnbaugh </w:t>
      </w:r>
      <w:r>
        <w:rPr>
          <w:rFonts w:ascii="Book Antiqua" w:hAnsi="Book Antiqua"/>
          <w:i/>
        </w:rPr>
        <w:t>et al</w:t>
      </w:r>
      <w:r>
        <w:rPr>
          <w:rFonts w:ascii="Book Antiqua" w:hAnsi="Book Antiqua"/>
          <w:vertAlign w:val="superscript"/>
        </w:rPr>
        <w:t>[10</w:t>
      </w:r>
      <w:r>
        <w:rPr>
          <w:rFonts w:hint="eastAsia" w:ascii="Book Antiqua" w:hAnsi="Book Antiqua"/>
          <w:vertAlign w:val="superscript"/>
          <w:lang w:eastAsia="zh-CN"/>
        </w:rPr>
        <w:t>0</w:t>
      </w:r>
      <w:r>
        <w:rPr>
          <w:rFonts w:ascii="Book Antiqua" w:hAnsi="Book Antiqua"/>
          <w:vertAlign w:val="superscript"/>
        </w:rPr>
        <w:t>]</w:t>
      </w:r>
      <w:r>
        <w:rPr>
          <w:rFonts w:ascii="Book Antiqua" w:hAnsi="Book Antiqua"/>
        </w:rPr>
        <w:t xml:space="preserve"> found that the ratio of </w:t>
      </w:r>
      <w:r>
        <w:rPr>
          <w:rFonts w:ascii="Book Antiqua" w:hAnsi="Book Antiqua"/>
          <w:i/>
        </w:rPr>
        <w:t>Firmicutes</w:t>
      </w:r>
      <w:r>
        <w:rPr>
          <w:rFonts w:ascii="Book Antiqua" w:hAnsi="Book Antiqua"/>
        </w:rPr>
        <w:t xml:space="preserve"> to </w:t>
      </w:r>
      <w:r>
        <w:rPr>
          <w:rFonts w:ascii="Book Antiqua" w:hAnsi="Book Antiqua"/>
          <w:i/>
        </w:rPr>
        <w:t>Bacteroidetes</w:t>
      </w:r>
      <w:r>
        <w:rPr>
          <w:rFonts w:ascii="Book Antiqua" w:hAnsi="Book Antiqua"/>
        </w:rPr>
        <w:t xml:space="preserve"> increased in obese mice, suggesting a putative role for </w:t>
      </w:r>
      <w:r>
        <w:rPr>
          <w:rFonts w:ascii="Book Antiqua" w:hAnsi="Book Antiqua"/>
          <w:i/>
        </w:rPr>
        <w:t>Firmicutes</w:t>
      </w:r>
      <w:r>
        <w:rPr>
          <w:rFonts w:ascii="Book Antiqua" w:hAnsi="Book Antiqua"/>
        </w:rPr>
        <w:t xml:space="preserve"> as a group of obesity-related microbiomes. </w:t>
      </w:r>
    </w:p>
    <w:p>
      <w:pPr>
        <w:adjustRightInd w:val="0"/>
        <w:snapToGrid w:val="0"/>
        <w:spacing w:line="360" w:lineRule="auto"/>
        <w:ind w:firstLine="240" w:firstLineChars="100"/>
        <w:jc w:val="both"/>
        <w:rPr>
          <w:rFonts w:ascii="Book Antiqua" w:hAnsi="Book Antiqua"/>
          <w:u w:val="single"/>
        </w:rPr>
      </w:pPr>
      <w:r>
        <w:rPr>
          <w:rFonts w:ascii="Book Antiqua" w:hAnsi="Book Antiqua"/>
        </w:rPr>
        <w:t xml:space="preserve">Loomba </w:t>
      </w:r>
      <w:r>
        <w:rPr>
          <w:rFonts w:ascii="Book Antiqua" w:hAnsi="Book Antiqua"/>
          <w:i/>
        </w:rPr>
        <w:t>et al</w:t>
      </w:r>
      <w:r>
        <w:rPr>
          <w:rFonts w:ascii="Book Antiqua" w:hAnsi="Book Antiqua"/>
          <w:vertAlign w:val="superscript"/>
        </w:rPr>
        <w:t>[10</w:t>
      </w:r>
      <w:r>
        <w:rPr>
          <w:rFonts w:hint="eastAsia" w:ascii="Book Antiqua" w:hAnsi="Book Antiqua"/>
          <w:vertAlign w:val="superscript"/>
          <w:lang w:eastAsia="zh-CN"/>
        </w:rPr>
        <w:t>1</w:t>
      </w:r>
      <w:r>
        <w:rPr>
          <w:rFonts w:ascii="Book Antiqua" w:hAnsi="Book Antiqua"/>
          <w:vertAlign w:val="superscript"/>
        </w:rPr>
        <w:t>]</w:t>
      </w:r>
      <w:r>
        <w:rPr>
          <w:rFonts w:ascii="Book Antiqua" w:hAnsi="Book Antiqua"/>
        </w:rPr>
        <w:t xml:space="preserve"> in an elegant study showed that NAFLD patients exhibited more </w:t>
      </w:r>
      <w:r>
        <w:rPr>
          <w:rFonts w:ascii="Book Antiqua" w:hAnsi="Book Antiqua"/>
          <w:i/>
        </w:rPr>
        <w:t xml:space="preserve">Gram-negative </w:t>
      </w:r>
      <w:r>
        <w:rPr>
          <w:rFonts w:ascii="Book Antiqua" w:hAnsi="Book Antiqua"/>
        </w:rPr>
        <w:t xml:space="preserve">and fewer </w:t>
      </w:r>
      <w:r>
        <w:rPr>
          <w:rFonts w:ascii="Book Antiqua" w:hAnsi="Book Antiqua"/>
          <w:i/>
        </w:rPr>
        <w:t>Gram-positive bacteria</w:t>
      </w:r>
      <w:r>
        <w:rPr>
          <w:rFonts w:ascii="Book Antiqua" w:hAnsi="Book Antiqua"/>
        </w:rPr>
        <w:t xml:space="preserve"> compared to healthy subjects, with an increase in </w:t>
      </w:r>
      <w:r>
        <w:rPr>
          <w:rFonts w:ascii="Book Antiqua" w:hAnsi="Book Antiqua"/>
          <w:i/>
        </w:rPr>
        <w:t>Proteobacteria</w:t>
      </w:r>
      <w:r>
        <w:rPr>
          <w:rFonts w:ascii="Book Antiqua" w:hAnsi="Book Antiqua"/>
        </w:rPr>
        <w:t xml:space="preserve"> and a decrease in </w:t>
      </w:r>
      <w:r>
        <w:rPr>
          <w:rFonts w:ascii="Book Antiqua" w:hAnsi="Book Antiqua"/>
          <w:i/>
        </w:rPr>
        <w:t>Firmicutes</w:t>
      </w:r>
      <w:r>
        <w:rPr>
          <w:rFonts w:ascii="Book Antiqua" w:hAnsi="Book Antiqua"/>
        </w:rPr>
        <w:t xml:space="preserve"> in more progressive NAFLD forms.</w:t>
      </w:r>
    </w:p>
    <w:p>
      <w:pPr>
        <w:adjustRightInd w:val="0"/>
        <w:snapToGrid w:val="0"/>
        <w:spacing w:line="360" w:lineRule="auto"/>
        <w:ind w:firstLine="240" w:firstLineChars="100"/>
        <w:jc w:val="both"/>
        <w:rPr>
          <w:rFonts w:ascii="Book Antiqua" w:hAnsi="Book Antiqua"/>
        </w:rPr>
      </w:pPr>
      <w:r>
        <w:rPr>
          <w:rFonts w:ascii="Book Antiqua" w:hAnsi="Book Antiqua"/>
        </w:rPr>
        <w:t xml:space="preserve">Michail </w:t>
      </w:r>
      <w:r>
        <w:rPr>
          <w:rFonts w:ascii="Book Antiqua" w:hAnsi="Book Antiqua"/>
          <w:i/>
        </w:rPr>
        <w:t>et al</w:t>
      </w:r>
      <w:r>
        <w:rPr>
          <w:rFonts w:ascii="Book Antiqua" w:hAnsi="Book Antiqua"/>
          <w:vertAlign w:val="superscript"/>
        </w:rPr>
        <w:t>[10</w:t>
      </w:r>
      <w:r>
        <w:rPr>
          <w:rFonts w:hint="eastAsia" w:ascii="Book Antiqua" w:hAnsi="Book Antiqua"/>
          <w:vertAlign w:val="superscript"/>
          <w:lang w:eastAsia="zh-CN"/>
        </w:rPr>
        <w:t>2</w:t>
      </w:r>
      <w:r>
        <w:rPr>
          <w:rFonts w:ascii="Book Antiqua" w:hAnsi="Book Antiqua"/>
          <w:vertAlign w:val="superscript"/>
        </w:rPr>
        <w:t>]</w:t>
      </w:r>
      <w:r>
        <w:rPr>
          <w:rFonts w:ascii="Book Antiqua" w:hAnsi="Book Antiqua"/>
        </w:rPr>
        <w:t xml:space="preserve"> noted that children with NAFLD had more abundant </w:t>
      </w:r>
      <w:r>
        <w:rPr>
          <w:rFonts w:ascii="Book Antiqua" w:hAnsi="Book Antiqua"/>
          <w:i/>
        </w:rPr>
        <w:t>Gammaproteobacteria</w:t>
      </w:r>
      <w:r>
        <w:rPr>
          <w:rFonts w:ascii="Book Antiqua" w:hAnsi="Book Antiqua"/>
        </w:rPr>
        <w:t xml:space="preserve"> and </w:t>
      </w:r>
      <w:r>
        <w:rPr>
          <w:rFonts w:ascii="Book Antiqua" w:hAnsi="Book Antiqua"/>
          <w:i/>
        </w:rPr>
        <w:t>Prevotella</w:t>
      </w:r>
      <w:r>
        <w:rPr>
          <w:rFonts w:ascii="Book Antiqua" w:hAnsi="Book Antiqua"/>
        </w:rPr>
        <w:t xml:space="preserve"> compared to obese children without NAFLD and healthy controls. In addition, no difference in </w:t>
      </w:r>
      <w:r>
        <w:rPr>
          <w:rFonts w:ascii="Book Antiqua" w:hAnsi="Book Antiqua"/>
          <w:i/>
        </w:rPr>
        <w:t>Firmicutes</w:t>
      </w:r>
      <w:r>
        <w:rPr>
          <w:rFonts w:ascii="Book Antiqua" w:hAnsi="Book Antiqua"/>
        </w:rPr>
        <w:t xml:space="preserve"> and </w:t>
      </w:r>
      <w:r>
        <w:rPr>
          <w:rFonts w:ascii="Book Antiqua" w:hAnsi="Book Antiqua"/>
          <w:i/>
        </w:rPr>
        <w:t>Bacteroidetes</w:t>
      </w:r>
      <w:r>
        <w:rPr>
          <w:rFonts w:ascii="Book Antiqua" w:hAnsi="Book Antiqua"/>
        </w:rPr>
        <w:t xml:space="preserve"> or their ratio was observed between the groups. </w:t>
      </w:r>
    </w:p>
    <w:p>
      <w:pPr>
        <w:adjustRightInd w:val="0"/>
        <w:snapToGrid w:val="0"/>
        <w:spacing w:line="360" w:lineRule="auto"/>
        <w:ind w:firstLine="240" w:firstLineChars="100"/>
        <w:jc w:val="both"/>
        <w:rPr>
          <w:rFonts w:ascii="Book Antiqua" w:hAnsi="Book Antiqua"/>
          <w:lang w:eastAsia="zh-CN"/>
        </w:rPr>
      </w:pPr>
      <w:r>
        <w:rPr>
          <w:rFonts w:ascii="Book Antiqua" w:hAnsi="Book Antiqua"/>
        </w:rPr>
        <w:t xml:space="preserve">Del Chierico </w:t>
      </w:r>
      <w:r>
        <w:rPr>
          <w:rFonts w:ascii="Book Antiqua" w:hAnsi="Book Antiqua"/>
          <w:i/>
        </w:rPr>
        <w:t>et al</w:t>
      </w:r>
      <w:r>
        <w:rPr>
          <w:rFonts w:ascii="Book Antiqua" w:hAnsi="Book Antiqua"/>
          <w:vertAlign w:val="superscript"/>
        </w:rPr>
        <w:t>[9</w:t>
      </w:r>
      <w:r>
        <w:rPr>
          <w:rFonts w:hint="eastAsia" w:ascii="Book Antiqua" w:hAnsi="Book Antiqua"/>
          <w:vertAlign w:val="superscript"/>
          <w:lang w:eastAsia="zh-CN"/>
        </w:rPr>
        <w:t>7</w:t>
      </w:r>
      <w:r>
        <w:rPr>
          <w:rFonts w:ascii="Book Antiqua" w:hAnsi="Book Antiqua"/>
          <w:vertAlign w:val="superscript"/>
        </w:rPr>
        <w:t>]</w:t>
      </w:r>
      <w:r>
        <w:rPr>
          <w:rFonts w:ascii="Book Antiqua" w:hAnsi="Book Antiqua"/>
        </w:rPr>
        <w:t xml:space="preserve"> in a complex study with an integrated meta-omics-based approach found a significant increment of </w:t>
      </w:r>
      <w:r>
        <w:rPr>
          <w:rFonts w:ascii="Book Antiqua" w:hAnsi="Book Antiqua"/>
          <w:i/>
        </w:rPr>
        <w:t>Actinobacteria</w:t>
      </w:r>
      <w:r>
        <w:rPr>
          <w:rFonts w:ascii="Book Antiqua" w:hAnsi="Book Antiqua"/>
        </w:rPr>
        <w:t xml:space="preserve"> and a decrease of </w:t>
      </w:r>
      <w:r>
        <w:rPr>
          <w:rFonts w:ascii="Book Antiqua" w:hAnsi="Book Antiqua"/>
          <w:i/>
        </w:rPr>
        <w:t>Bacteroidetes</w:t>
      </w:r>
      <w:r>
        <w:rPr>
          <w:rFonts w:ascii="Book Antiqua" w:hAnsi="Book Antiqua"/>
        </w:rPr>
        <w:t xml:space="preserve"> in NAFLD patients compared to healthy controls.</w:t>
      </w:r>
    </w:p>
    <w:p>
      <w:pPr>
        <w:adjustRightInd w:val="0"/>
        <w:snapToGrid w:val="0"/>
        <w:spacing w:line="360" w:lineRule="auto"/>
        <w:ind w:firstLine="240" w:firstLineChars="100"/>
        <w:jc w:val="both"/>
        <w:rPr>
          <w:rFonts w:ascii="Book Antiqua" w:hAnsi="Book Antiqua"/>
        </w:rPr>
      </w:pPr>
      <w:r>
        <w:rPr>
          <w:rFonts w:ascii="Book Antiqua" w:hAnsi="Book Antiqua"/>
        </w:rPr>
        <w:t xml:space="preserve">Stanislawski </w:t>
      </w:r>
      <w:r>
        <w:rPr>
          <w:rFonts w:ascii="Book Antiqua" w:hAnsi="Book Antiqua"/>
          <w:i/>
        </w:rPr>
        <w:t>et al</w:t>
      </w:r>
      <w:r>
        <w:rPr>
          <w:rFonts w:ascii="Book Antiqua" w:hAnsi="Book Antiqua"/>
          <w:vertAlign w:val="superscript"/>
        </w:rPr>
        <w:t>[10</w:t>
      </w:r>
      <w:r>
        <w:rPr>
          <w:rFonts w:hint="eastAsia" w:ascii="Book Antiqua" w:hAnsi="Book Antiqua"/>
          <w:vertAlign w:val="superscript"/>
          <w:lang w:eastAsia="zh-CN"/>
        </w:rPr>
        <w:t>2</w:t>
      </w:r>
      <w:r>
        <w:rPr>
          <w:rFonts w:ascii="Book Antiqua" w:hAnsi="Book Antiqua"/>
          <w:vertAlign w:val="superscript"/>
        </w:rPr>
        <w:t>]</w:t>
      </w:r>
      <w:r>
        <w:rPr>
          <w:rFonts w:ascii="Book Antiqua" w:hAnsi="Book Antiqua"/>
        </w:rPr>
        <w:t xml:space="preserve"> examined 107 adolescents with MRI-detected hepatic steatosis and found that </w:t>
      </w:r>
      <w:r>
        <w:rPr>
          <w:rFonts w:ascii="Book Antiqua" w:hAnsi="Book Antiqua"/>
          <w:i/>
        </w:rPr>
        <w:t>Bilophila</w:t>
      </w:r>
      <w:r>
        <w:rPr>
          <w:rFonts w:ascii="Book Antiqua" w:hAnsi="Book Antiqua"/>
        </w:rPr>
        <w:t xml:space="preserve"> was positively correlated with hepatic fat fraction (HFF), while </w:t>
      </w:r>
      <w:r>
        <w:rPr>
          <w:rFonts w:ascii="Book Antiqua" w:hAnsi="Book Antiqua"/>
          <w:i/>
        </w:rPr>
        <w:t>Oscillospira</w:t>
      </w:r>
      <w:r>
        <w:rPr>
          <w:rFonts w:ascii="Book Antiqua" w:hAnsi="Book Antiqua"/>
        </w:rPr>
        <w:t xml:space="preserve"> and </w:t>
      </w:r>
      <w:r>
        <w:rPr>
          <w:rFonts w:ascii="Book Antiqua" w:hAnsi="Book Antiqua"/>
          <w:i/>
        </w:rPr>
        <w:t>Bacteroides</w:t>
      </w:r>
      <w:r>
        <w:rPr>
          <w:rFonts w:ascii="Book Antiqua" w:hAnsi="Book Antiqua"/>
        </w:rPr>
        <w:t xml:space="preserve"> showed different patterns in relation to HFF. </w:t>
      </w:r>
    </w:p>
    <w:p>
      <w:pPr>
        <w:adjustRightInd w:val="0"/>
        <w:snapToGrid w:val="0"/>
        <w:spacing w:line="360" w:lineRule="auto"/>
        <w:ind w:firstLine="240" w:firstLineChars="100"/>
        <w:jc w:val="both"/>
        <w:rPr>
          <w:rFonts w:ascii="Book Antiqua" w:hAnsi="Book Antiqua"/>
        </w:rPr>
      </w:pPr>
      <w:r>
        <w:rPr>
          <w:rFonts w:ascii="Book Antiqua" w:hAnsi="Book Antiqua"/>
        </w:rPr>
        <w:t xml:space="preserve">Schwimmer </w:t>
      </w:r>
      <w:r>
        <w:rPr>
          <w:rFonts w:ascii="Book Antiqua" w:hAnsi="Book Antiqua"/>
          <w:i/>
        </w:rPr>
        <w:t>et al</w:t>
      </w:r>
      <w:r>
        <w:rPr>
          <w:rFonts w:ascii="Book Antiqua" w:hAnsi="Book Antiqua"/>
          <w:vertAlign w:val="superscript"/>
        </w:rPr>
        <w:t>[</w:t>
      </w:r>
      <w:r>
        <w:rPr>
          <w:rFonts w:hint="eastAsia" w:ascii="Book Antiqua" w:hAnsi="Book Antiqua"/>
          <w:vertAlign w:val="superscript"/>
          <w:lang w:eastAsia="zh-CN"/>
        </w:rPr>
        <w:t>99</w:t>
      </w:r>
      <w:r>
        <w:rPr>
          <w:rFonts w:ascii="Book Antiqua" w:hAnsi="Book Antiqua"/>
          <w:vertAlign w:val="superscript"/>
        </w:rPr>
        <w:t>]</w:t>
      </w:r>
      <w:r>
        <w:rPr>
          <w:rFonts w:ascii="Book Antiqua" w:hAnsi="Book Antiqua"/>
        </w:rPr>
        <w:t xml:space="preserve"> in a prospective, observational, cross-sectional study of 87 children with biopsy-proven NAFLD and 37 obese children without NAFLD noted that a high abundance of </w:t>
      </w:r>
      <w:r>
        <w:rPr>
          <w:rFonts w:ascii="Book Antiqua" w:hAnsi="Book Antiqua"/>
          <w:i/>
        </w:rPr>
        <w:t>Prevotella copri</w:t>
      </w:r>
      <w:r>
        <w:rPr>
          <w:rFonts w:ascii="Book Antiqua" w:hAnsi="Book Antiqua"/>
        </w:rPr>
        <w:t xml:space="preserve"> was associated with more severe fibrosis. </w:t>
      </w:r>
    </w:p>
    <w:p>
      <w:pPr>
        <w:adjustRightInd w:val="0"/>
        <w:snapToGrid w:val="0"/>
        <w:spacing w:line="360" w:lineRule="auto"/>
        <w:ind w:firstLine="240" w:firstLineChars="100"/>
        <w:jc w:val="both"/>
        <w:rPr>
          <w:rFonts w:ascii="Book Antiqua" w:hAnsi="Book Antiqua"/>
        </w:rPr>
      </w:pPr>
      <w:r>
        <w:rPr>
          <w:rFonts w:ascii="Book Antiqua" w:hAnsi="Book Antiqua"/>
        </w:rPr>
        <w:t xml:space="preserve">In a metagenomic study of gut microbiota by Zhao </w:t>
      </w:r>
      <w:r>
        <w:rPr>
          <w:rFonts w:ascii="Book Antiqua" w:hAnsi="Book Antiqua"/>
          <w:i/>
        </w:rPr>
        <w:t>et al</w:t>
      </w:r>
      <w:r>
        <w:rPr>
          <w:rFonts w:ascii="Book Antiqua" w:hAnsi="Book Antiqua"/>
          <w:vertAlign w:val="superscript"/>
        </w:rPr>
        <w:t>[10</w:t>
      </w:r>
      <w:r>
        <w:rPr>
          <w:rFonts w:hint="eastAsia" w:ascii="Book Antiqua" w:hAnsi="Book Antiqua"/>
          <w:vertAlign w:val="superscript"/>
          <w:lang w:eastAsia="zh-CN"/>
        </w:rPr>
        <w:t>3</w:t>
      </w:r>
      <w:r>
        <w:rPr>
          <w:rFonts w:ascii="Book Antiqua" w:hAnsi="Book Antiqua"/>
          <w:vertAlign w:val="superscript"/>
        </w:rPr>
        <w:t>]</w:t>
      </w:r>
      <w:r>
        <w:rPr>
          <w:rFonts w:ascii="Book Antiqua" w:hAnsi="Book Antiqua"/>
        </w:rPr>
        <w:t xml:space="preserve"> conducted in 58 children and adolescents with NAFLD diagnosed by magnetic resonance spectroscopy, the authors found no significant differences in terms of alpha diversity among the study groups (NAFLD children, obese children without NAFLD and healthy controls). However, </w:t>
      </w:r>
      <w:r>
        <w:rPr>
          <w:rFonts w:ascii="Book Antiqua" w:hAnsi="Book Antiqua"/>
          <w:i/>
        </w:rPr>
        <w:t>Proteobacteria</w:t>
      </w:r>
      <w:r>
        <w:rPr>
          <w:rFonts w:ascii="Book Antiqua" w:hAnsi="Book Antiqua"/>
        </w:rPr>
        <w:t xml:space="preserve"> were found to be more represented in NAFLD children than in the control group, while </w:t>
      </w:r>
      <w:r>
        <w:rPr>
          <w:rFonts w:ascii="Book Antiqua" w:hAnsi="Book Antiqua"/>
          <w:i/>
        </w:rPr>
        <w:t>Bacteroidates</w:t>
      </w:r>
      <w:r>
        <w:rPr>
          <w:rFonts w:ascii="Book Antiqua" w:hAnsi="Book Antiqua"/>
        </w:rPr>
        <w:t xml:space="preserve"> (</w:t>
      </w:r>
      <w:r>
        <w:rPr>
          <w:rFonts w:ascii="Book Antiqua" w:hAnsi="Book Antiqua"/>
          <w:i/>
        </w:rPr>
        <w:t>Alistipes</w:t>
      </w:r>
      <w:r>
        <w:rPr>
          <w:rFonts w:ascii="Book Antiqua" w:hAnsi="Book Antiqua"/>
        </w:rPr>
        <w:t xml:space="preserve">) were significantly reduced. </w:t>
      </w:r>
    </w:p>
    <w:p>
      <w:pPr>
        <w:adjustRightInd w:val="0"/>
        <w:snapToGrid w:val="0"/>
        <w:spacing w:line="360" w:lineRule="auto"/>
        <w:ind w:firstLine="240" w:firstLineChars="100"/>
        <w:jc w:val="both"/>
        <w:rPr>
          <w:rFonts w:ascii="Book Antiqua" w:hAnsi="Book Antiqua"/>
        </w:rPr>
      </w:pPr>
      <w:r>
        <w:rPr>
          <w:rFonts w:ascii="Book Antiqua" w:hAnsi="Book Antiqua"/>
        </w:rPr>
        <w:t xml:space="preserve">Finally, Kravetz </w:t>
      </w:r>
      <w:r>
        <w:rPr>
          <w:rFonts w:ascii="Book Antiqua" w:hAnsi="Book Antiqua"/>
          <w:i/>
        </w:rPr>
        <w:t>et al</w:t>
      </w:r>
      <w:r>
        <w:rPr>
          <w:rFonts w:ascii="Book Antiqua" w:hAnsi="Book Antiqua"/>
          <w:vertAlign w:val="superscript"/>
        </w:rPr>
        <w:t>[45]</w:t>
      </w:r>
      <w:r>
        <w:rPr>
          <w:rFonts w:ascii="Book Antiqua" w:hAnsi="Book Antiqua"/>
        </w:rPr>
        <w:t xml:space="preserve"> in a cross-sectional study including 73 obese children and adolescents with and without NAFLD, in which HFF was determined by MRI, the NAFLD group showed a higher </w:t>
      </w:r>
      <w:r>
        <w:rPr>
          <w:rFonts w:ascii="Book Antiqua" w:hAnsi="Book Antiqua"/>
          <w:i/>
        </w:rPr>
        <w:t>Firmicutes</w:t>
      </w:r>
      <w:r>
        <w:rPr>
          <w:rFonts w:ascii="Book Antiqua" w:hAnsi="Book Antiqua"/>
        </w:rPr>
        <w:t xml:space="preserve"> to </w:t>
      </w:r>
      <w:r>
        <w:rPr>
          <w:rFonts w:ascii="Book Antiqua" w:hAnsi="Book Antiqua"/>
          <w:i/>
        </w:rPr>
        <w:t>Bacteroidetes</w:t>
      </w:r>
      <w:r>
        <w:rPr>
          <w:rFonts w:ascii="Book Antiqua" w:hAnsi="Book Antiqua"/>
        </w:rPr>
        <w:t xml:space="preserve"> ratio and lower levels of </w:t>
      </w:r>
      <w:r>
        <w:rPr>
          <w:rFonts w:ascii="Book Antiqua" w:hAnsi="Book Antiqua"/>
          <w:i/>
        </w:rPr>
        <w:t>Bacteroidetes</w:t>
      </w:r>
      <w:r>
        <w:rPr>
          <w:rFonts w:ascii="Book Antiqua" w:hAnsi="Book Antiqua"/>
        </w:rPr>
        <w:t xml:space="preserve">, </w:t>
      </w:r>
      <w:r>
        <w:rPr>
          <w:rFonts w:ascii="Book Antiqua" w:hAnsi="Book Antiqua"/>
          <w:i/>
        </w:rPr>
        <w:t>Prevotella</w:t>
      </w:r>
      <w:r>
        <w:rPr>
          <w:rFonts w:ascii="Book Antiqua" w:hAnsi="Book Antiqua"/>
        </w:rPr>
        <w:t xml:space="preserve">, </w:t>
      </w:r>
      <w:r>
        <w:rPr>
          <w:rFonts w:ascii="Book Antiqua" w:hAnsi="Book Antiqua"/>
          <w:i/>
        </w:rPr>
        <w:t>Gemmiger</w:t>
      </w:r>
      <w:r>
        <w:rPr>
          <w:rFonts w:ascii="Book Antiqua" w:hAnsi="Book Antiqua"/>
        </w:rPr>
        <w:t xml:space="preserve"> and </w:t>
      </w:r>
      <w:r>
        <w:rPr>
          <w:rFonts w:ascii="Book Antiqua" w:hAnsi="Book Antiqua"/>
          <w:i/>
        </w:rPr>
        <w:t>Oscillospira</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Altered gut microbial composition and increased intestinal permeability are linked to several factors (</w:t>
      </w:r>
      <w:r>
        <w:rPr>
          <w:rFonts w:ascii="Book Antiqua" w:hAnsi="Book Antiqua"/>
          <w:i/>
        </w:rPr>
        <w:t>e.g.</w:t>
      </w:r>
      <w:r>
        <w:rPr>
          <w:rFonts w:ascii="Book Antiqua" w:hAnsi="Book Antiqua"/>
        </w:rPr>
        <w:t xml:space="preserve"> high-fat Western diet, chronic alcohol consumption, and genetic factors) and promote the influx of microbial-associated molecular patterns or pathogen-associated molecular patterns into the portal system reaching the liver. These molecular patterns are responsible for inflammatory responses mediated by the activation of pattern recognition receptors, like Toll-like receptor, in Kupffer cells and hepatic stellate cells, leading to liver injury and fibrosis</w:t>
      </w:r>
      <w:r>
        <w:rPr>
          <w:rFonts w:ascii="Book Antiqua" w:hAnsi="Book Antiqua"/>
          <w:vertAlign w:val="superscript"/>
        </w:rPr>
        <w:t>[8</w:t>
      </w:r>
      <w:r>
        <w:rPr>
          <w:rFonts w:hint="eastAsia" w:ascii="Book Antiqua" w:hAnsi="Book Antiqua"/>
          <w:vertAlign w:val="superscript"/>
          <w:lang w:eastAsia="zh-CN"/>
        </w:rPr>
        <w:t>6</w:t>
      </w:r>
      <w:r>
        <w:rPr>
          <w:rFonts w:ascii="Book Antiqua" w:hAnsi="Book Antiqua"/>
          <w:vertAlign w:val="superscript"/>
        </w:rPr>
        <w:t>,10</w:t>
      </w:r>
      <w:r>
        <w:rPr>
          <w:rFonts w:hint="eastAsia" w:ascii="Book Antiqua" w:hAnsi="Book Antiqua"/>
          <w:vertAlign w:val="superscript"/>
          <w:lang w:eastAsia="zh-CN"/>
        </w:rPr>
        <w:t>4</w:t>
      </w:r>
      <w:r>
        <w:rPr>
          <w:rFonts w:ascii="Book Antiqua" w:hAnsi="Book Antiqua"/>
          <w:vertAlign w:val="superscript"/>
        </w:rPr>
        <w:t>-10</w:t>
      </w:r>
      <w:r>
        <w:rPr>
          <w:rFonts w:hint="eastAsia" w:ascii="Book Antiqua" w:hAnsi="Book Antiqua"/>
          <w:vertAlign w:val="superscript"/>
          <w:lang w:eastAsia="zh-CN"/>
        </w:rPr>
        <w:t>6</w:t>
      </w:r>
      <w:r>
        <w:rPr>
          <w:rFonts w:ascii="Book Antiqua" w:hAnsi="Book Antiqua"/>
          <w:vertAlign w:val="superscript"/>
        </w:rPr>
        <w:t>]</w:t>
      </w:r>
      <w:r>
        <w:rPr>
          <w:rFonts w:ascii="Book Antiqua" w:hAnsi="Book Antiqua"/>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Potential gut-microbiome-targeted therapies in hepatic diseases are represented by probiotics, prebiotics, antibiotics, fecal microbial transplantation and bacteriophages, but larger validation studies are needed</w:t>
      </w:r>
      <w:r>
        <w:rPr>
          <w:rFonts w:ascii="Book Antiqua" w:hAnsi="Book Antiqua"/>
          <w:vertAlign w:val="superscript"/>
        </w:rPr>
        <w:t>[10</w:t>
      </w:r>
      <w:r>
        <w:rPr>
          <w:rFonts w:hint="eastAsia" w:ascii="Book Antiqua" w:hAnsi="Book Antiqua"/>
          <w:vertAlign w:val="superscript"/>
          <w:lang w:eastAsia="zh-CN"/>
        </w:rPr>
        <w:t>7</w:t>
      </w:r>
      <w:r>
        <w:rPr>
          <w:rFonts w:ascii="Book Antiqua" w:hAnsi="Book Antiqua"/>
          <w:vertAlign w:val="superscript"/>
        </w:rPr>
        <w:t>]</w:t>
      </w:r>
      <w:r>
        <w:rPr>
          <w:rFonts w:ascii="Book Antiqua" w:hAnsi="Book Antiqua"/>
        </w:rPr>
        <w:t>.</w:t>
      </w:r>
    </w:p>
    <w:p>
      <w:pPr>
        <w:adjustRightInd w:val="0"/>
        <w:snapToGrid w:val="0"/>
        <w:spacing w:line="360" w:lineRule="auto"/>
        <w:jc w:val="both"/>
        <w:rPr>
          <w:rFonts w:ascii="Book Antiqua" w:hAnsi="Book Antiqua"/>
          <w:b/>
          <w:bCs/>
          <w:lang w:eastAsia="zh-CN"/>
        </w:rPr>
      </w:pPr>
    </w:p>
    <w:p>
      <w:pPr>
        <w:adjustRightInd w:val="0"/>
        <w:snapToGrid w:val="0"/>
        <w:spacing w:line="360" w:lineRule="auto"/>
        <w:jc w:val="both"/>
        <w:rPr>
          <w:rFonts w:ascii="Book Antiqua" w:hAnsi="Book Antiqua"/>
          <w:b/>
          <w:bCs/>
          <w:u w:val="single"/>
        </w:rPr>
      </w:pPr>
      <w:r>
        <w:rPr>
          <w:rFonts w:ascii="Book Antiqua" w:hAnsi="Book Antiqua"/>
          <w:b/>
          <w:bCs/>
          <w:u w:val="single"/>
        </w:rPr>
        <w:t>ROLE OF “OMICS” IN NAFLD</w:t>
      </w:r>
    </w:p>
    <w:p>
      <w:pPr>
        <w:adjustRightInd w:val="0"/>
        <w:snapToGrid w:val="0"/>
        <w:spacing w:line="360" w:lineRule="auto"/>
        <w:jc w:val="both"/>
        <w:rPr>
          <w:rFonts w:ascii="Book Antiqua" w:hAnsi="Book Antiqua"/>
          <w:b/>
          <w:i/>
        </w:rPr>
      </w:pPr>
      <w:r>
        <w:rPr>
          <w:rFonts w:ascii="Book Antiqua" w:hAnsi="Book Antiqua"/>
          <w:b/>
          <w:i/>
        </w:rPr>
        <w:t>Epigenomics</w:t>
      </w:r>
    </w:p>
    <w:p>
      <w:pPr>
        <w:adjustRightInd w:val="0"/>
        <w:snapToGrid w:val="0"/>
        <w:spacing w:line="360" w:lineRule="auto"/>
        <w:jc w:val="both"/>
        <w:rPr>
          <w:rFonts w:ascii="Book Antiqua" w:hAnsi="Book Antiqua"/>
        </w:rPr>
      </w:pPr>
      <w:r>
        <w:rPr>
          <w:rFonts w:ascii="Book Antiqua" w:hAnsi="Book Antiqua"/>
        </w:rPr>
        <w:t>Several authors have studied the role of epigenetic modifications in the natural history of NAFLD. The main epigenomic modification studied in NAFLD is DNA methylation.</w:t>
      </w:r>
    </w:p>
    <w:p>
      <w:pPr>
        <w:adjustRightInd w:val="0"/>
        <w:snapToGrid w:val="0"/>
        <w:spacing w:line="360" w:lineRule="auto"/>
        <w:ind w:firstLine="240" w:firstLineChars="100"/>
        <w:jc w:val="both"/>
        <w:rPr>
          <w:rFonts w:ascii="Book Antiqua" w:hAnsi="Book Antiqua"/>
          <w:vertAlign w:val="superscript"/>
        </w:rPr>
      </w:pPr>
      <w:r>
        <w:rPr>
          <w:rFonts w:ascii="Book Antiqua" w:hAnsi="Book Antiqua"/>
        </w:rPr>
        <w:t>A recent systematic review</w:t>
      </w:r>
      <w:r>
        <w:rPr>
          <w:rFonts w:ascii="Book Antiqua" w:hAnsi="Book Antiqua"/>
          <w:vertAlign w:val="superscript"/>
        </w:rPr>
        <w:t>[10</w:t>
      </w:r>
      <w:r>
        <w:rPr>
          <w:rFonts w:hint="eastAsia" w:ascii="Book Antiqua" w:hAnsi="Book Antiqua"/>
          <w:vertAlign w:val="superscript"/>
          <w:lang w:eastAsia="zh-CN"/>
        </w:rPr>
        <w:t>8</w:t>
      </w:r>
      <w:r>
        <w:rPr>
          <w:rFonts w:ascii="Book Antiqua" w:hAnsi="Book Antiqua"/>
          <w:vertAlign w:val="superscript"/>
        </w:rPr>
        <w:t>]</w:t>
      </w:r>
      <w:r>
        <w:rPr>
          <w:rFonts w:ascii="Book Antiqua" w:hAnsi="Book Antiqua"/>
        </w:rPr>
        <w:t xml:space="preserve"> included twelve studies on DNA methylation and FLD of which two assessed global DNA methylation, five assessed DNA methylation for specific candidate genes and the remaining four used the EWAS approach. The review suggested no consistent associations with FLD in the studies of global DNA methylation evaluated in hepatic tissue samples by quantifying the methylcytosine (5-mC) present in the genome. One of the two studies assessing global DNA methylation found mitochondrial encoded NADH dehydrogenase 6 hypermethylation in the liver of NASH patients compared to those with simple steatosis, and this methylation was significantly associated with NAFLD activity score</w:t>
      </w:r>
      <w:r>
        <w:rPr>
          <w:rFonts w:ascii="Book Antiqua" w:hAnsi="Book Antiqua"/>
          <w:vertAlign w:val="superscript"/>
        </w:rPr>
        <w:t>[1</w:t>
      </w:r>
      <w:r>
        <w:rPr>
          <w:rFonts w:hint="eastAsia" w:ascii="Book Antiqua" w:hAnsi="Book Antiqua"/>
          <w:vertAlign w:val="superscript"/>
          <w:lang w:eastAsia="zh-CN"/>
        </w:rPr>
        <w:t>09</w:t>
      </w:r>
      <w:r>
        <w:rPr>
          <w:rFonts w:ascii="Book Antiqua" w:hAnsi="Book Antiqua"/>
          <w:vertAlign w:val="superscript"/>
        </w:rPr>
        <w:t>]</w:t>
      </w:r>
      <w:r>
        <w:rPr>
          <w:rFonts w:ascii="Book Antiqua" w:hAnsi="Book Antiqua"/>
        </w:rPr>
        <w:t>. On the other hand, another study reported that global liver methylation based on genome-wide methylation arrays was not associated with NAFLD or NASH, but NASH was associated with long-interspersed nuclear element hypomethylation compared to simple steatosis or normal liver</w:t>
      </w:r>
      <w:r>
        <w:rPr>
          <w:rFonts w:ascii="Book Antiqua" w:hAnsi="Book Antiqua"/>
          <w:vertAlign w:val="superscript"/>
        </w:rPr>
        <w:t>[11</w:t>
      </w:r>
      <w:r>
        <w:rPr>
          <w:rFonts w:hint="eastAsia" w:ascii="Book Antiqua" w:hAnsi="Book Antiqua"/>
          <w:vertAlign w:val="superscript"/>
          <w:lang w:eastAsia="zh-CN"/>
        </w:rPr>
        <w:t>0</w:t>
      </w:r>
      <w:r>
        <w:rPr>
          <w:rFonts w:ascii="Book Antiqua" w:hAnsi="Book Antiqua"/>
          <w:vertAlign w:val="superscript"/>
        </w:rPr>
        <w:t>]</w:t>
      </w:r>
      <w:r>
        <w:rPr>
          <w:rFonts w:ascii="Book Antiqua" w:hAnsi="Book Antiqua"/>
        </w:rPr>
        <w:t xml:space="preserve">. More, studies using a candidate gene approach found that NAFLD was associated with hypomethylation at </w:t>
      </w:r>
      <w:r>
        <w:rPr>
          <w:rFonts w:ascii="Book Antiqua" w:hAnsi="Book Antiqua"/>
          <w:i/>
        </w:rPr>
        <w:t>FGFR2</w:t>
      </w:r>
      <w:r>
        <w:rPr>
          <w:rFonts w:ascii="Book Antiqua" w:hAnsi="Book Antiqua"/>
        </w:rPr>
        <w:t xml:space="preserve">, </w:t>
      </w:r>
      <w:r>
        <w:rPr>
          <w:rFonts w:ascii="Book Antiqua" w:hAnsi="Book Antiqua"/>
          <w:i/>
        </w:rPr>
        <w:t>MAT1A</w:t>
      </w:r>
      <w:r>
        <w:rPr>
          <w:rFonts w:ascii="Book Antiqua" w:hAnsi="Book Antiqua"/>
        </w:rPr>
        <w:t xml:space="preserve">, </w:t>
      </w:r>
      <w:r>
        <w:rPr>
          <w:rFonts w:ascii="Book Antiqua" w:hAnsi="Book Antiqua"/>
          <w:i/>
        </w:rPr>
        <w:t>CASP1</w:t>
      </w:r>
      <w:r>
        <w:rPr>
          <w:rFonts w:ascii="Book Antiqua" w:hAnsi="Book Antiqua"/>
        </w:rPr>
        <w:t xml:space="preserve"> and </w:t>
      </w:r>
      <w:r>
        <w:rPr>
          <w:rFonts w:ascii="Book Antiqua" w:hAnsi="Book Antiqua"/>
          <w:i/>
        </w:rPr>
        <w:t>PARVB</w:t>
      </w:r>
      <w:r>
        <w:rPr>
          <w:rFonts w:ascii="Book Antiqua" w:hAnsi="Book Antiqua"/>
        </w:rPr>
        <w:t xml:space="preserve"> genes and hypermethylation at </w:t>
      </w:r>
      <w:r>
        <w:rPr>
          <w:rFonts w:ascii="Book Antiqua" w:hAnsi="Book Antiqua"/>
          <w:i/>
        </w:rPr>
        <w:t>PNPLA3</w:t>
      </w:r>
      <w:r>
        <w:rPr>
          <w:rFonts w:ascii="Book Antiqua" w:hAnsi="Book Antiqua"/>
          <w:vertAlign w:val="superscript"/>
        </w:rPr>
        <w:t>[11</w:t>
      </w:r>
      <w:r>
        <w:rPr>
          <w:rFonts w:hint="eastAsia" w:ascii="Book Antiqua" w:hAnsi="Book Antiqua"/>
          <w:vertAlign w:val="superscript"/>
          <w:lang w:eastAsia="zh-CN"/>
        </w:rPr>
        <w:t>1</w:t>
      </w:r>
      <w:r>
        <w:rPr>
          <w:rFonts w:ascii="Book Antiqua" w:hAnsi="Book Antiqua"/>
          <w:vertAlign w:val="superscript"/>
        </w:rPr>
        <w:t>]</w:t>
      </w:r>
      <w:r>
        <w:rPr>
          <w:rFonts w:ascii="Book Antiqua" w:hAnsi="Book Antiqua"/>
        </w:rPr>
        <w:t xml:space="preserve">, </w:t>
      </w:r>
      <w:r>
        <w:rPr>
          <w:rFonts w:ascii="Book Antiqua" w:hAnsi="Book Antiqua"/>
          <w:i/>
        </w:rPr>
        <w:t>PPARα</w:t>
      </w:r>
      <w:r>
        <w:rPr>
          <w:rFonts w:ascii="Book Antiqua" w:hAnsi="Book Antiqua"/>
        </w:rPr>
        <w:t xml:space="preserve">, </w:t>
      </w:r>
      <w:r>
        <w:rPr>
          <w:rFonts w:ascii="Book Antiqua" w:hAnsi="Book Antiqua"/>
          <w:i/>
        </w:rPr>
        <w:t>TGFβ1</w:t>
      </w:r>
      <w:r>
        <w:rPr>
          <w:rFonts w:ascii="Book Antiqua" w:hAnsi="Book Antiqua"/>
        </w:rPr>
        <w:t xml:space="preserve">, </w:t>
      </w:r>
      <w:r>
        <w:rPr>
          <w:rFonts w:ascii="Book Antiqua" w:hAnsi="Book Antiqua"/>
          <w:i/>
        </w:rPr>
        <w:t>Collagen 1A1</w:t>
      </w:r>
      <w:r>
        <w:rPr>
          <w:rFonts w:ascii="Book Antiqua" w:hAnsi="Book Antiqua"/>
        </w:rPr>
        <w:t xml:space="preserve"> and </w:t>
      </w:r>
      <w:r>
        <w:rPr>
          <w:rFonts w:ascii="Book Antiqua" w:hAnsi="Book Antiqua"/>
          <w:i/>
        </w:rPr>
        <w:t>PDGFα</w:t>
      </w:r>
      <w:r>
        <w:rPr>
          <w:rFonts w:ascii="Book Antiqua" w:hAnsi="Book Antiqua"/>
        </w:rPr>
        <w:t xml:space="preserve"> genes</w:t>
      </w:r>
      <w:r>
        <w:rPr>
          <w:rFonts w:ascii="Book Antiqua" w:hAnsi="Book Antiqua"/>
          <w:vertAlign w:val="superscript"/>
        </w:rPr>
        <w:t>[11</w:t>
      </w:r>
      <w:r>
        <w:rPr>
          <w:rFonts w:hint="eastAsia" w:ascii="Book Antiqua" w:hAnsi="Book Antiqua"/>
          <w:vertAlign w:val="superscript"/>
          <w:lang w:eastAsia="zh-CN"/>
        </w:rPr>
        <w:t>2</w:t>
      </w:r>
      <w:r>
        <w:rPr>
          <w:rFonts w:ascii="Book Antiqua" w:hAnsi="Book Antiqua"/>
          <w:vertAlign w:val="superscript"/>
        </w:rPr>
        <w:t>]</w:t>
      </w:r>
      <w:r>
        <w:rPr>
          <w:rFonts w:ascii="Book Antiqua" w:hAnsi="Book Antiqua"/>
        </w:rPr>
        <w:t>. Furthermore, PPARGC1A methylation status was significantly associated with NAFLD</w:t>
      </w:r>
      <w:r>
        <w:rPr>
          <w:rFonts w:ascii="Book Antiqua" w:hAnsi="Book Antiqua"/>
          <w:vertAlign w:val="superscript"/>
        </w:rPr>
        <w:t>[11</w:t>
      </w:r>
      <w:r>
        <w:rPr>
          <w:rFonts w:hint="eastAsia" w:ascii="Book Antiqua" w:hAnsi="Book Antiqua"/>
          <w:vertAlign w:val="superscript"/>
          <w:lang w:eastAsia="zh-CN"/>
        </w:rPr>
        <w:t>3</w:t>
      </w:r>
      <w:r>
        <w:rPr>
          <w:rFonts w:ascii="Book Antiqua" w:hAnsi="Book Antiqua"/>
          <w:vertAlign w:val="superscript"/>
        </w:rPr>
        <w:t>]</w:t>
      </w:r>
      <w:r>
        <w:rPr>
          <w:rFonts w:ascii="Book Antiqua" w:hAnsi="Book Antiqua"/>
        </w:rPr>
        <w:t>. The epigenome-wide DNA methylation studies reported different associations of distinct methylation compounds with NAFLD</w:t>
      </w:r>
      <w:r>
        <w:rPr>
          <w:rFonts w:ascii="Book Antiqua" w:hAnsi="Book Antiqua"/>
          <w:vertAlign w:val="superscript"/>
        </w:rPr>
        <w:t>[11</w:t>
      </w:r>
      <w:r>
        <w:rPr>
          <w:rFonts w:hint="eastAsia" w:ascii="Book Antiqua" w:hAnsi="Book Antiqua"/>
          <w:vertAlign w:val="superscript"/>
          <w:lang w:eastAsia="zh-CN"/>
        </w:rPr>
        <w:t>4</w:t>
      </w:r>
      <w:r>
        <w:rPr>
          <w:rFonts w:ascii="Book Antiqua" w:hAnsi="Book Antiqua"/>
          <w:vertAlign w:val="superscript"/>
        </w:rPr>
        <w:t>,11</w:t>
      </w:r>
      <w:r>
        <w:rPr>
          <w:rFonts w:hint="eastAsia" w:ascii="Book Antiqua" w:hAnsi="Book Antiqua"/>
          <w:vertAlign w:val="superscript"/>
          <w:lang w:eastAsia="zh-CN"/>
        </w:rPr>
        <w:t>5</w:t>
      </w:r>
      <w:r>
        <w:rPr>
          <w:rFonts w:ascii="Book Antiqua" w:hAnsi="Book Antiqua"/>
          <w:vertAlign w:val="superscript"/>
        </w:rPr>
        <w:t>]</w:t>
      </w:r>
      <w:r>
        <w:rPr>
          <w:rFonts w:ascii="Book Antiqua" w:hAnsi="Book Antiqua"/>
        </w:rPr>
        <w:t>. Finally, a single study reported the role of methylation in NAFLD in the expression of three genes (</w:t>
      </w:r>
      <w:r>
        <w:rPr>
          <w:rFonts w:ascii="Book Antiqua" w:hAnsi="Book Antiqua"/>
          <w:i/>
        </w:rPr>
        <w:t>NPC1L1</w:t>
      </w:r>
      <w:r>
        <w:rPr>
          <w:rFonts w:ascii="Book Antiqua" w:hAnsi="Book Antiqua"/>
        </w:rPr>
        <w:t xml:space="preserve">, </w:t>
      </w:r>
      <w:r>
        <w:rPr>
          <w:rFonts w:ascii="Book Antiqua" w:hAnsi="Book Antiqua"/>
          <w:i/>
        </w:rPr>
        <w:t>STARD</w:t>
      </w:r>
      <w:r>
        <w:rPr>
          <w:rFonts w:ascii="Book Antiqua" w:hAnsi="Book Antiqua"/>
        </w:rPr>
        <w:t xml:space="preserve"> and </w:t>
      </w:r>
      <w:r>
        <w:rPr>
          <w:rFonts w:ascii="Book Antiqua" w:hAnsi="Book Antiqua"/>
          <w:i/>
        </w:rPr>
        <w:t>GRHL</w:t>
      </w:r>
      <w:r>
        <w:rPr>
          <w:rFonts w:ascii="Book Antiqua" w:hAnsi="Book Antiqua"/>
        </w:rPr>
        <w:t>) involved in lipoprotein particle composition</w:t>
      </w:r>
      <w:r>
        <w:rPr>
          <w:rFonts w:ascii="Book Antiqua" w:hAnsi="Book Antiqua"/>
          <w:vertAlign w:val="superscript"/>
        </w:rPr>
        <w:t>[11</w:t>
      </w:r>
      <w:r>
        <w:rPr>
          <w:rFonts w:hint="eastAsia" w:ascii="Book Antiqua" w:hAnsi="Book Antiqua"/>
          <w:vertAlign w:val="superscript"/>
          <w:lang w:eastAsia="zh-CN"/>
        </w:rPr>
        <w:t>6</w:t>
      </w:r>
      <w:r>
        <w:rPr>
          <w:rFonts w:ascii="Book Antiqua" w:hAnsi="Book Antiqua"/>
          <w:vertAlign w:val="superscript"/>
        </w:rPr>
        <w:t>]</w:t>
      </w:r>
      <w:r>
        <w:rPr>
          <w:rFonts w:ascii="Book Antiqua" w:hAnsi="Book Antiqua"/>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A recent and interesting prospective cohort study analyzed epigenome-wide DNA methylation data of 785 newborns and 344 10-year-old children in relation to liver fat fraction (measured by MRI) at 10 years. No differential DNA methylation at age 10 years in newborns or 10-year-old children were found</w:t>
      </w:r>
      <w:r>
        <w:rPr>
          <w:rFonts w:ascii="Book Antiqua" w:hAnsi="Book Antiqua"/>
          <w:vertAlign w:val="superscript"/>
        </w:rPr>
        <w:t>[11</w:t>
      </w:r>
      <w:r>
        <w:rPr>
          <w:rFonts w:hint="eastAsia" w:ascii="Book Antiqua" w:hAnsi="Book Antiqua"/>
          <w:vertAlign w:val="superscript"/>
          <w:lang w:eastAsia="zh-CN"/>
        </w:rPr>
        <w:t>7</w:t>
      </w:r>
      <w:r>
        <w:rPr>
          <w:rFonts w:ascii="Book Antiqua" w:hAnsi="Book Antiqua"/>
          <w:vertAlign w:val="superscript"/>
        </w:rPr>
        <w:t>]</w:t>
      </w:r>
      <w:r>
        <w:rPr>
          <w:rFonts w:ascii="Book Antiqua" w:hAnsi="Book Antiqua"/>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Despite some causative evidence, little is still known about the relationship between these changes in hepatic epigenome and their repercussion in the bloodstream. As a result, the contribution of epigenomics in the non-invasive diagnosis of NAFLD is still very limited but promising.</w:t>
      </w:r>
    </w:p>
    <w:p>
      <w:pPr>
        <w:adjustRightInd w:val="0"/>
        <w:snapToGrid w:val="0"/>
        <w:spacing w:line="360" w:lineRule="auto"/>
        <w:jc w:val="both"/>
        <w:rPr>
          <w:rFonts w:ascii="Book Antiqua" w:hAnsi="Book Antiqua"/>
          <w:b/>
          <w:i/>
          <w:lang w:eastAsia="zh-CN"/>
        </w:rPr>
      </w:pPr>
    </w:p>
    <w:p>
      <w:pPr>
        <w:adjustRightInd w:val="0"/>
        <w:snapToGrid w:val="0"/>
        <w:spacing w:line="360" w:lineRule="auto"/>
        <w:jc w:val="both"/>
        <w:rPr>
          <w:rFonts w:ascii="Book Antiqua" w:hAnsi="Book Antiqua"/>
          <w:b/>
          <w:i/>
        </w:rPr>
      </w:pPr>
      <w:r>
        <w:rPr>
          <w:rFonts w:ascii="Book Antiqua" w:hAnsi="Book Antiqua"/>
          <w:b/>
          <w:i/>
        </w:rPr>
        <w:t>Transcriptomics</w:t>
      </w:r>
    </w:p>
    <w:p>
      <w:pPr>
        <w:adjustRightInd w:val="0"/>
        <w:snapToGrid w:val="0"/>
        <w:spacing w:line="360" w:lineRule="auto"/>
        <w:jc w:val="both"/>
        <w:rPr>
          <w:rFonts w:ascii="Book Antiqua" w:hAnsi="Book Antiqua"/>
          <w:lang w:eastAsia="zh-CN"/>
        </w:rPr>
      </w:pPr>
      <w:r>
        <w:rPr>
          <w:rFonts w:ascii="Book Antiqua" w:hAnsi="Book Antiqua"/>
        </w:rPr>
        <w:t xml:space="preserve">A growing body of data is derived from </w:t>
      </w:r>
      <w:bookmarkStart w:id="36" w:name="OLE_LINK42"/>
      <w:bookmarkStart w:id="37" w:name="OLE_LINK41"/>
      <w:r>
        <w:rPr>
          <w:rFonts w:ascii="Book Antiqua" w:hAnsi="Book Antiqua"/>
        </w:rPr>
        <w:t>micro RNAs</w:t>
      </w:r>
      <w:bookmarkEnd w:id="36"/>
      <w:bookmarkEnd w:id="37"/>
      <w:r>
        <w:rPr>
          <w:rFonts w:ascii="Book Antiqua" w:hAnsi="Book Antiqua"/>
        </w:rPr>
        <w:t xml:space="preserve"> (miRNAs), highly conserved noncoding small RNAs, involved in gene expression modulation at the post-transcriptional level (Table </w:t>
      </w:r>
      <w:r>
        <w:rPr>
          <w:rFonts w:hint="eastAsia" w:ascii="Book Antiqua" w:hAnsi="Book Antiqua"/>
          <w:lang w:eastAsia="zh-CN"/>
        </w:rPr>
        <w:t>2</w:t>
      </w:r>
      <w:r>
        <w:rPr>
          <w:rFonts w:ascii="Book Antiqua" w:hAnsi="Book Antiqua"/>
        </w:rPr>
        <w:t>). MiRNAs are resistant to degradation as well as to several freeze–thaw cycles, suggesting their potential role as ideal biomarkers for use in clinical practice.</w:t>
      </w:r>
    </w:p>
    <w:p>
      <w:pPr>
        <w:adjustRightInd w:val="0"/>
        <w:snapToGrid w:val="0"/>
        <w:spacing w:line="360" w:lineRule="auto"/>
        <w:ind w:firstLine="240" w:firstLineChars="100"/>
        <w:jc w:val="both"/>
        <w:rPr>
          <w:rFonts w:ascii="Book Antiqua" w:hAnsi="Book Antiqua"/>
          <w:lang w:eastAsia="zh-CN"/>
        </w:rPr>
      </w:pPr>
      <w:r>
        <w:rPr>
          <w:rFonts w:ascii="Book Antiqua" w:hAnsi="Book Antiqua"/>
        </w:rPr>
        <w:t>Several studies highlighted the association between miR-122 and the severity of steatosis</w:t>
      </w:r>
      <w:r>
        <w:rPr>
          <w:rFonts w:ascii="Book Antiqua" w:hAnsi="Book Antiqua"/>
          <w:vertAlign w:val="superscript"/>
        </w:rPr>
        <w:t>[11</w:t>
      </w:r>
      <w:r>
        <w:rPr>
          <w:rFonts w:hint="eastAsia" w:ascii="Book Antiqua" w:hAnsi="Book Antiqua"/>
          <w:vertAlign w:val="superscript"/>
          <w:lang w:eastAsia="zh-CN"/>
        </w:rPr>
        <w:t>8</w:t>
      </w:r>
      <w:r>
        <w:rPr>
          <w:rFonts w:ascii="Book Antiqua" w:hAnsi="Book Antiqua"/>
          <w:vertAlign w:val="superscript"/>
        </w:rPr>
        <w:t>]</w:t>
      </w:r>
      <w:r>
        <w:rPr>
          <w:rFonts w:ascii="Book Antiqua" w:hAnsi="Book Antiqua"/>
        </w:rPr>
        <w:t>. A reduced hepatic expression of miR-122 was described</w:t>
      </w:r>
      <w:r>
        <w:rPr>
          <w:rFonts w:ascii="Book Antiqua" w:hAnsi="Book Antiqua"/>
          <w:vertAlign w:val="superscript"/>
        </w:rPr>
        <w:t>[1</w:t>
      </w:r>
      <w:r>
        <w:rPr>
          <w:rFonts w:hint="eastAsia" w:ascii="Book Antiqua" w:hAnsi="Book Antiqua"/>
          <w:vertAlign w:val="superscript"/>
          <w:lang w:eastAsia="zh-CN"/>
        </w:rPr>
        <w:t>19</w:t>
      </w:r>
      <w:r>
        <w:rPr>
          <w:rFonts w:ascii="Book Antiqua" w:hAnsi="Book Antiqua"/>
          <w:vertAlign w:val="superscript"/>
        </w:rPr>
        <w:t>,12</w:t>
      </w:r>
      <w:r>
        <w:rPr>
          <w:rFonts w:hint="eastAsia" w:ascii="Book Antiqua" w:hAnsi="Book Antiqua"/>
          <w:vertAlign w:val="superscript"/>
          <w:lang w:eastAsia="zh-CN"/>
        </w:rPr>
        <w:t>0</w:t>
      </w:r>
      <w:r>
        <w:rPr>
          <w:rFonts w:ascii="Book Antiqua" w:hAnsi="Book Antiqua"/>
          <w:vertAlign w:val="superscript"/>
        </w:rPr>
        <w:t>]</w:t>
      </w:r>
      <w:r>
        <w:rPr>
          <w:rFonts w:ascii="Book Antiqua" w:hAnsi="Book Antiqua"/>
        </w:rPr>
        <w:t>, whereas miR-122 levels were upregulated in serum</w:t>
      </w:r>
      <w:r>
        <w:rPr>
          <w:rFonts w:ascii="Book Antiqua" w:hAnsi="Book Antiqua"/>
          <w:vertAlign w:val="superscript"/>
        </w:rPr>
        <w:t>[12</w:t>
      </w:r>
      <w:r>
        <w:rPr>
          <w:rFonts w:hint="eastAsia" w:ascii="Book Antiqua" w:hAnsi="Book Antiqua"/>
          <w:vertAlign w:val="superscript"/>
          <w:lang w:eastAsia="zh-CN"/>
        </w:rPr>
        <w:t>0</w:t>
      </w:r>
      <w:r>
        <w:rPr>
          <w:rFonts w:ascii="Book Antiqua" w:hAnsi="Book Antiqua"/>
          <w:vertAlign w:val="superscript"/>
        </w:rPr>
        <w:t>]</w:t>
      </w:r>
      <w:r>
        <w:rPr>
          <w:rFonts w:ascii="Book Antiqua" w:hAnsi="Book Antiqua"/>
        </w:rPr>
        <w:t>.</w:t>
      </w:r>
    </w:p>
    <w:p>
      <w:pPr>
        <w:adjustRightInd w:val="0"/>
        <w:snapToGrid w:val="0"/>
        <w:spacing w:line="360" w:lineRule="auto"/>
        <w:ind w:firstLine="240" w:firstLineChars="100"/>
        <w:jc w:val="both"/>
        <w:rPr>
          <w:rFonts w:ascii="Book Antiqua" w:hAnsi="Book Antiqua"/>
          <w:lang w:eastAsia="zh-CN"/>
        </w:rPr>
      </w:pPr>
      <w:r>
        <w:rPr>
          <w:rFonts w:ascii="Book Antiqua" w:hAnsi="Book Antiqua"/>
        </w:rPr>
        <w:t>A systematic review reported 34 miRNAs associated with FLD. Among these, miR-122, miR-34a, miR-192, miR-21 and miR-99a were associated with FLD in two or more independent studies</w:t>
      </w:r>
      <w:r>
        <w:rPr>
          <w:rFonts w:ascii="Book Antiqua" w:hAnsi="Book Antiqua"/>
          <w:vertAlign w:val="superscript"/>
        </w:rPr>
        <w:t>[10</w:t>
      </w:r>
      <w:r>
        <w:rPr>
          <w:rFonts w:hint="eastAsia" w:ascii="Book Antiqua" w:hAnsi="Book Antiqua"/>
          <w:vertAlign w:val="superscript"/>
          <w:lang w:eastAsia="zh-CN"/>
        </w:rPr>
        <w:t>8</w:t>
      </w:r>
      <w:r>
        <w:rPr>
          <w:rFonts w:ascii="Book Antiqua" w:hAnsi="Book Antiqua"/>
          <w:vertAlign w:val="superscript"/>
        </w:rPr>
        <w:t>]</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Specifically, circulating miR-122 and miR-192 not only reflected both histological and molecular processes occurring in the liver, but have also been considered to be able to differentiate simple steatosis from NASH</w:t>
      </w:r>
      <w:r>
        <w:rPr>
          <w:rFonts w:ascii="Book Antiqua" w:hAnsi="Book Antiqua"/>
          <w:vertAlign w:val="superscript"/>
        </w:rPr>
        <w:t>[12</w:t>
      </w:r>
      <w:r>
        <w:rPr>
          <w:rFonts w:hint="eastAsia" w:ascii="Book Antiqua" w:hAnsi="Book Antiqua"/>
          <w:vertAlign w:val="superscript"/>
          <w:lang w:eastAsia="zh-CN"/>
        </w:rPr>
        <w:t>1</w:t>
      </w:r>
      <w:r>
        <w:rPr>
          <w:rFonts w:ascii="Book Antiqua" w:hAnsi="Book Antiqua"/>
          <w:vertAlign w:val="superscript"/>
        </w:rPr>
        <w:t>]</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 xml:space="preserve">A cross-sectional validation study disclosed that 15 specific circulating miRNAs were significantly deregulated in prepubertal obesity, including the decreased miR-221 and miR-28 </w:t>
      </w:r>
      <w:r>
        <w:rPr>
          <w:rFonts w:hint="eastAsia" w:ascii="Book Antiqua" w:hAnsi="Book Antiqua"/>
          <w:lang w:eastAsia="zh-CN"/>
        </w:rPr>
        <w:t>-</w:t>
      </w:r>
      <w:r>
        <w:rPr>
          <w:rFonts w:ascii="Book Antiqua" w:hAnsi="Book Antiqua"/>
        </w:rPr>
        <w:t>3p, and increased concentrations in plasma of miR</w:t>
      </w:r>
      <w:r>
        <w:rPr>
          <w:rFonts w:hint="eastAsia" w:ascii="Book Antiqua" w:hAnsi="Book Antiqua"/>
          <w:lang w:eastAsia="zh-CN"/>
        </w:rPr>
        <w:t>-</w:t>
      </w:r>
      <w:r>
        <w:rPr>
          <w:rFonts w:ascii="Book Antiqua" w:hAnsi="Book Antiqua"/>
        </w:rPr>
        <w:t>486</w:t>
      </w:r>
      <w:r>
        <w:rPr>
          <w:rFonts w:hint="eastAsia" w:ascii="Book Antiqua" w:hAnsi="Book Antiqua"/>
          <w:lang w:eastAsia="zh-CN"/>
        </w:rPr>
        <w:t>-</w:t>
      </w:r>
      <w:r>
        <w:rPr>
          <w:rFonts w:ascii="Book Antiqua" w:hAnsi="Book Antiqua"/>
        </w:rPr>
        <w:t>5p, miR</w:t>
      </w:r>
      <w:r>
        <w:rPr>
          <w:rFonts w:hint="eastAsia" w:ascii="Book Antiqua" w:hAnsi="Book Antiqua"/>
          <w:lang w:eastAsia="zh-CN"/>
        </w:rPr>
        <w:t>-</w:t>
      </w:r>
      <w:r>
        <w:rPr>
          <w:rFonts w:ascii="Book Antiqua" w:hAnsi="Book Antiqua"/>
        </w:rPr>
        <w:t>486</w:t>
      </w:r>
      <w:r>
        <w:rPr>
          <w:rFonts w:hint="eastAsia" w:ascii="Book Antiqua" w:hAnsi="Book Antiqua"/>
          <w:lang w:eastAsia="zh-CN"/>
        </w:rPr>
        <w:t>-</w:t>
      </w:r>
      <w:r>
        <w:rPr>
          <w:rFonts w:ascii="Book Antiqua" w:hAnsi="Book Antiqua"/>
        </w:rPr>
        <w:t>3p, miR-142</w:t>
      </w:r>
      <w:r>
        <w:rPr>
          <w:rFonts w:hint="eastAsia" w:ascii="Book Antiqua" w:hAnsi="Book Antiqua"/>
          <w:lang w:eastAsia="zh-CN"/>
        </w:rPr>
        <w:t>-</w:t>
      </w:r>
      <w:r>
        <w:rPr>
          <w:rFonts w:ascii="Book Antiqua" w:hAnsi="Book Antiqua"/>
        </w:rPr>
        <w:t>3p, miR-130b, and miR</w:t>
      </w:r>
      <w:r>
        <w:rPr>
          <w:rFonts w:hint="eastAsia" w:ascii="Book Antiqua" w:hAnsi="Book Antiqua"/>
          <w:lang w:eastAsia="zh-CN"/>
        </w:rPr>
        <w:t>-</w:t>
      </w:r>
      <w:r>
        <w:rPr>
          <w:rFonts w:ascii="Book Antiqua" w:hAnsi="Book Antiqua"/>
        </w:rPr>
        <w:t>423</w:t>
      </w:r>
      <w:r>
        <w:rPr>
          <w:rFonts w:hint="eastAsia" w:ascii="Book Antiqua" w:hAnsi="Book Antiqua"/>
          <w:lang w:eastAsia="zh-CN"/>
        </w:rPr>
        <w:t>-</w:t>
      </w:r>
      <w:r>
        <w:rPr>
          <w:rFonts w:ascii="Book Antiqua" w:hAnsi="Book Antiqua"/>
        </w:rPr>
        <w:t>5p</w:t>
      </w:r>
      <w:r>
        <w:rPr>
          <w:rFonts w:ascii="Book Antiqua" w:hAnsi="Book Antiqua"/>
          <w:vertAlign w:val="superscript"/>
        </w:rPr>
        <w:t>[12</w:t>
      </w:r>
      <w:r>
        <w:rPr>
          <w:rFonts w:hint="eastAsia" w:ascii="Book Antiqua" w:hAnsi="Book Antiqua"/>
          <w:vertAlign w:val="superscript"/>
          <w:lang w:eastAsia="zh-CN"/>
        </w:rPr>
        <w:t>2</w:t>
      </w:r>
      <w:r>
        <w:rPr>
          <w:rFonts w:ascii="Book Antiqua" w:hAnsi="Book Antiqua"/>
          <w:vertAlign w:val="superscript"/>
        </w:rPr>
        <w:t>]</w:t>
      </w:r>
      <w:r>
        <w:rPr>
          <w:rFonts w:ascii="Book Antiqua" w:hAnsi="Book Antiqua"/>
        </w:rPr>
        <w:t xml:space="preserve">. </w:t>
      </w:r>
    </w:p>
    <w:p>
      <w:pPr>
        <w:adjustRightInd w:val="0"/>
        <w:snapToGrid w:val="0"/>
        <w:spacing w:line="360" w:lineRule="auto"/>
        <w:ind w:firstLine="240" w:firstLineChars="100"/>
        <w:jc w:val="both"/>
        <w:rPr>
          <w:rFonts w:ascii="Book Antiqua" w:hAnsi="Book Antiqua"/>
          <w:lang w:eastAsia="zh-CN"/>
        </w:rPr>
      </w:pPr>
      <w:r>
        <w:rPr>
          <w:rFonts w:ascii="Book Antiqua" w:hAnsi="Book Antiqua"/>
        </w:rPr>
        <w:t>Can</w:t>
      </w:r>
      <w:bookmarkStart w:id="38" w:name="OLE_LINK43"/>
      <w:bookmarkStart w:id="39" w:name="OLE_LINK44"/>
      <w:r>
        <w:rPr>
          <w:rFonts w:ascii="Book Antiqua" w:hAnsi="Book Antiqua"/>
        </w:rPr>
        <w:t xml:space="preserve"> </w:t>
      </w:r>
      <w:bookmarkEnd w:id="38"/>
      <w:bookmarkEnd w:id="39"/>
      <w:bookmarkStart w:id="40" w:name="OLE_LINK45"/>
      <w:bookmarkStart w:id="41" w:name="OLE_LINK46"/>
      <w:r>
        <w:rPr>
          <w:rFonts w:ascii="Book Antiqua" w:hAnsi="Book Antiqua"/>
          <w:i/>
        </w:rPr>
        <w:t>et al</w:t>
      </w:r>
      <w:bookmarkEnd w:id="40"/>
      <w:bookmarkEnd w:id="41"/>
      <w:r>
        <w:rPr>
          <w:rFonts w:ascii="Book Antiqua" w:hAnsi="Book Antiqua"/>
          <w:vertAlign w:val="superscript"/>
        </w:rPr>
        <w:t>[12</w:t>
      </w:r>
      <w:r>
        <w:rPr>
          <w:rFonts w:hint="eastAsia" w:ascii="Book Antiqua" w:hAnsi="Book Antiqua"/>
          <w:vertAlign w:val="superscript"/>
          <w:lang w:eastAsia="zh-CN"/>
        </w:rPr>
        <w:t>3</w:t>
      </w:r>
      <w:r>
        <w:rPr>
          <w:rFonts w:ascii="Book Antiqua" w:hAnsi="Book Antiqua"/>
          <w:vertAlign w:val="superscript"/>
        </w:rPr>
        <w:t>]</w:t>
      </w:r>
      <w:r>
        <w:rPr>
          <w:rFonts w:ascii="Book Antiqua" w:hAnsi="Book Antiqua"/>
        </w:rPr>
        <w:t xml:space="preserve"> showed a significant association between circulating miR-370, miR-33, miR-378, miR-27, miR-335, miR-143 and miR-758 values, and childhood obesity. Low levels of miR-335, miR-143 and miR-758, and high levels of miR-27, miR-378, miR-33 and miR-370 may have been responsible for elevated triglycerides and LDL-C levels, and a low level of </w:t>
      </w:r>
      <w:bookmarkStart w:id="42" w:name="OLE_LINK52"/>
      <w:bookmarkStart w:id="43" w:name="OLE_LINK51"/>
      <w:bookmarkStart w:id="44" w:name="OLE_LINK50"/>
      <w:bookmarkStart w:id="45" w:name="OLE_LINK53"/>
      <w:r>
        <w:rPr>
          <w:rFonts w:ascii="Book Antiqua" w:hAnsi="Book Antiqua"/>
        </w:rPr>
        <w:t>HDL</w:t>
      </w:r>
      <w:bookmarkEnd w:id="42"/>
      <w:bookmarkEnd w:id="43"/>
      <w:bookmarkEnd w:id="44"/>
      <w:bookmarkEnd w:id="45"/>
      <w:r>
        <w:rPr>
          <w:rFonts w:ascii="Book Antiqua" w:hAnsi="Book Antiqua"/>
        </w:rPr>
        <w:t>-C in obese subjects.</w:t>
      </w:r>
    </w:p>
    <w:p>
      <w:pPr>
        <w:adjustRightInd w:val="0"/>
        <w:snapToGrid w:val="0"/>
        <w:spacing w:line="360" w:lineRule="auto"/>
        <w:ind w:firstLine="240" w:firstLineChars="100"/>
        <w:jc w:val="both"/>
        <w:rPr>
          <w:rFonts w:ascii="Book Antiqua" w:hAnsi="Book Antiqua"/>
        </w:rPr>
      </w:pPr>
      <w:r>
        <w:rPr>
          <w:rFonts w:ascii="Book Antiqua" w:hAnsi="Book Antiqua"/>
        </w:rPr>
        <w:t xml:space="preserve">An interesting work by Cui </w:t>
      </w:r>
      <w:r>
        <w:rPr>
          <w:rFonts w:ascii="Book Antiqua" w:hAnsi="Book Antiqua"/>
          <w:i/>
        </w:rPr>
        <w:t>et al</w:t>
      </w:r>
      <w:r>
        <w:rPr>
          <w:rFonts w:ascii="Book Antiqua" w:hAnsi="Book Antiqua"/>
          <w:vertAlign w:val="superscript"/>
        </w:rPr>
        <w:t>[12</w:t>
      </w:r>
      <w:r>
        <w:rPr>
          <w:rFonts w:hint="eastAsia" w:ascii="Book Antiqua" w:hAnsi="Book Antiqua"/>
          <w:vertAlign w:val="superscript"/>
          <w:lang w:eastAsia="zh-CN"/>
        </w:rPr>
        <w:t>4</w:t>
      </w:r>
      <w:r>
        <w:rPr>
          <w:rFonts w:ascii="Book Antiqua" w:hAnsi="Book Antiqua"/>
          <w:vertAlign w:val="superscript"/>
        </w:rPr>
        <w:t>]</w:t>
      </w:r>
      <w:r>
        <w:rPr>
          <w:rFonts w:ascii="Book Antiqua" w:hAnsi="Book Antiqua"/>
        </w:rPr>
        <w:t xml:space="preserve"> highlighted the specific role of three miRNAs, miR-486, miR-146b and miR-15b, by demonstrating their increased circulating expression in obese children and adult patients with type 2 diabetes mellitus (T2DM). In particular, miR-486 was implicated in accelerating preadipocyte proliferation and myotube glucose intolerance, miR-146b and miR-15b were engaged in the suppression of high concentration glucose-induced pancreatic insulin secretion, and they all contributed to the pathological processes of obesity and T2DM.</w:t>
      </w:r>
    </w:p>
    <w:p>
      <w:pPr>
        <w:adjustRightInd w:val="0"/>
        <w:snapToGrid w:val="0"/>
        <w:spacing w:line="360" w:lineRule="auto"/>
        <w:ind w:firstLine="240" w:firstLineChars="100"/>
        <w:jc w:val="both"/>
        <w:rPr>
          <w:rFonts w:ascii="Book Antiqua" w:hAnsi="Book Antiqua"/>
          <w:lang w:eastAsia="zh-CN"/>
        </w:rPr>
      </w:pPr>
      <w:r>
        <w:rPr>
          <w:rFonts w:ascii="Book Antiqua" w:hAnsi="Book Antiqua"/>
        </w:rPr>
        <w:t xml:space="preserve">Iacomino </w:t>
      </w:r>
      <w:r>
        <w:rPr>
          <w:rFonts w:ascii="Book Antiqua" w:hAnsi="Book Antiqua"/>
          <w:i/>
        </w:rPr>
        <w:t>et al</w:t>
      </w:r>
      <w:r>
        <w:rPr>
          <w:rFonts w:ascii="Book Antiqua" w:hAnsi="Book Antiqua"/>
          <w:vertAlign w:val="superscript"/>
        </w:rPr>
        <w:t>[12</w:t>
      </w:r>
      <w:r>
        <w:rPr>
          <w:rFonts w:hint="eastAsia" w:ascii="Book Antiqua" w:hAnsi="Book Antiqua"/>
          <w:vertAlign w:val="superscript"/>
          <w:lang w:eastAsia="zh-CN"/>
        </w:rPr>
        <w:t>5</w:t>
      </w:r>
      <w:r>
        <w:rPr>
          <w:rFonts w:ascii="Book Antiqua" w:hAnsi="Book Antiqua"/>
          <w:vertAlign w:val="superscript"/>
        </w:rPr>
        <w:t>]</w:t>
      </w:r>
      <w:r>
        <w:rPr>
          <w:rFonts w:ascii="Book Antiqua" w:hAnsi="Book Antiqua"/>
        </w:rPr>
        <w:t xml:space="preserve"> in a pilot study (FAMILY Study) conducted in 149 overweight/obese and 159 normal weight children and adolescents demonstrated a panel of miRNAs differentially expressed in these two groups (miR-551a and miR-501-5p were upregulated; miR-10b-5p, miR-191-3p, miR-215-5p, and miR-874-3p were downregulated).</w:t>
      </w:r>
    </w:p>
    <w:p>
      <w:pPr>
        <w:adjustRightInd w:val="0"/>
        <w:snapToGrid w:val="0"/>
        <w:spacing w:line="360" w:lineRule="auto"/>
        <w:ind w:firstLine="240" w:firstLineChars="100"/>
        <w:jc w:val="both"/>
        <w:rPr>
          <w:rFonts w:ascii="Book Antiqua" w:hAnsi="Book Antiqua"/>
          <w:lang w:eastAsia="zh-CN"/>
        </w:rPr>
      </w:pPr>
      <w:r>
        <w:rPr>
          <w:rFonts w:ascii="Book Antiqua" w:hAnsi="Book Antiqua"/>
        </w:rPr>
        <w:t xml:space="preserve">In a transcriptomic study by Sheldon </w:t>
      </w:r>
      <w:r>
        <w:rPr>
          <w:rFonts w:ascii="Book Antiqua" w:hAnsi="Book Antiqua"/>
          <w:i/>
        </w:rPr>
        <w:t>et al</w:t>
      </w:r>
      <w:r>
        <w:rPr>
          <w:rFonts w:ascii="Book Antiqua" w:hAnsi="Book Antiqua"/>
          <w:vertAlign w:val="superscript"/>
        </w:rPr>
        <w:t>[12</w:t>
      </w:r>
      <w:r>
        <w:rPr>
          <w:rFonts w:hint="eastAsia" w:ascii="Book Antiqua" w:hAnsi="Book Antiqua"/>
          <w:vertAlign w:val="superscript"/>
          <w:lang w:eastAsia="zh-CN"/>
        </w:rPr>
        <w:t>6</w:t>
      </w:r>
      <w:r>
        <w:rPr>
          <w:rFonts w:ascii="Book Antiqua" w:hAnsi="Book Antiqua"/>
          <w:vertAlign w:val="superscript"/>
        </w:rPr>
        <w:t>]</w:t>
      </w:r>
      <w:r>
        <w:rPr>
          <w:rFonts w:ascii="Book Antiqua" w:hAnsi="Book Antiqua"/>
        </w:rPr>
        <w:t xml:space="preserve"> a new candidate marker for distinguishing steatosis from NASH was proposed, the soluble factor FCER2, produced from NOCTH2 activation in B cells, whose expression was increased in NASH patients.</w:t>
      </w:r>
    </w:p>
    <w:p>
      <w:pPr>
        <w:adjustRightInd w:val="0"/>
        <w:snapToGrid w:val="0"/>
        <w:spacing w:line="360" w:lineRule="auto"/>
        <w:ind w:firstLine="240" w:firstLineChars="100"/>
        <w:jc w:val="both"/>
        <w:rPr>
          <w:rFonts w:ascii="Book Antiqua" w:hAnsi="Book Antiqua"/>
        </w:rPr>
      </w:pPr>
      <w:r>
        <w:rPr>
          <w:rFonts w:ascii="Book Antiqua" w:hAnsi="Book Antiqua"/>
        </w:rPr>
        <w:t xml:space="preserve">Finally, in a recent study </w:t>
      </w:r>
      <w:r>
        <w:rPr>
          <w:rFonts w:hint="eastAsia" w:ascii="Book Antiqua" w:hAnsi="Book Antiqua"/>
          <w:lang w:eastAsia="zh-CN"/>
        </w:rPr>
        <w:t>i</w:t>
      </w:r>
      <w:r>
        <w:rPr>
          <w:rFonts w:ascii="Book Antiqua" w:hAnsi="Book Antiqua"/>
        </w:rPr>
        <w:t>nterleukin</w:t>
      </w:r>
      <w:r>
        <w:rPr>
          <w:rFonts w:hint="eastAsia" w:ascii="Book Antiqua" w:hAnsi="Book Antiqua"/>
          <w:lang w:eastAsia="zh-CN"/>
        </w:rPr>
        <w:t>-</w:t>
      </w:r>
      <w:r>
        <w:rPr>
          <w:rFonts w:ascii="Book Antiqua" w:hAnsi="Book Antiqua"/>
        </w:rPr>
        <w:t>32 was found as the most significantly upregulated transcript in advanced NAFLD and NASH, being linked to lipid accumulation and disease severity</w:t>
      </w:r>
      <w:r>
        <w:rPr>
          <w:rFonts w:ascii="Book Antiqua" w:hAnsi="Book Antiqua"/>
          <w:vertAlign w:val="superscript"/>
        </w:rPr>
        <w:t>[12</w:t>
      </w:r>
      <w:r>
        <w:rPr>
          <w:rFonts w:hint="eastAsia" w:ascii="Book Antiqua" w:hAnsi="Book Antiqua"/>
          <w:vertAlign w:val="superscript"/>
          <w:lang w:eastAsia="zh-CN"/>
        </w:rPr>
        <w:t>7</w:t>
      </w:r>
      <w:r>
        <w:rPr>
          <w:rFonts w:ascii="Book Antiqua" w:hAnsi="Book Antiqua"/>
          <w:vertAlign w:val="superscript"/>
        </w:rPr>
        <w:t>]</w:t>
      </w:r>
      <w:r>
        <w:rPr>
          <w:rFonts w:ascii="Book Antiqua" w:hAnsi="Book Antiqua"/>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 xml:space="preserve">Although many studies have been investigating the role of miRNAs in the pathogenesis of NAFLD in view of their potential use as non-invasive biomarkers, results are still controversial and scarce. However, the innovative role of transcriptomics in the non-invasive diagnosis of NAFLD contributes to the new “omics” path of NAFLD. </w:t>
      </w:r>
    </w:p>
    <w:p>
      <w:pPr>
        <w:adjustRightInd w:val="0"/>
        <w:snapToGrid w:val="0"/>
        <w:spacing w:line="360" w:lineRule="auto"/>
        <w:jc w:val="both"/>
        <w:rPr>
          <w:rFonts w:ascii="Book Antiqua" w:hAnsi="Book Antiqua"/>
          <w:b/>
          <w:i/>
          <w:lang w:eastAsia="zh-CN"/>
        </w:rPr>
      </w:pPr>
    </w:p>
    <w:p>
      <w:pPr>
        <w:adjustRightInd w:val="0"/>
        <w:snapToGrid w:val="0"/>
        <w:spacing w:line="360" w:lineRule="auto"/>
        <w:jc w:val="both"/>
        <w:rPr>
          <w:rFonts w:ascii="Book Antiqua" w:hAnsi="Book Antiqua"/>
          <w:b/>
          <w:i/>
        </w:rPr>
      </w:pPr>
      <w:r>
        <w:rPr>
          <w:rFonts w:ascii="Book Antiqua" w:hAnsi="Book Antiqua"/>
          <w:b/>
          <w:i/>
        </w:rPr>
        <w:t>Proteomics</w:t>
      </w:r>
    </w:p>
    <w:p>
      <w:pPr>
        <w:adjustRightInd w:val="0"/>
        <w:snapToGrid w:val="0"/>
        <w:spacing w:line="360" w:lineRule="auto"/>
        <w:jc w:val="both"/>
        <w:rPr>
          <w:rFonts w:ascii="Book Antiqua" w:hAnsi="Book Antiqua"/>
        </w:rPr>
      </w:pPr>
      <w:bookmarkStart w:id="46" w:name="OLE_LINK476"/>
      <w:bookmarkStart w:id="47" w:name="OLE_LINK475"/>
      <w:bookmarkStart w:id="48" w:name="OLE_LINK474"/>
      <w:bookmarkStart w:id="49" w:name="OLE_LINK473"/>
      <w:r>
        <w:rPr>
          <w:rFonts w:ascii="Book Antiqua" w:hAnsi="Book Antiqua"/>
        </w:rPr>
        <w:t>To date, few studies on proteomic analysis in NAFLD have been performed, probably due to technical limitations in the correct detection and identification of proteins and to the changing quantification of blood proteins</w:t>
      </w:r>
      <w:r>
        <w:rPr>
          <w:rFonts w:ascii="Book Antiqua" w:hAnsi="Book Antiqua"/>
          <w:vertAlign w:val="superscript"/>
        </w:rPr>
        <w:t>[12</w:t>
      </w:r>
      <w:r>
        <w:rPr>
          <w:rFonts w:hint="eastAsia" w:ascii="Book Antiqua" w:hAnsi="Book Antiqua"/>
          <w:vertAlign w:val="superscript"/>
          <w:lang w:eastAsia="zh-CN"/>
        </w:rPr>
        <w:t>8</w:t>
      </w:r>
      <w:r>
        <w:rPr>
          <w:rFonts w:ascii="Book Antiqua" w:hAnsi="Book Antiqua"/>
          <w:vertAlign w:val="superscript"/>
        </w:rPr>
        <w:t>]</w:t>
      </w:r>
      <w:bookmarkEnd w:id="46"/>
      <w:bookmarkEnd w:id="47"/>
      <w:r>
        <w:rPr>
          <w:rFonts w:ascii="Book Antiqua" w:hAnsi="Book Antiqua"/>
        </w:rPr>
        <w:t xml:space="preserve">. </w:t>
      </w:r>
    </w:p>
    <w:bookmarkEnd w:id="48"/>
    <w:bookmarkEnd w:id="49"/>
    <w:p>
      <w:pPr>
        <w:adjustRightInd w:val="0"/>
        <w:snapToGrid w:val="0"/>
        <w:spacing w:line="360" w:lineRule="auto"/>
        <w:ind w:firstLine="240" w:firstLineChars="100"/>
        <w:jc w:val="both"/>
        <w:rPr>
          <w:rFonts w:ascii="Book Antiqua" w:hAnsi="Book Antiqua"/>
        </w:rPr>
      </w:pPr>
      <w:r>
        <w:rPr>
          <w:rFonts w:ascii="Book Antiqua" w:hAnsi="Book Antiqua"/>
        </w:rPr>
        <w:t>Among these proteins, the caspase-generated cytokeratin-18 (CK-18) fragments ha</w:t>
      </w:r>
      <w:r>
        <w:rPr>
          <w:rFonts w:hint="eastAsia" w:ascii="Book Antiqua" w:hAnsi="Book Antiqua"/>
          <w:lang w:eastAsia="zh-CN"/>
        </w:rPr>
        <w:t>ve</w:t>
      </w:r>
      <w:r>
        <w:rPr>
          <w:rFonts w:ascii="Book Antiqua" w:hAnsi="Book Antiqua"/>
        </w:rPr>
        <w:t xml:space="preserve"> been proposed as a noninvasive alternative biomarker of NASH. CK-18 showed a relatively good specificity for NAFLD, NASH and fibrosis but limited overall sensitivity</w:t>
      </w:r>
      <w:r>
        <w:rPr>
          <w:rFonts w:ascii="Book Antiqua" w:hAnsi="Book Antiqua"/>
          <w:vertAlign w:val="superscript"/>
        </w:rPr>
        <w:t>[1</w:t>
      </w:r>
      <w:r>
        <w:rPr>
          <w:rFonts w:hint="eastAsia" w:ascii="Book Antiqua" w:hAnsi="Book Antiqua"/>
          <w:vertAlign w:val="superscript"/>
          <w:lang w:eastAsia="zh-CN"/>
        </w:rPr>
        <w:t>29</w:t>
      </w:r>
      <w:r>
        <w:rPr>
          <w:rFonts w:ascii="Book Antiqua" w:hAnsi="Book Antiqua"/>
          <w:vertAlign w:val="superscript"/>
        </w:rPr>
        <w:t>]</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Another protein being studied is the soluble intercellular adhesion molecule-1, with promising results also in NASH detection</w:t>
      </w:r>
      <w:r>
        <w:rPr>
          <w:rFonts w:ascii="Book Antiqua" w:hAnsi="Book Antiqua" w:cs="Segoe UI"/>
          <w:color w:val="212121"/>
          <w:shd w:val="clear" w:color="auto" w:fill="FFFFFF"/>
          <w:vertAlign w:val="superscript"/>
        </w:rPr>
        <w:t>[13</w:t>
      </w:r>
      <w:r>
        <w:rPr>
          <w:rFonts w:hint="eastAsia" w:ascii="Book Antiqua" w:hAnsi="Book Antiqua" w:cs="Segoe UI"/>
          <w:color w:val="212121"/>
          <w:shd w:val="clear" w:color="auto" w:fill="FFFFFF"/>
          <w:vertAlign w:val="superscript"/>
          <w:lang w:eastAsia="zh-CN"/>
        </w:rPr>
        <w:t>0</w:t>
      </w:r>
      <w:r>
        <w:rPr>
          <w:rFonts w:ascii="Book Antiqua" w:hAnsi="Book Antiqua" w:cs="Segoe UI"/>
          <w:color w:val="212121"/>
          <w:shd w:val="clear" w:color="auto" w:fill="FFFFFF"/>
          <w:vertAlign w:val="superscript"/>
        </w:rPr>
        <w:t>]</w:t>
      </w:r>
      <w:r>
        <w:rPr>
          <w:rFonts w:ascii="Book Antiqua" w:hAnsi="Book Antiqua" w:cs="Segoe UI"/>
          <w:color w:val="212121"/>
          <w:shd w:val="clear" w:color="auto" w:fill="FFFFFF"/>
        </w:rPr>
        <w:t>.</w:t>
      </w:r>
    </w:p>
    <w:p>
      <w:pPr>
        <w:adjustRightInd w:val="0"/>
        <w:snapToGrid w:val="0"/>
        <w:spacing w:line="360" w:lineRule="auto"/>
        <w:ind w:firstLine="240" w:firstLineChars="100"/>
        <w:jc w:val="both"/>
        <w:rPr>
          <w:rFonts w:ascii="Book Antiqua" w:hAnsi="Book Antiqua"/>
        </w:rPr>
      </w:pPr>
      <w:r>
        <w:rPr>
          <w:rFonts w:ascii="Book Antiqua" w:hAnsi="Book Antiqua"/>
        </w:rPr>
        <w:t>The mitochondrial enzyme carbamoyl-phosphate synthase 1 and the heat shock protein family A member 5 have been indicated as potential tools to stratify the different phenotypes associated with liver disease severity</w:t>
      </w:r>
      <w:r>
        <w:rPr>
          <w:rFonts w:ascii="Book Antiqua" w:hAnsi="Book Antiqua"/>
          <w:vertAlign w:val="superscript"/>
        </w:rPr>
        <w:t>[13</w:t>
      </w:r>
      <w:r>
        <w:rPr>
          <w:rFonts w:hint="eastAsia" w:ascii="Book Antiqua" w:hAnsi="Book Antiqua"/>
          <w:vertAlign w:val="superscript"/>
          <w:lang w:eastAsia="zh-CN"/>
        </w:rPr>
        <w:t>1</w:t>
      </w:r>
      <w:r>
        <w:rPr>
          <w:rFonts w:ascii="Book Antiqua" w:hAnsi="Book Antiqua"/>
          <w:vertAlign w:val="superscript"/>
        </w:rPr>
        <w:t>-13</w:t>
      </w:r>
      <w:r>
        <w:rPr>
          <w:rFonts w:hint="eastAsia" w:ascii="Book Antiqua" w:hAnsi="Book Antiqua"/>
          <w:vertAlign w:val="superscript"/>
          <w:lang w:eastAsia="zh-CN"/>
        </w:rPr>
        <w:t>3</w:t>
      </w:r>
      <w:r>
        <w:rPr>
          <w:rFonts w:ascii="Book Antiqua" w:hAnsi="Book Antiqua"/>
          <w:vertAlign w:val="superscript"/>
        </w:rPr>
        <w:t>]</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 xml:space="preserve">In a recent study by Malecki </w:t>
      </w:r>
      <w:r>
        <w:rPr>
          <w:rFonts w:ascii="Book Antiqua" w:hAnsi="Book Antiqua"/>
          <w:i/>
        </w:rPr>
        <w:t>et al</w:t>
      </w:r>
      <w:r>
        <w:rPr>
          <w:rFonts w:ascii="Book Antiqua" w:hAnsi="Book Antiqua"/>
          <w:vertAlign w:val="superscript"/>
        </w:rPr>
        <w:t>[13</w:t>
      </w:r>
      <w:r>
        <w:rPr>
          <w:rFonts w:hint="eastAsia" w:ascii="Book Antiqua" w:hAnsi="Book Antiqua"/>
          <w:vertAlign w:val="superscript"/>
          <w:lang w:eastAsia="zh-CN"/>
        </w:rPr>
        <w:t>4</w:t>
      </w:r>
      <w:r>
        <w:rPr>
          <w:rFonts w:ascii="Book Antiqua" w:hAnsi="Book Antiqua"/>
          <w:vertAlign w:val="superscript"/>
        </w:rPr>
        <w:t>]</w:t>
      </w:r>
      <w:r>
        <w:rPr>
          <w:rFonts w:ascii="Book Antiqua" w:hAnsi="Book Antiqua"/>
        </w:rPr>
        <w:t>, a proteome analysis in a group of 30 children (16 with a previous NAFLD diagnosis by ultrasound) identified a total of 297 proteins. Thirty-seven distinct proteins (responsible for inflammation, stress response, and regulation of these processes) were identified. Up-regulated proteins included afamin, retinol-binding protein-4, complement components, and hemopexin, while serum protease inhibitors, clusterin, immunoglobulin chains, and vitamin D binding protein were found in the down-regulated group</w:t>
      </w:r>
      <w:r>
        <w:rPr>
          <w:rFonts w:ascii="Book Antiqua" w:hAnsi="Book Antiqua"/>
          <w:vertAlign w:val="superscript"/>
        </w:rPr>
        <w:t>[13</w:t>
      </w:r>
      <w:r>
        <w:rPr>
          <w:rFonts w:hint="eastAsia" w:ascii="Book Antiqua" w:hAnsi="Book Antiqua"/>
          <w:vertAlign w:val="superscript"/>
          <w:lang w:eastAsia="zh-CN"/>
        </w:rPr>
        <w:t>4</w:t>
      </w:r>
      <w:r>
        <w:rPr>
          <w:rFonts w:ascii="Book Antiqua" w:hAnsi="Book Antiqua"/>
          <w:vertAlign w:val="superscript"/>
        </w:rPr>
        <w:t>]</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 xml:space="preserve">Bălănescu </w:t>
      </w:r>
      <w:r>
        <w:rPr>
          <w:rFonts w:ascii="Book Antiqua" w:hAnsi="Book Antiqua"/>
          <w:i/>
        </w:rPr>
        <w:t>et al</w:t>
      </w:r>
      <w:r>
        <w:rPr>
          <w:rFonts w:ascii="Book Antiqua" w:hAnsi="Book Antiqua"/>
          <w:vertAlign w:val="superscript"/>
        </w:rPr>
        <w:t>[13</w:t>
      </w:r>
      <w:r>
        <w:rPr>
          <w:rFonts w:hint="eastAsia" w:ascii="Book Antiqua" w:hAnsi="Book Antiqua"/>
          <w:vertAlign w:val="superscript"/>
          <w:lang w:eastAsia="zh-CN"/>
        </w:rPr>
        <w:t>5</w:t>
      </w:r>
      <w:r>
        <w:rPr>
          <w:rFonts w:ascii="Book Antiqua" w:hAnsi="Book Antiqua"/>
          <w:vertAlign w:val="superscript"/>
        </w:rPr>
        <w:t>]</w:t>
      </w:r>
      <w:r>
        <w:rPr>
          <w:rFonts w:ascii="Book Antiqua" w:hAnsi="Book Antiqua"/>
        </w:rPr>
        <w:t xml:space="preserve"> confirmed the role of the</w:t>
      </w:r>
      <w:r>
        <w:t xml:space="preserve"> </w:t>
      </w:r>
      <w:r>
        <w:rPr>
          <w:rFonts w:ascii="Book Antiqua" w:hAnsi="Book Antiqua"/>
        </w:rPr>
        <w:t xml:space="preserve">heat shock protein-90 </w:t>
      </w:r>
      <w:r>
        <w:rPr>
          <w:rFonts w:hint="eastAsia" w:ascii="Book Antiqua" w:hAnsi="Book Antiqua"/>
          <w:lang w:eastAsia="zh-CN"/>
        </w:rPr>
        <w:t>(</w:t>
      </w:r>
      <w:r>
        <w:rPr>
          <w:rFonts w:ascii="Book Antiqua" w:hAnsi="Book Antiqua"/>
        </w:rPr>
        <w:t>Hsp90</w:t>
      </w:r>
      <w:r>
        <w:rPr>
          <w:rFonts w:hint="eastAsia" w:ascii="Book Antiqua" w:hAnsi="Book Antiqua"/>
          <w:lang w:eastAsia="zh-CN"/>
        </w:rPr>
        <w:t>)</w:t>
      </w:r>
      <w:r>
        <w:rPr>
          <w:rFonts w:ascii="Book Antiqua" w:hAnsi="Book Antiqua"/>
        </w:rPr>
        <w:t xml:space="preserve"> isoforms as biomarkers for NAFLD in obese and overweight children. While the Hsp90β isoform was higher, the Hsp90α isoform was lower in overweight and obese NAFLD patients. </w:t>
      </w:r>
    </w:p>
    <w:p>
      <w:pPr>
        <w:adjustRightInd w:val="0"/>
        <w:snapToGrid w:val="0"/>
        <w:spacing w:line="360" w:lineRule="auto"/>
        <w:ind w:firstLine="240" w:firstLineChars="100"/>
        <w:jc w:val="both"/>
        <w:rPr>
          <w:rFonts w:ascii="Book Antiqua" w:hAnsi="Book Antiqua"/>
          <w:lang w:eastAsia="zh-CN"/>
        </w:rPr>
      </w:pPr>
      <w:bookmarkStart w:id="50" w:name="OLE_LINK477"/>
      <w:bookmarkStart w:id="51" w:name="OLE_LINK478"/>
      <w:r>
        <w:rPr>
          <w:rFonts w:ascii="Book Antiqua" w:hAnsi="Book Antiqua"/>
        </w:rPr>
        <w:t>Hence, proteomics represents one of the most challenging fields that might contribute to the development of new noninvasive targeted tools for NAFLD diagnosis and treatment.</w:t>
      </w:r>
      <w:r>
        <w:rPr>
          <w:rFonts w:hint="eastAsia" w:ascii="Book Antiqua" w:hAnsi="Book Antiqua"/>
          <w:lang w:eastAsia="zh-CN"/>
        </w:rPr>
        <w:t xml:space="preserve"> See Table 3.</w:t>
      </w:r>
    </w:p>
    <w:bookmarkEnd w:id="50"/>
    <w:bookmarkEnd w:id="51"/>
    <w:p>
      <w:pPr>
        <w:adjustRightInd w:val="0"/>
        <w:snapToGrid w:val="0"/>
        <w:spacing w:line="360" w:lineRule="auto"/>
        <w:jc w:val="both"/>
        <w:rPr>
          <w:rFonts w:ascii="Book Antiqua" w:hAnsi="Book Antiqua"/>
          <w:lang w:eastAsia="zh-CN"/>
        </w:rPr>
      </w:pPr>
    </w:p>
    <w:p>
      <w:pPr>
        <w:adjustRightInd w:val="0"/>
        <w:snapToGrid w:val="0"/>
        <w:spacing w:line="360" w:lineRule="auto"/>
        <w:jc w:val="both"/>
        <w:rPr>
          <w:rFonts w:ascii="Book Antiqua" w:hAnsi="Book Antiqua"/>
          <w:b/>
          <w:i/>
        </w:rPr>
      </w:pPr>
      <w:r>
        <w:rPr>
          <w:rFonts w:ascii="Book Antiqua" w:hAnsi="Book Antiqua"/>
          <w:b/>
          <w:i/>
        </w:rPr>
        <w:t>Glycomics</w:t>
      </w:r>
    </w:p>
    <w:p>
      <w:pPr>
        <w:adjustRightInd w:val="0"/>
        <w:snapToGrid w:val="0"/>
        <w:spacing w:line="360" w:lineRule="auto"/>
        <w:jc w:val="both"/>
        <w:rPr>
          <w:rFonts w:ascii="Book Antiqua" w:hAnsi="Book Antiqua"/>
        </w:rPr>
      </w:pPr>
      <w:r>
        <w:rPr>
          <w:rFonts w:ascii="Book Antiqua" w:hAnsi="Book Antiqua"/>
        </w:rPr>
        <w:t xml:space="preserve">Most of the glycomics studies in NAFLD have tried to identify glycans or glycoproteins that can serve as blood biomarkers for differentiating between NAFLD and NASH or for detection of the presence of liver fibrosis and its stage. </w:t>
      </w:r>
    </w:p>
    <w:p>
      <w:pPr>
        <w:adjustRightInd w:val="0"/>
        <w:snapToGrid w:val="0"/>
        <w:spacing w:line="360" w:lineRule="auto"/>
        <w:ind w:firstLine="240" w:firstLineChars="100"/>
        <w:jc w:val="both"/>
        <w:rPr>
          <w:rFonts w:ascii="Book Antiqua" w:hAnsi="Book Antiqua"/>
        </w:rPr>
      </w:pPr>
      <w:r>
        <w:rPr>
          <w:rFonts w:ascii="Book Antiqua" w:hAnsi="Book Antiqua"/>
        </w:rPr>
        <w:t>Changes in glycosylation represent a potential good marker of liver damage due to the hepatic production of several serum glycoproteins</w:t>
      </w:r>
      <w:r>
        <w:rPr>
          <w:rFonts w:ascii="Book Antiqua" w:hAnsi="Book Antiqua"/>
          <w:vertAlign w:val="superscript"/>
        </w:rPr>
        <w:t>[13</w:t>
      </w:r>
      <w:r>
        <w:rPr>
          <w:rFonts w:hint="eastAsia" w:ascii="Book Antiqua" w:hAnsi="Book Antiqua"/>
          <w:vertAlign w:val="superscript"/>
          <w:lang w:eastAsia="zh-CN"/>
        </w:rPr>
        <w:t>6</w:t>
      </w:r>
      <w:r>
        <w:rPr>
          <w:rFonts w:ascii="Book Antiqua" w:hAnsi="Book Antiqua"/>
          <w:vertAlign w:val="superscript"/>
        </w:rPr>
        <w:t>]</w:t>
      </w:r>
      <w:r>
        <w:rPr>
          <w:rFonts w:ascii="Book Antiqua" w:hAnsi="Book Antiqua"/>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The findings of these studies demonstrated that higher concentrations of fucosylated, sialylated and agalactosylated glycans were observed in NAFLD and its progressive forms. Circulating sialic acid levels were also positively associated with metabolic syndrome and with NAFLD</w:t>
      </w:r>
      <w:r>
        <w:rPr>
          <w:rFonts w:ascii="Book Antiqua" w:hAnsi="Book Antiqua"/>
          <w:vertAlign w:val="superscript"/>
        </w:rPr>
        <w:t>[12</w:t>
      </w:r>
      <w:r>
        <w:rPr>
          <w:rFonts w:hint="eastAsia" w:ascii="Book Antiqua" w:hAnsi="Book Antiqua"/>
          <w:vertAlign w:val="superscript"/>
          <w:lang w:eastAsia="zh-CN"/>
        </w:rPr>
        <w:t>8</w:t>
      </w:r>
      <w:r>
        <w:rPr>
          <w:rFonts w:ascii="Book Antiqua" w:hAnsi="Book Antiqua"/>
          <w:vertAlign w:val="superscript"/>
        </w:rPr>
        <w:t>]</w:t>
      </w:r>
      <w:r>
        <w:rPr>
          <w:rFonts w:ascii="Book Antiqua" w:hAnsi="Book Antiqua"/>
        </w:rPr>
        <w:t xml:space="preserve">. </w:t>
      </w:r>
    </w:p>
    <w:p>
      <w:pPr>
        <w:adjustRightInd w:val="0"/>
        <w:snapToGrid w:val="0"/>
        <w:spacing w:line="360" w:lineRule="auto"/>
        <w:ind w:firstLine="240" w:firstLineChars="100"/>
        <w:jc w:val="both"/>
        <w:rPr>
          <w:rFonts w:ascii="Book Antiqua" w:hAnsi="Book Antiqua"/>
          <w:lang w:eastAsia="zh-CN"/>
        </w:rPr>
      </w:pPr>
      <w:r>
        <w:rPr>
          <w:rFonts w:ascii="Book Antiqua" w:hAnsi="Book Antiqua"/>
        </w:rPr>
        <w:t>Furthermore, changes in fucosylation were observed in other inflammatory conditions, such as in chronic pancreatitis, Crohn's disease, rheumatoid arthritis and sickle cell disease</w:t>
      </w:r>
      <w:r>
        <w:rPr>
          <w:rFonts w:ascii="Book Antiqua" w:hAnsi="Book Antiqua"/>
          <w:vertAlign w:val="superscript"/>
        </w:rPr>
        <w:t>[13</w:t>
      </w:r>
      <w:r>
        <w:rPr>
          <w:rFonts w:hint="eastAsia" w:ascii="Book Antiqua" w:hAnsi="Book Antiqua"/>
          <w:vertAlign w:val="superscript"/>
          <w:lang w:eastAsia="zh-CN"/>
        </w:rPr>
        <w:t>7</w:t>
      </w:r>
      <w:r>
        <w:rPr>
          <w:rFonts w:ascii="Book Antiqua" w:hAnsi="Book Antiqua"/>
          <w:vertAlign w:val="superscript"/>
        </w:rPr>
        <w:t>]</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Finally, hypogalactosylation (especially of IgG) was also associated with some autoimmune diseases and inflammatory pathways</w:t>
      </w:r>
      <w:r>
        <w:rPr>
          <w:rFonts w:ascii="Book Antiqua" w:hAnsi="Book Antiqua"/>
          <w:vertAlign w:val="superscript"/>
        </w:rPr>
        <w:t>[13</w:t>
      </w:r>
      <w:r>
        <w:rPr>
          <w:rFonts w:hint="eastAsia" w:ascii="Book Antiqua" w:hAnsi="Book Antiqua"/>
          <w:vertAlign w:val="superscript"/>
          <w:lang w:eastAsia="zh-CN"/>
        </w:rPr>
        <w:t>8</w:t>
      </w:r>
      <w:r>
        <w:rPr>
          <w:rFonts w:ascii="Book Antiqua" w:hAnsi="Book Antiqua"/>
          <w:vertAlign w:val="superscript"/>
        </w:rPr>
        <w:t>]</w:t>
      </w:r>
      <w:r>
        <w:rPr>
          <w:rFonts w:ascii="Book Antiqua" w:hAnsi="Book Antiqua"/>
        </w:rPr>
        <w:t>.</w:t>
      </w:r>
    </w:p>
    <w:p>
      <w:pPr>
        <w:adjustRightInd w:val="0"/>
        <w:snapToGrid w:val="0"/>
        <w:spacing w:line="360" w:lineRule="auto"/>
        <w:ind w:firstLine="240" w:firstLineChars="100"/>
        <w:jc w:val="both"/>
        <w:rPr>
          <w:rFonts w:ascii="Book Antiqua" w:hAnsi="Book Antiqua"/>
        </w:rPr>
      </w:pPr>
      <w:r>
        <w:rPr>
          <w:rFonts w:ascii="Book Antiqua" w:hAnsi="Book Antiqua"/>
        </w:rPr>
        <w:t xml:space="preserve">The first glycomic analysis in a pediatric NAFLD population was conducted by Blomme </w:t>
      </w:r>
      <w:r>
        <w:rPr>
          <w:rFonts w:ascii="Book Antiqua" w:hAnsi="Book Antiqua"/>
          <w:i/>
        </w:rPr>
        <w:t>et al</w:t>
      </w:r>
      <w:r>
        <w:rPr>
          <w:rFonts w:ascii="Book Antiqua" w:hAnsi="Book Antiqua"/>
          <w:vertAlign w:val="superscript"/>
        </w:rPr>
        <w:t>[13</w:t>
      </w:r>
      <w:r>
        <w:rPr>
          <w:rFonts w:hint="eastAsia" w:ascii="Book Antiqua" w:hAnsi="Book Antiqua"/>
          <w:vertAlign w:val="superscript"/>
          <w:lang w:eastAsia="zh-CN"/>
        </w:rPr>
        <w:t>6</w:t>
      </w:r>
      <w:r>
        <w:rPr>
          <w:rFonts w:ascii="Book Antiqua" w:hAnsi="Book Antiqua"/>
          <w:vertAlign w:val="superscript"/>
        </w:rPr>
        <w:t>]</w:t>
      </w:r>
      <w:r>
        <w:rPr>
          <w:rFonts w:ascii="Book Antiqua" w:hAnsi="Book Antiqua"/>
        </w:rPr>
        <w:t>. In agreement with adult findings, B cells were found to play a dominant role in the N-glycan alterations of pediatric NASH patients. Serum protein N-glycosylation patterns of 51 pediatric NAFLD patients were assessed with deoxyribonucleic acid sequencer-assisted fluorophore-assisted capillary electrophoresis and compared with histology. Analysis of the N-glycans on IgG confirmed the under-galactosylation status typical of chronic inflammatory conditions.</w:t>
      </w:r>
    </w:p>
    <w:p>
      <w:pPr>
        <w:adjustRightInd w:val="0"/>
        <w:snapToGrid w:val="0"/>
        <w:spacing w:line="360" w:lineRule="auto"/>
        <w:jc w:val="both"/>
        <w:rPr>
          <w:rFonts w:ascii="Book Antiqua" w:hAnsi="Book Antiqua"/>
          <w:b/>
          <w:i/>
          <w:lang w:eastAsia="zh-CN"/>
        </w:rPr>
      </w:pPr>
    </w:p>
    <w:p>
      <w:pPr>
        <w:adjustRightInd w:val="0"/>
        <w:snapToGrid w:val="0"/>
        <w:spacing w:line="360" w:lineRule="auto"/>
        <w:jc w:val="both"/>
        <w:rPr>
          <w:rFonts w:ascii="Book Antiqua" w:hAnsi="Book Antiqua"/>
          <w:b/>
          <w:i/>
          <w:lang w:eastAsia="zh-CN"/>
        </w:rPr>
      </w:pPr>
      <w:r>
        <w:rPr>
          <w:rFonts w:ascii="Book Antiqua" w:hAnsi="Book Antiqua"/>
          <w:b/>
          <w:i/>
        </w:rPr>
        <w:t xml:space="preserve">Metabolomics and </w:t>
      </w:r>
      <w:r>
        <w:rPr>
          <w:rFonts w:hint="eastAsia" w:ascii="Book Antiqua" w:hAnsi="Book Antiqua"/>
          <w:b/>
          <w:i/>
          <w:lang w:eastAsia="zh-CN"/>
        </w:rPr>
        <w:t>l</w:t>
      </w:r>
      <w:r>
        <w:rPr>
          <w:rFonts w:ascii="Book Antiqua" w:hAnsi="Book Antiqua"/>
          <w:b/>
          <w:i/>
        </w:rPr>
        <w:t>ipidomics</w:t>
      </w:r>
    </w:p>
    <w:p>
      <w:pPr>
        <w:adjustRightInd w:val="0"/>
        <w:snapToGrid w:val="0"/>
        <w:spacing w:line="360" w:lineRule="auto"/>
        <w:jc w:val="both"/>
        <w:rPr>
          <w:rFonts w:ascii="Book Antiqua" w:hAnsi="Book Antiqua"/>
          <w:lang w:eastAsia="zh-CN"/>
        </w:rPr>
      </w:pPr>
      <w:bookmarkStart w:id="52" w:name="OLE_LINK461"/>
      <w:bookmarkStart w:id="53" w:name="OLE_LINK462"/>
      <w:r>
        <w:rPr>
          <w:rFonts w:ascii="Book Antiqua" w:hAnsi="Book Antiqua"/>
        </w:rPr>
        <w:t xml:space="preserve">To date, both metabolomics and lipidomics represent the most investigated omics branches in NAFLD with promising results for the development of new targeted strategies </w:t>
      </w:r>
      <w:bookmarkEnd w:id="52"/>
      <w:bookmarkEnd w:id="53"/>
      <w:r>
        <w:rPr>
          <w:rFonts w:ascii="Book Antiqua" w:hAnsi="Book Antiqua"/>
        </w:rPr>
        <w:t xml:space="preserve">(Figure </w:t>
      </w:r>
      <w:r>
        <w:rPr>
          <w:rFonts w:hint="eastAsia" w:ascii="Book Antiqua" w:hAnsi="Book Antiqua"/>
          <w:lang w:eastAsia="zh-CN"/>
        </w:rPr>
        <w:t>2</w:t>
      </w:r>
      <w:r>
        <w:rPr>
          <w:rFonts w:ascii="Book Antiqua" w:hAnsi="Book Antiqua"/>
        </w:rPr>
        <w:t>). Of interest, robust and extensive changes were observed both in the hepatic as well as in the circulating lipidome, which have led to the development of numerous diagnostic models for NAFLD and the identification of novel therapeutic targets. Many studies have reported several diagnostic models based on metabolomics, lipidomics alone or combined with other biochemical and clinical parameters for the diagnosis and staging of NAFLD.</w:t>
      </w:r>
    </w:p>
    <w:p>
      <w:pPr>
        <w:adjustRightInd w:val="0"/>
        <w:snapToGrid w:val="0"/>
        <w:spacing w:line="360" w:lineRule="auto"/>
        <w:ind w:firstLine="240" w:firstLineChars="100"/>
        <w:jc w:val="both"/>
        <w:rPr>
          <w:rFonts w:ascii="Book Antiqua" w:hAnsi="Book Antiqua"/>
          <w:lang w:val="en-GB"/>
        </w:rPr>
      </w:pPr>
      <w:r>
        <w:rPr>
          <w:rFonts w:ascii="Book Antiqua" w:hAnsi="Book Antiqua"/>
        </w:rPr>
        <w:t>Lipidomic studies have described specific changes in hepatic lipidome in patients with NAFLD. The hepatic concentrations of t</w:t>
      </w:r>
      <w:r>
        <w:rPr>
          <w:rFonts w:ascii="Book Antiqua" w:hAnsi="Book Antiqua"/>
          <w:lang w:val="en-GB"/>
        </w:rPr>
        <w:t xml:space="preserve">riacylglycerols, </w:t>
      </w:r>
      <w:r>
        <w:rPr>
          <w:rFonts w:ascii="Book Antiqua" w:hAnsi="Book Antiqua"/>
        </w:rPr>
        <w:t>saturated fatty acids (</w:t>
      </w:r>
      <w:bookmarkStart w:id="54" w:name="OLE_LINK59"/>
      <w:bookmarkStart w:id="55" w:name="OLE_LINK58"/>
      <w:r>
        <w:rPr>
          <w:rFonts w:ascii="Book Antiqua" w:hAnsi="Book Antiqua"/>
        </w:rPr>
        <w:t>SFA</w:t>
      </w:r>
      <w:bookmarkEnd w:id="54"/>
      <w:bookmarkEnd w:id="55"/>
      <w:r>
        <w:rPr>
          <w:rFonts w:ascii="Book Antiqua" w:hAnsi="Book Antiqua"/>
        </w:rPr>
        <w:t>s and specifically of palmitic acid, C16:0 and stearate acid, C18:0), free cholesterol, sphingolipids, glycerophospholipids and eicosanoids increase, whereas ω-3 polyunsaturated fatty acids (PUFAs</w:t>
      </w:r>
      <w:r>
        <w:rPr>
          <w:rFonts w:hint="eastAsia" w:ascii="Book Antiqua" w:hAnsi="Book Antiqua"/>
          <w:lang w:eastAsia="zh-CN"/>
        </w:rPr>
        <w:t>)</w:t>
      </w:r>
      <w:r>
        <w:rPr>
          <w:rFonts w:ascii="Book Antiqua" w:hAnsi="Book Antiqua"/>
        </w:rPr>
        <w:t xml:space="preserve"> and specialized proresolving mediator</w:t>
      </w:r>
      <w:bookmarkStart w:id="56" w:name="OLE_LINK64"/>
      <w:bookmarkStart w:id="57" w:name="OLE_LINK65"/>
      <w:r>
        <w:rPr>
          <w:rFonts w:ascii="Book Antiqua" w:hAnsi="Book Antiqua"/>
        </w:rPr>
        <w:t>s</w:t>
      </w:r>
      <w:bookmarkEnd w:id="56"/>
      <w:bookmarkEnd w:id="57"/>
      <w:r>
        <w:rPr>
          <w:rFonts w:hint="eastAsia" w:ascii="Book Antiqua" w:hAnsi="Book Antiqua"/>
          <w:lang w:eastAsia="zh-CN"/>
        </w:rPr>
        <w:t xml:space="preserve"> </w:t>
      </w:r>
      <w:r>
        <w:rPr>
          <w:rFonts w:ascii="Book Antiqua" w:hAnsi="Book Antiqua"/>
        </w:rPr>
        <w:t xml:space="preserve">of PUFAs decrease. </w:t>
      </w:r>
      <w:r>
        <w:rPr>
          <w:rFonts w:ascii="Book Antiqua" w:hAnsi="Book Antiqua"/>
          <w:lang w:val="en-GB"/>
        </w:rPr>
        <w:t>Monounsaturated fatty acids, lysophosphatidylcholine (LPC) and ceramide are also increased</w:t>
      </w:r>
      <w:r>
        <w:rPr>
          <w:rFonts w:ascii="Book Antiqua" w:hAnsi="Book Antiqua"/>
          <w:vertAlign w:val="superscript"/>
          <w:lang w:val="en-GB"/>
        </w:rPr>
        <w:t>[21]</w:t>
      </w:r>
      <w:r>
        <w:rPr>
          <w:rFonts w:ascii="Book Antiqua" w:hAnsi="Book Antiqua"/>
          <w:lang w:val="en-GB"/>
        </w:rPr>
        <w:t>.</w:t>
      </w:r>
    </w:p>
    <w:p>
      <w:pPr>
        <w:adjustRightInd w:val="0"/>
        <w:snapToGrid w:val="0"/>
        <w:spacing w:line="360" w:lineRule="auto"/>
        <w:ind w:firstLine="240" w:firstLineChars="100"/>
        <w:jc w:val="both"/>
        <w:rPr>
          <w:rFonts w:ascii="Book Antiqua" w:hAnsi="Book Antiqua"/>
        </w:rPr>
      </w:pPr>
      <w:r>
        <w:rPr>
          <w:rFonts w:ascii="Book Antiqua" w:hAnsi="Book Antiqua"/>
        </w:rPr>
        <w:t>SFAs accumulation is associated with liver disease severity. They work in two different ways: on the hepatocytes stimulating proinflammatory cytokine secretion, enhancing oxidative stress, inducing apoptosis and on nonparenchymal liver cells stimulating secretion of proinflammatory and profibrotic cytokines (Kupffer cells) and induce proinflammatory M1 polarization of macrophages. Finally, SFAs stimulate the secretion of chemokines from hepatic stellate cells that recruit more macrophages in the liver</w:t>
      </w:r>
      <w:r>
        <w:rPr>
          <w:rFonts w:ascii="Book Antiqua" w:hAnsi="Book Antiqua"/>
          <w:vertAlign w:val="superscript"/>
        </w:rPr>
        <w:t>[12</w:t>
      </w:r>
      <w:r>
        <w:rPr>
          <w:rFonts w:hint="eastAsia" w:ascii="Book Antiqua" w:hAnsi="Book Antiqua"/>
          <w:vertAlign w:val="superscript"/>
          <w:lang w:eastAsia="zh-CN"/>
        </w:rPr>
        <w:t>8</w:t>
      </w:r>
      <w:r>
        <w:rPr>
          <w:rFonts w:ascii="Book Antiqua" w:hAnsi="Book Antiqua"/>
          <w:vertAlign w:val="superscript"/>
        </w:rPr>
        <w:t>]</w:t>
      </w:r>
      <w:r>
        <w:rPr>
          <w:rFonts w:ascii="Book Antiqua" w:hAnsi="Book Antiqua"/>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LPC also stimulates ER stress, causes mitochondrial dysfunction and increases apoptosis</w:t>
      </w:r>
      <w:r>
        <w:rPr>
          <w:rFonts w:ascii="Book Antiqua" w:hAnsi="Book Antiqua"/>
          <w:vertAlign w:val="superscript"/>
        </w:rPr>
        <w:t>[1</w:t>
      </w:r>
      <w:r>
        <w:rPr>
          <w:rFonts w:hint="eastAsia" w:ascii="Book Antiqua" w:hAnsi="Book Antiqua"/>
          <w:vertAlign w:val="superscript"/>
          <w:lang w:eastAsia="zh-CN"/>
        </w:rPr>
        <w:t>39</w:t>
      </w:r>
      <w:r>
        <w:rPr>
          <w:rFonts w:ascii="Book Antiqua" w:hAnsi="Book Antiqua"/>
          <w:vertAlign w:val="superscript"/>
        </w:rPr>
        <w:t>]</w:t>
      </w:r>
      <w:r>
        <w:rPr>
          <w:rFonts w:ascii="Book Antiqua" w:hAnsi="Book Antiqua"/>
        </w:rPr>
        <w:t xml:space="preserve">. Increased activity of the enzyme phospholipase A2 that catalyzes the formation of LPC from PC, leads to the rapid depletion of PC which affects hepatocyte membrane integrity and results in hepatocyte apoptosis, high release of lipotoxic lipids and increased inflammation. Additionally, PC deficiency reduces </w:t>
      </w:r>
      <w:bookmarkStart w:id="58" w:name="OLE_LINK71"/>
      <w:bookmarkStart w:id="59" w:name="OLE_LINK70"/>
      <w:r>
        <w:rPr>
          <w:rFonts w:ascii="Book Antiqua" w:hAnsi="Book Antiqua"/>
        </w:rPr>
        <w:t xml:space="preserve">VLDL </w:t>
      </w:r>
      <w:bookmarkEnd w:id="58"/>
      <w:bookmarkEnd w:id="59"/>
      <w:r>
        <w:rPr>
          <w:rFonts w:ascii="Book Antiqua" w:hAnsi="Book Antiqua"/>
        </w:rPr>
        <w:t>secretion resulting in higher intrahepatic lipid degradation and the formation of toxic intermediates</w:t>
      </w:r>
      <w:r>
        <w:rPr>
          <w:rFonts w:ascii="Book Antiqua" w:hAnsi="Book Antiqua"/>
          <w:vertAlign w:val="superscript"/>
        </w:rPr>
        <w:t>[14</w:t>
      </w:r>
      <w:r>
        <w:rPr>
          <w:rFonts w:hint="eastAsia" w:ascii="Book Antiqua" w:hAnsi="Book Antiqua"/>
          <w:vertAlign w:val="superscript"/>
          <w:lang w:eastAsia="zh-CN"/>
        </w:rPr>
        <w:t>0</w:t>
      </w:r>
      <w:r>
        <w:rPr>
          <w:rFonts w:ascii="Book Antiqua" w:hAnsi="Book Antiqua"/>
          <w:vertAlign w:val="superscript"/>
        </w:rPr>
        <w:t>]</w:t>
      </w:r>
      <w:r>
        <w:rPr>
          <w:rFonts w:ascii="Book Antiqua" w:hAnsi="Book Antiqua"/>
        </w:rPr>
        <w:t xml:space="preserve">. </w:t>
      </w:r>
    </w:p>
    <w:p>
      <w:pPr>
        <w:adjustRightInd w:val="0"/>
        <w:snapToGrid w:val="0"/>
        <w:spacing w:line="360" w:lineRule="auto"/>
        <w:ind w:firstLine="240" w:firstLineChars="100"/>
        <w:jc w:val="both"/>
        <w:rPr>
          <w:rFonts w:ascii="Book Antiqua" w:hAnsi="Book Antiqua"/>
        </w:rPr>
      </w:pPr>
      <w:r>
        <w:rPr>
          <w:rFonts w:ascii="Book Antiqua" w:hAnsi="Book Antiqua"/>
        </w:rPr>
        <w:t>Ceramides correlate positively with hepatic disease severity</w:t>
      </w:r>
      <w:r>
        <w:rPr>
          <w:rFonts w:ascii="Book Antiqua" w:hAnsi="Book Antiqua"/>
          <w:vertAlign w:val="superscript"/>
        </w:rPr>
        <w:t>[14</w:t>
      </w:r>
      <w:r>
        <w:rPr>
          <w:rFonts w:hint="eastAsia" w:ascii="Book Antiqua" w:hAnsi="Book Antiqua"/>
          <w:vertAlign w:val="superscript"/>
          <w:lang w:eastAsia="zh-CN"/>
        </w:rPr>
        <w:t>1</w:t>
      </w:r>
      <w:r>
        <w:rPr>
          <w:rFonts w:ascii="Book Antiqua" w:hAnsi="Book Antiqua"/>
          <w:vertAlign w:val="superscript"/>
        </w:rPr>
        <w:t>]</w:t>
      </w:r>
      <w:r>
        <w:rPr>
          <w:rFonts w:ascii="Book Antiqua" w:hAnsi="Book Antiqua"/>
        </w:rPr>
        <w:t>. These lipids have been found to decrease insulin sensitivity in skeletal muscle and hepatocytes</w:t>
      </w:r>
      <w:r>
        <w:rPr>
          <w:rFonts w:ascii="Book Antiqua" w:hAnsi="Book Antiqua"/>
          <w:vertAlign w:val="superscript"/>
        </w:rPr>
        <w:t>[14</w:t>
      </w:r>
      <w:r>
        <w:rPr>
          <w:rFonts w:hint="eastAsia" w:ascii="Book Antiqua" w:hAnsi="Book Antiqua"/>
          <w:vertAlign w:val="superscript"/>
          <w:lang w:eastAsia="zh-CN"/>
        </w:rPr>
        <w:t>2</w:t>
      </w:r>
      <w:r>
        <w:rPr>
          <w:rFonts w:ascii="Book Antiqua" w:hAnsi="Book Antiqua"/>
          <w:vertAlign w:val="superscript"/>
        </w:rPr>
        <w:t xml:space="preserve">] </w:t>
      </w:r>
      <w:r>
        <w:rPr>
          <w:rFonts w:ascii="Book Antiqua" w:hAnsi="Book Antiqua"/>
        </w:rPr>
        <w:t>and are involved in increased oxidative stress, mitochondrial dysfunction, and cell apoptosis</w:t>
      </w:r>
      <w:r>
        <w:rPr>
          <w:rFonts w:ascii="Book Antiqua" w:hAnsi="Book Antiqua"/>
          <w:vertAlign w:val="superscript"/>
        </w:rPr>
        <w:t>[14</w:t>
      </w:r>
      <w:r>
        <w:rPr>
          <w:rFonts w:hint="eastAsia" w:ascii="Book Antiqua" w:hAnsi="Book Antiqua"/>
          <w:vertAlign w:val="superscript"/>
          <w:lang w:eastAsia="zh-CN"/>
        </w:rPr>
        <w:t>2</w:t>
      </w:r>
      <w:r>
        <w:rPr>
          <w:rFonts w:ascii="Book Antiqua" w:hAnsi="Book Antiqua"/>
          <w:vertAlign w:val="superscript"/>
        </w:rPr>
        <w:t>,14</w:t>
      </w:r>
      <w:r>
        <w:rPr>
          <w:rFonts w:hint="eastAsia" w:ascii="Book Antiqua" w:hAnsi="Book Antiqua"/>
          <w:vertAlign w:val="superscript"/>
          <w:lang w:eastAsia="zh-CN"/>
        </w:rPr>
        <w:t>3</w:t>
      </w:r>
      <w:r>
        <w:rPr>
          <w:rFonts w:ascii="Book Antiqua" w:hAnsi="Book Antiqua"/>
          <w:vertAlign w:val="superscript"/>
        </w:rPr>
        <w:t>]</w:t>
      </w:r>
      <w:r>
        <w:rPr>
          <w:rFonts w:ascii="Book Antiqua" w:hAnsi="Book Antiqua"/>
        </w:rPr>
        <w:t>. Finally, ceramide stimulates fibrogenesis and angiogenesis by increasing extracellular matrix deposition and the secretion of pro-angiogenic factors by hepatic stellate cells</w:t>
      </w:r>
      <w:r>
        <w:rPr>
          <w:rFonts w:ascii="Book Antiqua" w:hAnsi="Book Antiqua"/>
          <w:vertAlign w:val="superscript"/>
        </w:rPr>
        <w:t>[14</w:t>
      </w:r>
      <w:r>
        <w:rPr>
          <w:rFonts w:hint="eastAsia" w:ascii="Book Antiqua" w:hAnsi="Book Antiqua"/>
          <w:vertAlign w:val="superscript"/>
          <w:lang w:eastAsia="zh-CN"/>
        </w:rPr>
        <w:t>4</w:t>
      </w:r>
      <w:r>
        <w:rPr>
          <w:rFonts w:ascii="Book Antiqua" w:hAnsi="Book Antiqua"/>
          <w:vertAlign w:val="superscript"/>
        </w:rPr>
        <w:t>]</w:t>
      </w:r>
      <w:r>
        <w:rPr>
          <w:rFonts w:ascii="Book Antiqua" w:hAnsi="Book Antiqua"/>
        </w:rPr>
        <w:t xml:space="preserve">. </w:t>
      </w:r>
    </w:p>
    <w:p>
      <w:pPr>
        <w:adjustRightInd w:val="0"/>
        <w:snapToGrid w:val="0"/>
        <w:spacing w:line="360" w:lineRule="auto"/>
        <w:ind w:firstLine="240" w:firstLineChars="100"/>
        <w:jc w:val="both"/>
        <w:rPr>
          <w:rFonts w:ascii="Book Antiqua" w:hAnsi="Book Antiqua"/>
          <w:lang w:eastAsia="zh-CN"/>
        </w:rPr>
      </w:pPr>
      <w:r>
        <w:rPr>
          <w:rFonts w:ascii="Book Antiqua" w:hAnsi="Book Antiqua"/>
        </w:rPr>
        <w:t>The attractive omics field might greatly contribute to improving not only knowledge on NAFLD pathophysiology but also its management.</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Given the global relentless spread of childhood obesity, NAFLD and its cardiometabolic burden (including MetS, IR, cardiovascular disease, prediabetes, and type 2 diabetes) in childhood represent a major health challenge for clinicians</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45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Moreover, the close relationship of NAFLD with the metabolic milieu has recently been highlighted in the new definition of NAFLD as metabolic associated fatty liver disease</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46</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47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To date, diet and lifestyle interventions remain the cornerstone of NAFLD treatment. Over the last few years, promising approaches have been proposed, but larger validation studies are required. In particular, omics represents the most intriguing strategy in this field, due to its potential effectiveness in preventing NAFLD as a noninvasive diagnostic and therapeutic tool.</w:t>
      </w:r>
    </w:p>
    <w:p>
      <w:pPr>
        <w:spacing w:line="360" w:lineRule="auto"/>
        <w:ind w:firstLine="240" w:firstLineChars="100"/>
        <w:jc w:val="both"/>
      </w:pPr>
      <w:r>
        <w:rPr>
          <w:rFonts w:ascii="Book Antiqua" w:hAnsi="Book Antiqua" w:eastAsia="Book Antiqua" w:cs="Book Antiqua"/>
          <w:color w:val="000000"/>
        </w:rPr>
        <w:t>Further novel therapeutic insights for this insidious disease might be provided only by advances in the knowledge of NAFLD pathophysiology.</w:t>
      </w:r>
    </w:p>
    <w:p>
      <w:pPr>
        <w:spacing w:line="360" w:lineRule="auto"/>
        <w:jc w:val="both"/>
      </w:pPr>
    </w:p>
    <w:p>
      <w:pPr>
        <w:spacing w:line="360" w:lineRule="auto"/>
        <w:jc w:val="both"/>
        <w:rPr>
          <w:lang w:eastAsia="zh-CN"/>
        </w:rPr>
      </w:pPr>
      <w:r>
        <w:rPr>
          <w:rFonts w:ascii="Book Antiqua" w:hAnsi="Book Antiqua" w:eastAsia="Book Antiqua" w:cs="Book Antiqua"/>
          <w:b/>
          <w:color w:val="000000"/>
        </w:rPr>
        <w:t>REFERENCES</w:t>
      </w:r>
    </w:p>
    <w:p>
      <w:pPr>
        <w:pStyle w:val="8"/>
        <w:shd w:val="clear" w:color="auto" w:fill="FFFFFF"/>
        <w:adjustRightInd w:val="0"/>
        <w:snapToGrid w:val="0"/>
        <w:spacing w:before="0" w:beforeAutospacing="0" w:after="0" w:afterAutospacing="0" w:line="360" w:lineRule="auto"/>
        <w:jc w:val="both"/>
        <w:rPr>
          <w:rFonts w:ascii="Book Antiqua" w:hAnsi="Book Antiqua"/>
        </w:rPr>
      </w:pPr>
      <w:bookmarkStart w:id="60" w:name="OLE_LINK77"/>
      <w:bookmarkStart w:id="61" w:name="OLE_LINK75"/>
      <w:bookmarkStart w:id="62" w:name="OLE_LINK76"/>
      <w:bookmarkStart w:id="63" w:name="OLE_LINK74"/>
      <w:bookmarkStart w:id="64" w:name="OLE_LINK14"/>
      <w:bookmarkStart w:id="65" w:name="OLE_LINK481"/>
      <w:bookmarkStart w:id="66" w:name="OLE_LINK484"/>
      <w:bookmarkStart w:id="67" w:name="OLE_LINK482"/>
      <w:bookmarkStart w:id="68" w:name="OLE_LINK483"/>
      <w:r>
        <w:rPr>
          <w:rFonts w:ascii="Book Antiqua" w:hAnsi="Book Antiqua"/>
        </w:rPr>
        <w:t xml:space="preserve">1 </w:t>
      </w:r>
      <w:r>
        <w:rPr>
          <w:rFonts w:ascii="Book Antiqua" w:hAnsi="Book Antiqua"/>
          <w:b/>
          <w:bCs/>
        </w:rPr>
        <w:t>Goldner D</w:t>
      </w:r>
      <w:r>
        <w:rPr>
          <w:rFonts w:ascii="Book Antiqua" w:hAnsi="Book Antiqua"/>
        </w:rPr>
        <w:t xml:space="preserve">, Lavine JE. Nonalcoholic Fatty Liver Disease in Children: Unique Considerations and Challenges.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1967-1983.e1 [PMID: 32201176 DOI: 10.1053/j.gastro.2020.01.048]</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Shaunak M</w:t>
      </w:r>
      <w:r>
        <w:rPr>
          <w:rFonts w:ascii="Book Antiqua" w:hAnsi="Book Antiqua"/>
        </w:rPr>
        <w:t xml:space="preserve">, Byrne CD, Davis N, Afolabi P, Faust SN, Davies JH. Non-alcoholic fatty liver disease and childhood obesity. </w:t>
      </w:r>
      <w:r>
        <w:rPr>
          <w:rFonts w:ascii="Book Antiqua" w:hAnsi="Book Antiqua"/>
          <w:i/>
          <w:iCs/>
        </w:rPr>
        <w:t>Arch Dis Child</w:t>
      </w:r>
      <w:r>
        <w:rPr>
          <w:rFonts w:ascii="Book Antiqua" w:hAnsi="Book Antiqua"/>
        </w:rPr>
        <w:t xml:space="preserve"> 2021; </w:t>
      </w:r>
      <w:r>
        <w:rPr>
          <w:rFonts w:ascii="Book Antiqua" w:hAnsi="Book Antiqua"/>
          <w:b/>
          <w:bCs/>
        </w:rPr>
        <w:t>106</w:t>
      </w:r>
      <w:r>
        <w:rPr>
          <w:rFonts w:ascii="Book Antiqua" w:hAnsi="Book Antiqua"/>
        </w:rPr>
        <w:t>: 3-8 [PMID: 32409495 DOI: 10.1136/archdischild-2019-318063]</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Morandi A</w:t>
      </w:r>
      <w:r>
        <w:rPr>
          <w:rFonts w:ascii="Book Antiqua" w:hAnsi="Book Antiqua"/>
        </w:rPr>
        <w:t xml:space="preserve">, Di Sessa A, Zusi C, Umano GR, El Mazloum D, Fornari E, Miraglia Del Giudice E, Targher G, Maffeis C. Nonalcoholic Fatty Liver Disease and Estimated Insulin Resistance in Obese Youth: A Mendelian Randomization Analysis. </w:t>
      </w:r>
      <w:r>
        <w:rPr>
          <w:rFonts w:ascii="Book Antiqua" w:hAnsi="Book Antiqua"/>
          <w:i/>
          <w:iCs/>
        </w:rPr>
        <w:t>J Clin Endocrinol Metab</w:t>
      </w:r>
      <w:r>
        <w:rPr>
          <w:rFonts w:ascii="Book Antiqua" w:hAnsi="Book Antiqua"/>
        </w:rPr>
        <w:t xml:space="preserve"> 2020; </w:t>
      </w:r>
      <w:r>
        <w:rPr>
          <w:rFonts w:ascii="Book Antiqua" w:hAnsi="Book Antiqua"/>
          <w:b/>
          <w:bCs/>
        </w:rPr>
        <w:t>105</w:t>
      </w:r>
      <w:r>
        <w:rPr>
          <w:rFonts w:ascii="Book Antiqua" w:hAnsi="Book Antiqua"/>
        </w:rPr>
        <w:t xml:space="preserve"> [PMID: 32841326 DOI: 10.1210/clinem/dgaa583]</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Di Bonito P</w:t>
      </w:r>
      <w:r>
        <w:rPr>
          <w:rFonts w:ascii="Book Antiqua" w:hAnsi="Book Antiqua"/>
        </w:rPr>
        <w:t xml:space="preserve">, Valerio G, Licenziati MR, Miraglia Del Giudice E, Baroni MG, Morandi A, Maffeis C, Campana G, Spreghini MR, Di Sessa A, Morino G, Crinò A, Chiesa C, Pacifico L, Manco M. High uric acid, reduced glomerular filtration rate and non-alcoholic fatty liver in young people with obesity. </w:t>
      </w:r>
      <w:r>
        <w:rPr>
          <w:rFonts w:ascii="Book Antiqua" w:hAnsi="Book Antiqua"/>
          <w:i/>
          <w:iCs/>
        </w:rPr>
        <w:t>J Endocrinol Invest</w:t>
      </w:r>
      <w:r>
        <w:rPr>
          <w:rFonts w:ascii="Book Antiqua" w:hAnsi="Book Antiqua"/>
        </w:rPr>
        <w:t xml:space="preserve"> 2020; </w:t>
      </w:r>
      <w:r>
        <w:rPr>
          <w:rFonts w:ascii="Book Antiqua" w:hAnsi="Book Antiqua"/>
          <w:b/>
          <w:bCs/>
        </w:rPr>
        <w:t>43</w:t>
      </w:r>
      <w:r>
        <w:rPr>
          <w:rFonts w:ascii="Book Antiqua" w:hAnsi="Book Antiqua"/>
        </w:rPr>
        <w:t>: 461-468 [PMID: 31637675 DOI: 10.1007/s40618-019-01130-6]</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Barshop NJ</w:t>
      </w:r>
      <w:r>
        <w:rPr>
          <w:rFonts w:ascii="Book Antiqua" w:hAnsi="Book Antiqua"/>
        </w:rPr>
        <w:t xml:space="preserve">, Francis CS, Schwimmer JB, Lavine JE. Nonalcoholic fatty liver disease as a comorbidity of childhood obesity. </w:t>
      </w:r>
      <w:r>
        <w:rPr>
          <w:rFonts w:ascii="Book Antiqua" w:hAnsi="Book Antiqua"/>
          <w:i/>
          <w:iCs/>
        </w:rPr>
        <w:t>Ped Health</w:t>
      </w:r>
      <w:r>
        <w:rPr>
          <w:rFonts w:ascii="Book Antiqua" w:hAnsi="Book Antiqua"/>
        </w:rPr>
        <w:t xml:space="preserve"> 2009; </w:t>
      </w:r>
      <w:r>
        <w:rPr>
          <w:rFonts w:ascii="Book Antiqua" w:hAnsi="Book Antiqua"/>
          <w:b/>
          <w:bCs/>
        </w:rPr>
        <w:t>3</w:t>
      </w:r>
      <w:r>
        <w:rPr>
          <w:rFonts w:ascii="Book Antiqua" w:hAnsi="Book Antiqua"/>
        </w:rPr>
        <w:t>: 271-281 [PMID: 20556232 DOI: 10.2217/phe.09.21]</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Flisiak-Jackiewicz M</w:t>
      </w:r>
      <w:r>
        <w:rPr>
          <w:rFonts w:ascii="Book Antiqua" w:hAnsi="Book Antiqua"/>
        </w:rPr>
        <w:t xml:space="preserve">, Lebensztejn DM. Update on pathogenesis, diagnostics and therapy of nonalcoholic fatty liver disease in children. </w:t>
      </w:r>
      <w:r>
        <w:rPr>
          <w:rFonts w:ascii="Book Antiqua" w:hAnsi="Book Antiqua"/>
          <w:i/>
          <w:iCs/>
        </w:rPr>
        <w:t>Clin Exp Hepatol</w:t>
      </w:r>
      <w:r>
        <w:rPr>
          <w:rFonts w:ascii="Book Antiqua" w:hAnsi="Book Antiqua"/>
        </w:rPr>
        <w:t xml:space="preserve"> 2019; </w:t>
      </w:r>
      <w:r>
        <w:rPr>
          <w:rFonts w:ascii="Book Antiqua" w:hAnsi="Book Antiqua"/>
          <w:b/>
          <w:bCs/>
        </w:rPr>
        <w:t>5</w:t>
      </w:r>
      <w:r>
        <w:rPr>
          <w:rFonts w:ascii="Book Antiqua" w:hAnsi="Book Antiqua"/>
        </w:rPr>
        <w:t>: 11-21 [PMID: 30915402 DOI: 10.5114/ceh.2019.83152]</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Kim HY</w:t>
      </w:r>
      <w:r>
        <w:rPr>
          <w:rFonts w:ascii="Book Antiqua" w:hAnsi="Book Antiqua"/>
        </w:rPr>
        <w:t xml:space="preserve">. Recent advances in nonalcoholic fatty liver disease metabolomics. </w:t>
      </w:r>
      <w:r>
        <w:rPr>
          <w:rFonts w:ascii="Book Antiqua" w:hAnsi="Book Antiqua"/>
          <w:i/>
          <w:iCs/>
        </w:rPr>
        <w:t>Clin Mol Hepatol</w:t>
      </w:r>
      <w:r>
        <w:rPr>
          <w:rFonts w:ascii="Book Antiqua" w:hAnsi="Book Antiqua"/>
        </w:rPr>
        <w:t xml:space="preserve"> 2021; </w:t>
      </w:r>
      <w:r>
        <w:rPr>
          <w:rFonts w:ascii="Book Antiqua" w:hAnsi="Book Antiqua"/>
          <w:b/>
          <w:bCs/>
        </w:rPr>
        <w:t>27</w:t>
      </w:r>
      <w:r>
        <w:rPr>
          <w:rFonts w:ascii="Book Antiqua" w:hAnsi="Book Antiqua"/>
        </w:rPr>
        <w:t>: 553-559 [PMID: 34098712 DOI: 10.3350/cmh.2021.0127]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Kartsoli S</w:t>
      </w:r>
      <w:r>
        <w:rPr>
          <w:rFonts w:ascii="Book Antiqua" w:hAnsi="Book Antiqua"/>
        </w:rPr>
        <w:t xml:space="preserve">, Kostara CE, Tsimihodimos V, Bairaktari ET, Christodoulou DK. Lipidomics in non-alcoholic fatty liver disease. </w:t>
      </w:r>
      <w:r>
        <w:rPr>
          <w:rFonts w:ascii="Book Antiqua" w:hAnsi="Book Antiqua"/>
          <w:i/>
          <w:iCs/>
        </w:rPr>
        <w:t>World J Hepatol</w:t>
      </w:r>
      <w:r>
        <w:rPr>
          <w:rFonts w:ascii="Book Antiqua" w:hAnsi="Book Antiqua"/>
        </w:rPr>
        <w:t xml:space="preserve"> 2020; </w:t>
      </w:r>
      <w:r>
        <w:rPr>
          <w:rFonts w:ascii="Book Antiqua" w:hAnsi="Book Antiqua"/>
          <w:b/>
          <w:bCs/>
        </w:rPr>
        <w:t>12</w:t>
      </w:r>
      <w:r>
        <w:rPr>
          <w:rFonts w:ascii="Book Antiqua" w:hAnsi="Book Antiqua"/>
        </w:rPr>
        <w:t>: 436-450 [PMID: 32952872 DOI: 10.4254/wjh.v12.i8.436]</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Pei K</w:t>
      </w:r>
      <w:r>
        <w:rPr>
          <w:rFonts w:ascii="Book Antiqua" w:hAnsi="Book Antiqua"/>
        </w:rPr>
        <w:t xml:space="preserve">, Gui T, Kan D, Feng H, Jin Y, Yang Y, Zhang Q, Du Z, Gai Z, Wu J, Li Y. An Overview of Lipid Metabolism and Nonalcoholic Fatty Liver Disease. </w:t>
      </w:r>
      <w:r>
        <w:rPr>
          <w:rFonts w:ascii="Book Antiqua" w:hAnsi="Book Antiqua"/>
          <w:i/>
          <w:iCs/>
        </w:rPr>
        <w:t>Biomed Res Int</w:t>
      </w:r>
      <w:r>
        <w:rPr>
          <w:rFonts w:ascii="Book Antiqua" w:hAnsi="Book Antiqua"/>
        </w:rPr>
        <w:t xml:space="preserve"> 2020; </w:t>
      </w:r>
      <w:r>
        <w:rPr>
          <w:rFonts w:ascii="Book Antiqua" w:hAnsi="Book Antiqua"/>
          <w:b/>
          <w:bCs/>
        </w:rPr>
        <w:t>2020</w:t>
      </w:r>
      <w:r>
        <w:rPr>
          <w:rFonts w:ascii="Book Antiqua" w:hAnsi="Book Antiqua"/>
        </w:rPr>
        <w:t>: 4020249 [PMID: 32733940 DOI: 10.1155/2020/4020249]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Bonsembiante L</w:t>
      </w:r>
      <w:r>
        <w:rPr>
          <w:rFonts w:ascii="Book Antiqua" w:hAnsi="Book Antiqua"/>
        </w:rPr>
        <w:t xml:space="preserve">, Targher G, Maffeis C. Non-alcoholic fatty liver disease in obese children and adolescents: a role for nutrition? </w:t>
      </w:r>
      <w:r>
        <w:rPr>
          <w:rFonts w:ascii="Book Antiqua" w:hAnsi="Book Antiqua"/>
          <w:i/>
          <w:iCs/>
        </w:rPr>
        <w:t>Eur J Clin Nutr</w:t>
      </w:r>
      <w:r>
        <w:rPr>
          <w:rFonts w:ascii="Book Antiqua" w:hAnsi="Book Antiqua"/>
        </w:rPr>
        <w:t xml:space="preserve"> 2021 [PMID: 34006994 DOI: 10.1038/s41430-021-00928-z]</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Peng L</w:t>
      </w:r>
      <w:r>
        <w:rPr>
          <w:rFonts w:ascii="Book Antiqua" w:hAnsi="Book Antiqua"/>
        </w:rPr>
        <w:t xml:space="preserve">, Wu S, Zhou N, Zhu S, Liu Q, Li X. Clinical characteristics and risk factors of nonalcoholic fatty liver disease in children with obesity. </w:t>
      </w:r>
      <w:r>
        <w:rPr>
          <w:rFonts w:ascii="Book Antiqua" w:hAnsi="Book Antiqua"/>
          <w:i/>
          <w:iCs/>
        </w:rPr>
        <w:t>BMC Pediatr</w:t>
      </w:r>
      <w:r>
        <w:rPr>
          <w:rFonts w:ascii="Book Antiqua" w:hAnsi="Book Antiqua"/>
        </w:rPr>
        <w:t xml:space="preserve"> 2021; </w:t>
      </w:r>
      <w:r>
        <w:rPr>
          <w:rFonts w:ascii="Book Antiqua" w:hAnsi="Book Antiqua"/>
          <w:b/>
          <w:bCs/>
        </w:rPr>
        <w:t>21</w:t>
      </w:r>
      <w:r>
        <w:rPr>
          <w:rFonts w:ascii="Book Antiqua" w:hAnsi="Book Antiqua"/>
        </w:rPr>
        <w:t>: 122 [PMID: 33711964 DOI: 10.1186/s12887-021-02595-2]</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Goyal NP</w:t>
      </w:r>
      <w:r>
        <w:rPr>
          <w:rFonts w:ascii="Book Antiqua" w:hAnsi="Book Antiqua"/>
        </w:rPr>
        <w:t xml:space="preserve">, Schwimmer JB. The Genetics of Pediatric Nonalcoholic Fatty Liver Disease. </w:t>
      </w:r>
      <w:r>
        <w:rPr>
          <w:rFonts w:ascii="Book Antiqua" w:hAnsi="Book Antiqua"/>
          <w:i/>
          <w:iCs/>
        </w:rPr>
        <w:t>Clin Liver Dis</w:t>
      </w:r>
      <w:r>
        <w:rPr>
          <w:rFonts w:ascii="Book Antiqua" w:hAnsi="Book Antiqua"/>
        </w:rPr>
        <w:t xml:space="preserve"> 2018; </w:t>
      </w:r>
      <w:r>
        <w:rPr>
          <w:rFonts w:ascii="Book Antiqua" w:hAnsi="Book Antiqua"/>
          <w:b/>
          <w:bCs/>
        </w:rPr>
        <w:t>22</w:t>
      </w:r>
      <w:r>
        <w:rPr>
          <w:rFonts w:ascii="Book Antiqua" w:hAnsi="Book Antiqua"/>
        </w:rPr>
        <w:t>: 59-71 [PMID: 29128061 DOI: 10.1016/j.cld.2017.08.002]</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Tang S</w:t>
      </w:r>
      <w:r>
        <w:rPr>
          <w:rFonts w:ascii="Book Antiqua" w:hAnsi="Book Antiqua"/>
        </w:rPr>
        <w:t xml:space="preserve">, Zhang J, Mei TT, Guo HQ, Wei XH, Zhang WY, Liu YL, Liang S, Fan ZP, Ma LX, Lin W, Liu YR, Qiu LX, Yu HB. Association of PNPLA3 rs738409 G/C gene polymorphism with nonalcoholic fatty liver disease in children: a meta-analysis. </w:t>
      </w:r>
      <w:r>
        <w:rPr>
          <w:rFonts w:ascii="Book Antiqua" w:hAnsi="Book Antiqua"/>
          <w:i/>
          <w:iCs/>
        </w:rPr>
        <w:t>BMC Med Genet</w:t>
      </w:r>
      <w:r>
        <w:rPr>
          <w:rFonts w:ascii="Book Antiqua" w:hAnsi="Book Antiqua"/>
        </w:rPr>
        <w:t xml:space="preserve"> 2020; </w:t>
      </w:r>
      <w:r>
        <w:rPr>
          <w:rFonts w:ascii="Book Antiqua" w:hAnsi="Book Antiqua"/>
          <w:b/>
          <w:bCs/>
        </w:rPr>
        <w:t>21</w:t>
      </w:r>
      <w:r>
        <w:rPr>
          <w:rFonts w:ascii="Book Antiqua" w:hAnsi="Book Antiqua"/>
        </w:rPr>
        <w:t>: 163 [PMID: 32811452 DOI: 10.1186/s12881-020-01098-8]</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Goffredo M</w:t>
      </w:r>
      <w:r>
        <w:rPr>
          <w:rFonts w:ascii="Book Antiqua" w:hAnsi="Book Antiqua"/>
        </w:rPr>
        <w:t xml:space="preserve">, Caprio S, Feldstein AE, D'Adamo E, Shaw MM, Pierpont B, Savoye M, Zhao H, Bale AE, Santoro N. Role of TM6SF2 rs58542926 in the pathogenesis of nonalcoholic pediatric fatty liver disease: A multiethnic study. </w:t>
      </w:r>
      <w:r>
        <w:rPr>
          <w:rFonts w:ascii="Book Antiqua" w:hAnsi="Book Antiqua"/>
          <w:i/>
          <w:iCs/>
        </w:rPr>
        <w:t>Hepatology</w:t>
      </w:r>
      <w:r>
        <w:rPr>
          <w:rFonts w:ascii="Book Antiqua" w:hAnsi="Book Antiqua"/>
        </w:rPr>
        <w:t xml:space="preserve"> 2016; </w:t>
      </w:r>
      <w:r>
        <w:rPr>
          <w:rFonts w:ascii="Book Antiqua" w:hAnsi="Book Antiqua"/>
          <w:b/>
          <w:bCs/>
        </w:rPr>
        <w:t>63</w:t>
      </w:r>
      <w:r>
        <w:rPr>
          <w:rFonts w:ascii="Book Antiqua" w:hAnsi="Book Antiqua"/>
        </w:rPr>
        <w:t>: 117-125 [PMID: 26457389 DOI: 10.1002/hep.28283]</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Grandone A</w:t>
      </w:r>
      <w:r>
        <w:rPr>
          <w:rFonts w:ascii="Book Antiqua" w:hAnsi="Book Antiqua"/>
        </w:rPr>
        <w:t xml:space="preserve">, Cozzolino D, Marzuillo P, Cirillo G, Di Sessa A, Ruggiero L, Di Palma MR, Perrone L, Miraglia Del Giudice E. TM6SF2 Glu167Lys polymorphism is associated with low levels of LDL-cholesterol and increased liver injury in obese children. </w:t>
      </w:r>
      <w:r>
        <w:rPr>
          <w:rFonts w:ascii="Book Antiqua" w:hAnsi="Book Antiqua"/>
          <w:i/>
          <w:iCs/>
        </w:rPr>
        <w:t>Pediatr Obes</w:t>
      </w:r>
      <w:r>
        <w:rPr>
          <w:rFonts w:ascii="Book Antiqua" w:hAnsi="Book Antiqua"/>
        </w:rPr>
        <w:t xml:space="preserve"> 2016; </w:t>
      </w:r>
      <w:r>
        <w:rPr>
          <w:rFonts w:ascii="Book Antiqua" w:hAnsi="Book Antiqua"/>
          <w:b/>
          <w:bCs/>
        </w:rPr>
        <w:t>11</w:t>
      </w:r>
      <w:r>
        <w:rPr>
          <w:rFonts w:ascii="Book Antiqua" w:hAnsi="Book Antiqua"/>
        </w:rPr>
        <w:t>: 115-119 [PMID: 25893821 DOI: 10.1111/ijpo.12032]</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Di Sessa A</w:t>
      </w:r>
      <w:r>
        <w:rPr>
          <w:rFonts w:ascii="Book Antiqua" w:hAnsi="Book Antiqua"/>
        </w:rPr>
        <w:t xml:space="preserve">, Umano GR, Cirillo G, Del Prete A, Iacomino R, Marzuillo P, Del Giudice EM. The Membrane-bound O-Acyltransferase7 rs641738 Variant in Pediatric Nonalcoholic Fatty Liver Disease. </w:t>
      </w:r>
      <w:r>
        <w:rPr>
          <w:rFonts w:ascii="Book Antiqua" w:hAnsi="Book Antiqua"/>
          <w:i/>
          <w:iCs/>
        </w:rPr>
        <w:t>J Pediatr Gastroenterol Nutr</w:t>
      </w:r>
      <w:r>
        <w:rPr>
          <w:rFonts w:ascii="Book Antiqua" w:hAnsi="Book Antiqua"/>
        </w:rPr>
        <w:t xml:space="preserve"> 2018; </w:t>
      </w:r>
      <w:r>
        <w:rPr>
          <w:rFonts w:ascii="Book Antiqua" w:hAnsi="Book Antiqua"/>
          <w:b/>
          <w:bCs/>
        </w:rPr>
        <w:t>67</w:t>
      </w:r>
      <w:r>
        <w:rPr>
          <w:rFonts w:ascii="Book Antiqua" w:hAnsi="Book Antiqua"/>
        </w:rPr>
        <w:t>: 69-74 [PMID: 29601441 DOI: 10.1097/MPG.0000000000001979]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Di Sessa A</w:t>
      </w:r>
      <w:r>
        <w:rPr>
          <w:rFonts w:ascii="Book Antiqua" w:hAnsi="Book Antiqua"/>
        </w:rPr>
        <w:t xml:space="preserve">, Umano GR, Cirillo G, Marzuillo P, Arienzo MR, Pedullà M, Miraglia Del Giudice E. The rs72613567: TA Variant in the Hydroxysteroid 17-beta Dehydrogenase 13 Gene Reduces Liver Damage in Obese Children. </w:t>
      </w:r>
      <w:r>
        <w:rPr>
          <w:rFonts w:ascii="Book Antiqua" w:hAnsi="Book Antiqua"/>
          <w:i/>
          <w:iCs/>
        </w:rPr>
        <w:t>J Pediatr Gastroenterol Nutr</w:t>
      </w:r>
      <w:r>
        <w:rPr>
          <w:rFonts w:ascii="Book Antiqua" w:hAnsi="Book Antiqua"/>
        </w:rPr>
        <w:t xml:space="preserve"> 2020; </w:t>
      </w:r>
      <w:r>
        <w:rPr>
          <w:rFonts w:ascii="Book Antiqua" w:hAnsi="Book Antiqua"/>
          <w:b/>
          <w:bCs/>
        </w:rPr>
        <w:t>70</w:t>
      </w:r>
      <w:r>
        <w:rPr>
          <w:rFonts w:ascii="Book Antiqua" w:hAnsi="Book Antiqua"/>
        </w:rPr>
        <w:t>: 371-374 [PMID: 31789772 DOI: 10.1097/MPG.0000000000002573]</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Yki-Järvinen H</w:t>
      </w:r>
      <w:r>
        <w:rPr>
          <w:rFonts w:ascii="Book Antiqua" w:hAnsi="Book Antiqua"/>
        </w:rPr>
        <w:t xml:space="preserve">. Ceramides: A Cause of Insulin Resistance in Nonalcoholic Fatty Liver Disease in Both Murine Models and Humans. </w:t>
      </w:r>
      <w:r>
        <w:rPr>
          <w:rFonts w:ascii="Book Antiqua" w:hAnsi="Book Antiqua"/>
          <w:i/>
          <w:iCs/>
        </w:rPr>
        <w:t>Hepatology</w:t>
      </w:r>
      <w:r>
        <w:rPr>
          <w:rFonts w:ascii="Book Antiqua" w:hAnsi="Book Antiqua"/>
        </w:rPr>
        <w:t xml:space="preserve"> 2020; </w:t>
      </w:r>
      <w:r>
        <w:rPr>
          <w:rFonts w:ascii="Book Antiqua" w:hAnsi="Book Antiqua"/>
          <w:b/>
          <w:bCs/>
        </w:rPr>
        <w:t>71</w:t>
      </w:r>
      <w:r>
        <w:rPr>
          <w:rFonts w:ascii="Book Antiqua" w:hAnsi="Book Antiqua"/>
        </w:rPr>
        <w:t>: 1499-1501 [PMID: 31899812 DOI: 10.1002/hep.31095]</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Samuel VT</w:t>
      </w:r>
      <w:r>
        <w:rPr>
          <w:rFonts w:ascii="Book Antiqua" w:hAnsi="Book Antiqua"/>
        </w:rPr>
        <w:t xml:space="preserve">, Shulman GI. Nonalcoholic Fatty Liver Disease, Insulin Resistance, and Ceramides. </w:t>
      </w:r>
      <w:r>
        <w:rPr>
          <w:rFonts w:ascii="Book Antiqua" w:hAnsi="Book Antiqua"/>
          <w:i/>
          <w:iCs/>
        </w:rPr>
        <w:t>N Engl J Med</w:t>
      </w:r>
      <w:r>
        <w:rPr>
          <w:rFonts w:ascii="Book Antiqua" w:hAnsi="Book Antiqua"/>
        </w:rPr>
        <w:t xml:space="preserve"> 2019; </w:t>
      </w:r>
      <w:r>
        <w:rPr>
          <w:rFonts w:ascii="Book Antiqua" w:hAnsi="Book Antiqua"/>
          <w:b/>
          <w:bCs/>
        </w:rPr>
        <w:t>381</w:t>
      </w:r>
      <w:r>
        <w:rPr>
          <w:rFonts w:ascii="Book Antiqua" w:hAnsi="Book Antiqua"/>
        </w:rPr>
        <w:t>: 1866-1869 [PMID: 31693811 DOI: 10.1056/NEJMcibr1910023]</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Apostolopoulou M</w:t>
      </w:r>
      <w:r>
        <w:rPr>
          <w:rFonts w:ascii="Book Antiqua" w:hAnsi="Book Antiqua"/>
        </w:rPr>
        <w:t xml:space="preserve">, Gordillo R, Gancheva S, Strassburger K, Herder C, Esposito I, Schlensak M, Scherer PE, Roden M. Role of ceramide-to-dihydroceramide ratios for insulin resistance and non-alcoholic fatty liver disease in humans. </w:t>
      </w:r>
      <w:r>
        <w:rPr>
          <w:rFonts w:ascii="Book Antiqua" w:hAnsi="Book Antiqua"/>
          <w:i/>
          <w:iCs/>
        </w:rPr>
        <w:t>BMJ Open Diabetes Res Care</w:t>
      </w:r>
      <w:r>
        <w:rPr>
          <w:rFonts w:ascii="Book Antiqua" w:hAnsi="Book Antiqua"/>
        </w:rPr>
        <w:t xml:space="preserve"> 2020; </w:t>
      </w:r>
      <w:r>
        <w:rPr>
          <w:rFonts w:ascii="Book Antiqua" w:hAnsi="Book Antiqua"/>
          <w:b/>
          <w:bCs/>
        </w:rPr>
        <w:t>8</w:t>
      </w:r>
      <w:r>
        <w:rPr>
          <w:rFonts w:ascii="Book Antiqua" w:hAnsi="Book Antiqua"/>
        </w:rPr>
        <w:t xml:space="preserve"> [PMID: 33219119 DOI: 10.1136/bmjdrc-2020-001860]</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Di Sessa A</w:t>
      </w:r>
      <w:r>
        <w:rPr>
          <w:rFonts w:ascii="Book Antiqua" w:hAnsi="Book Antiqua"/>
          <w:bCs/>
        </w:rPr>
        <w:t xml:space="preserve">, Riccio S, Pirozzi E, Verde M, Passaro AP, Umano GR, Guarino S, Miraglia Del Giudice E, Marzuillo P. Advances in paediatric nonalcoholic fatty liver disease: Role of lipidomics. </w:t>
      </w:r>
      <w:r>
        <w:rPr>
          <w:rFonts w:ascii="Book Antiqua" w:hAnsi="Book Antiqua"/>
          <w:bCs/>
          <w:i/>
        </w:rPr>
        <w:t>World J Gastroenterol</w:t>
      </w:r>
      <w:r>
        <w:rPr>
          <w:rFonts w:ascii="Book Antiqua" w:hAnsi="Book Antiqua"/>
          <w:bCs/>
        </w:rPr>
        <w:t xml:space="preserve"> 2021;</w:t>
      </w:r>
      <w:r>
        <w:rPr>
          <w:rFonts w:hint="eastAsia" w:ascii="Book Antiqua" w:hAnsi="Book Antiqua"/>
          <w:bCs/>
        </w:rPr>
        <w:t xml:space="preserve"> </w:t>
      </w:r>
      <w:r>
        <w:rPr>
          <w:rFonts w:ascii="Book Antiqua" w:hAnsi="Book Antiqua"/>
          <w:b/>
          <w:bCs/>
        </w:rPr>
        <w:t>27</w:t>
      </w:r>
      <w:r>
        <w:rPr>
          <w:rFonts w:ascii="Book Antiqua" w:hAnsi="Book Antiqua"/>
          <w:bCs/>
        </w:rPr>
        <w:t>:</w:t>
      </w:r>
      <w:r>
        <w:rPr>
          <w:rFonts w:hint="eastAsia" w:ascii="Book Antiqua" w:hAnsi="Book Antiqua"/>
          <w:bCs/>
        </w:rPr>
        <w:t xml:space="preserve"> </w:t>
      </w:r>
      <w:r>
        <w:rPr>
          <w:rFonts w:ascii="Book Antiqua" w:hAnsi="Book Antiqua"/>
          <w:bCs/>
        </w:rPr>
        <w:t xml:space="preserve">3815-3824 </w:t>
      </w:r>
      <w:r>
        <w:rPr>
          <w:rFonts w:hint="eastAsia" w:ascii="Book Antiqua" w:hAnsi="Book Antiqua"/>
          <w:bCs/>
        </w:rPr>
        <w:t>[</w:t>
      </w:r>
      <w:r>
        <w:rPr>
          <w:rFonts w:ascii="Book Antiqua" w:hAnsi="Book Antiqua"/>
          <w:bCs/>
        </w:rPr>
        <w:t>PMID: 34321846</w:t>
      </w:r>
      <w:r>
        <w:rPr>
          <w:rFonts w:hint="eastAsia" w:ascii="Book Antiqua" w:hAnsi="Book Antiqua"/>
          <w:bCs/>
        </w:rPr>
        <w:t xml:space="preserve"> DOI</w:t>
      </w:r>
      <w:r>
        <w:rPr>
          <w:rFonts w:ascii="Book Antiqua" w:hAnsi="Book Antiqua"/>
          <w:bCs/>
        </w:rPr>
        <w:t>: 10.3748/wjg.v27.i25.3815</w:t>
      </w:r>
      <w:r>
        <w:rPr>
          <w:rFonts w:hint="eastAsia" w:ascii="Book Antiqua" w:hAnsi="Book Antiqua"/>
          <w:bCs/>
        </w:rPr>
        <w:t>]</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Tiniakos DG</w:t>
      </w:r>
      <w:r>
        <w:rPr>
          <w:rFonts w:ascii="Book Antiqua" w:hAnsi="Book Antiqua"/>
        </w:rPr>
        <w:t xml:space="preserve">, Vos MB, Brunt EM. Nonalcoholic fatty liver disease: pathology and pathogenesis. </w:t>
      </w:r>
      <w:r>
        <w:rPr>
          <w:rFonts w:ascii="Book Antiqua" w:hAnsi="Book Antiqua"/>
          <w:i/>
          <w:iCs/>
        </w:rPr>
        <w:t>Annu Rev Pathol</w:t>
      </w:r>
      <w:r>
        <w:rPr>
          <w:rFonts w:ascii="Book Antiqua" w:hAnsi="Book Antiqua"/>
        </w:rPr>
        <w:t xml:space="preserve"> 2010; </w:t>
      </w:r>
      <w:r>
        <w:rPr>
          <w:rFonts w:ascii="Book Antiqua" w:hAnsi="Book Antiqua"/>
          <w:b/>
          <w:bCs/>
        </w:rPr>
        <w:t>5</w:t>
      </w:r>
      <w:r>
        <w:rPr>
          <w:rFonts w:ascii="Book Antiqua" w:hAnsi="Book Antiqua"/>
        </w:rPr>
        <w:t>: 145-171 [PMID: 20078219 DOI: 10.1146/annurev-pathol-121808-102132]</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Tilg H</w:t>
      </w:r>
      <w:r>
        <w:rPr>
          <w:rFonts w:ascii="Book Antiqua" w:hAnsi="Book Antiqua"/>
        </w:rPr>
        <w:t xml:space="preserve">, Moschen AR. Evolution of inflammation in nonalcoholic fatty liver disease: the multiple parallel hits hypothesis. </w:t>
      </w:r>
      <w:r>
        <w:rPr>
          <w:rFonts w:ascii="Book Antiqua" w:hAnsi="Book Antiqua"/>
          <w:i/>
          <w:iCs/>
        </w:rPr>
        <w:t>Hepatology</w:t>
      </w:r>
      <w:r>
        <w:rPr>
          <w:rFonts w:ascii="Book Antiqua" w:hAnsi="Book Antiqua"/>
        </w:rPr>
        <w:t xml:space="preserve"> 2010; </w:t>
      </w:r>
      <w:r>
        <w:rPr>
          <w:rFonts w:ascii="Book Antiqua" w:hAnsi="Book Antiqua"/>
          <w:b/>
          <w:bCs/>
        </w:rPr>
        <w:t>52</w:t>
      </w:r>
      <w:r>
        <w:rPr>
          <w:rFonts w:ascii="Book Antiqua" w:hAnsi="Book Antiqua"/>
        </w:rPr>
        <w:t>: 1836-1846 [PMID: 21038418 DOI: 10.1002/hep.24001]</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McPherson S</w:t>
      </w:r>
      <w:r>
        <w:rPr>
          <w:rFonts w:ascii="Book Antiqua" w:hAnsi="Book Antiqua"/>
        </w:rPr>
        <w:t xml:space="preserve">, Hardy T, Henderson E, Burt AD, Day CP, Anstee QM. Evidence of NAFLD progression from steatosis to fibrosing-steatohepatitis using paired biopsies: implications for prognosis and clinical management. </w:t>
      </w:r>
      <w:r>
        <w:rPr>
          <w:rFonts w:ascii="Book Antiqua" w:hAnsi="Book Antiqua"/>
          <w:i/>
          <w:iCs/>
        </w:rPr>
        <w:t>J Hepatol</w:t>
      </w:r>
      <w:r>
        <w:rPr>
          <w:rFonts w:ascii="Book Antiqua" w:hAnsi="Book Antiqua"/>
        </w:rPr>
        <w:t xml:space="preserve"> 2015; </w:t>
      </w:r>
      <w:r>
        <w:rPr>
          <w:rFonts w:ascii="Book Antiqua" w:hAnsi="Book Antiqua"/>
          <w:b/>
          <w:bCs/>
        </w:rPr>
        <w:t>62</w:t>
      </w:r>
      <w:r>
        <w:rPr>
          <w:rFonts w:ascii="Book Antiqua" w:hAnsi="Book Antiqua"/>
        </w:rPr>
        <w:t>: 1148-1155 [PMID: 25477264 DOI: 10.1016/j.jhep.2014.11.034]</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Pais R</w:t>
      </w:r>
      <w:r>
        <w:rPr>
          <w:rFonts w:ascii="Book Antiqua" w:hAnsi="Book Antiqua"/>
        </w:rPr>
        <w:t xml:space="preserve">, Charlotte F, Fedchuk L, Bedossa P, Lebray P, Poynard T, Ratziu V; LIDO Study Group. A systematic review of follow-up biopsies reveals disease progression in patients with non-alcoholic fatty liver. </w:t>
      </w:r>
      <w:r>
        <w:rPr>
          <w:rFonts w:ascii="Book Antiqua" w:hAnsi="Book Antiqua"/>
          <w:i/>
          <w:iCs/>
        </w:rPr>
        <w:t>J Hepatol</w:t>
      </w:r>
      <w:r>
        <w:rPr>
          <w:rFonts w:ascii="Book Antiqua" w:hAnsi="Book Antiqua"/>
        </w:rPr>
        <w:t xml:space="preserve"> 2013; </w:t>
      </w:r>
      <w:r>
        <w:rPr>
          <w:rFonts w:ascii="Book Antiqua" w:hAnsi="Book Antiqua"/>
          <w:b/>
          <w:bCs/>
        </w:rPr>
        <w:t>59</w:t>
      </w:r>
      <w:r>
        <w:rPr>
          <w:rFonts w:ascii="Book Antiqua" w:hAnsi="Book Antiqua"/>
        </w:rPr>
        <w:t>: 550-556 [PMID: 23665288 DOI: 10.1016/j.jhep.2013.04.027]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Day CP</w:t>
      </w:r>
      <w:r>
        <w:rPr>
          <w:rFonts w:ascii="Book Antiqua" w:hAnsi="Book Antiqua"/>
        </w:rPr>
        <w:t xml:space="preserve">, James OF. Steatohepatitis: a tale of two "hits"? </w:t>
      </w:r>
      <w:r>
        <w:rPr>
          <w:rFonts w:ascii="Book Antiqua" w:hAnsi="Book Antiqua"/>
          <w:i/>
          <w:iCs/>
        </w:rPr>
        <w:t>Gastroenterology</w:t>
      </w:r>
      <w:r>
        <w:rPr>
          <w:rFonts w:ascii="Book Antiqua" w:hAnsi="Book Antiqua"/>
        </w:rPr>
        <w:t xml:space="preserve"> 1998; </w:t>
      </w:r>
      <w:r>
        <w:rPr>
          <w:rFonts w:ascii="Book Antiqua" w:hAnsi="Book Antiqua"/>
          <w:b/>
          <w:bCs/>
        </w:rPr>
        <w:t>114</w:t>
      </w:r>
      <w:r>
        <w:rPr>
          <w:rFonts w:ascii="Book Antiqua" w:hAnsi="Book Antiqua"/>
        </w:rPr>
        <w:t>: 842-845 [PMID: 9547102 DOI: 10.1016/s0016-5085(98)70599-2]</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Friedman SL</w:t>
      </w:r>
      <w:r>
        <w:rPr>
          <w:rFonts w:ascii="Book Antiqua" w:hAnsi="Book Antiqua"/>
        </w:rPr>
        <w:t xml:space="preserve">, Neuschwander-Tetri BA, Rinella M, Sanyal AJ. Mechanisms of NAFLD development and therapeutic strategies. </w:t>
      </w:r>
      <w:r>
        <w:rPr>
          <w:rFonts w:ascii="Book Antiqua" w:hAnsi="Book Antiqua"/>
          <w:i/>
          <w:iCs/>
        </w:rPr>
        <w:t>Nat Med</w:t>
      </w:r>
      <w:r>
        <w:rPr>
          <w:rFonts w:ascii="Book Antiqua" w:hAnsi="Book Antiqua"/>
        </w:rPr>
        <w:t xml:space="preserve"> 2018; </w:t>
      </w:r>
      <w:r>
        <w:rPr>
          <w:rFonts w:ascii="Book Antiqua" w:hAnsi="Book Antiqua"/>
          <w:b/>
          <w:bCs/>
        </w:rPr>
        <w:t>24</w:t>
      </w:r>
      <w:r>
        <w:rPr>
          <w:rFonts w:ascii="Book Antiqua" w:hAnsi="Book Antiqua"/>
        </w:rPr>
        <w:t>: 908-922 [PMID: 29967350 DOI: 10.1038/s41591-018-0104-9]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Dai G</w:t>
      </w:r>
      <w:r>
        <w:rPr>
          <w:rFonts w:ascii="Book Antiqua" w:hAnsi="Book Antiqua"/>
        </w:rPr>
        <w:t xml:space="preserve">, Liu P, Li X, Zhou X, He S. Association between PNPLA3 rs738409 polymorphism and nonalcoholic fatty liver disease (NAFLD) susceptibility and severity: A meta-analysis. </w:t>
      </w:r>
      <w:r>
        <w:rPr>
          <w:rFonts w:ascii="Book Antiqua" w:hAnsi="Book Antiqua"/>
          <w:i/>
          <w:iCs/>
        </w:rPr>
        <w:t>Medicine (Baltimore)</w:t>
      </w:r>
      <w:r>
        <w:rPr>
          <w:rFonts w:ascii="Book Antiqua" w:hAnsi="Book Antiqua"/>
        </w:rPr>
        <w:t xml:space="preserve"> 2019; </w:t>
      </w:r>
      <w:r>
        <w:rPr>
          <w:rFonts w:ascii="Book Antiqua" w:hAnsi="Book Antiqua"/>
          <w:b/>
          <w:bCs/>
        </w:rPr>
        <w:t>98</w:t>
      </w:r>
      <w:r>
        <w:rPr>
          <w:rFonts w:ascii="Book Antiqua" w:hAnsi="Book Antiqua"/>
        </w:rPr>
        <w:t>: e14324 [PMID: 30762732 DOI: 10.1097/MD.0000000000014324]</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Romeo S</w:t>
      </w:r>
      <w:r>
        <w:rPr>
          <w:rFonts w:ascii="Book Antiqua" w:hAnsi="Book Antiqua"/>
        </w:rPr>
        <w:t xml:space="preserve">, Kozlitina J, Xing C, Pertsemlidis A, Cox D, Pennacchio LA, Boerwinkle E, Cohen JC, Hobbs HH. Genetic variation in PNPLA3 confers susceptibility to nonalcoholic fatty liver disease. </w:t>
      </w:r>
      <w:r>
        <w:rPr>
          <w:rFonts w:ascii="Book Antiqua" w:hAnsi="Book Antiqua"/>
          <w:i/>
          <w:iCs/>
        </w:rPr>
        <w:t>Nat Genet</w:t>
      </w:r>
      <w:r>
        <w:rPr>
          <w:rFonts w:ascii="Book Antiqua" w:hAnsi="Book Antiqua"/>
        </w:rPr>
        <w:t xml:space="preserve"> 2008; </w:t>
      </w:r>
      <w:r>
        <w:rPr>
          <w:rFonts w:ascii="Book Antiqua" w:hAnsi="Book Antiqua"/>
          <w:b/>
          <w:bCs/>
        </w:rPr>
        <w:t>40</w:t>
      </w:r>
      <w:r>
        <w:rPr>
          <w:rFonts w:ascii="Book Antiqua" w:hAnsi="Book Antiqua"/>
        </w:rPr>
        <w:t>: 1461-1465 [PMID: 18820647 DOI: 10.1038/ng.257]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Trépo E</w:t>
      </w:r>
      <w:r>
        <w:rPr>
          <w:rFonts w:ascii="Book Antiqua" w:hAnsi="Book Antiqua"/>
        </w:rPr>
        <w:t xml:space="preserve">, Valenti L. Update on NAFLD genetics: From new variants to the clinic. </w:t>
      </w:r>
      <w:r>
        <w:rPr>
          <w:rFonts w:ascii="Book Antiqua" w:hAnsi="Book Antiqua"/>
          <w:i/>
          <w:iCs/>
        </w:rPr>
        <w:t>J Hepatol</w:t>
      </w:r>
      <w:r>
        <w:rPr>
          <w:rFonts w:ascii="Book Antiqua" w:hAnsi="Book Antiqua"/>
        </w:rPr>
        <w:t xml:space="preserve"> 2020; </w:t>
      </w:r>
      <w:r>
        <w:rPr>
          <w:rFonts w:ascii="Book Antiqua" w:hAnsi="Book Antiqua"/>
          <w:b/>
          <w:bCs/>
        </w:rPr>
        <w:t>72</w:t>
      </w:r>
      <w:r>
        <w:rPr>
          <w:rFonts w:ascii="Book Antiqua" w:hAnsi="Book Antiqua"/>
        </w:rPr>
        <w:t>: 1196-1209 [PMID: 32145256 DOI: 10.1016/j.jhep.2020.02.020]</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Woodside M</w:t>
      </w:r>
      <w:r>
        <w:rPr>
          <w:rFonts w:ascii="Book Antiqua" w:hAnsi="Book Antiqua"/>
        </w:rPr>
        <w:t xml:space="preserve">. Research on children of alcoholics: past and future. </w:t>
      </w:r>
      <w:r>
        <w:rPr>
          <w:rFonts w:ascii="Book Antiqua" w:hAnsi="Book Antiqua"/>
          <w:i/>
          <w:iCs/>
        </w:rPr>
        <w:t>Br J Addict</w:t>
      </w:r>
      <w:r>
        <w:rPr>
          <w:rFonts w:ascii="Book Antiqua" w:hAnsi="Book Antiqua"/>
        </w:rPr>
        <w:t xml:space="preserve"> 1988; </w:t>
      </w:r>
      <w:r>
        <w:rPr>
          <w:rFonts w:ascii="Book Antiqua" w:hAnsi="Book Antiqua"/>
          <w:b/>
          <w:bCs/>
        </w:rPr>
        <w:t>83</w:t>
      </w:r>
      <w:r>
        <w:rPr>
          <w:rFonts w:ascii="Book Antiqua" w:hAnsi="Book Antiqua"/>
        </w:rPr>
        <w:t>: 785-792 [PMID: 3061526 DOI: 10.1111/liv.14020]</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Marzuillo P</w:t>
      </w:r>
      <w:r>
        <w:rPr>
          <w:rFonts w:ascii="Book Antiqua" w:hAnsi="Book Antiqua"/>
        </w:rPr>
        <w:t xml:space="preserve">, Miraglia del Giudice E, Santoro N. Pediatric fatty liver disease: role of ethnicity and genetics.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7347-7355 [PMID: 24966605 DOI: 10.3748/wjg.v20.i23.7347]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33 </w:t>
      </w:r>
      <w:r>
        <w:rPr>
          <w:rFonts w:ascii="Book Antiqua" w:hAnsi="Book Antiqua"/>
          <w:b/>
          <w:bCs/>
        </w:rPr>
        <w:t>Dongiovanni P</w:t>
      </w:r>
      <w:r>
        <w:rPr>
          <w:rFonts w:ascii="Book Antiqua" w:hAnsi="Book Antiqua"/>
        </w:rPr>
        <w:t xml:space="preserve">, Donati B, Fares R, Lombardi R, Mancina RM, Romeo S, Valenti L. PNPLA3 I148M polymorphism and progressive liver disease. </w:t>
      </w:r>
      <w:r>
        <w:rPr>
          <w:rFonts w:ascii="Book Antiqua" w:hAnsi="Book Antiqua"/>
          <w:i/>
          <w:iCs/>
        </w:rPr>
        <w:t>World J Gastroenterol</w:t>
      </w:r>
      <w:r>
        <w:rPr>
          <w:rFonts w:ascii="Book Antiqua" w:hAnsi="Book Antiqua"/>
        </w:rPr>
        <w:t xml:space="preserve"> 2013; </w:t>
      </w:r>
      <w:r>
        <w:rPr>
          <w:rFonts w:ascii="Book Antiqua" w:hAnsi="Book Antiqua"/>
          <w:b/>
          <w:bCs/>
        </w:rPr>
        <w:t>19</w:t>
      </w:r>
      <w:r>
        <w:rPr>
          <w:rFonts w:ascii="Book Antiqua" w:hAnsi="Book Antiqua"/>
        </w:rPr>
        <w:t>: 6969-6978 [PMID: 24222941 DOI: 10.3748/wjg.v19.i41.6969]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34 </w:t>
      </w:r>
      <w:r>
        <w:rPr>
          <w:rFonts w:ascii="Book Antiqua" w:hAnsi="Book Antiqua"/>
          <w:b/>
          <w:bCs/>
        </w:rPr>
        <w:t>Marzuillo P</w:t>
      </w:r>
      <w:r>
        <w:rPr>
          <w:rFonts w:ascii="Book Antiqua" w:hAnsi="Book Antiqua"/>
        </w:rPr>
        <w:t xml:space="preserve">, Grandone A, Perrone L, Miraglia Del Giudice E. Understanding the pathophysiological mechanisms in the pediatric non-alcoholic fatty liver disease: The role of genetics. </w:t>
      </w:r>
      <w:r>
        <w:rPr>
          <w:rFonts w:ascii="Book Antiqua" w:hAnsi="Book Antiqua"/>
          <w:i/>
          <w:iCs/>
        </w:rPr>
        <w:t>World J Hepatol</w:t>
      </w:r>
      <w:r>
        <w:rPr>
          <w:rFonts w:ascii="Book Antiqua" w:hAnsi="Book Antiqua"/>
        </w:rPr>
        <w:t xml:space="preserve"> 2015; </w:t>
      </w:r>
      <w:r>
        <w:rPr>
          <w:rFonts w:ascii="Book Antiqua" w:hAnsi="Book Antiqua"/>
          <w:b/>
          <w:bCs/>
        </w:rPr>
        <w:t>7</w:t>
      </w:r>
      <w:r>
        <w:rPr>
          <w:rFonts w:ascii="Book Antiqua" w:hAnsi="Book Antiqua"/>
        </w:rPr>
        <w:t>: 1439-1443 [PMID: 26085904 DOI: 10.4254/wjh.v7.i11.1439]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35 </w:t>
      </w:r>
      <w:r>
        <w:rPr>
          <w:rFonts w:ascii="Book Antiqua" w:hAnsi="Book Antiqua"/>
          <w:b/>
          <w:bCs/>
        </w:rPr>
        <w:t>Santoro N</w:t>
      </w:r>
      <w:r>
        <w:rPr>
          <w:rFonts w:ascii="Book Antiqua" w:hAnsi="Book Antiqua"/>
        </w:rPr>
        <w:t xml:space="preserve">, Kursawe R, D'Adamo E, Dykas DJ, Zhang CK, Bale AE, Calí AM, Narayan D, Shaw MM, Pierpont B, Savoye M, Lartaud D, Eldrich S, Cushman SW, Zhao H, Shulman GI, Caprio S. A common variant in the patatin-like phospholipase 3 gene (PNPLA3) is associated with fatty liver disease in obese children and adolescents. </w:t>
      </w:r>
      <w:r>
        <w:rPr>
          <w:rFonts w:ascii="Book Antiqua" w:hAnsi="Book Antiqua"/>
          <w:i/>
          <w:iCs/>
        </w:rPr>
        <w:t>Hepatology</w:t>
      </w:r>
      <w:r>
        <w:rPr>
          <w:rFonts w:ascii="Book Antiqua" w:hAnsi="Book Antiqua"/>
        </w:rPr>
        <w:t xml:space="preserve"> 2010; </w:t>
      </w:r>
      <w:r>
        <w:rPr>
          <w:rFonts w:ascii="Book Antiqua" w:hAnsi="Book Antiqua"/>
          <w:b/>
          <w:bCs/>
        </w:rPr>
        <w:t>52</w:t>
      </w:r>
      <w:r>
        <w:rPr>
          <w:rFonts w:ascii="Book Antiqua" w:hAnsi="Book Antiqua"/>
        </w:rPr>
        <w:t>: 1281-1290 [PMID: 20803499 DOI: 10.1002/hep.23832]</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Giudice EM</w:t>
      </w:r>
      <w:r>
        <w:rPr>
          <w:rFonts w:ascii="Book Antiqua" w:hAnsi="Book Antiqua"/>
        </w:rPr>
        <w:t xml:space="preserve">, Grandone A, Cirillo G, Santoro N, Amato A, Brienza C, Savarese P, Marzuillo P, Perrone L. The association of PNPLA3 variants with liver enzymes in childhood obesity is driven by the interaction with abdominal fat. </w:t>
      </w:r>
      <w:r>
        <w:rPr>
          <w:rFonts w:ascii="Book Antiqua" w:hAnsi="Book Antiqua"/>
          <w:i/>
          <w:iCs/>
        </w:rPr>
        <w:t>PLoS One</w:t>
      </w:r>
      <w:r>
        <w:rPr>
          <w:rFonts w:ascii="Book Antiqua" w:hAnsi="Book Antiqua"/>
        </w:rPr>
        <w:t xml:space="preserve"> 2011; </w:t>
      </w:r>
      <w:r>
        <w:rPr>
          <w:rFonts w:ascii="Book Antiqua" w:hAnsi="Book Antiqua"/>
          <w:b/>
          <w:bCs/>
        </w:rPr>
        <w:t>6</w:t>
      </w:r>
      <w:r>
        <w:rPr>
          <w:rFonts w:ascii="Book Antiqua" w:hAnsi="Book Antiqua"/>
        </w:rPr>
        <w:t>: e27933 [PMID: 22140488 DOI: 10.1371/journal.pone.0027933]</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37 </w:t>
      </w:r>
      <w:r>
        <w:rPr>
          <w:rFonts w:ascii="Book Antiqua" w:hAnsi="Book Antiqua"/>
          <w:b/>
          <w:bCs/>
        </w:rPr>
        <w:t>Romeo S</w:t>
      </w:r>
      <w:r>
        <w:rPr>
          <w:rFonts w:ascii="Book Antiqua" w:hAnsi="Book Antiqua"/>
        </w:rPr>
        <w:t xml:space="preserve">, Sentinelli F, Cambuli VM, Incani M, Congiu T, Matta V, Pilia S, Huang-Doran I, Cossu E, Loche S, Baroni MG. The 148M allele of the PNPLA3 gene is associated with indices of liver damage early in life. </w:t>
      </w:r>
      <w:r>
        <w:rPr>
          <w:rFonts w:ascii="Book Antiqua" w:hAnsi="Book Antiqua"/>
          <w:i/>
          <w:iCs/>
        </w:rPr>
        <w:t>J Hepatol</w:t>
      </w:r>
      <w:r>
        <w:rPr>
          <w:rFonts w:ascii="Book Antiqua" w:hAnsi="Book Antiqua"/>
        </w:rPr>
        <w:t xml:space="preserve"> 2010; </w:t>
      </w:r>
      <w:r>
        <w:rPr>
          <w:rFonts w:ascii="Book Antiqua" w:hAnsi="Book Antiqua"/>
          <w:b/>
          <w:bCs/>
        </w:rPr>
        <w:t>53</w:t>
      </w:r>
      <w:r>
        <w:rPr>
          <w:rFonts w:ascii="Book Antiqua" w:hAnsi="Book Antiqua"/>
        </w:rPr>
        <w:t>: 335-338 [PMID: 20546964 DOI: 10.1016/j.jhep.2010.02.034]</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38 </w:t>
      </w:r>
      <w:r>
        <w:rPr>
          <w:rFonts w:ascii="Book Antiqua" w:hAnsi="Book Antiqua"/>
          <w:b/>
          <w:bCs/>
        </w:rPr>
        <w:t>Tricò D</w:t>
      </w:r>
      <w:r>
        <w:rPr>
          <w:rFonts w:ascii="Book Antiqua" w:hAnsi="Book Antiqua"/>
        </w:rPr>
        <w:t xml:space="preserve">, Caprio S, Rosaria Umano G, Pierpont B, Nouws J, Galderisi A, Kim G, Mata MM, Santoro N. Metabolic Features of Nonalcoholic Fatty Liver (NAFL) in Obese Adolescents: Findings From a Multiethnic Cohort. </w:t>
      </w:r>
      <w:r>
        <w:rPr>
          <w:rFonts w:ascii="Book Antiqua" w:hAnsi="Book Antiqua"/>
          <w:i/>
          <w:iCs/>
        </w:rPr>
        <w:t>Hepatology</w:t>
      </w:r>
      <w:r>
        <w:rPr>
          <w:rFonts w:ascii="Book Antiqua" w:hAnsi="Book Antiqua"/>
        </w:rPr>
        <w:t xml:space="preserve"> 2018; </w:t>
      </w:r>
      <w:r>
        <w:rPr>
          <w:rFonts w:ascii="Book Antiqua" w:hAnsi="Book Antiqua"/>
          <w:b/>
          <w:bCs/>
        </w:rPr>
        <w:t>68</w:t>
      </w:r>
      <w:r>
        <w:rPr>
          <w:rFonts w:ascii="Book Antiqua" w:hAnsi="Book Antiqua"/>
        </w:rPr>
        <w:t>: 1376-1390 [PMID: 29665034 DOI: 10.1002/hep.30035]</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39 </w:t>
      </w:r>
      <w:r>
        <w:rPr>
          <w:rFonts w:ascii="Book Antiqua" w:hAnsi="Book Antiqua"/>
          <w:b/>
          <w:bCs/>
        </w:rPr>
        <w:t>Hudert CA</w:t>
      </w:r>
      <w:r>
        <w:rPr>
          <w:rFonts w:ascii="Book Antiqua" w:hAnsi="Book Antiqua"/>
        </w:rPr>
        <w:t xml:space="preserve">, Selinski S, Rudolph B, Bläker H, Loddenkemper C, Thielhorn R, Berndt N, Golka K, Cadenas C, Reinders J, Henning S, Bufler P, Jansen PLM, Holzhütter HG, Meierhofer D, Hengstler JG, Wiegand S. Genetic determinants of steatosis and fibrosis progression in paediatric non-alcoholic fatty liver disease. </w:t>
      </w:r>
      <w:r>
        <w:rPr>
          <w:rFonts w:ascii="Book Antiqua" w:hAnsi="Book Antiqua"/>
          <w:i/>
          <w:iCs/>
        </w:rPr>
        <w:t>Liver Int</w:t>
      </w:r>
      <w:r>
        <w:rPr>
          <w:rFonts w:ascii="Book Antiqua" w:hAnsi="Book Antiqua"/>
        </w:rPr>
        <w:t xml:space="preserve"> 2019; </w:t>
      </w:r>
      <w:r>
        <w:rPr>
          <w:rFonts w:ascii="Book Antiqua" w:hAnsi="Book Antiqua"/>
          <w:b/>
          <w:bCs/>
        </w:rPr>
        <w:t>39</w:t>
      </w:r>
      <w:r>
        <w:rPr>
          <w:rFonts w:ascii="Book Antiqua" w:hAnsi="Book Antiqua"/>
        </w:rPr>
        <w:t>: 540-556 [PMID: 30444569 DOI: 10.1111/liv.14006]</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40 </w:t>
      </w:r>
      <w:bookmarkStart w:id="69" w:name="OLE_LINK25"/>
      <w:bookmarkStart w:id="70" w:name="OLE_LINK26"/>
      <w:r>
        <w:rPr>
          <w:rFonts w:ascii="Book Antiqua" w:hAnsi="Book Antiqua"/>
          <w:b/>
          <w:bCs/>
        </w:rPr>
        <w:t xml:space="preserve">Viitasalo </w:t>
      </w:r>
      <w:bookmarkEnd w:id="69"/>
      <w:bookmarkEnd w:id="70"/>
      <w:r>
        <w:rPr>
          <w:rFonts w:ascii="Book Antiqua" w:hAnsi="Book Antiqua"/>
          <w:b/>
          <w:bCs/>
        </w:rPr>
        <w:t>A</w:t>
      </w:r>
      <w:r>
        <w:rPr>
          <w:rFonts w:ascii="Book Antiqua" w:hAnsi="Book Antiqua"/>
        </w:rPr>
        <w:t xml:space="preserve">, Eloranta AM, Atalay M, Romeo S, Pihlajamäki J, Lakka TA. Association of MBOAT7 gene variant with plasma ALT levels in children: the PANIC study. </w:t>
      </w:r>
      <w:r>
        <w:rPr>
          <w:rFonts w:ascii="Book Antiqua" w:hAnsi="Book Antiqua"/>
          <w:i/>
          <w:iCs/>
        </w:rPr>
        <w:t>Pediatr Res</w:t>
      </w:r>
      <w:r>
        <w:rPr>
          <w:rFonts w:ascii="Book Antiqua" w:hAnsi="Book Antiqua"/>
        </w:rPr>
        <w:t xml:space="preserve"> 2016; </w:t>
      </w:r>
      <w:r>
        <w:rPr>
          <w:rFonts w:ascii="Book Antiqua" w:hAnsi="Book Antiqua"/>
          <w:b/>
          <w:bCs/>
        </w:rPr>
        <w:t>80</w:t>
      </w:r>
      <w:r>
        <w:rPr>
          <w:rFonts w:ascii="Book Antiqua" w:hAnsi="Book Antiqua"/>
        </w:rPr>
        <w:t>: 651-655 [PMID: 27411039 DOI: 10.1038/pr.2016.139]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41 </w:t>
      </w:r>
      <w:r>
        <w:rPr>
          <w:rFonts w:ascii="Book Antiqua" w:hAnsi="Book Antiqua"/>
          <w:b/>
          <w:bCs/>
        </w:rPr>
        <w:t>Marzuillo P</w:t>
      </w:r>
      <w:r>
        <w:rPr>
          <w:rFonts w:ascii="Book Antiqua" w:hAnsi="Book Antiqua"/>
        </w:rPr>
        <w:t xml:space="preserve">, Grandone A, Perrone L, del Giudice EM. Weight loss allows the dissection of the interaction between abdominal fat and PNPLA3 (adiponutrin) in the liver damage of obese children. </w:t>
      </w:r>
      <w:r>
        <w:rPr>
          <w:rFonts w:ascii="Book Antiqua" w:hAnsi="Book Antiqua"/>
          <w:i/>
          <w:iCs/>
        </w:rPr>
        <w:t>J Hepatol</w:t>
      </w:r>
      <w:r>
        <w:rPr>
          <w:rFonts w:ascii="Book Antiqua" w:hAnsi="Book Antiqua"/>
        </w:rPr>
        <w:t xml:space="preserve"> 2013; </w:t>
      </w:r>
      <w:r>
        <w:rPr>
          <w:rFonts w:ascii="Book Antiqua" w:hAnsi="Book Antiqua"/>
          <w:b/>
          <w:bCs/>
        </w:rPr>
        <w:t>59</w:t>
      </w:r>
      <w:r>
        <w:rPr>
          <w:rFonts w:ascii="Book Antiqua" w:hAnsi="Book Antiqua"/>
        </w:rPr>
        <w:t>: 1143-1144 [PMID: 23845393 DOI: 10.1016/j.jhep.2013.06.027]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42 </w:t>
      </w:r>
      <w:r>
        <w:rPr>
          <w:rFonts w:ascii="Book Antiqua" w:hAnsi="Book Antiqua"/>
          <w:b/>
          <w:bCs/>
        </w:rPr>
        <w:t>Wang S</w:t>
      </w:r>
      <w:r>
        <w:rPr>
          <w:rFonts w:ascii="Book Antiqua" w:hAnsi="Book Antiqua"/>
        </w:rPr>
        <w:t xml:space="preserve">, Song J, Shang X, Chawla N, Yang Y, Meng X, Wang H, Ma J. Physical activity and sedentary behavior can modulate the effect of the PNPLA3 variant on childhood NAFLD: a case-control study in a Chinese population. </w:t>
      </w:r>
      <w:r>
        <w:rPr>
          <w:rFonts w:ascii="Book Antiqua" w:hAnsi="Book Antiqua"/>
          <w:i/>
          <w:iCs/>
        </w:rPr>
        <w:t>BMC Med Genet</w:t>
      </w:r>
      <w:r>
        <w:rPr>
          <w:rFonts w:ascii="Book Antiqua" w:hAnsi="Book Antiqua"/>
        </w:rPr>
        <w:t xml:space="preserve"> 2016; </w:t>
      </w:r>
      <w:r>
        <w:rPr>
          <w:rFonts w:ascii="Book Antiqua" w:hAnsi="Book Antiqua"/>
          <w:b/>
          <w:bCs/>
        </w:rPr>
        <w:t>17</w:t>
      </w:r>
      <w:r>
        <w:rPr>
          <w:rFonts w:ascii="Book Antiqua" w:hAnsi="Book Antiqua"/>
        </w:rPr>
        <w:t>: 90 [PMID: 27905898 DOI: 10.1186/s12881-016-0352-9]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43 </w:t>
      </w:r>
      <w:r>
        <w:rPr>
          <w:rFonts w:ascii="Book Antiqua" w:hAnsi="Book Antiqua"/>
          <w:b/>
          <w:bCs/>
        </w:rPr>
        <w:t>Davis JN</w:t>
      </w:r>
      <w:r>
        <w:rPr>
          <w:rFonts w:ascii="Book Antiqua" w:hAnsi="Book Antiqua"/>
        </w:rPr>
        <w:t xml:space="preserve">, Lê KA, Walker RW, Vikman S, Spruijt-Metz D, Weigensberg MJ, Allayee H, Goran MI. Increased hepatic fat in overweight Hispanic youth influenced by interaction between genetic variation in PNPLA3 and high dietary carbohydrate and sugar consumption. </w:t>
      </w:r>
      <w:r>
        <w:rPr>
          <w:rFonts w:ascii="Book Antiqua" w:hAnsi="Book Antiqua"/>
          <w:i/>
          <w:iCs/>
        </w:rPr>
        <w:t>Am J Clin Nutr</w:t>
      </w:r>
      <w:r>
        <w:rPr>
          <w:rFonts w:ascii="Book Antiqua" w:hAnsi="Book Antiqua"/>
        </w:rPr>
        <w:t xml:space="preserve"> 2010; </w:t>
      </w:r>
      <w:r>
        <w:rPr>
          <w:rFonts w:ascii="Book Antiqua" w:hAnsi="Book Antiqua"/>
          <w:b/>
          <w:bCs/>
        </w:rPr>
        <w:t>92</w:t>
      </w:r>
      <w:r>
        <w:rPr>
          <w:rFonts w:ascii="Book Antiqua" w:hAnsi="Book Antiqua"/>
        </w:rPr>
        <w:t>: 1522-1527 [PMID: 20962157 DOI: 10.3945/ajcn.2010.30185]</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44 </w:t>
      </w:r>
      <w:r>
        <w:rPr>
          <w:rFonts w:ascii="Book Antiqua" w:hAnsi="Book Antiqua"/>
          <w:b/>
          <w:bCs/>
        </w:rPr>
        <w:t>Santoro N</w:t>
      </w:r>
      <w:r>
        <w:rPr>
          <w:rFonts w:ascii="Book Antiqua" w:hAnsi="Book Antiqua"/>
        </w:rPr>
        <w:t xml:space="preserve">, Savoye M, Kim G, Marotto K, Shaw MM, Pierpont B, Caprio S. Hepatic fat accumulation is modulated by the interaction between the rs738409 variant in the PNPLA3 gene and the dietary omega6/omega3 PUFA intake. </w:t>
      </w:r>
      <w:r>
        <w:rPr>
          <w:rFonts w:ascii="Book Antiqua" w:hAnsi="Book Antiqua"/>
          <w:i/>
          <w:iCs/>
        </w:rPr>
        <w:t>PLoS One</w:t>
      </w:r>
      <w:r>
        <w:rPr>
          <w:rFonts w:ascii="Book Antiqua" w:hAnsi="Book Antiqua"/>
        </w:rPr>
        <w:t xml:space="preserve"> 2012; </w:t>
      </w:r>
      <w:r>
        <w:rPr>
          <w:rFonts w:ascii="Book Antiqua" w:hAnsi="Book Antiqua"/>
          <w:b/>
          <w:bCs/>
        </w:rPr>
        <w:t>7</w:t>
      </w:r>
      <w:r>
        <w:rPr>
          <w:rFonts w:ascii="Book Antiqua" w:hAnsi="Book Antiqua"/>
        </w:rPr>
        <w:t>: e37827 [PMID: 22629460 DOI: 10.1371/journal.pone.0037827]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45 </w:t>
      </w:r>
      <w:r>
        <w:rPr>
          <w:rFonts w:ascii="Book Antiqua" w:hAnsi="Book Antiqua"/>
          <w:b/>
          <w:bCs/>
        </w:rPr>
        <w:t>Monga Kravetz A</w:t>
      </w:r>
      <w:r>
        <w:rPr>
          <w:rFonts w:ascii="Book Antiqua" w:hAnsi="Book Antiqua"/>
        </w:rPr>
        <w:t xml:space="preserve">, Testerman T, Galuppo B, Graf J, Pierpont B, Siebel S, Feinn R, Santoro N. Effect of Gut Microbiota and PNPLA3 rs738409 Variant on Nonalcoholic Fatty Liver Disease (NAFLD) in Obese Youth. </w:t>
      </w:r>
      <w:r>
        <w:rPr>
          <w:rFonts w:ascii="Book Antiqua" w:hAnsi="Book Antiqua"/>
          <w:i/>
          <w:iCs/>
        </w:rPr>
        <w:t>J Clin Endocrinol Metab</w:t>
      </w:r>
      <w:r>
        <w:rPr>
          <w:rFonts w:ascii="Book Antiqua" w:hAnsi="Book Antiqua"/>
        </w:rPr>
        <w:t xml:space="preserve"> 2020; </w:t>
      </w:r>
      <w:r>
        <w:rPr>
          <w:rFonts w:ascii="Book Antiqua" w:hAnsi="Book Antiqua"/>
          <w:b/>
          <w:bCs/>
        </w:rPr>
        <w:t>105</w:t>
      </w:r>
      <w:r>
        <w:rPr>
          <w:rFonts w:ascii="Book Antiqua" w:hAnsi="Book Antiqua"/>
        </w:rPr>
        <w:t xml:space="preserve"> [PMID: 32561908 DOI: 10.1210/clinem/dgaa382]</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46 </w:t>
      </w:r>
      <w:r>
        <w:rPr>
          <w:rFonts w:ascii="Book Antiqua" w:hAnsi="Book Antiqua"/>
          <w:b/>
          <w:bCs/>
        </w:rPr>
        <w:t>Mantovani A</w:t>
      </w:r>
      <w:r>
        <w:rPr>
          <w:rFonts w:ascii="Book Antiqua" w:hAnsi="Book Antiqua"/>
        </w:rPr>
        <w:t xml:space="preserve">, Zusi C, Sani E, Colecchia A, Lippi G, Zaza GL, Valenti L, Byrne CD, Maffeis C, Bonora E, Targher G. Association between PNPLA3rs738409 polymorphism decreased kidney function in postmenopausal type 2 diabetic women with or without non-alcoholic fatty liver disease. </w:t>
      </w:r>
      <w:r>
        <w:rPr>
          <w:rFonts w:ascii="Book Antiqua" w:hAnsi="Book Antiqua"/>
          <w:i/>
          <w:iCs/>
        </w:rPr>
        <w:t>Diabetes Metab</w:t>
      </w:r>
      <w:r>
        <w:rPr>
          <w:rFonts w:ascii="Book Antiqua" w:hAnsi="Book Antiqua"/>
        </w:rPr>
        <w:t xml:space="preserve"> 2019; </w:t>
      </w:r>
      <w:r>
        <w:rPr>
          <w:rFonts w:ascii="Book Antiqua" w:hAnsi="Book Antiqua"/>
          <w:b/>
          <w:bCs/>
        </w:rPr>
        <w:t>45</w:t>
      </w:r>
      <w:r>
        <w:rPr>
          <w:rFonts w:ascii="Book Antiqua" w:hAnsi="Book Antiqua"/>
        </w:rPr>
        <w:t>: 480-487 [PMID: 30763699 DOI: 10.1016/j.diabet.2019.01.011]</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47 </w:t>
      </w:r>
      <w:r>
        <w:rPr>
          <w:rFonts w:ascii="Book Antiqua" w:hAnsi="Book Antiqua"/>
          <w:b/>
          <w:bCs/>
        </w:rPr>
        <w:t>Di Sessa A</w:t>
      </w:r>
      <w:r>
        <w:rPr>
          <w:rFonts w:ascii="Book Antiqua" w:hAnsi="Book Antiqua"/>
        </w:rPr>
        <w:t xml:space="preserve">, Guarino S, Passaro AP, Liguori L, Umano GR, Cirillo G, Miraglia Del Giudice E, Marzuillo P. NAFLD and renal function in children: is there a genetic link? </w:t>
      </w:r>
      <w:r>
        <w:rPr>
          <w:rFonts w:ascii="Book Antiqua" w:hAnsi="Book Antiqua"/>
          <w:i/>
          <w:iCs/>
        </w:rPr>
        <w:t>Expert Rev Gastroenterol Hepatol</w:t>
      </w:r>
      <w:r>
        <w:rPr>
          <w:rFonts w:ascii="Book Antiqua" w:hAnsi="Book Antiqua"/>
        </w:rPr>
        <w:t xml:space="preserve"> 2021; </w:t>
      </w:r>
      <w:r>
        <w:rPr>
          <w:rFonts w:ascii="Book Antiqua" w:hAnsi="Book Antiqua"/>
          <w:b/>
          <w:bCs/>
        </w:rPr>
        <w:t>15</w:t>
      </w:r>
      <w:r>
        <w:rPr>
          <w:rFonts w:ascii="Book Antiqua" w:hAnsi="Book Antiqua"/>
        </w:rPr>
        <w:t>: 975-984 [PMID: 33851883 DOI: 10.1080/17474124.2021.1906649]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48 </w:t>
      </w:r>
      <w:r>
        <w:rPr>
          <w:rFonts w:ascii="Book Antiqua" w:hAnsi="Book Antiqua"/>
          <w:b/>
          <w:bCs/>
        </w:rPr>
        <w:t>Marzuillo P</w:t>
      </w:r>
      <w:r>
        <w:rPr>
          <w:rFonts w:ascii="Book Antiqua" w:hAnsi="Book Antiqua"/>
        </w:rPr>
        <w:t xml:space="preserve">, Di Sessa A, Guarino S, Capalbo D, Umano GR, Pedullà M, La Manna A, Cirillo G, Miraglia Del Giudice E. Nonalcoholic fatty liver disease and eGFR levels could be linked by the PNPLA3 I148M polymorphism in children with obesity. </w:t>
      </w:r>
      <w:r>
        <w:rPr>
          <w:rFonts w:ascii="Book Antiqua" w:hAnsi="Book Antiqua"/>
          <w:i/>
          <w:iCs/>
        </w:rPr>
        <w:t>Pediatr Obes</w:t>
      </w:r>
      <w:r>
        <w:rPr>
          <w:rFonts w:ascii="Book Antiqua" w:hAnsi="Book Antiqua"/>
        </w:rPr>
        <w:t xml:space="preserve"> 2019; </w:t>
      </w:r>
      <w:r>
        <w:rPr>
          <w:rFonts w:ascii="Book Antiqua" w:hAnsi="Book Antiqua"/>
          <w:b/>
          <w:bCs/>
        </w:rPr>
        <w:t>14</w:t>
      </w:r>
      <w:r>
        <w:rPr>
          <w:rFonts w:ascii="Book Antiqua" w:hAnsi="Book Antiqua"/>
        </w:rPr>
        <w:t>: e12539 [PMID: 31184438 DOI: 10.1111/ijpo.12539]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49 </w:t>
      </w:r>
      <w:r>
        <w:rPr>
          <w:rFonts w:ascii="Book Antiqua" w:hAnsi="Book Antiqua"/>
          <w:b/>
          <w:bCs/>
        </w:rPr>
        <w:t>Fang YL</w:t>
      </w:r>
      <w:r>
        <w:rPr>
          <w:rFonts w:ascii="Book Antiqua" w:hAnsi="Book Antiqua"/>
        </w:rPr>
        <w:t xml:space="preserve">, Chen H, Wang CL, Liang L. Pathogenesis of non-alcoholic fatty liver disease in children and adolescence: From "two hit theory" to "multiple hit model". </w:t>
      </w:r>
      <w:r>
        <w:rPr>
          <w:rFonts w:ascii="Book Antiqua" w:hAnsi="Book Antiqua"/>
          <w:i/>
          <w:iCs/>
        </w:rPr>
        <w:t>World J Gastroenterol</w:t>
      </w:r>
      <w:r>
        <w:rPr>
          <w:rFonts w:ascii="Book Antiqua" w:hAnsi="Book Antiqua"/>
        </w:rPr>
        <w:t xml:space="preserve"> 2018; </w:t>
      </w:r>
      <w:r>
        <w:rPr>
          <w:rFonts w:ascii="Book Antiqua" w:hAnsi="Book Antiqua"/>
          <w:b/>
          <w:bCs/>
        </w:rPr>
        <w:t>24</w:t>
      </w:r>
      <w:r>
        <w:rPr>
          <w:rFonts w:ascii="Book Antiqua" w:hAnsi="Book Antiqua"/>
        </w:rPr>
        <w:t>: 2974-2983 [PMID: 30038464 DOI: 10.3748/wjg.v24.i27.2974]</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50 </w:t>
      </w:r>
      <w:r>
        <w:rPr>
          <w:rFonts w:ascii="Book Antiqua" w:hAnsi="Book Antiqua"/>
          <w:b/>
          <w:bCs/>
        </w:rPr>
        <w:t>Nobili V</w:t>
      </w:r>
      <w:r>
        <w:rPr>
          <w:rFonts w:ascii="Book Antiqua" w:hAnsi="Book Antiqua"/>
        </w:rPr>
        <w:t xml:space="preserve">, Alisi A, Valenti L, Miele L, Feldstein AE, Alkhouri N. NAFLD in children: new genes, new diagnostic modalities and new drugs. </w:t>
      </w:r>
      <w:r>
        <w:rPr>
          <w:rFonts w:ascii="Book Antiqua" w:hAnsi="Book Antiqua"/>
          <w:i/>
          <w:iCs/>
        </w:rPr>
        <w:t>Nat Rev Gastroenterol Hepatol</w:t>
      </w:r>
      <w:r>
        <w:rPr>
          <w:rFonts w:ascii="Book Antiqua" w:hAnsi="Book Antiqua"/>
        </w:rPr>
        <w:t xml:space="preserve"> 2019; </w:t>
      </w:r>
      <w:r>
        <w:rPr>
          <w:rFonts w:ascii="Book Antiqua" w:hAnsi="Book Antiqua"/>
          <w:b/>
          <w:bCs/>
        </w:rPr>
        <w:t>16</w:t>
      </w:r>
      <w:r>
        <w:rPr>
          <w:rFonts w:ascii="Book Antiqua" w:hAnsi="Book Antiqua"/>
        </w:rPr>
        <w:t>: 517-530 [PMID: 31278377 DOI: 10.1038/s41575-019-0169-z]</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51 </w:t>
      </w:r>
      <w:r>
        <w:rPr>
          <w:rFonts w:ascii="Book Antiqua" w:hAnsi="Book Antiqua"/>
          <w:b/>
          <w:bCs/>
        </w:rPr>
        <w:t>Beer NL</w:t>
      </w:r>
      <w:r>
        <w:rPr>
          <w:rFonts w:ascii="Book Antiqua" w:hAnsi="Book Antiqua"/>
        </w:rPr>
        <w:t xml:space="preserve">, Tribble ND, McCulloch LJ, Roos C, Johnson PR, Orho-Melander M, Gloyn AL. The P446L variant in GCKR associated with fasting plasma glucose and triglyceride levels exerts its effect through increased glucokinase activity in liver. </w:t>
      </w:r>
      <w:r>
        <w:rPr>
          <w:rFonts w:ascii="Book Antiqua" w:hAnsi="Book Antiqua"/>
          <w:i/>
          <w:iCs/>
        </w:rPr>
        <w:t>Hum Mol Genet</w:t>
      </w:r>
      <w:r>
        <w:rPr>
          <w:rFonts w:ascii="Book Antiqua" w:hAnsi="Book Antiqua"/>
        </w:rPr>
        <w:t xml:space="preserve"> 2009; </w:t>
      </w:r>
      <w:r>
        <w:rPr>
          <w:rFonts w:ascii="Book Antiqua" w:hAnsi="Book Antiqua"/>
          <w:b/>
          <w:bCs/>
        </w:rPr>
        <w:t>18</w:t>
      </w:r>
      <w:r>
        <w:rPr>
          <w:rFonts w:ascii="Book Antiqua" w:hAnsi="Book Antiqua"/>
        </w:rPr>
        <w:t>: 4081-4088 [PMID: 19643913 DOI: 10.1093/hmg/ddp357]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52 </w:t>
      </w:r>
      <w:r>
        <w:rPr>
          <w:rFonts w:ascii="Book Antiqua" w:hAnsi="Book Antiqua"/>
          <w:b/>
          <w:bCs/>
        </w:rPr>
        <w:t>Valenti L</w:t>
      </w:r>
      <w:r>
        <w:rPr>
          <w:rFonts w:ascii="Book Antiqua" w:hAnsi="Book Antiqua"/>
        </w:rPr>
        <w:t xml:space="preserve">, Alisi A, Nobili V. Unraveling the genetics of fatty liver in obese children: additive effect of P446L GCKR and I148M PNPLA3 polymorphisms. </w:t>
      </w:r>
      <w:r>
        <w:rPr>
          <w:rFonts w:ascii="Book Antiqua" w:hAnsi="Book Antiqua"/>
          <w:i/>
          <w:iCs/>
        </w:rPr>
        <w:t>Hepatology</w:t>
      </w:r>
      <w:r>
        <w:rPr>
          <w:rFonts w:ascii="Book Antiqua" w:hAnsi="Book Antiqua"/>
        </w:rPr>
        <w:t xml:space="preserve"> 2012; </w:t>
      </w:r>
      <w:r>
        <w:rPr>
          <w:rFonts w:ascii="Book Antiqua" w:hAnsi="Book Antiqua"/>
          <w:b/>
          <w:bCs/>
        </w:rPr>
        <w:t>55</w:t>
      </w:r>
      <w:r>
        <w:rPr>
          <w:rFonts w:ascii="Book Antiqua" w:hAnsi="Book Antiqua"/>
        </w:rPr>
        <w:t>: 661-663 [PMID: 22281838 DOI: 10.1002/hep.25617]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53 </w:t>
      </w:r>
      <w:r>
        <w:rPr>
          <w:rFonts w:ascii="Book Antiqua" w:hAnsi="Book Antiqua"/>
          <w:b/>
          <w:bCs/>
        </w:rPr>
        <w:t>Eslam M</w:t>
      </w:r>
      <w:r>
        <w:rPr>
          <w:rFonts w:ascii="Book Antiqua" w:hAnsi="Book Antiqua"/>
        </w:rPr>
        <w:t xml:space="preserve">, Valenti L, Romeo S. Genetics and epigenetics of NAFLD and NASH: Clinical impact. </w:t>
      </w:r>
      <w:r>
        <w:rPr>
          <w:rFonts w:ascii="Book Antiqua" w:hAnsi="Book Antiqua"/>
          <w:i/>
          <w:iCs/>
        </w:rPr>
        <w:t>J Hepatol</w:t>
      </w:r>
      <w:r>
        <w:rPr>
          <w:rFonts w:ascii="Book Antiqua" w:hAnsi="Book Antiqua"/>
        </w:rPr>
        <w:t xml:space="preserve"> 2018; </w:t>
      </w:r>
      <w:r>
        <w:rPr>
          <w:rFonts w:ascii="Book Antiqua" w:hAnsi="Book Antiqua"/>
          <w:b/>
          <w:bCs/>
        </w:rPr>
        <w:t>68</w:t>
      </w:r>
      <w:r>
        <w:rPr>
          <w:rFonts w:ascii="Book Antiqua" w:hAnsi="Book Antiqua"/>
        </w:rPr>
        <w:t>: 268-279 [PMID: 29122391 DOI: 10.1016/j.jhep.2017.09.003]</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54 </w:t>
      </w:r>
      <w:r>
        <w:rPr>
          <w:rFonts w:ascii="Book Antiqua" w:hAnsi="Book Antiqua"/>
          <w:b/>
          <w:bCs/>
        </w:rPr>
        <w:t>Speliotes EK</w:t>
      </w:r>
      <w:r>
        <w:rPr>
          <w:rFonts w:ascii="Book Antiqua" w:hAnsi="Book Antiqua"/>
        </w:rPr>
        <w:t xml:space="preserve">, Butler JL, Palmer CD, Voight BF; GIANT Consortium; MIGen Consortium; NASH CRN, Hirschhorn JN. PNPLA3 variants specifically confer increased risk for histologic nonalcoholic fatty liver disease but not metabolic disease. </w:t>
      </w:r>
      <w:r>
        <w:rPr>
          <w:rFonts w:ascii="Book Antiqua" w:hAnsi="Book Antiqua"/>
          <w:i/>
          <w:iCs/>
        </w:rPr>
        <w:t>Hepatology</w:t>
      </w:r>
      <w:r>
        <w:rPr>
          <w:rFonts w:ascii="Book Antiqua" w:hAnsi="Book Antiqua"/>
        </w:rPr>
        <w:t xml:space="preserve"> 2010; </w:t>
      </w:r>
      <w:r>
        <w:rPr>
          <w:rFonts w:ascii="Book Antiqua" w:hAnsi="Book Antiqua"/>
          <w:b/>
          <w:bCs/>
        </w:rPr>
        <w:t>52</w:t>
      </w:r>
      <w:r>
        <w:rPr>
          <w:rFonts w:ascii="Book Antiqua" w:hAnsi="Book Antiqua"/>
        </w:rPr>
        <w:t>: 904-912 [PMID: 20648472 DOI: 10.1002/hep.23768]</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55 </w:t>
      </w:r>
      <w:r>
        <w:rPr>
          <w:rFonts w:ascii="Book Antiqua" w:hAnsi="Book Antiqua"/>
          <w:b/>
          <w:bCs/>
        </w:rPr>
        <w:t>Petta S</w:t>
      </w:r>
      <w:r>
        <w:rPr>
          <w:rFonts w:ascii="Book Antiqua" w:hAnsi="Book Antiqua"/>
        </w:rPr>
        <w:t xml:space="preserve">, Miele L, Bugianesi E, Cammà C, Rosso C, Boccia S, Cabibi D, Di Marco V, Grimaudo S, Grieco A, Pipitone RM, Marchesini G, Craxì A. Glucokinase regulatory protein gene polymorphism affects liver fibrosis in non-alcoholic fatty liver disease. </w:t>
      </w:r>
      <w:r>
        <w:rPr>
          <w:rFonts w:ascii="Book Antiqua" w:hAnsi="Book Antiqua"/>
          <w:i/>
          <w:iCs/>
        </w:rPr>
        <w:t>PLoS One</w:t>
      </w:r>
      <w:r>
        <w:rPr>
          <w:rFonts w:ascii="Book Antiqua" w:hAnsi="Book Antiqua"/>
        </w:rPr>
        <w:t xml:space="preserve"> 2014; </w:t>
      </w:r>
      <w:r>
        <w:rPr>
          <w:rFonts w:ascii="Book Antiqua" w:hAnsi="Book Antiqua"/>
          <w:b/>
          <w:bCs/>
        </w:rPr>
        <w:t>9</w:t>
      </w:r>
      <w:r>
        <w:rPr>
          <w:rFonts w:ascii="Book Antiqua" w:hAnsi="Book Antiqua"/>
        </w:rPr>
        <w:t>: e87523 [PMID: 24498332 DOI: 10.1371/journal.pone.0087523]</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56 </w:t>
      </w:r>
      <w:r>
        <w:rPr>
          <w:rFonts w:ascii="Book Antiqua" w:hAnsi="Book Antiqua"/>
          <w:b/>
          <w:bCs/>
        </w:rPr>
        <w:t>Lin YC</w:t>
      </w:r>
      <w:r>
        <w:rPr>
          <w:rFonts w:ascii="Book Antiqua" w:hAnsi="Book Antiqua"/>
        </w:rPr>
        <w:t xml:space="preserve">, Chang PF, Chang MH, Ni YH. Genetic variants in GCKR and PNPLA3 confer susceptibility to nonalcoholic fatty liver disease in obese individuals. </w:t>
      </w:r>
      <w:r>
        <w:rPr>
          <w:rFonts w:ascii="Book Antiqua" w:hAnsi="Book Antiqua"/>
          <w:i/>
          <w:iCs/>
        </w:rPr>
        <w:t>Am J Clin Nutr</w:t>
      </w:r>
      <w:r>
        <w:rPr>
          <w:rFonts w:ascii="Book Antiqua" w:hAnsi="Book Antiqua"/>
        </w:rPr>
        <w:t xml:space="preserve"> 2014; </w:t>
      </w:r>
      <w:r>
        <w:rPr>
          <w:rFonts w:ascii="Book Antiqua" w:hAnsi="Book Antiqua"/>
          <w:b/>
          <w:bCs/>
        </w:rPr>
        <w:t>99</w:t>
      </w:r>
      <w:r>
        <w:rPr>
          <w:rFonts w:ascii="Book Antiqua" w:hAnsi="Book Antiqua"/>
        </w:rPr>
        <w:t>: 869-874 [PMID: 24477042 DOI: 10.3945/ajcn.113.079749]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57 </w:t>
      </w:r>
      <w:r>
        <w:rPr>
          <w:rFonts w:ascii="Book Antiqua" w:hAnsi="Book Antiqua"/>
          <w:b/>
          <w:bCs/>
        </w:rPr>
        <w:t>Santoro N</w:t>
      </w:r>
      <w:r>
        <w:rPr>
          <w:rFonts w:ascii="Book Antiqua" w:hAnsi="Book Antiqua"/>
        </w:rPr>
        <w:t xml:space="preserve">, Zhang CK, Zhao H, Pakstis AJ, Kim G, Kursawe R, Dykas DJ, Bale AE, Giannini C, Pierpont B, Shaw MM, Groop L, Caprio S. Variant in the glucokinase regulatory protein (GCKR) gene is associated with fatty liver in obese children and adolescents. </w:t>
      </w:r>
      <w:r>
        <w:rPr>
          <w:rFonts w:ascii="Book Antiqua" w:hAnsi="Book Antiqua"/>
          <w:i/>
          <w:iCs/>
        </w:rPr>
        <w:t>Hepatology</w:t>
      </w:r>
      <w:r>
        <w:rPr>
          <w:rFonts w:ascii="Book Antiqua" w:hAnsi="Book Antiqua"/>
        </w:rPr>
        <w:t xml:space="preserve"> 2012; </w:t>
      </w:r>
      <w:r>
        <w:rPr>
          <w:rFonts w:ascii="Book Antiqua" w:hAnsi="Book Antiqua"/>
          <w:b/>
          <w:bCs/>
        </w:rPr>
        <w:t>55</w:t>
      </w:r>
      <w:r>
        <w:rPr>
          <w:rFonts w:ascii="Book Antiqua" w:hAnsi="Book Antiqua"/>
        </w:rPr>
        <w:t>: 781-789 [PMID: 22105854 DOI: 10.1002/hep.24806]</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58 </w:t>
      </w:r>
      <w:r>
        <w:rPr>
          <w:rFonts w:ascii="Book Antiqua" w:hAnsi="Book Antiqua"/>
          <w:b/>
          <w:bCs/>
        </w:rPr>
        <w:t>Zusi C</w:t>
      </w:r>
      <w:r>
        <w:rPr>
          <w:rFonts w:ascii="Book Antiqua" w:hAnsi="Book Antiqua"/>
        </w:rPr>
        <w:t xml:space="preserve">, Mantovani A, Olivieri F, Morandi A, Corradi M, Miraglia Del Giudice E, Dauriz M, Valenti L, Byrne CD, Targher G, Maffeis C. Contribution of a genetic risk score to clinical prediction of hepatic steatosis in obese children and adolescents. </w:t>
      </w:r>
      <w:r>
        <w:rPr>
          <w:rFonts w:ascii="Book Antiqua" w:hAnsi="Book Antiqua"/>
          <w:i/>
          <w:iCs/>
        </w:rPr>
        <w:t>Dig Liver Dis</w:t>
      </w:r>
      <w:r>
        <w:rPr>
          <w:rFonts w:ascii="Book Antiqua" w:hAnsi="Book Antiqua"/>
        </w:rPr>
        <w:t xml:space="preserve"> 2019; </w:t>
      </w:r>
      <w:r>
        <w:rPr>
          <w:rFonts w:ascii="Book Antiqua" w:hAnsi="Book Antiqua"/>
          <w:b/>
          <w:bCs/>
        </w:rPr>
        <w:t>51</w:t>
      </w:r>
      <w:r>
        <w:rPr>
          <w:rFonts w:ascii="Book Antiqua" w:hAnsi="Book Antiqua"/>
        </w:rPr>
        <w:t>: 1586-1592 [PMID: 31255630 DOI: 10.1016/j.dld.2019.05.029]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59 </w:t>
      </w:r>
      <w:r>
        <w:rPr>
          <w:rFonts w:ascii="Book Antiqua" w:hAnsi="Book Antiqua"/>
          <w:b/>
          <w:bCs/>
        </w:rPr>
        <w:t>Chen X</w:t>
      </w:r>
      <w:r>
        <w:rPr>
          <w:rFonts w:ascii="Book Antiqua" w:hAnsi="Book Antiqua"/>
        </w:rPr>
        <w:t xml:space="preserve">, Zhou P, De L, Li B, Su S. The roles of transmembrane 6 superfamily member 2 rs58542926 polymorphism in chronic liver disease: A meta-analysis of 24,147 subjects. </w:t>
      </w:r>
      <w:r>
        <w:rPr>
          <w:rFonts w:ascii="Book Antiqua" w:hAnsi="Book Antiqua"/>
          <w:i/>
          <w:iCs/>
        </w:rPr>
        <w:t>Mol Genet Genomic Med</w:t>
      </w:r>
      <w:r>
        <w:rPr>
          <w:rFonts w:ascii="Book Antiqua" w:hAnsi="Book Antiqua"/>
        </w:rPr>
        <w:t xml:space="preserve"> 2019; </w:t>
      </w:r>
      <w:r>
        <w:rPr>
          <w:rFonts w:ascii="Book Antiqua" w:hAnsi="Book Antiqua"/>
          <w:b/>
          <w:bCs/>
        </w:rPr>
        <w:t>7</w:t>
      </w:r>
      <w:r>
        <w:rPr>
          <w:rFonts w:ascii="Book Antiqua" w:hAnsi="Book Antiqua"/>
        </w:rPr>
        <w:t>: e824 [PMID: 31309745 DOI: 10.1002/mgg3.824]</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60 </w:t>
      </w:r>
      <w:r>
        <w:rPr>
          <w:rFonts w:ascii="Book Antiqua" w:hAnsi="Book Antiqua"/>
          <w:b/>
          <w:bCs/>
        </w:rPr>
        <w:t>Mahdessian H</w:t>
      </w:r>
      <w:r>
        <w:rPr>
          <w:rFonts w:ascii="Book Antiqua" w:hAnsi="Book Antiqua"/>
        </w:rPr>
        <w:t xml:space="preserve">, Taxiarchis A, Popov S, Silveira A, Franco-Cereceda A, Hamsten A, Eriksson P, van't Hooft F. TM6SF2 is a regulator of liver fat metabolism influencing triglyceride secretion and hepatic lipid droplet content. </w:t>
      </w:r>
      <w:r>
        <w:rPr>
          <w:rFonts w:ascii="Book Antiqua" w:hAnsi="Book Antiqua"/>
          <w:i/>
          <w:iCs/>
        </w:rPr>
        <w:t>Proc Natl Acad Sci U S A</w:t>
      </w:r>
      <w:r>
        <w:rPr>
          <w:rFonts w:ascii="Book Antiqua" w:hAnsi="Book Antiqua"/>
        </w:rPr>
        <w:t xml:space="preserve"> 2014; </w:t>
      </w:r>
      <w:r>
        <w:rPr>
          <w:rFonts w:ascii="Book Antiqua" w:hAnsi="Book Antiqua"/>
          <w:b/>
          <w:bCs/>
        </w:rPr>
        <w:t>111</w:t>
      </w:r>
      <w:r>
        <w:rPr>
          <w:rFonts w:ascii="Book Antiqua" w:hAnsi="Book Antiqua"/>
        </w:rPr>
        <w:t>: 8913-8918 [PMID: 24927523 DOI: 10.1073/pnas.1323785111]</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61 </w:t>
      </w:r>
      <w:r>
        <w:rPr>
          <w:rFonts w:ascii="Book Antiqua" w:hAnsi="Book Antiqua"/>
          <w:b/>
          <w:bCs/>
        </w:rPr>
        <w:t>Kozlitina J</w:t>
      </w:r>
      <w:r>
        <w:rPr>
          <w:rFonts w:ascii="Book Antiqua" w:hAnsi="Book Antiqua"/>
        </w:rPr>
        <w:t xml:space="preserve">, Smagris E, Stender S, Nordestgaard BG, Zhou HH, Tybjærg-Hansen A, Vogt TF, Hobbs HH, Cohen JC. Exome-wide association study identifies a TM6SF2 variant that confers susceptibility to nonalcoholic fatty liver disease. </w:t>
      </w:r>
      <w:r>
        <w:rPr>
          <w:rFonts w:ascii="Book Antiqua" w:hAnsi="Book Antiqua"/>
          <w:i/>
          <w:iCs/>
        </w:rPr>
        <w:t>Nat Genet</w:t>
      </w:r>
      <w:r>
        <w:rPr>
          <w:rFonts w:ascii="Book Antiqua" w:hAnsi="Book Antiqua"/>
        </w:rPr>
        <w:t xml:space="preserve"> 2014; </w:t>
      </w:r>
      <w:r>
        <w:rPr>
          <w:rFonts w:ascii="Book Antiqua" w:hAnsi="Book Antiqua"/>
          <w:b/>
          <w:bCs/>
        </w:rPr>
        <w:t>46</w:t>
      </w:r>
      <w:r>
        <w:rPr>
          <w:rFonts w:ascii="Book Antiqua" w:hAnsi="Book Antiqua"/>
        </w:rPr>
        <w:t>: 352-356 [PMID: 24531328 DOI: 10.1038/ng.2901]</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62 </w:t>
      </w:r>
      <w:r>
        <w:rPr>
          <w:rFonts w:ascii="Book Antiqua" w:hAnsi="Book Antiqua"/>
          <w:b/>
          <w:bCs/>
        </w:rPr>
        <w:t>Sliz E</w:t>
      </w:r>
      <w:r>
        <w:rPr>
          <w:rFonts w:ascii="Book Antiqua" w:hAnsi="Book Antiqua"/>
        </w:rPr>
        <w:t xml:space="preserve">, Sebert S, Würtz P, Kangas AJ, Soininen P, Lehtimäki T, Kähönen M, Viikari J, Männikkö M, Ala-Korpela M, Raitakari OT, Kettunen J. NAFLD risk alleles in PNPLA3, TM6SF2, GCKR and LYPLAL1 show divergent metabolic effects. </w:t>
      </w:r>
      <w:r>
        <w:rPr>
          <w:rFonts w:ascii="Book Antiqua" w:hAnsi="Book Antiqua"/>
          <w:i/>
          <w:iCs/>
        </w:rPr>
        <w:t>Hum Mol Genet</w:t>
      </w:r>
      <w:r>
        <w:rPr>
          <w:rFonts w:ascii="Book Antiqua" w:hAnsi="Book Antiqua"/>
        </w:rPr>
        <w:t xml:space="preserve"> 2018; </w:t>
      </w:r>
      <w:r>
        <w:rPr>
          <w:rFonts w:ascii="Book Antiqua" w:hAnsi="Book Antiqua"/>
          <w:b/>
          <w:bCs/>
        </w:rPr>
        <w:t>27</w:t>
      </w:r>
      <w:r>
        <w:rPr>
          <w:rFonts w:ascii="Book Antiqua" w:hAnsi="Book Antiqua"/>
        </w:rPr>
        <w:t>: 2214-2223 [PMID: 29648650 DOI: 10.1093/hmg/ddy124]</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63 </w:t>
      </w:r>
      <w:r>
        <w:rPr>
          <w:rFonts w:ascii="Book Antiqua" w:hAnsi="Book Antiqua"/>
          <w:b/>
          <w:bCs/>
        </w:rPr>
        <w:t>Carlsson B</w:t>
      </w:r>
      <w:r>
        <w:rPr>
          <w:rFonts w:ascii="Book Antiqua" w:hAnsi="Book Antiqua"/>
        </w:rPr>
        <w:t xml:space="preserve">, Lindén D, Brolén G, Liljeblad M, Bjursell M, Romeo S, Loomba R. Review article: the emerging role of genetics in precision medicine for patients with non-alcoholic steatohepatitis. </w:t>
      </w:r>
      <w:r>
        <w:rPr>
          <w:rFonts w:ascii="Book Antiqua" w:hAnsi="Book Antiqua"/>
          <w:i/>
          <w:iCs/>
        </w:rPr>
        <w:t>Aliment Pharmacol Ther</w:t>
      </w:r>
      <w:r>
        <w:rPr>
          <w:rFonts w:ascii="Book Antiqua" w:hAnsi="Book Antiqua"/>
        </w:rPr>
        <w:t xml:space="preserve"> 2020; </w:t>
      </w:r>
      <w:r>
        <w:rPr>
          <w:rFonts w:ascii="Book Antiqua" w:hAnsi="Book Antiqua"/>
          <w:b/>
          <w:bCs/>
        </w:rPr>
        <w:t>51</w:t>
      </w:r>
      <w:r>
        <w:rPr>
          <w:rFonts w:ascii="Book Antiqua" w:hAnsi="Book Antiqua"/>
        </w:rPr>
        <w:t>: 1305-1320 [PMID: 32383295 DOI: 10.1111/apt.15738]</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64 </w:t>
      </w:r>
      <w:r>
        <w:rPr>
          <w:rFonts w:ascii="Book Antiqua" w:hAnsi="Book Antiqua"/>
          <w:b/>
          <w:bCs/>
        </w:rPr>
        <w:t>Liu YL</w:t>
      </w:r>
      <w:r>
        <w:rPr>
          <w:rFonts w:ascii="Book Antiqua" w:hAnsi="Book Antiqua"/>
        </w:rPr>
        <w:t xml:space="preserve">, Reeves HL, Burt AD, Tiniakos D, McPherson S, Leathart JB, Allison ME, Alexander GJ, Piguet AC, Anty R, Donaldson P, Aithal GP, Francque S, Van Gaal L, Clement K, Ratziu V, Dufour JF, Day CP, Daly AK, Anstee QM. TM6SF2 rs58542926 influences hepatic fibrosis progression in patients with non-alcoholic fatty liver disease. </w:t>
      </w:r>
      <w:r>
        <w:rPr>
          <w:rFonts w:ascii="Book Antiqua" w:hAnsi="Book Antiqua"/>
          <w:i/>
          <w:iCs/>
        </w:rPr>
        <w:t>Nat Commun</w:t>
      </w:r>
      <w:r>
        <w:rPr>
          <w:rFonts w:ascii="Book Antiqua" w:hAnsi="Book Antiqua"/>
        </w:rPr>
        <w:t xml:space="preserve"> 2014; </w:t>
      </w:r>
      <w:r>
        <w:rPr>
          <w:rFonts w:ascii="Book Antiqua" w:hAnsi="Book Antiqua"/>
          <w:b/>
          <w:bCs/>
        </w:rPr>
        <w:t>5</w:t>
      </w:r>
      <w:r>
        <w:rPr>
          <w:rFonts w:ascii="Book Antiqua" w:hAnsi="Book Antiqua"/>
        </w:rPr>
        <w:t>: 4309 [PMID: 24978903 DOI: 10.1038/ncomms5309]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65 </w:t>
      </w:r>
      <w:r>
        <w:rPr>
          <w:rFonts w:ascii="Book Antiqua" w:hAnsi="Book Antiqua"/>
          <w:b/>
          <w:bCs/>
        </w:rPr>
        <w:t>Dongiovanni P</w:t>
      </w:r>
      <w:r>
        <w:rPr>
          <w:rFonts w:ascii="Book Antiqua" w:hAnsi="Book Antiqua"/>
        </w:rPr>
        <w:t xml:space="preserve">, Petta S, Maglio C, Fracanzani AL, Pipitone R, Mozzi E, Motta BM, Kaminska D, Rametta R, Grimaudo S, Pelusi S, Montalcini T, Alisi A, Maggioni M, Kärjä V, Borén J, Käkelä P, Di Marco V, Xing C, Nobili V, Dallapiccola B, Craxi A, Pihlajamäki J, Fargion S, Sjöström L, Carlsson LM, Romeo S, Valenti L. Transmembrane 6 superfamily member 2 gene variant disentangles nonalcoholic steatohepatitis from cardiovascular disease. </w:t>
      </w:r>
      <w:r>
        <w:rPr>
          <w:rFonts w:ascii="Book Antiqua" w:hAnsi="Book Antiqua"/>
          <w:i/>
          <w:iCs/>
        </w:rPr>
        <w:t>Hepatology</w:t>
      </w:r>
      <w:r>
        <w:rPr>
          <w:rFonts w:ascii="Book Antiqua" w:hAnsi="Book Antiqua"/>
        </w:rPr>
        <w:t xml:space="preserve"> 2015; </w:t>
      </w:r>
      <w:r>
        <w:rPr>
          <w:rFonts w:ascii="Book Antiqua" w:hAnsi="Book Antiqua"/>
          <w:b/>
          <w:bCs/>
        </w:rPr>
        <w:t>61</w:t>
      </w:r>
      <w:r>
        <w:rPr>
          <w:rFonts w:ascii="Book Antiqua" w:hAnsi="Book Antiqua"/>
        </w:rPr>
        <w:t>: 506-514 [PMID: 25251399 DOI: 10.1002/hep.27490]</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66 </w:t>
      </w:r>
      <w:r>
        <w:rPr>
          <w:rFonts w:ascii="Book Antiqua" w:hAnsi="Book Antiqua"/>
          <w:b/>
          <w:bCs/>
        </w:rPr>
        <w:t>Holmen OL</w:t>
      </w:r>
      <w:r>
        <w:rPr>
          <w:rFonts w:ascii="Book Antiqua" w:hAnsi="Book Antiqua"/>
        </w:rPr>
        <w:t xml:space="preserve">, Zhang H, Fan Y, Hovelson DH, Schmidt EM, Zhou W, Guo Y, Zhang J, Langhammer A, Løchen ML, Ganesh SK, Vatten L, Skorpen F, Dalen H, Zhang J, Pennathur S, Chen J, Platou C, Mathiesen EB, Wilsgaard T, Njølstad I, Boehnke M, Chen YE, Abecasis GR, Hveem K, Willer CJ. Systematic evaluation of coding variation identifies a candidate causal variant in TM6SF2 influencing total cholesterol and myocardial infarction risk. </w:t>
      </w:r>
      <w:r>
        <w:rPr>
          <w:rFonts w:ascii="Book Antiqua" w:hAnsi="Book Antiqua"/>
          <w:i/>
          <w:iCs/>
        </w:rPr>
        <w:t>Nat Genet</w:t>
      </w:r>
      <w:r>
        <w:rPr>
          <w:rFonts w:ascii="Book Antiqua" w:hAnsi="Book Antiqua"/>
        </w:rPr>
        <w:t xml:space="preserve"> 2014; </w:t>
      </w:r>
      <w:r>
        <w:rPr>
          <w:rFonts w:ascii="Book Antiqua" w:hAnsi="Book Antiqua"/>
          <w:b/>
          <w:bCs/>
        </w:rPr>
        <w:t>46</w:t>
      </w:r>
      <w:r>
        <w:rPr>
          <w:rFonts w:ascii="Book Antiqua" w:hAnsi="Book Antiqua"/>
        </w:rPr>
        <w:t>: 345-351 [PMID: 24633158 DOI: 10.1038/ng.2926]</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67 </w:t>
      </w:r>
      <w:r>
        <w:rPr>
          <w:rFonts w:ascii="Book Antiqua" w:hAnsi="Book Antiqua"/>
          <w:b/>
          <w:bCs/>
        </w:rPr>
        <w:t>Marzuillo P</w:t>
      </w:r>
      <w:r>
        <w:rPr>
          <w:rFonts w:ascii="Book Antiqua" w:hAnsi="Book Antiqua"/>
        </w:rPr>
        <w:t xml:space="preserve">, Di Sessa A, Cirillo G, Umano GR, Pedullà M, La Manna A, Guarino S, Miraglia Del Giudice E. Transmembrane 6 superfamily member 2 167K allele improves renal function in children with obesity. </w:t>
      </w:r>
      <w:r>
        <w:rPr>
          <w:rFonts w:ascii="Book Antiqua" w:hAnsi="Book Antiqua"/>
          <w:i/>
          <w:iCs/>
        </w:rPr>
        <w:t>Pediatr Res</w:t>
      </w:r>
      <w:r>
        <w:rPr>
          <w:rFonts w:ascii="Book Antiqua" w:hAnsi="Book Antiqua"/>
        </w:rPr>
        <w:t xml:space="preserve"> 2020; </w:t>
      </w:r>
      <w:r>
        <w:rPr>
          <w:rFonts w:ascii="Book Antiqua" w:hAnsi="Book Antiqua"/>
          <w:b/>
          <w:bCs/>
        </w:rPr>
        <w:t>88</w:t>
      </w:r>
      <w:r>
        <w:rPr>
          <w:rFonts w:ascii="Book Antiqua" w:hAnsi="Book Antiqua"/>
        </w:rPr>
        <w:t>: 300-304 [PMID: 31923913 DOI: 10.1038/s41390-020-0753-5]</w:t>
      </w:r>
    </w:p>
    <w:bookmarkEnd w:id="60"/>
    <w:bookmarkEnd w:id="61"/>
    <w:bookmarkEnd w:id="62"/>
    <w:bookmarkEnd w:id="63"/>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Fonts w:hint="eastAsia" w:ascii="Book Antiqua" w:hAnsi="Book Antiqua"/>
        </w:rPr>
        <w:t>8</w:t>
      </w:r>
      <w:r>
        <w:rPr>
          <w:rFonts w:ascii="Book Antiqua" w:hAnsi="Book Antiqua"/>
        </w:rPr>
        <w:t xml:space="preserve"> </w:t>
      </w:r>
      <w:r>
        <w:rPr>
          <w:rFonts w:ascii="Book Antiqua" w:hAnsi="Book Antiqua"/>
          <w:b/>
          <w:bCs/>
        </w:rPr>
        <w:t>Su W</w:t>
      </w:r>
      <w:r>
        <w:rPr>
          <w:rFonts w:ascii="Book Antiqua" w:hAnsi="Book Antiqua"/>
        </w:rPr>
        <w:t xml:space="preserve">, Mao Z, Liu Y, Zhang X, Zhang W, Gustafsson JA, Guan Y. Role of HSD17B13 in the liver physiology and pathophysiology. </w:t>
      </w:r>
      <w:r>
        <w:rPr>
          <w:rFonts w:ascii="Book Antiqua" w:hAnsi="Book Antiqua"/>
          <w:i/>
          <w:iCs/>
        </w:rPr>
        <w:t>Mol Cell Endocrinol</w:t>
      </w:r>
      <w:r>
        <w:rPr>
          <w:rFonts w:ascii="Book Antiqua" w:hAnsi="Book Antiqua"/>
        </w:rPr>
        <w:t xml:space="preserve"> 2019; </w:t>
      </w:r>
      <w:r>
        <w:rPr>
          <w:rFonts w:ascii="Book Antiqua" w:hAnsi="Book Antiqua"/>
          <w:b/>
          <w:bCs/>
        </w:rPr>
        <w:t>489</w:t>
      </w:r>
      <w:r>
        <w:rPr>
          <w:rFonts w:ascii="Book Antiqua" w:hAnsi="Book Antiqua"/>
        </w:rPr>
        <w:t>: 119-125 [PMID: 30365983 DOI: 10.1016/j.mce.2018.10.014]</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69</w:t>
      </w:r>
      <w:r>
        <w:rPr>
          <w:rFonts w:ascii="Book Antiqua" w:hAnsi="Book Antiqua"/>
        </w:rPr>
        <w:t xml:space="preserve"> </w:t>
      </w:r>
      <w:r>
        <w:rPr>
          <w:rFonts w:ascii="Book Antiqua" w:hAnsi="Book Antiqua"/>
          <w:b/>
          <w:bCs/>
        </w:rPr>
        <w:t>Dong XC</w:t>
      </w:r>
      <w:r>
        <w:rPr>
          <w:rFonts w:ascii="Book Antiqua" w:hAnsi="Book Antiqua"/>
        </w:rPr>
        <w:t xml:space="preserve">. A closer look at the mysterious HSD17B13. </w:t>
      </w:r>
      <w:r>
        <w:rPr>
          <w:rFonts w:ascii="Book Antiqua" w:hAnsi="Book Antiqua"/>
          <w:i/>
          <w:iCs/>
        </w:rPr>
        <w:t>J Lipid Res</w:t>
      </w:r>
      <w:r>
        <w:rPr>
          <w:rFonts w:ascii="Book Antiqua" w:hAnsi="Book Antiqua"/>
        </w:rPr>
        <w:t xml:space="preserve"> 2020; </w:t>
      </w:r>
      <w:r>
        <w:rPr>
          <w:rFonts w:ascii="Book Antiqua" w:hAnsi="Book Antiqua"/>
          <w:b/>
          <w:bCs/>
        </w:rPr>
        <w:t>61</w:t>
      </w:r>
      <w:r>
        <w:rPr>
          <w:rFonts w:ascii="Book Antiqua" w:hAnsi="Book Antiqua"/>
        </w:rPr>
        <w:t>: 1361-1362 [PMID: 33008926 DOI: 10.1194/jlr.C120001160]</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Fonts w:hint="eastAsia" w:ascii="Book Antiqua" w:hAnsi="Book Antiqua"/>
        </w:rPr>
        <w:t>0</w:t>
      </w:r>
      <w:r>
        <w:rPr>
          <w:rFonts w:ascii="Book Antiqua" w:hAnsi="Book Antiqua"/>
        </w:rPr>
        <w:t xml:space="preserve"> </w:t>
      </w:r>
      <w:r>
        <w:rPr>
          <w:rFonts w:ascii="Book Antiqua" w:hAnsi="Book Antiqua"/>
          <w:b/>
          <w:bCs/>
        </w:rPr>
        <w:t>Su W</w:t>
      </w:r>
      <w:r>
        <w:rPr>
          <w:rFonts w:ascii="Book Antiqua" w:hAnsi="Book Antiqua"/>
        </w:rPr>
        <w:t xml:space="preserve">, Wang Y, Jia X, Wu W, Li L, Tian X, Li S, Wang C, Xu H, Cao J, Han Q, Xu S, Chen Y, Zhong Y, Zhang X, Liu P, Gustafsson JÅ, Guan Y. Comparative proteomic study reveals 17β-HSD13 as a pathogenic protein in nonalcoholic fatty liver disease. </w:t>
      </w:r>
      <w:r>
        <w:rPr>
          <w:rFonts w:ascii="Book Antiqua" w:hAnsi="Book Antiqua"/>
          <w:i/>
          <w:iCs/>
        </w:rPr>
        <w:t>Proc Natl Acad Sci U S A</w:t>
      </w:r>
      <w:r>
        <w:rPr>
          <w:rFonts w:ascii="Book Antiqua" w:hAnsi="Book Antiqua"/>
        </w:rPr>
        <w:t xml:space="preserve"> 2014; </w:t>
      </w:r>
      <w:r>
        <w:rPr>
          <w:rFonts w:ascii="Book Antiqua" w:hAnsi="Book Antiqua"/>
          <w:b/>
          <w:bCs/>
        </w:rPr>
        <w:t>111</w:t>
      </w:r>
      <w:r>
        <w:rPr>
          <w:rFonts w:ascii="Book Antiqua" w:hAnsi="Book Antiqua"/>
        </w:rPr>
        <w:t>: 11437-11442 [PMID: 25028495 DOI: 10.1073/pnas.1410741111]</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Fonts w:hint="eastAsia" w:ascii="Book Antiqua" w:hAnsi="Book Antiqua"/>
        </w:rPr>
        <w:t>1</w:t>
      </w:r>
      <w:r>
        <w:rPr>
          <w:rFonts w:ascii="Book Antiqua" w:hAnsi="Book Antiqua"/>
        </w:rPr>
        <w:t xml:space="preserve"> </w:t>
      </w:r>
      <w:r>
        <w:rPr>
          <w:rFonts w:ascii="Book Antiqua" w:hAnsi="Book Antiqua"/>
          <w:b/>
          <w:bCs/>
        </w:rPr>
        <w:t>Abul-Husn NS</w:t>
      </w:r>
      <w:r>
        <w:rPr>
          <w:rFonts w:ascii="Book Antiqua" w:hAnsi="Book Antiqua"/>
        </w:rPr>
        <w:t xml:space="preserve">, Cheng X, Li AH, Xin Y, Schurmann C, Stevis P, Liu Y, Kozlitina J, Stender S, Wood GC, Stepanchick AN, Still MD, McCarthy S, O'Dushlaine C, Packer JS, Balasubramanian S, Gosalia N, Esopi D, Kim SY, Mukherjee S, Lopez AE, Fuller ED, Penn J, Chu X, Luo JZ, Mirshahi UL, Carey DJ, Still CD, Feldman MD, Small A, Damrauer SM, Rader DJ, Zambrowicz B, Olson W, Murphy AJ, Borecki IB, Shuldiner AR, Reid JG, Overton JD, Yancopoulos GD, Hobbs HH, Cohen JC, Gottesman O, Teslovich TM, Baras A, Mirshahi T, Gromada J, Dewey FE. A Protein-Truncating HSD17B13 Variant and Protection from Chronic Liver Disease. </w:t>
      </w:r>
      <w:r>
        <w:rPr>
          <w:rFonts w:ascii="Book Antiqua" w:hAnsi="Book Antiqua"/>
          <w:i/>
          <w:iCs/>
        </w:rPr>
        <w:t>N Engl J Med</w:t>
      </w:r>
      <w:r>
        <w:rPr>
          <w:rFonts w:ascii="Book Antiqua" w:hAnsi="Book Antiqua"/>
        </w:rPr>
        <w:t xml:space="preserve"> 2018; </w:t>
      </w:r>
      <w:r>
        <w:rPr>
          <w:rFonts w:ascii="Book Antiqua" w:hAnsi="Book Antiqua"/>
          <w:b/>
          <w:bCs/>
        </w:rPr>
        <w:t>378</w:t>
      </w:r>
      <w:r>
        <w:rPr>
          <w:rFonts w:ascii="Book Antiqua" w:hAnsi="Book Antiqua"/>
        </w:rPr>
        <w:t>: 1096-1106 [PMID: 29562163 DOI: 10.1056/NEJMoa1712191]</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Fonts w:hint="eastAsia" w:ascii="Book Antiqua" w:hAnsi="Book Antiqua"/>
        </w:rPr>
        <w:t>2</w:t>
      </w:r>
      <w:r>
        <w:rPr>
          <w:rFonts w:ascii="Book Antiqua" w:hAnsi="Book Antiqua"/>
        </w:rPr>
        <w:t xml:space="preserve"> </w:t>
      </w:r>
      <w:r>
        <w:rPr>
          <w:rFonts w:ascii="Book Antiqua" w:hAnsi="Book Antiqua"/>
          <w:b/>
          <w:bCs/>
        </w:rPr>
        <w:t>Ma Y</w:t>
      </w:r>
      <w:r>
        <w:rPr>
          <w:rFonts w:ascii="Book Antiqua" w:hAnsi="Book Antiqua"/>
        </w:rPr>
        <w:t xml:space="preserve">, Belyaeva OV, Brown PM, Fujita K, Valles K, Karki S, de Boer YS, Koh C, Chen Y, Du X, Handelman SK, Chen V, Speliotes EK, Nestlerode C, Thomas E, Kleiner DE, Zmuda JM, Sanyal AJ; (for the Nonalcoholic Steatohepatitis Clinical Research Network), Kedishvili NY, Liang TJ, Rotman Y. 17-Beta Hydroxysteroid Dehydrogenase 13 Is a Hepatic Retinol Dehydrogenase Associated With Histological Features of Nonalcoholic Fatty Liver Disease. </w:t>
      </w:r>
      <w:r>
        <w:rPr>
          <w:rFonts w:ascii="Book Antiqua" w:hAnsi="Book Antiqua"/>
          <w:i/>
          <w:iCs/>
        </w:rPr>
        <w:t>Hepatology</w:t>
      </w:r>
      <w:r>
        <w:rPr>
          <w:rFonts w:ascii="Book Antiqua" w:hAnsi="Book Antiqua"/>
        </w:rPr>
        <w:t xml:space="preserve"> 2019; </w:t>
      </w:r>
      <w:r>
        <w:rPr>
          <w:rFonts w:ascii="Book Antiqua" w:hAnsi="Book Antiqua"/>
          <w:b/>
          <w:bCs/>
        </w:rPr>
        <w:t>69</w:t>
      </w:r>
      <w:r>
        <w:rPr>
          <w:rFonts w:ascii="Book Antiqua" w:hAnsi="Book Antiqua"/>
        </w:rPr>
        <w:t>: 1504-1519 [PMID: 30415504 DOI: 10.1002/hep.30350]</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Fonts w:hint="eastAsia" w:ascii="Book Antiqua" w:hAnsi="Book Antiqua"/>
        </w:rPr>
        <w:t>3</w:t>
      </w:r>
      <w:r>
        <w:rPr>
          <w:rFonts w:ascii="Book Antiqua" w:hAnsi="Book Antiqua"/>
        </w:rPr>
        <w:t xml:space="preserve"> </w:t>
      </w:r>
      <w:r>
        <w:rPr>
          <w:rFonts w:ascii="Book Antiqua" w:hAnsi="Book Antiqua"/>
          <w:b/>
          <w:bCs/>
        </w:rPr>
        <w:t>Lin YC</w:t>
      </w:r>
      <w:r>
        <w:rPr>
          <w:rFonts w:ascii="Book Antiqua" w:hAnsi="Book Antiqua"/>
        </w:rPr>
        <w:t xml:space="preserve">, Wu CC, Ni YH. New Perspectives on Genetic Prediction for Pediatric Metabolic Associated Fatty Liver Disease. </w:t>
      </w:r>
      <w:r>
        <w:rPr>
          <w:rFonts w:ascii="Book Antiqua" w:hAnsi="Book Antiqua"/>
          <w:i/>
          <w:iCs/>
        </w:rPr>
        <w:t>Front Pediatr</w:t>
      </w:r>
      <w:r>
        <w:rPr>
          <w:rFonts w:ascii="Book Antiqua" w:hAnsi="Book Antiqua"/>
        </w:rPr>
        <w:t xml:space="preserve"> 2020; </w:t>
      </w:r>
      <w:r>
        <w:rPr>
          <w:rFonts w:ascii="Book Antiqua" w:hAnsi="Book Antiqua"/>
          <w:b/>
          <w:bCs/>
        </w:rPr>
        <w:t>8</w:t>
      </w:r>
      <w:r>
        <w:rPr>
          <w:rFonts w:ascii="Book Antiqua" w:hAnsi="Book Antiqua"/>
        </w:rPr>
        <w:t>: 603654 [PMID: 33363067 DOI: 10.3389/fped.2020.603654]</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Fonts w:hint="eastAsia" w:ascii="Book Antiqua" w:hAnsi="Book Antiqua"/>
        </w:rPr>
        <w:t>4</w:t>
      </w:r>
      <w:r>
        <w:rPr>
          <w:rFonts w:ascii="Book Antiqua" w:hAnsi="Book Antiqua"/>
        </w:rPr>
        <w:t xml:space="preserve"> </w:t>
      </w:r>
      <w:r>
        <w:rPr>
          <w:rFonts w:ascii="Book Antiqua" w:hAnsi="Book Antiqua"/>
          <w:b/>
          <w:bCs/>
        </w:rPr>
        <w:t>Sookoian S</w:t>
      </w:r>
      <w:r>
        <w:rPr>
          <w:rFonts w:ascii="Book Antiqua" w:hAnsi="Book Antiqua"/>
        </w:rPr>
        <w:t xml:space="preserve">, Arrese M, Pirola CJ. Genetics Meets Therapy? Exome-wide Association Study Reveals a Loss-of-Function Variant in 17-Beta-Hydroxysteroid Dehydrogenase 13 That Protects Patients From Liver Damage and Nonalcoholic Fatty Liver Disease Progression. </w:t>
      </w:r>
      <w:r>
        <w:rPr>
          <w:rFonts w:ascii="Book Antiqua" w:hAnsi="Book Antiqua"/>
          <w:i/>
          <w:iCs/>
        </w:rPr>
        <w:t>Hepatology</w:t>
      </w:r>
      <w:r>
        <w:rPr>
          <w:rFonts w:ascii="Book Antiqua" w:hAnsi="Book Antiqua"/>
        </w:rPr>
        <w:t xml:space="preserve"> 2019; </w:t>
      </w:r>
      <w:r>
        <w:rPr>
          <w:rFonts w:ascii="Book Antiqua" w:hAnsi="Book Antiqua"/>
          <w:b/>
          <w:bCs/>
        </w:rPr>
        <w:t>69</w:t>
      </w:r>
      <w:r>
        <w:rPr>
          <w:rFonts w:ascii="Book Antiqua" w:hAnsi="Book Antiqua"/>
        </w:rPr>
        <w:t>: 907-910 [PMID: 30102780 DOI: 10.1002/hep.30209]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Fonts w:hint="eastAsia" w:ascii="Book Antiqua" w:hAnsi="Book Antiqua"/>
        </w:rPr>
        <w:t>5</w:t>
      </w:r>
      <w:r>
        <w:rPr>
          <w:rFonts w:ascii="Book Antiqua" w:hAnsi="Book Antiqua"/>
        </w:rPr>
        <w:t xml:space="preserve"> </w:t>
      </w:r>
      <w:r>
        <w:rPr>
          <w:rFonts w:ascii="Book Antiqua" w:hAnsi="Book Antiqua"/>
          <w:b/>
          <w:bCs/>
        </w:rPr>
        <w:t>Pirola CJ</w:t>
      </w:r>
      <w:r>
        <w:rPr>
          <w:rFonts w:ascii="Book Antiqua" w:hAnsi="Book Antiqua"/>
        </w:rPr>
        <w:t xml:space="preserve">, Garaycoechea M, Flichman D, Arrese M, San Martino J, Gazzi C, Castaño GO, Sookoian S. Splice variant rs72613567 prevents worst histologic outcomes in patients with nonalcoholic fatty liver disease. </w:t>
      </w:r>
      <w:r>
        <w:rPr>
          <w:rFonts w:ascii="Book Antiqua" w:hAnsi="Book Antiqua"/>
          <w:i/>
          <w:iCs/>
        </w:rPr>
        <w:t>J Lipid Res</w:t>
      </w:r>
      <w:r>
        <w:rPr>
          <w:rFonts w:ascii="Book Antiqua" w:hAnsi="Book Antiqua"/>
        </w:rPr>
        <w:t xml:space="preserve"> 2019; </w:t>
      </w:r>
      <w:r>
        <w:rPr>
          <w:rFonts w:ascii="Book Antiqua" w:hAnsi="Book Antiqua"/>
          <w:b/>
          <w:bCs/>
        </w:rPr>
        <w:t>60</w:t>
      </w:r>
      <w:r>
        <w:rPr>
          <w:rFonts w:ascii="Book Antiqua" w:hAnsi="Book Antiqua"/>
        </w:rPr>
        <w:t>: 176-185 [PMID: 30323112 DOI: 10.1194/jlr.P089953]</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Fonts w:hint="eastAsia" w:ascii="Book Antiqua" w:hAnsi="Book Antiqua"/>
        </w:rPr>
        <w:t>6</w:t>
      </w:r>
      <w:r>
        <w:rPr>
          <w:rFonts w:ascii="Book Antiqua" w:hAnsi="Book Antiqua"/>
        </w:rPr>
        <w:t xml:space="preserve"> </w:t>
      </w:r>
      <w:r>
        <w:rPr>
          <w:rFonts w:ascii="Book Antiqua" w:hAnsi="Book Antiqua"/>
          <w:b/>
          <w:bCs/>
        </w:rPr>
        <w:t>Ma Y</w:t>
      </w:r>
      <w:r>
        <w:rPr>
          <w:rFonts w:ascii="Book Antiqua" w:hAnsi="Book Antiqua"/>
        </w:rPr>
        <w:t xml:space="preserve">, Karki S, Brown PM, Lin DD, Podszun MC, Zhou W, Belyaeva OV, Kedishvili NY, Rotman Y. Characterization of essential domains in HSD17B13 for cellular localization and enzymatic activity. </w:t>
      </w:r>
      <w:r>
        <w:rPr>
          <w:rFonts w:ascii="Book Antiqua" w:hAnsi="Book Antiqua"/>
          <w:i/>
          <w:iCs/>
        </w:rPr>
        <w:t>J Lipid Res</w:t>
      </w:r>
      <w:r>
        <w:rPr>
          <w:rFonts w:ascii="Book Antiqua" w:hAnsi="Book Antiqua"/>
        </w:rPr>
        <w:t xml:space="preserve"> 2020; </w:t>
      </w:r>
      <w:r>
        <w:rPr>
          <w:rFonts w:ascii="Book Antiqua" w:hAnsi="Book Antiqua"/>
          <w:b/>
          <w:bCs/>
        </w:rPr>
        <w:t>61</w:t>
      </w:r>
      <w:r>
        <w:rPr>
          <w:rFonts w:ascii="Book Antiqua" w:hAnsi="Book Antiqua"/>
        </w:rPr>
        <w:t>: 1400-1409 [PMID: 32973038 DOI: 10.1194/jlr.RA120000907]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Fonts w:hint="eastAsia" w:ascii="Book Antiqua" w:hAnsi="Book Antiqua"/>
        </w:rPr>
        <w:t>7</w:t>
      </w:r>
      <w:r>
        <w:rPr>
          <w:rFonts w:ascii="Book Antiqua" w:hAnsi="Book Antiqua"/>
        </w:rPr>
        <w:t xml:space="preserve"> </w:t>
      </w:r>
      <w:r>
        <w:rPr>
          <w:rFonts w:ascii="Book Antiqua" w:hAnsi="Book Antiqua"/>
          <w:b/>
          <w:bCs/>
        </w:rPr>
        <w:t>Ma Y</w:t>
      </w:r>
      <w:r>
        <w:rPr>
          <w:rFonts w:ascii="Book Antiqua" w:hAnsi="Book Antiqua"/>
        </w:rPr>
        <w:t xml:space="preserve">, Brown PM, Lin DD, Ma J, Feng D, Belyaeva OV, Podszun MC, Roszik J, Allen JN, Umarova R, Kleiner DE, Kedishvili NY, Gavrilova O, Gao B, Rotman Y. 17-Beta Hydroxysteroid Dehydrogenase 13 Deficiency Does Not Protect Mice From Obesogenic Diet Injury. </w:t>
      </w:r>
      <w:r>
        <w:rPr>
          <w:rFonts w:ascii="Book Antiqua" w:hAnsi="Book Antiqua"/>
          <w:i/>
          <w:iCs/>
        </w:rPr>
        <w:t>Hepatology</w:t>
      </w:r>
      <w:r>
        <w:rPr>
          <w:rFonts w:ascii="Book Antiqua" w:hAnsi="Book Antiqua"/>
        </w:rPr>
        <w:t xml:space="preserve"> 2021; </w:t>
      </w:r>
      <w:r>
        <w:rPr>
          <w:rFonts w:ascii="Book Antiqua" w:hAnsi="Book Antiqua"/>
          <w:b/>
          <w:bCs/>
        </w:rPr>
        <w:t>73</w:t>
      </w:r>
      <w:r>
        <w:rPr>
          <w:rFonts w:ascii="Book Antiqua" w:hAnsi="Book Antiqua"/>
        </w:rPr>
        <w:t>: 1701-1716 [PMID: 32779242 DOI: 10.1002/hep.31517]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Fonts w:hint="eastAsia" w:ascii="Book Antiqua" w:hAnsi="Book Antiqua"/>
        </w:rPr>
        <w:t>8</w:t>
      </w:r>
      <w:r>
        <w:rPr>
          <w:rFonts w:ascii="Book Antiqua" w:hAnsi="Book Antiqua"/>
        </w:rPr>
        <w:t xml:space="preserve"> </w:t>
      </w:r>
      <w:r>
        <w:rPr>
          <w:rFonts w:ascii="Book Antiqua" w:hAnsi="Book Antiqua"/>
          <w:b/>
          <w:bCs/>
        </w:rPr>
        <w:t>Gellert-Kristensen H</w:t>
      </w:r>
      <w:r>
        <w:rPr>
          <w:rFonts w:ascii="Book Antiqua" w:hAnsi="Book Antiqua"/>
        </w:rPr>
        <w:t xml:space="preserve">, Nordestgaard BG, Tybjaerg-Hansen A, Stender S. High Risk of Fatty Liver Disease Amplifies the Alanine Transaminase-Lowering Effect of a HSD17B13 Variant. </w:t>
      </w:r>
      <w:r>
        <w:rPr>
          <w:rFonts w:ascii="Book Antiqua" w:hAnsi="Book Antiqua"/>
          <w:i/>
          <w:iCs/>
        </w:rPr>
        <w:t>Hepatology</w:t>
      </w:r>
      <w:r>
        <w:rPr>
          <w:rFonts w:ascii="Book Antiqua" w:hAnsi="Book Antiqua"/>
        </w:rPr>
        <w:t xml:space="preserve"> 2020; </w:t>
      </w:r>
      <w:r>
        <w:rPr>
          <w:rFonts w:ascii="Book Antiqua" w:hAnsi="Book Antiqua"/>
          <w:b/>
          <w:bCs/>
        </w:rPr>
        <w:t>71</w:t>
      </w:r>
      <w:r>
        <w:rPr>
          <w:rFonts w:ascii="Book Antiqua" w:hAnsi="Book Antiqua"/>
        </w:rPr>
        <w:t>: 56-66 [PMID: 31155741 DOI: 10.1002/hep.30799]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79</w:t>
      </w:r>
      <w:r>
        <w:rPr>
          <w:rFonts w:ascii="Book Antiqua" w:hAnsi="Book Antiqua"/>
        </w:rPr>
        <w:t xml:space="preserve"> </w:t>
      </w:r>
      <w:r>
        <w:rPr>
          <w:rFonts w:ascii="Book Antiqua" w:hAnsi="Book Antiqua"/>
          <w:b/>
          <w:bCs/>
        </w:rPr>
        <w:t>Wang P</w:t>
      </w:r>
      <w:r>
        <w:rPr>
          <w:rFonts w:ascii="Book Antiqua" w:hAnsi="Book Antiqua"/>
        </w:rPr>
        <w:t xml:space="preserve">, Wu CX, Li Y, Shen N. HSD17B13 rs72613567 protects against liver diseases and histological progression of nonalcoholic fatty liver disease: a systematic review and meta-analysis. </w:t>
      </w:r>
      <w:r>
        <w:rPr>
          <w:rFonts w:ascii="Book Antiqua" w:hAnsi="Book Antiqua"/>
          <w:i/>
          <w:iCs/>
        </w:rPr>
        <w:t>Eur Rev Med Pharmacol Sci</w:t>
      </w:r>
      <w:r>
        <w:rPr>
          <w:rFonts w:ascii="Book Antiqua" w:hAnsi="Book Antiqua"/>
        </w:rPr>
        <w:t xml:space="preserve"> 2020; </w:t>
      </w:r>
      <w:r>
        <w:rPr>
          <w:rFonts w:ascii="Book Antiqua" w:hAnsi="Book Antiqua"/>
          <w:b/>
          <w:bCs/>
        </w:rPr>
        <w:t>24</w:t>
      </w:r>
      <w:r>
        <w:rPr>
          <w:rFonts w:ascii="Book Antiqua" w:hAnsi="Book Antiqua"/>
        </w:rPr>
        <w:t>: 8997-9007 [PMID: 32964989 DOI: 10.26355/eurrev_202009_22842]</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Fonts w:hint="eastAsia" w:ascii="Book Antiqua" w:hAnsi="Book Antiqua"/>
        </w:rPr>
        <w:t>0</w:t>
      </w:r>
      <w:r>
        <w:rPr>
          <w:rFonts w:ascii="Book Antiqua" w:hAnsi="Book Antiqua"/>
        </w:rPr>
        <w:t xml:space="preserve"> </w:t>
      </w:r>
      <w:r>
        <w:rPr>
          <w:rFonts w:ascii="Book Antiqua" w:hAnsi="Book Antiqua"/>
          <w:b/>
          <w:bCs/>
        </w:rPr>
        <w:t>Stickel F</w:t>
      </w:r>
      <w:r>
        <w:rPr>
          <w:rFonts w:ascii="Book Antiqua" w:hAnsi="Book Antiqua"/>
        </w:rPr>
        <w:t xml:space="preserve">, Lutz P, Buch S, Nischalke HD, Silva I, Rausch V, Fischer J, Weiss KH, Gotthardt D, Rosendahl J, Marot A, Elamly M, Krawczyk M, Casper M, Lammert F, Buckley TWM, McQuillin A, Spengler U, Eyer F, Vogel A, Marhenke S, von Felden J, Wege H, Sharma R, Atkinson S, Franke A, Nehring S, Moser V, Schafmayer C, Spahr L, Lackner C, Stauber RE, Canbay A, Link A, Valenti L, Grove JI, Aithal GP, Marquardt JU, Fateen W, Zopf S, Dufour JF, Trebicka J, Datz C, Deltenre P, Mueller S, Berg T, Hampe J, Morgan MY. Genetic Variation in HSD17B13 Reduces the Risk of Developing Cirrhosis and Hepatocellular Carcinoma in Alcohol Misusers.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88-102 [PMID: 31630428 DOI: 10.1002/hep.30996]</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Fonts w:hint="eastAsia" w:ascii="Book Antiqua" w:hAnsi="Book Antiqua"/>
        </w:rPr>
        <w:t>1</w:t>
      </w:r>
      <w:r>
        <w:rPr>
          <w:rFonts w:ascii="Book Antiqua" w:hAnsi="Book Antiqua"/>
        </w:rPr>
        <w:t xml:space="preserve"> </w:t>
      </w:r>
      <w:r>
        <w:rPr>
          <w:rFonts w:ascii="Book Antiqua" w:hAnsi="Book Antiqua"/>
          <w:b/>
          <w:bCs/>
        </w:rPr>
        <w:t>Yang J</w:t>
      </w:r>
      <w:r>
        <w:rPr>
          <w:rFonts w:ascii="Book Antiqua" w:hAnsi="Book Antiqua"/>
        </w:rPr>
        <w:t xml:space="preserve">, Trépo E, Nahon P, Cao Q, Moreno C, Letouzé E, Imbeaud S, Bayard Q, Gustot T, Deviere J, Bioulac-Sage P, Calderaro J, Ganne-Carrié N, Laurent A, Blanc JF, Guyot E, Sutton A, Ziol M, Zucman-Rossi J, Nault JC. A 17-Beta-Hydroxysteroid Dehydrogenase 13 Variant Protects From Hepatocellular Carcinoma Development in Alcoholic Liver Disease. </w:t>
      </w:r>
      <w:r>
        <w:rPr>
          <w:rFonts w:ascii="Book Antiqua" w:hAnsi="Book Antiqua"/>
          <w:i/>
          <w:iCs/>
        </w:rPr>
        <w:t>Hepatology</w:t>
      </w:r>
      <w:r>
        <w:rPr>
          <w:rFonts w:ascii="Book Antiqua" w:hAnsi="Book Antiqua"/>
        </w:rPr>
        <w:t xml:space="preserve"> 2019; </w:t>
      </w:r>
      <w:r>
        <w:rPr>
          <w:rFonts w:ascii="Book Antiqua" w:hAnsi="Book Antiqua"/>
          <w:b/>
          <w:bCs/>
        </w:rPr>
        <w:t>70</w:t>
      </w:r>
      <w:r>
        <w:rPr>
          <w:rFonts w:ascii="Book Antiqua" w:hAnsi="Book Antiqua"/>
        </w:rPr>
        <w:t>: 231-240 [PMID: 30908678 DOI: 10.1002/hep.30623]</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Fonts w:hint="eastAsia" w:ascii="Book Antiqua" w:hAnsi="Book Antiqua"/>
        </w:rPr>
        <w:t>2</w:t>
      </w:r>
      <w:r>
        <w:rPr>
          <w:rFonts w:ascii="Book Antiqua" w:hAnsi="Book Antiqua"/>
        </w:rPr>
        <w:t xml:space="preserve"> </w:t>
      </w:r>
      <w:r>
        <w:rPr>
          <w:rFonts w:ascii="Book Antiqua" w:hAnsi="Book Antiqua"/>
          <w:b/>
          <w:bCs/>
        </w:rPr>
        <w:t>Di Sessa A</w:t>
      </w:r>
      <w:r>
        <w:rPr>
          <w:rFonts w:ascii="Book Antiqua" w:hAnsi="Book Antiqua"/>
        </w:rPr>
        <w:t xml:space="preserve">, Umano GR, Cirillo G, Passaro AP, Verde V, Cozzolino D, Guarino S, Marzuillo P, Miraglia Del Giudice E. Pediatric non-alcoholic fatty liver disease and kidney function: Effect of </w:t>
      </w:r>
      <w:r>
        <w:rPr>
          <w:rFonts w:ascii="Book Antiqua" w:hAnsi="Book Antiqua"/>
          <w:i/>
          <w:iCs/>
        </w:rPr>
        <w:t>HSD17B13</w:t>
      </w:r>
      <w:r>
        <w:rPr>
          <w:rFonts w:ascii="Book Antiqua" w:hAnsi="Book Antiqua"/>
        </w:rPr>
        <w:t xml:space="preserve"> variant.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5474-5483 [PMID: 33024398 DOI: 10.3748/wjg.v26.i36.5474]</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Fonts w:hint="eastAsia" w:ascii="Book Antiqua" w:hAnsi="Book Antiqua"/>
        </w:rPr>
        <w:t>3</w:t>
      </w:r>
      <w:r>
        <w:rPr>
          <w:rFonts w:ascii="Book Antiqua" w:hAnsi="Book Antiqua"/>
        </w:rPr>
        <w:t xml:space="preserve"> </w:t>
      </w:r>
      <w:r>
        <w:rPr>
          <w:rFonts w:ascii="Book Antiqua" w:hAnsi="Book Antiqua"/>
          <w:b/>
          <w:bCs/>
        </w:rPr>
        <w:t>Kozlitina J</w:t>
      </w:r>
      <w:r>
        <w:rPr>
          <w:rFonts w:ascii="Book Antiqua" w:hAnsi="Book Antiqua"/>
        </w:rPr>
        <w:t xml:space="preserve">, Stender S, Hobbs HH, Cohen JC. HSD17B13 and Chronic Liver Disease in Blacks and Hispanics. </w:t>
      </w:r>
      <w:r>
        <w:rPr>
          <w:rFonts w:ascii="Book Antiqua" w:hAnsi="Book Antiqua"/>
          <w:i/>
          <w:iCs/>
        </w:rPr>
        <w:t>N Engl J Med</w:t>
      </w:r>
      <w:r>
        <w:rPr>
          <w:rFonts w:ascii="Book Antiqua" w:hAnsi="Book Antiqua"/>
        </w:rPr>
        <w:t xml:space="preserve"> 2018; </w:t>
      </w:r>
      <w:r>
        <w:rPr>
          <w:rFonts w:ascii="Book Antiqua" w:hAnsi="Book Antiqua"/>
          <w:b/>
          <w:bCs/>
        </w:rPr>
        <w:t>379</w:t>
      </w:r>
      <w:r>
        <w:rPr>
          <w:rFonts w:ascii="Book Antiqua" w:hAnsi="Book Antiqua"/>
        </w:rPr>
        <w:t>: 1876-1877 [PMID: 30403941 DOI: 10.1056/NEJMc1804027]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Fonts w:hint="eastAsia" w:ascii="Book Antiqua" w:hAnsi="Book Antiqua"/>
        </w:rPr>
        <w:t>4</w:t>
      </w:r>
      <w:r>
        <w:rPr>
          <w:rFonts w:ascii="Book Antiqua" w:hAnsi="Book Antiqua"/>
        </w:rPr>
        <w:t xml:space="preserve"> </w:t>
      </w:r>
      <w:r>
        <w:rPr>
          <w:rFonts w:ascii="Book Antiqua" w:hAnsi="Book Antiqua"/>
          <w:b/>
          <w:bCs/>
        </w:rPr>
        <w:t>Stender S</w:t>
      </w:r>
      <w:r>
        <w:rPr>
          <w:rFonts w:ascii="Book Antiqua" w:hAnsi="Book Antiqua"/>
        </w:rPr>
        <w:t xml:space="preserve">, Romeo S. HSD17B13 as a promising therapeutic target against chronic liver disease.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756-757 [PMID: 32255570 DOI: 10.1111/liv.14411]</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Fonts w:hint="eastAsia" w:ascii="Book Antiqua" w:hAnsi="Book Antiqua"/>
        </w:rPr>
        <w:t>5</w:t>
      </w:r>
      <w:r>
        <w:rPr>
          <w:rFonts w:ascii="Book Antiqua" w:hAnsi="Book Antiqua"/>
        </w:rPr>
        <w:t xml:space="preserve"> </w:t>
      </w:r>
      <w:bookmarkStart w:id="71" w:name="OLE_LINK35"/>
      <w:bookmarkStart w:id="72" w:name="OLE_LINK36"/>
      <w:r>
        <w:rPr>
          <w:rFonts w:ascii="Book Antiqua" w:hAnsi="Book Antiqua"/>
          <w:b/>
          <w:bCs/>
        </w:rPr>
        <w:t>Bäckhed</w:t>
      </w:r>
      <w:bookmarkEnd w:id="71"/>
      <w:bookmarkEnd w:id="72"/>
      <w:r>
        <w:rPr>
          <w:rFonts w:ascii="Book Antiqua" w:hAnsi="Book Antiqua"/>
          <w:b/>
          <w:bCs/>
        </w:rPr>
        <w:t xml:space="preserve"> F</w:t>
      </w:r>
      <w:r>
        <w:rPr>
          <w:rFonts w:ascii="Book Antiqua" w:hAnsi="Book Antiqua"/>
        </w:rPr>
        <w:t xml:space="preserve">, Ding H, Wang T, Hooper LV, Koh GY, Nagy A, Semenkovich CF, Gordon JI. The gut microbiota as an environmental factor that regulates fat storage. </w:t>
      </w:r>
      <w:r>
        <w:rPr>
          <w:rFonts w:ascii="Book Antiqua" w:hAnsi="Book Antiqua"/>
          <w:i/>
          <w:iCs/>
        </w:rPr>
        <w:t>Proc Natl Acad Sci U S A</w:t>
      </w:r>
      <w:r>
        <w:rPr>
          <w:rFonts w:ascii="Book Antiqua" w:hAnsi="Book Antiqua"/>
        </w:rPr>
        <w:t xml:space="preserve"> 2004; </w:t>
      </w:r>
      <w:r>
        <w:rPr>
          <w:rFonts w:ascii="Book Antiqua" w:hAnsi="Book Antiqua"/>
          <w:b/>
          <w:bCs/>
        </w:rPr>
        <w:t>101</w:t>
      </w:r>
      <w:r>
        <w:rPr>
          <w:rFonts w:ascii="Book Antiqua" w:hAnsi="Book Antiqua"/>
        </w:rPr>
        <w:t>: 15718-15723 [PMID: 15505215 DOI: 10.1073/pnas.0407076101]</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Fonts w:hint="eastAsia" w:ascii="Book Antiqua" w:hAnsi="Book Antiqua"/>
        </w:rPr>
        <w:t>6</w:t>
      </w:r>
      <w:r>
        <w:rPr>
          <w:rFonts w:ascii="Book Antiqua" w:hAnsi="Book Antiqua"/>
        </w:rPr>
        <w:t xml:space="preserve"> </w:t>
      </w:r>
      <w:r>
        <w:rPr>
          <w:rFonts w:ascii="Book Antiqua" w:hAnsi="Book Antiqua"/>
          <w:b/>
          <w:bCs/>
        </w:rPr>
        <w:t>Tripathi A</w:t>
      </w:r>
      <w:r>
        <w:rPr>
          <w:rFonts w:ascii="Book Antiqua" w:hAnsi="Book Antiqua"/>
        </w:rPr>
        <w:t xml:space="preserve">, Debelius J, Brenner DA, Karin M, Loomba R, Schnabl B, Knight R. The gut-liver axis and the intersection with the microbiome. </w:t>
      </w:r>
      <w:r>
        <w:rPr>
          <w:rFonts w:ascii="Book Antiqua" w:hAnsi="Book Antiqua"/>
          <w:i/>
          <w:iCs/>
        </w:rPr>
        <w:t>Nat Rev Gastroenterol Hepatol</w:t>
      </w:r>
      <w:r>
        <w:rPr>
          <w:rFonts w:ascii="Book Antiqua" w:hAnsi="Book Antiqua"/>
        </w:rPr>
        <w:t xml:space="preserve"> 2018; </w:t>
      </w:r>
      <w:r>
        <w:rPr>
          <w:rFonts w:ascii="Book Antiqua" w:hAnsi="Book Antiqua"/>
          <w:b/>
          <w:bCs/>
        </w:rPr>
        <w:t>15</w:t>
      </w:r>
      <w:r>
        <w:rPr>
          <w:rFonts w:ascii="Book Antiqua" w:hAnsi="Book Antiqua"/>
        </w:rPr>
        <w:t>: 397-411 [PMID: 29748586 DOI: 10.1038/s41575-018-0011-z]</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Fonts w:hint="eastAsia" w:ascii="Book Antiqua" w:hAnsi="Book Antiqua"/>
        </w:rPr>
        <w:t>7</w:t>
      </w:r>
      <w:r>
        <w:rPr>
          <w:rFonts w:ascii="Book Antiqua" w:hAnsi="Book Antiqua"/>
        </w:rPr>
        <w:t xml:space="preserve"> </w:t>
      </w:r>
      <w:r>
        <w:rPr>
          <w:rFonts w:ascii="Book Antiqua" w:hAnsi="Book Antiqua"/>
          <w:b/>
          <w:bCs/>
        </w:rPr>
        <w:t>Copple BL</w:t>
      </w:r>
      <w:r>
        <w:rPr>
          <w:rFonts w:ascii="Book Antiqua" w:hAnsi="Book Antiqua"/>
        </w:rPr>
        <w:t xml:space="preserve">, Li T. Pharmacology of bile acid receptors: Evolution of bile acids from simple detergents to complex signaling molecules. </w:t>
      </w:r>
      <w:r>
        <w:rPr>
          <w:rFonts w:ascii="Book Antiqua" w:hAnsi="Book Antiqua"/>
          <w:i/>
          <w:iCs/>
        </w:rPr>
        <w:t>Pharmacol Res</w:t>
      </w:r>
      <w:r>
        <w:rPr>
          <w:rFonts w:ascii="Book Antiqua" w:hAnsi="Book Antiqua"/>
        </w:rPr>
        <w:t xml:space="preserve"> 2016; </w:t>
      </w:r>
      <w:r>
        <w:rPr>
          <w:rFonts w:ascii="Book Antiqua" w:hAnsi="Book Antiqua"/>
          <w:b/>
          <w:bCs/>
        </w:rPr>
        <w:t>104</w:t>
      </w:r>
      <w:r>
        <w:rPr>
          <w:rFonts w:ascii="Book Antiqua" w:hAnsi="Book Antiqua"/>
        </w:rPr>
        <w:t>: 9-21 [PMID: 26706784 DOI: 10.1016/j.phrs.2015.12.007]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Fonts w:hint="eastAsia" w:ascii="Book Antiqua" w:hAnsi="Book Antiqua"/>
        </w:rPr>
        <w:t>8</w:t>
      </w:r>
      <w:r>
        <w:rPr>
          <w:rFonts w:ascii="Book Antiqua" w:hAnsi="Book Antiqua"/>
        </w:rPr>
        <w:t xml:space="preserve"> </w:t>
      </w:r>
      <w:r>
        <w:rPr>
          <w:rFonts w:ascii="Book Antiqua" w:hAnsi="Book Antiqua"/>
          <w:b/>
          <w:bCs/>
        </w:rPr>
        <w:t>Sinal CJ</w:t>
      </w:r>
      <w:r>
        <w:rPr>
          <w:rFonts w:ascii="Book Antiqua" w:hAnsi="Book Antiqua"/>
        </w:rPr>
        <w:t xml:space="preserve">, Tohkin M, Miyata M, Ward JM, Lambert G, Gonzalez FJ. Targeted disruption of the nuclear receptor FXR/BAR impairs bile acid and lipid homeostasis. </w:t>
      </w:r>
      <w:r>
        <w:rPr>
          <w:rFonts w:ascii="Book Antiqua" w:hAnsi="Book Antiqua"/>
          <w:i/>
          <w:iCs/>
        </w:rPr>
        <w:t>Cell</w:t>
      </w:r>
      <w:r>
        <w:rPr>
          <w:rFonts w:ascii="Book Antiqua" w:hAnsi="Book Antiqua"/>
        </w:rPr>
        <w:t xml:space="preserve"> 2000; </w:t>
      </w:r>
      <w:r>
        <w:rPr>
          <w:rFonts w:ascii="Book Antiqua" w:hAnsi="Book Antiqua"/>
          <w:b/>
          <w:bCs/>
        </w:rPr>
        <w:t>102</w:t>
      </w:r>
      <w:r>
        <w:rPr>
          <w:rFonts w:ascii="Book Antiqua" w:hAnsi="Book Antiqua"/>
        </w:rPr>
        <w:t>: 731-744 [PMID: 11030617 DOI: 10.1016/s0092-8674(00)00062-3]</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89</w:t>
      </w:r>
      <w:r>
        <w:rPr>
          <w:rFonts w:ascii="Book Antiqua" w:hAnsi="Book Antiqua"/>
        </w:rPr>
        <w:t xml:space="preserve"> </w:t>
      </w:r>
      <w:r>
        <w:rPr>
          <w:rFonts w:ascii="Book Antiqua" w:hAnsi="Book Antiqua"/>
          <w:b/>
          <w:bCs/>
        </w:rPr>
        <w:t>Pols TW</w:t>
      </w:r>
      <w:r>
        <w:rPr>
          <w:rFonts w:ascii="Book Antiqua" w:hAnsi="Book Antiqua"/>
        </w:rPr>
        <w:t xml:space="preserve">, Noriega LG, Nomura M, Auwerx J, Schoonjans K. The bile acid membrane receptor TGR5 as an emerging target in metabolism and inflammation. </w:t>
      </w:r>
      <w:r>
        <w:rPr>
          <w:rFonts w:ascii="Book Antiqua" w:hAnsi="Book Antiqua"/>
          <w:i/>
          <w:iCs/>
        </w:rPr>
        <w:t>J Hepatol</w:t>
      </w:r>
      <w:r>
        <w:rPr>
          <w:rFonts w:ascii="Book Antiqua" w:hAnsi="Book Antiqua"/>
        </w:rPr>
        <w:t xml:space="preserve"> 2011; </w:t>
      </w:r>
      <w:r>
        <w:rPr>
          <w:rFonts w:ascii="Book Antiqua" w:hAnsi="Book Antiqua"/>
          <w:b/>
          <w:bCs/>
        </w:rPr>
        <w:t>54</w:t>
      </w:r>
      <w:r>
        <w:rPr>
          <w:rFonts w:ascii="Book Antiqua" w:hAnsi="Book Antiqua"/>
        </w:rPr>
        <w:t>: 1263-1272 [PMID: 21145931 DOI: 10.1016/j.jhep.2010.12.004]</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rPr>
        <w:t>0</w:t>
      </w:r>
      <w:r>
        <w:rPr>
          <w:rFonts w:ascii="Book Antiqua" w:hAnsi="Book Antiqua"/>
        </w:rPr>
        <w:t xml:space="preserve"> </w:t>
      </w:r>
      <w:r>
        <w:rPr>
          <w:rFonts w:ascii="Book Antiqua" w:hAnsi="Book Antiqua"/>
          <w:b/>
          <w:bCs/>
        </w:rPr>
        <w:t>Broeders EP</w:t>
      </w:r>
      <w:r>
        <w:rPr>
          <w:rFonts w:ascii="Book Antiqua" w:hAnsi="Book Antiqua"/>
        </w:rPr>
        <w:t xml:space="preserve">, Nascimento EB, Havekes B, Brans B, Roumans KH, Tailleux A, Schaart G, Kouach M, Charton J, Deprez B, Bouvy ND, Mottaghy F, Staels B, van Marken Lichtenbelt WD, Schrauwen P. The Bile Acid Chenodeoxycholic Acid Increases Human Brown Adipose Tissue Activity. </w:t>
      </w:r>
      <w:r>
        <w:rPr>
          <w:rFonts w:ascii="Book Antiqua" w:hAnsi="Book Antiqua"/>
          <w:i/>
          <w:iCs/>
        </w:rPr>
        <w:t>Cell Metab</w:t>
      </w:r>
      <w:r>
        <w:rPr>
          <w:rFonts w:ascii="Book Antiqua" w:hAnsi="Book Antiqua"/>
        </w:rPr>
        <w:t xml:space="preserve"> 2015; </w:t>
      </w:r>
      <w:r>
        <w:rPr>
          <w:rFonts w:ascii="Book Antiqua" w:hAnsi="Book Antiqua"/>
          <w:b/>
          <w:bCs/>
        </w:rPr>
        <w:t>22</w:t>
      </w:r>
      <w:r>
        <w:rPr>
          <w:rFonts w:ascii="Book Antiqua" w:hAnsi="Book Antiqua"/>
        </w:rPr>
        <w:t>: 418-426 [PMID: 26235421 DOI: 10.1016/j.cmet.2015.07.002]</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rPr>
        <w:t>1</w:t>
      </w:r>
      <w:r>
        <w:rPr>
          <w:rFonts w:ascii="Book Antiqua" w:hAnsi="Book Antiqua"/>
        </w:rPr>
        <w:t xml:space="preserve"> </w:t>
      </w:r>
      <w:r>
        <w:rPr>
          <w:rFonts w:ascii="Book Antiqua" w:hAnsi="Book Antiqua"/>
          <w:b/>
          <w:bCs/>
        </w:rPr>
        <w:t>Slijepcevic D</w:t>
      </w:r>
      <w:r>
        <w:rPr>
          <w:rFonts w:ascii="Book Antiqua" w:hAnsi="Book Antiqua"/>
        </w:rPr>
        <w:t xml:space="preserve">, van de Graaf SF. Bile Acid Uptake Transporters as Targets for Therapy. </w:t>
      </w:r>
      <w:r>
        <w:rPr>
          <w:rFonts w:ascii="Book Antiqua" w:hAnsi="Book Antiqua"/>
          <w:i/>
          <w:iCs/>
        </w:rPr>
        <w:t>Dig Dis</w:t>
      </w:r>
      <w:r>
        <w:rPr>
          <w:rFonts w:ascii="Book Antiqua" w:hAnsi="Book Antiqua"/>
        </w:rPr>
        <w:t xml:space="preserve"> 2017; </w:t>
      </w:r>
      <w:r>
        <w:rPr>
          <w:rFonts w:ascii="Book Antiqua" w:hAnsi="Book Antiqua"/>
          <w:b/>
          <w:bCs/>
        </w:rPr>
        <w:t>35</w:t>
      </w:r>
      <w:r>
        <w:rPr>
          <w:rFonts w:ascii="Book Antiqua" w:hAnsi="Book Antiqua"/>
        </w:rPr>
        <w:t>: 251-258 [PMID: 28249291 DOI: 10.1159/000450983]</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rPr>
        <w:t>2</w:t>
      </w:r>
      <w:r>
        <w:rPr>
          <w:rFonts w:ascii="Book Antiqua" w:hAnsi="Book Antiqua"/>
        </w:rPr>
        <w:t xml:space="preserve"> </w:t>
      </w:r>
      <w:r>
        <w:rPr>
          <w:rFonts w:ascii="Book Antiqua" w:hAnsi="Book Antiqua"/>
          <w:b/>
          <w:bCs/>
        </w:rPr>
        <w:t>Svegliati-Baroni G</w:t>
      </w:r>
      <w:r>
        <w:rPr>
          <w:rFonts w:ascii="Book Antiqua" w:hAnsi="Book Antiqua"/>
        </w:rPr>
        <w:t xml:space="preserve">, Patrício B, Lioci G, Macedo MP, Gastaldelli A. Gut-Pancreas-Liver Axis as a Target for Treatment of NAFLD/NASH.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32823659 DOI: 10.3390/ijms21165820]</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rPr>
        <w:t>3</w:t>
      </w:r>
      <w:r>
        <w:rPr>
          <w:rFonts w:ascii="Book Antiqua" w:hAnsi="Book Antiqua"/>
        </w:rPr>
        <w:t xml:space="preserve"> </w:t>
      </w:r>
      <w:r>
        <w:rPr>
          <w:rFonts w:ascii="Book Antiqua" w:hAnsi="Book Antiqua"/>
          <w:b/>
          <w:bCs/>
        </w:rPr>
        <w:t>Jiang X</w:t>
      </w:r>
      <w:r>
        <w:rPr>
          <w:rFonts w:ascii="Book Antiqua" w:hAnsi="Book Antiqua"/>
        </w:rPr>
        <w:t xml:space="preserve">, Zheng J, Zhang S, Wang B, Wu C, Guo X. Advances in the Involvement of Gut Microbiota in Pathophysiology of NAFLD. </w:t>
      </w:r>
      <w:r>
        <w:rPr>
          <w:rFonts w:ascii="Book Antiqua" w:hAnsi="Book Antiqua"/>
          <w:i/>
          <w:iCs/>
        </w:rPr>
        <w:t>Front Med (Lausanne)</w:t>
      </w:r>
      <w:r>
        <w:rPr>
          <w:rFonts w:ascii="Book Antiqua" w:hAnsi="Book Antiqua"/>
        </w:rPr>
        <w:t xml:space="preserve"> 2020; </w:t>
      </w:r>
      <w:r>
        <w:rPr>
          <w:rFonts w:ascii="Book Antiqua" w:hAnsi="Book Antiqua"/>
          <w:b/>
          <w:bCs/>
        </w:rPr>
        <w:t>7</w:t>
      </w:r>
      <w:r>
        <w:rPr>
          <w:rFonts w:ascii="Book Antiqua" w:hAnsi="Book Antiqua"/>
        </w:rPr>
        <w:t>: 361 [PMID: 32850884 DOI: 10.3389/fmed.2020.00361]</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rPr>
        <w:t>4</w:t>
      </w:r>
      <w:r>
        <w:rPr>
          <w:rFonts w:ascii="Book Antiqua" w:hAnsi="Book Antiqua"/>
        </w:rPr>
        <w:t xml:space="preserve"> </w:t>
      </w:r>
      <w:r>
        <w:rPr>
          <w:rFonts w:ascii="Book Antiqua" w:hAnsi="Book Antiqua"/>
          <w:b/>
          <w:bCs/>
        </w:rPr>
        <w:t>Arab JP</w:t>
      </w:r>
      <w:r>
        <w:rPr>
          <w:rFonts w:ascii="Book Antiqua" w:hAnsi="Book Antiqua"/>
        </w:rPr>
        <w:t xml:space="preserve">, Karpen SJ, Dawson PA, Arrese M, Trauner M. Bile acids and nonalcoholic fatty liver disease: Molecular insights and therapeutic perspectives. </w:t>
      </w:r>
      <w:r>
        <w:rPr>
          <w:rFonts w:ascii="Book Antiqua" w:hAnsi="Book Antiqua"/>
          <w:i/>
          <w:iCs/>
        </w:rPr>
        <w:t>Hepatology</w:t>
      </w:r>
      <w:r>
        <w:rPr>
          <w:rFonts w:ascii="Book Antiqua" w:hAnsi="Book Antiqua"/>
        </w:rPr>
        <w:t xml:space="preserve"> 2017; </w:t>
      </w:r>
      <w:r>
        <w:rPr>
          <w:rFonts w:ascii="Book Antiqua" w:hAnsi="Book Antiqua"/>
          <w:b/>
          <w:bCs/>
        </w:rPr>
        <w:t>65</w:t>
      </w:r>
      <w:r>
        <w:rPr>
          <w:rFonts w:ascii="Book Antiqua" w:hAnsi="Book Antiqua"/>
        </w:rPr>
        <w:t>: 350-362 [PMID: 27358174 DOI: 10.1002/hep.28709]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rPr>
        <w:t>5</w:t>
      </w:r>
      <w:r>
        <w:rPr>
          <w:rFonts w:ascii="Book Antiqua" w:hAnsi="Book Antiqua"/>
        </w:rPr>
        <w:t xml:space="preserve"> </w:t>
      </w:r>
      <w:r>
        <w:rPr>
          <w:rFonts w:ascii="Book Antiqua" w:hAnsi="Book Antiqua"/>
          <w:b/>
          <w:bCs/>
        </w:rPr>
        <w:t>Hernandez GV</w:t>
      </w:r>
      <w:r>
        <w:rPr>
          <w:rFonts w:ascii="Book Antiqua" w:hAnsi="Book Antiqua"/>
        </w:rPr>
        <w:t xml:space="preserve">, Smith VA, Melnyk M, Burd MA, Sprayberry KA, Edwards MS, Peterson DG, Bennet DC, Fanter RK, Columbus DA, Steibel JP, Glanz H, Immoos C, Rice MS, Santiago-Rodriguez TM, Blank J, VanderKelen JJ, Kitts CL, Piccolo BD, La Frano MR, Burrin DG, Maj M, Manjarin R. Dysregulated FXR-FGF19 signaling and choline metabolism are associated with gut dysbiosis and hyperplasia in a novel pig model of pediatric NASH. </w:t>
      </w:r>
      <w:r>
        <w:rPr>
          <w:rFonts w:ascii="Book Antiqua" w:hAnsi="Book Antiqua"/>
          <w:i/>
          <w:iCs/>
        </w:rPr>
        <w:t>Am J Physiol Gastrointest Liver Physiol</w:t>
      </w:r>
      <w:r>
        <w:rPr>
          <w:rFonts w:ascii="Book Antiqua" w:hAnsi="Book Antiqua"/>
        </w:rPr>
        <w:t xml:space="preserve"> 2020; </w:t>
      </w:r>
      <w:r>
        <w:rPr>
          <w:rFonts w:ascii="Book Antiqua" w:hAnsi="Book Antiqua"/>
          <w:b/>
          <w:bCs/>
        </w:rPr>
        <w:t>318</w:t>
      </w:r>
      <w:r>
        <w:rPr>
          <w:rFonts w:ascii="Book Antiqua" w:hAnsi="Book Antiqua"/>
        </w:rPr>
        <w:t>: G582-G609 [PMID: 32003601 DOI: 10.1152/ajpgi.00344.2019]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rPr>
        <w:t>6</w:t>
      </w:r>
      <w:r>
        <w:rPr>
          <w:rFonts w:ascii="Book Antiqua" w:hAnsi="Book Antiqua"/>
        </w:rPr>
        <w:t xml:space="preserve"> </w:t>
      </w:r>
      <w:r>
        <w:rPr>
          <w:rFonts w:ascii="Book Antiqua" w:hAnsi="Book Antiqua"/>
          <w:b/>
          <w:bCs/>
        </w:rPr>
        <w:t>Mouzaki M</w:t>
      </w:r>
      <w:r>
        <w:rPr>
          <w:rFonts w:ascii="Book Antiqua" w:hAnsi="Book Antiqua"/>
        </w:rPr>
        <w:t xml:space="preserve">, Comelli EM, Arendt BM, Bonengel J, Fung SK, Fischer SE, McGilvray ID, Allard JP. Intestinal microbiota in patients with nonalcoholic fatty liver disease. </w:t>
      </w:r>
      <w:r>
        <w:rPr>
          <w:rFonts w:ascii="Book Antiqua" w:hAnsi="Book Antiqua"/>
          <w:i/>
          <w:iCs/>
        </w:rPr>
        <w:t>Hepatology</w:t>
      </w:r>
      <w:r>
        <w:rPr>
          <w:rFonts w:ascii="Book Antiqua" w:hAnsi="Book Antiqua"/>
        </w:rPr>
        <w:t xml:space="preserve"> 2013; </w:t>
      </w:r>
      <w:r>
        <w:rPr>
          <w:rFonts w:ascii="Book Antiqua" w:hAnsi="Book Antiqua"/>
          <w:b/>
          <w:bCs/>
        </w:rPr>
        <w:t>58</w:t>
      </w:r>
      <w:r>
        <w:rPr>
          <w:rFonts w:ascii="Book Antiqua" w:hAnsi="Book Antiqua"/>
        </w:rPr>
        <w:t>: 120-127 [PMID: 23401313 DOI: 10.1002/hep.26319]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rPr>
        <w:t>7</w:t>
      </w:r>
      <w:r>
        <w:rPr>
          <w:rFonts w:ascii="Book Antiqua" w:hAnsi="Book Antiqua"/>
        </w:rPr>
        <w:t xml:space="preserve"> </w:t>
      </w:r>
      <w:r>
        <w:rPr>
          <w:rFonts w:ascii="Book Antiqua" w:hAnsi="Book Antiqua"/>
          <w:b/>
          <w:bCs/>
        </w:rPr>
        <w:t>Del Chierico F</w:t>
      </w:r>
      <w:r>
        <w:rPr>
          <w:rFonts w:ascii="Book Antiqua" w:hAnsi="Book Antiqua"/>
        </w:rPr>
        <w:t xml:space="preserve">, Nobili V, Vernocchi P, Russo A, De Stefanis C, Gnani D, Furlanello C, Zandonà A, Paci P, Capuani G, Dallapiccola B, Miccheli A, Alisi A, Putignani L. Gut microbiota profiling of pediatric nonalcoholic fatty liver disease and obese patients unveiled by an integrated meta-omics-based approach. </w:t>
      </w:r>
      <w:r>
        <w:rPr>
          <w:rFonts w:ascii="Book Antiqua" w:hAnsi="Book Antiqua"/>
          <w:i/>
          <w:iCs/>
        </w:rPr>
        <w:t>Hepatology</w:t>
      </w:r>
      <w:r>
        <w:rPr>
          <w:rFonts w:ascii="Book Antiqua" w:hAnsi="Book Antiqua"/>
        </w:rPr>
        <w:t xml:space="preserve"> 2017; </w:t>
      </w:r>
      <w:r>
        <w:rPr>
          <w:rFonts w:ascii="Book Antiqua" w:hAnsi="Book Antiqua"/>
          <w:b/>
          <w:bCs/>
        </w:rPr>
        <w:t>65</w:t>
      </w:r>
      <w:r>
        <w:rPr>
          <w:rFonts w:ascii="Book Antiqua" w:hAnsi="Book Antiqua"/>
        </w:rPr>
        <w:t>: 451-464 [PMID: 27028797 DOI: 10.1002/hep.28572]</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rPr>
        <w:t>8</w:t>
      </w:r>
      <w:r>
        <w:rPr>
          <w:rFonts w:ascii="Book Antiqua" w:hAnsi="Book Antiqua"/>
        </w:rPr>
        <w:t xml:space="preserve"> </w:t>
      </w:r>
      <w:r>
        <w:rPr>
          <w:rFonts w:ascii="Book Antiqua" w:hAnsi="Book Antiqua"/>
          <w:b/>
          <w:bCs/>
        </w:rPr>
        <w:t>Schwimmer JB</w:t>
      </w:r>
      <w:r>
        <w:rPr>
          <w:rFonts w:ascii="Book Antiqua" w:hAnsi="Book Antiqua"/>
        </w:rPr>
        <w:t xml:space="preserve">, Johnson JS, Angeles JE, Behling C, Belt PH, Borecki I, Bross C, Durelle J, Goyal NP, Hamilton G, Holtz ML, Lavine JE, Mitreva M, Newton KP, Pan A, Simpson PM, Sirlin CB, Sodergren E, Tyagi R, Yates KP, Weinstock GM, Salzman NH. Microbiome Signatures Associated With Steatohepatitis and Moderate to Severe Fibrosis in Children With Nonalcoholic Fatty Liver Disease. </w:t>
      </w:r>
      <w:r>
        <w:rPr>
          <w:rFonts w:ascii="Book Antiqua" w:hAnsi="Book Antiqua"/>
          <w:i/>
          <w:iCs/>
        </w:rPr>
        <w:t>Gastroenterology</w:t>
      </w:r>
      <w:r>
        <w:rPr>
          <w:rFonts w:ascii="Book Antiqua" w:hAnsi="Book Antiqua"/>
        </w:rPr>
        <w:t xml:space="preserve"> 2019; </w:t>
      </w:r>
      <w:r>
        <w:rPr>
          <w:rFonts w:ascii="Book Antiqua" w:hAnsi="Book Antiqua"/>
          <w:b/>
          <w:bCs/>
        </w:rPr>
        <w:t>157</w:t>
      </w:r>
      <w:r>
        <w:rPr>
          <w:rFonts w:ascii="Book Antiqua" w:hAnsi="Book Antiqua"/>
        </w:rPr>
        <w:t>: 1109-1122 [PMID: 31255652 DOI: 10.1053/j.gastro.2019.06.028]</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99</w:t>
      </w:r>
      <w:r>
        <w:rPr>
          <w:rFonts w:ascii="Book Antiqua" w:hAnsi="Book Antiqua"/>
        </w:rPr>
        <w:t xml:space="preserve"> </w:t>
      </w:r>
      <w:r>
        <w:rPr>
          <w:rFonts w:ascii="Book Antiqua" w:hAnsi="Book Antiqua"/>
          <w:b/>
          <w:bCs/>
        </w:rPr>
        <w:t>Stanislawski MA</w:t>
      </w:r>
      <w:r>
        <w:rPr>
          <w:rFonts w:ascii="Book Antiqua" w:hAnsi="Book Antiqua"/>
        </w:rPr>
        <w:t xml:space="preserve">, Lozupone CA, Wagner BD, Eggesbø M, Sontag MK, Nusbacher NM, Martinez M, Dabelea D. Gut microbiota in adolescents and the association with fatty liver: the EPOCH study. </w:t>
      </w:r>
      <w:r>
        <w:rPr>
          <w:rFonts w:ascii="Book Antiqua" w:hAnsi="Book Antiqua"/>
          <w:i/>
          <w:iCs/>
        </w:rPr>
        <w:t>Pediatr Res</w:t>
      </w:r>
      <w:r>
        <w:rPr>
          <w:rFonts w:ascii="Book Antiqua" w:hAnsi="Book Antiqua"/>
        </w:rPr>
        <w:t xml:space="preserve"> 2018; </w:t>
      </w:r>
      <w:r>
        <w:rPr>
          <w:rFonts w:ascii="Book Antiqua" w:hAnsi="Book Antiqua"/>
          <w:b/>
          <w:bCs/>
        </w:rPr>
        <w:t>84</w:t>
      </w:r>
      <w:r>
        <w:rPr>
          <w:rFonts w:ascii="Book Antiqua" w:hAnsi="Book Antiqua"/>
        </w:rPr>
        <w:t>: 219-227 [PMID: 29538359 DOI: 10.1038/pr.2018.32]</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hint="eastAsia" w:ascii="Book Antiqua" w:hAnsi="Book Antiqua"/>
        </w:rPr>
        <w:t>0</w:t>
      </w:r>
      <w:r>
        <w:rPr>
          <w:rFonts w:ascii="Book Antiqua" w:hAnsi="Book Antiqua"/>
        </w:rPr>
        <w:t xml:space="preserve"> </w:t>
      </w:r>
      <w:r>
        <w:rPr>
          <w:rFonts w:ascii="Book Antiqua" w:hAnsi="Book Antiqua"/>
          <w:b/>
          <w:bCs/>
        </w:rPr>
        <w:t>Turnbaugh PJ</w:t>
      </w:r>
      <w:r>
        <w:rPr>
          <w:rFonts w:ascii="Book Antiqua" w:hAnsi="Book Antiqua"/>
        </w:rPr>
        <w:t xml:space="preserve">, Ley RE, Mahowald MA, Magrini V, Mardis ER, Gordon JI. An obesity-associated gut microbiome with increased capacity for energy harvest. </w:t>
      </w:r>
      <w:r>
        <w:rPr>
          <w:rFonts w:ascii="Book Antiqua" w:hAnsi="Book Antiqua"/>
          <w:i/>
          <w:iCs/>
        </w:rPr>
        <w:t>Nature</w:t>
      </w:r>
      <w:r>
        <w:rPr>
          <w:rFonts w:ascii="Book Antiqua" w:hAnsi="Book Antiqua"/>
        </w:rPr>
        <w:t xml:space="preserve"> 2006; </w:t>
      </w:r>
      <w:r>
        <w:rPr>
          <w:rFonts w:ascii="Book Antiqua" w:hAnsi="Book Antiqua"/>
          <w:b/>
          <w:bCs/>
        </w:rPr>
        <w:t>444</w:t>
      </w:r>
      <w:r>
        <w:rPr>
          <w:rFonts w:ascii="Book Antiqua" w:hAnsi="Book Antiqua"/>
        </w:rPr>
        <w:t>: 1027-1031 [PMID: 17183312 DOI: 10.1038/nature05414]</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hint="eastAsia" w:ascii="Book Antiqua" w:hAnsi="Book Antiqua"/>
        </w:rPr>
        <w:t>1</w:t>
      </w:r>
      <w:r>
        <w:rPr>
          <w:rFonts w:ascii="Book Antiqua" w:hAnsi="Book Antiqua"/>
        </w:rPr>
        <w:t xml:space="preserve"> </w:t>
      </w:r>
      <w:r>
        <w:rPr>
          <w:rFonts w:ascii="Book Antiqua" w:hAnsi="Book Antiqua"/>
          <w:b/>
          <w:bCs/>
        </w:rPr>
        <w:t>Loomba R</w:t>
      </w:r>
      <w:r>
        <w:rPr>
          <w:rFonts w:ascii="Book Antiqua" w:hAnsi="Book Antiqua"/>
        </w:rPr>
        <w:t xml:space="preserve">, Seguritan V, Li W, Long T, Klitgord N, Bhatt A, Dulai PS, Caussy C, Bettencourt R, Highlander SK, Jones MB, Sirlin CB, Schnabl B, Brinkac L, Schork N, Chen CH, Brenner DA, Biggs W, Yooseph S, Venter JC, Nelson KE. Gut Microbiome-Based Metagenomic Signature for Non-invasive Detection of Advanced Fibrosis in Human Nonalcoholic Fatty Liver Disease. </w:t>
      </w:r>
      <w:r>
        <w:rPr>
          <w:rFonts w:ascii="Book Antiqua" w:hAnsi="Book Antiqua"/>
          <w:i/>
          <w:iCs/>
        </w:rPr>
        <w:t>Cell Metab</w:t>
      </w:r>
      <w:r>
        <w:rPr>
          <w:rFonts w:ascii="Book Antiqua" w:hAnsi="Book Antiqua"/>
        </w:rPr>
        <w:t xml:space="preserve"> 2019; </w:t>
      </w:r>
      <w:r>
        <w:rPr>
          <w:rFonts w:ascii="Book Antiqua" w:hAnsi="Book Antiqua"/>
          <w:b/>
          <w:bCs/>
        </w:rPr>
        <w:t>30</w:t>
      </w:r>
      <w:r>
        <w:rPr>
          <w:rFonts w:ascii="Book Antiqua" w:hAnsi="Book Antiqua"/>
        </w:rPr>
        <w:t>: 607 [PMID: 31484056 DOI: 10.1016/j.cmet.2019.08.002]</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hint="eastAsia" w:ascii="Book Antiqua" w:hAnsi="Book Antiqua"/>
        </w:rPr>
        <w:t>2</w:t>
      </w:r>
      <w:r>
        <w:rPr>
          <w:rFonts w:ascii="Book Antiqua" w:hAnsi="Book Antiqua"/>
        </w:rPr>
        <w:t xml:space="preserve"> </w:t>
      </w:r>
      <w:r>
        <w:rPr>
          <w:rFonts w:ascii="Book Antiqua" w:hAnsi="Book Antiqua"/>
          <w:b/>
          <w:bCs/>
        </w:rPr>
        <w:t>Michail S</w:t>
      </w:r>
      <w:r>
        <w:rPr>
          <w:rFonts w:ascii="Book Antiqua" w:hAnsi="Book Antiqua"/>
        </w:rPr>
        <w:t xml:space="preserve">, Lin M, Frey MR, Fanter R, Paliy O, Hilbush B, Reo NV. Altered gut microbial energy and metabolism in children with non-alcoholic fatty liver disease. </w:t>
      </w:r>
      <w:r>
        <w:rPr>
          <w:rFonts w:ascii="Book Antiqua" w:hAnsi="Book Antiqua"/>
          <w:i/>
          <w:iCs/>
        </w:rPr>
        <w:t>FEMS Microbiol Ecol</w:t>
      </w:r>
      <w:r>
        <w:rPr>
          <w:rFonts w:ascii="Book Antiqua" w:hAnsi="Book Antiqua"/>
        </w:rPr>
        <w:t xml:space="preserve"> 2015; </w:t>
      </w:r>
      <w:r>
        <w:rPr>
          <w:rFonts w:ascii="Book Antiqua" w:hAnsi="Book Antiqua"/>
          <w:b/>
          <w:bCs/>
        </w:rPr>
        <w:t>91</w:t>
      </w:r>
      <w:r>
        <w:rPr>
          <w:rFonts w:ascii="Book Antiqua" w:hAnsi="Book Antiqua"/>
        </w:rPr>
        <w:t>: 1-9 [PMID: 25764541 DOI: 10.1093/femsec/fiu002]</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hint="eastAsia" w:ascii="Book Antiqua" w:hAnsi="Book Antiqua"/>
        </w:rPr>
        <w:t>3</w:t>
      </w:r>
      <w:r>
        <w:rPr>
          <w:rFonts w:ascii="Book Antiqua" w:hAnsi="Book Antiqua"/>
        </w:rPr>
        <w:t xml:space="preserve"> </w:t>
      </w:r>
      <w:r>
        <w:rPr>
          <w:rFonts w:ascii="Book Antiqua" w:hAnsi="Book Antiqua"/>
          <w:b/>
          <w:bCs/>
        </w:rPr>
        <w:t>Zhao Y</w:t>
      </w:r>
      <w:r>
        <w:rPr>
          <w:rFonts w:ascii="Book Antiqua" w:hAnsi="Book Antiqua"/>
        </w:rPr>
        <w:t xml:space="preserve">, Zhou J, Liu J, Wang Z, Chen M, Zhou S. Metagenome of Gut Microbiota of Children With Nonalcoholic Fatty Liver Disease. </w:t>
      </w:r>
      <w:r>
        <w:rPr>
          <w:rFonts w:ascii="Book Antiqua" w:hAnsi="Book Antiqua"/>
          <w:i/>
          <w:iCs/>
        </w:rPr>
        <w:t>Front Pediatr</w:t>
      </w:r>
      <w:r>
        <w:rPr>
          <w:rFonts w:ascii="Book Antiqua" w:hAnsi="Book Antiqua"/>
        </w:rPr>
        <w:t xml:space="preserve"> 2019; </w:t>
      </w:r>
      <w:r>
        <w:rPr>
          <w:rFonts w:ascii="Book Antiqua" w:hAnsi="Book Antiqua"/>
          <w:b/>
          <w:bCs/>
        </w:rPr>
        <w:t>7</w:t>
      </w:r>
      <w:r>
        <w:rPr>
          <w:rFonts w:ascii="Book Antiqua" w:hAnsi="Book Antiqua"/>
        </w:rPr>
        <w:t>: 518 [PMID: 31921729 DOI: 10.3389/fped.2019.00518]</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hint="eastAsia" w:ascii="Book Antiqua" w:hAnsi="Book Antiqua"/>
        </w:rPr>
        <w:t>4</w:t>
      </w:r>
      <w:r>
        <w:rPr>
          <w:rFonts w:ascii="Book Antiqua" w:hAnsi="Book Antiqua"/>
        </w:rPr>
        <w:t xml:space="preserve"> </w:t>
      </w:r>
      <w:r>
        <w:rPr>
          <w:rFonts w:ascii="Book Antiqua" w:hAnsi="Book Antiqua"/>
          <w:b/>
          <w:bCs/>
        </w:rPr>
        <w:t>Compare D</w:t>
      </w:r>
      <w:r>
        <w:rPr>
          <w:rFonts w:ascii="Book Antiqua" w:hAnsi="Book Antiqua"/>
        </w:rPr>
        <w:t xml:space="preserve">, Coccoli P, Rocco A, Nardone OM, De Maria S, Cartenì M, Nardone G. Gut--liver axis: the impact of gut microbiota on non alcoholic fatty liver disease. </w:t>
      </w:r>
      <w:r>
        <w:rPr>
          <w:rFonts w:ascii="Book Antiqua" w:hAnsi="Book Antiqua"/>
          <w:i/>
          <w:iCs/>
        </w:rPr>
        <w:t>Nutr Metab Cardiovasc Dis</w:t>
      </w:r>
      <w:r>
        <w:rPr>
          <w:rFonts w:ascii="Book Antiqua" w:hAnsi="Book Antiqua"/>
        </w:rPr>
        <w:t xml:space="preserve"> 2012; </w:t>
      </w:r>
      <w:r>
        <w:rPr>
          <w:rFonts w:ascii="Book Antiqua" w:hAnsi="Book Antiqua"/>
          <w:b/>
          <w:bCs/>
        </w:rPr>
        <w:t>22</w:t>
      </w:r>
      <w:r>
        <w:rPr>
          <w:rFonts w:ascii="Book Antiqua" w:hAnsi="Book Antiqua"/>
        </w:rPr>
        <w:t>: 471-476 [PMID: 22546554 DOI: 10.1016/j.numecd.2012.02.007]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hint="eastAsia" w:ascii="Book Antiqua" w:hAnsi="Book Antiqua"/>
        </w:rPr>
        <w:t>5</w:t>
      </w:r>
      <w:r>
        <w:rPr>
          <w:rFonts w:ascii="Book Antiqua" w:hAnsi="Book Antiqua"/>
        </w:rPr>
        <w:t xml:space="preserve"> </w:t>
      </w:r>
      <w:r>
        <w:rPr>
          <w:rFonts w:ascii="Book Antiqua" w:hAnsi="Book Antiqua"/>
          <w:b/>
          <w:bCs/>
        </w:rPr>
        <w:t>He X</w:t>
      </w:r>
      <w:r>
        <w:rPr>
          <w:rFonts w:ascii="Book Antiqua" w:hAnsi="Book Antiqua"/>
        </w:rPr>
        <w:t xml:space="preserve">, Ji G, Jia W, Li H. Gut Microbiota and Nonalcoholic Fatty Liver Disease: Insights on Mechanism and Application of Metabolomics. </w:t>
      </w:r>
      <w:r>
        <w:rPr>
          <w:rFonts w:ascii="Book Antiqua" w:hAnsi="Book Antiqua"/>
          <w:i/>
          <w:iCs/>
        </w:rPr>
        <w:t>Int J Mol Sci</w:t>
      </w:r>
      <w:r>
        <w:rPr>
          <w:rFonts w:ascii="Book Antiqua" w:hAnsi="Book Antiqua"/>
        </w:rPr>
        <w:t xml:space="preserve"> 2016; </w:t>
      </w:r>
      <w:r>
        <w:rPr>
          <w:rFonts w:ascii="Book Antiqua" w:hAnsi="Book Antiqua"/>
          <w:b/>
          <w:bCs/>
        </w:rPr>
        <w:t>17</w:t>
      </w:r>
      <w:r>
        <w:rPr>
          <w:rFonts w:ascii="Book Antiqua" w:hAnsi="Book Antiqua"/>
        </w:rPr>
        <w:t>: 300 [PMID: 26999104 DOI: 10.3390/ijms17030300]</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hint="eastAsia" w:ascii="Book Antiqua" w:hAnsi="Book Antiqua"/>
        </w:rPr>
        <w:t>6</w:t>
      </w:r>
      <w:r>
        <w:rPr>
          <w:rFonts w:ascii="Book Antiqua" w:hAnsi="Book Antiqua"/>
        </w:rPr>
        <w:t xml:space="preserve"> </w:t>
      </w:r>
      <w:r>
        <w:rPr>
          <w:rFonts w:ascii="Book Antiqua" w:hAnsi="Book Antiqua"/>
          <w:b/>
          <w:bCs/>
        </w:rPr>
        <w:t>Seki E</w:t>
      </w:r>
      <w:r>
        <w:rPr>
          <w:rFonts w:ascii="Book Antiqua" w:hAnsi="Book Antiqua"/>
        </w:rPr>
        <w:t xml:space="preserve">, Schnabl B. Role of innate immunity and the microbiota in liver fibrosis: crosstalk between the liver and gut. </w:t>
      </w:r>
      <w:r>
        <w:rPr>
          <w:rFonts w:ascii="Book Antiqua" w:hAnsi="Book Antiqua"/>
          <w:i/>
          <w:iCs/>
        </w:rPr>
        <w:t>J Physiol</w:t>
      </w:r>
      <w:r>
        <w:rPr>
          <w:rFonts w:ascii="Book Antiqua" w:hAnsi="Book Antiqua"/>
        </w:rPr>
        <w:t xml:space="preserve"> 2012; </w:t>
      </w:r>
      <w:r>
        <w:rPr>
          <w:rFonts w:ascii="Book Antiqua" w:hAnsi="Book Antiqua"/>
          <w:b/>
          <w:bCs/>
        </w:rPr>
        <w:t>590</w:t>
      </w:r>
      <w:r>
        <w:rPr>
          <w:rFonts w:ascii="Book Antiqua" w:hAnsi="Book Antiqua"/>
        </w:rPr>
        <w:t>: 447-458 [PMID: 22124143 DOI: 10.1113/jphysiol.2011.219691]</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hint="eastAsia" w:ascii="Book Antiqua" w:hAnsi="Book Antiqua"/>
        </w:rPr>
        <w:t>7</w:t>
      </w:r>
      <w:r>
        <w:rPr>
          <w:rFonts w:ascii="Book Antiqua" w:hAnsi="Book Antiqua"/>
        </w:rPr>
        <w:t xml:space="preserve"> </w:t>
      </w:r>
      <w:r>
        <w:rPr>
          <w:rFonts w:ascii="Book Antiqua" w:hAnsi="Book Antiqua"/>
          <w:b/>
          <w:bCs/>
        </w:rPr>
        <w:t>Iruzubieta P</w:t>
      </w:r>
      <w:r>
        <w:rPr>
          <w:rFonts w:ascii="Book Antiqua" w:hAnsi="Book Antiqua"/>
        </w:rPr>
        <w:t xml:space="preserve">, Medina JM, Fernández-López R, Crespo J, de la Cruz F. A Role for Gut Microbiome Fermentative Pathways in Fatty Liver Disease Progression. </w:t>
      </w:r>
      <w:r>
        <w:rPr>
          <w:rFonts w:ascii="Book Antiqua" w:hAnsi="Book Antiqua"/>
          <w:i/>
          <w:iCs/>
        </w:rPr>
        <w:t>J Clin Med</w:t>
      </w:r>
      <w:r>
        <w:rPr>
          <w:rFonts w:ascii="Book Antiqua" w:hAnsi="Book Antiqua"/>
        </w:rPr>
        <w:t xml:space="preserve"> 2020; </w:t>
      </w:r>
      <w:r>
        <w:rPr>
          <w:rFonts w:ascii="Book Antiqua" w:hAnsi="Book Antiqua"/>
          <w:b/>
          <w:bCs/>
        </w:rPr>
        <w:t>9</w:t>
      </w:r>
      <w:r>
        <w:rPr>
          <w:rFonts w:ascii="Book Antiqua" w:hAnsi="Book Antiqua"/>
        </w:rPr>
        <w:t xml:space="preserve"> [PMID: 32392712 DOI: 10.3390/jcm9051369]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hint="eastAsia" w:ascii="Book Antiqua" w:hAnsi="Book Antiqua"/>
        </w:rPr>
        <w:t>8</w:t>
      </w:r>
      <w:r>
        <w:rPr>
          <w:rFonts w:ascii="Book Antiqua" w:hAnsi="Book Antiqua"/>
        </w:rPr>
        <w:t xml:space="preserve"> </w:t>
      </w:r>
      <w:r>
        <w:rPr>
          <w:rFonts w:ascii="Book Antiqua" w:hAnsi="Book Antiqua"/>
          <w:b/>
          <w:bCs/>
        </w:rPr>
        <w:t>Zhang X</w:t>
      </w:r>
      <w:r>
        <w:rPr>
          <w:rFonts w:ascii="Book Antiqua" w:hAnsi="Book Antiqua"/>
        </w:rPr>
        <w:t xml:space="preserve">, Asllanaj E, Amiri M, Portilla-Fernandez E, Bramer WM, Nano J, Voortman T, Pan Q, Ghanbari M. Deciphering the role of epigenetic modifications in fatty liver disease: A systematic review. </w:t>
      </w:r>
      <w:r>
        <w:rPr>
          <w:rFonts w:ascii="Book Antiqua" w:hAnsi="Book Antiqua"/>
          <w:i/>
          <w:iCs/>
        </w:rPr>
        <w:t>Eur J Clin Invest</w:t>
      </w:r>
      <w:r>
        <w:rPr>
          <w:rFonts w:ascii="Book Antiqua" w:hAnsi="Book Antiqua"/>
        </w:rPr>
        <w:t xml:space="preserve"> 2021; </w:t>
      </w:r>
      <w:r>
        <w:rPr>
          <w:rFonts w:ascii="Book Antiqua" w:hAnsi="Book Antiqua"/>
          <w:b/>
          <w:bCs/>
        </w:rPr>
        <w:t>51</w:t>
      </w:r>
      <w:r>
        <w:rPr>
          <w:rFonts w:ascii="Book Antiqua" w:hAnsi="Book Antiqua"/>
        </w:rPr>
        <w:t>: e13479 [PMID: 33350463 DOI: 10.1111/eci.13479]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09</w:t>
      </w:r>
      <w:r>
        <w:rPr>
          <w:rFonts w:ascii="Book Antiqua" w:hAnsi="Book Antiqua"/>
        </w:rPr>
        <w:t xml:space="preserve"> </w:t>
      </w:r>
      <w:r>
        <w:rPr>
          <w:rFonts w:ascii="Book Antiqua" w:hAnsi="Book Antiqua"/>
          <w:b/>
          <w:bCs/>
        </w:rPr>
        <w:t>Pirola CJ</w:t>
      </w:r>
      <w:r>
        <w:rPr>
          <w:rFonts w:ascii="Book Antiqua" w:hAnsi="Book Antiqua"/>
        </w:rPr>
        <w:t xml:space="preserve">, Gianotti TF, Burgueño AL, Rey-Funes M, Loidl CF, Mallardi P, Martino JS, Castaño GO, Sookoian S. Epigenetic modification of liver mitochondrial DNA is associated with histological severity of nonalcoholic fatty liver disease. </w:t>
      </w:r>
      <w:r>
        <w:rPr>
          <w:rFonts w:ascii="Book Antiqua" w:hAnsi="Book Antiqua"/>
          <w:i/>
          <w:iCs/>
        </w:rPr>
        <w:t>Gut</w:t>
      </w:r>
      <w:r>
        <w:rPr>
          <w:rFonts w:ascii="Book Antiqua" w:hAnsi="Book Antiqua"/>
        </w:rPr>
        <w:t xml:space="preserve"> 2013; </w:t>
      </w:r>
      <w:r>
        <w:rPr>
          <w:rFonts w:ascii="Book Antiqua" w:hAnsi="Book Antiqua"/>
          <w:b/>
          <w:bCs/>
        </w:rPr>
        <w:t>62</w:t>
      </w:r>
      <w:r>
        <w:rPr>
          <w:rFonts w:ascii="Book Antiqua" w:hAnsi="Book Antiqua"/>
        </w:rPr>
        <w:t>: 1356-1363 [PMID: 22879518 DOI: 10.1136/gutjnl-2012-302962]</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rPr>
        <w:t>0</w:t>
      </w:r>
      <w:r>
        <w:rPr>
          <w:rFonts w:ascii="Book Antiqua" w:hAnsi="Book Antiqua"/>
        </w:rPr>
        <w:t xml:space="preserve"> </w:t>
      </w:r>
      <w:r>
        <w:rPr>
          <w:rFonts w:ascii="Book Antiqua" w:hAnsi="Book Antiqua"/>
          <w:b/>
          <w:bCs/>
        </w:rPr>
        <w:t>de Mello VD</w:t>
      </w:r>
      <w:r>
        <w:rPr>
          <w:rFonts w:ascii="Book Antiqua" w:hAnsi="Book Antiqua"/>
        </w:rPr>
        <w:t xml:space="preserve">, Matte A, Perfilyev A, Männistö V, Rönn T, Nilsson E, Käkelä P, Ling C, Pihlajamäki J. Human liver epigenetic alterations in non-alcoholic steatohepatitis are related to insulin action. </w:t>
      </w:r>
      <w:r>
        <w:rPr>
          <w:rFonts w:ascii="Book Antiqua" w:hAnsi="Book Antiqua"/>
          <w:i/>
          <w:iCs/>
        </w:rPr>
        <w:t>Epigenetics</w:t>
      </w:r>
      <w:r>
        <w:rPr>
          <w:rFonts w:ascii="Book Antiqua" w:hAnsi="Book Antiqua"/>
        </w:rPr>
        <w:t xml:space="preserve"> 2017; </w:t>
      </w:r>
      <w:r>
        <w:rPr>
          <w:rFonts w:ascii="Book Antiqua" w:hAnsi="Book Antiqua"/>
          <w:b/>
          <w:bCs/>
        </w:rPr>
        <w:t>12</w:t>
      </w:r>
      <w:r>
        <w:rPr>
          <w:rFonts w:ascii="Book Antiqua" w:hAnsi="Book Antiqua"/>
        </w:rPr>
        <w:t>: 287-295 [PMID: 28277977 DOI: 10.1080/15592294.2017.1294305]</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rPr>
        <w:t>1</w:t>
      </w:r>
      <w:r>
        <w:rPr>
          <w:rFonts w:ascii="Book Antiqua" w:hAnsi="Book Antiqua"/>
        </w:rPr>
        <w:t xml:space="preserve"> </w:t>
      </w:r>
      <w:r>
        <w:rPr>
          <w:rFonts w:ascii="Book Antiqua" w:hAnsi="Book Antiqua"/>
          <w:b/>
          <w:bCs/>
        </w:rPr>
        <w:t>Kitamoto T</w:t>
      </w:r>
      <w:r>
        <w:rPr>
          <w:rFonts w:ascii="Book Antiqua" w:hAnsi="Book Antiqua"/>
        </w:rPr>
        <w:t xml:space="preserve">, Kitamoto A, Ogawa Y, Honda Y, Imajo K, Saito S, Yoneda M, Nakamura T, Nakajima A, Hotta K. Targeted-bisulfite sequence analysis of the methylation of CpG islands in genes encoding PNPLA3, SAMM50, and PARVB of patients with non-alcoholic fatty liver disease. </w:t>
      </w:r>
      <w:r>
        <w:rPr>
          <w:rFonts w:ascii="Book Antiqua" w:hAnsi="Book Antiqua"/>
          <w:i/>
          <w:iCs/>
        </w:rPr>
        <w:t>J Hepatol</w:t>
      </w:r>
      <w:r>
        <w:rPr>
          <w:rFonts w:ascii="Book Antiqua" w:hAnsi="Book Antiqua"/>
        </w:rPr>
        <w:t xml:space="preserve"> 2015; </w:t>
      </w:r>
      <w:r>
        <w:rPr>
          <w:rFonts w:ascii="Book Antiqua" w:hAnsi="Book Antiqua"/>
          <w:b/>
          <w:bCs/>
        </w:rPr>
        <w:t>63</w:t>
      </w:r>
      <w:r>
        <w:rPr>
          <w:rFonts w:ascii="Book Antiqua" w:hAnsi="Book Antiqua"/>
        </w:rPr>
        <w:t>: 494-502 [PMID: 25776890 DOI: 10.1016/j.jhep.2015.02.049]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rPr>
        <w:t>2</w:t>
      </w:r>
      <w:r>
        <w:rPr>
          <w:rFonts w:ascii="Book Antiqua" w:hAnsi="Book Antiqua"/>
        </w:rPr>
        <w:t xml:space="preserve"> </w:t>
      </w:r>
      <w:r>
        <w:rPr>
          <w:rFonts w:ascii="Book Antiqua" w:hAnsi="Book Antiqua"/>
          <w:b/>
          <w:bCs/>
        </w:rPr>
        <w:t>Zeybel M</w:t>
      </w:r>
      <w:r>
        <w:rPr>
          <w:rFonts w:ascii="Book Antiqua" w:hAnsi="Book Antiqua"/>
        </w:rPr>
        <w:t xml:space="preserve">, Hardy T, Robinson SM, Fox C, Anstee QM, Ness T, Masson S, Mathers JC, French J, White S, Mann J. Differential DNA methylation of genes involved in fibrosis progression in non-alcoholic fatty liver disease and alcoholic liver disease. </w:t>
      </w:r>
      <w:r>
        <w:rPr>
          <w:rFonts w:ascii="Book Antiqua" w:hAnsi="Book Antiqua"/>
          <w:i/>
          <w:iCs/>
        </w:rPr>
        <w:t>Clin Epigenetics</w:t>
      </w:r>
      <w:r>
        <w:rPr>
          <w:rFonts w:ascii="Book Antiqua" w:hAnsi="Book Antiqua"/>
        </w:rPr>
        <w:t xml:space="preserve"> 2015; </w:t>
      </w:r>
      <w:r>
        <w:rPr>
          <w:rFonts w:ascii="Book Antiqua" w:hAnsi="Book Antiqua"/>
          <w:b/>
          <w:bCs/>
        </w:rPr>
        <w:t>7</w:t>
      </w:r>
      <w:r>
        <w:rPr>
          <w:rFonts w:ascii="Book Antiqua" w:hAnsi="Book Antiqua"/>
        </w:rPr>
        <w:t>: 25 [PMID: 25859289 DOI: 10.1186/s13148-015-0056-6]</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rPr>
        <w:t>3</w:t>
      </w:r>
      <w:r>
        <w:rPr>
          <w:rFonts w:ascii="Book Antiqua" w:hAnsi="Book Antiqua"/>
        </w:rPr>
        <w:t xml:space="preserve"> </w:t>
      </w:r>
      <w:r>
        <w:rPr>
          <w:rFonts w:ascii="Book Antiqua" w:hAnsi="Book Antiqua"/>
          <w:b/>
          <w:bCs/>
        </w:rPr>
        <w:t>Sookoian S</w:t>
      </w:r>
      <w:r>
        <w:rPr>
          <w:rFonts w:ascii="Book Antiqua" w:hAnsi="Book Antiqua"/>
        </w:rPr>
        <w:t xml:space="preserve">, Rosselli MS, Gemma C, Burgueño AL, Fernández Gianotti T, Castaño GO, Pirola CJ. Epigenetic regulation of insulin resistance in nonalcoholic fatty liver disease: impact of liver methylation of the peroxisome proliferator-activated receptor γ coactivator 1α promoter. </w:t>
      </w:r>
      <w:r>
        <w:rPr>
          <w:rFonts w:ascii="Book Antiqua" w:hAnsi="Book Antiqua"/>
          <w:i/>
          <w:iCs/>
        </w:rPr>
        <w:t>Hepatology</w:t>
      </w:r>
      <w:r>
        <w:rPr>
          <w:rFonts w:ascii="Book Antiqua" w:hAnsi="Book Antiqua"/>
        </w:rPr>
        <w:t xml:space="preserve"> 2010; </w:t>
      </w:r>
      <w:r>
        <w:rPr>
          <w:rFonts w:ascii="Book Antiqua" w:hAnsi="Book Antiqua"/>
          <w:b/>
          <w:bCs/>
        </w:rPr>
        <w:t>52</w:t>
      </w:r>
      <w:r>
        <w:rPr>
          <w:rFonts w:ascii="Book Antiqua" w:hAnsi="Book Antiqua"/>
        </w:rPr>
        <w:t>: 1992-2000 [PMID: 20890895 DOI: 10.1002/hep.23927]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rPr>
        <w:t>4</w:t>
      </w:r>
      <w:r>
        <w:rPr>
          <w:rFonts w:ascii="Book Antiqua" w:hAnsi="Book Antiqua"/>
        </w:rPr>
        <w:t xml:space="preserve"> </w:t>
      </w:r>
      <w:r>
        <w:rPr>
          <w:rFonts w:ascii="Book Antiqua" w:hAnsi="Book Antiqua"/>
          <w:b/>
          <w:bCs/>
        </w:rPr>
        <w:t>Ma J</w:t>
      </w:r>
      <w:r>
        <w:rPr>
          <w:rFonts w:ascii="Book Antiqua" w:hAnsi="Book Antiqua"/>
        </w:rPr>
        <w:t xml:space="preserve">, Nano J, Ding J, Zheng Y, Hennein R, Liu C, Speliotes EK, Huan T, Song C, Mendelson MM, Joehanes R, Long MT, Liang L, Smith JA, Reynolds LM, Ghanbari M, Muka T, van Meurs JBJ, Alferink LJM, Franco OH, Dehghan A, Ratliff S, Zhao W, Bielak L, Kardia SLR, Peyser PA, Ning H, VanWagner LB, Lloyd-Jones DM, Carr JJ, Greenland P, Lichtenstein AH, Hu FB, Liu Y, Hou L, Darwish Murad S, Levy D. A Peripheral Blood DNA Methylation Signature of Hepatic Fat Reveals a Potential Causal Pathway for Nonalcoholic Fatty Liver Disease. </w:t>
      </w:r>
      <w:r>
        <w:rPr>
          <w:rFonts w:ascii="Book Antiqua" w:hAnsi="Book Antiqua"/>
          <w:i/>
          <w:iCs/>
        </w:rPr>
        <w:t>Diabetes</w:t>
      </w:r>
      <w:r>
        <w:rPr>
          <w:rFonts w:ascii="Book Antiqua" w:hAnsi="Book Antiqua"/>
        </w:rPr>
        <w:t xml:space="preserve"> 2019; </w:t>
      </w:r>
      <w:r>
        <w:rPr>
          <w:rFonts w:ascii="Book Antiqua" w:hAnsi="Book Antiqua"/>
          <w:b/>
          <w:bCs/>
        </w:rPr>
        <w:t>68</w:t>
      </w:r>
      <w:r>
        <w:rPr>
          <w:rFonts w:ascii="Book Antiqua" w:hAnsi="Book Antiqua"/>
        </w:rPr>
        <w:t>: 1073-1083 [PMID: 30936141 DOI: 10.2337/DB18-1193]</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rPr>
        <w:t>5</w:t>
      </w:r>
      <w:r>
        <w:rPr>
          <w:rFonts w:ascii="Book Antiqua" w:hAnsi="Book Antiqua"/>
        </w:rPr>
        <w:t xml:space="preserve"> </w:t>
      </w:r>
      <w:r>
        <w:rPr>
          <w:rFonts w:ascii="Book Antiqua" w:hAnsi="Book Antiqua"/>
          <w:b/>
          <w:bCs/>
        </w:rPr>
        <w:t>Nano J</w:t>
      </w:r>
      <w:r>
        <w:rPr>
          <w:rFonts w:ascii="Book Antiqua" w:hAnsi="Book Antiqua"/>
        </w:rPr>
        <w:t xml:space="preserve">, Ghanbari M, Wang W, de Vries PS, Dhana K, Muka T, Uitterlinden AG, van Meurs JBJ, Hofman A; BIOS consortium, Franco OH, Pan Q, Murad SD, Dehghan A. Epigenome-Wide Association Study Identifies Methylation Sites Associated With Liver Enzymes and Hepatic Steatosis. </w:t>
      </w:r>
      <w:r>
        <w:rPr>
          <w:rFonts w:ascii="Book Antiqua" w:hAnsi="Book Antiqua"/>
          <w:i/>
          <w:iCs/>
        </w:rPr>
        <w:t>Gastroenterology</w:t>
      </w:r>
      <w:r>
        <w:rPr>
          <w:rFonts w:ascii="Book Antiqua" w:hAnsi="Book Antiqua"/>
        </w:rPr>
        <w:t xml:space="preserve"> 2017; </w:t>
      </w:r>
      <w:r>
        <w:rPr>
          <w:rFonts w:ascii="Book Antiqua" w:hAnsi="Book Antiqua"/>
          <w:b/>
          <w:bCs/>
        </w:rPr>
        <w:t>153</w:t>
      </w:r>
      <w:r>
        <w:rPr>
          <w:rFonts w:ascii="Book Antiqua" w:hAnsi="Book Antiqua"/>
        </w:rPr>
        <w:t>: 1096-1106.e2 [PMID: 28624579 DOI: 10.1053/j.gastro.2017.06.003]</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rPr>
        <w:t>6</w:t>
      </w:r>
      <w:r>
        <w:rPr>
          <w:rFonts w:ascii="Book Antiqua" w:hAnsi="Book Antiqua"/>
        </w:rPr>
        <w:t xml:space="preserve"> </w:t>
      </w:r>
      <w:r>
        <w:rPr>
          <w:rFonts w:ascii="Book Antiqua" w:hAnsi="Book Antiqua"/>
          <w:b/>
          <w:bCs/>
        </w:rPr>
        <w:t>Mwinyi J</w:t>
      </w:r>
      <w:r>
        <w:rPr>
          <w:rFonts w:ascii="Book Antiqua" w:hAnsi="Book Antiqua"/>
        </w:rPr>
        <w:t xml:space="preserve">, Boström AE, Pisanu C, Murphy SK, Erhart W, Schafmayer C, Hampe J, Moylan C, Schiöth HB. NAFLD is associated with methylation shifts with relevance for the expression of genes involved in lipoprotein particle composition. </w:t>
      </w:r>
      <w:r>
        <w:rPr>
          <w:rFonts w:ascii="Book Antiqua" w:hAnsi="Book Antiqua"/>
          <w:i/>
          <w:iCs/>
        </w:rPr>
        <w:t>Biochim Biophys Acta Mol Cell Biol Lipids</w:t>
      </w:r>
      <w:r>
        <w:rPr>
          <w:rFonts w:ascii="Book Antiqua" w:hAnsi="Book Antiqua"/>
        </w:rPr>
        <w:t xml:space="preserve"> 2017; </w:t>
      </w:r>
      <w:r>
        <w:rPr>
          <w:rFonts w:ascii="Book Antiqua" w:hAnsi="Book Antiqua"/>
          <w:b/>
          <w:bCs/>
        </w:rPr>
        <w:t>1862</w:t>
      </w:r>
      <w:r>
        <w:rPr>
          <w:rFonts w:ascii="Book Antiqua" w:hAnsi="Book Antiqua"/>
        </w:rPr>
        <w:t>: 314-323 [PMID: 27993651 DOI: 10.1016/j.bbalip.2016.12.005]</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rPr>
        <w:t>7</w:t>
      </w:r>
      <w:r>
        <w:rPr>
          <w:rFonts w:ascii="Book Antiqua" w:hAnsi="Book Antiqua"/>
        </w:rPr>
        <w:t xml:space="preserve"> </w:t>
      </w:r>
      <w:r>
        <w:rPr>
          <w:rFonts w:ascii="Book Antiqua" w:hAnsi="Book Antiqua"/>
          <w:b/>
          <w:bCs/>
        </w:rPr>
        <w:t>Geurtsen ML</w:t>
      </w:r>
      <w:r>
        <w:rPr>
          <w:rFonts w:ascii="Book Antiqua" w:hAnsi="Book Antiqua"/>
        </w:rPr>
        <w:t xml:space="preserve">, Jaddoe VWV, Salas LA, Santos S, Felix JF. Newborn and childhood differential DNA methylation and liver fat in school-age children. </w:t>
      </w:r>
      <w:r>
        <w:rPr>
          <w:rFonts w:ascii="Book Antiqua" w:hAnsi="Book Antiqua"/>
          <w:i/>
          <w:iCs/>
        </w:rPr>
        <w:t>Clin Epigenetics</w:t>
      </w:r>
      <w:r>
        <w:rPr>
          <w:rFonts w:ascii="Book Antiqua" w:hAnsi="Book Antiqua"/>
        </w:rPr>
        <w:t xml:space="preserve"> 2019; </w:t>
      </w:r>
      <w:r>
        <w:rPr>
          <w:rFonts w:ascii="Book Antiqua" w:hAnsi="Book Antiqua"/>
          <w:b/>
          <w:bCs/>
        </w:rPr>
        <w:t>12</w:t>
      </w:r>
      <w:r>
        <w:rPr>
          <w:rFonts w:ascii="Book Antiqua" w:hAnsi="Book Antiqua"/>
        </w:rPr>
        <w:t>: 3 [PMID: 31892367 DOI: 10.1186/s13148-019-0799-6]</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rPr>
        <w:t>8</w:t>
      </w:r>
      <w:r>
        <w:rPr>
          <w:rFonts w:ascii="Book Antiqua" w:hAnsi="Book Antiqua"/>
        </w:rPr>
        <w:t xml:space="preserve"> </w:t>
      </w:r>
      <w:r>
        <w:rPr>
          <w:rFonts w:ascii="Book Antiqua" w:hAnsi="Book Antiqua"/>
          <w:b/>
          <w:bCs/>
        </w:rPr>
        <w:t>Yamada H</w:t>
      </w:r>
      <w:r>
        <w:rPr>
          <w:rFonts w:ascii="Book Antiqua" w:hAnsi="Book Antiqua"/>
        </w:rPr>
        <w:t xml:space="preserve">, Suzuki K, Ichino N, Ando Y, Sawada A, Osakabe K, Sugimoto K, Ohashi K, Teradaira R, Inoue T, Hamajima N, Hashimoto S. Associations between circulating microRNAs (miR-21, miR-34a, miR-122 and miR-451) and non-alcoholic fatty liver. </w:t>
      </w:r>
      <w:r>
        <w:rPr>
          <w:rFonts w:ascii="Book Antiqua" w:hAnsi="Book Antiqua"/>
          <w:i/>
          <w:iCs/>
        </w:rPr>
        <w:t>Clin Chim Acta</w:t>
      </w:r>
      <w:r>
        <w:rPr>
          <w:rFonts w:ascii="Book Antiqua" w:hAnsi="Book Antiqua"/>
        </w:rPr>
        <w:t xml:space="preserve"> 2013; </w:t>
      </w:r>
      <w:r>
        <w:rPr>
          <w:rFonts w:ascii="Book Antiqua" w:hAnsi="Book Antiqua"/>
          <w:b/>
          <w:bCs/>
        </w:rPr>
        <w:t>424</w:t>
      </w:r>
      <w:r>
        <w:rPr>
          <w:rFonts w:ascii="Book Antiqua" w:hAnsi="Book Antiqua"/>
        </w:rPr>
        <w:t>: 99-103 [PMID: 23727030 DOI: 10.1016/j.cca.2013.05.021]</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19</w:t>
      </w:r>
      <w:r>
        <w:rPr>
          <w:rFonts w:ascii="Book Antiqua" w:hAnsi="Book Antiqua"/>
        </w:rPr>
        <w:t xml:space="preserve"> </w:t>
      </w:r>
      <w:r>
        <w:rPr>
          <w:rFonts w:ascii="Book Antiqua" w:hAnsi="Book Antiqua"/>
          <w:b/>
          <w:bCs/>
        </w:rPr>
        <w:t>Cheung O</w:t>
      </w:r>
      <w:r>
        <w:rPr>
          <w:rFonts w:ascii="Book Antiqua" w:hAnsi="Book Antiqua"/>
        </w:rPr>
        <w:t xml:space="preserve">, Puri P, Eicken C, Contos MJ, Mirshahi F, Maher JW, Kellum JM, Min H, Luketic VA, Sanyal AJ. Nonalcoholic steatohepatitis is associated with altered hepatic MicroRNA expression. </w:t>
      </w:r>
      <w:r>
        <w:rPr>
          <w:rFonts w:ascii="Book Antiqua" w:hAnsi="Book Antiqua"/>
          <w:i/>
          <w:iCs/>
        </w:rPr>
        <w:t>Hepatology</w:t>
      </w:r>
      <w:r>
        <w:rPr>
          <w:rFonts w:ascii="Book Antiqua" w:hAnsi="Book Antiqua"/>
        </w:rPr>
        <w:t xml:space="preserve"> 2008; </w:t>
      </w:r>
      <w:r>
        <w:rPr>
          <w:rFonts w:ascii="Book Antiqua" w:hAnsi="Book Antiqua"/>
          <w:b/>
          <w:bCs/>
        </w:rPr>
        <w:t>48</w:t>
      </w:r>
      <w:r>
        <w:rPr>
          <w:rFonts w:ascii="Book Antiqua" w:hAnsi="Book Antiqua"/>
        </w:rPr>
        <w:t>: 1810-1820 [PMID: 19030170 DOI: 10.1002/hep.22569]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rPr>
        <w:t>0</w:t>
      </w:r>
      <w:r>
        <w:rPr>
          <w:rFonts w:ascii="Book Antiqua" w:hAnsi="Book Antiqua"/>
        </w:rPr>
        <w:t xml:space="preserve"> </w:t>
      </w:r>
      <w:r>
        <w:rPr>
          <w:rFonts w:ascii="Book Antiqua" w:hAnsi="Book Antiqua"/>
          <w:b/>
          <w:bCs/>
        </w:rPr>
        <w:t>Pirola CJ</w:t>
      </w:r>
      <w:r>
        <w:rPr>
          <w:rFonts w:ascii="Book Antiqua" w:hAnsi="Book Antiqua"/>
        </w:rPr>
        <w:t xml:space="preserve">, Fernández Gianotti T, Castaño GO, Mallardi P, San Martino J, Mora Gonzalez Lopez Ledesma M, Flichman D, Mirshahi F, Sanyal AJ, Sookoian S. Circulating microRNA signature in non-alcoholic fatty liver disease: from serum non-coding RNAs to liver histology and disease pathogenesis. </w:t>
      </w:r>
      <w:r>
        <w:rPr>
          <w:rFonts w:ascii="Book Antiqua" w:hAnsi="Book Antiqua"/>
          <w:i/>
          <w:iCs/>
        </w:rPr>
        <w:t>Gut</w:t>
      </w:r>
      <w:r>
        <w:rPr>
          <w:rFonts w:ascii="Book Antiqua" w:hAnsi="Book Antiqua"/>
        </w:rPr>
        <w:t xml:space="preserve"> 2015; </w:t>
      </w:r>
      <w:r>
        <w:rPr>
          <w:rFonts w:ascii="Book Antiqua" w:hAnsi="Book Antiqua"/>
          <w:b/>
          <w:bCs/>
        </w:rPr>
        <w:t>64</w:t>
      </w:r>
      <w:r>
        <w:rPr>
          <w:rFonts w:ascii="Book Antiqua" w:hAnsi="Book Antiqua"/>
        </w:rPr>
        <w:t>: 800-812 [PMID: 24973316 DOI: 10.1136/gutjnl-2014-306996]</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rPr>
        <w:t>1</w:t>
      </w:r>
      <w:r>
        <w:rPr>
          <w:rFonts w:ascii="Book Antiqua" w:hAnsi="Book Antiqua"/>
        </w:rPr>
        <w:t xml:space="preserve"> </w:t>
      </w:r>
      <w:r>
        <w:rPr>
          <w:rFonts w:ascii="Book Antiqua" w:hAnsi="Book Antiqua"/>
          <w:b/>
          <w:bCs/>
        </w:rPr>
        <w:t>Pirola CJ</w:t>
      </w:r>
      <w:r>
        <w:rPr>
          <w:rFonts w:ascii="Book Antiqua" w:hAnsi="Book Antiqua"/>
        </w:rPr>
        <w:t xml:space="preserve">, Sookoian S. Multiomics biomarkers for the prediction of nonalcoholic fatty liver disease severity. </w:t>
      </w:r>
      <w:r>
        <w:rPr>
          <w:rFonts w:ascii="Book Antiqua" w:hAnsi="Book Antiqua"/>
          <w:i/>
          <w:iCs/>
        </w:rPr>
        <w:t>World J Gastroenterol</w:t>
      </w:r>
      <w:r>
        <w:rPr>
          <w:rFonts w:ascii="Book Antiqua" w:hAnsi="Book Antiqua"/>
        </w:rPr>
        <w:t xml:space="preserve"> 2018; </w:t>
      </w:r>
      <w:r>
        <w:rPr>
          <w:rFonts w:ascii="Book Antiqua" w:hAnsi="Book Antiqua"/>
          <w:b/>
          <w:bCs/>
        </w:rPr>
        <w:t>24</w:t>
      </w:r>
      <w:r>
        <w:rPr>
          <w:rFonts w:ascii="Book Antiqua" w:hAnsi="Book Antiqua"/>
        </w:rPr>
        <w:t>: 1601-1615 [PMID: 29686467 DOI: 10.3748/wjg.v24.i15.1601]</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rPr>
        <w:t>2</w:t>
      </w:r>
      <w:r>
        <w:rPr>
          <w:rFonts w:ascii="Book Antiqua" w:hAnsi="Book Antiqua"/>
        </w:rPr>
        <w:t xml:space="preserve"> </w:t>
      </w:r>
      <w:r>
        <w:rPr>
          <w:rFonts w:ascii="Book Antiqua" w:hAnsi="Book Antiqua"/>
          <w:b/>
          <w:bCs/>
        </w:rPr>
        <w:t>Prats-Puig A</w:t>
      </w:r>
      <w:r>
        <w:rPr>
          <w:rFonts w:ascii="Book Antiqua" w:hAnsi="Book Antiqua"/>
        </w:rPr>
        <w:t xml:space="preserve">, Ortega FJ, Mercader JM, Moreno-Navarrete JM, Moreno M, Bonet N, Ricart W, López-Bermejo A, Fernández-Real JM. Changes in circulating microRNAs are associated with childhood obesity. </w:t>
      </w:r>
      <w:r>
        <w:rPr>
          <w:rFonts w:ascii="Book Antiqua" w:hAnsi="Book Antiqua"/>
          <w:i/>
          <w:iCs/>
        </w:rPr>
        <w:t>J Clin Endocrinol Metab</w:t>
      </w:r>
      <w:r>
        <w:rPr>
          <w:rFonts w:ascii="Book Antiqua" w:hAnsi="Book Antiqua"/>
        </w:rPr>
        <w:t xml:space="preserve"> 2013; </w:t>
      </w:r>
      <w:r>
        <w:rPr>
          <w:rFonts w:ascii="Book Antiqua" w:hAnsi="Book Antiqua"/>
          <w:b/>
          <w:bCs/>
        </w:rPr>
        <w:t>98</w:t>
      </w:r>
      <w:r>
        <w:rPr>
          <w:rFonts w:ascii="Book Antiqua" w:hAnsi="Book Antiqua"/>
        </w:rPr>
        <w:t>: E1655-E1660 [PMID: 23928666 DOI: 10.1210/jc.2013-1496]</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rPr>
        <w:t>3</w:t>
      </w:r>
      <w:r>
        <w:rPr>
          <w:rFonts w:ascii="Book Antiqua" w:hAnsi="Book Antiqua"/>
        </w:rPr>
        <w:t xml:space="preserve"> </w:t>
      </w:r>
      <w:r>
        <w:rPr>
          <w:rFonts w:ascii="Book Antiqua" w:hAnsi="Book Antiqua"/>
          <w:b/>
          <w:bCs/>
        </w:rPr>
        <w:t>Can U</w:t>
      </w:r>
      <w:r>
        <w:rPr>
          <w:rFonts w:ascii="Book Antiqua" w:hAnsi="Book Antiqua"/>
        </w:rPr>
        <w:t xml:space="preserve">, Buyukinan M, Yerlikaya FH. The investigation of circulating microRNAs associated with lipid metabolism in childhood obesity. </w:t>
      </w:r>
      <w:r>
        <w:rPr>
          <w:rFonts w:ascii="Book Antiqua" w:hAnsi="Book Antiqua"/>
          <w:i/>
          <w:iCs/>
        </w:rPr>
        <w:t>Pediatr Obes</w:t>
      </w:r>
      <w:r>
        <w:rPr>
          <w:rFonts w:ascii="Book Antiqua" w:hAnsi="Book Antiqua"/>
        </w:rPr>
        <w:t xml:space="preserve"> 2016; </w:t>
      </w:r>
      <w:r>
        <w:rPr>
          <w:rFonts w:ascii="Book Antiqua" w:hAnsi="Book Antiqua"/>
          <w:b/>
          <w:bCs/>
        </w:rPr>
        <w:t>11</w:t>
      </w:r>
      <w:r>
        <w:rPr>
          <w:rFonts w:ascii="Book Antiqua" w:hAnsi="Book Antiqua"/>
        </w:rPr>
        <w:t>: 228-234 [PMID: 26223376 DOI: 10.1111/ijpo.12050]</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rPr>
        <w:t>4</w:t>
      </w:r>
      <w:r>
        <w:rPr>
          <w:rFonts w:ascii="Book Antiqua" w:hAnsi="Book Antiqua"/>
        </w:rPr>
        <w:t xml:space="preserve"> </w:t>
      </w:r>
      <w:r>
        <w:rPr>
          <w:rFonts w:ascii="Book Antiqua" w:hAnsi="Book Antiqua"/>
          <w:b/>
          <w:bCs/>
        </w:rPr>
        <w:t>Cui X</w:t>
      </w:r>
      <w:r>
        <w:rPr>
          <w:rFonts w:ascii="Book Antiqua" w:hAnsi="Book Antiqua"/>
        </w:rPr>
        <w:t xml:space="preserve">, You L, Zhu L, Wang X, Zhou Y, Li Y, Wen J, Xia Y, Wang X, Ji C, Guo X. Change in circulating microRNA profile of obese children indicates future risk of adult diabetes. </w:t>
      </w:r>
      <w:r>
        <w:rPr>
          <w:rFonts w:ascii="Book Antiqua" w:hAnsi="Book Antiqua"/>
          <w:i/>
          <w:iCs/>
        </w:rPr>
        <w:t>Metabolism</w:t>
      </w:r>
      <w:r>
        <w:rPr>
          <w:rFonts w:ascii="Book Antiqua" w:hAnsi="Book Antiqua"/>
        </w:rPr>
        <w:t xml:space="preserve"> 2018; </w:t>
      </w:r>
      <w:r>
        <w:rPr>
          <w:rFonts w:ascii="Book Antiqua" w:hAnsi="Book Antiqua"/>
          <w:b/>
          <w:bCs/>
        </w:rPr>
        <w:t>78</w:t>
      </w:r>
      <w:r>
        <w:rPr>
          <w:rFonts w:ascii="Book Antiqua" w:hAnsi="Book Antiqua"/>
        </w:rPr>
        <w:t>: 95-105 [PMID: 28966078 DOI: 10.1016/j.metabol.2017.09.006]</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rPr>
        <w:t>5</w:t>
      </w:r>
      <w:r>
        <w:rPr>
          <w:rFonts w:ascii="Book Antiqua" w:hAnsi="Book Antiqua"/>
        </w:rPr>
        <w:t xml:space="preserve"> </w:t>
      </w:r>
      <w:r>
        <w:rPr>
          <w:rFonts w:ascii="Book Antiqua" w:hAnsi="Book Antiqua"/>
          <w:b/>
          <w:bCs/>
        </w:rPr>
        <w:t>Iacomino G</w:t>
      </w:r>
      <w:r>
        <w:rPr>
          <w:rFonts w:ascii="Book Antiqua" w:hAnsi="Book Antiqua"/>
        </w:rPr>
        <w:t xml:space="preserve">, Russo P, Marena P, Lauria F, Venezia A, Ahrens W, De Henauw S, De Luca P, Foraita R, Günther K, Lissner L, Molnár D, Moreno LA, Tornaritis M, Veidebaum T, Siani A. Circulating microRNAs are associated with early childhood obesity: results of the I.Family Study. </w:t>
      </w:r>
      <w:r>
        <w:rPr>
          <w:rFonts w:ascii="Book Antiqua" w:hAnsi="Book Antiqua"/>
          <w:i/>
          <w:iCs/>
        </w:rPr>
        <w:t>Genes Nutr</w:t>
      </w:r>
      <w:r>
        <w:rPr>
          <w:rFonts w:ascii="Book Antiqua" w:hAnsi="Book Antiqua"/>
        </w:rPr>
        <w:t xml:space="preserve"> 2019; </w:t>
      </w:r>
      <w:r>
        <w:rPr>
          <w:rFonts w:ascii="Book Antiqua" w:hAnsi="Book Antiqua"/>
          <w:b/>
          <w:bCs/>
        </w:rPr>
        <w:t>14</w:t>
      </w:r>
      <w:r>
        <w:rPr>
          <w:rFonts w:ascii="Book Antiqua" w:hAnsi="Book Antiqua"/>
        </w:rPr>
        <w:t>: 2 [PMID: 30651891 DOI: 10.1186/s12263-018-0622-6]</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rPr>
        <w:t>6</w:t>
      </w:r>
      <w:r>
        <w:rPr>
          <w:rFonts w:ascii="Book Antiqua" w:hAnsi="Book Antiqua"/>
        </w:rPr>
        <w:t xml:space="preserve"> </w:t>
      </w:r>
      <w:r>
        <w:rPr>
          <w:rFonts w:ascii="Book Antiqua" w:hAnsi="Book Antiqua"/>
          <w:b/>
          <w:bCs/>
        </w:rPr>
        <w:t>Sheldon RD</w:t>
      </w:r>
      <w:r>
        <w:rPr>
          <w:rFonts w:ascii="Book Antiqua" w:hAnsi="Book Antiqua"/>
        </w:rPr>
        <w:t xml:space="preserve">, Kanosky KM, Wells KD, Miles L, Perfield JW 2nd, Xanthakos S, Inge TH, Rector RS. Transcriptomic differences in intra-abdominal adipose tissue in extremely obese adolescents with different stages of NAFLD. </w:t>
      </w:r>
      <w:r>
        <w:rPr>
          <w:rFonts w:ascii="Book Antiqua" w:hAnsi="Book Antiqua"/>
          <w:i/>
          <w:iCs/>
        </w:rPr>
        <w:t>Physiol Genomics</w:t>
      </w:r>
      <w:r>
        <w:rPr>
          <w:rFonts w:ascii="Book Antiqua" w:hAnsi="Book Antiqua"/>
        </w:rPr>
        <w:t xml:space="preserve"> 2016; </w:t>
      </w:r>
      <w:r>
        <w:rPr>
          <w:rFonts w:ascii="Book Antiqua" w:hAnsi="Book Antiqua"/>
          <w:b/>
          <w:bCs/>
        </w:rPr>
        <w:t>48</w:t>
      </w:r>
      <w:r>
        <w:rPr>
          <w:rFonts w:ascii="Book Antiqua" w:hAnsi="Book Antiqua"/>
        </w:rPr>
        <w:t>: 897-911 [PMID: 27764764 DOI: 10.1152/physiolgenomics.00020.2016]</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rPr>
        <w:t>7</w:t>
      </w:r>
      <w:r>
        <w:rPr>
          <w:rFonts w:ascii="Book Antiqua" w:hAnsi="Book Antiqua"/>
        </w:rPr>
        <w:t xml:space="preserve"> </w:t>
      </w:r>
      <w:r>
        <w:rPr>
          <w:rFonts w:ascii="Book Antiqua" w:hAnsi="Book Antiqua"/>
          <w:b/>
          <w:bCs/>
        </w:rPr>
        <w:t>Baselli GA</w:t>
      </w:r>
      <w:r>
        <w:rPr>
          <w:rFonts w:ascii="Book Antiqua" w:hAnsi="Book Antiqua"/>
        </w:rPr>
        <w:t xml:space="preserve">, Dongiovanni P, Rametta R, Meroni M, Pelusi S, Maggioni M, Badiali S, Pingitore P, Maurotti S, Montalcini T, Taliento AE, Prati D, Rossi G, Fracanzani AL, Mancina RM, Romeo S, Valenti L. Liver transcriptomics highlights interleukin-32 as novel NAFLD-related cytokine and candidate biomarker.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1855-1866 [PMID: 32001554 DOI: 10.1136/gutjnl-2019-319226]</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rPr>
        <w:t>8</w:t>
      </w:r>
      <w:r>
        <w:rPr>
          <w:rFonts w:ascii="Book Antiqua" w:hAnsi="Book Antiqua"/>
        </w:rPr>
        <w:t xml:space="preserve"> </w:t>
      </w:r>
      <w:r>
        <w:rPr>
          <w:rFonts w:ascii="Book Antiqua" w:hAnsi="Book Antiqua"/>
          <w:b/>
          <w:bCs/>
        </w:rPr>
        <w:t>Perakakis N</w:t>
      </w:r>
      <w:r>
        <w:rPr>
          <w:rFonts w:ascii="Book Antiqua" w:hAnsi="Book Antiqua"/>
        </w:rPr>
        <w:t xml:space="preserve">, Stefanakis K, Mantzoros CS. The role of omics in the pathophysiology, diagnosis and treatment of non-alcoholic fatty liver disease. </w:t>
      </w:r>
      <w:r>
        <w:rPr>
          <w:rFonts w:ascii="Book Antiqua" w:hAnsi="Book Antiqua"/>
          <w:i/>
          <w:iCs/>
        </w:rPr>
        <w:t>Metabolism</w:t>
      </w:r>
      <w:r>
        <w:rPr>
          <w:rFonts w:ascii="Book Antiqua" w:hAnsi="Book Antiqua"/>
        </w:rPr>
        <w:t xml:space="preserve"> 2020; </w:t>
      </w:r>
      <w:r>
        <w:rPr>
          <w:rFonts w:ascii="Book Antiqua" w:hAnsi="Book Antiqua"/>
          <w:b/>
          <w:bCs/>
        </w:rPr>
        <w:t>111S</w:t>
      </w:r>
      <w:r>
        <w:rPr>
          <w:rFonts w:ascii="Book Antiqua" w:hAnsi="Book Antiqua"/>
        </w:rPr>
        <w:t>: 154320 [PMID: 32712221 DOI: 10.1016/j.metabol.2020.154320]</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29</w:t>
      </w:r>
      <w:r>
        <w:rPr>
          <w:rFonts w:ascii="Book Antiqua" w:hAnsi="Book Antiqua"/>
        </w:rPr>
        <w:t xml:space="preserve"> </w:t>
      </w:r>
      <w:r>
        <w:rPr>
          <w:rFonts w:ascii="Book Antiqua" w:hAnsi="Book Antiqua"/>
          <w:b/>
          <w:bCs/>
        </w:rPr>
        <w:t>Cusi K</w:t>
      </w:r>
      <w:r>
        <w:rPr>
          <w:rFonts w:ascii="Book Antiqua" w:hAnsi="Book Antiqua"/>
        </w:rPr>
        <w:t xml:space="preserve">, Chang Z, Harrison S, Lomonaco R, Bril F, Orsak B, Ortiz-Lopez C, Hecht J, Feldstein AE, Webb A, Louden C, Goros M, Tio F. Limited value of plasma cytokeratin-18 as a biomarker for NASH and fibrosis in patients with non-alcoholic fatty liver disease. </w:t>
      </w:r>
      <w:r>
        <w:rPr>
          <w:rFonts w:ascii="Book Antiqua" w:hAnsi="Book Antiqua"/>
          <w:i/>
          <w:iCs/>
        </w:rPr>
        <w:t>J Hepatol</w:t>
      </w:r>
      <w:r>
        <w:rPr>
          <w:rFonts w:ascii="Book Antiqua" w:hAnsi="Book Antiqua"/>
        </w:rPr>
        <w:t xml:space="preserve"> 2014; </w:t>
      </w:r>
      <w:r>
        <w:rPr>
          <w:rFonts w:ascii="Book Antiqua" w:hAnsi="Book Antiqua"/>
          <w:b/>
          <w:bCs/>
        </w:rPr>
        <w:t>60</w:t>
      </w:r>
      <w:r>
        <w:rPr>
          <w:rFonts w:ascii="Book Antiqua" w:hAnsi="Book Antiqua"/>
        </w:rPr>
        <w:t>: 167-174 [PMID: 23973932 DOI: 10.1016/j.jhep.2013.07.042]</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rPr>
        <w:t>0</w:t>
      </w:r>
      <w:r>
        <w:rPr>
          <w:rFonts w:ascii="Book Antiqua" w:hAnsi="Book Antiqua"/>
        </w:rPr>
        <w:t xml:space="preserve"> </w:t>
      </w:r>
      <w:r>
        <w:rPr>
          <w:rFonts w:ascii="Book Antiqua" w:hAnsi="Book Antiqua"/>
          <w:b/>
          <w:bCs/>
        </w:rPr>
        <w:t>Sookoian S</w:t>
      </w:r>
      <w:r>
        <w:rPr>
          <w:rFonts w:ascii="Book Antiqua" w:hAnsi="Book Antiqua"/>
        </w:rPr>
        <w:t xml:space="preserve">, Castaño G, Burgueño AL, Gianotti TF, Rosselli MS, Pirola CJ. A diagnostic model to differentiate simple steatosis from nonalcoholic steatohepatitis based on the likelihood ratio form of Bayes theorem. </w:t>
      </w:r>
      <w:r>
        <w:rPr>
          <w:rFonts w:ascii="Book Antiqua" w:hAnsi="Book Antiqua"/>
          <w:i/>
          <w:iCs/>
        </w:rPr>
        <w:t>Clin Biochem</w:t>
      </w:r>
      <w:r>
        <w:rPr>
          <w:rFonts w:ascii="Book Antiqua" w:hAnsi="Book Antiqua"/>
        </w:rPr>
        <w:t xml:space="preserve"> 2009; </w:t>
      </w:r>
      <w:r>
        <w:rPr>
          <w:rFonts w:ascii="Book Antiqua" w:hAnsi="Book Antiqua"/>
          <w:b/>
          <w:bCs/>
        </w:rPr>
        <w:t>42</w:t>
      </w:r>
      <w:r>
        <w:rPr>
          <w:rFonts w:ascii="Book Antiqua" w:hAnsi="Book Antiqua"/>
        </w:rPr>
        <w:t>: 624-629 [PMID: 19071103 DOI: 10.1016/j.clinbiochem.2008.11.005]</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rPr>
        <w:t>1</w:t>
      </w:r>
      <w:r>
        <w:rPr>
          <w:rFonts w:ascii="Book Antiqua" w:hAnsi="Book Antiqua"/>
        </w:rPr>
        <w:t xml:space="preserve"> </w:t>
      </w:r>
      <w:r>
        <w:rPr>
          <w:rFonts w:ascii="Book Antiqua" w:hAnsi="Book Antiqua"/>
          <w:b/>
          <w:bCs/>
        </w:rPr>
        <w:t>Rodriguez-Suarez E</w:t>
      </w:r>
      <w:r>
        <w:rPr>
          <w:rFonts w:ascii="Book Antiqua" w:hAnsi="Book Antiqua"/>
        </w:rPr>
        <w:t xml:space="preserve">, Mato JM, Elortza F. Proteomics analysis of human nonalcoholic fatty liver. </w:t>
      </w:r>
      <w:r>
        <w:rPr>
          <w:rFonts w:ascii="Book Antiqua" w:hAnsi="Book Antiqua"/>
          <w:i/>
          <w:iCs/>
        </w:rPr>
        <w:t>Methods Mol Biol</w:t>
      </w:r>
      <w:r>
        <w:rPr>
          <w:rFonts w:ascii="Book Antiqua" w:hAnsi="Book Antiqua"/>
        </w:rPr>
        <w:t xml:space="preserve"> 2012; </w:t>
      </w:r>
      <w:r>
        <w:rPr>
          <w:rFonts w:ascii="Book Antiqua" w:hAnsi="Book Antiqua"/>
          <w:b/>
          <w:bCs/>
        </w:rPr>
        <w:t>909</w:t>
      </w:r>
      <w:r>
        <w:rPr>
          <w:rFonts w:ascii="Book Antiqua" w:hAnsi="Book Antiqua"/>
        </w:rPr>
        <w:t>: 241-258 [PMID: 22903720 DOI: 10.1007/978-1-61779-959-4_16]</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rPr>
        <w:t>2</w:t>
      </w:r>
      <w:r>
        <w:rPr>
          <w:rFonts w:ascii="Book Antiqua" w:hAnsi="Book Antiqua"/>
        </w:rPr>
        <w:t xml:space="preserve"> </w:t>
      </w:r>
      <w:r>
        <w:rPr>
          <w:rFonts w:ascii="Book Antiqua" w:hAnsi="Book Antiqua"/>
          <w:b/>
          <w:bCs/>
        </w:rPr>
        <w:t>Younossi ZM</w:t>
      </w:r>
      <w:r>
        <w:rPr>
          <w:rFonts w:ascii="Book Antiqua" w:hAnsi="Book Antiqua"/>
        </w:rPr>
        <w:t xml:space="preserve">, Baranova A, Ziegler K, Del Giacco L, Schlauch K, Born TL, Elariny H, Gorreta F, VanMeter A, Younoszai A, Ong JP, Goodman Z, Chandhoke V. A genomic and proteomic study of the spectrum of nonalcoholic fatty liver disease. </w:t>
      </w:r>
      <w:r>
        <w:rPr>
          <w:rFonts w:ascii="Book Antiqua" w:hAnsi="Book Antiqua"/>
          <w:i/>
          <w:iCs/>
        </w:rPr>
        <w:t>Hepatology</w:t>
      </w:r>
      <w:r>
        <w:rPr>
          <w:rFonts w:ascii="Book Antiqua" w:hAnsi="Book Antiqua"/>
        </w:rPr>
        <w:t xml:space="preserve"> 2005; </w:t>
      </w:r>
      <w:r>
        <w:rPr>
          <w:rFonts w:ascii="Book Antiqua" w:hAnsi="Book Antiqua"/>
          <w:b/>
          <w:bCs/>
        </w:rPr>
        <w:t>42</w:t>
      </w:r>
      <w:r>
        <w:rPr>
          <w:rFonts w:ascii="Book Antiqua" w:hAnsi="Book Antiqua"/>
        </w:rPr>
        <w:t>: 665-674 [PMID: 16116632 DOI: 10.1002/hep.20838]</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rPr>
        <w:t>3</w:t>
      </w:r>
      <w:r>
        <w:rPr>
          <w:rFonts w:ascii="Book Antiqua" w:hAnsi="Book Antiqua"/>
        </w:rPr>
        <w:t xml:space="preserve"> </w:t>
      </w:r>
      <w:r>
        <w:rPr>
          <w:rFonts w:ascii="Book Antiqua" w:hAnsi="Book Antiqua"/>
          <w:b/>
          <w:bCs/>
        </w:rPr>
        <w:t>Ulukaya E</w:t>
      </w:r>
      <w:r>
        <w:rPr>
          <w:rFonts w:ascii="Book Antiqua" w:hAnsi="Book Antiqua"/>
        </w:rPr>
        <w:t xml:space="preserve">, Yilmaz Y, Moshkovskii S, Karpova M, Pyatnitskiy M, Atug O, Dolar E. Proteomic analysis of serum in patients with non-alcoholic steatohepatitis using matrix-assisted laser desorption ionization time-of-flight mass spectrometry. </w:t>
      </w:r>
      <w:r>
        <w:rPr>
          <w:rFonts w:ascii="Book Antiqua" w:hAnsi="Book Antiqua"/>
          <w:i/>
          <w:iCs/>
        </w:rPr>
        <w:t>Scand J Gastroenterol</w:t>
      </w:r>
      <w:r>
        <w:rPr>
          <w:rFonts w:ascii="Book Antiqua" w:hAnsi="Book Antiqua"/>
        </w:rPr>
        <w:t xml:space="preserve"> 2009; </w:t>
      </w:r>
      <w:r>
        <w:rPr>
          <w:rFonts w:ascii="Book Antiqua" w:hAnsi="Book Antiqua"/>
          <w:b/>
          <w:bCs/>
        </w:rPr>
        <w:t>44</w:t>
      </w:r>
      <w:r>
        <w:rPr>
          <w:rFonts w:ascii="Book Antiqua" w:hAnsi="Book Antiqua"/>
        </w:rPr>
        <w:t>: 1471-1476 [PMID: 19883279 DOI: 10.3109/00365520903353379]</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rPr>
        <w:t>4</w:t>
      </w:r>
      <w:r>
        <w:rPr>
          <w:rFonts w:ascii="Book Antiqua" w:hAnsi="Book Antiqua"/>
        </w:rPr>
        <w:t xml:space="preserve"> </w:t>
      </w:r>
      <w:r>
        <w:rPr>
          <w:rFonts w:ascii="Book Antiqua" w:hAnsi="Book Antiqua"/>
          <w:b/>
          <w:bCs/>
        </w:rPr>
        <w:t>Małecki P</w:t>
      </w:r>
      <w:r>
        <w:rPr>
          <w:rFonts w:ascii="Book Antiqua" w:hAnsi="Book Antiqua"/>
        </w:rPr>
        <w:t xml:space="preserve">, Tracz J, Łuczak M, Figlerowicz M, Mazur-Melewska K, Służewski W, Mania A. Serum proteome assessment in nonalcoholic fatty liver disease in children: a preliminary study. </w:t>
      </w:r>
      <w:r>
        <w:rPr>
          <w:rFonts w:ascii="Book Antiqua" w:hAnsi="Book Antiqua"/>
          <w:i/>
          <w:iCs/>
        </w:rPr>
        <w:t>Expert Rev Proteomics</w:t>
      </w:r>
      <w:r>
        <w:rPr>
          <w:rFonts w:ascii="Book Antiqua" w:hAnsi="Book Antiqua"/>
        </w:rPr>
        <w:t xml:space="preserve"> 2020; </w:t>
      </w:r>
      <w:r>
        <w:rPr>
          <w:rFonts w:ascii="Book Antiqua" w:hAnsi="Book Antiqua"/>
          <w:b/>
          <w:bCs/>
        </w:rPr>
        <w:t>17</w:t>
      </w:r>
      <w:r>
        <w:rPr>
          <w:rFonts w:ascii="Book Antiqua" w:hAnsi="Book Antiqua"/>
        </w:rPr>
        <w:t>: 623-632 [PMID: 32921203 DOI: 10.1080/14789450.2020.1810020]</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rPr>
        <w:t>5</w:t>
      </w:r>
      <w:r>
        <w:rPr>
          <w:rFonts w:ascii="Book Antiqua" w:hAnsi="Book Antiqua"/>
        </w:rPr>
        <w:t xml:space="preserve"> </w:t>
      </w:r>
      <w:bookmarkStart w:id="73" w:name="OLE_LINK57"/>
      <w:bookmarkStart w:id="74" w:name="OLE_LINK56"/>
      <w:bookmarkStart w:id="75" w:name="OLE_LINK54"/>
      <w:bookmarkStart w:id="76" w:name="OLE_LINK55"/>
      <w:r>
        <w:rPr>
          <w:rFonts w:ascii="Book Antiqua" w:hAnsi="Book Antiqua"/>
          <w:b/>
          <w:bCs/>
        </w:rPr>
        <w:t xml:space="preserve">Bălănescu </w:t>
      </w:r>
      <w:bookmarkEnd w:id="73"/>
      <w:bookmarkEnd w:id="74"/>
      <w:r>
        <w:rPr>
          <w:rFonts w:ascii="Book Antiqua" w:hAnsi="Book Antiqua"/>
          <w:b/>
          <w:bCs/>
        </w:rPr>
        <w:t>A</w:t>
      </w:r>
      <w:bookmarkEnd w:id="75"/>
      <w:bookmarkEnd w:id="76"/>
      <w:r>
        <w:rPr>
          <w:rFonts w:ascii="Book Antiqua" w:hAnsi="Book Antiqua"/>
        </w:rPr>
        <w:t xml:space="preserve">, Stan I, Codreanu I, Comănici V, Bălănescu E, Bălănescu P. Circulating Hsp90 Isoform Levels in Overweight and Obese Children and the Relation to Nonalcoholic Fatty Liver Disease: Results from a Cross-Sectional Study. </w:t>
      </w:r>
      <w:r>
        <w:rPr>
          <w:rFonts w:ascii="Book Antiqua" w:hAnsi="Book Antiqua"/>
          <w:i/>
          <w:iCs/>
        </w:rPr>
        <w:t>Dis Markers</w:t>
      </w:r>
      <w:r>
        <w:rPr>
          <w:rFonts w:ascii="Book Antiqua" w:hAnsi="Book Antiqua"/>
        </w:rPr>
        <w:t xml:space="preserve"> 2019; </w:t>
      </w:r>
      <w:r>
        <w:rPr>
          <w:rFonts w:ascii="Book Antiqua" w:hAnsi="Book Antiqua"/>
          <w:b/>
          <w:bCs/>
        </w:rPr>
        <w:t>2019</w:t>
      </w:r>
      <w:r>
        <w:rPr>
          <w:rFonts w:ascii="Book Antiqua" w:hAnsi="Book Antiqua"/>
        </w:rPr>
        <w:t>: 9560247 [PMID: 31885746 DOI: 10.1155/2019/9560247]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rPr>
        <w:t>6</w:t>
      </w:r>
      <w:r>
        <w:rPr>
          <w:rFonts w:ascii="Book Antiqua" w:hAnsi="Book Antiqua"/>
        </w:rPr>
        <w:t xml:space="preserve"> </w:t>
      </w:r>
      <w:r>
        <w:rPr>
          <w:rFonts w:ascii="Book Antiqua" w:hAnsi="Book Antiqua"/>
          <w:b/>
          <w:bCs/>
        </w:rPr>
        <w:t>Blomme B</w:t>
      </w:r>
      <w:r>
        <w:rPr>
          <w:rFonts w:ascii="Book Antiqua" w:hAnsi="Book Antiqua"/>
        </w:rPr>
        <w:t xml:space="preserve">, Fitzpatrick E, Quaglia A, De Bruyne R, Dhawan A, Van Vlierberghe H. Serum protein N-glycosylation in paediatric non-alcoholic fatty liver disease. </w:t>
      </w:r>
      <w:r>
        <w:rPr>
          <w:rFonts w:ascii="Book Antiqua" w:hAnsi="Book Antiqua"/>
          <w:i/>
          <w:iCs/>
        </w:rPr>
        <w:t>Pediatr Obes</w:t>
      </w:r>
      <w:r>
        <w:rPr>
          <w:rFonts w:ascii="Book Antiqua" w:hAnsi="Book Antiqua"/>
        </w:rPr>
        <w:t xml:space="preserve"> 2012; </w:t>
      </w:r>
      <w:r>
        <w:rPr>
          <w:rFonts w:ascii="Book Antiqua" w:hAnsi="Book Antiqua"/>
          <w:b/>
          <w:bCs/>
        </w:rPr>
        <w:t>7</w:t>
      </w:r>
      <w:r>
        <w:rPr>
          <w:rFonts w:ascii="Book Antiqua" w:hAnsi="Book Antiqua"/>
        </w:rPr>
        <w:t>: 165-173 [PMID: 22434757 DOI: 10.1111/j.2047-6310.2011.00024.x]</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rPr>
        <w:t>7</w:t>
      </w:r>
      <w:r>
        <w:rPr>
          <w:rFonts w:ascii="Book Antiqua" w:hAnsi="Book Antiqua"/>
        </w:rPr>
        <w:t xml:space="preserve"> </w:t>
      </w:r>
      <w:r>
        <w:rPr>
          <w:rFonts w:ascii="Book Antiqua" w:hAnsi="Book Antiqua"/>
          <w:b/>
          <w:bCs/>
        </w:rPr>
        <w:t>Li J</w:t>
      </w:r>
      <w:r>
        <w:rPr>
          <w:rFonts w:ascii="Book Antiqua" w:hAnsi="Book Antiqua"/>
        </w:rPr>
        <w:t xml:space="preserve">, Hsu HC, Mountz JD, Allen JG. Unmasking Fucosylation: from Cell Adhesion to Immune System Regulation and Diseases. </w:t>
      </w:r>
      <w:r>
        <w:rPr>
          <w:rFonts w:ascii="Book Antiqua" w:hAnsi="Book Antiqua"/>
          <w:i/>
          <w:iCs/>
        </w:rPr>
        <w:t>Cell Chem Biol</w:t>
      </w:r>
      <w:r>
        <w:rPr>
          <w:rFonts w:ascii="Book Antiqua" w:hAnsi="Book Antiqua"/>
        </w:rPr>
        <w:t xml:space="preserve"> 2018; </w:t>
      </w:r>
      <w:r>
        <w:rPr>
          <w:rFonts w:ascii="Book Antiqua" w:hAnsi="Book Antiqua"/>
          <w:b/>
          <w:bCs/>
        </w:rPr>
        <w:t>25</w:t>
      </w:r>
      <w:r>
        <w:rPr>
          <w:rFonts w:ascii="Book Antiqua" w:hAnsi="Book Antiqua"/>
        </w:rPr>
        <w:t>: 499-512 [PMID: 29526711 DOI: 10.1016/j.chembiol.2018.02.005]</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rPr>
        <w:t xml:space="preserve">8 </w:t>
      </w:r>
      <w:r>
        <w:rPr>
          <w:rFonts w:ascii="Book Antiqua" w:hAnsi="Book Antiqua"/>
          <w:b/>
          <w:bCs/>
        </w:rPr>
        <w:t>Reily C</w:t>
      </w:r>
      <w:r>
        <w:rPr>
          <w:rFonts w:ascii="Book Antiqua" w:hAnsi="Book Antiqua"/>
        </w:rPr>
        <w:t xml:space="preserve">, Stewart TJ, Renfrow MB, Novak J. Glycosylation in health and disease. </w:t>
      </w:r>
      <w:r>
        <w:rPr>
          <w:rFonts w:ascii="Book Antiqua" w:hAnsi="Book Antiqua"/>
          <w:i/>
          <w:iCs/>
        </w:rPr>
        <w:t>Nat Rev Nephrol</w:t>
      </w:r>
      <w:r>
        <w:rPr>
          <w:rFonts w:ascii="Book Antiqua" w:hAnsi="Book Antiqua"/>
        </w:rPr>
        <w:t xml:space="preserve"> 2019; </w:t>
      </w:r>
      <w:r>
        <w:rPr>
          <w:rFonts w:ascii="Book Antiqua" w:hAnsi="Book Antiqua"/>
          <w:b/>
          <w:bCs/>
        </w:rPr>
        <w:t>15</w:t>
      </w:r>
      <w:r>
        <w:rPr>
          <w:rFonts w:ascii="Book Antiqua" w:hAnsi="Book Antiqua"/>
        </w:rPr>
        <w:t>: 346-366 [PMID: 30858582 DOI: 10.1038/s41581-019-0129-4]</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39</w:t>
      </w:r>
      <w:r>
        <w:rPr>
          <w:rFonts w:ascii="Book Antiqua" w:hAnsi="Book Antiqua"/>
        </w:rPr>
        <w:t xml:space="preserve"> </w:t>
      </w:r>
      <w:r>
        <w:rPr>
          <w:rFonts w:ascii="Book Antiqua" w:hAnsi="Book Antiqua"/>
          <w:b/>
          <w:bCs/>
        </w:rPr>
        <w:t>Hollie NI</w:t>
      </w:r>
      <w:r>
        <w:rPr>
          <w:rFonts w:ascii="Book Antiqua" w:hAnsi="Book Antiqua"/>
        </w:rPr>
        <w:t xml:space="preserve">, Cash JG, Matlib MA, Wortman M, Basford JE, Abplanalp W, Hui DY. Micromolar changes in lysophosphatidylcholine concentration cause minor effects on mitochondrial permeability but major alterations in function. </w:t>
      </w:r>
      <w:r>
        <w:rPr>
          <w:rFonts w:ascii="Book Antiqua" w:hAnsi="Book Antiqua"/>
          <w:i/>
          <w:iCs/>
        </w:rPr>
        <w:t>Biochim Biophys Acta</w:t>
      </w:r>
      <w:r>
        <w:rPr>
          <w:rFonts w:ascii="Book Antiqua" w:hAnsi="Book Antiqua"/>
        </w:rPr>
        <w:t xml:space="preserve"> 2014; </w:t>
      </w:r>
      <w:r>
        <w:rPr>
          <w:rFonts w:ascii="Book Antiqua" w:hAnsi="Book Antiqua"/>
          <w:b/>
          <w:bCs/>
        </w:rPr>
        <w:t>1841</w:t>
      </w:r>
      <w:r>
        <w:rPr>
          <w:rFonts w:ascii="Book Antiqua" w:hAnsi="Book Antiqua"/>
        </w:rPr>
        <w:t>: 888-895 [PMID: 24315825 DOI: 10.1016/j.bbalip.2013.11.013]</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Fonts w:hint="eastAsia" w:ascii="Book Antiqua" w:hAnsi="Book Antiqua"/>
        </w:rPr>
        <w:t>0</w:t>
      </w:r>
      <w:r>
        <w:rPr>
          <w:rFonts w:ascii="Book Antiqua" w:hAnsi="Book Antiqua"/>
        </w:rPr>
        <w:t xml:space="preserve"> </w:t>
      </w:r>
      <w:r>
        <w:rPr>
          <w:rFonts w:ascii="Book Antiqua" w:hAnsi="Book Antiqua"/>
          <w:b/>
          <w:bCs/>
        </w:rPr>
        <w:t>Li Z</w:t>
      </w:r>
      <w:r>
        <w:rPr>
          <w:rFonts w:ascii="Book Antiqua" w:hAnsi="Book Antiqua"/>
        </w:rPr>
        <w:t xml:space="preserve">, Agellon LB, Allen TM, Umeda M, Jewell L, Mason A, Vance DE. The ratio of phosphatidylcholine to phosphatidylethanolamine influences membrane integrity and steatohepatitis. </w:t>
      </w:r>
      <w:r>
        <w:rPr>
          <w:rFonts w:ascii="Book Antiqua" w:hAnsi="Book Antiqua"/>
          <w:i/>
          <w:iCs/>
        </w:rPr>
        <w:t>Cell Metab</w:t>
      </w:r>
      <w:r>
        <w:rPr>
          <w:rFonts w:ascii="Book Antiqua" w:hAnsi="Book Antiqua"/>
        </w:rPr>
        <w:t xml:space="preserve"> 2006; </w:t>
      </w:r>
      <w:r>
        <w:rPr>
          <w:rFonts w:ascii="Book Antiqua" w:hAnsi="Book Antiqua"/>
          <w:b/>
          <w:bCs/>
        </w:rPr>
        <w:t>3</w:t>
      </w:r>
      <w:r>
        <w:rPr>
          <w:rFonts w:ascii="Book Antiqua" w:hAnsi="Book Antiqua"/>
        </w:rPr>
        <w:t>: 321-331 [PMID: 16679290 DOI: 10.1016/j.cmet.2006.03.007]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Fonts w:hint="eastAsia" w:ascii="Book Antiqua" w:hAnsi="Book Antiqua"/>
        </w:rPr>
        <w:t>1</w:t>
      </w:r>
      <w:r>
        <w:rPr>
          <w:rFonts w:ascii="Book Antiqua" w:hAnsi="Book Antiqua"/>
        </w:rPr>
        <w:t xml:space="preserve"> </w:t>
      </w:r>
      <w:r>
        <w:rPr>
          <w:rFonts w:ascii="Book Antiqua" w:hAnsi="Book Antiqua"/>
          <w:b/>
          <w:bCs/>
        </w:rPr>
        <w:t>Zhou Y</w:t>
      </w:r>
      <w:r>
        <w:rPr>
          <w:rFonts w:ascii="Book Antiqua" w:hAnsi="Book Antiqua"/>
        </w:rPr>
        <w:t xml:space="preserve">, Orešič M, Leivonen M, Gopalacharyulu P, Hyysalo J, Arola J, Verrijken A, Francque S, Van Gaal L, Hyötyläinen T, Yki-Järvinen H. Noninvasive Detection of Nonalcoholic Steatohepatitis Using Clinical Markers and Circulating Levels of Lipids and Metabolites. </w:t>
      </w:r>
      <w:r>
        <w:rPr>
          <w:rFonts w:ascii="Book Antiqua" w:hAnsi="Book Antiqua"/>
          <w:i/>
          <w:iCs/>
        </w:rPr>
        <w:t>Clin Gastroenterol Hepatol</w:t>
      </w:r>
      <w:r>
        <w:rPr>
          <w:rFonts w:ascii="Book Antiqua" w:hAnsi="Book Antiqua"/>
        </w:rPr>
        <w:t xml:space="preserve"> 2016; </w:t>
      </w:r>
      <w:r>
        <w:rPr>
          <w:rFonts w:ascii="Book Antiqua" w:hAnsi="Book Antiqua"/>
          <w:b/>
          <w:bCs/>
        </w:rPr>
        <w:t>14</w:t>
      </w:r>
      <w:r>
        <w:rPr>
          <w:rFonts w:ascii="Book Antiqua" w:hAnsi="Book Antiqua"/>
        </w:rPr>
        <w:t>: 1463-1472.e6 [PMID: 27317851 DOI: 10.1016/j.cgh.2016.05.046]</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Fonts w:hint="eastAsia" w:ascii="Book Antiqua" w:hAnsi="Book Antiqua"/>
        </w:rPr>
        <w:t>2</w:t>
      </w:r>
      <w:r>
        <w:rPr>
          <w:rFonts w:ascii="Book Antiqua" w:hAnsi="Book Antiqua"/>
        </w:rPr>
        <w:t xml:space="preserve"> </w:t>
      </w:r>
      <w:r>
        <w:rPr>
          <w:rFonts w:ascii="Book Antiqua" w:hAnsi="Book Antiqua"/>
          <w:b/>
          <w:bCs/>
        </w:rPr>
        <w:t>Holland WL</w:t>
      </w:r>
      <w:r>
        <w:rPr>
          <w:rFonts w:ascii="Book Antiqua" w:hAnsi="Book Antiqua"/>
        </w:rPr>
        <w:t xml:space="preserve">, Summers SA. Sphingolipids, insulin resistance, and metabolic disease: new insights from in vivo manipulation of sphingolipid metabolism. </w:t>
      </w:r>
      <w:r>
        <w:rPr>
          <w:rFonts w:ascii="Book Antiqua" w:hAnsi="Book Antiqua"/>
          <w:i/>
          <w:iCs/>
        </w:rPr>
        <w:t>Endocr Rev</w:t>
      </w:r>
      <w:r>
        <w:rPr>
          <w:rFonts w:ascii="Book Antiqua" w:hAnsi="Book Antiqua"/>
        </w:rPr>
        <w:t xml:space="preserve"> 2008; </w:t>
      </w:r>
      <w:r>
        <w:rPr>
          <w:rFonts w:ascii="Book Antiqua" w:hAnsi="Book Antiqua"/>
          <w:b/>
          <w:bCs/>
        </w:rPr>
        <w:t>29</w:t>
      </w:r>
      <w:r>
        <w:rPr>
          <w:rFonts w:ascii="Book Antiqua" w:hAnsi="Book Antiqua"/>
        </w:rPr>
        <w:t>: 381-402 [PMID: 18451260 DOI: 10.1210/er.2007-0025]</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Fonts w:hint="eastAsia" w:ascii="Book Antiqua" w:hAnsi="Book Antiqua"/>
        </w:rPr>
        <w:t>3</w:t>
      </w:r>
      <w:r>
        <w:rPr>
          <w:rFonts w:ascii="Book Antiqua" w:hAnsi="Book Antiqua"/>
        </w:rPr>
        <w:t xml:space="preserve"> </w:t>
      </w:r>
      <w:r>
        <w:rPr>
          <w:rFonts w:ascii="Book Antiqua" w:hAnsi="Book Antiqua"/>
          <w:b/>
          <w:bCs/>
        </w:rPr>
        <w:t>Marí M</w:t>
      </w:r>
      <w:r>
        <w:rPr>
          <w:rFonts w:ascii="Book Antiqua" w:hAnsi="Book Antiqua"/>
        </w:rPr>
        <w:t xml:space="preserve">, Colell A, Morales A, Caballero F, Moles A, Fernández A, Terrones O, Basañez G, Antonsson B, García-Ruiz C, Fernández-Checa JC. Mechanism of mitochondrial glutathione-dependent hepatocellular susceptibility to TNF despite NF-kappaB activation. </w:t>
      </w:r>
      <w:r>
        <w:rPr>
          <w:rFonts w:ascii="Book Antiqua" w:hAnsi="Book Antiqua"/>
          <w:i/>
          <w:iCs/>
        </w:rPr>
        <w:t>Gastroenterology</w:t>
      </w:r>
      <w:r>
        <w:rPr>
          <w:rFonts w:ascii="Book Antiqua" w:hAnsi="Book Antiqua"/>
        </w:rPr>
        <w:t xml:space="preserve"> 2008; </w:t>
      </w:r>
      <w:r>
        <w:rPr>
          <w:rFonts w:ascii="Book Antiqua" w:hAnsi="Book Antiqua"/>
          <w:b/>
          <w:bCs/>
        </w:rPr>
        <w:t>134</w:t>
      </w:r>
      <w:r>
        <w:rPr>
          <w:rFonts w:ascii="Book Antiqua" w:hAnsi="Book Antiqua"/>
        </w:rPr>
        <w:t>: 1507-1520 [PMID: 18343380 DOI: 10.1053/j.gastro.2008.01.073]</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Fonts w:hint="eastAsia" w:ascii="Book Antiqua" w:hAnsi="Book Antiqua"/>
        </w:rPr>
        <w:t>4</w:t>
      </w:r>
      <w:r>
        <w:rPr>
          <w:rFonts w:ascii="Book Antiqua" w:hAnsi="Book Antiqua"/>
        </w:rPr>
        <w:t xml:space="preserve"> </w:t>
      </w:r>
      <w:r>
        <w:rPr>
          <w:rFonts w:ascii="Book Antiqua" w:hAnsi="Book Antiqua"/>
          <w:b/>
          <w:bCs/>
        </w:rPr>
        <w:t>Moles A</w:t>
      </w:r>
      <w:r>
        <w:rPr>
          <w:rFonts w:ascii="Book Antiqua" w:hAnsi="Book Antiqua"/>
        </w:rPr>
        <w:t xml:space="preserve">, Tarrats N, Morales A, Domínguez M, Bataller R, Caballería J, García-Ruiz C, Fernández-Checa JC, Marí M. Acidic sphingomyelinase controls hepatic stellate cell activation and in vivo liver fibrogenesis. </w:t>
      </w:r>
      <w:r>
        <w:rPr>
          <w:rFonts w:ascii="Book Antiqua" w:hAnsi="Book Antiqua"/>
          <w:i/>
          <w:iCs/>
        </w:rPr>
        <w:t>Am J Pathol</w:t>
      </w:r>
      <w:r>
        <w:rPr>
          <w:rFonts w:ascii="Book Antiqua" w:hAnsi="Book Antiqua"/>
        </w:rPr>
        <w:t xml:space="preserve"> 2010; </w:t>
      </w:r>
      <w:r>
        <w:rPr>
          <w:rFonts w:ascii="Book Antiqua" w:hAnsi="Book Antiqua"/>
          <w:b/>
          <w:bCs/>
        </w:rPr>
        <w:t>177</w:t>
      </w:r>
      <w:r>
        <w:rPr>
          <w:rFonts w:ascii="Book Antiqua" w:hAnsi="Book Antiqua"/>
        </w:rPr>
        <w:t>: 1214-1224 [PMID: 20651240 DOI: 10.2353/ajpath.2010.091257]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Fonts w:hint="eastAsia" w:ascii="Book Antiqua" w:hAnsi="Book Antiqua"/>
        </w:rPr>
        <w:t>5</w:t>
      </w:r>
      <w:r>
        <w:rPr>
          <w:rFonts w:ascii="Book Antiqua" w:hAnsi="Book Antiqua"/>
        </w:rPr>
        <w:t xml:space="preserve"> </w:t>
      </w:r>
      <w:r>
        <w:rPr>
          <w:rFonts w:ascii="Book Antiqua" w:hAnsi="Book Antiqua"/>
          <w:b/>
          <w:bCs/>
        </w:rPr>
        <w:t>Marzuillo P</w:t>
      </w:r>
      <w:r>
        <w:rPr>
          <w:rFonts w:ascii="Book Antiqua" w:hAnsi="Book Antiqua"/>
        </w:rPr>
        <w:t xml:space="preserve">, Grandone A, Perrone L, Miraglia Del Giudice E. Controversy in the diagnosis of pediatric non-alcoholic fatty liver disease.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6444-6450 [PMID: 26074683 DOI: 10.3748/wjg.v21.i21.6444]</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Fonts w:hint="eastAsia" w:ascii="Book Antiqua" w:hAnsi="Book Antiqua"/>
        </w:rPr>
        <w:t>6</w:t>
      </w:r>
      <w:r>
        <w:rPr>
          <w:rFonts w:ascii="Book Antiqua" w:hAnsi="Book Antiqua"/>
        </w:rPr>
        <w:t xml:space="preserve"> </w:t>
      </w:r>
      <w:r>
        <w:rPr>
          <w:rFonts w:ascii="Book Antiqua" w:hAnsi="Book Antiqua"/>
          <w:b/>
          <w:bCs/>
        </w:rPr>
        <w:t>Kang SH</w:t>
      </w:r>
      <w:r>
        <w:rPr>
          <w:rFonts w:ascii="Book Antiqua" w:hAnsi="Book Antiqua"/>
        </w:rPr>
        <w:t xml:space="preserve">, Cho Y, Jeong SW, Kim SU, Lee JW; Korean NAFLD Study Group. From nonalcoholic fatty liver disease to metabolic-associated fatty liver disease: Big wave or ripple? </w:t>
      </w:r>
      <w:r>
        <w:rPr>
          <w:rFonts w:ascii="Book Antiqua" w:hAnsi="Book Antiqua"/>
          <w:i/>
          <w:iCs/>
        </w:rPr>
        <w:t>Clin Mol Hepatol</w:t>
      </w:r>
      <w:r>
        <w:rPr>
          <w:rFonts w:ascii="Book Antiqua" w:hAnsi="Book Antiqua"/>
        </w:rPr>
        <w:t xml:space="preserve"> 2021; </w:t>
      </w:r>
      <w:r>
        <w:rPr>
          <w:rFonts w:ascii="Book Antiqua" w:hAnsi="Book Antiqua"/>
          <w:b/>
          <w:bCs/>
        </w:rPr>
        <w:t>27</w:t>
      </w:r>
      <w:r>
        <w:rPr>
          <w:rFonts w:ascii="Book Antiqua" w:hAnsi="Book Antiqua"/>
        </w:rPr>
        <w:t>: 257-269 [PMID: 33751877 DOI: 10.3350/cmh.2021.0067]</w:t>
      </w:r>
    </w:p>
    <w:p>
      <w:pPr>
        <w:pStyle w:val="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Fonts w:hint="eastAsia" w:ascii="Book Antiqua" w:hAnsi="Book Antiqua"/>
        </w:rPr>
        <w:t>7</w:t>
      </w:r>
      <w:r>
        <w:rPr>
          <w:rFonts w:ascii="Book Antiqua" w:hAnsi="Book Antiqua"/>
        </w:rPr>
        <w:t xml:space="preserve"> </w:t>
      </w:r>
      <w:r>
        <w:rPr>
          <w:rFonts w:ascii="Book Antiqua" w:hAnsi="Book Antiqua"/>
          <w:b/>
          <w:bCs/>
        </w:rPr>
        <w:t>Di Sessa A</w:t>
      </w:r>
      <w:r>
        <w:rPr>
          <w:rFonts w:ascii="Book Antiqua" w:hAnsi="Book Antiqua"/>
        </w:rPr>
        <w:t xml:space="preserve">, Guarino S, Umano GR, Arenella M, Alfiero S, Quaranta G, Miraglia Del Giudice E, Marzuillo P. MAFLD in Obese Children: A Challenging Definition. </w:t>
      </w:r>
      <w:r>
        <w:rPr>
          <w:rFonts w:ascii="Book Antiqua" w:hAnsi="Book Antiqua"/>
          <w:i/>
          <w:iCs/>
        </w:rPr>
        <w:t>Children (Basel)</w:t>
      </w:r>
      <w:r>
        <w:rPr>
          <w:rFonts w:ascii="Book Antiqua" w:hAnsi="Book Antiqua"/>
        </w:rPr>
        <w:t xml:space="preserve"> 2021; </w:t>
      </w:r>
      <w:r>
        <w:rPr>
          <w:rFonts w:ascii="Book Antiqua" w:hAnsi="Book Antiqua"/>
          <w:b/>
          <w:bCs/>
        </w:rPr>
        <w:t>8</w:t>
      </w:r>
      <w:r>
        <w:rPr>
          <w:rFonts w:ascii="Book Antiqua" w:hAnsi="Book Antiqua"/>
        </w:rPr>
        <w:t xml:space="preserve"> [</w:t>
      </w:r>
      <w:bookmarkStart w:id="77" w:name="OLE_LINK450"/>
      <w:bookmarkStart w:id="78" w:name="OLE_LINK449"/>
      <w:r>
        <w:rPr>
          <w:rFonts w:ascii="Book Antiqua" w:hAnsi="Book Antiqua"/>
        </w:rPr>
        <w:t>PMID</w:t>
      </w:r>
      <w:bookmarkEnd w:id="77"/>
      <w:bookmarkEnd w:id="78"/>
      <w:r>
        <w:rPr>
          <w:rFonts w:ascii="Book Antiqua" w:hAnsi="Book Antiqua"/>
        </w:rPr>
        <w:t>: 33806784 DOI: 10.3390/children8030247]</w:t>
      </w:r>
      <w:bookmarkEnd w:id="64"/>
    </w:p>
    <w:bookmarkEnd w:id="65"/>
    <w:bookmarkEnd w:id="66"/>
    <w:bookmarkEnd w:id="67"/>
    <w:bookmarkEnd w:id="68"/>
    <w:p>
      <w:pPr>
        <w:spacing w:line="360" w:lineRule="auto"/>
        <w:jc w:val="both"/>
        <w:rPr>
          <w:lang w:eastAsia="zh-CN"/>
        </w:rPr>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b/>
          <w:color w:val="000000"/>
        </w:rPr>
        <w:t xml:space="preserve">Conflict-of-interest statement: </w:t>
      </w:r>
      <w:r>
        <w:rPr>
          <w:rFonts w:ascii="Book Antiqua" w:hAnsi="Book Antiqua" w:eastAsia="Book Antiqua" w:cs="Book Antiqua"/>
          <w:color w:val="000000"/>
          <w:shd w:val="clear" w:color="auto" w:fill="FFFFFF"/>
        </w:rPr>
        <w:t>There is no conflict of interest.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June 30,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30, 2021</w:t>
      </w:r>
    </w:p>
    <w:p>
      <w:pPr>
        <w:spacing w:line="360" w:lineRule="auto"/>
        <w:jc w:val="both"/>
        <w:rPr>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2,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Pediatrics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Zhou J</w:t>
      </w:r>
      <w:r>
        <w:rPr>
          <w:rFonts w:hint="eastAsia" w:ascii="Book Antiqua" w:hAnsi="Book Antiqua" w:cs="Book Antiqua"/>
          <w:color w:val="000000"/>
          <w:lang w:eastAsia="zh-CN"/>
        </w:rPr>
        <w:t xml:space="preserve">, </w:t>
      </w:r>
      <w:r>
        <w:rPr>
          <w:rFonts w:ascii="Book Antiqua" w:hAnsi="Book Antiqua" w:cs="Book Antiqua"/>
          <w:color w:val="000000"/>
          <w:lang w:eastAsia="zh-CN"/>
        </w:rPr>
        <w:t>Singapore</w:t>
      </w:r>
      <w:r>
        <w:rPr>
          <w:rFonts w:ascii="Book Antiqua" w:hAnsi="Book Antiqua" w:eastAsia="Book Antiqua" w:cs="Book Antiqua"/>
          <w:b/>
          <w:color w:val="000000"/>
        </w:rPr>
        <w:t xml:space="preserve"> S-Editor: </w:t>
      </w:r>
      <w:bookmarkStart w:id="79" w:name="OLE_LINK451"/>
      <w:bookmarkStart w:id="80" w:name="OLE_LINK452"/>
      <w:r>
        <w:rPr>
          <w:rFonts w:ascii="Book Antiqua" w:hAnsi="Book Antiqua" w:eastAsia="Book Antiqua" w:cs="Book Antiqua"/>
          <w:color w:val="000000"/>
        </w:rPr>
        <w:t>Zhang H</w:t>
      </w:r>
      <w:bookmarkEnd w:id="79"/>
      <w:bookmarkEnd w:id="80"/>
      <w:r>
        <w:rPr>
          <w:rFonts w:ascii="Book Antiqua" w:hAnsi="Book Antiqua" w:eastAsia="Book Antiqua" w:cs="Book Antiqua"/>
          <w:b/>
          <w:color w:val="000000"/>
        </w:rPr>
        <w:t xml:space="preserve"> L-Editor: </w:t>
      </w:r>
      <w:r>
        <w:rPr>
          <w:rFonts w:ascii="Book Antiqua" w:hAnsi="Book Antiqua" w:eastAsia="Book Antiqua" w:cs="Book Antiqua"/>
          <w:color w:val="000000"/>
        </w:rPr>
        <w:t xml:space="preserve">Webster JR </w:t>
      </w:r>
      <w:r>
        <w:rPr>
          <w:rFonts w:ascii="Book Antiqua" w:hAnsi="Book Antiqua" w:eastAsia="Book Antiqua" w:cs="Book Antiqua"/>
          <w:b/>
          <w:color w:val="000000"/>
        </w:rPr>
        <w:t xml:space="preserve">P-Editor: </w:t>
      </w:r>
      <w:r>
        <w:rPr>
          <w:rFonts w:ascii="Book Antiqua" w:hAnsi="Book Antiqua" w:eastAsia="Book Antiqua" w:cs="Book Antiqua"/>
          <w:color w:val="000000"/>
        </w:rPr>
        <w:t>Zhang H</w:t>
      </w:r>
      <w:r>
        <w:rPr>
          <w:rFonts w:ascii="Book Antiqua" w:hAnsi="Book Antiqua" w:cs="Book Antiqua"/>
          <w:b/>
          <w:color w:val="000000"/>
          <w:lang w:eastAsia="zh-CN"/>
        </w:rPr>
        <w:br w:type="page"/>
      </w:r>
    </w:p>
    <w:p>
      <w:pPr>
        <w:spacing w:line="360" w:lineRule="auto"/>
        <w:jc w:val="both"/>
        <w:rPr>
          <w:rFonts w:ascii="Book Antiqua" w:hAnsi="Book Antiqua" w:eastAsia="Book Antiqua" w:cs="Book Antiqua"/>
          <w:b/>
          <w:color w:val="000000"/>
        </w:rPr>
      </w:pPr>
      <w:r>
        <w:rPr>
          <w:rFonts w:hint="eastAsia" w:ascii="Book Antiqua" w:hAnsi="Book Antiqua" w:cs="Book Antiqua"/>
          <w:b/>
          <w:color w:val="000000"/>
          <w:lang w:eastAsia="zh-CN"/>
        </w:rPr>
        <w:t>Figure Legends</w:t>
      </w:r>
    </w:p>
    <w:p>
      <w:pPr>
        <w:spacing w:line="360" w:lineRule="auto"/>
        <w:jc w:val="both"/>
        <w:rPr>
          <w:rFonts w:ascii="Book Antiqua" w:hAnsi="Book Antiqua"/>
          <w:b/>
          <w:bCs/>
          <w:lang w:val="it-IT" w:eastAsia="zh-CN"/>
        </w:rPr>
      </w:pPr>
      <w:r>
        <w:rPr>
          <w:rFonts w:ascii="Book Antiqua" w:hAnsi="Book Antiqua"/>
          <w:b/>
          <w:bCs/>
          <w:lang w:eastAsia="zh-CN"/>
        </w:rPr>
        <w:drawing>
          <wp:inline distT="0" distB="0" distL="0" distR="0">
            <wp:extent cx="4191000" cy="24079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009" cy="2407925"/>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b/>
          <w:bCs/>
          <w:lang w:val="it-IT" w:eastAsia="zh-CN"/>
        </w:rPr>
        <w:t xml:space="preserve">Figure </w:t>
      </w:r>
      <w:r>
        <w:rPr>
          <w:rFonts w:hint="eastAsia" w:ascii="Book Antiqua" w:hAnsi="Book Antiqua"/>
          <w:b/>
          <w:bCs/>
          <w:lang w:val="it-IT" w:eastAsia="zh-CN"/>
        </w:rPr>
        <w:t>1</w:t>
      </w:r>
      <w:r>
        <w:rPr>
          <w:rFonts w:ascii="Book Antiqua" w:hAnsi="Book Antiqua"/>
          <w:b/>
          <w:bCs/>
          <w:lang w:val="it-IT" w:eastAsia="zh-CN"/>
        </w:rPr>
        <w:t xml:space="preserve"> </w:t>
      </w:r>
      <w:bookmarkStart w:id="81" w:name="OLE_LINK460"/>
      <w:bookmarkStart w:id="82" w:name="OLE_LINK459"/>
      <w:r>
        <w:rPr>
          <w:rFonts w:ascii="Book Antiqua" w:hAnsi="Book Antiqua"/>
          <w:b/>
          <w:bCs/>
          <w:lang w:val="it-IT" w:eastAsia="zh-CN"/>
        </w:rPr>
        <w:t xml:space="preserve">The role of the gut-liver axis in </w:t>
      </w:r>
      <w:r>
        <w:rPr>
          <w:rFonts w:ascii="Book Antiqua" w:hAnsi="Book Antiqua"/>
          <w:b/>
          <w:lang w:eastAsia="zh-CN"/>
        </w:rPr>
        <w:t>non-alcoholic fatty liver disease</w:t>
      </w:r>
      <w:r>
        <w:rPr>
          <w:rFonts w:ascii="Book Antiqua" w:hAnsi="Book Antiqua"/>
          <w:b/>
          <w:bCs/>
          <w:lang w:val="it-IT" w:eastAsia="zh-CN"/>
        </w:rPr>
        <w:t xml:space="preserve">. </w:t>
      </w:r>
      <w:bookmarkEnd w:id="81"/>
      <w:bookmarkEnd w:id="82"/>
      <w:r>
        <w:rPr>
          <w:rFonts w:ascii="Book Antiqua" w:hAnsi="Book Antiqua"/>
          <w:bCs/>
          <w:lang w:val="it-IT" w:eastAsia="zh-CN"/>
        </w:rPr>
        <w:t>A:</w:t>
      </w:r>
      <w:r>
        <w:rPr>
          <w:rFonts w:ascii="Book Antiqua" w:hAnsi="Book Antiqua"/>
          <w:b/>
          <w:bCs/>
          <w:lang w:val="it-IT" w:eastAsia="zh-CN"/>
        </w:rPr>
        <w:t xml:space="preserve"> </w:t>
      </w:r>
      <w:r>
        <w:rPr>
          <w:rFonts w:ascii="Book Antiqua" w:hAnsi="Book Antiqua"/>
          <w:lang w:eastAsia="zh-CN"/>
        </w:rPr>
        <w:t>In healthy patients, the liver through the transport of bile salts and antimicrobial molecules to the intestinal lumen contributes to the maintenance of gut eubiosis. Conversely, the gut regulates bile acids (BAs) composition. BAs using farnesoid X receptor in the enterocytes and G protein-coupled bile acid receptor 1 are involved in the regulation of glucose and lipid metabolism, anti-inflammatory immune responses and host energy expenditure</w:t>
      </w:r>
      <w:r>
        <w:rPr>
          <w:rFonts w:hint="eastAsia" w:ascii="Book Antiqua" w:hAnsi="Book Antiqua"/>
          <w:lang w:eastAsia="zh-CN"/>
        </w:rPr>
        <w:t>;</w:t>
      </w:r>
      <w:r>
        <w:rPr>
          <w:rFonts w:ascii="Book Antiqua" w:hAnsi="Book Antiqua"/>
          <w:lang w:eastAsia="zh-CN"/>
        </w:rPr>
        <w:t xml:space="preserve"> </w:t>
      </w:r>
      <w:r>
        <w:rPr>
          <w:rFonts w:ascii="Book Antiqua" w:hAnsi="Book Antiqua"/>
          <w:bCs/>
          <w:lang w:eastAsia="zh-CN"/>
        </w:rPr>
        <w:t>B</w:t>
      </w:r>
      <w:r>
        <w:rPr>
          <w:rFonts w:ascii="Book Antiqua" w:hAnsi="Book Antiqua"/>
          <w:lang w:eastAsia="zh-CN"/>
        </w:rPr>
        <w:t xml:space="preserve">: In subjects with non-alcoholic fatty liver disease, altered gut microbial composition (dysbiosis), small intestinal bacterial overgrowth, and increased intestinal permeability (resulting from different factors including high-fat Western diet, genetic, inflammation) promote the influx of microbial-associated molecular patterns or pathogen-associated molecular patterns into the portal system reaching the liver. These molecular patterns are able to induce inflammatory responses mediated by the activation of pattern recognition receptors, like </w:t>
      </w:r>
      <w:r>
        <w:rPr>
          <w:rFonts w:hint="eastAsia" w:ascii="Book Antiqua" w:hAnsi="Book Antiqua"/>
          <w:lang w:eastAsia="zh-CN"/>
        </w:rPr>
        <w:t>t</w:t>
      </w:r>
      <w:r>
        <w:rPr>
          <w:rFonts w:ascii="Book Antiqua" w:hAnsi="Book Antiqua"/>
          <w:lang w:eastAsia="zh-CN"/>
        </w:rPr>
        <w:t xml:space="preserve">oll-like receptor, in Kupffer cells and hepatic stellate cells, leading to liver inflammation and fibrosis. </w:t>
      </w:r>
    </w:p>
    <w:p>
      <w:pPr>
        <w:spacing w:line="360" w:lineRule="auto"/>
        <w:jc w:val="both"/>
        <w:rPr>
          <w:rFonts w:ascii="Book Antiqua" w:hAnsi="Book Antiqua" w:cs="Book Antiqua"/>
          <w:b/>
          <w:color w:val="000000"/>
          <w:lang w:eastAsia="zh-CN"/>
        </w:rPr>
      </w:pPr>
      <w:r>
        <w:rPr>
          <w:rFonts w:ascii="Book Antiqua" w:hAnsi="Book Antiqua"/>
          <w:lang w:eastAsia="zh-CN"/>
        </w:rPr>
        <w:br w:type="page"/>
      </w:r>
    </w:p>
    <w:p>
      <w:pPr>
        <w:spacing w:line="360" w:lineRule="auto"/>
        <w:jc w:val="both"/>
        <w:rPr>
          <w:lang w:eastAsia="zh-CN"/>
        </w:rPr>
      </w:pPr>
      <w:r>
        <w:rPr>
          <w:lang w:eastAsia="zh-CN"/>
        </w:rPr>
        <w:drawing>
          <wp:inline distT="0" distB="0" distL="0" distR="0">
            <wp:extent cx="5071745" cy="302641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71882" cy="3026670"/>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b/>
          <w:lang w:eastAsia="zh-CN"/>
        </w:rPr>
        <w:t xml:space="preserve">Figure </w:t>
      </w:r>
      <w:bookmarkStart w:id="83" w:name="OLE_LINK458"/>
      <w:bookmarkStart w:id="84" w:name="OLE_LINK456"/>
      <w:bookmarkStart w:id="85" w:name="OLE_LINK455"/>
      <w:bookmarkStart w:id="86" w:name="OLE_LINK457"/>
      <w:r>
        <w:rPr>
          <w:rFonts w:hint="eastAsia" w:ascii="Book Antiqua" w:hAnsi="Book Antiqua"/>
          <w:b/>
          <w:lang w:eastAsia="zh-CN"/>
        </w:rPr>
        <w:t>2</w:t>
      </w:r>
      <w:r>
        <w:rPr>
          <w:rFonts w:ascii="Book Antiqua" w:hAnsi="Book Antiqua"/>
          <w:b/>
          <w:lang w:eastAsia="zh-CN"/>
        </w:rPr>
        <w:t xml:space="preserve"> Main changes in hepatic lipid composition in </w:t>
      </w:r>
      <w:bookmarkStart w:id="87" w:name="OLE_LINK19"/>
      <w:bookmarkStart w:id="88" w:name="OLE_LINK20"/>
      <w:r>
        <w:rPr>
          <w:rFonts w:ascii="Book Antiqua" w:hAnsi="Book Antiqua"/>
          <w:b/>
          <w:lang w:eastAsia="zh-CN"/>
        </w:rPr>
        <w:t>non-alcoholic fatty liver disease</w:t>
      </w:r>
      <w:bookmarkEnd w:id="87"/>
      <w:bookmarkEnd w:id="88"/>
      <w:r>
        <w:rPr>
          <w:rFonts w:ascii="Book Antiqua" w:hAnsi="Book Antiqua"/>
          <w:b/>
          <w:lang w:eastAsia="zh-CN"/>
        </w:rPr>
        <w:t>.</w:t>
      </w:r>
      <w:bookmarkEnd w:id="83"/>
      <w:bookmarkEnd w:id="84"/>
      <w:bookmarkEnd w:id="85"/>
      <w:bookmarkEnd w:id="86"/>
      <w:r>
        <w:rPr>
          <w:rFonts w:ascii="Book Antiqua" w:hAnsi="Book Antiqua"/>
          <w:lang w:eastAsia="zh-CN"/>
        </w:rPr>
        <w:t xml:space="preserve"> In </w:t>
      </w:r>
      <w:r>
        <w:rPr>
          <w:rFonts w:ascii="Book Antiqua" w:hAnsi="Book Antiqua" w:eastAsia="Book Antiqua" w:cs="Book Antiqua"/>
          <w:color w:val="000000"/>
        </w:rPr>
        <w:t>non</w:t>
      </w:r>
      <w:r>
        <w:rPr>
          <w:rFonts w:ascii="Book Antiqua" w:hAnsi="Book Antiqua" w:cs="Book Antiqua"/>
          <w:color w:val="000000"/>
          <w:lang w:eastAsia="zh-CN"/>
        </w:rPr>
        <w:t>-</w:t>
      </w:r>
      <w:r>
        <w:rPr>
          <w:rFonts w:ascii="Book Antiqua" w:hAnsi="Book Antiqua" w:eastAsia="Book Antiqua" w:cs="Book Antiqua"/>
          <w:color w:val="000000"/>
        </w:rPr>
        <w:t>alcoholic fatty liver disease</w:t>
      </w:r>
      <w:r>
        <w:rPr>
          <w:rFonts w:ascii="Book Antiqua" w:hAnsi="Book Antiqua"/>
          <w:lang w:eastAsia="zh-CN"/>
        </w:rPr>
        <w:t xml:space="preserve"> subjects, hepatic concentrations of triacylglycerols, saturated fatty acids, free cholesterol, sphingolipids, glycerophospholipids and eicosanoids are increased, whereas ω-3 </w:t>
      </w:r>
      <w:bookmarkStart w:id="89" w:name="OLE_LINK17"/>
      <w:bookmarkStart w:id="90" w:name="OLE_LINK18"/>
      <w:r>
        <w:rPr>
          <w:rFonts w:ascii="Book Antiqua" w:hAnsi="Book Antiqua"/>
          <w:lang w:eastAsia="zh-CN"/>
        </w:rPr>
        <w:t xml:space="preserve">polyunsaturated fatty acids </w:t>
      </w:r>
      <w:r>
        <w:rPr>
          <w:rFonts w:hint="eastAsia" w:ascii="Book Antiqua" w:hAnsi="Book Antiqua"/>
          <w:lang w:eastAsia="zh-CN"/>
        </w:rPr>
        <w:t>(</w:t>
      </w:r>
      <w:r>
        <w:rPr>
          <w:rFonts w:ascii="Book Antiqua" w:hAnsi="Book Antiqua"/>
          <w:lang w:eastAsia="zh-CN"/>
        </w:rPr>
        <w:t>PUFAs</w:t>
      </w:r>
      <w:r>
        <w:rPr>
          <w:rFonts w:hint="eastAsia" w:ascii="Book Antiqua" w:hAnsi="Book Antiqua"/>
          <w:lang w:eastAsia="zh-CN"/>
        </w:rPr>
        <w:t>)</w:t>
      </w:r>
      <w:r>
        <w:rPr>
          <w:rFonts w:ascii="Book Antiqua" w:hAnsi="Book Antiqua"/>
          <w:lang w:eastAsia="zh-CN"/>
        </w:rPr>
        <w:t xml:space="preserve"> </w:t>
      </w:r>
      <w:bookmarkEnd w:id="89"/>
      <w:bookmarkEnd w:id="90"/>
      <w:r>
        <w:rPr>
          <w:rFonts w:ascii="Book Antiqua" w:hAnsi="Book Antiqua"/>
          <w:lang w:eastAsia="zh-CN"/>
        </w:rPr>
        <w:t>and specialized proresolving mediators of PUFAs are decreased. Monounsaturated fatty acids, lysophosphatidylcholine and ceramide are also increased in the liver of these subjects.</w:t>
      </w:r>
    </w:p>
    <w:p>
      <w:pPr>
        <w:spacing w:line="360" w:lineRule="auto"/>
        <w:jc w:val="both"/>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b/>
          <w:lang w:eastAsia="zh-CN"/>
        </w:rPr>
      </w:pPr>
      <w:bookmarkStart w:id="91" w:name="OLE_LINK468"/>
      <w:bookmarkStart w:id="92" w:name="OLE_LINK467"/>
      <w:r>
        <w:rPr>
          <w:rFonts w:ascii="Book Antiqua" w:hAnsi="Book Antiqua"/>
          <w:b/>
          <w:lang w:eastAsia="zh-CN"/>
        </w:rPr>
        <w:t xml:space="preserve">Table </w:t>
      </w:r>
      <w:r>
        <w:rPr>
          <w:rFonts w:hint="eastAsia" w:ascii="Book Antiqua" w:hAnsi="Book Antiqua"/>
          <w:b/>
          <w:lang w:eastAsia="zh-CN"/>
        </w:rPr>
        <w:t>1</w:t>
      </w:r>
      <w:r>
        <w:rPr>
          <w:rFonts w:ascii="Book Antiqua" w:hAnsi="Book Antiqua"/>
          <w:b/>
          <w:lang w:eastAsia="zh-CN"/>
        </w:rPr>
        <w:t xml:space="preserve"> Main genes and changes in methylation found in human epigenomics studies in </w:t>
      </w:r>
      <w:r>
        <w:rPr>
          <w:rFonts w:hint="eastAsia" w:ascii="Book Antiqua" w:hAnsi="Book Antiqua"/>
          <w:b/>
          <w:lang w:eastAsia="zh-CN"/>
        </w:rPr>
        <w:t>n</w:t>
      </w:r>
      <w:r>
        <w:rPr>
          <w:rFonts w:ascii="Book Antiqua" w:hAnsi="Book Antiqua"/>
          <w:b/>
          <w:lang w:eastAsia="zh-CN"/>
        </w:rPr>
        <w:t>on-alcoholic fatty liver disease</w:t>
      </w:r>
    </w:p>
    <w:bookmarkEnd w:id="91"/>
    <w:bookmarkEnd w:id="92"/>
    <w:tbl>
      <w:tblPr>
        <w:tblStyle w:val="10"/>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4"/>
        <w:gridCol w:w="2394"/>
        <w:gridCol w:w="2394"/>
        <w:gridCol w:w="239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bottom w:val="single" w:color="auto" w:sz="4" w:space="0"/>
            </w:tcBorders>
          </w:tcPr>
          <w:p>
            <w:pPr>
              <w:adjustRightInd w:val="0"/>
              <w:snapToGrid w:val="0"/>
              <w:spacing w:line="360" w:lineRule="auto"/>
              <w:jc w:val="both"/>
              <w:rPr>
                <w:rFonts w:ascii="Book Antiqua" w:hAnsi="Book Antiqua"/>
                <w:b/>
                <w:lang w:eastAsia="zh-CN"/>
              </w:rPr>
            </w:pPr>
            <w:r>
              <w:rPr>
                <w:rFonts w:ascii="Book Antiqua" w:hAnsi="Book Antiqua"/>
                <w:b/>
              </w:rPr>
              <w:t>Gene</w:t>
            </w:r>
          </w:p>
        </w:tc>
        <w:tc>
          <w:tcPr>
            <w:tcW w:w="1250" w:type="pct"/>
            <w:tcBorders>
              <w:top w:val="single" w:color="auto" w:sz="4" w:space="0"/>
              <w:bottom w:val="single" w:color="auto" w:sz="4" w:space="0"/>
            </w:tcBorders>
          </w:tcPr>
          <w:p>
            <w:pPr>
              <w:adjustRightInd w:val="0"/>
              <w:snapToGrid w:val="0"/>
              <w:spacing w:line="360" w:lineRule="auto"/>
              <w:jc w:val="both"/>
              <w:rPr>
                <w:rFonts w:ascii="Book Antiqua" w:hAnsi="Book Antiqua"/>
                <w:b/>
                <w:lang w:eastAsia="zh-CN"/>
              </w:rPr>
            </w:pPr>
            <w:r>
              <w:rPr>
                <w:rFonts w:ascii="Book Antiqua" w:hAnsi="Book Antiqua"/>
                <w:b/>
              </w:rPr>
              <w:t>Changes</w:t>
            </w:r>
          </w:p>
        </w:tc>
        <w:tc>
          <w:tcPr>
            <w:tcW w:w="1250" w:type="pct"/>
            <w:tcBorders>
              <w:top w:val="single" w:color="auto" w:sz="4" w:space="0"/>
              <w:bottom w:val="single" w:color="auto" w:sz="4" w:space="0"/>
            </w:tcBorders>
          </w:tcPr>
          <w:p>
            <w:pPr>
              <w:adjustRightInd w:val="0"/>
              <w:snapToGrid w:val="0"/>
              <w:spacing w:line="360" w:lineRule="auto"/>
              <w:jc w:val="both"/>
              <w:rPr>
                <w:rFonts w:ascii="Book Antiqua" w:hAnsi="Book Antiqua"/>
                <w:b/>
                <w:lang w:eastAsia="zh-CN"/>
              </w:rPr>
            </w:pPr>
            <w:r>
              <w:rPr>
                <w:rFonts w:ascii="Book Antiqua" w:hAnsi="Book Antiqua"/>
                <w:b/>
              </w:rPr>
              <w:t>Methods</w:t>
            </w:r>
          </w:p>
        </w:tc>
        <w:tc>
          <w:tcPr>
            <w:tcW w:w="1250" w:type="pct"/>
            <w:tcBorders>
              <w:top w:val="single" w:color="auto" w:sz="4" w:space="0"/>
              <w:bottom w:val="single" w:color="auto" w:sz="4" w:space="0"/>
            </w:tcBorders>
          </w:tcPr>
          <w:p>
            <w:pPr>
              <w:adjustRightInd w:val="0"/>
              <w:snapToGrid w:val="0"/>
              <w:spacing w:line="360" w:lineRule="auto"/>
              <w:jc w:val="both"/>
              <w:rPr>
                <w:rFonts w:ascii="Book Antiqua" w:hAnsi="Book Antiqua"/>
                <w:b/>
                <w:lang w:eastAsia="zh-CN"/>
              </w:rPr>
            </w:pPr>
            <w:r>
              <w:rPr>
                <w:rFonts w:ascii="Book Antiqua" w:hAnsi="Book Antiqua"/>
                <w:b/>
                <w:lang w:eastAsia="zh-CN"/>
              </w:rPr>
              <w:t>Ref.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tcBorders>
          </w:tcPr>
          <w:p>
            <w:pPr>
              <w:adjustRightInd w:val="0"/>
              <w:snapToGrid w:val="0"/>
              <w:spacing w:line="360" w:lineRule="auto"/>
              <w:jc w:val="both"/>
              <w:rPr>
                <w:rFonts w:ascii="Book Antiqua" w:hAnsi="Book Antiqua"/>
                <w:b/>
                <w:i/>
                <w:lang w:eastAsia="zh-CN"/>
              </w:rPr>
            </w:pPr>
            <w:r>
              <w:rPr>
                <w:rFonts w:ascii="Book Antiqua" w:hAnsi="Book Antiqua"/>
                <w:i/>
              </w:rPr>
              <w:t>FGFR2</w:t>
            </w:r>
          </w:p>
        </w:tc>
        <w:tc>
          <w:tcPr>
            <w:tcW w:w="1250" w:type="pct"/>
            <w:tcBorders>
              <w:top w:val="single" w:color="auto" w:sz="4" w:space="0"/>
            </w:tcBorders>
          </w:tcPr>
          <w:p>
            <w:pPr>
              <w:adjustRightInd w:val="0"/>
              <w:snapToGrid w:val="0"/>
              <w:spacing w:line="360" w:lineRule="auto"/>
              <w:jc w:val="both"/>
              <w:rPr>
                <w:rFonts w:ascii="Book Antiqua" w:hAnsi="Book Antiqua"/>
                <w:b/>
                <w:lang w:eastAsia="zh-CN"/>
              </w:rPr>
            </w:pPr>
            <w:r>
              <w:rPr>
                <w:rFonts w:ascii="Book Antiqua" w:hAnsi="Book Antiqua"/>
                <w:lang w:eastAsia="zh-CN"/>
              </w:rPr>
              <w:t>H</w:t>
            </w:r>
            <w:r>
              <w:rPr>
                <w:rFonts w:ascii="Book Antiqua" w:hAnsi="Book Antiqua"/>
              </w:rPr>
              <w:t>ypomethylation</w:t>
            </w:r>
          </w:p>
        </w:tc>
        <w:tc>
          <w:tcPr>
            <w:tcW w:w="1250" w:type="pct"/>
            <w:tcBorders>
              <w:top w:val="single" w:color="auto" w:sz="4" w:space="0"/>
            </w:tcBorders>
          </w:tcPr>
          <w:p>
            <w:pPr>
              <w:adjustRightInd w:val="0"/>
              <w:snapToGrid w:val="0"/>
              <w:spacing w:line="360" w:lineRule="auto"/>
              <w:jc w:val="both"/>
              <w:rPr>
                <w:rFonts w:ascii="Book Antiqua" w:hAnsi="Book Antiqua"/>
                <w:b/>
                <w:lang w:eastAsia="zh-CN"/>
              </w:rPr>
            </w:pPr>
            <w:r>
              <w:rPr>
                <w:rFonts w:ascii="Book Antiqua" w:hAnsi="Book Antiqua"/>
              </w:rPr>
              <w:t>Bisulfite</w:t>
            </w:r>
            <w:r>
              <w:rPr>
                <w:rFonts w:ascii="Book Antiqua" w:hAnsi="Book Antiqua"/>
                <w:lang w:eastAsia="zh-CN"/>
              </w:rPr>
              <w:t xml:space="preserve"> </w:t>
            </w:r>
            <w:r>
              <w:rPr>
                <w:rFonts w:ascii="Book Antiqua" w:hAnsi="Book Antiqua"/>
              </w:rPr>
              <w:t>pyrosequencing</w:t>
            </w:r>
            <w:r>
              <w:rPr>
                <w:rFonts w:ascii="Book Antiqua" w:hAnsi="Book Antiqua"/>
                <w:lang w:eastAsia="zh-CN"/>
              </w:rPr>
              <w:t xml:space="preserve"> </w:t>
            </w:r>
            <w:r>
              <w:rPr>
                <w:rFonts w:ascii="Book Antiqua" w:hAnsi="Book Antiqua"/>
              </w:rPr>
              <w:t>and liver biopsy</w:t>
            </w:r>
          </w:p>
        </w:tc>
        <w:tc>
          <w:tcPr>
            <w:tcW w:w="1250" w:type="pct"/>
            <w:tcBorders>
              <w:top w:val="single" w:color="auto" w:sz="4" w:space="0"/>
            </w:tcBorders>
          </w:tcPr>
          <w:p>
            <w:pPr>
              <w:adjustRightInd w:val="0"/>
              <w:snapToGrid w:val="0"/>
              <w:spacing w:line="360" w:lineRule="auto"/>
              <w:jc w:val="both"/>
              <w:rPr>
                <w:rFonts w:ascii="Book Antiqua" w:hAnsi="Book Antiqua"/>
                <w:b/>
                <w:lang w:eastAsia="zh-CN"/>
              </w:rPr>
            </w:pPr>
            <w:r>
              <w:rPr>
                <w:rFonts w:ascii="Book Antiqua" w:hAnsi="Book Antiqua"/>
              </w:rPr>
              <w:t xml:space="preserve">Zhang </w:t>
            </w:r>
            <w:r>
              <w:rPr>
                <w:rFonts w:ascii="Book Antiqua" w:hAnsi="Book Antiqua"/>
                <w:i/>
              </w:rPr>
              <w:t>et al</w:t>
            </w:r>
            <w:r>
              <w:rPr>
                <w:rFonts w:ascii="Book Antiqua" w:hAnsi="Book Antiqua"/>
                <w:vertAlign w:val="superscript"/>
              </w:rPr>
              <w:t>[11</w:t>
            </w:r>
            <w:r>
              <w:rPr>
                <w:rFonts w:ascii="Book Antiqua" w:hAnsi="Book Antiqua"/>
                <w:vertAlign w:val="superscript"/>
                <w:lang w:eastAsia="zh-CN"/>
              </w:rPr>
              <w:t>2</w:t>
            </w:r>
            <w:r>
              <w:rPr>
                <w:rFonts w:ascii="Book Antiqua" w:hAnsi="Book Antiqua"/>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0" w:type="pct"/>
          </w:tcPr>
          <w:p>
            <w:pPr>
              <w:adjustRightInd w:val="0"/>
              <w:snapToGrid w:val="0"/>
              <w:spacing w:line="360" w:lineRule="auto"/>
              <w:jc w:val="both"/>
              <w:rPr>
                <w:rFonts w:ascii="Book Antiqua" w:hAnsi="Book Antiqua"/>
                <w:b/>
                <w:i/>
                <w:lang w:eastAsia="zh-CN"/>
              </w:rPr>
            </w:pPr>
            <w:r>
              <w:rPr>
                <w:rFonts w:ascii="Book Antiqua" w:hAnsi="Book Antiqua"/>
                <w:i/>
              </w:rPr>
              <w:t>MAT1A</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eastAsia="zh-CN"/>
              </w:rPr>
              <w:t>H</w:t>
            </w:r>
            <w:r>
              <w:rPr>
                <w:rFonts w:ascii="Book Antiqua" w:hAnsi="Book Antiqua"/>
              </w:rPr>
              <w:t>ypomethylation</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Bisulfite</w:t>
            </w:r>
            <w:r>
              <w:rPr>
                <w:rFonts w:ascii="Book Antiqua" w:hAnsi="Book Antiqua"/>
                <w:lang w:eastAsia="zh-CN"/>
              </w:rPr>
              <w:t xml:space="preserve"> </w:t>
            </w:r>
            <w:r>
              <w:rPr>
                <w:rFonts w:ascii="Book Antiqua" w:hAnsi="Book Antiqua"/>
              </w:rPr>
              <w:t>pyrosequencing</w:t>
            </w:r>
            <w:r>
              <w:rPr>
                <w:rFonts w:ascii="Book Antiqua" w:hAnsi="Book Antiqua"/>
                <w:lang w:eastAsia="zh-CN"/>
              </w:rPr>
              <w:t xml:space="preserve"> </w:t>
            </w:r>
            <w:r>
              <w:rPr>
                <w:rFonts w:ascii="Book Antiqua" w:hAnsi="Book Antiqua"/>
              </w:rPr>
              <w:t>and liver biopsy</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 xml:space="preserve">Zhang </w:t>
            </w:r>
            <w:r>
              <w:rPr>
                <w:rFonts w:ascii="Book Antiqua" w:hAnsi="Book Antiqua"/>
                <w:i/>
              </w:rPr>
              <w:t>et al</w:t>
            </w:r>
            <w:r>
              <w:rPr>
                <w:rFonts w:ascii="Book Antiqua" w:hAnsi="Book Antiqua"/>
                <w:vertAlign w:val="superscript"/>
              </w:rPr>
              <w:t>[11</w:t>
            </w:r>
            <w:r>
              <w:rPr>
                <w:rFonts w:ascii="Book Antiqua" w:hAnsi="Book Antiqua"/>
                <w:vertAlign w:val="superscript"/>
                <w:lang w:eastAsia="zh-CN"/>
              </w:rPr>
              <w:t>2</w:t>
            </w:r>
            <w:r>
              <w:rPr>
                <w:rFonts w:ascii="Book Antiqua" w:hAnsi="Book Antiqua"/>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0" w:type="pct"/>
          </w:tcPr>
          <w:p>
            <w:pPr>
              <w:adjustRightInd w:val="0"/>
              <w:snapToGrid w:val="0"/>
              <w:spacing w:line="360" w:lineRule="auto"/>
              <w:jc w:val="both"/>
              <w:rPr>
                <w:rFonts w:ascii="Book Antiqua" w:hAnsi="Book Antiqua"/>
                <w:b/>
                <w:i/>
                <w:lang w:eastAsia="zh-CN"/>
              </w:rPr>
            </w:pPr>
            <w:r>
              <w:rPr>
                <w:rFonts w:ascii="Book Antiqua" w:hAnsi="Book Antiqua"/>
                <w:i/>
              </w:rPr>
              <w:t>CASP1</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eastAsia="zh-CN"/>
              </w:rPr>
              <w:t>H</w:t>
            </w:r>
            <w:r>
              <w:rPr>
                <w:rFonts w:ascii="Book Antiqua" w:hAnsi="Book Antiqua"/>
              </w:rPr>
              <w:t>ypomethylation</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Bisulfite</w:t>
            </w:r>
            <w:r>
              <w:rPr>
                <w:rFonts w:ascii="Book Antiqua" w:hAnsi="Book Antiqua"/>
                <w:lang w:eastAsia="zh-CN"/>
              </w:rPr>
              <w:t xml:space="preserve"> </w:t>
            </w:r>
            <w:r>
              <w:rPr>
                <w:rFonts w:ascii="Book Antiqua" w:hAnsi="Book Antiqua"/>
              </w:rPr>
              <w:t>pyrosequencing</w:t>
            </w:r>
            <w:r>
              <w:rPr>
                <w:rFonts w:ascii="Book Antiqua" w:hAnsi="Book Antiqua"/>
                <w:lang w:eastAsia="zh-CN"/>
              </w:rPr>
              <w:t xml:space="preserve"> </w:t>
            </w:r>
            <w:r>
              <w:rPr>
                <w:rFonts w:ascii="Book Antiqua" w:hAnsi="Book Antiqua"/>
              </w:rPr>
              <w:t>and liver biopsy</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 xml:space="preserve">Zhang </w:t>
            </w:r>
            <w:r>
              <w:rPr>
                <w:rFonts w:ascii="Book Antiqua" w:hAnsi="Book Antiqua"/>
                <w:i/>
              </w:rPr>
              <w:t>et al</w:t>
            </w:r>
            <w:r>
              <w:rPr>
                <w:rFonts w:ascii="Book Antiqua" w:hAnsi="Book Antiqua"/>
                <w:vertAlign w:val="superscript"/>
              </w:rPr>
              <w:t>[1</w:t>
            </w:r>
            <w:r>
              <w:rPr>
                <w:rFonts w:ascii="Book Antiqua" w:hAnsi="Book Antiqua"/>
                <w:vertAlign w:val="superscript"/>
                <w:lang w:eastAsia="zh-CN"/>
              </w:rPr>
              <w:t>08</w:t>
            </w:r>
            <w:r>
              <w:rPr>
                <w:rFonts w:ascii="Book Antiqua" w:hAnsi="Book Antiqua"/>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0" w:type="pct"/>
          </w:tcPr>
          <w:p>
            <w:pPr>
              <w:adjustRightInd w:val="0"/>
              <w:snapToGrid w:val="0"/>
              <w:spacing w:line="360" w:lineRule="auto"/>
              <w:jc w:val="both"/>
              <w:rPr>
                <w:rFonts w:ascii="Book Antiqua" w:hAnsi="Book Antiqua"/>
                <w:b/>
                <w:i/>
                <w:lang w:eastAsia="zh-CN"/>
              </w:rPr>
            </w:pPr>
            <w:r>
              <w:rPr>
                <w:rFonts w:ascii="Book Antiqua" w:hAnsi="Book Antiqua"/>
                <w:i/>
              </w:rPr>
              <w:t>MTND6</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eastAsia="zh-CN"/>
              </w:rPr>
              <w:t>H</w:t>
            </w:r>
            <w:r>
              <w:rPr>
                <w:rFonts w:ascii="Book Antiqua" w:hAnsi="Book Antiqua"/>
              </w:rPr>
              <w:t>ypomethylation</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Methylation-specific</w:t>
            </w:r>
            <w:r>
              <w:rPr>
                <w:rFonts w:ascii="Book Antiqua" w:hAnsi="Book Antiqua"/>
                <w:lang w:eastAsia="zh-CN"/>
              </w:rPr>
              <w:t xml:space="preserve"> </w:t>
            </w:r>
            <w:r>
              <w:rPr>
                <w:rFonts w:ascii="Book Antiqua" w:hAnsi="Book Antiqua"/>
              </w:rPr>
              <w:t>PCR and liver biopsy</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Pirola</w:t>
            </w:r>
            <w:r>
              <w:rPr>
                <w:rFonts w:ascii="Book Antiqua" w:hAnsi="Book Antiqua"/>
                <w:i/>
                <w:lang w:eastAsia="zh-CN"/>
              </w:rPr>
              <w:t xml:space="preserve"> </w:t>
            </w:r>
            <w:r>
              <w:rPr>
                <w:rFonts w:ascii="Book Antiqua" w:hAnsi="Book Antiqua"/>
                <w:i/>
              </w:rPr>
              <w:t>et al</w:t>
            </w:r>
            <w:r>
              <w:rPr>
                <w:rFonts w:ascii="Book Antiqua" w:hAnsi="Book Antiqua"/>
                <w:vertAlign w:val="superscript"/>
              </w:rPr>
              <w:t>[1</w:t>
            </w:r>
            <w:r>
              <w:rPr>
                <w:rFonts w:ascii="Book Antiqua" w:hAnsi="Book Antiqua"/>
                <w:vertAlign w:val="superscript"/>
                <w:lang w:eastAsia="zh-CN"/>
              </w:rPr>
              <w:t>09</w:t>
            </w:r>
            <w:r>
              <w:rPr>
                <w:rFonts w:ascii="Book Antiqua" w:hAnsi="Book Antiqua"/>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0" w:type="pct"/>
          </w:tcPr>
          <w:p>
            <w:pPr>
              <w:adjustRightInd w:val="0"/>
              <w:snapToGrid w:val="0"/>
              <w:spacing w:line="360" w:lineRule="auto"/>
              <w:jc w:val="both"/>
              <w:rPr>
                <w:rFonts w:ascii="Book Antiqua" w:hAnsi="Book Antiqua"/>
                <w:b/>
                <w:i/>
                <w:lang w:eastAsia="zh-CN"/>
              </w:rPr>
            </w:pPr>
            <w:r>
              <w:rPr>
                <w:rFonts w:ascii="Book Antiqua" w:hAnsi="Book Antiqua"/>
                <w:i/>
              </w:rPr>
              <w:t>PARVB</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eastAsia="zh-CN"/>
              </w:rPr>
              <w:t>H</w:t>
            </w:r>
            <w:r>
              <w:rPr>
                <w:rFonts w:ascii="Book Antiqua" w:hAnsi="Book Antiqua"/>
              </w:rPr>
              <w:t>ypomethylation</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Targeted-bisulfite</w:t>
            </w:r>
            <w:r>
              <w:rPr>
                <w:rFonts w:ascii="Book Antiqua" w:hAnsi="Book Antiqua"/>
                <w:lang w:eastAsia="zh-CN"/>
              </w:rPr>
              <w:t xml:space="preserve"> </w:t>
            </w:r>
            <w:r>
              <w:rPr>
                <w:rFonts w:ascii="Book Antiqua" w:hAnsi="Book Antiqua"/>
              </w:rPr>
              <w:t>sequencing and liver</w:t>
            </w:r>
            <w:r>
              <w:rPr>
                <w:rFonts w:ascii="Book Antiqua" w:hAnsi="Book Antiqua"/>
                <w:lang w:eastAsia="zh-CN"/>
              </w:rPr>
              <w:t xml:space="preserve"> </w:t>
            </w:r>
            <w:r>
              <w:rPr>
                <w:rFonts w:ascii="Book Antiqua" w:hAnsi="Book Antiqua"/>
              </w:rPr>
              <w:t>biopsy</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 xml:space="preserve">Kitamoto </w:t>
            </w:r>
            <w:r>
              <w:rPr>
                <w:rFonts w:ascii="Book Antiqua" w:hAnsi="Book Antiqua"/>
                <w:i/>
              </w:rPr>
              <w:t>et al</w:t>
            </w:r>
            <w:r>
              <w:rPr>
                <w:rFonts w:ascii="Book Antiqua" w:hAnsi="Book Antiqua"/>
                <w:vertAlign w:val="superscript"/>
              </w:rPr>
              <w:t>[11</w:t>
            </w:r>
            <w:r>
              <w:rPr>
                <w:rFonts w:ascii="Book Antiqua" w:hAnsi="Book Antiqua"/>
                <w:vertAlign w:val="superscript"/>
                <w:lang w:eastAsia="zh-CN"/>
              </w:rPr>
              <w:t>1</w:t>
            </w:r>
            <w:r>
              <w:rPr>
                <w:rFonts w:ascii="Book Antiqua" w:hAnsi="Book Antiqua"/>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0" w:type="pct"/>
          </w:tcPr>
          <w:p>
            <w:pPr>
              <w:adjustRightInd w:val="0"/>
              <w:snapToGrid w:val="0"/>
              <w:spacing w:line="360" w:lineRule="auto"/>
              <w:jc w:val="both"/>
              <w:rPr>
                <w:rFonts w:ascii="Book Antiqua" w:hAnsi="Book Antiqua"/>
                <w:b/>
                <w:i/>
                <w:lang w:eastAsia="zh-CN"/>
              </w:rPr>
            </w:pPr>
            <w:r>
              <w:rPr>
                <w:rFonts w:ascii="Book Antiqua" w:hAnsi="Book Antiqua"/>
                <w:i/>
              </w:rPr>
              <w:t>PNPLA3</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eastAsia="zh-CN"/>
              </w:rPr>
              <w:t>H</w:t>
            </w:r>
            <w:r>
              <w:rPr>
                <w:rFonts w:ascii="Book Antiqua" w:hAnsi="Book Antiqua"/>
              </w:rPr>
              <w:t>ypomethylation</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Targeted-bisulfite</w:t>
            </w:r>
            <w:r>
              <w:rPr>
                <w:rFonts w:ascii="Book Antiqua" w:hAnsi="Book Antiqua"/>
                <w:lang w:eastAsia="zh-CN"/>
              </w:rPr>
              <w:t xml:space="preserve"> </w:t>
            </w:r>
            <w:r>
              <w:rPr>
                <w:rFonts w:ascii="Book Antiqua" w:hAnsi="Book Antiqua"/>
              </w:rPr>
              <w:t>sequencing and liver</w:t>
            </w:r>
            <w:r>
              <w:rPr>
                <w:rFonts w:ascii="Book Antiqua" w:hAnsi="Book Antiqua"/>
                <w:lang w:eastAsia="zh-CN"/>
              </w:rPr>
              <w:t xml:space="preserve"> </w:t>
            </w:r>
            <w:r>
              <w:rPr>
                <w:rFonts w:ascii="Book Antiqua" w:hAnsi="Book Antiqua"/>
              </w:rPr>
              <w:t>biopsy</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 xml:space="preserve">Kitamoto </w:t>
            </w:r>
            <w:r>
              <w:rPr>
                <w:rFonts w:ascii="Book Antiqua" w:hAnsi="Book Antiqua"/>
                <w:i/>
              </w:rPr>
              <w:t>et al</w:t>
            </w:r>
            <w:r>
              <w:rPr>
                <w:rFonts w:ascii="Book Antiqua" w:hAnsi="Book Antiqua"/>
                <w:vertAlign w:val="superscript"/>
              </w:rPr>
              <w:t>[11</w:t>
            </w:r>
            <w:r>
              <w:rPr>
                <w:rFonts w:ascii="Book Antiqua" w:hAnsi="Book Antiqua"/>
                <w:vertAlign w:val="superscript"/>
                <w:lang w:eastAsia="zh-CN"/>
              </w:rPr>
              <w:t>1</w:t>
            </w:r>
            <w:r>
              <w:rPr>
                <w:rFonts w:ascii="Book Antiqua" w:hAnsi="Book Antiqua"/>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250" w:type="pct"/>
          </w:tcPr>
          <w:p>
            <w:pPr>
              <w:adjustRightInd w:val="0"/>
              <w:snapToGrid w:val="0"/>
              <w:spacing w:line="360" w:lineRule="auto"/>
              <w:jc w:val="both"/>
              <w:rPr>
                <w:rFonts w:ascii="Book Antiqua" w:hAnsi="Book Antiqua"/>
                <w:b/>
                <w:i/>
                <w:lang w:eastAsia="zh-CN"/>
              </w:rPr>
            </w:pPr>
            <w:r>
              <w:rPr>
                <w:rFonts w:ascii="Book Antiqua" w:hAnsi="Book Antiqua"/>
                <w:i/>
              </w:rPr>
              <w:t>PPARα</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eastAsia="zh-CN"/>
              </w:rPr>
              <w:t>H</w:t>
            </w:r>
            <w:r>
              <w:rPr>
                <w:rFonts w:ascii="Book Antiqua" w:hAnsi="Book Antiqua"/>
              </w:rPr>
              <w:t>ypomethylation</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Bisulfite</w:t>
            </w:r>
            <w:r>
              <w:rPr>
                <w:rFonts w:ascii="Book Antiqua" w:hAnsi="Book Antiqua"/>
                <w:lang w:eastAsia="zh-CN"/>
              </w:rPr>
              <w:t xml:space="preserve"> </w:t>
            </w:r>
            <w:r>
              <w:rPr>
                <w:rFonts w:ascii="Book Antiqua" w:hAnsi="Book Antiqua"/>
              </w:rPr>
              <w:t>pyrosequencing</w:t>
            </w:r>
            <w:r>
              <w:rPr>
                <w:rFonts w:ascii="Book Antiqua" w:hAnsi="Book Antiqua"/>
                <w:lang w:eastAsia="zh-CN"/>
              </w:rPr>
              <w:t xml:space="preserve"> </w:t>
            </w:r>
            <w:r>
              <w:rPr>
                <w:rFonts w:ascii="Book Antiqua" w:hAnsi="Book Antiqua"/>
              </w:rPr>
              <w:t>and liver biopsy</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 xml:space="preserve">Zeybel </w:t>
            </w:r>
            <w:r>
              <w:rPr>
                <w:rFonts w:ascii="Book Antiqua" w:hAnsi="Book Antiqua"/>
                <w:i/>
              </w:rPr>
              <w:t>et al</w:t>
            </w:r>
            <w:r>
              <w:rPr>
                <w:rFonts w:ascii="Book Antiqua" w:hAnsi="Book Antiqua"/>
                <w:vertAlign w:val="superscript"/>
              </w:rPr>
              <w:t>[11</w:t>
            </w:r>
            <w:r>
              <w:rPr>
                <w:rFonts w:ascii="Book Antiqua" w:hAnsi="Book Antiqua"/>
                <w:vertAlign w:val="superscript"/>
                <w:lang w:eastAsia="zh-CN"/>
              </w:rPr>
              <w:t>2</w:t>
            </w:r>
            <w:r>
              <w:rPr>
                <w:rFonts w:ascii="Book Antiqua" w:hAnsi="Book Antiqua"/>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0" w:type="pct"/>
          </w:tcPr>
          <w:p>
            <w:pPr>
              <w:adjustRightInd w:val="0"/>
              <w:snapToGrid w:val="0"/>
              <w:spacing w:line="360" w:lineRule="auto"/>
              <w:jc w:val="both"/>
              <w:rPr>
                <w:rFonts w:ascii="Book Antiqua" w:hAnsi="Book Antiqua"/>
                <w:b/>
                <w:i/>
                <w:lang w:eastAsia="zh-CN"/>
              </w:rPr>
            </w:pPr>
            <w:r>
              <w:rPr>
                <w:rFonts w:ascii="Book Antiqua" w:hAnsi="Book Antiqua"/>
                <w:i/>
              </w:rPr>
              <w:t>TGFβ1</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eastAsia="zh-CN"/>
              </w:rPr>
              <w:t>H</w:t>
            </w:r>
            <w:r>
              <w:rPr>
                <w:rFonts w:ascii="Book Antiqua" w:hAnsi="Book Antiqua"/>
              </w:rPr>
              <w:t>ypomethylation</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Bisulfite</w:t>
            </w:r>
            <w:r>
              <w:rPr>
                <w:rFonts w:ascii="Book Antiqua" w:hAnsi="Book Antiqua"/>
                <w:lang w:eastAsia="zh-CN"/>
              </w:rPr>
              <w:t xml:space="preserve"> </w:t>
            </w:r>
            <w:r>
              <w:rPr>
                <w:rFonts w:ascii="Book Antiqua" w:hAnsi="Book Antiqua"/>
              </w:rPr>
              <w:t>pyrosequencing</w:t>
            </w:r>
            <w:r>
              <w:rPr>
                <w:rFonts w:ascii="Book Antiqua" w:hAnsi="Book Antiqua"/>
                <w:lang w:eastAsia="zh-CN"/>
              </w:rPr>
              <w:t xml:space="preserve"> </w:t>
            </w:r>
            <w:r>
              <w:rPr>
                <w:rFonts w:ascii="Book Antiqua" w:hAnsi="Book Antiqua"/>
              </w:rPr>
              <w:t>and liver biopsy</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 xml:space="preserve">Zeybel </w:t>
            </w:r>
            <w:r>
              <w:rPr>
                <w:rFonts w:ascii="Book Antiqua" w:hAnsi="Book Antiqua"/>
                <w:i/>
              </w:rPr>
              <w:t>et al</w:t>
            </w:r>
            <w:r>
              <w:rPr>
                <w:rFonts w:ascii="Book Antiqua" w:hAnsi="Book Antiqua"/>
                <w:vertAlign w:val="superscript"/>
              </w:rPr>
              <w:t>[11</w:t>
            </w:r>
            <w:r>
              <w:rPr>
                <w:rFonts w:ascii="Book Antiqua" w:hAnsi="Book Antiqua"/>
                <w:vertAlign w:val="superscript"/>
                <w:lang w:eastAsia="zh-CN"/>
              </w:rPr>
              <w:t>2</w:t>
            </w:r>
            <w:r>
              <w:rPr>
                <w:rFonts w:ascii="Book Antiqua" w:hAnsi="Book Antiqua"/>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0" w:type="pct"/>
          </w:tcPr>
          <w:p>
            <w:pPr>
              <w:adjustRightInd w:val="0"/>
              <w:snapToGrid w:val="0"/>
              <w:spacing w:line="360" w:lineRule="auto"/>
              <w:jc w:val="both"/>
              <w:rPr>
                <w:rFonts w:ascii="Book Antiqua" w:hAnsi="Book Antiqua"/>
                <w:b/>
                <w:i/>
                <w:lang w:eastAsia="zh-CN"/>
              </w:rPr>
            </w:pPr>
            <w:r>
              <w:rPr>
                <w:rFonts w:ascii="Book Antiqua" w:hAnsi="Book Antiqua"/>
                <w:i/>
              </w:rPr>
              <w:t>Collagen 1A1</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eastAsia="zh-CN"/>
              </w:rPr>
              <w:t>H</w:t>
            </w:r>
            <w:r>
              <w:rPr>
                <w:rFonts w:ascii="Book Antiqua" w:hAnsi="Book Antiqua"/>
              </w:rPr>
              <w:t>ypomethylation</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Bisulfite</w:t>
            </w:r>
            <w:r>
              <w:rPr>
                <w:rFonts w:ascii="Book Antiqua" w:hAnsi="Book Antiqua"/>
                <w:lang w:eastAsia="zh-CN"/>
              </w:rPr>
              <w:t xml:space="preserve"> </w:t>
            </w:r>
            <w:r>
              <w:rPr>
                <w:rFonts w:ascii="Book Antiqua" w:hAnsi="Book Antiqua"/>
              </w:rPr>
              <w:t>pyrosequencing</w:t>
            </w:r>
            <w:r>
              <w:rPr>
                <w:rFonts w:ascii="Book Antiqua" w:hAnsi="Book Antiqua"/>
                <w:lang w:eastAsia="zh-CN"/>
              </w:rPr>
              <w:t xml:space="preserve"> </w:t>
            </w:r>
            <w:r>
              <w:rPr>
                <w:rFonts w:ascii="Book Antiqua" w:hAnsi="Book Antiqua"/>
              </w:rPr>
              <w:t>and liver biopsy</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 xml:space="preserve">Zeybel </w:t>
            </w:r>
            <w:r>
              <w:rPr>
                <w:rFonts w:ascii="Book Antiqua" w:hAnsi="Book Antiqua"/>
                <w:i/>
              </w:rPr>
              <w:t>et al</w:t>
            </w:r>
            <w:r>
              <w:rPr>
                <w:rFonts w:ascii="Book Antiqua" w:hAnsi="Book Antiqua"/>
                <w:vertAlign w:val="superscript"/>
              </w:rPr>
              <w:t>[11</w:t>
            </w:r>
            <w:r>
              <w:rPr>
                <w:rFonts w:ascii="Book Antiqua" w:hAnsi="Book Antiqua"/>
                <w:vertAlign w:val="superscript"/>
                <w:lang w:eastAsia="zh-CN"/>
              </w:rPr>
              <w:t>2</w:t>
            </w:r>
            <w:r>
              <w:rPr>
                <w:rFonts w:ascii="Book Antiqua" w:hAnsi="Book Antiqua"/>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0" w:type="pct"/>
          </w:tcPr>
          <w:p>
            <w:pPr>
              <w:adjustRightInd w:val="0"/>
              <w:snapToGrid w:val="0"/>
              <w:spacing w:line="360" w:lineRule="auto"/>
              <w:jc w:val="both"/>
              <w:rPr>
                <w:rFonts w:ascii="Book Antiqua" w:hAnsi="Book Antiqua"/>
                <w:b/>
                <w:i/>
                <w:lang w:eastAsia="zh-CN"/>
              </w:rPr>
            </w:pPr>
            <w:r>
              <w:rPr>
                <w:rFonts w:ascii="Book Antiqua" w:hAnsi="Book Antiqua"/>
                <w:i/>
              </w:rPr>
              <w:t>PDGFα</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eastAsia="zh-CN"/>
              </w:rPr>
              <w:t>H</w:t>
            </w:r>
            <w:r>
              <w:rPr>
                <w:rFonts w:ascii="Book Antiqua" w:hAnsi="Book Antiqua"/>
              </w:rPr>
              <w:t>ypomethylation</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Bisulfite</w:t>
            </w:r>
            <w:r>
              <w:rPr>
                <w:rFonts w:ascii="Book Antiqua" w:hAnsi="Book Antiqua"/>
                <w:lang w:eastAsia="zh-CN"/>
              </w:rPr>
              <w:t xml:space="preserve"> </w:t>
            </w:r>
            <w:r>
              <w:rPr>
                <w:rFonts w:ascii="Book Antiqua" w:hAnsi="Book Antiqua"/>
              </w:rPr>
              <w:t>pyrosequencing</w:t>
            </w:r>
            <w:r>
              <w:rPr>
                <w:rFonts w:ascii="Book Antiqua" w:hAnsi="Book Antiqua"/>
                <w:lang w:eastAsia="zh-CN"/>
              </w:rPr>
              <w:t xml:space="preserve"> </w:t>
            </w:r>
            <w:r>
              <w:rPr>
                <w:rFonts w:ascii="Book Antiqua" w:hAnsi="Book Antiqua"/>
              </w:rPr>
              <w:t>and liver biopsy</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 xml:space="preserve">Zeybel </w:t>
            </w:r>
            <w:r>
              <w:rPr>
                <w:rFonts w:ascii="Book Antiqua" w:hAnsi="Book Antiqua"/>
                <w:i/>
              </w:rPr>
              <w:t>et al</w:t>
            </w:r>
            <w:r>
              <w:rPr>
                <w:rFonts w:ascii="Book Antiqua" w:hAnsi="Book Antiqua"/>
                <w:vertAlign w:val="superscript"/>
              </w:rPr>
              <w:t>[11</w:t>
            </w:r>
            <w:r>
              <w:rPr>
                <w:rFonts w:ascii="Book Antiqua" w:hAnsi="Book Antiqua"/>
                <w:vertAlign w:val="superscript"/>
                <w:lang w:eastAsia="zh-CN"/>
              </w:rPr>
              <w:t>2</w:t>
            </w:r>
            <w:r>
              <w:rPr>
                <w:rFonts w:ascii="Book Antiqua" w:hAnsi="Book Antiqua"/>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0" w:type="pct"/>
          </w:tcPr>
          <w:p>
            <w:pPr>
              <w:adjustRightInd w:val="0"/>
              <w:snapToGrid w:val="0"/>
              <w:spacing w:line="360" w:lineRule="auto"/>
              <w:jc w:val="both"/>
              <w:rPr>
                <w:rFonts w:ascii="Book Antiqua" w:hAnsi="Book Antiqua"/>
                <w:b/>
                <w:i/>
                <w:lang w:eastAsia="zh-CN"/>
              </w:rPr>
            </w:pPr>
            <w:bookmarkStart w:id="93" w:name="_Hlk77526851"/>
            <w:r>
              <w:rPr>
                <w:rFonts w:ascii="Book Antiqua" w:hAnsi="Book Antiqua"/>
                <w:i/>
              </w:rPr>
              <w:t>PPARGC1A</w:t>
            </w:r>
            <w:bookmarkEnd w:id="93"/>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eastAsia="zh-CN"/>
              </w:rPr>
              <w:t>H</w:t>
            </w:r>
            <w:r>
              <w:rPr>
                <w:rFonts w:ascii="Book Antiqua" w:hAnsi="Book Antiqua"/>
              </w:rPr>
              <w:t>ypomethylation</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Methylation-specific</w:t>
            </w:r>
            <w:r>
              <w:rPr>
                <w:rFonts w:ascii="Book Antiqua" w:hAnsi="Book Antiqua"/>
                <w:lang w:eastAsia="zh-CN"/>
              </w:rPr>
              <w:t xml:space="preserve"> </w:t>
            </w:r>
            <w:r>
              <w:rPr>
                <w:rFonts w:ascii="Book Antiqua" w:hAnsi="Book Antiqua"/>
              </w:rPr>
              <w:t>PCR and liver biopsy</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 xml:space="preserve">Sookoian </w:t>
            </w:r>
            <w:r>
              <w:rPr>
                <w:rFonts w:ascii="Book Antiqua" w:hAnsi="Book Antiqua"/>
                <w:i/>
              </w:rPr>
              <w:t>et al</w:t>
            </w:r>
            <w:r>
              <w:rPr>
                <w:rFonts w:ascii="Book Antiqua" w:hAnsi="Book Antiqua"/>
                <w:vertAlign w:val="superscript"/>
              </w:rPr>
              <w:t>[11</w:t>
            </w:r>
            <w:r>
              <w:rPr>
                <w:rFonts w:ascii="Book Antiqua" w:hAnsi="Book Antiqua"/>
                <w:vertAlign w:val="superscript"/>
                <w:lang w:eastAsia="zh-CN"/>
              </w:rPr>
              <w:t>3</w:t>
            </w:r>
            <w:r>
              <w:rPr>
                <w:rFonts w:ascii="Book Antiqua" w:hAnsi="Book Antiqua"/>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0" w:type="pct"/>
          </w:tcPr>
          <w:p>
            <w:pPr>
              <w:adjustRightInd w:val="0"/>
              <w:snapToGrid w:val="0"/>
              <w:spacing w:line="360" w:lineRule="auto"/>
              <w:jc w:val="both"/>
              <w:rPr>
                <w:rFonts w:ascii="Book Antiqua" w:hAnsi="Book Antiqua"/>
                <w:b/>
                <w:i/>
                <w:lang w:eastAsia="zh-CN"/>
              </w:rPr>
            </w:pPr>
            <w:r>
              <w:rPr>
                <w:rFonts w:ascii="Book Antiqua" w:hAnsi="Book Antiqua"/>
                <w:i/>
              </w:rPr>
              <w:t>cg08309687</w:t>
            </w:r>
            <w:r>
              <w:rPr>
                <w:rFonts w:ascii="Book Antiqua" w:hAnsi="Book Antiqua"/>
                <w:i/>
                <w:lang w:eastAsia="zh-CN"/>
              </w:rPr>
              <w:t xml:space="preserve"> </w:t>
            </w:r>
            <w:r>
              <w:rPr>
                <w:rFonts w:ascii="Book Antiqua" w:hAnsi="Book Antiqua"/>
                <w:i/>
              </w:rPr>
              <w:t>(LINC00649)</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eastAsia="zh-CN"/>
              </w:rPr>
              <w:t>H</w:t>
            </w:r>
            <w:r>
              <w:rPr>
                <w:rFonts w:ascii="Book Antiqua" w:hAnsi="Book Antiqua"/>
              </w:rPr>
              <w:t>ypomethylation</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Illumina BeadChip for array analyses</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rPr>
              <w:t xml:space="preserve">Ma </w:t>
            </w:r>
            <w:r>
              <w:rPr>
                <w:rFonts w:ascii="Book Antiqua" w:hAnsi="Book Antiqua"/>
                <w:i/>
              </w:rPr>
              <w:t>et al</w:t>
            </w:r>
            <w:r>
              <w:rPr>
                <w:rFonts w:ascii="Book Antiqua" w:hAnsi="Book Antiqua"/>
                <w:vertAlign w:val="superscript"/>
              </w:rPr>
              <w:t>[11</w:t>
            </w:r>
            <w:r>
              <w:rPr>
                <w:rFonts w:ascii="Book Antiqua" w:hAnsi="Book Antiqua"/>
                <w:vertAlign w:val="superscript"/>
                <w:lang w:eastAsia="zh-CN"/>
              </w:rPr>
              <w:t>4</w:t>
            </w:r>
            <w:r>
              <w:rPr>
                <w:rFonts w:ascii="Book Antiqua" w:hAnsi="Book Antiqua"/>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0" w:type="pct"/>
          </w:tcPr>
          <w:p>
            <w:pPr>
              <w:adjustRightInd w:val="0"/>
              <w:snapToGrid w:val="0"/>
              <w:spacing w:line="360" w:lineRule="auto"/>
              <w:jc w:val="both"/>
              <w:rPr>
                <w:rFonts w:ascii="Book Antiqua" w:hAnsi="Book Antiqua"/>
                <w:b/>
                <w:i/>
                <w:lang w:eastAsia="zh-CN"/>
              </w:rPr>
            </w:pPr>
            <w:r>
              <w:rPr>
                <w:rFonts w:ascii="Book Antiqua" w:hAnsi="Book Antiqua"/>
                <w:i/>
              </w:rPr>
              <w:t>NPC1L1</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eastAsia="zh-CN"/>
              </w:rPr>
              <w:t>M</w:t>
            </w:r>
            <w:r>
              <w:rPr>
                <w:rFonts w:ascii="Book Antiqua" w:hAnsi="Book Antiqua"/>
              </w:rPr>
              <w:t>ethylation</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val="en-GB"/>
              </w:rPr>
              <w:t>Illumina human</w:t>
            </w:r>
            <w:r>
              <w:rPr>
                <w:rFonts w:ascii="Book Antiqua" w:hAnsi="Book Antiqua"/>
                <w:lang w:val="en-GB" w:eastAsia="zh-CN"/>
              </w:rPr>
              <w:t xml:space="preserve"> </w:t>
            </w:r>
            <w:r>
              <w:rPr>
                <w:rFonts w:ascii="Book Antiqua" w:hAnsi="Book Antiqua"/>
                <w:lang w:val="en-GB"/>
              </w:rPr>
              <w:t>methylation</w:t>
            </w:r>
            <w:r>
              <w:rPr>
                <w:rFonts w:ascii="Book Antiqua" w:hAnsi="Book Antiqua"/>
                <w:lang w:val="en-GB" w:eastAsia="zh-CN"/>
              </w:rPr>
              <w:t xml:space="preserve"> </w:t>
            </w:r>
            <w:r>
              <w:rPr>
                <w:rFonts w:ascii="Book Antiqua" w:hAnsi="Book Antiqua"/>
                <w:lang w:val="en-GB"/>
              </w:rPr>
              <w:t>450 Beadchip and liver biopsy</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val="en-GB"/>
              </w:rPr>
              <w:t xml:space="preserve">Mwinyi </w:t>
            </w:r>
            <w:r>
              <w:rPr>
                <w:rFonts w:ascii="Book Antiqua" w:hAnsi="Book Antiqua"/>
                <w:i/>
                <w:lang w:val="en-GB"/>
              </w:rPr>
              <w:t>et al</w:t>
            </w:r>
            <w:r>
              <w:rPr>
                <w:rFonts w:ascii="Book Antiqua" w:hAnsi="Book Antiqua"/>
                <w:vertAlign w:val="superscript"/>
                <w:lang w:val="en-GB"/>
              </w:rPr>
              <w:t>[11</w:t>
            </w:r>
            <w:r>
              <w:rPr>
                <w:rFonts w:ascii="Book Antiqua" w:hAnsi="Book Antiqua"/>
                <w:vertAlign w:val="superscript"/>
                <w:lang w:val="en-GB" w:eastAsia="zh-CN"/>
              </w:rPr>
              <w:t>6</w:t>
            </w:r>
            <w:r>
              <w:rPr>
                <w:rFonts w:ascii="Book Antiqua" w:hAnsi="Book Antiqua"/>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0" w:type="pct"/>
          </w:tcPr>
          <w:p>
            <w:pPr>
              <w:adjustRightInd w:val="0"/>
              <w:snapToGrid w:val="0"/>
              <w:spacing w:line="360" w:lineRule="auto"/>
              <w:jc w:val="both"/>
              <w:rPr>
                <w:rFonts w:ascii="Book Antiqua" w:hAnsi="Book Antiqua"/>
                <w:b/>
                <w:i/>
                <w:lang w:eastAsia="zh-CN"/>
              </w:rPr>
            </w:pPr>
            <w:r>
              <w:rPr>
                <w:rFonts w:ascii="Book Antiqua" w:hAnsi="Book Antiqua"/>
                <w:i/>
              </w:rPr>
              <w:t>STARD</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eastAsia="zh-CN"/>
              </w:rPr>
              <w:t>M</w:t>
            </w:r>
            <w:r>
              <w:rPr>
                <w:rFonts w:ascii="Book Antiqua" w:hAnsi="Book Antiqua"/>
              </w:rPr>
              <w:t>ethylation</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val="en-GB"/>
              </w:rPr>
              <w:t>Illumina human</w:t>
            </w:r>
            <w:r>
              <w:rPr>
                <w:rFonts w:ascii="Book Antiqua" w:hAnsi="Book Antiqua"/>
                <w:lang w:val="en-GB" w:eastAsia="zh-CN"/>
              </w:rPr>
              <w:t xml:space="preserve"> </w:t>
            </w:r>
            <w:r>
              <w:rPr>
                <w:rFonts w:ascii="Book Antiqua" w:hAnsi="Book Antiqua"/>
                <w:lang w:val="en-GB"/>
              </w:rPr>
              <w:t>methylation</w:t>
            </w:r>
            <w:r>
              <w:rPr>
                <w:rFonts w:ascii="Book Antiqua" w:hAnsi="Book Antiqua"/>
                <w:lang w:val="en-GB" w:eastAsia="zh-CN"/>
              </w:rPr>
              <w:t xml:space="preserve"> </w:t>
            </w:r>
            <w:r>
              <w:rPr>
                <w:rFonts w:ascii="Book Antiqua" w:hAnsi="Book Antiqua"/>
                <w:lang w:val="en-GB"/>
              </w:rPr>
              <w:t>450 Beadchip and liver biopsy</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val="en-GB"/>
              </w:rPr>
              <w:t xml:space="preserve">Mwinyi </w:t>
            </w:r>
            <w:r>
              <w:rPr>
                <w:rFonts w:ascii="Book Antiqua" w:hAnsi="Book Antiqua"/>
                <w:i/>
                <w:lang w:val="en-GB"/>
              </w:rPr>
              <w:t>et al</w:t>
            </w:r>
            <w:r>
              <w:rPr>
                <w:rFonts w:ascii="Book Antiqua" w:hAnsi="Book Antiqua"/>
                <w:vertAlign w:val="superscript"/>
                <w:lang w:val="en-GB"/>
              </w:rPr>
              <w:t>[11</w:t>
            </w:r>
            <w:r>
              <w:rPr>
                <w:rFonts w:ascii="Book Antiqua" w:hAnsi="Book Antiqua"/>
                <w:vertAlign w:val="superscript"/>
                <w:lang w:val="en-GB" w:eastAsia="zh-CN"/>
              </w:rPr>
              <w:t>6</w:t>
            </w:r>
            <w:r>
              <w:rPr>
                <w:rFonts w:ascii="Book Antiqua" w:hAnsi="Book Antiqua"/>
                <w:vertAlign w:val="superscript"/>
                <w:lang w:val="en-GB"/>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0" w:type="pct"/>
          </w:tcPr>
          <w:p>
            <w:pPr>
              <w:adjustRightInd w:val="0"/>
              <w:snapToGrid w:val="0"/>
              <w:spacing w:line="360" w:lineRule="auto"/>
              <w:jc w:val="both"/>
              <w:rPr>
                <w:rFonts w:ascii="Book Antiqua" w:hAnsi="Book Antiqua"/>
                <w:b/>
                <w:i/>
                <w:lang w:eastAsia="zh-CN"/>
              </w:rPr>
            </w:pPr>
            <w:r>
              <w:rPr>
                <w:rFonts w:ascii="Book Antiqua" w:hAnsi="Book Antiqua"/>
                <w:i/>
                <w:lang w:val="en-GB"/>
              </w:rPr>
              <w:t>GRHL</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eastAsia="zh-CN"/>
              </w:rPr>
              <w:t>M</w:t>
            </w:r>
            <w:r>
              <w:rPr>
                <w:rFonts w:ascii="Book Antiqua" w:hAnsi="Book Antiqua"/>
              </w:rPr>
              <w:t>ethylation</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val="en-GB"/>
              </w:rPr>
              <w:t>Illumina human</w:t>
            </w:r>
            <w:r>
              <w:rPr>
                <w:rFonts w:ascii="Book Antiqua" w:hAnsi="Book Antiqua"/>
                <w:lang w:val="en-GB" w:eastAsia="zh-CN"/>
              </w:rPr>
              <w:t xml:space="preserve"> </w:t>
            </w:r>
            <w:r>
              <w:rPr>
                <w:rFonts w:ascii="Book Antiqua" w:hAnsi="Book Antiqua"/>
                <w:lang w:val="en-GB"/>
              </w:rPr>
              <w:t>methylation</w:t>
            </w:r>
            <w:r>
              <w:rPr>
                <w:rFonts w:ascii="Book Antiqua" w:hAnsi="Book Antiqua"/>
                <w:lang w:val="en-GB" w:eastAsia="zh-CN"/>
              </w:rPr>
              <w:t xml:space="preserve"> </w:t>
            </w:r>
            <w:r>
              <w:rPr>
                <w:rFonts w:ascii="Book Antiqua" w:hAnsi="Book Antiqua"/>
                <w:lang w:val="en-GB"/>
              </w:rPr>
              <w:t>450 Beadchip and liver biopsy</w:t>
            </w:r>
          </w:p>
        </w:tc>
        <w:tc>
          <w:tcPr>
            <w:tcW w:w="1250" w:type="pct"/>
          </w:tcPr>
          <w:p>
            <w:pPr>
              <w:adjustRightInd w:val="0"/>
              <w:snapToGrid w:val="0"/>
              <w:spacing w:line="360" w:lineRule="auto"/>
              <w:jc w:val="both"/>
              <w:rPr>
                <w:rFonts w:ascii="Book Antiqua" w:hAnsi="Book Antiqua"/>
                <w:b/>
                <w:lang w:eastAsia="zh-CN"/>
              </w:rPr>
            </w:pPr>
            <w:r>
              <w:rPr>
                <w:rFonts w:ascii="Book Antiqua" w:hAnsi="Book Antiqua"/>
                <w:lang w:val="en-GB"/>
              </w:rPr>
              <w:t xml:space="preserve">Mwinyi </w:t>
            </w:r>
            <w:r>
              <w:rPr>
                <w:rFonts w:ascii="Book Antiqua" w:hAnsi="Book Antiqua"/>
                <w:i/>
                <w:lang w:val="en-GB"/>
              </w:rPr>
              <w:t>et al</w:t>
            </w:r>
            <w:r>
              <w:rPr>
                <w:rFonts w:ascii="Book Antiqua" w:hAnsi="Book Antiqua"/>
                <w:vertAlign w:val="superscript"/>
                <w:lang w:val="en-GB"/>
              </w:rPr>
              <w:t>[11</w:t>
            </w:r>
            <w:r>
              <w:rPr>
                <w:rFonts w:ascii="Book Antiqua" w:hAnsi="Book Antiqua"/>
                <w:vertAlign w:val="superscript"/>
                <w:lang w:val="en-GB" w:eastAsia="zh-CN"/>
              </w:rPr>
              <w:t>6</w:t>
            </w:r>
            <w:r>
              <w:rPr>
                <w:rFonts w:ascii="Book Antiqua" w:hAnsi="Book Antiqua"/>
                <w:vertAlign w:val="superscript"/>
                <w:lang w:val="en-GB"/>
              </w:rPr>
              <w:t>]</w:t>
            </w:r>
          </w:p>
        </w:tc>
      </w:tr>
    </w:tbl>
    <w:p>
      <w:pPr>
        <w:spacing w:line="360" w:lineRule="auto"/>
        <w:jc w:val="both"/>
        <w:rPr>
          <w:rFonts w:ascii="Book Antiqua" w:hAnsi="Book Antiqua"/>
          <w:lang w:eastAsia="zh-CN"/>
        </w:rPr>
      </w:pPr>
      <w:r>
        <w:rPr>
          <w:rFonts w:hint="eastAsia" w:ascii="Book Antiqua" w:hAnsi="Book Antiqua"/>
          <w:lang w:eastAsia="zh-CN"/>
        </w:rPr>
        <w:t>PCR: P</w:t>
      </w:r>
      <w:r>
        <w:rPr>
          <w:rFonts w:ascii="Book Antiqua" w:hAnsi="Book Antiqua"/>
          <w:lang w:eastAsia="zh-CN"/>
        </w:rPr>
        <w:t>olymerase chain reaction</w:t>
      </w:r>
      <w:r>
        <w:rPr>
          <w:rFonts w:hint="eastAsia" w:ascii="Book Antiqua" w:hAnsi="Book Antiqua"/>
          <w:lang w:eastAsia="zh-CN"/>
        </w:rPr>
        <w:t>.</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bCs/>
          <w:lang w:val="en-GB"/>
        </w:rPr>
        <w:t xml:space="preserve">Table </w:t>
      </w:r>
      <w:r>
        <w:rPr>
          <w:rFonts w:hint="eastAsia" w:ascii="Book Antiqua" w:hAnsi="Book Antiqua"/>
          <w:b/>
          <w:bCs/>
          <w:lang w:val="en-GB" w:eastAsia="zh-CN"/>
        </w:rPr>
        <w:t>2</w:t>
      </w:r>
      <w:r>
        <w:rPr>
          <w:rFonts w:ascii="Book Antiqua" w:hAnsi="Book Antiqua"/>
          <w:b/>
          <w:bCs/>
          <w:lang w:val="en-GB"/>
        </w:rPr>
        <w:t xml:space="preserve"> Main findings of human transcriptomics studies and mi</w:t>
      </w:r>
      <w:r>
        <w:rPr>
          <w:rFonts w:hint="eastAsia" w:ascii="Book Antiqua" w:hAnsi="Book Antiqua"/>
          <w:b/>
          <w:bCs/>
          <w:lang w:val="en-GB" w:eastAsia="zh-CN"/>
        </w:rPr>
        <w:t>cro</w:t>
      </w:r>
      <w:r>
        <w:rPr>
          <w:rFonts w:ascii="Book Antiqua" w:hAnsi="Book Antiqua"/>
          <w:b/>
          <w:bCs/>
          <w:lang w:val="en-GB"/>
        </w:rPr>
        <w:t xml:space="preserve">RNAs in </w:t>
      </w:r>
      <w:r>
        <w:rPr>
          <w:rFonts w:hint="eastAsia" w:ascii="Book Antiqua" w:hAnsi="Book Antiqua"/>
          <w:b/>
          <w:bCs/>
          <w:lang w:val="en-GB" w:eastAsia="zh-CN"/>
        </w:rPr>
        <w:t>n</w:t>
      </w:r>
      <w:r>
        <w:rPr>
          <w:rFonts w:ascii="Book Antiqua" w:hAnsi="Book Antiqua"/>
          <w:b/>
          <w:bCs/>
          <w:lang w:val="en-GB"/>
        </w:rPr>
        <w:t>on-alcoholic fatty liver disease</w:t>
      </w:r>
    </w:p>
    <w:tbl>
      <w:tblPr>
        <w:tblStyle w:val="10"/>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70"/>
        <w:gridCol w:w="1240"/>
        <w:gridCol w:w="3672"/>
        <w:gridCol w:w="339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b/>
                <w:lang w:eastAsia="zh-CN"/>
              </w:rPr>
            </w:pPr>
            <w:r>
              <w:rPr>
                <w:rFonts w:hint="eastAsia" w:ascii="Book Antiqua" w:hAnsi="Book Antiqua"/>
                <w:b/>
                <w:lang w:eastAsia="zh-CN"/>
              </w:rPr>
              <w:t>Ref.</w:t>
            </w:r>
            <w:r>
              <w:rPr>
                <w:rFonts w:ascii="Book Antiqua" w:hAnsi="Book Antiqua"/>
                <w:b/>
              </w:rPr>
              <w:t xml:space="preserve"> </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b/>
                <w:lang w:eastAsia="zh-CN"/>
              </w:rPr>
            </w:pPr>
            <w:r>
              <w:rPr>
                <w:rFonts w:ascii="Book Antiqua" w:hAnsi="Book Antiqua"/>
                <w:b/>
              </w:rPr>
              <w:t>Study design</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Population (</w:t>
            </w:r>
            <w:r>
              <w:rPr>
                <w:rFonts w:ascii="Book Antiqua" w:hAnsi="Book Antiqua"/>
                <w:b/>
                <w:i/>
              </w:rPr>
              <w:t>n</w:t>
            </w:r>
            <w:r>
              <w:rPr>
                <w:rFonts w:ascii="Book Antiqua" w:hAnsi="Book Antiqua"/>
                <w:b/>
              </w:rPr>
              <w:t xml:space="preserve">) </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Main findings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0" w:type="auto"/>
            <w:tcBorders>
              <w:top w:val="single" w:color="auto" w:sz="4" w:space="0"/>
            </w:tcBorders>
          </w:tcPr>
          <w:p>
            <w:pPr>
              <w:adjustRightInd w:val="0"/>
              <w:snapToGrid w:val="0"/>
              <w:spacing w:line="360" w:lineRule="auto"/>
              <w:jc w:val="both"/>
              <w:rPr>
                <w:rFonts w:ascii="Book Antiqua" w:hAnsi="Book Antiqua"/>
                <w:lang w:eastAsia="zh-CN"/>
              </w:rPr>
            </w:pPr>
            <w:r>
              <w:rPr>
                <w:rFonts w:ascii="Book Antiqua" w:hAnsi="Book Antiqua"/>
              </w:rPr>
              <w:t xml:space="preserve">Yamada </w:t>
            </w:r>
            <w:r>
              <w:rPr>
                <w:rFonts w:ascii="Book Antiqua" w:hAnsi="Book Antiqua"/>
                <w:i/>
              </w:rPr>
              <w:t>et al</w:t>
            </w:r>
            <w:r>
              <w:rPr>
                <w:rFonts w:ascii="Book Antiqua" w:hAnsi="Book Antiqua"/>
                <w:vertAlign w:val="superscript"/>
              </w:rPr>
              <w:t>[11</w:t>
            </w:r>
            <w:r>
              <w:rPr>
                <w:rFonts w:hint="eastAsia" w:ascii="Book Antiqua" w:hAnsi="Book Antiqua"/>
                <w:vertAlign w:val="superscript"/>
                <w:lang w:eastAsia="zh-CN"/>
              </w:rPr>
              <w:t>8</w:t>
            </w:r>
            <w:r>
              <w:rPr>
                <w:rFonts w:ascii="Book Antiqua" w:hAnsi="Book Antiqua"/>
                <w:vertAlign w:val="superscript"/>
              </w:rPr>
              <w:t>]</w:t>
            </w:r>
          </w:p>
        </w:tc>
        <w:tc>
          <w:tcPr>
            <w:tcW w:w="0" w:type="auto"/>
            <w:tcBorders>
              <w:top w:val="single" w:color="auto" w:sz="4" w:space="0"/>
            </w:tcBorders>
          </w:tcPr>
          <w:p>
            <w:pPr>
              <w:adjustRightInd w:val="0"/>
              <w:snapToGrid w:val="0"/>
              <w:spacing w:line="360" w:lineRule="auto"/>
              <w:jc w:val="both"/>
              <w:rPr>
                <w:rFonts w:ascii="Book Antiqua" w:hAnsi="Book Antiqua"/>
                <w:lang w:eastAsia="zh-CN"/>
              </w:rPr>
            </w:pPr>
            <w:r>
              <w:rPr>
                <w:rFonts w:ascii="Book Antiqua" w:hAnsi="Book Antiqua"/>
              </w:rPr>
              <w:t xml:space="preserve">Cross-sectional study </w:t>
            </w:r>
          </w:p>
        </w:tc>
        <w:tc>
          <w:tcPr>
            <w:tcW w:w="0" w:type="auto"/>
            <w:tcBorders>
              <w:top w:val="single" w:color="auto" w:sz="4" w:space="0"/>
            </w:tcBorders>
          </w:tcPr>
          <w:p>
            <w:pPr>
              <w:adjustRightInd w:val="0"/>
              <w:snapToGrid w:val="0"/>
              <w:spacing w:line="360" w:lineRule="auto"/>
              <w:jc w:val="both"/>
              <w:rPr>
                <w:rFonts w:ascii="Book Antiqua" w:hAnsi="Book Antiqua"/>
                <w:lang w:eastAsia="zh-CN"/>
              </w:rPr>
            </w:pPr>
            <w:r>
              <w:rPr>
                <w:rFonts w:ascii="Book Antiqua" w:hAnsi="Book Antiqua"/>
              </w:rPr>
              <w:t>403 male subjects (median age 68.2 ± 10.3</w:t>
            </w:r>
            <w:r>
              <w:rPr>
                <w:rFonts w:hint="eastAsia" w:ascii="Book Antiqua" w:hAnsi="Book Antiqua"/>
                <w:lang w:eastAsia="zh-CN"/>
              </w:rPr>
              <w:t xml:space="preserve"> </w:t>
            </w:r>
            <w:r>
              <w:rPr>
                <w:rFonts w:ascii="Book Antiqua" w:hAnsi="Book Antiqua"/>
              </w:rPr>
              <w:t>yr); 48 NAFLD subjects (median age 66.2 ± 9.1</w:t>
            </w:r>
            <w:r>
              <w:rPr>
                <w:rFonts w:hint="eastAsia" w:ascii="Book Antiqua" w:hAnsi="Book Antiqua"/>
                <w:lang w:eastAsia="zh-CN"/>
              </w:rPr>
              <w:t xml:space="preserve"> </w:t>
            </w:r>
            <w:r>
              <w:rPr>
                <w:rFonts w:ascii="Book Antiqua" w:hAnsi="Book Antiqua"/>
              </w:rPr>
              <w:t xml:space="preserve">yr); 221 female patients </w:t>
            </w:r>
            <w:r>
              <w:rPr>
                <w:rFonts w:hint="eastAsia" w:ascii="Book Antiqua" w:hAnsi="Book Antiqua"/>
                <w:lang w:eastAsia="zh-CN"/>
              </w:rPr>
              <w:t>(</w:t>
            </w:r>
            <w:r>
              <w:rPr>
                <w:rFonts w:ascii="Book Antiqua" w:hAnsi="Book Antiqua"/>
              </w:rPr>
              <w:t>median age 65.5 ±</w:t>
            </w:r>
            <w:r>
              <w:rPr>
                <w:rFonts w:hint="eastAsia" w:ascii="Book Antiqua" w:hAnsi="Book Antiqua"/>
                <w:lang w:eastAsia="zh-CN"/>
              </w:rPr>
              <w:t xml:space="preserve"> </w:t>
            </w:r>
            <w:r>
              <w:rPr>
                <w:rFonts w:ascii="Book Antiqua" w:hAnsi="Book Antiqua"/>
              </w:rPr>
              <w:t>9.6</w:t>
            </w:r>
            <w:r>
              <w:rPr>
                <w:rFonts w:hint="eastAsia" w:ascii="Book Antiqua" w:hAnsi="Book Antiqua"/>
                <w:lang w:eastAsia="zh-CN"/>
              </w:rPr>
              <w:t xml:space="preserve"> </w:t>
            </w:r>
            <w:r>
              <w:rPr>
                <w:rFonts w:ascii="Book Antiqua" w:hAnsi="Book Antiqua"/>
              </w:rPr>
              <w:t>yr);</w:t>
            </w:r>
            <w:r>
              <w:rPr>
                <w:rFonts w:hint="eastAsia" w:ascii="Book Antiqua" w:hAnsi="Book Antiqua"/>
                <w:lang w:eastAsia="zh-CN"/>
              </w:rPr>
              <w:t xml:space="preserve"> </w:t>
            </w:r>
            <w:r>
              <w:rPr>
                <w:rFonts w:ascii="Book Antiqua" w:hAnsi="Book Antiqua"/>
              </w:rPr>
              <w:t>44 women with NAFLD (median age 65.0 ± 8.93 yr). Hepatic steatosis was assessed by ultrasound</w:t>
            </w:r>
          </w:p>
        </w:tc>
        <w:tc>
          <w:tcPr>
            <w:tcW w:w="0" w:type="auto"/>
            <w:tcBorders>
              <w:top w:val="single" w:color="auto" w:sz="4" w:space="0"/>
            </w:tcBorders>
          </w:tcPr>
          <w:p>
            <w:pPr>
              <w:adjustRightInd w:val="0"/>
              <w:snapToGrid w:val="0"/>
              <w:spacing w:line="360" w:lineRule="auto"/>
              <w:jc w:val="both"/>
              <w:rPr>
                <w:rFonts w:ascii="Book Antiqua" w:hAnsi="Book Antiqua"/>
                <w:lang w:eastAsia="zh-CN"/>
              </w:rPr>
            </w:pPr>
            <w:r>
              <w:rPr>
                <w:rFonts w:ascii="Book Antiqua" w:hAnsi="Book Antiqua"/>
              </w:rPr>
              <w:t>Increased serum levels of</w:t>
            </w:r>
            <w:r>
              <w:rPr>
                <w:rFonts w:hint="eastAsia" w:ascii="Book Antiqua" w:hAnsi="Book Antiqua"/>
                <w:lang w:eastAsia="zh-CN"/>
              </w:rPr>
              <w:t xml:space="preserve"> </w:t>
            </w:r>
            <w:r>
              <w:rPr>
                <w:rFonts w:ascii="Book Antiqua" w:hAnsi="Book Antiqua"/>
              </w:rPr>
              <w:t>miR-21, miR-34a, miR-122, and miR-451 were found in NAFLD patients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0" w:type="auto"/>
          </w:tcPr>
          <w:p>
            <w:pPr>
              <w:adjustRightInd w:val="0"/>
              <w:snapToGrid w:val="0"/>
              <w:spacing w:line="360" w:lineRule="auto"/>
              <w:jc w:val="both"/>
              <w:rPr>
                <w:rFonts w:ascii="Book Antiqua" w:hAnsi="Book Antiqua"/>
                <w:lang w:eastAsia="zh-CN"/>
              </w:rPr>
            </w:pPr>
            <w:r>
              <w:rPr>
                <w:rFonts w:ascii="Book Antiqua" w:hAnsi="Book Antiqua"/>
              </w:rPr>
              <w:t xml:space="preserve">Cheung </w:t>
            </w:r>
            <w:r>
              <w:rPr>
                <w:rFonts w:ascii="Book Antiqua" w:hAnsi="Book Antiqua"/>
                <w:i/>
              </w:rPr>
              <w:t>et al</w:t>
            </w:r>
            <w:r>
              <w:rPr>
                <w:rFonts w:ascii="Book Antiqua" w:hAnsi="Book Antiqua"/>
                <w:vertAlign w:val="superscript"/>
              </w:rPr>
              <w:t>[1</w:t>
            </w:r>
            <w:r>
              <w:rPr>
                <w:rFonts w:hint="eastAsia" w:ascii="Book Antiqua" w:hAnsi="Book Antiqua"/>
                <w:vertAlign w:val="superscript"/>
                <w:lang w:eastAsia="zh-CN"/>
              </w:rPr>
              <w:t>19</w:t>
            </w:r>
            <w:r>
              <w:rPr>
                <w:rFonts w:ascii="Book Antiqua" w:hAnsi="Book Antiqua"/>
                <w:vertAlign w:val="superscript"/>
              </w:rPr>
              <w:t>]</w:t>
            </w:r>
            <w:r>
              <w:rPr>
                <w:rFonts w:hint="eastAsia" w:ascii="Book Antiqua" w:hAnsi="Book Antiqua"/>
                <w:lang w:eastAsia="zh-CN"/>
              </w:rPr>
              <w:t xml:space="preserve"> </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 xml:space="preserve">Cross-sectional study </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 xml:space="preserve">50 patients with NASH (median age 52.5 yr) and 25 normal controls (median age 40.3 yr). NAFLD was suspected if abnormal liver enzymes or radiological </w:t>
            </w:r>
            <w:r>
              <w:rPr>
                <w:rFonts w:hint="eastAsia" w:ascii="Book Antiqua" w:hAnsi="Book Antiqua"/>
                <w:lang w:eastAsia="zh-CN"/>
              </w:rPr>
              <w:t>e</w:t>
            </w:r>
            <w:r>
              <w:rPr>
                <w:rFonts w:ascii="Book Antiqua" w:hAnsi="Book Antiqua"/>
              </w:rPr>
              <w:t>vidence of a fatty liver and negative study for other common causes of liver disease and absence of clinically significant alcohol consumption</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miR-34a and miR-146b were overexpressed in the liver of NASH patients, while miR-122 was underexpressed; miR-451 was not significantly different among the two groups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0" w:type="auto"/>
          </w:tcPr>
          <w:p>
            <w:pPr>
              <w:adjustRightInd w:val="0"/>
              <w:snapToGrid w:val="0"/>
              <w:spacing w:line="360" w:lineRule="auto"/>
              <w:jc w:val="both"/>
              <w:rPr>
                <w:rFonts w:ascii="Book Antiqua" w:hAnsi="Book Antiqua"/>
                <w:lang w:eastAsia="zh-CN"/>
              </w:rPr>
            </w:pPr>
            <w:r>
              <w:rPr>
                <w:rFonts w:ascii="Book Antiqua" w:hAnsi="Book Antiqua"/>
              </w:rPr>
              <w:t xml:space="preserve">Pirola </w:t>
            </w:r>
            <w:r>
              <w:rPr>
                <w:rFonts w:ascii="Book Antiqua" w:hAnsi="Book Antiqua"/>
                <w:i/>
              </w:rPr>
              <w:t>et al</w:t>
            </w:r>
            <w:r>
              <w:rPr>
                <w:rFonts w:ascii="Book Antiqua" w:hAnsi="Book Antiqua"/>
                <w:vertAlign w:val="superscript"/>
              </w:rPr>
              <w:t>[12</w:t>
            </w:r>
            <w:r>
              <w:rPr>
                <w:rFonts w:hint="eastAsia" w:ascii="Book Antiqua" w:hAnsi="Book Antiqua"/>
                <w:vertAlign w:val="superscript"/>
                <w:lang w:eastAsia="zh-CN"/>
              </w:rPr>
              <w:t>0</w:t>
            </w:r>
            <w:r>
              <w:rPr>
                <w:rFonts w:ascii="Book Antiqua" w:hAnsi="Book Antiqua"/>
                <w:vertAlign w:val="superscript"/>
              </w:rPr>
              <w:t>]</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 xml:space="preserve">Case-control study </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48 control patients (median age 47.8</w:t>
            </w:r>
            <w:r>
              <w:rPr>
                <w:rFonts w:hint="eastAsia" w:ascii="Book Antiqua" w:hAnsi="Book Antiqua"/>
                <w:lang w:eastAsia="zh-CN"/>
              </w:rPr>
              <w:t xml:space="preserve"> </w:t>
            </w:r>
            <w:r>
              <w:rPr>
                <w:rFonts w:ascii="Book Antiqua" w:hAnsi="Book Antiqua"/>
              </w:rPr>
              <w:t>±</w:t>
            </w:r>
            <w:r>
              <w:rPr>
                <w:rFonts w:hint="eastAsia" w:ascii="Book Antiqua" w:hAnsi="Book Antiqua"/>
                <w:lang w:eastAsia="zh-CN"/>
              </w:rPr>
              <w:t xml:space="preserve"> </w:t>
            </w:r>
            <w:r>
              <w:rPr>
                <w:rFonts w:ascii="Book Antiqua" w:hAnsi="Book Antiqua"/>
              </w:rPr>
              <w:t>6.81</w:t>
            </w:r>
            <w:r>
              <w:rPr>
                <w:rFonts w:hint="eastAsia" w:ascii="Book Antiqua" w:hAnsi="Book Antiqua"/>
                <w:lang w:eastAsia="zh-CN"/>
              </w:rPr>
              <w:t xml:space="preserve"> </w:t>
            </w:r>
            <w:r>
              <w:rPr>
                <w:rFonts w:ascii="Book Antiqua" w:hAnsi="Book Antiqua"/>
              </w:rPr>
              <w:t>yr);</w:t>
            </w:r>
            <w:r>
              <w:rPr>
                <w:rFonts w:hint="eastAsia" w:ascii="Book Antiqua" w:hAnsi="Book Antiqua"/>
                <w:lang w:eastAsia="zh-CN"/>
              </w:rPr>
              <w:t xml:space="preserve"> </w:t>
            </w:r>
            <w:r>
              <w:rPr>
                <w:rFonts w:ascii="Book Antiqua" w:hAnsi="Book Antiqua"/>
              </w:rPr>
              <w:t>16 patients with simple steatosis (median age 51.5</w:t>
            </w:r>
            <w:r>
              <w:rPr>
                <w:rFonts w:hint="eastAsia" w:ascii="Book Antiqua" w:hAnsi="Book Antiqua"/>
                <w:lang w:eastAsia="zh-CN"/>
              </w:rPr>
              <w:t xml:space="preserve"> </w:t>
            </w:r>
            <w:r>
              <w:rPr>
                <w:rFonts w:ascii="Book Antiqua" w:hAnsi="Book Antiqua"/>
              </w:rPr>
              <w:t>±</w:t>
            </w:r>
            <w:r>
              <w:rPr>
                <w:rFonts w:hint="eastAsia" w:ascii="Book Antiqua" w:hAnsi="Book Antiqua"/>
                <w:lang w:eastAsia="zh-CN"/>
              </w:rPr>
              <w:t xml:space="preserve"> </w:t>
            </w:r>
            <w:r>
              <w:rPr>
                <w:rFonts w:ascii="Book Antiqua" w:hAnsi="Book Antiqua"/>
              </w:rPr>
              <w:t>6.81</w:t>
            </w:r>
            <w:r>
              <w:rPr>
                <w:rFonts w:hint="eastAsia" w:ascii="Book Antiqua" w:hAnsi="Book Antiqua"/>
                <w:lang w:eastAsia="zh-CN"/>
              </w:rPr>
              <w:t xml:space="preserve"> </w:t>
            </w:r>
            <w:r>
              <w:rPr>
                <w:rFonts w:ascii="Book Antiqua" w:hAnsi="Book Antiqua"/>
              </w:rPr>
              <w:t>yr); 16 patients with NASH (median age 49.1 ±</w:t>
            </w:r>
            <w:r>
              <w:rPr>
                <w:rFonts w:hint="eastAsia" w:ascii="Book Antiqua" w:hAnsi="Book Antiqua"/>
                <w:lang w:eastAsia="zh-CN"/>
              </w:rPr>
              <w:t xml:space="preserve"> </w:t>
            </w:r>
            <w:r>
              <w:rPr>
                <w:rFonts w:ascii="Book Antiqua" w:hAnsi="Book Antiqua"/>
              </w:rPr>
              <w:t>8.6</w:t>
            </w:r>
            <w:r>
              <w:rPr>
                <w:rFonts w:hint="eastAsia" w:ascii="Book Antiqua" w:hAnsi="Book Antiqua"/>
                <w:lang w:eastAsia="zh-CN"/>
              </w:rPr>
              <w:t xml:space="preserve"> </w:t>
            </w:r>
            <w:r>
              <w:rPr>
                <w:rFonts w:ascii="Book Antiqua" w:hAnsi="Book Antiqua"/>
              </w:rPr>
              <w:t xml:space="preserve">yr). NAFLD was proven </w:t>
            </w:r>
            <w:r>
              <w:rPr>
                <w:rFonts w:hint="eastAsia" w:ascii="Book Antiqua" w:hAnsi="Book Antiqua"/>
                <w:lang w:eastAsia="zh-CN"/>
              </w:rPr>
              <w:t>b</w:t>
            </w:r>
            <w:r>
              <w:rPr>
                <w:rFonts w:ascii="Book Antiqua" w:hAnsi="Book Antiqua"/>
              </w:rPr>
              <w:t>y biopsy</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Increased levels of miR-122, miR-19a, miR-192, miR-19b, miR-125b, and miR-375 in serum either in SS or NASH patients were found. Reduced miR-122 levels in the liver of NASH patients were detected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0" w:type="auto"/>
          </w:tcPr>
          <w:p>
            <w:pPr>
              <w:adjustRightInd w:val="0"/>
              <w:snapToGrid w:val="0"/>
              <w:spacing w:line="360" w:lineRule="auto"/>
              <w:jc w:val="both"/>
              <w:rPr>
                <w:rFonts w:ascii="Book Antiqua" w:hAnsi="Book Antiqua"/>
                <w:lang w:eastAsia="zh-CN"/>
              </w:rPr>
            </w:pPr>
            <w:r>
              <w:rPr>
                <w:rFonts w:ascii="Book Antiqua" w:hAnsi="Book Antiqua"/>
              </w:rPr>
              <w:t xml:space="preserve">Prats-Puig </w:t>
            </w:r>
            <w:r>
              <w:rPr>
                <w:rFonts w:ascii="Book Antiqua" w:hAnsi="Book Antiqua"/>
                <w:i/>
              </w:rPr>
              <w:t>et al</w:t>
            </w:r>
            <w:r>
              <w:rPr>
                <w:rFonts w:ascii="Book Antiqua" w:hAnsi="Book Antiqua"/>
                <w:vertAlign w:val="superscript"/>
              </w:rPr>
              <w:t>[12</w:t>
            </w:r>
            <w:r>
              <w:rPr>
                <w:rFonts w:hint="eastAsia" w:ascii="Book Antiqua" w:hAnsi="Book Antiqua"/>
                <w:vertAlign w:val="superscript"/>
                <w:lang w:eastAsia="zh-CN"/>
              </w:rPr>
              <w:t>2</w:t>
            </w:r>
            <w:r>
              <w:rPr>
                <w:rFonts w:ascii="Book Antiqua" w:hAnsi="Book Antiqua"/>
                <w:vertAlign w:val="superscript"/>
              </w:rPr>
              <w:t>]</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 xml:space="preserve">Cross-sectional study </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10 lean children (median age 9.9 ±</w:t>
            </w:r>
            <w:r>
              <w:rPr>
                <w:rFonts w:hint="eastAsia" w:ascii="Book Antiqua" w:hAnsi="Book Antiqua"/>
                <w:lang w:eastAsia="zh-CN"/>
              </w:rPr>
              <w:t xml:space="preserve"> </w:t>
            </w:r>
            <w:r>
              <w:rPr>
                <w:rFonts w:ascii="Book Antiqua" w:hAnsi="Book Antiqua"/>
              </w:rPr>
              <w:t>1</w:t>
            </w:r>
            <w:r>
              <w:rPr>
                <w:rFonts w:hint="eastAsia" w:ascii="Book Antiqua" w:hAnsi="Book Antiqua"/>
                <w:lang w:eastAsia="zh-CN"/>
              </w:rPr>
              <w:t xml:space="preserve"> </w:t>
            </w:r>
            <w:r>
              <w:rPr>
                <w:rFonts w:ascii="Book Antiqua" w:hAnsi="Book Antiqua"/>
              </w:rPr>
              <w:t>yr), 5 obese children (median age 8.8 ± 1.8</w:t>
            </w:r>
            <w:r>
              <w:rPr>
                <w:rFonts w:hint="eastAsia" w:ascii="Book Antiqua" w:hAnsi="Book Antiqua"/>
                <w:lang w:eastAsia="zh-CN"/>
              </w:rPr>
              <w:t xml:space="preserve"> </w:t>
            </w:r>
            <w:r>
              <w:rPr>
                <w:rFonts w:ascii="Book Antiqua" w:hAnsi="Book Antiqua"/>
              </w:rPr>
              <w:t>yr)</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Increased miR-486</w:t>
            </w:r>
            <w:r>
              <w:rPr>
                <w:rFonts w:hint="eastAsia" w:ascii="Book Antiqua" w:hAnsi="Book Antiqua"/>
                <w:lang w:eastAsia="zh-CN"/>
              </w:rPr>
              <w:t>-</w:t>
            </w:r>
            <w:r>
              <w:rPr>
                <w:rFonts w:ascii="Book Antiqua" w:hAnsi="Book Antiqua"/>
              </w:rPr>
              <w:t>5p, miR-486</w:t>
            </w:r>
            <w:r>
              <w:rPr>
                <w:rFonts w:hint="eastAsia" w:ascii="Book Antiqua" w:hAnsi="Book Antiqua"/>
                <w:lang w:eastAsia="zh-CN"/>
              </w:rPr>
              <w:t>-</w:t>
            </w:r>
            <w:r>
              <w:rPr>
                <w:rFonts w:ascii="Book Antiqua" w:hAnsi="Book Antiqua"/>
              </w:rPr>
              <w:t>3p, miR-142</w:t>
            </w:r>
            <w:r>
              <w:rPr>
                <w:rFonts w:hint="eastAsia" w:ascii="Book Antiqua" w:hAnsi="Book Antiqua"/>
                <w:lang w:eastAsia="zh-CN"/>
              </w:rPr>
              <w:t>-</w:t>
            </w:r>
            <w:r>
              <w:rPr>
                <w:rFonts w:ascii="Book Antiqua" w:hAnsi="Book Antiqua"/>
              </w:rPr>
              <w:t>3p, miR</w:t>
            </w:r>
            <w:r>
              <w:rPr>
                <w:rFonts w:hint="eastAsia" w:ascii="Book Antiqua" w:hAnsi="Book Antiqua"/>
                <w:lang w:eastAsia="zh-CN"/>
              </w:rPr>
              <w:t>-</w:t>
            </w:r>
            <w:r>
              <w:rPr>
                <w:rFonts w:ascii="Book Antiqua" w:hAnsi="Book Antiqua"/>
              </w:rPr>
              <w:t>130b</w:t>
            </w:r>
            <w:r>
              <w:rPr>
                <w:rFonts w:hint="eastAsia" w:ascii="Book Antiqua" w:hAnsi="Book Antiqua"/>
                <w:lang w:eastAsia="zh-CN"/>
              </w:rPr>
              <w:t xml:space="preserve">, </w:t>
            </w:r>
            <w:r>
              <w:rPr>
                <w:rFonts w:ascii="Book Antiqua" w:hAnsi="Book Antiqua"/>
              </w:rPr>
              <w:t>miR-423</w:t>
            </w:r>
            <w:r>
              <w:rPr>
                <w:rFonts w:hint="eastAsia" w:ascii="Book Antiqua" w:hAnsi="Book Antiqua"/>
                <w:lang w:eastAsia="zh-CN"/>
              </w:rPr>
              <w:t>-</w:t>
            </w:r>
            <w:r>
              <w:rPr>
                <w:rFonts w:ascii="Book Antiqua" w:hAnsi="Book Antiqua"/>
              </w:rPr>
              <w:t>5p, miR-532</w:t>
            </w:r>
            <w:r>
              <w:rPr>
                <w:rFonts w:hint="eastAsia" w:ascii="Book Antiqua" w:hAnsi="Book Antiqua"/>
                <w:lang w:eastAsia="zh-CN"/>
              </w:rPr>
              <w:t>-</w:t>
            </w:r>
            <w:r>
              <w:rPr>
                <w:rFonts w:ascii="Book Antiqua" w:hAnsi="Book Antiqua"/>
              </w:rPr>
              <w:t>5p, miR140</w:t>
            </w:r>
            <w:r>
              <w:rPr>
                <w:rFonts w:hint="eastAsia" w:ascii="Book Antiqua" w:hAnsi="Book Antiqua"/>
                <w:lang w:eastAsia="zh-CN"/>
              </w:rPr>
              <w:t>-</w:t>
            </w:r>
            <w:r>
              <w:rPr>
                <w:rFonts w:ascii="Book Antiqua" w:hAnsi="Book Antiqua"/>
              </w:rPr>
              <w:t>5p, miR-16</w:t>
            </w:r>
            <w:r>
              <w:rPr>
                <w:rFonts w:hint="eastAsia" w:ascii="Book Antiqua" w:hAnsi="Book Antiqua"/>
                <w:lang w:eastAsia="zh-CN"/>
              </w:rPr>
              <w:t>-</w:t>
            </w:r>
            <w:r>
              <w:rPr>
                <w:rFonts w:ascii="Book Antiqua" w:hAnsi="Book Antiqua"/>
              </w:rPr>
              <w:t>1, miR-222, miR-363, and miR-122; decreased miR-221, miR-28–3p, miR-125b, and miR-328 in obese children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0" w:type="auto"/>
          </w:tcPr>
          <w:p>
            <w:pPr>
              <w:adjustRightInd w:val="0"/>
              <w:snapToGrid w:val="0"/>
              <w:spacing w:line="360" w:lineRule="auto"/>
              <w:jc w:val="both"/>
              <w:rPr>
                <w:rFonts w:ascii="Book Antiqua" w:hAnsi="Book Antiqua"/>
                <w:lang w:eastAsia="zh-CN"/>
              </w:rPr>
            </w:pPr>
            <w:r>
              <w:rPr>
                <w:rFonts w:ascii="Book Antiqua" w:hAnsi="Book Antiqua"/>
              </w:rPr>
              <w:t xml:space="preserve">Can </w:t>
            </w:r>
            <w:r>
              <w:rPr>
                <w:rFonts w:ascii="Book Antiqua" w:hAnsi="Book Antiqua"/>
                <w:i/>
              </w:rPr>
              <w:t>et al</w:t>
            </w:r>
            <w:r>
              <w:rPr>
                <w:rFonts w:ascii="Book Antiqua" w:hAnsi="Book Antiqua"/>
                <w:vertAlign w:val="superscript"/>
              </w:rPr>
              <w:t>[12</w:t>
            </w:r>
            <w:r>
              <w:rPr>
                <w:rFonts w:hint="eastAsia" w:ascii="Book Antiqua" w:hAnsi="Book Antiqua"/>
                <w:vertAlign w:val="superscript"/>
                <w:lang w:eastAsia="zh-CN"/>
              </w:rPr>
              <w:t>3</w:t>
            </w:r>
            <w:r>
              <w:rPr>
                <w:rFonts w:ascii="Book Antiqua" w:hAnsi="Book Antiqua"/>
                <w:vertAlign w:val="superscript"/>
              </w:rPr>
              <w:t>]</w:t>
            </w:r>
            <w:r>
              <w:rPr>
                <w:rFonts w:ascii="Book Antiqua" w:hAnsi="Book Antiqua"/>
              </w:rPr>
              <w:t xml:space="preserve"> </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 xml:space="preserve">Case-control study </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86 non obese children (median age 14.44</w:t>
            </w:r>
            <w:r>
              <w:rPr>
                <w:rFonts w:hint="eastAsia" w:ascii="Book Antiqua" w:hAnsi="Book Antiqua"/>
                <w:lang w:eastAsia="zh-CN"/>
              </w:rPr>
              <w:t xml:space="preserve"> </w:t>
            </w:r>
            <w:r>
              <w:rPr>
                <w:rFonts w:ascii="Book Antiqua" w:hAnsi="Book Antiqua"/>
              </w:rPr>
              <w:t>± 1.62</w:t>
            </w:r>
            <w:r>
              <w:rPr>
                <w:rFonts w:hint="eastAsia" w:ascii="Book Antiqua" w:hAnsi="Book Antiqua"/>
                <w:lang w:eastAsia="zh-CN"/>
              </w:rPr>
              <w:t xml:space="preserve"> </w:t>
            </w:r>
            <w:r>
              <w:rPr>
                <w:rFonts w:ascii="Book Antiqua" w:hAnsi="Book Antiqua"/>
              </w:rPr>
              <w:t>yr); 45 obese children (median age 14.71</w:t>
            </w:r>
            <w:r>
              <w:rPr>
                <w:rFonts w:hint="eastAsia" w:ascii="Book Antiqua" w:hAnsi="Book Antiqua"/>
                <w:lang w:eastAsia="zh-CN"/>
              </w:rPr>
              <w:t xml:space="preserve"> </w:t>
            </w:r>
            <w:r>
              <w:rPr>
                <w:rFonts w:ascii="Book Antiqua" w:hAnsi="Book Antiqua"/>
              </w:rPr>
              <w:t>± 1.76</w:t>
            </w:r>
            <w:r>
              <w:rPr>
                <w:rFonts w:hint="eastAsia" w:ascii="Book Antiqua" w:hAnsi="Book Antiqua"/>
                <w:lang w:eastAsia="zh-CN"/>
              </w:rPr>
              <w:t xml:space="preserve"> </w:t>
            </w:r>
            <w:r>
              <w:rPr>
                <w:rFonts w:ascii="Book Antiqua" w:hAnsi="Book Antiqua"/>
              </w:rPr>
              <w:t>yr)</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Reduced miR-335, miR-143, miR-758 and increased miR-27, miR-378, and miR-370 in the serum of obese children were detected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0" w:type="auto"/>
          </w:tcPr>
          <w:p>
            <w:pPr>
              <w:adjustRightInd w:val="0"/>
              <w:snapToGrid w:val="0"/>
              <w:spacing w:line="360" w:lineRule="auto"/>
              <w:jc w:val="both"/>
              <w:rPr>
                <w:rFonts w:ascii="Book Antiqua" w:hAnsi="Book Antiqua"/>
              </w:rPr>
            </w:pPr>
            <w:r>
              <w:rPr>
                <w:rFonts w:ascii="Book Antiqua" w:hAnsi="Book Antiqua"/>
              </w:rPr>
              <w:t xml:space="preserve">Cui </w:t>
            </w:r>
            <w:r>
              <w:rPr>
                <w:rFonts w:ascii="Book Antiqua" w:hAnsi="Book Antiqua"/>
                <w:i/>
              </w:rPr>
              <w:t>et al</w:t>
            </w:r>
            <w:r>
              <w:rPr>
                <w:rFonts w:ascii="Book Antiqua" w:hAnsi="Book Antiqua"/>
                <w:vertAlign w:val="superscript"/>
              </w:rPr>
              <w:t>[12</w:t>
            </w:r>
            <w:r>
              <w:rPr>
                <w:rFonts w:hint="eastAsia" w:ascii="Book Antiqua" w:hAnsi="Book Antiqua"/>
                <w:vertAlign w:val="superscript"/>
                <w:lang w:eastAsia="zh-CN"/>
              </w:rPr>
              <w:t>4</w:t>
            </w:r>
            <w:r>
              <w:rPr>
                <w:rFonts w:ascii="Book Antiqua" w:hAnsi="Book Antiqua"/>
                <w:vertAlign w:val="superscript"/>
              </w:rPr>
              <w:t>]</w:t>
            </w:r>
            <w:r>
              <w:rPr>
                <w:rFonts w:ascii="Book Antiqua" w:hAnsi="Book Antiqua"/>
              </w:rPr>
              <w:t xml:space="preserve"> </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 xml:space="preserve">Cross-sectional study </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535 obese patients (median age 61.0</w:t>
            </w:r>
            <w:r>
              <w:rPr>
                <w:rFonts w:hint="eastAsia" w:ascii="Book Antiqua" w:hAnsi="Book Antiqua"/>
                <w:lang w:eastAsia="zh-CN"/>
              </w:rPr>
              <w:t xml:space="preserve"> </w:t>
            </w:r>
            <w:r>
              <w:rPr>
                <w:rFonts w:ascii="Book Antiqua" w:hAnsi="Book Antiqua"/>
              </w:rPr>
              <w:t>±</w:t>
            </w:r>
            <w:r>
              <w:rPr>
                <w:rFonts w:hint="eastAsia" w:ascii="Book Antiqua" w:hAnsi="Book Antiqua"/>
                <w:lang w:eastAsia="zh-CN"/>
              </w:rPr>
              <w:t xml:space="preserve"> </w:t>
            </w:r>
            <w:r>
              <w:rPr>
                <w:rFonts w:ascii="Book Antiqua" w:hAnsi="Book Antiqua"/>
              </w:rPr>
              <w:t>10.4</w:t>
            </w:r>
            <w:r>
              <w:rPr>
                <w:rFonts w:hint="eastAsia" w:ascii="Book Antiqua" w:hAnsi="Book Antiqua"/>
                <w:lang w:eastAsia="zh-CN"/>
              </w:rPr>
              <w:t xml:space="preserve"> </w:t>
            </w:r>
            <w:r>
              <w:rPr>
                <w:rFonts w:ascii="Book Antiqua" w:hAnsi="Book Antiqua"/>
              </w:rPr>
              <w:t>yr); 106 OW patients (median age 59.6 ±</w:t>
            </w:r>
            <w:r>
              <w:rPr>
                <w:rFonts w:hint="eastAsia" w:ascii="Book Antiqua" w:hAnsi="Book Antiqua"/>
                <w:lang w:eastAsia="zh-CN"/>
              </w:rPr>
              <w:t xml:space="preserve"> </w:t>
            </w:r>
            <w:r>
              <w:rPr>
                <w:rFonts w:ascii="Book Antiqua" w:hAnsi="Book Antiqua"/>
              </w:rPr>
              <w:t>11.0</w:t>
            </w:r>
            <w:r>
              <w:rPr>
                <w:rFonts w:hint="eastAsia" w:ascii="Book Antiqua" w:hAnsi="Book Antiqua"/>
                <w:lang w:eastAsia="zh-CN"/>
              </w:rPr>
              <w:t xml:space="preserve"> </w:t>
            </w:r>
            <w:r>
              <w:rPr>
                <w:rFonts w:ascii="Book Antiqua" w:hAnsi="Book Antiqua"/>
              </w:rPr>
              <w:t>yr); 101 patients with T2D (median age 57.5 ±</w:t>
            </w:r>
            <w:r>
              <w:rPr>
                <w:rFonts w:hint="eastAsia" w:ascii="Book Antiqua" w:hAnsi="Book Antiqua"/>
                <w:lang w:eastAsia="zh-CN"/>
              </w:rPr>
              <w:t xml:space="preserve"> </w:t>
            </w:r>
            <w:r>
              <w:rPr>
                <w:rFonts w:ascii="Book Antiqua" w:hAnsi="Book Antiqua"/>
              </w:rPr>
              <w:t>12.2</w:t>
            </w:r>
            <w:r>
              <w:rPr>
                <w:rFonts w:hint="eastAsia" w:ascii="Book Antiqua" w:hAnsi="Book Antiqua"/>
                <w:lang w:eastAsia="zh-CN"/>
              </w:rPr>
              <w:t xml:space="preserve"> </w:t>
            </w:r>
            <w:r>
              <w:rPr>
                <w:rFonts w:ascii="Book Antiqua" w:hAnsi="Book Antiqua"/>
              </w:rPr>
              <w:t>yr); 82 with NGT (median age 49.3</w:t>
            </w:r>
            <w:r>
              <w:rPr>
                <w:rFonts w:hint="eastAsia" w:ascii="Book Antiqua" w:hAnsi="Book Antiqua"/>
                <w:lang w:eastAsia="zh-CN"/>
              </w:rPr>
              <w:t xml:space="preserve"> </w:t>
            </w:r>
            <w:r>
              <w:rPr>
                <w:rFonts w:ascii="Book Antiqua" w:hAnsi="Book Antiqua"/>
              </w:rPr>
              <w:t>± 7.73 yr); 146 normal controls (median age 60.4 ±</w:t>
            </w:r>
            <w:r>
              <w:rPr>
                <w:rFonts w:hint="eastAsia" w:ascii="Book Antiqua" w:hAnsi="Book Antiqua"/>
                <w:lang w:eastAsia="zh-CN"/>
              </w:rPr>
              <w:t xml:space="preserve"> </w:t>
            </w:r>
            <w:r>
              <w:rPr>
                <w:rFonts w:ascii="Book Antiqua" w:hAnsi="Book Antiqua"/>
              </w:rPr>
              <w:t>11.1</w:t>
            </w:r>
            <w:r>
              <w:rPr>
                <w:rFonts w:hint="eastAsia" w:ascii="Book Antiqua" w:hAnsi="Book Antiqua"/>
                <w:lang w:eastAsia="zh-CN"/>
              </w:rPr>
              <w:t xml:space="preserve"> </w:t>
            </w:r>
            <w:r>
              <w:rPr>
                <w:rFonts w:ascii="Book Antiqua" w:hAnsi="Book Antiqua"/>
              </w:rPr>
              <w:t>yr)</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miR-486,</w:t>
            </w:r>
            <w:r>
              <w:rPr>
                <w:rFonts w:hint="eastAsia" w:ascii="Book Antiqua" w:hAnsi="Book Antiqua"/>
                <w:lang w:eastAsia="zh-CN"/>
              </w:rPr>
              <w:t xml:space="preserve"> </w:t>
            </w:r>
            <w:r>
              <w:rPr>
                <w:rFonts w:ascii="Book Antiqua" w:hAnsi="Book Antiqua"/>
              </w:rPr>
              <w:t>miR-146b and miR-15b were increased in the serum of obese children and T2D patients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0" w:type="auto"/>
          </w:tcPr>
          <w:p>
            <w:pPr>
              <w:adjustRightInd w:val="0"/>
              <w:snapToGrid w:val="0"/>
              <w:spacing w:line="360" w:lineRule="auto"/>
              <w:jc w:val="both"/>
              <w:rPr>
                <w:rFonts w:ascii="Book Antiqua" w:hAnsi="Book Antiqua"/>
              </w:rPr>
            </w:pPr>
            <w:r>
              <w:rPr>
                <w:rFonts w:ascii="Book Antiqua" w:hAnsi="Book Antiqua"/>
              </w:rPr>
              <w:t xml:space="preserve">Iacomino </w:t>
            </w:r>
            <w:r>
              <w:rPr>
                <w:rFonts w:ascii="Book Antiqua" w:hAnsi="Book Antiqua"/>
                <w:i/>
              </w:rPr>
              <w:t>et al</w:t>
            </w:r>
            <w:r>
              <w:rPr>
                <w:rFonts w:ascii="Book Antiqua" w:hAnsi="Book Antiqua"/>
                <w:vertAlign w:val="superscript"/>
              </w:rPr>
              <w:t>[125]</w:t>
            </w:r>
            <w:r>
              <w:rPr>
                <w:rFonts w:ascii="Book Antiqua" w:hAnsi="Book Antiqua"/>
              </w:rPr>
              <w:t xml:space="preserve"> </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 xml:space="preserve">Cross-sectional study </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189 children (median age 12.0</w:t>
            </w:r>
            <w:r>
              <w:rPr>
                <w:rFonts w:hint="eastAsia" w:ascii="Book Antiqua" w:hAnsi="Book Antiqua"/>
                <w:lang w:eastAsia="zh-CN"/>
              </w:rPr>
              <w:t xml:space="preserve"> </w:t>
            </w:r>
            <w:r>
              <w:rPr>
                <w:rFonts w:ascii="Book Antiqua" w:hAnsi="Book Antiqua"/>
              </w:rPr>
              <w:t>±</w:t>
            </w:r>
            <w:r>
              <w:rPr>
                <w:rFonts w:hint="eastAsia" w:ascii="Book Antiqua" w:hAnsi="Book Antiqua"/>
                <w:lang w:eastAsia="zh-CN"/>
              </w:rPr>
              <w:t xml:space="preserve"> </w:t>
            </w:r>
            <w:r>
              <w:rPr>
                <w:rFonts w:ascii="Book Antiqua" w:hAnsi="Book Antiqua"/>
              </w:rPr>
              <w:t>1.6</w:t>
            </w:r>
            <w:r>
              <w:rPr>
                <w:rFonts w:hint="eastAsia" w:ascii="Book Antiqua" w:hAnsi="Book Antiqua"/>
                <w:lang w:eastAsia="zh-CN"/>
              </w:rPr>
              <w:t xml:space="preserve"> </w:t>
            </w:r>
            <w:r>
              <w:rPr>
                <w:rFonts w:ascii="Book Antiqua" w:hAnsi="Book Antiqua"/>
              </w:rPr>
              <w:t>yr) and 94 OW/Ob children (median age 12.3 ± 1.8</w:t>
            </w:r>
            <w:r>
              <w:rPr>
                <w:rFonts w:hint="eastAsia" w:ascii="Book Antiqua" w:hAnsi="Book Antiqua"/>
                <w:lang w:eastAsia="zh-CN"/>
              </w:rPr>
              <w:t xml:space="preserve"> </w:t>
            </w:r>
            <w:r>
              <w:rPr>
                <w:rFonts w:ascii="Book Antiqua" w:hAnsi="Book Antiqua"/>
              </w:rPr>
              <w:t>yr)</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Increased miR-551a and miR-501-5p and reduced miR-10b-5p, miR-191-3p, miR-215-5p, and miR-874-3p levels in the serum of OW/Ob children were found</w:t>
            </w:r>
          </w:p>
        </w:tc>
      </w:tr>
    </w:tbl>
    <w:p>
      <w:pPr>
        <w:spacing w:line="360" w:lineRule="auto"/>
        <w:jc w:val="both"/>
        <w:rPr>
          <w:rFonts w:ascii="Book Antiqua" w:hAnsi="Book Antiqua"/>
          <w:lang w:eastAsia="zh-CN"/>
        </w:rPr>
      </w:pPr>
      <w:r>
        <w:rPr>
          <w:rFonts w:ascii="Book Antiqua" w:hAnsi="Book Antiqua"/>
          <w:lang w:eastAsia="zh-CN"/>
        </w:rPr>
        <w:t>NASH: Non</w:t>
      </w:r>
      <w:r>
        <w:rPr>
          <w:rFonts w:hint="eastAsia" w:ascii="Book Antiqua" w:hAnsi="Book Antiqua"/>
          <w:lang w:eastAsia="zh-CN"/>
        </w:rPr>
        <w:t>-</w:t>
      </w:r>
      <w:r>
        <w:rPr>
          <w:rFonts w:ascii="Book Antiqua" w:hAnsi="Book Antiqua"/>
          <w:lang w:eastAsia="zh-CN"/>
        </w:rPr>
        <w:t xml:space="preserve">alcoholic steatohepatitis; miR: </w:t>
      </w:r>
      <w:r>
        <w:rPr>
          <w:rFonts w:hint="eastAsia" w:ascii="Book Antiqua" w:hAnsi="Book Antiqua"/>
          <w:lang w:eastAsia="zh-CN"/>
        </w:rPr>
        <w:t>M</w:t>
      </w:r>
      <w:r>
        <w:rPr>
          <w:rFonts w:ascii="Book Antiqua" w:hAnsi="Book Antiqua"/>
          <w:lang w:eastAsia="zh-CN"/>
        </w:rPr>
        <w:t>icroRNA; NAFLD: Non</w:t>
      </w:r>
      <w:r>
        <w:rPr>
          <w:rFonts w:hint="eastAsia" w:ascii="Book Antiqua" w:hAnsi="Book Antiqua"/>
          <w:lang w:eastAsia="zh-CN"/>
        </w:rPr>
        <w:t>-</w:t>
      </w:r>
      <w:r>
        <w:rPr>
          <w:rFonts w:ascii="Book Antiqua" w:hAnsi="Book Antiqua"/>
          <w:lang w:eastAsia="zh-CN"/>
        </w:rPr>
        <w:t xml:space="preserve">alcoholic fatty liver disease; SS: </w:t>
      </w:r>
      <w:r>
        <w:rPr>
          <w:rFonts w:hint="eastAsia" w:ascii="Book Antiqua" w:hAnsi="Book Antiqua"/>
          <w:lang w:eastAsia="zh-CN"/>
        </w:rPr>
        <w:t>S</w:t>
      </w:r>
      <w:r>
        <w:rPr>
          <w:rFonts w:ascii="Book Antiqua" w:hAnsi="Book Antiqua"/>
          <w:lang w:eastAsia="zh-CN"/>
        </w:rPr>
        <w:t>imple steatosis; T2D: Type 2 diabetes; NGT: Normal glucose tolerance controls; OW/Ob: overweight/obese.</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t xml:space="preserve">Table 3 </w:t>
      </w:r>
      <w:bookmarkStart w:id="94" w:name="OLE_LINK470"/>
      <w:bookmarkStart w:id="95" w:name="OLE_LINK469"/>
      <w:r>
        <w:rPr>
          <w:rFonts w:ascii="Book Antiqua" w:hAnsi="Book Antiqua"/>
          <w:b/>
          <w:lang w:eastAsia="zh-CN"/>
        </w:rPr>
        <w:t xml:space="preserve">Main </w:t>
      </w:r>
      <w:bookmarkStart w:id="96" w:name="OLE_LINK471"/>
      <w:bookmarkStart w:id="97" w:name="OLE_LINK472"/>
      <w:r>
        <w:rPr>
          <w:rFonts w:ascii="Book Antiqua" w:hAnsi="Book Antiqua"/>
          <w:b/>
          <w:lang w:eastAsia="zh-CN"/>
        </w:rPr>
        <w:t xml:space="preserve">results </w:t>
      </w:r>
      <w:bookmarkEnd w:id="96"/>
      <w:bookmarkEnd w:id="97"/>
      <w:r>
        <w:rPr>
          <w:rFonts w:ascii="Book Antiqua" w:hAnsi="Book Antiqua"/>
          <w:b/>
          <w:lang w:eastAsia="zh-CN"/>
        </w:rPr>
        <w:t>of human proteomics studies in non-alcoholic fatty liver disease</w:t>
      </w:r>
      <w:bookmarkEnd w:id="94"/>
      <w:bookmarkEnd w:id="95"/>
    </w:p>
    <w:tbl>
      <w:tblPr>
        <w:tblStyle w:val="10"/>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52"/>
        <w:gridCol w:w="1277"/>
        <w:gridCol w:w="2886"/>
        <w:gridCol w:w="38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b/>
                <w:bCs/>
                <w:lang w:eastAsia="zh-CN"/>
              </w:rPr>
            </w:pPr>
            <w:r>
              <w:rPr>
                <w:rFonts w:ascii="Book Antiqua" w:hAnsi="Book Antiqua"/>
                <w:b/>
              </w:rPr>
              <w:t>Ref</w:t>
            </w:r>
            <w:r>
              <w:rPr>
                <w:rFonts w:hint="eastAsia" w:ascii="Book Antiqua" w:hAnsi="Book Antiqua"/>
                <w:b/>
                <w:lang w:eastAsia="zh-CN"/>
              </w:rPr>
              <w:t>.</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b/>
                <w:bCs/>
                <w:lang w:val="en-GB" w:eastAsia="zh-CN"/>
              </w:rPr>
            </w:pPr>
            <w:r>
              <w:rPr>
                <w:rFonts w:ascii="Book Antiqua" w:hAnsi="Book Antiqua"/>
                <w:b/>
              </w:rPr>
              <w:t>Study design</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b/>
                <w:bCs/>
                <w:lang w:val="en-GB" w:eastAsia="zh-CN"/>
              </w:rPr>
            </w:pPr>
            <w:r>
              <w:rPr>
                <w:rFonts w:ascii="Book Antiqua" w:hAnsi="Book Antiqua"/>
                <w:b/>
              </w:rPr>
              <w:t>Population (</w:t>
            </w:r>
            <w:r>
              <w:rPr>
                <w:rFonts w:ascii="Book Antiqua" w:hAnsi="Book Antiqua"/>
                <w:b/>
                <w:i/>
              </w:rPr>
              <w:t>n</w:t>
            </w:r>
            <w:r>
              <w:rPr>
                <w:rFonts w:ascii="Book Antiqua" w:hAnsi="Book Antiqua"/>
                <w:b/>
              </w:rPr>
              <w:t>)</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b/>
                <w:bCs/>
                <w:lang w:val="en-GB"/>
              </w:rPr>
            </w:pPr>
            <w:r>
              <w:rPr>
                <w:rFonts w:ascii="Book Antiqua" w:hAnsi="Book Antiqua"/>
                <w:b/>
              </w:rPr>
              <w:t>Main findings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tcBorders>
              <w:top w:val="single" w:color="auto" w:sz="4" w:space="0"/>
            </w:tcBorders>
          </w:tcPr>
          <w:p>
            <w:pPr>
              <w:adjustRightInd w:val="0"/>
              <w:snapToGrid w:val="0"/>
              <w:spacing w:line="360" w:lineRule="auto"/>
              <w:jc w:val="both"/>
              <w:rPr>
                <w:rFonts w:ascii="Book Antiqua" w:hAnsi="Book Antiqua"/>
                <w:b/>
                <w:bCs/>
                <w:lang w:eastAsia="zh-CN"/>
              </w:rPr>
            </w:pPr>
            <w:r>
              <w:rPr>
                <w:rFonts w:ascii="Book Antiqua" w:hAnsi="Book Antiqua"/>
              </w:rPr>
              <w:t xml:space="preserve">Cusi </w:t>
            </w:r>
            <w:r>
              <w:rPr>
                <w:rFonts w:ascii="Book Antiqua" w:hAnsi="Book Antiqua"/>
                <w:i/>
              </w:rPr>
              <w:t>et al</w:t>
            </w:r>
            <w:r>
              <w:rPr>
                <w:rFonts w:ascii="Book Antiqua" w:hAnsi="Book Antiqua"/>
                <w:vertAlign w:val="superscript"/>
              </w:rPr>
              <w:t>[1</w:t>
            </w:r>
            <w:r>
              <w:rPr>
                <w:rFonts w:hint="eastAsia" w:ascii="Book Antiqua" w:hAnsi="Book Antiqua"/>
                <w:vertAlign w:val="superscript"/>
                <w:lang w:eastAsia="zh-CN"/>
              </w:rPr>
              <w:t>29</w:t>
            </w:r>
            <w:r>
              <w:rPr>
                <w:rFonts w:ascii="Book Antiqua" w:hAnsi="Book Antiqua"/>
                <w:vertAlign w:val="superscript"/>
              </w:rPr>
              <w:t>]</w:t>
            </w:r>
            <w:r>
              <w:rPr>
                <w:rFonts w:ascii="Book Antiqua" w:hAnsi="Book Antiqua"/>
              </w:rPr>
              <w:t xml:space="preserve"> </w:t>
            </w:r>
          </w:p>
        </w:tc>
        <w:tc>
          <w:tcPr>
            <w:tcW w:w="0" w:type="auto"/>
            <w:tcBorders>
              <w:top w:val="single" w:color="auto" w:sz="4" w:space="0"/>
            </w:tcBorders>
          </w:tcPr>
          <w:p>
            <w:pPr>
              <w:adjustRightInd w:val="0"/>
              <w:snapToGrid w:val="0"/>
              <w:spacing w:line="360" w:lineRule="auto"/>
              <w:jc w:val="both"/>
              <w:rPr>
                <w:rFonts w:ascii="Book Antiqua" w:hAnsi="Book Antiqua"/>
                <w:b/>
                <w:bCs/>
                <w:lang w:val="en-GB" w:eastAsia="zh-CN"/>
              </w:rPr>
            </w:pPr>
            <w:r>
              <w:rPr>
                <w:rFonts w:ascii="Book Antiqua" w:hAnsi="Book Antiqua"/>
              </w:rPr>
              <w:t xml:space="preserve">Case-control study </w:t>
            </w:r>
          </w:p>
        </w:tc>
        <w:tc>
          <w:tcPr>
            <w:tcW w:w="0" w:type="auto"/>
            <w:tcBorders>
              <w:top w:val="single" w:color="auto" w:sz="4" w:space="0"/>
            </w:tcBorders>
          </w:tcPr>
          <w:p>
            <w:pPr>
              <w:adjustRightInd w:val="0"/>
              <w:snapToGrid w:val="0"/>
              <w:spacing w:line="360" w:lineRule="auto"/>
              <w:jc w:val="both"/>
              <w:rPr>
                <w:rFonts w:ascii="Book Antiqua" w:hAnsi="Book Antiqua"/>
                <w:lang w:eastAsia="zh-CN"/>
              </w:rPr>
            </w:pPr>
            <w:r>
              <w:rPr>
                <w:rFonts w:ascii="Book Antiqua" w:hAnsi="Book Antiqua"/>
              </w:rPr>
              <w:t>300 subjects with NAFLD (median age 52</w:t>
            </w:r>
            <w:r>
              <w:rPr>
                <w:rFonts w:hint="eastAsia" w:ascii="Book Antiqua" w:hAnsi="Book Antiqua"/>
                <w:lang w:eastAsia="zh-CN"/>
              </w:rPr>
              <w:t xml:space="preserve"> </w:t>
            </w:r>
            <w:r>
              <w:rPr>
                <w:rFonts w:ascii="Book Antiqua" w:hAnsi="Book Antiqua"/>
              </w:rPr>
              <w:t>±</w:t>
            </w:r>
            <w:r>
              <w:rPr>
                <w:rFonts w:hint="eastAsia" w:ascii="Book Antiqua" w:hAnsi="Book Antiqua"/>
                <w:lang w:eastAsia="zh-CN"/>
              </w:rPr>
              <w:t xml:space="preserve"> </w:t>
            </w:r>
            <w:r>
              <w:rPr>
                <w:rFonts w:ascii="Book Antiqua" w:hAnsi="Book Antiqua"/>
              </w:rPr>
              <w:t>1</w:t>
            </w:r>
            <w:r>
              <w:rPr>
                <w:rFonts w:hint="eastAsia" w:ascii="Book Antiqua" w:hAnsi="Book Antiqua"/>
                <w:lang w:eastAsia="zh-CN"/>
              </w:rPr>
              <w:t xml:space="preserve"> </w:t>
            </w:r>
            <w:r>
              <w:rPr>
                <w:rFonts w:ascii="Book Antiqua" w:hAnsi="Book Antiqua"/>
              </w:rPr>
              <w:t xml:space="preserve">yr) and 124 without </w:t>
            </w:r>
            <w:r>
              <w:rPr>
                <w:rFonts w:ascii="Book Antiqua" w:hAnsi="Book Antiqua"/>
                <w:color w:val="212121"/>
                <w:shd w:val="clear" w:color="auto" w:fill="FFFFFF"/>
              </w:rPr>
              <w:t>NAFLD (median age 51</w:t>
            </w:r>
            <w:r>
              <w:rPr>
                <w:rFonts w:hint="eastAsia" w:ascii="Book Antiqua" w:hAnsi="Book Antiqua"/>
                <w:color w:val="212121"/>
                <w:shd w:val="clear" w:color="auto" w:fill="FFFFFF"/>
                <w:lang w:eastAsia="zh-CN"/>
              </w:rPr>
              <w:t xml:space="preserve"> </w:t>
            </w:r>
            <w:r>
              <w:rPr>
                <w:rFonts w:ascii="Book Antiqua" w:hAnsi="Book Antiqua"/>
                <w:color w:val="212121"/>
                <w:shd w:val="clear" w:color="auto" w:fill="FFFFFF"/>
              </w:rPr>
              <w:t>±</w:t>
            </w:r>
            <w:r>
              <w:rPr>
                <w:rFonts w:hint="eastAsia" w:ascii="Book Antiqua" w:hAnsi="Book Antiqua"/>
                <w:color w:val="212121"/>
                <w:shd w:val="clear" w:color="auto" w:fill="FFFFFF"/>
                <w:lang w:eastAsia="zh-CN"/>
              </w:rPr>
              <w:t xml:space="preserve"> </w:t>
            </w:r>
            <w:r>
              <w:rPr>
                <w:rFonts w:ascii="Book Antiqua" w:hAnsi="Book Antiqua"/>
                <w:color w:val="212121"/>
                <w:shd w:val="clear" w:color="auto" w:fill="FFFFFF"/>
              </w:rPr>
              <w:t>1</w:t>
            </w:r>
            <w:r>
              <w:rPr>
                <w:rFonts w:hint="eastAsia" w:ascii="Book Antiqua" w:hAnsi="Book Antiqua"/>
                <w:color w:val="212121"/>
                <w:shd w:val="clear" w:color="auto" w:fill="FFFFFF"/>
                <w:lang w:eastAsia="zh-CN"/>
              </w:rPr>
              <w:t xml:space="preserve"> </w:t>
            </w:r>
            <w:r>
              <w:rPr>
                <w:rFonts w:ascii="Book Antiqua" w:hAnsi="Book Antiqua"/>
                <w:color w:val="212121"/>
                <w:shd w:val="clear" w:color="auto" w:fill="FFFFFF"/>
              </w:rPr>
              <w:t>yr). NAFLD was proven by MRS, biopsy, or US</w:t>
            </w:r>
          </w:p>
        </w:tc>
        <w:tc>
          <w:tcPr>
            <w:tcW w:w="0" w:type="auto"/>
            <w:tcBorders>
              <w:top w:val="single" w:color="auto" w:sz="4" w:space="0"/>
            </w:tcBorders>
          </w:tcPr>
          <w:p>
            <w:pPr>
              <w:adjustRightInd w:val="0"/>
              <w:snapToGrid w:val="0"/>
              <w:spacing w:line="360" w:lineRule="auto"/>
              <w:jc w:val="both"/>
              <w:rPr>
                <w:rFonts w:ascii="Book Antiqua" w:hAnsi="Book Antiqua"/>
                <w:b/>
                <w:bCs/>
                <w:lang w:val="en-GB" w:eastAsia="zh-CN"/>
              </w:rPr>
            </w:pPr>
            <w:r>
              <w:rPr>
                <w:rFonts w:ascii="Book Antiqua" w:hAnsi="Book Antiqua"/>
              </w:rPr>
              <w:t>Increased plasma CK-18 in steatosis, inflammation, and fibrosis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Pr>
          <w:p>
            <w:pPr>
              <w:adjustRightInd w:val="0"/>
              <w:snapToGrid w:val="0"/>
              <w:spacing w:line="360" w:lineRule="auto"/>
              <w:jc w:val="both"/>
              <w:rPr>
                <w:rFonts w:ascii="Book Antiqua" w:hAnsi="Book Antiqua"/>
                <w:b/>
                <w:bCs/>
              </w:rPr>
            </w:pPr>
            <w:r>
              <w:rPr>
                <w:rFonts w:ascii="Book Antiqua" w:hAnsi="Book Antiqua"/>
                <w:color w:val="212121"/>
                <w:shd w:val="clear" w:color="auto" w:fill="FFFFFF"/>
              </w:rPr>
              <w:t xml:space="preserve">Sookoian </w:t>
            </w:r>
            <w:r>
              <w:rPr>
                <w:rFonts w:ascii="Book Antiqua" w:hAnsi="Book Antiqua"/>
                <w:i/>
                <w:color w:val="212121"/>
                <w:shd w:val="clear" w:color="auto" w:fill="FFFFFF"/>
              </w:rPr>
              <w:t>et al</w:t>
            </w:r>
            <w:r>
              <w:rPr>
                <w:rFonts w:ascii="Book Antiqua" w:hAnsi="Book Antiqua"/>
                <w:color w:val="212121"/>
                <w:shd w:val="clear" w:color="auto" w:fill="FFFFFF"/>
                <w:vertAlign w:val="superscript"/>
              </w:rPr>
              <w:t>[13</w:t>
            </w:r>
            <w:r>
              <w:rPr>
                <w:rFonts w:hint="eastAsia" w:ascii="Book Antiqua" w:hAnsi="Book Antiqua"/>
                <w:color w:val="212121"/>
                <w:shd w:val="clear" w:color="auto" w:fill="FFFFFF"/>
                <w:vertAlign w:val="superscript"/>
                <w:lang w:eastAsia="zh-CN"/>
              </w:rPr>
              <w:t>0</w:t>
            </w:r>
            <w:r>
              <w:rPr>
                <w:rFonts w:ascii="Book Antiqua" w:hAnsi="Book Antiqua"/>
                <w:color w:val="212121"/>
                <w:shd w:val="clear" w:color="auto" w:fill="FFFFFF"/>
                <w:vertAlign w:val="superscript"/>
              </w:rPr>
              <w:t>]</w:t>
            </w:r>
            <w:r>
              <w:rPr>
                <w:rFonts w:ascii="Book Antiqua" w:hAnsi="Book Antiqua"/>
              </w:rPr>
              <w:t xml:space="preserve"> </w:t>
            </w:r>
          </w:p>
        </w:tc>
        <w:tc>
          <w:tcPr>
            <w:tcW w:w="0" w:type="auto"/>
          </w:tcPr>
          <w:p>
            <w:pPr>
              <w:adjustRightInd w:val="0"/>
              <w:snapToGrid w:val="0"/>
              <w:spacing w:line="360" w:lineRule="auto"/>
              <w:jc w:val="both"/>
              <w:rPr>
                <w:rFonts w:ascii="Book Antiqua" w:hAnsi="Book Antiqua"/>
                <w:b/>
                <w:bCs/>
                <w:lang w:val="en-GB"/>
              </w:rPr>
            </w:pPr>
            <w:r>
              <w:rPr>
                <w:rFonts w:ascii="Book Antiqua" w:hAnsi="Book Antiqua"/>
              </w:rPr>
              <w:t xml:space="preserve">Cross- sectional study </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101 subjects with simple steatosis (median age 52.3</w:t>
            </w:r>
            <w:r>
              <w:rPr>
                <w:rFonts w:hint="eastAsia" w:ascii="Book Antiqua" w:hAnsi="Book Antiqua"/>
                <w:lang w:eastAsia="zh-CN"/>
              </w:rPr>
              <w:t xml:space="preserve"> </w:t>
            </w:r>
            <w:r>
              <w:rPr>
                <w:rFonts w:ascii="Book Antiqua" w:hAnsi="Book Antiqua"/>
              </w:rPr>
              <w:t xml:space="preserve">yr) and 60 NASH </w:t>
            </w:r>
            <w:r>
              <w:rPr>
                <w:rFonts w:hint="eastAsia" w:ascii="Book Antiqua" w:hAnsi="Book Antiqua"/>
                <w:lang w:eastAsia="zh-CN"/>
              </w:rPr>
              <w:t>p</w:t>
            </w:r>
            <w:r>
              <w:rPr>
                <w:rFonts w:ascii="Book Antiqua" w:hAnsi="Book Antiqua"/>
              </w:rPr>
              <w:t>atients (median age 54.6</w:t>
            </w:r>
            <w:r>
              <w:rPr>
                <w:rFonts w:hint="eastAsia" w:ascii="Book Antiqua" w:hAnsi="Book Antiqua"/>
                <w:lang w:eastAsia="zh-CN"/>
              </w:rPr>
              <w:t xml:space="preserve"> </w:t>
            </w:r>
            <w:r>
              <w:rPr>
                <w:rFonts w:ascii="Book Antiqua" w:hAnsi="Book Antiqua"/>
              </w:rPr>
              <w:t>yr). NAFLD was proven by biopsy</w:t>
            </w:r>
          </w:p>
        </w:tc>
        <w:tc>
          <w:tcPr>
            <w:tcW w:w="0" w:type="auto"/>
          </w:tcPr>
          <w:p>
            <w:pPr>
              <w:adjustRightInd w:val="0"/>
              <w:snapToGrid w:val="0"/>
              <w:spacing w:line="360" w:lineRule="auto"/>
              <w:jc w:val="both"/>
              <w:rPr>
                <w:rFonts w:ascii="Book Antiqua" w:hAnsi="Book Antiqua"/>
                <w:b/>
                <w:bCs/>
                <w:lang w:val="en-GB" w:eastAsia="zh-CN"/>
              </w:rPr>
            </w:pPr>
            <w:r>
              <w:rPr>
                <w:rFonts w:ascii="Book Antiqua" w:hAnsi="Book Antiqua"/>
              </w:rPr>
              <w:t>sICAM-1 is able to differentiate between patients with simple steatosis and NASH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0" w:type="auto"/>
          </w:tcPr>
          <w:p>
            <w:pPr>
              <w:adjustRightInd w:val="0"/>
              <w:snapToGrid w:val="0"/>
              <w:spacing w:line="360" w:lineRule="auto"/>
              <w:jc w:val="both"/>
              <w:rPr>
                <w:rFonts w:ascii="Book Antiqua" w:hAnsi="Book Antiqua"/>
                <w:b/>
                <w:bCs/>
                <w:lang w:val="en-GB" w:eastAsia="zh-CN"/>
              </w:rPr>
            </w:pPr>
            <w:r>
              <w:rPr>
                <w:rFonts w:ascii="Book Antiqua" w:hAnsi="Book Antiqua"/>
              </w:rPr>
              <w:t xml:space="preserve">Rodriguez-Suarez </w:t>
            </w:r>
            <w:r>
              <w:rPr>
                <w:rFonts w:ascii="Book Antiqua" w:hAnsi="Book Antiqua"/>
                <w:i/>
              </w:rPr>
              <w:t>et al</w:t>
            </w:r>
            <w:r>
              <w:rPr>
                <w:rFonts w:ascii="Book Antiqua" w:hAnsi="Book Antiqua"/>
                <w:vertAlign w:val="superscript"/>
              </w:rPr>
              <w:t>[13</w:t>
            </w:r>
            <w:r>
              <w:rPr>
                <w:rFonts w:hint="eastAsia" w:ascii="Book Antiqua" w:hAnsi="Book Antiqua"/>
                <w:vertAlign w:val="superscript"/>
                <w:lang w:eastAsia="zh-CN"/>
              </w:rPr>
              <w:t>1</w:t>
            </w:r>
            <w:r>
              <w:rPr>
                <w:rFonts w:ascii="Book Antiqua" w:hAnsi="Book Antiqua"/>
                <w:vertAlign w:val="superscript"/>
              </w:rPr>
              <w:t xml:space="preserve">] </w:t>
            </w:r>
          </w:p>
        </w:tc>
        <w:tc>
          <w:tcPr>
            <w:tcW w:w="0" w:type="auto"/>
          </w:tcPr>
          <w:p>
            <w:pPr>
              <w:adjustRightInd w:val="0"/>
              <w:snapToGrid w:val="0"/>
              <w:spacing w:line="360" w:lineRule="auto"/>
              <w:jc w:val="both"/>
              <w:rPr>
                <w:rFonts w:ascii="Book Antiqua" w:hAnsi="Book Antiqua"/>
                <w:b/>
                <w:bCs/>
                <w:lang w:val="en-GB" w:eastAsia="zh-CN"/>
              </w:rPr>
            </w:pPr>
            <w:r>
              <w:rPr>
                <w:rFonts w:ascii="Book Antiqua" w:hAnsi="Book Antiqua"/>
              </w:rPr>
              <w:t xml:space="preserve">Cross- sectional study </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18 controls, 6 obese patients with NAFLD, 6 obese patients with early stage of NASH. Liver disease diagnosis was by biopsy</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CPS1 could stratify different phenotypes associated with liver disease severity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lang w:val="en-GB" w:eastAsia="zh-CN"/>
              </w:rPr>
            </w:pPr>
            <w:r>
              <w:rPr>
                <w:rFonts w:ascii="Book Antiqua" w:hAnsi="Book Antiqua"/>
              </w:rPr>
              <w:t xml:space="preserve">Małecki </w:t>
            </w:r>
            <w:r>
              <w:rPr>
                <w:rFonts w:ascii="Book Antiqua" w:hAnsi="Book Antiqua"/>
                <w:i/>
              </w:rPr>
              <w:t>et al</w:t>
            </w:r>
            <w:r>
              <w:rPr>
                <w:rFonts w:ascii="Book Antiqua" w:hAnsi="Book Antiqua"/>
                <w:vertAlign w:val="superscript"/>
              </w:rPr>
              <w:t>[13</w:t>
            </w:r>
            <w:r>
              <w:rPr>
                <w:rFonts w:hint="eastAsia" w:ascii="Book Antiqua" w:hAnsi="Book Antiqua"/>
                <w:vertAlign w:val="superscript"/>
                <w:lang w:eastAsia="zh-CN"/>
              </w:rPr>
              <w:t>4</w:t>
            </w:r>
            <w:r>
              <w:rPr>
                <w:rFonts w:ascii="Book Antiqua" w:hAnsi="Book Antiqua"/>
                <w:vertAlign w:val="superscript"/>
              </w:rPr>
              <w:t>]</w:t>
            </w:r>
          </w:p>
        </w:tc>
        <w:tc>
          <w:tcPr>
            <w:tcW w:w="0" w:type="auto"/>
          </w:tcPr>
          <w:p>
            <w:pPr>
              <w:adjustRightInd w:val="0"/>
              <w:snapToGrid w:val="0"/>
              <w:spacing w:line="360" w:lineRule="auto"/>
              <w:jc w:val="both"/>
              <w:rPr>
                <w:rFonts w:ascii="Book Antiqua" w:hAnsi="Book Antiqua"/>
                <w:b/>
                <w:bCs/>
                <w:lang w:val="en-GB" w:eastAsia="zh-CN"/>
              </w:rPr>
            </w:pPr>
            <w:r>
              <w:rPr>
                <w:rFonts w:ascii="Book Antiqua" w:hAnsi="Book Antiqua"/>
              </w:rPr>
              <w:t xml:space="preserve">Cross- sectional study </w:t>
            </w:r>
          </w:p>
        </w:tc>
        <w:tc>
          <w:tcPr>
            <w:tcW w:w="0" w:type="auto"/>
          </w:tcPr>
          <w:p>
            <w:pPr>
              <w:adjustRightInd w:val="0"/>
              <w:snapToGrid w:val="0"/>
              <w:spacing w:line="360" w:lineRule="auto"/>
              <w:jc w:val="both"/>
              <w:rPr>
                <w:rFonts w:ascii="Book Antiqua" w:hAnsi="Book Antiqua"/>
                <w:lang w:eastAsia="zh-CN"/>
              </w:rPr>
            </w:pPr>
            <w:r>
              <w:rPr>
                <w:rFonts w:ascii="Book Antiqua" w:hAnsi="Book Antiqua"/>
              </w:rPr>
              <w:t>30 children (mean age 10.62</w:t>
            </w:r>
            <w:r>
              <w:rPr>
                <w:rFonts w:hint="eastAsia" w:ascii="Book Antiqua" w:hAnsi="Book Antiqua"/>
                <w:lang w:eastAsia="zh-CN"/>
              </w:rPr>
              <w:t xml:space="preserve"> </w:t>
            </w:r>
            <w:r>
              <w:rPr>
                <w:rFonts w:ascii="Book Antiqua" w:hAnsi="Book Antiqua"/>
              </w:rPr>
              <w:t>yr), 16 children</w:t>
            </w:r>
            <w:r>
              <w:rPr>
                <w:rFonts w:hint="eastAsia" w:ascii="Book Antiqua" w:hAnsi="Book Antiqua"/>
                <w:lang w:eastAsia="zh-CN"/>
              </w:rPr>
              <w:t xml:space="preserve"> w</w:t>
            </w:r>
            <w:r>
              <w:rPr>
                <w:rFonts w:ascii="Book Antiqua" w:hAnsi="Book Antiqua"/>
              </w:rPr>
              <w:t>ith NAFLD (mean age 11.06</w:t>
            </w:r>
            <w:r>
              <w:rPr>
                <w:rFonts w:hint="eastAsia" w:ascii="Book Antiqua" w:hAnsi="Book Antiqua"/>
                <w:lang w:eastAsia="zh-CN"/>
              </w:rPr>
              <w:t xml:space="preserve"> </w:t>
            </w:r>
            <w:r>
              <w:rPr>
                <w:rFonts w:ascii="Book Antiqua" w:hAnsi="Book Antiqua"/>
              </w:rPr>
              <w:t>yr). NAFLD was proven by US</w:t>
            </w:r>
          </w:p>
        </w:tc>
        <w:tc>
          <w:tcPr>
            <w:tcW w:w="0" w:type="auto"/>
          </w:tcPr>
          <w:p>
            <w:pPr>
              <w:adjustRightInd w:val="0"/>
              <w:snapToGrid w:val="0"/>
              <w:spacing w:line="360" w:lineRule="auto"/>
              <w:jc w:val="both"/>
              <w:rPr>
                <w:rFonts w:ascii="Book Antiqua" w:hAnsi="Book Antiqua"/>
                <w:b/>
                <w:bCs/>
                <w:lang w:val="en-GB" w:eastAsia="zh-CN"/>
              </w:rPr>
            </w:pPr>
            <w:r>
              <w:rPr>
                <w:rFonts w:ascii="Book Antiqua" w:hAnsi="Book Antiqua"/>
              </w:rPr>
              <w:t>Afamin, retinol-binding protein-4, complement components, and hemopexin were upregulated; serum protease inhibitors, clusterin, immunoglobulin chains, vitamin D binding protein were down-regulated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2" w:hRule="atLeast"/>
        </w:trPr>
        <w:tc>
          <w:tcPr>
            <w:tcW w:w="0" w:type="auto"/>
          </w:tcPr>
          <w:p>
            <w:pPr>
              <w:adjustRightInd w:val="0"/>
              <w:snapToGrid w:val="0"/>
              <w:spacing w:line="360" w:lineRule="auto"/>
              <w:jc w:val="both"/>
              <w:rPr>
                <w:rFonts w:ascii="Book Antiqua" w:hAnsi="Book Antiqua"/>
                <w:lang w:eastAsia="zh-CN"/>
              </w:rPr>
            </w:pPr>
            <w:r>
              <w:rPr>
                <w:rFonts w:ascii="Book Antiqua" w:hAnsi="Book Antiqua"/>
              </w:rPr>
              <w:t xml:space="preserve">Bălănescu </w:t>
            </w:r>
            <w:r>
              <w:rPr>
                <w:rFonts w:ascii="Book Antiqua" w:hAnsi="Book Antiqua"/>
                <w:i/>
              </w:rPr>
              <w:t>et al</w:t>
            </w:r>
            <w:r>
              <w:rPr>
                <w:rFonts w:ascii="Book Antiqua" w:hAnsi="Book Antiqua"/>
                <w:vertAlign w:val="superscript"/>
              </w:rPr>
              <w:t>[13</w:t>
            </w:r>
            <w:r>
              <w:rPr>
                <w:rFonts w:hint="eastAsia" w:ascii="Book Antiqua" w:hAnsi="Book Antiqua"/>
                <w:vertAlign w:val="superscript"/>
                <w:lang w:eastAsia="zh-CN"/>
              </w:rPr>
              <w:t>5</w:t>
            </w:r>
            <w:r>
              <w:rPr>
                <w:rFonts w:ascii="Book Antiqua" w:hAnsi="Book Antiqua"/>
                <w:vertAlign w:val="superscript"/>
              </w:rPr>
              <w:t>]</w:t>
            </w:r>
          </w:p>
        </w:tc>
        <w:tc>
          <w:tcPr>
            <w:tcW w:w="0" w:type="auto"/>
          </w:tcPr>
          <w:p>
            <w:pPr>
              <w:adjustRightInd w:val="0"/>
              <w:snapToGrid w:val="0"/>
              <w:spacing w:line="360" w:lineRule="auto"/>
              <w:jc w:val="both"/>
              <w:rPr>
                <w:rFonts w:ascii="Book Antiqua" w:hAnsi="Book Antiqua"/>
                <w:b/>
                <w:bCs/>
                <w:lang w:val="en-GB" w:eastAsia="zh-CN"/>
              </w:rPr>
            </w:pPr>
            <w:r>
              <w:rPr>
                <w:rFonts w:ascii="Book Antiqua" w:hAnsi="Book Antiqua"/>
              </w:rPr>
              <w:t xml:space="preserve">Cross- sectional study </w:t>
            </w:r>
          </w:p>
        </w:tc>
        <w:tc>
          <w:tcPr>
            <w:tcW w:w="0" w:type="auto"/>
          </w:tcPr>
          <w:p>
            <w:pPr>
              <w:adjustRightInd w:val="0"/>
              <w:snapToGrid w:val="0"/>
              <w:spacing w:line="360" w:lineRule="auto"/>
              <w:jc w:val="both"/>
              <w:rPr>
                <w:rFonts w:ascii="Book Antiqua" w:hAnsi="Book Antiqua"/>
                <w:b/>
                <w:bCs/>
                <w:lang w:val="en-GB" w:eastAsia="zh-CN"/>
              </w:rPr>
            </w:pPr>
            <w:r>
              <w:rPr>
                <w:rFonts w:ascii="Book Antiqua" w:hAnsi="Book Antiqua"/>
              </w:rPr>
              <w:t>68 overweight and obese children (mean age 10 yr) and 10 healthy controls. NAFLD was proven by US or elevated alanine transaminase levels</w:t>
            </w:r>
          </w:p>
        </w:tc>
        <w:tc>
          <w:tcPr>
            <w:tcW w:w="0" w:type="auto"/>
          </w:tcPr>
          <w:p>
            <w:pPr>
              <w:adjustRightInd w:val="0"/>
              <w:snapToGrid w:val="0"/>
              <w:spacing w:line="360" w:lineRule="auto"/>
              <w:jc w:val="both"/>
              <w:rPr>
                <w:rFonts w:ascii="Book Antiqua" w:hAnsi="Book Antiqua"/>
                <w:b/>
                <w:bCs/>
                <w:lang w:val="en-GB" w:eastAsia="zh-CN"/>
              </w:rPr>
            </w:pPr>
            <w:r>
              <w:rPr>
                <w:rFonts w:ascii="Book Antiqua" w:hAnsi="Book Antiqua"/>
              </w:rPr>
              <w:t>HSP-90 isoforms could be used as NAFLD biomarkers in obese and overweight patients</w:t>
            </w:r>
          </w:p>
        </w:tc>
      </w:tr>
    </w:tbl>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lang w:eastAsia="zh-CN"/>
        </w:rPr>
        <w:t>NASH: Non</w:t>
      </w:r>
      <w:r>
        <w:rPr>
          <w:rFonts w:hint="eastAsia" w:ascii="Book Antiqua" w:hAnsi="Book Antiqua"/>
          <w:lang w:eastAsia="zh-CN"/>
        </w:rPr>
        <w:t>-</w:t>
      </w:r>
      <w:r>
        <w:rPr>
          <w:rFonts w:ascii="Book Antiqua" w:hAnsi="Book Antiqua"/>
          <w:lang w:eastAsia="zh-CN"/>
        </w:rPr>
        <w:t xml:space="preserve">alcoholic steatohepatitis; miR: </w:t>
      </w:r>
      <w:r>
        <w:rPr>
          <w:rFonts w:hint="eastAsia" w:ascii="Book Antiqua" w:hAnsi="Book Antiqua"/>
          <w:lang w:eastAsia="zh-CN"/>
        </w:rPr>
        <w:t>M</w:t>
      </w:r>
      <w:r>
        <w:rPr>
          <w:rFonts w:ascii="Book Antiqua" w:hAnsi="Book Antiqua"/>
          <w:lang w:eastAsia="zh-CN"/>
        </w:rPr>
        <w:t>icroRNA; NAFLD: Non</w:t>
      </w:r>
      <w:r>
        <w:rPr>
          <w:rFonts w:hint="eastAsia" w:ascii="Book Antiqua" w:hAnsi="Book Antiqua"/>
          <w:lang w:eastAsia="zh-CN"/>
        </w:rPr>
        <w:t>-</w:t>
      </w:r>
      <w:r>
        <w:rPr>
          <w:rFonts w:ascii="Book Antiqua" w:hAnsi="Book Antiqua"/>
          <w:lang w:eastAsia="zh-CN"/>
        </w:rPr>
        <w:t>alcoholic fatty liver disease;</w:t>
      </w:r>
      <w:r>
        <w:rPr>
          <w:rFonts w:hint="eastAsia" w:ascii="Book Antiqua" w:hAnsi="Book Antiqua"/>
          <w:lang w:eastAsia="zh-CN"/>
        </w:rPr>
        <w:t xml:space="preserve"> </w:t>
      </w:r>
      <w:r>
        <w:rPr>
          <w:rFonts w:ascii="Book Antiqua" w:hAnsi="Book Antiqua"/>
          <w:lang w:eastAsia="zh-CN"/>
        </w:rPr>
        <w:t xml:space="preserve">MRS: </w:t>
      </w:r>
      <w:r>
        <w:rPr>
          <w:rFonts w:hint="eastAsia" w:ascii="Book Antiqua" w:hAnsi="Book Antiqua"/>
          <w:lang w:eastAsia="zh-CN"/>
        </w:rPr>
        <w:t>M</w:t>
      </w:r>
      <w:r>
        <w:rPr>
          <w:rFonts w:ascii="Book Antiqua" w:hAnsi="Book Antiqua"/>
          <w:lang w:eastAsia="zh-CN"/>
        </w:rPr>
        <w:t xml:space="preserve">agnetic resonance spectroscopy; US: </w:t>
      </w:r>
      <w:r>
        <w:rPr>
          <w:rFonts w:hint="eastAsia" w:ascii="Book Antiqua" w:hAnsi="Book Antiqua"/>
          <w:lang w:eastAsia="zh-CN"/>
        </w:rPr>
        <w:t>U</w:t>
      </w:r>
      <w:r>
        <w:rPr>
          <w:rFonts w:ascii="Book Antiqua" w:hAnsi="Book Antiqua"/>
          <w:lang w:eastAsia="zh-CN"/>
        </w:rPr>
        <w:t xml:space="preserve">ltrasound; CK-18: </w:t>
      </w:r>
      <w:r>
        <w:rPr>
          <w:rFonts w:hint="eastAsia" w:ascii="Book Antiqua" w:hAnsi="Book Antiqua"/>
          <w:lang w:eastAsia="zh-CN"/>
        </w:rPr>
        <w:t>C</w:t>
      </w:r>
      <w:r>
        <w:rPr>
          <w:rFonts w:ascii="Book Antiqua" w:hAnsi="Book Antiqua"/>
          <w:lang w:eastAsia="zh-CN"/>
        </w:rPr>
        <w:t xml:space="preserve">ytokeratin-18; sICAM-1: </w:t>
      </w:r>
      <w:r>
        <w:rPr>
          <w:rFonts w:hint="eastAsia" w:ascii="Book Antiqua" w:hAnsi="Book Antiqua"/>
          <w:lang w:eastAsia="zh-CN"/>
        </w:rPr>
        <w:t>S</w:t>
      </w:r>
      <w:r>
        <w:rPr>
          <w:rFonts w:ascii="Book Antiqua" w:hAnsi="Book Antiqua"/>
          <w:lang w:eastAsia="zh-CN"/>
        </w:rPr>
        <w:t xml:space="preserve">oluble intercellular adhesion molecule-1; CPS1: Carbamoyl-phosphate synthase 1; HSP-90: </w:t>
      </w:r>
      <w:r>
        <w:rPr>
          <w:rFonts w:hint="eastAsia" w:ascii="Book Antiqua" w:hAnsi="Book Antiqua"/>
          <w:lang w:eastAsia="zh-CN"/>
        </w:rPr>
        <w:t>H</w:t>
      </w:r>
      <w:r>
        <w:rPr>
          <w:rFonts w:ascii="Book Antiqua" w:hAnsi="Book Antiqua"/>
          <w:lang w:eastAsia="zh-CN"/>
        </w:rPr>
        <w:t>eat shock protein-90.</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lang w:eastAsia="zh-CN"/>
        </w:rPr>
      </w:pPr>
      <w:bookmarkStart w:id="98" w:name="_GoBack"/>
      <w:bookmarkEnd w:id="98"/>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HelveticaNeueLTStd-Lt">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HelveticaNeueLTStd-LtIt">
    <w:altName w:val="Arial"/>
    <w:panose1 w:val="00000000000000000000"/>
    <w:charset w:val="00"/>
    <w:family w:val="auto"/>
    <w:pitch w:val="default"/>
    <w:sig w:usb0="00000000" w:usb1="00000000" w:usb2="00000000" w:usb3="00000000" w:csb0="00000001" w:csb1="00000000"/>
  </w:font>
  <w:font w:name="BSSymbol-Medium">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Helvetica">
    <w:altName w:val="Arial"/>
    <w:panose1 w:val="020B0604020202030204"/>
    <w:charset w:val="00"/>
    <w:family w:val="swiss"/>
    <w:pitch w:val="default"/>
    <w:sig w:usb0="00000000" w:usb1="00000000" w:usb2="00000000" w:usb3="00000000" w:csb0="00000093"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4671734"/>
      <w:docPartObj>
        <w:docPartGallery w:val="autotext"/>
      </w:docPartObj>
    </w:sdtPr>
    <w:sdtContent>
      <w:sdt>
        <w:sdtPr>
          <w:id w:val="860082579"/>
          <w:docPartObj>
            <w:docPartGallery w:val="autotext"/>
          </w:docPartObj>
        </w:sdtPr>
        <w:sdtContent>
          <w:p>
            <w:pPr>
              <w:pStyle w:val="6"/>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04EF5"/>
    <w:rsid w:val="000164C2"/>
    <w:rsid w:val="00025FE9"/>
    <w:rsid w:val="00051B1F"/>
    <w:rsid w:val="00063DCE"/>
    <w:rsid w:val="00065030"/>
    <w:rsid w:val="000721A1"/>
    <w:rsid w:val="000A3A5D"/>
    <w:rsid w:val="000D2896"/>
    <w:rsid w:val="000D6038"/>
    <w:rsid w:val="000F0E09"/>
    <w:rsid w:val="00104C7C"/>
    <w:rsid w:val="0010739D"/>
    <w:rsid w:val="00145A0C"/>
    <w:rsid w:val="0016105F"/>
    <w:rsid w:val="00161E2B"/>
    <w:rsid w:val="00167499"/>
    <w:rsid w:val="001747C0"/>
    <w:rsid w:val="001A4BB0"/>
    <w:rsid w:val="001B1D3C"/>
    <w:rsid w:val="001C1A2C"/>
    <w:rsid w:val="001D7F89"/>
    <w:rsid w:val="001E61F6"/>
    <w:rsid w:val="00204570"/>
    <w:rsid w:val="002228ED"/>
    <w:rsid w:val="00242C55"/>
    <w:rsid w:val="00250327"/>
    <w:rsid w:val="00250A79"/>
    <w:rsid w:val="00254027"/>
    <w:rsid w:val="00257876"/>
    <w:rsid w:val="002602E8"/>
    <w:rsid w:val="00285002"/>
    <w:rsid w:val="0028666B"/>
    <w:rsid w:val="002C2CB9"/>
    <w:rsid w:val="002D1D4A"/>
    <w:rsid w:val="002D5231"/>
    <w:rsid w:val="0032378A"/>
    <w:rsid w:val="003A3076"/>
    <w:rsid w:val="003A4FE2"/>
    <w:rsid w:val="003D589E"/>
    <w:rsid w:val="003F3098"/>
    <w:rsid w:val="00414BDC"/>
    <w:rsid w:val="00433EEB"/>
    <w:rsid w:val="004341D3"/>
    <w:rsid w:val="00437720"/>
    <w:rsid w:val="004800FD"/>
    <w:rsid w:val="004C0997"/>
    <w:rsid w:val="004C65DD"/>
    <w:rsid w:val="004D0A9C"/>
    <w:rsid w:val="004E1D5C"/>
    <w:rsid w:val="004F5A1D"/>
    <w:rsid w:val="004F5B8F"/>
    <w:rsid w:val="00511489"/>
    <w:rsid w:val="00516E9B"/>
    <w:rsid w:val="00522AA6"/>
    <w:rsid w:val="005279B5"/>
    <w:rsid w:val="00541A5D"/>
    <w:rsid w:val="00544020"/>
    <w:rsid w:val="00574A9D"/>
    <w:rsid w:val="005964EB"/>
    <w:rsid w:val="005D3D2D"/>
    <w:rsid w:val="005E56BD"/>
    <w:rsid w:val="006229EC"/>
    <w:rsid w:val="006260CD"/>
    <w:rsid w:val="00627705"/>
    <w:rsid w:val="006278FB"/>
    <w:rsid w:val="00655149"/>
    <w:rsid w:val="0066538D"/>
    <w:rsid w:val="00672D25"/>
    <w:rsid w:val="006750E7"/>
    <w:rsid w:val="00692AF2"/>
    <w:rsid w:val="006C4F10"/>
    <w:rsid w:val="007352AE"/>
    <w:rsid w:val="00747C3F"/>
    <w:rsid w:val="00774661"/>
    <w:rsid w:val="00784004"/>
    <w:rsid w:val="007864C4"/>
    <w:rsid w:val="0078702C"/>
    <w:rsid w:val="007B6183"/>
    <w:rsid w:val="007D1E7D"/>
    <w:rsid w:val="007E270C"/>
    <w:rsid w:val="007E6B01"/>
    <w:rsid w:val="00800A43"/>
    <w:rsid w:val="0080697F"/>
    <w:rsid w:val="0082095C"/>
    <w:rsid w:val="00822ABC"/>
    <w:rsid w:val="00822AE1"/>
    <w:rsid w:val="00833FBD"/>
    <w:rsid w:val="008500A2"/>
    <w:rsid w:val="008639F1"/>
    <w:rsid w:val="008A3ECB"/>
    <w:rsid w:val="008A515B"/>
    <w:rsid w:val="008C24FC"/>
    <w:rsid w:val="008C252A"/>
    <w:rsid w:val="008E302A"/>
    <w:rsid w:val="008F42C8"/>
    <w:rsid w:val="008F51CB"/>
    <w:rsid w:val="00913A16"/>
    <w:rsid w:val="00916743"/>
    <w:rsid w:val="00917042"/>
    <w:rsid w:val="00926550"/>
    <w:rsid w:val="0094601C"/>
    <w:rsid w:val="00952882"/>
    <w:rsid w:val="009753A2"/>
    <w:rsid w:val="00976900"/>
    <w:rsid w:val="00980DCE"/>
    <w:rsid w:val="0098449B"/>
    <w:rsid w:val="009A1B38"/>
    <w:rsid w:val="009B716D"/>
    <w:rsid w:val="009C7B70"/>
    <w:rsid w:val="00A00E0A"/>
    <w:rsid w:val="00A10919"/>
    <w:rsid w:val="00A22750"/>
    <w:rsid w:val="00A25B65"/>
    <w:rsid w:val="00A40A25"/>
    <w:rsid w:val="00A73DD9"/>
    <w:rsid w:val="00A77B3E"/>
    <w:rsid w:val="00A818F9"/>
    <w:rsid w:val="00AA4721"/>
    <w:rsid w:val="00AA47A4"/>
    <w:rsid w:val="00AC3029"/>
    <w:rsid w:val="00AE4066"/>
    <w:rsid w:val="00AE67FB"/>
    <w:rsid w:val="00AF11F4"/>
    <w:rsid w:val="00B316E1"/>
    <w:rsid w:val="00B40CAE"/>
    <w:rsid w:val="00B53EEB"/>
    <w:rsid w:val="00B77D0A"/>
    <w:rsid w:val="00B93857"/>
    <w:rsid w:val="00B94322"/>
    <w:rsid w:val="00BC4E25"/>
    <w:rsid w:val="00BC641A"/>
    <w:rsid w:val="00BE29E0"/>
    <w:rsid w:val="00BE3D6C"/>
    <w:rsid w:val="00BE7CE7"/>
    <w:rsid w:val="00C00214"/>
    <w:rsid w:val="00C0346F"/>
    <w:rsid w:val="00C06AE1"/>
    <w:rsid w:val="00C20FA5"/>
    <w:rsid w:val="00C24EFA"/>
    <w:rsid w:val="00C37C0B"/>
    <w:rsid w:val="00C674C5"/>
    <w:rsid w:val="00C778C8"/>
    <w:rsid w:val="00C908CA"/>
    <w:rsid w:val="00CA178C"/>
    <w:rsid w:val="00CA2A55"/>
    <w:rsid w:val="00CB3821"/>
    <w:rsid w:val="00CC4570"/>
    <w:rsid w:val="00CC5390"/>
    <w:rsid w:val="00CE3B77"/>
    <w:rsid w:val="00CE4A9B"/>
    <w:rsid w:val="00CE76BC"/>
    <w:rsid w:val="00CF1BB7"/>
    <w:rsid w:val="00CF603C"/>
    <w:rsid w:val="00D01B2F"/>
    <w:rsid w:val="00D2388F"/>
    <w:rsid w:val="00D31070"/>
    <w:rsid w:val="00D350CE"/>
    <w:rsid w:val="00D4211B"/>
    <w:rsid w:val="00D4673E"/>
    <w:rsid w:val="00D536AF"/>
    <w:rsid w:val="00D63683"/>
    <w:rsid w:val="00D65A45"/>
    <w:rsid w:val="00D72479"/>
    <w:rsid w:val="00DA742F"/>
    <w:rsid w:val="00DA7D8A"/>
    <w:rsid w:val="00DD57E7"/>
    <w:rsid w:val="00DF5C80"/>
    <w:rsid w:val="00E16F00"/>
    <w:rsid w:val="00E26447"/>
    <w:rsid w:val="00E26529"/>
    <w:rsid w:val="00E27818"/>
    <w:rsid w:val="00E33226"/>
    <w:rsid w:val="00E34EA8"/>
    <w:rsid w:val="00E52568"/>
    <w:rsid w:val="00E641D9"/>
    <w:rsid w:val="00E67878"/>
    <w:rsid w:val="00E7156C"/>
    <w:rsid w:val="00E819E5"/>
    <w:rsid w:val="00EA4772"/>
    <w:rsid w:val="00EB3AC0"/>
    <w:rsid w:val="00EB57E3"/>
    <w:rsid w:val="00EF6D72"/>
    <w:rsid w:val="00F16CC0"/>
    <w:rsid w:val="00FA10F6"/>
    <w:rsid w:val="00FA3318"/>
    <w:rsid w:val="00FB3469"/>
    <w:rsid w:val="00FC67DA"/>
    <w:rsid w:val="088F1CB1"/>
    <w:rsid w:val="38A8755C"/>
    <w:rsid w:val="4F7659D3"/>
    <w:rsid w:val="66B31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99" w:semiHidden="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iPriority="99" w:semiHidden="0" w:name="line number"/>
    <w:lsdException w:uiPriority="0" w:name="page number"/>
    <w:lsdException w:qFormat="1" w:uiPriority="99" w:semiHidden="0" w:name="endnote reference"/>
    <w:lsdException w:qFormat="1" w:uiPriority="99"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20"/>
    <w:qFormat/>
    <w:uiPriority w:val="9"/>
    <w:pPr>
      <w:spacing w:before="100" w:beforeAutospacing="1" w:after="100" w:afterAutospacing="1"/>
      <w:outlineLvl w:val="0"/>
    </w:pPr>
    <w:rPr>
      <w:rFonts w:eastAsia="Times New Roman"/>
      <w:b/>
      <w:bCs/>
      <w:kern w:val="36"/>
      <w:sz w:val="48"/>
      <w:szCs w:val="48"/>
      <w:lang w:val="it-IT" w:eastAsia="it-IT"/>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uiPriority w:val="99"/>
  </w:style>
  <w:style w:type="paragraph" w:styleId="4">
    <w:name w:val="endnote text"/>
    <w:basedOn w:val="1"/>
    <w:link w:val="24"/>
    <w:unhideWhenUsed/>
    <w:qFormat/>
    <w:uiPriority w:val="99"/>
    <w:rPr>
      <w:rFonts w:ascii="Calibri" w:hAnsi="Calibri"/>
      <w:sz w:val="20"/>
      <w:szCs w:val="20"/>
      <w:lang w:val="it-IT"/>
    </w:rPr>
  </w:style>
  <w:style w:type="paragraph" w:styleId="5">
    <w:name w:val="Balloon Text"/>
    <w:basedOn w:val="1"/>
    <w:link w:val="17"/>
    <w:qFormat/>
    <w:uiPriority w:val="99"/>
    <w:rPr>
      <w:sz w:val="18"/>
      <w:szCs w:val="18"/>
    </w:rPr>
  </w:style>
  <w:style w:type="paragraph" w:styleId="6">
    <w:name w:val="footer"/>
    <w:basedOn w:val="1"/>
    <w:link w:val="37"/>
    <w:unhideWhenUsed/>
    <w:qFormat/>
    <w:uiPriority w:val="99"/>
    <w:pPr>
      <w:tabs>
        <w:tab w:val="center" w:pos="4819"/>
        <w:tab w:val="right" w:pos="9638"/>
      </w:tabs>
      <w:spacing w:after="160" w:line="259" w:lineRule="auto"/>
    </w:pPr>
    <w:rPr>
      <w:rFonts w:ascii="Calibri" w:hAnsi="Calibri"/>
      <w:sz w:val="22"/>
      <w:szCs w:val="22"/>
      <w:lang w:val="it-IT"/>
    </w:rPr>
  </w:style>
  <w:style w:type="paragraph" w:styleId="7">
    <w:name w:val="header"/>
    <w:basedOn w:val="1"/>
    <w:link w:val="36"/>
    <w:unhideWhenUsed/>
    <w:qFormat/>
    <w:uiPriority w:val="99"/>
    <w:pPr>
      <w:tabs>
        <w:tab w:val="center" w:pos="4819"/>
        <w:tab w:val="right" w:pos="9638"/>
      </w:tabs>
      <w:spacing w:after="160" w:line="259" w:lineRule="auto"/>
    </w:pPr>
    <w:rPr>
      <w:rFonts w:ascii="Calibri" w:hAnsi="Calibri"/>
      <w:sz w:val="22"/>
      <w:szCs w:val="22"/>
      <w:lang w:val="it-IT"/>
    </w:rPr>
  </w:style>
  <w:style w:type="paragraph" w:styleId="8">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9">
    <w:name w:val="annotation subject"/>
    <w:basedOn w:val="3"/>
    <w:next w:val="3"/>
    <w:link w:val="19"/>
    <w:qFormat/>
    <w:uiPriority w:val="99"/>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ndnote reference"/>
    <w:unhideWhenUsed/>
    <w:qFormat/>
    <w:uiPriority w:val="99"/>
    <w:rPr>
      <w:vertAlign w:val="superscript"/>
    </w:rPr>
  </w:style>
  <w:style w:type="character" w:styleId="14">
    <w:name w:val="line number"/>
    <w:unhideWhenUsed/>
    <w:qFormat/>
    <w:uiPriority w:val="99"/>
  </w:style>
  <w:style w:type="character" w:styleId="15">
    <w:name w:val="Hyperlink"/>
    <w:unhideWhenUsed/>
    <w:qFormat/>
    <w:uiPriority w:val="99"/>
    <w:rPr>
      <w:color w:val="0000FF"/>
      <w:u w:val="single"/>
    </w:rPr>
  </w:style>
  <w:style w:type="character" w:styleId="16">
    <w:name w:val="annotation reference"/>
    <w:basedOn w:val="12"/>
    <w:qFormat/>
    <w:uiPriority w:val="99"/>
    <w:rPr>
      <w:sz w:val="21"/>
      <w:szCs w:val="21"/>
    </w:rPr>
  </w:style>
  <w:style w:type="character" w:customStyle="1" w:styleId="17">
    <w:name w:val="批注框文本 字符"/>
    <w:basedOn w:val="12"/>
    <w:link w:val="5"/>
    <w:qFormat/>
    <w:uiPriority w:val="99"/>
    <w:rPr>
      <w:sz w:val="18"/>
      <w:szCs w:val="18"/>
    </w:rPr>
  </w:style>
  <w:style w:type="character" w:customStyle="1" w:styleId="18">
    <w:name w:val="批注文字 字符"/>
    <w:basedOn w:val="12"/>
    <w:link w:val="3"/>
    <w:qFormat/>
    <w:uiPriority w:val="99"/>
    <w:rPr>
      <w:sz w:val="24"/>
      <w:szCs w:val="24"/>
    </w:rPr>
  </w:style>
  <w:style w:type="character" w:customStyle="1" w:styleId="19">
    <w:name w:val="批注主题 字符"/>
    <w:basedOn w:val="18"/>
    <w:link w:val="9"/>
    <w:qFormat/>
    <w:uiPriority w:val="99"/>
    <w:rPr>
      <w:b/>
      <w:bCs/>
      <w:sz w:val="24"/>
      <w:szCs w:val="24"/>
    </w:rPr>
  </w:style>
  <w:style w:type="character" w:customStyle="1" w:styleId="20">
    <w:name w:val="标题 1 字符"/>
    <w:basedOn w:val="12"/>
    <w:link w:val="2"/>
    <w:uiPriority w:val="9"/>
    <w:rPr>
      <w:rFonts w:eastAsia="Times New Roman"/>
      <w:b/>
      <w:bCs/>
      <w:kern w:val="36"/>
      <w:sz w:val="48"/>
      <w:szCs w:val="48"/>
      <w:lang w:val="it-IT" w:eastAsia="it-IT"/>
    </w:rPr>
  </w:style>
  <w:style w:type="paragraph" w:styleId="21">
    <w:name w:val="List Paragraph"/>
    <w:basedOn w:val="1"/>
    <w:qFormat/>
    <w:uiPriority w:val="34"/>
    <w:pPr>
      <w:spacing w:after="160" w:line="259" w:lineRule="auto"/>
      <w:ind w:left="720"/>
      <w:contextualSpacing/>
    </w:pPr>
    <w:rPr>
      <w:rFonts w:ascii="Calibri" w:hAnsi="Calibri"/>
      <w:sz w:val="22"/>
      <w:szCs w:val="22"/>
      <w:lang w:val="it-IT"/>
    </w:rPr>
  </w:style>
  <w:style w:type="paragraph" w:customStyle="1" w:styleId="22">
    <w:name w:val="EndNote Bibliography"/>
    <w:basedOn w:val="1"/>
    <w:link w:val="23"/>
    <w:qFormat/>
    <w:uiPriority w:val="0"/>
    <w:pPr>
      <w:spacing w:after="160"/>
    </w:pPr>
    <w:rPr>
      <w:rFonts w:ascii="Calibri" w:hAnsi="Calibri" w:cs="Calibri"/>
      <w:sz w:val="22"/>
      <w:szCs w:val="22"/>
    </w:rPr>
  </w:style>
  <w:style w:type="character" w:customStyle="1" w:styleId="23">
    <w:name w:val="EndNote Bibliography Char"/>
    <w:link w:val="22"/>
    <w:qFormat/>
    <w:uiPriority w:val="0"/>
    <w:rPr>
      <w:rFonts w:ascii="Calibri" w:hAnsi="Calibri" w:cs="Calibri"/>
      <w:sz w:val="22"/>
      <w:szCs w:val="22"/>
    </w:rPr>
  </w:style>
  <w:style w:type="character" w:customStyle="1" w:styleId="24">
    <w:name w:val="尾注文本 字符"/>
    <w:basedOn w:val="12"/>
    <w:link w:val="4"/>
    <w:qFormat/>
    <w:uiPriority w:val="99"/>
    <w:rPr>
      <w:rFonts w:ascii="Calibri" w:hAnsi="Calibri"/>
      <w:lang w:val="it-IT"/>
    </w:rPr>
  </w:style>
  <w:style w:type="character" w:customStyle="1" w:styleId="25">
    <w:name w:val="authors-list-item"/>
    <w:qFormat/>
    <w:uiPriority w:val="0"/>
  </w:style>
  <w:style w:type="character" w:customStyle="1" w:styleId="26">
    <w:name w:val="author-sup-separator"/>
    <w:qFormat/>
    <w:uiPriority w:val="0"/>
  </w:style>
  <w:style w:type="character" w:customStyle="1" w:styleId="27">
    <w:name w:val="comma"/>
    <w:qFormat/>
    <w:uiPriority w:val="0"/>
  </w:style>
  <w:style w:type="character" w:customStyle="1" w:styleId="28">
    <w:name w:val="period"/>
    <w:qFormat/>
    <w:uiPriority w:val="0"/>
  </w:style>
  <w:style w:type="character" w:customStyle="1" w:styleId="29">
    <w:name w:val="cit"/>
    <w:qFormat/>
    <w:uiPriority w:val="0"/>
  </w:style>
  <w:style w:type="character" w:customStyle="1" w:styleId="30">
    <w:name w:val="ref-title"/>
    <w:qFormat/>
    <w:uiPriority w:val="0"/>
  </w:style>
  <w:style w:type="character" w:customStyle="1" w:styleId="31">
    <w:name w:val="ref-journal"/>
    <w:qFormat/>
    <w:uiPriority w:val="0"/>
  </w:style>
  <w:style w:type="character" w:customStyle="1" w:styleId="32">
    <w:name w:val="ref-vol"/>
    <w:qFormat/>
    <w:uiPriority w:val="0"/>
  </w:style>
  <w:style w:type="character" w:customStyle="1" w:styleId="33">
    <w:name w:val="mixed-citation"/>
    <w:qFormat/>
    <w:uiPriority w:val="0"/>
  </w:style>
  <w:style w:type="character" w:customStyle="1" w:styleId="34">
    <w:name w:val="citation-doi"/>
    <w:qFormat/>
    <w:uiPriority w:val="0"/>
  </w:style>
  <w:style w:type="paragraph" w:customStyle="1" w:styleId="35">
    <w:name w:val="Revision"/>
    <w:hidden/>
    <w:semiHidden/>
    <w:qFormat/>
    <w:uiPriority w:val="99"/>
    <w:rPr>
      <w:rFonts w:ascii="Calibri" w:hAnsi="Calibri" w:cs="Times New Roman" w:eastAsiaTheme="minorEastAsia"/>
      <w:sz w:val="22"/>
      <w:szCs w:val="22"/>
      <w:lang w:val="it-IT" w:eastAsia="en-US" w:bidi="ar-SA"/>
    </w:rPr>
  </w:style>
  <w:style w:type="character" w:customStyle="1" w:styleId="36">
    <w:name w:val="页眉 字符"/>
    <w:basedOn w:val="12"/>
    <w:link w:val="7"/>
    <w:qFormat/>
    <w:uiPriority w:val="99"/>
    <w:rPr>
      <w:rFonts w:ascii="Calibri" w:hAnsi="Calibri"/>
      <w:sz w:val="22"/>
      <w:szCs w:val="22"/>
      <w:lang w:val="it-IT"/>
    </w:rPr>
  </w:style>
  <w:style w:type="character" w:customStyle="1" w:styleId="37">
    <w:name w:val="页脚 字符"/>
    <w:basedOn w:val="12"/>
    <w:link w:val="6"/>
    <w:qFormat/>
    <w:uiPriority w:val="99"/>
    <w:rPr>
      <w:rFonts w:ascii="Calibri" w:hAnsi="Calibri"/>
      <w:sz w:val="22"/>
      <w:szCs w:val="22"/>
      <w:lang w:val="it-I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55</Pages>
  <Words>13888</Words>
  <Characters>81939</Characters>
  <Lines>678</Lines>
  <Paragraphs>191</Paragraphs>
  <TotalTime>0</TotalTime>
  <ScaleCrop>false</ScaleCrop>
  <LinksUpToDate>false</LinksUpToDate>
  <CharactersWithSpaces>95476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2022-04-02T05:24:00Z</dcterms:created>
  <dc:creator>joan</dc:creator>
  <cp:lastModifiedBy>千</cp:lastModifiedBy>
  <dcterms:modified xsi:type="dcterms:W3CDTF">2022-04-26T08:30:55Z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27184ED436144E84BF6B406CABB66C6A</vt:lpwstr>
  </property>
</Properties>
</file>