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7D322" w14:textId="77777777" w:rsidR="00A77B3E" w:rsidRDefault="00A34B5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06B790D" w14:textId="77777777" w:rsidR="00A77B3E" w:rsidRDefault="00A34B5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69482</w:t>
      </w:r>
    </w:p>
    <w:p w14:paraId="360F95F4" w14:textId="77777777" w:rsidR="00A77B3E" w:rsidRDefault="00A34B5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EF88E42" w14:textId="77777777" w:rsidR="00A77B3E" w:rsidRDefault="00A77B3E">
      <w:pPr>
        <w:spacing w:line="360" w:lineRule="auto"/>
        <w:jc w:val="both"/>
      </w:pPr>
    </w:p>
    <w:p w14:paraId="70762608" w14:textId="54F2A01B" w:rsidR="00A77B3E" w:rsidRDefault="00404528">
      <w:pPr>
        <w:spacing w:line="360" w:lineRule="auto"/>
        <w:jc w:val="both"/>
      </w:pPr>
      <w:bookmarkStart w:id="0" w:name="_Hlk81921707"/>
      <w:r>
        <w:rPr>
          <w:rFonts w:ascii="Book Antiqua" w:eastAsia="Book Antiqua" w:hAnsi="Book Antiqua" w:cs="Book Antiqua"/>
          <w:b/>
          <w:bCs/>
          <w:color w:val="000000"/>
        </w:rPr>
        <w:t>R</w:t>
      </w:r>
      <w:r w:rsidR="00C37B64">
        <w:rPr>
          <w:rFonts w:ascii="Book Antiqua" w:eastAsia="Book Antiqua" w:hAnsi="Book Antiqua" w:cs="Book Antiqua"/>
          <w:b/>
          <w:bCs/>
          <w:color w:val="000000"/>
        </w:rPr>
        <w:t>are mutation</w:t>
      </w:r>
      <w:r w:rsidR="00A34B5F">
        <w:rPr>
          <w:rFonts w:ascii="Book Antiqua" w:eastAsia="Book Antiqua" w:hAnsi="Book Antiqua" w:cs="Book Antiqua"/>
          <w:b/>
          <w:bCs/>
          <w:color w:val="000000"/>
        </w:rPr>
        <w:t xml:space="preserve"> in </w:t>
      </w:r>
      <w:r w:rsidR="00A34B5F">
        <w:rPr>
          <w:rFonts w:ascii="Book Antiqua" w:eastAsia="Book Antiqua" w:hAnsi="Book Antiqua" w:cs="Book Antiqua"/>
          <w:b/>
          <w:bCs/>
          <w:i/>
          <w:iCs/>
          <w:color w:val="000000"/>
        </w:rPr>
        <w:t>MKRN3</w:t>
      </w:r>
      <w:r w:rsidR="00A34B5F">
        <w:rPr>
          <w:rFonts w:ascii="Book Antiqua" w:eastAsia="Book Antiqua" w:hAnsi="Book Antiqua" w:cs="Book Antiqua"/>
          <w:b/>
          <w:bCs/>
          <w:color w:val="000000"/>
        </w:rPr>
        <w:t xml:space="preserve"> in </w:t>
      </w:r>
      <w:r w:rsidR="00C37B64">
        <w:rPr>
          <w:rFonts w:ascii="Book Antiqua" w:eastAsia="Book Antiqua" w:hAnsi="Book Antiqua" w:cs="Book Antiqua"/>
          <w:b/>
          <w:bCs/>
          <w:color w:val="000000"/>
        </w:rPr>
        <w:t>two twin sisters with central precocious puberty</w:t>
      </w:r>
      <w:r w:rsidR="00A34B5F">
        <w:rPr>
          <w:rFonts w:ascii="Book Antiqua" w:eastAsia="Book Antiqua" w:hAnsi="Book Antiqua" w:cs="Book Antiqua"/>
          <w:b/>
          <w:bCs/>
          <w:color w:val="000000"/>
        </w:rPr>
        <w:t xml:space="preserve">: </w:t>
      </w:r>
      <w:r w:rsidR="00C37B64">
        <w:rPr>
          <w:rFonts w:ascii="Book Antiqua" w:eastAsia="Book Antiqua" w:hAnsi="Book Antiqua" w:cs="Book Antiqua"/>
          <w:b/>
          <w:bCs/>
          <w:color w:val="000000"/>
        </w:rPr>
        <w:t>Two</w:t>
      </w:r>
      <w:r w:rsidR="00A34B5F">
        <w:rPr>
          <w:rFonts w:ascii="Book Antiqua" w:eastAsia="Book Antiqua" w:hAnsi="Book Antiqua" w:cs="Book Antiqua"/>
          <w:b/>
          <w:bCs/>
          <w:color w:val="000000"/>
        </w:rPr>
        <w:t xml:space="preserve"> </w:t>
      </w:r>
      <w:r w:rsidR="00C37B64">
        <w:rPr>
          <w:rFonts w:ascii="Book Antiqua" w:eastAsia="Book Antiqua" w:hAnsi="Book Antiqua" w:cs="Book Antiqua"/>
          <w:b/>
          <w:bCs/>
          <w:color w:val="000000"/>
        </w:rPr>
        <w:t>case reports</w:t>
      </w:r>
    </w:p>
    <w:bookmarkEnd w:id="0"/>
    <w:p w14:paraId="7F9DF99D" w14:textId="77777777" w:rsidR="00A77B3E" w:rsidRDefault="00A77B3E">
      <w:pPr>
        <w:spacing w:line="360" w:lineRule="auto"/>
        <w:jc w:val="both"/>
      </w:pPr>
    </w:p>
    <w:p w14:paraId="6A7DEDD9" w14:textId="648C6399" w:rsidR="00A77B3E" w:rsidRDefault="00C37B64">
      <w:pPr>
        <w:spacing w:line="360" w:lineRule="auto"/>
        <w:jc w:val="both"/>
      </w:pPr>
      <w:r>
        <w:rPr>
          <w:rFonts w:ascii="Book Antiqua" w:eastAsia="Book Antiqua" w:hAnsi="Book Antiqua" w:cs="Book Antiqua"/>
          <w:color w:val="000000"/>
        </w:rPr>
        <w:t xml:space="preserve">Jiang LQ </w:t>
      </w:r>
      <w:r w:rsidRPr="00C37B64">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A34B5F">
        <w:rPr>
          <w:rFonts w:ascii="Book Antiqua" w:eastAsia="Book Antiqua" w:hAnsi="Book Antiqua" w:cs="Book Antiqua"/>
          <w:color w:val="000000"/>
        </w:rPr>
        <w:t xml:space="preserve">Mutation in </w:t>
      </w:r>
      <w:r w:rsidR="00A34B5F" w:rsidRPr="00342F39">
        <w:rPr>
          <w:rFonts w:ascii="Book Antiqua" w:eastAsia="Book Antiqua" w:hAnsi="Book Antiqua" w:cs="Book Antiqua"/>
          <w:i/>
          <w:iCs/>
          <w:color w:val="000000"/>
        </w:rPr>
        <w:t>MKRN3</w:t>
      </w:r>
      <w:r w:rsidR="00A34B5F">
        <w:rPr>
          <w:rFonts w:ascii="Book Antiqua" w:eastAsia="Book Antiqua" w:hAnsi="Book Antiqua" w:cs="Book Antiqua"/>
          <w:color w:val="000000"/>
        </w:rPr>
        <w:t xml:space="preserve"> in</w:t>
      </w:r>
      <w:r>
        <w:rPr>
          <w:rFonts w:ascii="Book Antiqua" w:eastAsia="Book Antiqua" w:hAnsi="Book Antiqua" w:cs="Book Antiqua"/>
          <w:color w:val="000000"/>
        </w:rPr>
        <w:t xml:space="preserve"> twin sisters</w:t>
      </w:r>
    </w:p>
    <w:p w14:paraId="7C1A9ABC" w14:textId="77777777" w:rsidR="00A77B3E" w:rsidRDefault="00A77B3E">
      <w:pPr>
        <w:spacing w:line="360" w:lineRule="auto"/>
        <w:jc w:val="both"/>
      </w:pPr>
    </w:p>
    <w:p w14:paraId="23AF16A2" w14:textId="77777777" w:rsidR="00A77B3E" w:rsidRDefault="00A34B5F">
      <w:pPr>
        <w:spacing w:line="360" w:lineRule="auto"/>
        <w:jc w:val="both"/>
      </w:pPr>
      <w:r>
        <w:rPr>
          <w:rFonts w:ascii="Book Antiqua" w:eastAsia="Book Antiqua" w:hAnsi="Book Antiqua" w:cs="Book Antiqua"/>
          <w:color w:val="000000"/>
        </w:rPr>
        <w:t>Li-</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Jiang, Yan-</w:t>
      </w:r>
      <w:proofErr w:type="spellStart"/>
      <w:r>
        <w:rPr>
          <w:rFonts w:ascii="Book Antiqua" w:eastAsia="Book Antiqua" w:hAnsi="Book Antiqua" w:cs="Book Antiqua"/>
          <w:color w:val="000000"/>
        </w:rPr>
        <w:t>Qiong</w:t>
      </w:r>
      <w:proofErr w:type="spellEnd"/>
      <w:r>
        <w:rPr>
          <w:rFonts w:ascii="Book Antiqua" w:eastAsia="Book Antiqua" w:hAnsi="Book Antiqua" w:cs="Book Antiqua"/>
          <w:color w:val="000000"/>
        </w:rPr>
        <w:t xml:space="preserve"> Zhou,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Yuan, Jian-Fang Zhu, Yan-Lan Fang, Chun-Lin Wang</w:t>
      </w:r>
    </w:p>
    <w:p w14:paraId="0F0413E7" w14:textId="77777777" w:rsidR="00A77B3E" w:rsidRDefault="00A77B3E">
      <w:pPr>
        <w:spacing w:line="360" w:lineRule="auto"/>
        <w:jc w:val="both"/>
      </w:pPr>
    </w:p>
    <w:p w14:paraId="2A7C5099" w14:textId="77777777" w:rsidR="00A77B3E" w:rsidRDefault="00A34B5F">
      <w:pPr>
        <w:spacing w:line="360" w:lineRule="auto"/>
        <w:jc w:val="both"/>
      </w:pPr>
      <w:r>
        <w:rPr>
          <w:rFonts w:ascii="Book Antiqua" w:eastAsia="Book Antiqua" w:hAnsi="Book Antiqua" w:cs="Book Antiqua"/>
          <w:b/>
          <w:bCs/>
          <w:color w:val="000000"/>
        </w:rPr>
        <w:t>Li-</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Jiang, Yan-</w:t>
      </w:r>
      <w:proofErr w:type="spellStart"/>
      <w:r>
        <w:rPr>
          <w:rFonts w:ascii="Book Antiqua" w:eastAsia="Book Antiqua" w:hAnsi="Book Antiqua" w:cs="Book Antiqua"/>
          <w:b/>
          <w:bCs/>
          <w:color w:val="000000"/>
        </w:rPr>
        <w:t>Qiong</w:t>
      </w:r>
      <w:proofErr w:type="spellEnd"/>
      <w:r>
        <w:rPr>
          <w:rFonts w:ascii="Book Antiqua" w:eastAsia="Book Antiqua" w:hAnsi="Book Antiqua" w:cs="Book Antiqua"/>
          <w:b/>
          <w:bCs/>
          <w:color w:val="000000"/>
        </w:rPr>
        <w:t xml:space="preserve"> Zhou,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Yuan, Jian-Fang Zhu, Yan-Lan Fang, Chun-Lin Wang, </w:t>
      </w:r>
      <w:r>
        <w:rPr>
          <w:rFonts w:ascii="Book Antiqua" w:eastAsia="Book Antiqua" w:hAnsi="Book Antiqua" w:cs="Book Antiqua"/>
          <w:color w:val="000000"/>
        </w:rPr>
        <w:t>Department of Pediatrics, The First Affiliated Hospital, Zhejiang University School of Medicine, Hangzhou 310003, Zhejiang Province, China</w:t>
      </w:r>
    </w:p>
    <w:p w14:paraId="7E2CC296" w14:textId="77777777" w:rsidR="00A77B3E" w:rsidRDefault="00A77B3E">
      <w:pPr>
        <w:spacing w:line="360" w:lineRule="auto"/>
        <w:jc w:val="both"/>
      </w:pPr>
    </w:p>
    <w:p w14:paraId="1631FFDD" w14:textId="00C063F7" w:rsidR="00A77B3E" w:rsidRDefault="00A34B5F">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Jiang LQ and Wang CL conceived and designed the study; Jiang LQ, Zhou YQ, Yuan K performed the experiments; Jiang LQ and Zhou YQ provided clinical research; Jiang LQ wrote the paper; Ji</w:t>
      </w:r>
      <w:r w:rsidR="00C37B64">
        <w:rPr>
          <w:rFonts w:ascii="Book Antiqua" w:eastAsia="Book Antiqua" w:hAnsi="Book Antiqua" w:cs="Book Antiqua"/>
          <w:color w:val="000000"/>
        </w:rPr>
        <w:t>a</w:t>
      </w:r>
      <w:r>
        <w:rPr>
          <w:rFonts w:ascii="Book Antiqua" w:eastAsia="Book Antiqua" w:hAnsi="Book Antiqua" w:cs="Book Antiqua"/>
          <w:color w:val="000000"/>
        </w:rPr>
        <w:t xml:space="preserve">ng LQ, Yuan K, Zhu JF, Fang YL and Wang CL reviewed and edited the manuscript; </w:t>
      </w:r>
      <w:r w:rsidR="003B5E75">
        <w:rPr>
          <w:rFonts w:ascii="Book Antiqua" w:eastAsia="Book Antiqua" w:hAnsi="Book Antiqua" w:cs="Book Antiqua"/>
          <w:color w:val="000000"/>
        </w:rPr>
        <w:t xml:space="preserve">and </w:t>
      </w:r>
      <w:r>
        <w:rPr>
          <w:rFonts w:ascii="Book Antiqua" w:eastAsia="Book Antiqua" w:hAnsi="Book Antiqua" w:cs="Book Antiqua"/>
          <w:color w:val="000000"/>
        </w:rPr>
        <w:t>all authors read and approved the manuscript.</w:t>
      </w:r>
    </w:p>
    <w:p w14:paraId="17316F12" w14:textId="77777777" w:rsidR="00A77B3E" w:rsidRDefault="00A77B3E">
      <w:pPr>
        <w:spacing w:line="360" w:lineRule="auto"/>
        <w:jc w:val="both"/>
      </w:pPr>
    </w:p>
    <w:p w14:paraId="5E7EB857" w14:textId="4E44B4C6" w:rsidR="00A77B3E" w:rsidRDefault="00A34B5F">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key Research and Development Program of Zhejiang Province (</w:t>
      </w:r>
      <w:r w:rsidR="00C37B64">
        <w:rPr>
          <w:rFonts w:ascii="Book Antiqua" w:eastAsia="Book Antiqua" w:hAnsi="Book Antiqua" w:cs="Book Antiqua"/>
          <w:color w:val="000000"/>
        </w:rPr>
        <w:t xml:space="preserve">No. </w:t>
      </w:r>
      <w:r>
        <w:rPr>
          <w:rFonts w:ascii="Book Antiqua" w:eastAsia="Book Antiqua" w:hAnsi="Book Antiqua" w:cs="Book Antiqua"/>
          <w:color w:val="000000"/>
        </w:rPr>
        <w:t>2020C03121).</w:t>
      </w:r>
    </w:p>
    <w:p w14:paraId="3E72C14A" w14:textId="77777777" w:rsidR="00A77B3E" w:rsidRDefault="00A77B3E">
      <w:pPr>
        <w:spacing w:line="360" w:lineRule="auto"/>
        <w:jc w:val="both"/>
      </w:pPr>
    </w:p>
    <w:p w14:paraId="536E0BFF" w14:textId="77777777" w:rsidR="00A77B3E" w:rsidRDefault="00A34B5F">
      <w:pPr>
        <w:spacing w:line="360" w:lineRule="auto"/>
        <w:jc w:val="both"/>
      </w:pPr>
      <w:r>
        <w:rPr>
          <w:rFonts w:ascii="Book Antiqua" w:eastAsia="Book Antiqua" w:hAnsi="Book Antiqua" w:cs="Book Antiqua"/>
          <w:b/>
          <w:bCs/>
          <w:color w:val="000000"/>
        </w:rPr>
        <w:t xml:space="preserve">Corresponding author: Chun-Lin Wang, MD, PhD, Chief Doctor, </w:t>
      </w:r>
      <w:r>
        <w:rPr>
          <w:rFonts w:ascii="Book Antiqua" w:eastAsia="Book Antiqua" w:hAnsi="Book Antiqua" w:cs="Book Antiqua"/>
          <w:color w:val="000000"/>
        </w:rPr>
        <w:t xml:space="preserve">Department of Pediatrics, The First Affiliated Hospital, Zhejiang University School of Medicine, No. 79 </w:t>
      </w:r>
      <w:proofErr w:type="spellStart"/>
      <w:r>
        <w:rPr>
          <w:rFonts w:ascii="Book Antiqua" w:eastAsia="Book Antiqua" w:hAnsi="Book Antiqua" w:cs="Book Antiqua"/>
          <w:color w:val="000000"/>
        </w:rPr>
        <w:t>Qingchun</w:t>
      </w:r>
      <w:proofErr w:type="spellEnd"/>
      <w:r>
        <w:rPr>
          <w:rFonts w:ascii="Book Antiqua" w:eastAsia="Book Antiqua" w:hAnsi="Book Antiqua" w:cs="Book Antiqua"/>
          <w:color w:val="000000"/>
        </w:rPr>
        <w:t xml:space="preserve"> Road, Hangzhou 310003, Zhejiang Province, China. hzwangcl@zju.edu.cn</w:t>
      </w:r>
    </w:p>
    <w:p w14:paraId="3FCF26DB" w14:textId="77777777" w:rsidR="00A77B3E" w:rsidRDefault="00A77B3E">
      <w:pPr>
        <w:spacing w:line="360" w:lineRule="auto"/>
        <w:jc w:val="both"/>
      </w:pPr>
    </w:p>
    <w:p w14:paraId="091264A5" w14:textId="77777777" w:rsidR="00A77B3E" w:rsidRDefault="00A34B5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 2021</w:t>
      </w:r>
    </w:p>
    <w:p w14:paraId="21ABD38D" w14:textId="77777777" w:rsidR="00A77B3E" w:rsidRDefault="00A34B5F">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21, 2021</w:t>
      </w:r>
    </w:p>
    <w:p w14:paraId="57DF983F" w14:textId="60232CC8" w:rsidR="00A77B3E" w:rsidRDefault="00A34B5F">
      <w:pPr>
        <w:spacing w:line="360" w:lineRule="auto"/>
        <w:jc w:val="both"/>
      </w:pPr>
      <w:r>
        <w:rPr>
          <w:rFonts w:ascii="Book Antiqua" w:eastAsia="Book Antiqua" w:hAnsi="Book Antiqua" w:cs="Book Antiqua"/>
          <w:b/>
          <w:bCs/>
          <w:color w:val="000000"/>
        </w:rPr>
        <w:t xml:space="preserve">Accepted: </w:t>
      </w:r>
      <w:r w:rsidR="00556362" w:rsidRPr="00556362">
        <w:rPr>
          <w:rFonts w:ascii="Book Antiqua" w:eastAsia="Book Antiqua" w:hAnsi="Book Antiqua" w:cs="Book Antiqua"/>
          <w:color w:val="000000"/>
        </w:rPr>
        <w:t>September 10, 2021</w:t>
      </w:r>
    </w:p>
    <w:p w14:paraId="37E0826D" w14:textId="77777777" w:rsidR="00A77B3E" w:rsidRDefault="00A34B5F">
      <w:pPr>
        <w:spacing w:line="360" w:lineRule="auto"/>
        <w:jc w:val="both"/>
      </w:pPr>
      <w:r>
        <w:rPr>
          <w:rFonts w:ascii="Book Antiqua" w:eastAsia="Book Antiqua" w:hAnsi="Book Antiqua" w:cs="Book Antiqua"/>
          <w:b/>
          <w:bCs/>
          <w:color w:val="000000"/>
        </w:rPr>
        <w:t xml:space="preserve">Published online: </w:t>
      </w:r>
    </w:p>
    <w:p w14:paraId="42CB3541" w14:textId="77777777" w:rsidR="00C37B64" w:rsidRDefault="00C37B64">
      <w:pPr>
        <w:spacing w:line="360" w:lineRule="auto"/>
        <w:jc w:val="both"/>
        <w:rPr>
          <w:rFonts w:ascii="Book Antiqua" w:eastAsia="Book Antiqua" w:hAnsi="Book Antiqua" w:cs="Book Antiqua"/>
          <w:b/>
          <w:color w:val="000000"/>
        </w:rPr>
      </w:pPr>
    </w:p>
    <w:p w14:paraId="674ADB59" w14:textId="3CD7EDD1" w:rsidR="00A77B3E" w:rsidRDefault="00A34B5F">
      <w:pPr>
        <w:spacing w:line="360" w:lineRule="auto"/>
        <w:jc w:val="both"/>
      </w:pPr>
      <w:r>
        <w:rPr>
          <w:rFonts w:ascii="Book Antiqua" w:eastAsia="Book Antiqua" w:hAnsi="Book Antiqua" w:cs="Book Antiqua"/>
          <w:b/>
          <w:color w:val="000000"/>
        </w:rPr>
        <w:t>Abstract</w:t>
      </w:r>
    </w:p>
    <w:p w14:paraId="3DCDD86C" w14:textId="77777777" w:rsidR="00A77B3E" w:rsidRDefault="00A34B5F">
      <w:pPr>
        <w:spacing w:line="360" w:lineRule="auto"/>
        <w:jc w:val="both"/>
      </w:pPr>
      <w:r>
        <w:rPr>
          <w:rFonts w:ascii="Book Antiqua" w:eastAsia="Book Antiqua" w:hAnsi="Book Antiqua" w:cs="Book Antiqua"/>
          <w:color w:val="000000"/>
        </w:rPr>
        <w:t>BACKGROUND</w:t>
      </w:r>
    </w:p>
    <w:p w14:paraId="1CF48113" w14:textId="7F50AD21" w:rsidR="00A77B3E" w:rsidRDefault="00A34B5F">
      <w:pPr>
        <w:spacing w:line="360" w:lineRule="auto"/>
        <w:jc w:val="both"/>
      </w:pPr>
      <w:r>
        <w:rPr>
          <w:rFonts w:ascii="Book Antiqua" w:eastAsia="Book Antiqua" w:hAnsi="Book Antiqua" w:cs="Book Antiqua"/>
          <w:color w:val="000000"/>
        </w:rPr>
        <w:t>Caused by premature activation of the hypothalamic</w:t>
      </w:r>
      <w:r w:rsidR="00C37B64">
        <w:rPr>
          <w:rFonts w:ascii="Book Antiqua" w:eastAsia="Book Antiqua" w:hAnsi="Book Antiqua" w:cs="Book Antiqua"/>
          <w:color w:val="000000"/>
        </w:rPr>
        <w:t>-</w:t>
      </w:r>
      <w:r>
        <w:rPr>
          <w:rFonts w:ascii="Book Antiqua" w:eastAsia="Book Antiqua" w:hAnsi="Book Antiqua" w:cs="Book Antiqua"/>
          <w:color w:val="000000"/>
        </w:rPr>
        <w:t>pituitary</w:t>
      </w:r>
      <w:r w:rsidR="00C37B64">
        <w:rPr>
          <w:rFonts w:ascii="Book Antiqua" w:eastAsia="Book Antiqua" w:hAnsi="Book Antiqua" w:cs="Book Antiqua"/>
          <w:color w:val="000000"/>
        </w:rPr>
        <w:t>-</w:t>
      </w:r>
      <w:r>
        <w:rPr>
          <w:rFonts w:ascii="Book Antiqua" w:eastAsia="Book Antiqua" w:hAnsi="Book Antiqua" w:cs="Book Antiqua"/>
          <w:color w:val="000000"/>
        </w:rPr>
        <w:t xml:space="preserve">gonadal axis, there is increasing incidence of </w:t>
      </w:r>
      <w:bookmarkStart w:id="1" w:name="_Hlk81921732"/>
      <w:r>
        <w:rPr>
          <w:rFonts w:ascii="Book Antiqua" w:eastAsia="Book Antiqua" w:hAnsi="Book Antiqua" w:cs="Book Antiqua"/>
          <w:color w:val="000000"/>
        </w:rPr>
        <w:t>central precocious puberty</w:t>
      </w:r>
      <w:bookmarkEnd w:id="1"/>
      <w:r>
        <w:rPr>
          <w:rFonts w:ascii="Book Antiqua" w:eastAsia="Book Antiqua" w:hAnsi="Book Antiqua" w:cs="Book Antiqua"/>
          <w:color w:val="000000"/>
        </w:rPr>
        <w:t xml:space="preserve"> (CPP), especially in girls. </w:t>
      </w:r>
      <w:proofErr w:type="spellStart"/>
      <w:r>
        <w:rPr>
          <w:rFonts w:ascii="Book Antiqua" w:eastAsia="Book Antiqua" w:hAnsi="Book Antiqua" w:cs="Book Antiqua"/>
          <w:color w:val="000000"/>
        </w:rPr>
        <w:t>Makorin</w:t>
      </w:r>
      <w:proofErr w:type="spellEnd"/>
      <w:r>
        <w:rPr>
          <w:rFonts w:ascii="Book Antiqua" w:eastAsia="Book Antiqua" w:hAnsi="Book Antiqua" w:cs="Book Antiqua"/>
          <w:color w:val="000000"/>
        </w:rPr>
        <w:t xml:space="preserve"> ring finger protein 3 (</w:t>
      </w:r>
      <w:r>
        <w:rPr>
          <w:rFonts w:ascii="Book Antiqua" w:eastAsia="Book Antiqua" w:hAnsi="Book Antiqua" w:cs="Book Antiqua"/>
          <w:i/>
          <w:iCs/>
          <w:color w:val="000000"/>
        </w:rPr>
        <w:t>MKRN3</w:t>
      </w:r>
      <w:r>
        <w:rPr>
          <w:rFonts w:ascii="Book Antiqua" w:eastAsia="Book Antiqua" w:hAnsi="Book Antiqua" w:cs="Book Antiqua"/>
          <w:color w:val="000000"/>
        </w:rPr>
        <w:t xml:space="preserve">), a maternal imprinted gene with a highly conserved sequence, is the most common genetic etiology associated with CPP. Approximately 50 different mutations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have been found in CPP.</w:t>
      </w:r>
    </w:p>
    <w:p w14:paraId="6B088792" w14:textId="77777777" w:rsidR="00A77B3E" w:rsidRDefault="00A77B3E">
      <w:pPr>
        <w:spacing w:line="360" w:lineRule="auto"/>
        <w:jc w:val="both"/>
      </w:pPr>
    </w:p>
    <w:p w14:paraId="4145EBCB" w14:textId="77777777" w:rsidR="00A77B3E" w:rsidRDefault="00A34B5F">
      <w:pPr>
        <w:spacing w:line="360" w:lineRule="auto"/>
        <w:jc w:val="both"/>
      </w:pPr>
      <w:r>
        <w:rPr>
          <w:rFonts w:ascii="Book Antiqua" w:eastAsia="Book Antiqua" w:hAnsi="Book Antiqua" w:cs="Book Antiqua"/>
          <w:color w:val="000000"/>
        </w:rPr>
        <w:t>CASE SUMMARY</w:t>
      </w:r>
    </w:p>
    <w:p w14:paraId="3273990C" w14:textId="2C5D8A76" w:rsidR="00A77B3E" w:rsidRDefault="00A34B5F">
      <w:pPr>
        <w:spacing w:line="360" w:lineRule="auto"/>
        <w:jc w:val="both"/>
      </w:pPr>
      <w:r>
        <w:rPr>
          <w:rFonts w:ascii="Book Antiqua" w:eastAsia="Book Antiqua" w:hAnsi="Book Antiqua" w:cs="Book Antiqua"/>
          <w:color w:val="000000"/>
        </w:rPr>
        <w:t xml:space="preserve">This case report involves identical twin sisters presenting with premature thelarche at the age of 6 years. The </w:t>
      </w:r>
      <w:proofErr w:type="gramStart"/>
      <w:r>
        <w:rPr>
          <w:rFonts w:ascii="Book Antiqua" w:eastAsia="Book Antiqua" w:hAnsi="Book Antiqua" w:cs="Book Antiqua"/>
          <w:color w:val="000000"/>
        </w:rPr>
        <w:t>left hand</w:t>
      </w:r>
      <w:proofErr w:type="gramEnd"/>
      <w:r>
        <w:rPr>
          <w:rFonts w:ascii="Book Antiqua" w:eastAsia="Book Antiqua" w:hAnsi="Book Antiqua" w:cs="Book Antiqua"/>
          <w:color w:val="000000"/>
        </w:rPr>
        <w:t xml:space="preserve"> bone age of both patients revealed advanced age (9 years). Pelvic B ultrasound indicated enlargement of the ovaries. Luteinizing hormone</w:t>
      </w:r>
      <w:r w:rsidR="00381112">
        <w:rPr>
          <w:rFonts w:ascii="Book Antiqua" w:eastAsia="Book Antiqua" w:hAnsi="Book Antiqua" w:cs="Book Antiqua"/>
          <w:color w:val="000000"/>
        </w:rPr>
        <w:t xml:space="preserve"> (LH)</w:t>
      </w:r>
      <w:r>
        <w:rPr>
          <w:rFonts w:ascii="Book Antiqua" w:eastAsia="Book Antiqua" w:hAnsi="Book Antiqua" w:cs="Book Antiqua"/>
          <w:color w:val="000000"/>
        </w:rPr>
        <w:t xml:space="preserve"> releasing hormone testing confirmed CPP. Whole</w:t>
      </w:r>
      <w:r w:rsidR="00C37B64">
        <w:rPr>
          <w:rFonts w:ascii="Book Antiqua" w:eastAsia="Book Antiqua" w:hAnsi="Book Antiqua" w:cs="Book Antiqua"/>
          <w:color w:val="000000"/>
        </w:rPr>
        <w:t>-</w:t>
      </w:r>
      <w:r>
        <w:rPr>
          <w:rFonts w:ascii="Book Antiqua" w:eastAsia="Book Antiqua" w:hAnsi="Book Antiqua" w:cs="Book Antiqua"/>
          <w:color w:val="000000"/>
        </w:rPr>
        <w:t>exome sequencing detected the c.841C</w:t>
      </w:r>
      <w:r w:rsidR="00C37B64">
        <w:rPr>
          <w:rFonts w:ascii="Book Antiqua" w:eastAsia="Book Antiqua" w:hAnsi="Book Antiqua" w:cs="Book Antiqua"/>
          <w:color w:val="000000"/>
        </w:rPr>
        <w:t xml:space="preserve"> </w:t>
      </w:r>
      <w:r>
        <w:rPr>
          <w:rFonts w:ascii="Book Antiqua" w:eastAsia="Book Antiqua" w:hAnsi="Book Antiqua" w:cs="Book Antiqua"/>
          <w:color w:val="000000"/>
        </w:rPr>
        <w:t>&gt;</w:t>
      </w:r>
      <w:r w:rsidR="00C37B64">
        <w:rPr>
          <w:rFonts w:ascii="Book Antiqua" w:eastAsia="Book Antiqua" w:hAnsi="Book Antiqua" w:cs="Book Antiqua"/>
          <w:color w:val="000000"/>
        </w:rPr>
        <w:t xml:space="preserve"> </w:t>
      </w:r>
      <w:r>
        <w:rPr>
          <w:rFonts w:ascii="Book Antiqua" w:eastAsia="Book Antiqua" w:hAnsi="Book Antiqua" w:cs="Book Antiqua"/>
          <w:color w:val="000000"/>
        </w:rPr>
        <w:t xml:space="preserve">T mutation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leading to a single base substitution, in the twins. This mutation was inherited from the father and paternal grandmother. 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with a gonadotropin</w:t>
      </w:r>
      <w:r w:rsidR="00C37B64">
        <w:rPr>
          <w:rFonts w:ascii="Book Antiqua" w:eastAsia="Book Antiqua" w:hAnsi="Book Antiqua" w:cs="Book Antiqua"/>
          <w:color w:val="000000"/>
        </w:rPr>
        <w:t>-</w:t>
      </w:r>
      <w:r>
        <w:rPr>
          <w:rFonts w:ascii="Book Antiqua" w:eastAsia="Book Antiqua" w:hAnsi="Book Antiqua" w:cs="Book Antiqua"/>
          <w:color w:val="000000"/>
        </w:rPr>
        <w:t xml:space="preserve">releasing hormone analog, levels of </w:t>
      </w:r>
      <w:r w:rsidR="00381112">
        <w:rPr>
          <w:rFonts w:ascii="Book Antiqua" w:eastAsia="Book Antiqua" w:hAnsi="Book Antiqua" w:cs="Book Antiqua"/>
          <w:color w:val="000000"/>
        </w:rPr>
        <w:t>LH</w:t>
      </w:r>
      <w:r>
        <w:rPr>
          <w:rFonts w:ascii="Book Antiqua" w:eastAsia="Book Antiqua" w:hAnsi="Book Antiqua" w:cs="Book Antiqua"/>
          <w:color w:val="000000"/>
        </w:rPr>
        <w:t>, follicle-stimulating hormone, and estradiol in the proband’s sister returned to normal levels.</w:t>
      </w:r>
    </w:p>
    <w:p w14:paraId="17C33415" w14:textId="77777777" w:rsidR="00A77B3E" w:rsidRDefault="00A77B3E">
      <w:pPr>
        <w:spacing w:line="360" w:lineRule="auto"/>
        <w:jc w:val="both"/>
      </w:pPr>
    </w:p>
    <w:p w14:paraId="36B1D17C" w14:textId="77777777" w:rsidR="00A77B3E" w:rsidRDefault="00A34B5F">
      <w:pPr>
        <w:spacing w:line="360" w:lineRule="auto"/>
        <w:jc w:val="both"/>
      </w:pPr>
      <w:r>
        <w:rPr>
          <w:rFonts w:ascii="Book Antiqua" w:eastAsia="Book Antiqua" w:hAnsi="Book Antiqua" w:cs="Book Antiqua"/>
          <w:color w:val="000000"/>
        </w:rPr>
        <w:t>CONCLUSION</w:t>
      </w:r>
    </w:p>
    <w:p w14:paraId="5EBE634D" w14:textId="6EA2E1C9" w:rsidR="00A77B3E" w:rsidRDefault="00A34B5F">
      <w:pPr>
        <w:spacing w:line="360" w:lineRule="auto"/>
        <w:jc w:val="both"/>
      </w:pPr>
      <w:r>
        <w:rPr>
          <w:rFonts w:ascii="Book Antiqua" w:eastAsia="Book Antiqua" w:hAnsi="Book Antiqua" w:cs="Book Antiqua"/>
          <w:color w:val="000000"/>
        </w:rPr>
        <w:t>Here, we report a rare mutation (c.841C</w:t>
      </w:r>
      <w:r w:rsidR="00C37B64">
        <w:rPr>
          <w:rFonts w:ascii="Book Antiqua" w:eastAsia="Book Antiqua" w:hAnsi="Book Antiqua" w:cs="Book Antiqua"/>
          <w:color w:val="000000"/>
        </w:rPr>
        <w:t xml:space="preserve"> </w:t>
      </w:r>
      <w:r>
        <w:rPr>
          <w:rFonts w:ascii="Book Antiqua" w:eastAsia="Book Antiqua" w:hAnsi="Book Antiqua" w:cs="Book Antiqua"/>
          <w:color w:val="000000"/>
        </w:rPr>
        <w:t>&gt;</w:t>
      </w:r>
      <w:r w:rsidR="00C37B64">
        <w:rPr>
          <w:rFonts w:ascii="Book Antiqua" w:eastAsia="Book Antiqua" w:hAnsi="Book Antiqua" w:cs="Book Antiqua"/>
          <w:color w:val="000000"/>
        </w:rPr>
        <w:t xml:space="preserve"> </w:t>
      </w:r>
      <w:r>
        <w:rPr>
          <w:rFonts w:ascii="Book Antiqua" w:eastAsia="Book Antiqua" w:hAnsi="Book Antiqua" w:cs="Book Antiqua"/>
          <w:color w:val="000000"/>
        </w:rPr>
        <w:t xml:space="preserve">T)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in identical twin sisters with CPP.</w:t>
      </w:r>
    </w:p>
    <w:p w14:paraId="48F47855" w14:textId="77777777" w:rsidR="00A77B3E" w:rsidRDefault="00A77B3E">
      <w:pPr>
        <w:spacing w:line="360" w:lineRule="auto"/>
        <w:jc w:val="both"/>
      </w:pPr>
    </w:p>
    <w:p w14:paraId="65B93C47" w14:textId="4DEB86FF" w:rsidR="00A77B3E" w:rsidRDefault="00A34B5F">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 xml:space="preserve">Central </w:t>
      </w:r>
      <w:r w:rsidR="00D42D43">
        <w:rPr>
          <w:rFonts w:ascii="Book Antiqua" w:eastAsia="Book Antiqua" w:hAnsi="Book Antiqua" w:cs="Book Antiqua"/>
          <w:color w:val="000000"/>
        </w:rPr>
        <w:t>p</w:t>
      </w:r>
      <w:r>
        <w:rPr>
          <w:rFonts w:ascii="Book Antiqua" w:eastAsia="Book Antiqua" w:hAnsi="Book Antiqua" w:cs="Book Antiqua"/>
          <w:color w:val="000000"/>
        </w:rPr>
        <w:t xml:space="preserve">recocious </w:t>
      </w:r>
      <w:r w:rsidR="00D42D43">
        <w:rPr>
          <w:rFonts w:ascii="Book Antiqua" w:eastAsia="Book Antiqua" w:hAnsi="Book Antiqua" w:cs="Book Antiqua"/>
          <w:color w:val="000000"/>
        </w:rPr>
        <w:t>p</w:t>
      </w:r>
      <w:r>
        <w:rPr>
          <w:rFonts w:ascii="Book Antiqua" w:eastAsia="Book Antiqua" w:hAnsi="Book Antiqua" w:cs="Book Antiqua"/>
          <w:color w:val="000000"/>
        </w:rPr>
        <w:t xml:space="preserve">uberty;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 Case report </w:t>
      </w:r>
    </w:p>
    <w:p w14:paraId="0E4A631C" w14:textId="77777777" w:rsidR="00A77B3E" w:rsidRDefault="00A77B3E">
      <w:pPr>
        <w:spacing w:line="360" w:lineRule="auto"/>
        <w:jc w:val="both"/>
      </w:pPr>
    </w:p>
    <w:p w14:paraId="56C8F18D" w14:textId="244B49F6" w:rsidR="00A77B3E" w:rsidRDefault="00A34B5F">
      <w:pPr>
        <w:spacing w:line="360" w:lineRule="auto"/>
        <w:jc w:val="both"/>
      </w:pPr>
      <w:r>
        <w:rPr>
          <w:rFonts w:ascii="Book Antiqua" w:eastAsia="Book Antiqua" w:hAnsi="Book Antiqua" w:cs="Book Antiqua"/>
          <w:color w:val="000000"/>
        </w:rPr>
        <w:lastRenderedPageBreak/>
        <w:t xml:space="preserve">Jiang LQ, Zhou YQ, Yuan K, Zhu JF, Fang YL, Wang CL. </w:t>
      </w:r>
      <w:r w:rsidR="00404528">
        <w:rPr>
          <w:rFonts w:ascii="Book Antiqua" w:eastAsia="Book Antiqua" w:hAnsi="Book Antiqua" w:cs="Book Antiqua"/>
          <w:color w:val="000000"/>
        </w:rPr>
        <w:t>R</w:t>
      </w:r>
      <w:r w:rsidR="00C37B64" w:rsidRPr="00C37B64">
        <w:rPr>
          <w:rFonts w:ascii="Book Antiqua" w:eastAsia="Book Antiqua" w:hAnsi="Book Antiqua" w:cs="Book Antiqua"/>
          <w:color w:val="000000"/>
        </w:rPr>
        <w:t xml:space="preserve">are mutation in </w:t>
      </w:r>
      <w:r w:rsidR="00C37B64" w:rsidRPr="00935723">
        <w:rPr>
          <w:rFonts w:ascii="Book Antiqua" w:eastAsia="Book Antiqua" w:hAnsi="Book Antiqua" w:cs="Book Antiqua"/>
          <w:i/>
          <w:iCs/>
          <w:color w:val="000000"/>
        </w:rPr>
        <w:t>MKRN3</w:t>
      </w:r>
      <w:r w:rsidR="00C37B64" w:rsidRPr="00C37B64">
        <w:rPr>
          <w:rFonts w:ascii="Book Antiqua" w:eastAsia="Book Antiqua" w:hAnsi="Book Antiqua" w:cs="Book Antiqua"/>
          <w:color w:val="000000"/>
        </w:rPr>
        <w:t xml:space="preserve"> in two twin sisters with central precocious puberty: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5E799E4" w14:textId="77777777" w:rsidR="00A77B3E" w:rsidRDefault="00A77B3E">
      <w:pPr>
        <w:spacing w:line="360" w:lineRule="auto"/>
        <w:jc w:val="both"/>
      </w:pPr>
    </w:p>
    <w:p w14:paraId="5107C0B4" w14:textId="46CA231C" w:rsidR="00A77B3E" w:rsidRDefault="00A34B5F">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This report discusses the diagnosis and treatment of </w:t>
      </w:r>
      <w:r w:rsidR="00C37B64" w:rsidRPr="00C37B64">
        <w:rPr>
          <w:rFonts w:ascii="Book Antiqua" w:eastAsia="Book Antiqua" w:hAnsi="Book Antiqua" w:cs="Book Antiqua"/>
          <w:color w:val="000000"/>
        </w:rPr>
        <w:t>central precocious puberty</w:t>
      </w:r>
      <w:r>
        <w:rPr>
          <w:rFonts w:ascii="Book Antiqua" w:eastAsia="Book Antiqua" w:hAnsi="Book Antiqua" w:cs="Book Antiqua"/>
          <w:color w:val="000000"/>
        </w:rPr>
        <w:t xml:space="preserve"> caused by a new </w:t>
      </w:r>
      <w:proofErr w:type="spellStart"/>
      <w:r>
        <w:rPr>
          <w:rFonts w:ascii="Book Antiqua" w:eastAsia="Book Antiqua" w:hAnsi="Book Antiqua" w:cs="Book Antiqua"/>
          <w:color w:val="000000"/>
        </w:rPr>
        <w:t>Makorin</w:t>
      </w:r>
      <w:proofErr w:type="spellEnd"/>
      <w:r>
        <w:rPr>
          <w:rFonts w:ascii="Book Antiqua" w:eastAsia="Book Antiqua" w:hAnsi="Book Antiqua" w:cs="Book Antiqua"/>
          <w:color w:val="000000"/>
        </w:rPr>
        <w:t xml:space="preserve"> ring finger protein 3 gene mutation and includes a detailed clinical and laboratory analysis of the pathogenic principle, which provided the diagnosis and led to the treatment of central precocious puberty.</w:t>
      </w:r>
    </w:p>
    <w:p w14:paraId="3178A36A" w14:textId="77777777" w:rsidR="00A77B3E" w:rsidRDefault="00A77B3E">
      <w:pPr>
        <w:spacing w:line="360" w:lineRule="auto"/>
        <w:jc w:val="both"/>
      </w:pPr>
    </w:p>
    <w:p w14:paraId="7C21F42B" w14:textId="77777777" w:rsidR="00A77B3E" w:rsidRDefault="00A34B5F">
      <w:pPr>
        <w:spacing w:line="360" w:lineRule="auto"/>
        <w:jc w:val="both"/>
      </w:pPr>
      <w:r>
        <w:rPr>
          <w:rFonts w:ascii="Book Antiqua" w:eastAsia="Book Antiqua" w:hAnsi="Book Antiqua" w:cs="Book Antiqua"/>
          <w:b/>
          <w:caps/>
          <w:color w:val="000000"/>
          <w:u w:val="single"/>
        </w:rPr>
        <w:t>INTRODUCTION</w:t>
      </w:r>
    </w:p>
    <w:p w14:paraId="3DA10D95" w14:textId="5D1B08E4" w:rsidR="00A77B3E" w:rsidRDefault="00A34B5F">
      <w:pPr>
        <w:spacing w:line="360" w:lineRule="auto"/>
        <w:jc w:val="both"/>
      </w:pPr>
      <w:r>
        <w:rPr>
          <w:rFonts w:ascii="Book Antiqua" w:eastAsia="Book Antiqua" w:hAnsi="Book Antiqua" w:cs="Book Antiqua"/>
          <w:color w:val="000000"/>
        </w:rPr>
        <w:t xml:space="preserve">Precocious puberty is defined by the development of breast enlargement before the age of 8 years or menarche before the age of 10 years in girls and testicular enlargement (≥ 4 mL) before the age of 9 years in boys. Central precocious puberty (CPP) is a specific type of precocious puberty that results from premature activation of the hypothalamic-pituitary-gonadal </w:t>
      </w:r>
      <w:r w:rsidR="00C37B64">
        <w:rPr>
          <w:rFonts w:ascii="Book Antiqua" w:eastAsia="Book Antiqua" w:hAnsi="Book Antiqua" w:cs="Book Antiqua"/>
          <w:color w:val="000000"/>
        </w:rPr>
        <w:t xml:space="preserve">(HPG) </w:t>
      </w:r>
      <w:proofErr w:type="gramStart"/>
      <w:r>
        <w:rPr>
          <w:rFonts w:ascii="Book Antiqua" w:eastAsia="Book Antiqua" w:hAnsi="Book Antiqua" w:cs="Book Antiqua"/>
          <w:color w:val="000000"/>
        </w:rPr>
        <w:t>axis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CPP has critical short</w:t>
      </w:r>
      <w:r w:rsidR="00C37B64">
        <w:rPr>
          <w:rFonts w:ascii="Book Antiqua" w:eastAsia="Book Antiqua" w:hAnsi="Book Antiqua" w:cs="Book Antiqua"/>
          <w:color w:val="000000"/>
        </w:rPr>
        <w:t>-</w:t>
      </w:r>
      <w:r>
        <w:rPr>
          <w:rFonts w:ascii="Book Antiqua" w:eastAsia="Book Antiqua" w:hAnsi="Book Antiqua" w:cs="Book Antiqua"/>
          <w:color w:val="000000"/>
        </w:rPr>
        <w:t>term and long</w:t>
      </w:r>
      <w:r w:rsidR="00C37B64">
        <w:rPr>
          <w:rFonts w:ascii="Book Antiqua" w:eastAsia="Book Antiqua" w:hAnsi="Book Antiqua" w:cs="Book Antiqua"/>
          <w:color w:val="000000"/>
        </w:rPr>
        <w:t>-</w:t>
      </w:r>
      <w:r>
        <w:rPr>
          <w:rFonts w:ascii="Book Antiqua" w:eastAsia="Book Antiqua" w:hAnsi="Book Antiqua" w:cs="Book Antiqua"/>
          <w:color w:val="000000"/>
        </w:rPr>
        <w:t xml:space="preserve">term impacts on children, including increased risks of psychosocial stress, short stature, obesity, cardiovascular disease, and type 2 diabetes in </w:t>
      </w:r>
      <w:proofErr w:type="gramStart"/>
      <w:r>
        <w:rPr>
          <w:rFonts w:ascii="Book Antiqua" w:eastAsia="Book Antiqua" w:hAnsi="Book Antiqua" w:cs="Book Antiqua"/>
          <w:color w:val="000000"/>
        </w:rPr>
        <w:t>adulthood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incidence of CPP is greater in girls than in boys, though the mechanism underlying this difference is not yet </w:t>
      </w:r>
      <w:proofErr w:type="gramStart"/>
      <w:r>
        <w:rPr>
          <w:rFonts w:ascii="Book Antiqua" w:eastAsia="Book Antiqua" w:hAnsi="Book Antiqua" w:cs="Book Antiqua"/>
          <w:color w:val="000000"/>
        </w:rPr>
        <w:t>understood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Boys with CPP are more likely to have specific pathological factors, such as thalamic hamartoma. In contrast, 90% of cases of CPP in girls are </w:t>
      </w:r>
      <w:proofErr w:type="gramStart"/>
      <w:r>
        <w:rPr>
          <w:rFonts w:ascii="Book Antiqua" w:eastAsia="Book Antiqua" w:hAnsi="Book Antiqua" w:cs="Book Antiqua"/>
          <w:color w:val="000000"/>
        </w:rPr>
        <w:t>idiopathic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692DF9F" w14:textId="4B69B2B1" w:rsidR="00A77B3E" w:rsidRDefault="00A34B5F" w:rsidP="00381112">
      <w:pPr>
        <w:spacing w:line="360" w:lineRule="auto"/>
        <w:ind w:firstLineChars="100" w:firstLine="240"/>
        <w:jc w:val="both"/>
      </w:pPr>
      <w:r>
        <w:rPr>
          <w:rFonts w:ascii="Book Antiqua" w:eastAsia="Book Antiqua" w:hAnsi="Book Antiqua" w:cs="Book Antiqua"/>
          <w:color w:val="000000"/>
        </w:rPr>
        <w:t xml:space="preserve">Genetic testing of children diagnosed with CPP has led to the identification of several pathogenic genes. Multiple genes, including </w:t>
      </w:r>
      <w:proofErr w:type="spellStart"/>
      <w:r>
        <w:rPr>
          <w:rFonts w:ascii="Book Antiqua" w:eastAsia="Book Antiqua" w:hAnsi="Book Antiqua" w:cs="Book Antiqua"/>
          <w:color w:val="000000"/>
        </w:rPr>
        <w:t>makorin</w:t>
      </w:r>
      <w:proofErr w:type="spellEnd"/>
      <w:r>
        <w:rPr>
          <w:rFonts w:ascii="Book Antiqua" w:eastAsia="Book Antiqua" w:hAnsi="Book Antiqua" w:cs="Book Antiqua"/>
          <w:color w:val="000000"/>
        </w:rPr>
        <w:t xml:space="preserve"> ring finger protein 3 (</w:t>
      </w:r>
      <w:r>
        <w:rPr>
          <w:rFonts w:ascii="Book Antiqua" w:eastAsia="Book Antiqua" w:hAnsi="Book Antiqua" w:cs="Book Antiqua"/>
          <w:i/>
          <w:iCs/>
          <w:color w:val="000000"/>
        </w:rPr>
        <w:t>MKRN3</w:t>
      </w:r>
      <w:r>
        <w:rPr>
          <w:rFonts w:ascii="Book Antiqua" w:eastAsia="Book Antiqua" w:hAnsi="Book Antiqua" w:cs="Book Antiqua"/>
          <w:color w:val="000000"/>
        </w:rPr>
        <w:t>), kisspeptin (</w:t>
      </w:r>
      <w:r>
        <w:rPr>
          <w:rFonts w:ascii="Book Antiqua" w:eastAsia="Book Antiqua" w:hAnsi="Book Antiqua" w:cs="Book Antiqua"/>
          <w:i/>
          <w:iCs/>
          <w:color w:val="000000"/>
        </w:rPr>
        <w:t xml:space="preserve">KISS1), </w:t>
      </w:r>
      <w:r>
        <w:rPr>
          <w:rFonts w:ascii="Book Antiqua" w:eastAsia="Book Antiqua" w:hAnsi="Book Antiqua" w:cs="Book Antiqua"/>
          <w:color w:val="000000"/>
        </w:rPr>
        <w:t xml:space="preserve">kisspeptin receptor </w:t>
      </w:r>
      <w:r>
        <w:rPr>
          <w:rFonts w:ascii="Book Antiqua" w:eastAsia="Book Antiqua" w:hAnsi="Book Antiqua" w:cs="Book Antiqua"/>
          <w:i/>
          <w:iCs/>
          <w:color w:val="000000"/>
        </w:rPr>
        <w:t>(KISS1R),</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delta-like homolog 1 </w:t>
      </w:r>
      <w:r>
        <w:rPr>
          <w:rFonts w:ascii="Book Antiqua" w:eastAsia="Book Antiqua" w:hAnsi="Book Antiqua" w:cs="Book Antiqua"/>
          <w:i/>
          <w:iCs/>
          <w:color w:val="000000"/>
        </w:rPr>
        <w:t>(DLK1)</w:t>
      </w:r>
      <w:r>
        <w:rPr>
          <w:rFonts w:ascii="Book Antiqua" w:eastAsia="Book Antiqua" w:hAnsi="Book Antiqua" w:cs="Book Antiqua"/>
          <w:color w:val="000000"/>
        </w:rPr>
        <w:t>, are associated with CPP. Loss</w:t>
      </w:r>
      <w:r w:rsidR="00381112">
        <w:rPr>
          <w:rFonts w:ascii="Book Antiqua" w:eastAsia="Book Antiqua" w:hAnsi="Book Antiqua" w:cs="Book Antiqua"/>
          <w:color w:val="000000"/>
        </w:rPr>
        <w:t>-</w:t>
      </w:r>
      <w:r>
        <w:rPr>
          <w:rFonts w:ascii="Book Antiqua" w:eastAsia="Book Antiqua" w:hAnsi="Book Antiqua" w:cs="Book Antiqua"/>
          <w:color w:val="000000"/>
        </w:rPr>
        <w:t>of</w:t>
      </w:r>
      <w:r w:rsidR="00381112">
        <w:rPr>
          <w:rFonts w:ascii="Book Antiqua" w:eastAsia="Book Antiqua" w:hAnsi="Book Antiqua" w:cs="Book Antiqua"/>
          <w:color w:val="000000"/>
        </w:rPr>
        <w:t>-</w:t>
      </w:r>
      <w:r>
        <w:rPr>
          <w:rFonts w:ascii="Book Antiqua" w:eastAsia="Book Antiqua" w:hAnsi="Book Antiqua" w:cs="Book Antiqua"/>
          <w:color w:val="000000"/>
        </w:rPr>
        <w:t xml:space="preserve">function mutations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are the most common genetic etiology contributing to </w:t>
      </w:r>
      <w:proofErr w:type="gramStart"/>
      <w:r>
        <w:rPr>
          <w:rFonts w:ascii="Book Antiqua" w:eastAsia="Book Antiqua" w:hAnsi="Book Antiqua" w:cs="Book Antiqua"/>
          <w:color w:val="000000"/>
        </w:rPr>
        <w:t>CPP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and 115 cases of familial and sporadic CPP involving more than 20 different loss-of-function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mutations were reported from 2013 to 2019</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B99D671" w14:textId="77777777" w:rsidR="00A77B3E" w:rsidRDefault="00A34B5F" w:rsidP="00381112">
      <w:pPr>
        <w:spacing w:line="360" w:lineRule="auto"/>
        <w:ind w:firstLineChars="100" w:firstLine="240"/>
        <w:jc w:val="both"/>
      </w:pPr>
      <w:r>
        <w:rPr>
          <w:rFonts w:ascii="Book Antiqua" w:eastAsia="Book Antiqua" w:hAnsi="Book Antiqua" w:cs="Book Antiqua"/>
          <w:color w:val="000000"/>
        </w:rPr>
        <w:t xml:space="preserve">Herein, we report a rare mutation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causing CPP in twin sisters. This is the first report of </w:t>
      </w:r>
      <w:r>
        <w:rPr>
          <w:rFonts w:ascii="Book Antiqua" w:eastAsia="Book Antiqua" w:hAnsi="Book Antiqua" w:cs="Book Antiqua"/>
          <w:i/>
          <w:iCs/>
          <w:color w:val="000000"/>
        </w:rPr>
        <w:t>MKRN3</w:t>
      </w:r>
      <w:r>
        <w:rPr>
          <w:rFonts w:ascii="Book Antiqua" w:eastAsia="Book Antiqua" w:hAnsi="Book Antiqua" w:cs="Book Antiqua"/>
          <w:color w:val="000000"/>
        </w:rPr>
        <w:t xml:space="preserve"> gene mutation in identical twins.</w:t>
      </w:r>
    </w:p>
    <w:p w14:paraId="47C4744F" w14:textId="77777777" w:rsidR="00A77B3E" w:rsidRDefault="00A77B3E">
      <w:pPr>
        <w:spacing w:line="360" w:lineRule="auto"/>
        <w:jc w:val="both"/>
      </w:pPr>
    </w:p>
    <w:p w14:paraId="56AECA92" w14:textId="77777777" w:rsidR="00A77B3E" w:rsidRDefault="00A34B5F">
      <w:pPr>
        <w:spacing w:line="360" w:lineRule="auto"/>
        <w:jc w:val="both"/>
      </w:pPr>
      <w:r>
        <w:rPr>
          <w:rFonts w:ascii="Book Antiqua" w:eastAsia="Book Antiqua" w:hAnsi="Book Antiqua" w:cs="Book Antiqua"/>
          <w:b/>
          <w:caps/>
          <w:color w:val="000000"/>
          <w:u w:val="single"/>
        </w:rPr>
        <w:t>CASE PRESENTATION</w:t>
      </w:r>
    </w:p>
    <w:p w14:paraId="0A9E3502" w14:textId="77777777" w:rsidR="00A77B3E" w:rsidRDefault="00A34B5F">
      <w:pPr>
        <w:spacing w:line="360" w:lineRule="auto"/>
        <w:jc w:val="both"/>
      </w:pPr>
      <w:r>
        <w:rPr>
          <w:rFonts w:ascii="Book Antiqua" w:eastAsia="Book Antiqua" w:hAnsi="Book Antiqua" w:cs="Book Antiqua"/>
          <w:b/>
          <w:i/>
          <w:color w:val="000000"/>
        </w:rPr>
        <w:t>Chief complaints</w:t>
      </w:r>
    </w:p>
    <w:p w14:paraId="72644BC4" w14:textId="77777777" w:rsidR="00A77B3E" w:rsidRDefault="00A34B5F">
      <w:pPr>
        <w:spacing w:line="360" w:lineRule="auto"/>
        <w:jc w:val="both"/>
      </w:pPr>
      <w:r>
        <w:rPr>
          <w:rFonts w:ascii="Book Antiqua" w:eastAsia="Book Antiqua" w:hAnsi="Book Antiqua" w:cs="Book Antiqua"/>
          <w:color w:val="000000"/>
        </w:rPr>
        <w:t>Patient A: A Chinese girl was referred to our hospital for premature thelarche at the age of 6 years and 9 mo.</w:t>
      </w:r>
    </w:p>
    <w:p w14:paraId="0CBB8755" w14:textId="77777777" w:rsidR="00A77B3E" w:rsidRDefault="00A34B5F" w:rsidP="00381112">
      <w:pPr>
        <w:spacing w:line="360" w:lineRule="auto"/>
        <w:ind w:firstLineChars="100" w:firstLine="240"/>
        <w:jc w:val="both"/>
      </w:pPr>
      <w:r>
        <w:rPr>
          <w:rFonts w:ascii="Book Antiqua" w:eastAsia="Book Antiqua" w:hAnsi="Book Antiqua" w:cs="Book Antiqua"/>
          <w:color w:val="000000"/>
        </w:rPr>
        <w:t xml:space="preserve">Patient B: The identical twin elder sister of patient A was previously examined at the age of 6 years and 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for premature thelarche in another hospital. Premature thelarche appeared when the patient was 6 years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old.</w:t>
      </w:r>
    </w:p>
    <w:p w14:paraId="1143755D" w14:textId="77777777" w:rsidR="00A77B3E" w:rsidRDefault="00A77B3E">
      <w:pPr>
        <w:spacing w:line="360" w:lineRule="auto"/>
        <w:jc w:val="both"/>
      </w:pPr>
    </w:p>
    <w:p w14:paraId="63FA2E13" w14:textId="77777777" w:rsidR="00A77B3E" w:rsidRDefault="00A34B5F">
      <w:pPr>
        <w:spacing w:line="360" w:lineRule="auto"/>
        <w:jc w:val="both"/>
      </w:pPr>
      <w:r>
        <w:rPr>
          <w:rFonts w:ascii="Book Antiqua" w:eastAsia="Book Antiqua" w:hAnsi="Book Antiqua" w:cs="Book Antiqua"/>
          <w:b/>
          <w:i/>
          <w:color w:val="000000"/>
        </w:rPr>
        <w:t>History of present illness</w:t>
      </w:r>
    </w:p>
    <w:p w14:paraId="0FC67F13" w14:textId="77777777" w:rsidR="00A77B3E" w:rsidRDefault="00A34B5F">
      <w:pPr>
        <w:spacing w:line="360" w:lineRule="auto"/>
        <w:jc w:val="both"/>
      </w:pPr>
      <w:r>
        <w:rPr>
          <w:rFonts w:ascii="Book Antiqua" w:eastAsia="Book Antiqua" w:hAnsi="Book Antiqua" w:cs="Book Antiqua"/>
          <w:color w:val="000000"/>
        </w:rPr>
        <w:t xml:space="preserve">At the age of 6 years and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patient A showed breast development and progressive enlargement; at the age of 6 years and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patient B showed breast development and progressive enlargement.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patient A, no other obvious discomfort, misuse of contraceptives, or other abnormal performance was reported.</w:t>
      </w:r>
    </w:p>
    <w:p w14:paraId="4D05AC28" w14:textId="77777777" w:rsidR="00A77B3E" w:rsidRDefault="00A77B3E">
      <w:pPr>
        <w:spacing w:line="360" w:lineRule="auto"/>
        <w:jc w:val="both"/>
      </w:pPr>
    </w:p>
    <w:p w14:paraId="6DAA5378" w14:textId="77777777" w:rsidR="00A77B3E" w:rsidRDefault="00A34B5F">
      <w:pPr>
        <w:spacing w:line="360" w:lineRule="auto"/>
        <w:jc w:val="both"/>
      </w:pPr>
      <w:r>
        <w:rPr>
          <w:rFonts w:ascii="Book Antiqua" w:eastAsia="Book Antiqua" w:hAnsi="Book Antiqua" w:cs="Book Antiqua"/>
          <w:b/>
          <w:i/>
          <w:color w:val="000000"/>
        </w:rPr>
        <w:t>History of past illness</w:t>
      </w:r>
    </w:p>
    <w:p w14:paraId="3A5113BC" w14:textId="77777777" w:rsidR="00A77B3E" w:rsidRDefault="00A34B5F">
      <w:pPr>
        <w:spacing w:line="360" w:lineRule="auto"/>
        <w:jc w:val="both"/>
      </w:pPr>
      <w:r>
        <w:rPr>
          <w:rFonts w:ascii="Book Antiqua" w:eastAsia="Book Antiqua" w:hAnsi="Book Antiqua" w:cs="Book Antiqua"/>
          <w:color w:val="000000"/>
        </w:rPr>
        <w:t xml:space="preserve">The girls were born at full term weighing 2400 g and 2690 g and with a length of 48 cm (both twins). Neither patient had a history of a significant medical illness. The patients' diet was normal. The growth and development of the children prior to thelarche were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of Han girls of their age.</w:t>
      </w:r>
    </w:p>
    <w:p w14:paraId="536EF7ED" w14:textId="77777777" w:rsidR="00A77B3E" w:rsidRDefault="00A77B3E">
      <w:pPr>
        <w:spacing w:line="360" w:lineRule="auto"/>
        <w:jc w:val="both"/>
      </w:pPr>
    </w:p>
    <w:p w14:paraId="632A16C3" w14:textId="77777777" w:rsidR="00A77B3E" w:rsidRDefault="00A34B5F">
      <w:pPr>
        <w:spacing w:line="360" w:lineRule="auto"/>
        <w:jc w:val="both"/>
      </w:pPr>
      <w:r>
        <w:rPr>
          <w:rFonts w:ascii="Book Antiqua" w:eastAsia="Book Antiqua" w:hAnsi="Book Antiqua" w:cs="Book Antiqua"/>
          <w:b/>
          <w:i/>
          <w:color w:val="000000"/>
        </w:rPr>
        <w:t>Personal and family history</w:t>
      </w:r>
    </w:p>
    <w:p w14:paraId="60B8249C" w14:textId="77777777" w:rsidR="00A77B3E" w:rsidRDefault="00A34B5F">
      <w:pPr>
        <w:spacing w:line="360" w:lineRule="auto"/>
        <w:jc w:val="both"/>
      </w:pPr>
      <w:r>
        <w:rPr>
          <w:rFonts w:ascii="Book Antiqua" w:eastAsia="Book Antiqua" w:hAnsi="Book Antiqua" w:cs="Book Antiqua"/>
          <w:color w:val="000000"/>
        </w:rPr>
        <w:t>The patients were twin daughters of Han Chinese nonconsanguineous parents. There was no family history of immunodeficiency or recurrent infection. The parents had no genetic diseases. The menarche age of the mother and pubertal development of the father were normal. The father had a height of 170 cm (-0.4 SDS) and the mother 162 cm (0.3 SDS).</w:t>
      </w:r>
    </w:p>
    <w:p w14:paraId="1361527C" w14:textId="77777777" w:rsidR="00A77B3E" w:rsidRDefault="00A77B3E">
      <w:pPr>
        <w:spacing w:line="360" w:lineRule="auto"/>
        <w:jc w:val="both"/>
      </w:pPr>
    </w:p>
    <w:p w14:paraId="17A62269" w14:textId="77777777" w:rsidR="00A77B3E" w:rsidRDefault="00A34B5F">
      <w:pPr>
        <w:spacing w:line="360" w:lineRule="auto"/>
        <w:jc w:val="both"/>
      </w:pPr>
      <w:r>
        <w:rPr>
          <w:rFonts w:ascii="Book Antiqua" w:eastAsia="Book Antiqua" w:hAnsi="Book Antiqua" w:cs="Book Antiqua"/>
          <w:b/>
          <w:i/>
          <w:color w:val="000000"/>
        </w:rPr>
        <w:t>Physical examination</w:t>
      </w:r>
    </w:p>
    <w:p w14:paraId="5B82D4EF" w14:textId="77777777" w:rsidR="00A77B3E" w:rsidRDefault="00A34B5F">
      <w:pPr>
        <w:spacing w:line="360" w:lineRule="auto"/>
        <w:jc w:val="both"/>
      </w:pPr>
      <w:r>
        <w:rPr>
          <w:rFonts w:ascii="Book Antiqua" w:eastAsia="Book Antiqua" w:hAnsi="Book Antiqua" w:cs="Book Antiqua"/>
          <w:color w:val="000000"/>
        </w:rPr>
        <w:lastRenderedPageBreak/>
        <w:t xml:space="preserve">Patient A had a height of 119.6 cm (0.04 SDS) and weighed 23 kg: </w:t>
      </w:r>
      <w:proofErr w:type="gramStart"/>
      <w:r>
        <w:rPr>
          <w:rFonts w:ascii="Book Antiqua" w:eastAsia="Book Antiqua" w:hAnsi="Book Antiqua" w:cs="Book Antiqua"/>
          <w:color w:val="000000"/>
        </w:rPr>
        <w:t>Tanner</w:t>
      </w:r>
      <w:proofErr w:type="gramEnd"/>
      <w:r>
        <w:rPr>
          <w:rFonts w:ascii="Book Antiqua" w:eastAsia="Book Antiqua" w:hAnsi="Book Antiqua" w:cs="Book Antiqua"/>
          <w:color w:val="000000"/>
        </w:rPr>
        <w:t xml:space="preserve"> stage 2 in the breasts and Tanner stage 1 in pubic hair, with no axillary hair. The height of patient B was 122.6 cm (0.8 SDS), and her body weight was 26.7 kg; she showed breast Tanner stage 2, pubic hair stage 1, and no axillary hair.</w:t>
      </w:r>
    </w:p>
    <w:p w14:paraId="452FB6E8" w14:textId="77777777" w:rsidR="00A77B3E" w:rsidRDefault="00A77B3E">
      <w:pPr>
        <w:spacing w:line="360" w:lineRule="auto"/>
        <w:jc w:val="both"/>
      </w:pPr>
    </w:p>
    <w:p w14:paraId="5288B334" w14:textId="77777777" w:rsidR="00A77B3E" w:rsidRDefault="00A34B5F">
      <w:pPr>
        <w:spacing w:line="360" w:lineRule="auto"/>
        <w:jc w:val="both"/>
      </w:pPr>
      <w:r>
        <w:rPr>
          <w:rFonts w:ascii="Book Antiqua" w:eastAsia="Book Antiqua" w:hAnsi="Book Antiqua" w:cs="Book Antiqua"/>
          <w:b/>
          <w:i/>
          <w:color w:val="000000"/>
        </w:rPr>
        <w:t>Laboratory examinations</w:t>
      </w:r>
    </w:p>
    <w:p w14:paraId="614FB252" w14:textId="564184C1" w:rsidR="00A77B3E" w:rsidRDefault="00A34B5F">
      <w:pPr>
        <w:spacing w:line="360" w:lineRule="auto"/>
        <w:jc w:val="both"/>
      </w:pPr>
      <w:r>
        <w:rPr>
          <w:rFonts w:ascii="Book Antiqua" w:eastAsia="Book Antiqua" w:hAnsi="Book Antiqua" w:cs="Book Antiqua"/>
          <w:color w:val="000000"/>
        </w:rPr>
        <w:t xml:space="preserve">The luteinizing hormone releasing hormone (LHRH) stimulation test for patient A indicated CPP (early stage); the peak luteinizing hormone (LH) value was 4.71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the peak follicle</w:t>
      </w:r>
      <w:r w:rsidR="00381112">
        <w:rPr>
          <w:rFonts w:ascii="Book Antiqua" w:eastAsia="Book Antiqua" w:hAnsi="Book Antiqua" w:cs="Book Antiqua"/>
          <w:color w:val="000000"/>
        </w:rPr>
        <w:t>-</w:t>
      </w:r>
      <w:r>
        <w:rPr>
          <w:rFonts w:ascii="Book Antiqua" w:eastAsia="Book Antiqua" w:hAnsi="Book Antiqua" w:cs="Book Antiqua"/>
          <w:color w:val="000000"/>
        </w:rPr>
        <w:t xml:space="preserve">stimulating hormone (FSH) value was 16.48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 xml:space="preserve">/mL, and the LH/FSH ratio value was 0.29. Laboratory results together with the typical clinical manifestations indicated CPP. The LHRH stimulation test of patient B revealed a peak LH value of 15.81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(Table 1).</w:t>
      </w:r>
    </w:p>
    <w:p w14:paraId="4978EB39" w14:textId="77777777" w:rsidR="00A77B3E" w:rsidRDefault="00A77B3E">
      <w:pPr>
        <w:spacing w:line="360" w:lineRule="auto"/>
        <w:jc w:val="both"/>
      </w:pPr>
    </w:p>
    <w:p w14:paraId="3EE4D814" w14:textId="77777777" w:rsidR="00A77B3E" w:rsidRDefault="00A34B5F">
      <w:pPr>
        <w:spacing w:line="360" w:lineRule="auto"/>
        <w:jc w:val="both"/>
      </w:pPr>
      <w:r>
        <w:rPr>
          <w:rFonts w:ascii="Book Antiqua" w:eastAsia="Book Antiqua" w:hAnsi="Book Antiqua" w:cs="Book Antiqua"/>
          <w:b/>
          <w:i/>
          <w:color w:val="000000"/>
        </w:rPr>
        <w:t>Imaging examinations</w:t>
      </w:r>
    </w:p>
    <w:p w14:paraId="6C424018" w14:textId="2E6830A2" w:rsidR="00A77B3E" w:rsidRDefault="00A34B5F">
      <w:pPr>
        <w:spacing w:line="360" w:lineRule="auto"/>
        <w:jc w:val="both"/>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left hand</w:t>
      </w:r>
      <w:proofErr w:type="gramEnd"/>
      <w:r>
        <w:rPr>
          <w:rFonts w:ascii="Book Antiqua" w:eastAsia="Book Antiqua" w:hAnsi="Book Antiqua" w:cs="Book Antiqua"/>
          <w:color w:val="000000"/>
        </w:rPr>
        <w:t xml:space="preserve"> bone age of patient A was 9 years. Pelvic ultrasound of patient A revealed enlargement of the ovary; the volume of the left ovary was 1.2 </w:t>
      </w:r>
      <w:bookmarkStart w:id="2" w:name="_Hlk81922080"/>
      <w:r>
        <w:rPr>
          <w:rFonts w:ascii="Book Antiqua" w:eastAsia="Book Antiqua" w:hAnsi="Book Antiqua" w:cs="Book Antiqua"/>
          <w:color w:val="000000"/>
        </w:rPr>
        <w:t>mL</w:t>
      </w:r>
      <w:bookmarkEnd w:id="2"/>
      <w:r>
        <w:rPr>
          <w:rFonts w:ascii="Book Antiqua" w:eastAsia="Book Antiqua" w:hAnsi="Book Antiqua" w:cs="Book Antiqua"/>
          <w:color w:val="000000"/>
        </w:rPr>
        <w:t>, while the volume of the right ovary was 1.7</w:t>
      </w:r>
      <w:r w:rsidR="00381112">
        <w:rPr>
          <w:rFonts w:ascii="Book Antiqua" w:eastAsia="Book Antiqua" w:hAnsi="Book Antiqua" w:cs="Book Antiqua"/>
          <w:color w:val="000000"/>
        </w:rPr>
        <w:t xml:space="preserve"> </w:t>
      </w:r>
      <w:proofErr w:type="spellStart"/>
      <w:r w:rsidR="00381112">
        <w:rPr>
          <w:rFonts w:ascii="Book Antiqua" w:eastAsia="Book Antiqua" w:hAnsi="Book Antiqua" w:cs="Book Antiqua"/>
          <w:color w:val="000000"/>
        </w:rPr>
        <w:t>mL</w:t>
      </w:r>
      <w:r>
        <w:rPr>
          <w:rFonts w:ascii="Book Antiqua" w:eastAsia="Book Antiqua" w:hAnsi="Book Antiqua" w:cs="Book Antiqua"/>
          <w:color w:val="000000"/>
        </w:rPr>
        <w:t>.</w:t>
      </w:r>
      <w:proofErr w:type="spellEnd"/>
      <w:r>
        <w:rPr>
          <w:rFonts w:ascii="Book Antiqua" w:eastAsia="Book Antiqua" w:hAnsi="Book Antiqua" w:cs="Book Antiqua"/>
          <w:color w:val="000000"/>
        </w:rPr>
        <w:t xml:space="preserve"> Pelvic ultrasound of patient B revealed larger ovaries than in patient A; the volume of the left ovary was 2 mL, and the volume of the right ovary was 3.8 </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w:t>
      </w:r>
      <w:proofErr w:type="gramStart"/>
      <w:r>
        <w:rPr>
          <w:rFonts w:ascii="Book Antiqua" w:eastAsia="Book Antiqua" w:hAnsi="Book Antiqua" w:cs="Book Antiqua"/>
          <w:color w:val="000000"/>
        </w:rPr>
        <w:t>left hand</w:t>
      </w:r>
      <w:proofErr w:type="gramEnd"/>
      <w:r>
        <w:rPr>
          <w:rFonts w:ascii="Book Antiqua" w:eastAsia="Book Antiqua" w:hAnsi="Book Antiqua" w:cs="Book Antiqua"/>
          <w:color w:val="000000"/>
        </w:rPr>
        <w:t xml:space="preserve"> bone age of patient B was 9 years.</w:t>
      </w:r>
    </w:p>
    <w:p w14:paraId="44A1C7D6" w14:textId="77777777" w:rsidR="00A77B3E" w:rsidRDefault="00A77B3E">
      <w:pPr>
        <w:spacing w:line="360" w:lineRule="auto"/>
        <w:jc w:val="both"/>
      </w:pPr>
    </w:p>
    <w:p w14:paraId="0D7C44F9" w14:textId="77777777" w:rsidR="00A77B3E" w:rsidRDefault="00A34B5F">
      <w:pPr>
        <w:spacing w:line="360" w:lineRule="auto"/>
        <w:jc w:val="both"/>
      </w:pPr>
      <w:r>
        <w:rPr>
          <w:rFonts w:ascii="Book Antiqua" w:eastAsia="Book Antiqua" w:hAnsi="Book Antiqua" w:cs="Book Antiqua"/>
          <w:b/>
          <w:bCs/>
          <w:i/>
          <w:iCs/>
          <w:color w:val="000000"/>
        </w:rPr>
        <w:t>Further diagnostic work-up</w:t>
      </w:r>
    </w:p>
    <w:p w14:paraId="736EAAF8" w14:textId="1B8925C4" w:rsidR="00A77B3E" w:rsidRDefault="00A34B5F">
      <w:pPr>
        <w:spacing w:line="360" w:lineRule="auto"/>
        <w:jc w:val="both"/>
      </w:pPr>
      <w:r>
        <w:rPr>
          <w:rFonts w:ascii="Book Antiqua" w:eastAsia="Book Antiqua" w:hAnsi="Book Antiqua" w:cs="Book Antiqua"/>
          <w:color w:val="000000"/>
        </w:rPr>
        <w:t>We performed trio</w:t>
      </w:r>
      <w:r w:rsidR="00381112">
        <w:rPr>
          <w:rFonts w:ascii="Book Antiqua" w:eastAsia="Book Antiqua" w:hAnsi="Book Antiqua" w:cs="Book Antiqua"/>
          <w:color w:val="000000"/>
        </w:rPr>
        <w:t>-</w:t>
      </w:r>
      <w:r>
        <w:rPr>
          <w:rFonts w:ascii="Book Antiqua" w:eastAsia="Book Antiqua" w:hAnsi="Book Antiqua" w:cs="Book Antiqua"/>
          <w:color w:val="000000"/>
        </w:rPr>
        <w:t>whole</w:t>
      </w:r>
      <w:r w:rsidR="00381112">
        <w:rPr>
          <w:rFonts w:ascii="Book Antiqua" w:eastAsia="Book Antiqua" w:hAnsi="Book Antiqua" w:cs="Book Antiqua"/>
          <w:color w:val="000000"/>
        </w:rPr>
        <w:t>-</w:t>
      </w:r>
      <w:r>
        <w:rPr>
          <w:rFonts w:ascii="Book Antiqua" w:eastAsia="Book Antiqua" w:hAnsi="Book Antiqua" w:cs="Book Antiqua"/>
          <w:color w:val="000000"/>
        </w:rPr>
        <w:t xml:space="preserve">exome sequencing on genomic DNA extracted from peripheral blood of the twins and their parents. The sequencing results revealed a rare mutation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in the twins resulting in the substitution of a single base (c.841C</w:t>
      </w:r>
      <w:r w:rsidR="00381112">
        <w:rPr>
          <w:rFonts w:ascii="Book Antiqua" w:eastAsia="Book Antiqua" w:hAnsi="Book Antiqua" w:cs="Book Antiqua"/>
          <w:color w:val="000000"/>
        </w:rPr>
        <w:t xml:space="preserve"> </w:t>
      </w:r>
      <w:r>
        <w:rPr>
          <w:rFonts w:ascii="Book Antiqua" w:eastAsia="Book Antiqua" w:hAnsi="Book Antiqua" w:cs="Book Antiqua"/>
          <w:color w:val="000000"/>
        </w:rPr>
        <w:t>&gt;</w:t>
      </w:r>
      <w:r w:rsidR="00381112">
        <w:rPr>
          <w:rFonts w:ascii="Book Antiqua" w:eastAsia="Book Antiqua" w:hAnsi="Book Antiqua" w:cs="Book Antiqua"/>
          <w:color w:val="000000"/>
        </w:rPr>
        <w:t xml:space="preserve"> </w:t>
      </w:r>
      <w:r>
        <w:rPr>
          <w:rFonts w:ascii="Book Antiqua" w:eastAsia="Book Antiqua" w:hAnsi="Book Antiqua" w:cs="Book Antiqua"/>
          <w:color w:val="000000"/>
        </w:rPr>
        <w:t xml:space="preserve">T). The father was heterozygous for the mutation, whereas the mother carried wild-type </w:t>
      </w:r>
      <w:r>
        <w:rPr>
          <w:rFonts w:ascii="Book Antiqua" w:eastAsia="Book Antiqua" w:hAnsi="Book Antiqua" w:cs="Book Antiqua"/>
          <w:i/>
          <w:iCs/>
          <w:color w:val="000000"/>
        </w:rPr>
        <w:t>MKRN3</w:t>
      </w:r>
      <w:r>
        <w:rPr>
          <w:rFonts w:ascii="Book Antiqua" w:eastAsia="Book Antiqua" w:hAnsi="Book Antiqua" w:cs="Book Antiqua"/>
          <w:color w:val="000000"/>
        </w:rPr>
        <w:t xml:space="preserve">. We obtained blood samples from the grandparents, and DNA was extracted and subjected to reverse transcription polymerase chain reaction amplification. We then performed direct sequencing of the </w:t>
      </w:r>
      <w:r>
        <w:rPr>
          <w:rFonts w:ascii="Book Antiqua" w:eastAsia="Book Antiqua" w:hAnsi="Book Antiqua" w:cs="Book Antiqua"/>
          <w:i/>
          <w:iCs/>
          <w:color w:val="000000"/>
        </w:rPr>
        <w:t>MKRN3</w:t>
      </w:r>
      <w:r>
        <w:rPr>
          <w:rFonts w:ascii="Book Antiqua" w:eastAsia="Book Antiqua" w:hAnsi="Book Antiqua" w:cs="Book Antiqua"/>
          <w:color w:val="000000"/>
        </w:rPr>
        <w:t xml:space="preserve"> target site in the proband’s cDNA, which </w:t>
      </w:r>
      <w:r>
        <w:rPr>
          <w:rFonts w:ascii="Book Antiqua" w:eastAsia="Book Antiqua" w:hAnsi="Book Antiqua" w:cs="Book Antiqua"/>
          <w:color w:val="000000"/>
        </w:rPr>
        <w:lastRenderedPageBreak/>
        <w:t>showed that the mutation was inherited from the paternal grandmother, who had normal development (Figures 1</w:t>
      </w:r>
      <w:r w:rsidR="00381112">
        <w:rPr>
          <w:rFonts w:ascii="Book Antiqua" w:eastAsia="Book Antiqua" w:hAnsi="Book Antiqua" w:cs="Book Antiqua"/>
          <w:color w:val="000000"/>
        </w:rPr>
        <w:t xml:space="preserve"> and</w:t>
      </w:r>
      <w:r>
        <w:rPr>
          <w:rFonts w:ascii="Book Antiqua" w:eastAsia="Book Antiqua" w:hAnsi="Book Antiqua" w:cs="Book Antiqua"/>
          <w:color w:val="000000"/>
        </w:rPr>
        <w:t xml:space="preserve"> 2).</w:t>
      </w:r>
    </w:p>
    <w:p w14:paraId="77A1D3DE" w14:textId="77777777" w:rsidR="00A77B3E" w:rsidRDefault="00A77B3E">
      <w:pPr>
        <w:spacing w:line="360" w:lineRule="auto"/>
        <w:jc w:val="both"/>
      </w:pPr>
    </w:p>
    <w:p w14:paraId="1649DB85" w14:textId="77777777" w:rsidR="00A77B3E" w:rsidRDefault="00A34B5F">
      <w:pPr>
        <w:spacing w:line="360" w:lineRule="auto"/>
        <w:jc w:val="both"/>
      </w:pPr>
      <w:r>
        <w:rPr>
          <w:rFonts w:ascii="Book Antiqua" w:eastAsia="Book Antiqua" w:hAnsi="Book Antiqua" w:cs="Book Antiqua"/>
          <w:b/>
          <w:caps/>
          <w:color w:val="000000"/>
          <w:u w:val="single"/>
        </w:rPr>
        <w:t>FINAL DIAGNOSIS</w:t>
      </w:r>
    </w:p>
    <w:p w14:paraId="2A773823" w14:textId="359593CB" w:rsidR="00A77B3E" w:rsidRDefault="00A34B5F">
      <w:pPr>
        <w:spacing w:line="360" w:lineRule="auto"/>
        <w:jc w:val="both"/>
      </w:pPr>
      <w:r>
        <w:rPr>
          <w:rFonts w:ascii="Book Antiqua" w:eastAsia="Book Antiqua" w:hAnsi="Book Antiqua" w:cs="Book Antiqua"/>
          <w:color w:val="000000"/>
        </w:rPr>
        <w:t>Central precocious puberty (</w:t>
      </w:r>
      <w:r>
        <w:rPr>
          <w:rFonts w:ascii="Book Antiqua" w:eastAsia="Book Antiqua" w:hAnsi="Book Antiqua" w:cs="Book Antiqua"/>
          <w:i/>
          <w:iCs/>
          <w:color w:val="000000"/>
        </w:rPr>
        <w:t>MKRN3</w:t>
      </w:r>
      <w:r>
        <w:rPr>
          <w:rFonts w:ascii="Book Antiqua" w:eastAsia="Book Antiqua" w:hAnsi="Book Antiqua" w:cs="Book Antiqua"/>
          <w:color w:val="000000"/>
        </w:rPr>
        <w:t xml:space="preserve"> c.841C</w:t>
      </w:r>
      <w:r w:rsidR="00381112">
        <w:rPr>
          <w:rFonts w:ascii="Book Antiqua" w:eastAsia="Book Antiqua" w:hAnsi="Book Antiqua" w:cs="Book Antiqua"/>
          <w:color w:val="000000"/>
        </w:rPr>
        <w:t xml:space="preserve"> </w:t>
      </w:r>
      <w:r>
        <w:rPr>
          <w:rFonts w:ascii="Book Antiqua" w:eastAsia="Book Antiqua" w:hAnsi="Book Antiqua" w:cs="Book Antiqua"/>
          <w:color w:val="000000"/>
        </w:rPr>
        <w:t>&gt;</w:t>
      </w:r>
      <w:r w:rsidR="00381112">
        <w:rPr>
          <w:rFonts w:ascii="Book Antiqua" w:eastAsia="Book Antiqua" w:hAnsi="Book Antiqua" w:cs="Book Antiqua"/>
          <w:color w:val="000000"/>
        </w:rPr>
        <w:t xml:space="preserve"> </w:t>
      </w:r>
      <w:r>
        <w:rPr>
          <w:rFonts w:ascii="Book Antiqua" w:eastAsia="Book Antiqua" w:hAnsi="Book Antiqua" w:cs="Book Antiqua"/>
          <w:color w:val="000000"/>
        </w:rPr>
        <w:t>T).</w:t>
      </w:r>
    </w:p>
    <w:p w14:paraId="3AB160BF" w14:textId="77777777" w:rsidR="00A77B3E" w:rsidRDefault="00A77B3E">
      <w:pPr>
        <w:spacing w:line="360" w:lineRule="auto"/>
        <w:jc w:val="both"/>
      </w:pPr>
    </w:p>
    <w:p w14:paraId="41D9448C" w14:textId="77777777" w:rsidR="00A77B3E" w:rsidRDefault="00A34B5F">
      <w:pPr>
        <w:spacing w:line="360" w:lineRule="auto"/>
        <w:jc w:val="both"/>
      </w:pPr>
      <w:r>
        <w:rPr>
          <w:rFonts w:ascii="Book Antiqua" w:eastAsia="Book Antiqua" w:hAnsi="Book Antiqua" w:cs="Book Antiqua"/>
          <w:b/>
          <w:caps/>
          <w:color w:val="000000"/>
          <w:u w:val="single"/>
        </w:rPr>
        <w:t>TREATMENT</w:t>
      </w:r>
    </w:p>
    <w:p w14:paraId="47277B70" w14:textId="77777777" w:rsidR="00A77B3E" w:rsidRDefault="00A34B5F">
      <w:pPr>
        <w:spacing w:line="360" w:lineRule="auto"/>
        <w:jc w:val="both"/>
      </w:pPr>
      <w:r>
        <w:rPr>
          <w:rFonts w:ascii="Book Antiqua" w:eastAsia="Book Antiqua" w:hAnsi="Book Antiqua" w:cs="Book Antiqua"/>
          <w:color w:val="000000"/>
        </w:rPr>
        <w:t xml:space="preserve">Gonadotropin-releasing hormone (GnRH) analog (3.75 mg every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subcutaneous route).</w:t>
      </w:r>
    </w:p>
    <w:p w14:paraId="50B74397" w14:textId="77777777" w:rsidR="00A77B3E" w:rsidRDefault="00A77B3E">
      <w:pPr>
        <w:spacing w:line="360" w:lineRule="auto"/>
        <w:jc w:val="both"/>
      </w:pPr>
    </w:p>
    <w:p w14:paraId="21A8D1C6" w14:textId="77777777" w:rsidR="00A77B3E" w:rsidRDefault="00A34B5F">
      <w:pPr>
        <w:spacing w:line="360" w:lineRule="auto"/>
        <w:jc w:val="both"/>
      </w:pPr>
      <w:r>
        <w:rPr>
          <w:rFonts w:ascii="Book Antiqua" w:eastAsia="Book Antiqua" w:hAnsi="Book Antiqua" w:cs="Book Antiqua"/>
          <w:b/>
          <w:caps/>
          <w:color w:val="000000"/>
          <w:u w:val="single"/>
        </w:rPr>
        <w:t>OUTCOME AND FOLLOW-UP</w:t>
      </w:r>
    </w:p>
    <w:p w14:paraId="64844B34" w14:textId="77777777" w:rsidR="00A77B3E" w:rsidRDefault="00A34B5F">
      <w:pPr>
        <w:spacing w:line="360" w:lineRule="auto"/>
        <w:jc w:val="both"/>
      </w:pPr>
      <w:r>
        <w:rPr>
          <w:rFonts w:ascii="Book Antiqua" w:eastAsia="Book Antiqua" w:hAnsi="Book Antiqua" w:cs="Book Antiqua"/>
          <w:color w:val="000000"/>
        </w:rPr>
        <w:t xml:space="preserve">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levels of LH, FSH and estradiol (E2) decreased to normal levels.</w:t>
      </w:r>
    </w:p>
    <w:p w14:paraId="42460586" w14:textId="77777777" w:rsidR="00A77B3E" w:rsidRDefault="00A77B3E">
      <w:pPr>
        <w:spacing w:line="360" w:lineRule="auto"/>
        <w:jc w:val="both"/>
      </w:pPr>
    </w:p>
    <w:p w14:paraId="134EB448" w14:textId="77777777" w:rsidR="00A77B3E" w:rsidRDefault="00A34B5F">
      <w:pPr>
        <w:spacing w:line="360" w:lineRule="auto"/>
        <w:jc w:val="both"/>
      </w:pPr>
      <w:r>
        <w:rPr>
          <w:rFonts w:ascii="Book Antiqua" w:eastAsia="Book Antiqua" w:hAnsi="Book Antiqua" w:cs="Book Antiqua"/>
          <w:b/>
          <w:caps/>
          <w:color w:val="000000"/>
          <w:u w:val="single"/>
        </w:rPr>
        <w:t>DISCUSSION</w:t>
      </w:r>
    </w:p>
    <w:p w14:paraId="4D66F663" w14:textId="4929AE8E" w:rsidR="00A77B3E" w:rsidRDefault="00A34B5F">
      <w:pPr>
        <w:spacing w:line="360" w:lineRule="auto"/>
        <w:jc w:val="both"/>
      </w:pPr>
      <w:r>
        <w:rPr>
          <w:rFonts w:ascii="Book Antiqua" w:eastAsia="Book Antiqua" w:hAnsi="Book Antiqua" w:cs="Book Antiqua"/>
          <w:i/>
          <w:iCs/>
          <w:color w:val="000000"/>
        </w:rPr>
        <w:t>MKRN3</w:t>
      </w:r>
      <w:r>
        <w:rPr>
          <w:rFonts w:ascii="Book Antiqua" w:eastAsia="Book Antiqua" w:hAnsi="Book Antiqua" w:cs="Book Antiqua"/>
          <w:color w:val="000000"/>
        </w:rPr>
        <w:t xml:space="preserve"> is an </w:t>
      </w:r>
      <w:proofErr w:type="spellStart"/>
      <w:r>
        <w:rPr>
          <w:rFonts w:ascii="Book Antiqua" w:eastAsia="Book Antiqua" w:hAnsi="Book Antiqua" w:cs="Book Antiqua"/>
          <w:color w:val="000000"/>
        </w:rPr>
        <w:t>intronless</w:t>
      </w:r>
      <w:proofErr w:type="spellEnd"/>
      <w:r>
        <w:rPr>
          <w:rFonts w:ascii="Book Antiqua" w:eastAsia="Book Antiqua" w:hAnsi="Book Antiqua" w:cs="Book Antiqua"/>
          <w:color w:val="000000"/>
        </w:rPr>
        <w:t xml:space="preserve"> gene located in the Prader</w:t>
      </w:r>
      <w:r w:rsidR="00381112">
        <w:rPr>
          <w:rFonts w:ascii="Book Antiqua" w:eastAsia="Book Antiqua" w:hAnsi="Book Antiqua" w:cs="Book Antiqua"/>
          <w:color w:val="000000"/>
        </w:rPr>
        <w:t>-</w:t>
      </w:r>
      <w:r>
        <w:rPr>
          <w:rFonts w:ascii="Book Antiqua" w:eastAsia="Book Antiqua" w:hAnsi="Book Antiqua" w:cs="Book Antiqua"/>
          <w:color w:val="000000"/>
        </w:rPr>
        <w:t>Willi syndrome region on chromosome 15q11.2. Based on whole</w:t>
      </w:r>
      <w:r w:rsidR="00381112">
        <w:rPr>
          <w:rFonts w:ascii="Book Antiqua" w:eastAsia="Book Antiqua" w:hAnsi="Book Antiqua" w:cs="Book Antiqua"/>
          <w:color w:val="000000"/>
        </w:rPr>
        <w:t>-</w:t>
      </w:r>
      <w:r>
        <w:rPr>
          <w:rFonts w:ascii="Book Antiqua" w:eastAsia="Book Antiqua" w:hAnsi="Book Antiqua" w:cs="Book Antiqua"/>
          <w:color w:val="000000"/>
        </w:rPr>
        <w:t xml:space="preserve">exome sequencing of 40 members from 15 families diagnosed with CPP, </w:t>
      </w:r>
      <w:r w:rsidR="00381112" w:rsidRPr="00381112">
        <w:rPr>
          <w:rFonts w:ascii="Book Antiqua" w:eastAsia="Book Antiqua" w:hAnsi="Book Antiqua" w:cs="Book Antiqua"/>
          <w:color w:val="000000"/>
        </w:rPr>
        <w:t>Abreu</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81112">
        <w:rPr>
          <w:rFonts w:ascii="Book Antiqua" w:eastAsia="Book Antiqua" w:hAnsi="Book Antiqua" w:cs="Book Antiqua"/>
          <w:color w:val="000000"/>
          <w:vertAlign w:val="superscript"/>
        </w:rPr>
        <w:t>[</w:t>
      </w:r>
      <w:proofErr w:type="gramEnd"/>
      <w:r w:rsidR="008F0C18">
        <w:rPr>
          <w:rFonts w:ascii="Book Antiqua" w:eastAsia="Book Antiqua" w:hAnsi="Book Antiqua" w:cs="Book Antiqua"/>
          <w:color w:val="000000"/>
          <w:vertAlign w:val="superscript"/>
        </w:rPr>
        <w:t>6</w:t>
      </w:r>
      <w:r w:rsidR="0038111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confirmed in 2013 that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 is associated with CPP.</w:t>
      </w:r>
    </w:p>
    <w:p w14:paraId="020711B4" w14:textId="7E75B31A" w:rsidR="00A77B3E" w:rsidRDefault="00A34B5F" w:rsidP="00381112">
      <w:pPr>
        <w:spacing w:line="360" w:lineRule="auto"/>
        <w:ind w:firstLineChars="100" w:firstLine="240"/>
        <w:jc w:val="both"/>
      </w:pPr>
      <w:r>
        <w:rPr>
          <w:rFonts w:ascii="Book Antiqua" w:eastAsia="Book Antiqua" w:hAnsi="Book Antiqua" w:cs="Book Antiqua"/>
          <w:i/>
          <w:iCs/>
          <w:color w:val="000000"/>
        </w:rPr>
        <w:t>MKRN3</w:t>
      </w:r>
      <w:r>
        <w:rPr>
          <w:rFonts w:ascii="Book Antiqua" w:eastAsia="Book Antiqua" w:hAnsi="Book Antiqua" w:cs="Book Antiqua"/>
          <w:color w:val="000000"/>
        </w:rPr>
        <w:t xml:space="preserve"> is a maternally imprinted or silenced gene and is expressed only from the paternal allele. MKRN3 is a member of the </w:t>
      </w:r>
      <w:proofErr w:type="spellStart"/>
      <w:r>
        <w:rPr>
          <w:rFonts w:ascii="Book Antiqua" w:eastAsia="Book Antiqua" w:hAnsi="Book Antiqua" w:cs="Book Antiqua"/>
          <w:color w:val="000000"/>
        </w:rPr>
        <w:t>Makorin</w:t>
      </w:r>
      <w:proofErr w:type="spellEnd"/>
      <w:r>
        <w:rPr>
          <w:rFonts w:ascii="Book Antiqua" w:eastAsia="Book Antiqua" w:hAnsi="Book Antiqua" w:cs="Book Antiqua"/>
          <w:color w:val="000000"/>
        </w:rPr>
        <w:t xml:space="preserve"> family of proteins that contain special zinc</w:t>
      </w:r>
      <w:r w:rsidR="00381112">
        <w:rPr>
          <w:rFonts w:ascii="Book Antiqua" w:eastAsia="Book Antiqua" w:hAnsi="Book Antiqua" w:cs="Book Antiqua"/>
          <w:color w:val="000000"/>
        </w:rPr>
        <w:t>-</w:t>
      </w:r>
      <w:r>
        <w:rPr>
          <w:rFonts w:ascii="Book Antiqua" w:eastAsia="Book Antiqua" w:hAnsi="Book Antiqua" w:cs="Book Antiqua"/>
          <w:color w:val="000000"/>
        </w:rPr>
        <w:t xml:space="preserve">finger motifs and have a highly conserved structure among multiple </w:t>
      </w:r>
      <w:proofErr w:type="gramStart"/>
      <w:r>
        <w:rPr>
          <w:rFonts w:ascii="Book Antiqua" w:eastAsia="Book Antiqua" w:hAnsi="Book Antiqua" w:cs="Book Antiqua"/>
          <w:color w:val="000000"/>
        </w:rPr>
        <w:t>species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MKRN family proteins MKRN1</w:t>
      </w:r>
      <w:r w:rsidR="00381112">
        <w:rPr>
          <w:rFonts w:ascii="Book Antiqua" w:eastAsia="Book Antiqua" w:hAnsi="Book Antiqua" w:cs="Book Antiqua"/>
          <w:color w:val="000000"/>
        </w:rPr>
        <w:t>-</w:t>
      </w:r>
      <w:r>
        <w:rPr>
          <w:rFonts w:ascii="Book Antiqua" w:eastAsia="Book Antiqua" w:hAnsi="Book Antiqua" w:cs="Book Antiqua"/>
          <w:color w:val="000000"/>
        </w:rPr>
        <w:t>4 contain three CH3 zinc</w:t>
      </w:r>
      <w:r w:rsidR="00381112">
        <w:rPr>
          <w:rFonts w:ascii="Book Antiqua" w:eastAsia="Book Antiqua" w:hAnsi="Book Antiqua" w:cs="Book Antiqua"/>
          <w:color w:val="000000"/>
        </w:rPr>
        <w:t>-</w:t>
      </w:r>
      <w:r>
        <w:rPr>
          <w:rFonts w:ascii="Book Antiqua" w:eastAsia="Book Antiqua" w:hAnsi="Book Antiqua" w:cs="Book Antiqua"/>
          <w:color w:val="000000"/>
        </w:rPr>
        <w:t xml:space="preserve">finger motifs, a characteristic RING finger domain (C2HC4 motif), and a CH motif that is rich in </w:t>
      </w:r>
      <w:proofErr w:type="spellStart"/>
      <w:r>
        <w:rPr>
          <w:rFonts w:ascii="Book Antiqua" w:eastAsia="Book Antiqua" w:hAnsi="Book Antiqua" w:cs="Book Antiqua"/>
          <w:color w:val="000000"/>
        </w:rPr>
        <w:t>Cys</w:t>
      </w:r>
      <w:proofErr w:type="spellEnd"/>
      <w:r>
        <w:rPr>
          <w:rFonts w:ascii="Book Antiqua" w:eastAsia="Book Antiqua" w:hAnsi="Book Antiqua" w:cs="Book Antiqua"/>
          <w:color w:val="000000"/>
        </w:rPr>
        <w:t>-His. The C3H motifs are associated with RNA binding activity. The RING finger motif is present in many E3 ubiquitin ligases and is responsible for ubiquitin</w:t>
      </w:r>
      <w:r w:rsidR="00381112">
        <w:rPr>
          <w:rFonts w:ascii="Book Antiqua" w:eastAsia="Book Antiqua" w:hAnsi="Book Antiqua" w:cs="Book Antiqua"/>
          <w:color w:val="000000"/>
        </w:rPr>
        <w:t>-</w:t>
      </w:r>
      <w:r>
        <w:rPr>
          <w:rFonts w:ascii="Book Antiqua" w:eastAsia="Book Antiqua" w:hAnsi="Book Antiqua" w:cs="Book Antiqua"/>
          <w:color w:val="000000"/>
        </w:rPr>
        <w:t xml:space="preserve">ligase </w:t>
      </w:r>
      <w:proofErr w:type="gramStart"/>
      <w:r>
        <w:rPr>
          <w:rFonts w:ascii="Book Antiqua" w:eastAsia="Book Antiqua" w:hAnsi="Book Antiqua" w:cs="Book Antiqua"/>
          <w:color w:val="000000"/>
        </w:rPr>
        <w:t>activity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with other </w:t>
      </w:r>
      <w:proofErr w:type="spellStart"/>
      <w:r>
        <w:rPr>
          <w:rFonts w:ascii="Book Antiqua" w:eastAsia="Book Antiqua" w:hAnsi="Book Antiqua" w:cs="Book Antiqua"/>
          <w:color w:val="000000"/>
        </w:rPr>
        <w:t>Makorin</w:t>
      </w:r>
      <w:proofErr w:type="spellEnd"/>
      <w:r>
        <w:rPr>
          <w:rFonts w:ascii="Book Antiqua" w:eastAsia="Book Antiqua" w:hAnsi="Book Antiqua" w:cs="Book Antiqua"/>
          <w:color w:val="000000"/>
        </w:rPr>
        <w:t xml:space="preserve"> family members, the transcript levels of </w:t>
      </w:r>
      <w:r>
        <w:rPr>
          <w:rFonts w:ascii="Book Antiqua" w:eastAsia="Book Antiqua" w:hAnsi="Book Antiqua" w:cs="Book Antiqua"/>
          <w:i/>
          <w:iCs/>
          <w:color w:val="000000"/>
        </w:rPr>
        <w:t>MKRN3</w:t>
      </w:r>
      <w:r>
        <w:rPr>
          <w:rFonts w:ascii="Book Antiqua" w:eastAsia="Book Antiqua" w:hAnsi="Book Antiqua" w:cs="Book Antiqua"/>
          <w:color w:val="000000"/>
        </w:rPr>
        <w:t xml:space="preserve"> in several species are maximal during the very first developmental stages and sharply decrease over time. Previous studies showed that </w:t>
      </w:r>
      <w:r>
        <w:rPr>
          <w:rFonts w:ascii="Book Antiqua" w:eastAsia="Book Antiqua" w:hAnsi="Book Antiqua" w:cs="Book Antiqua"/>
          <w:i/>
          <w:iCs/>
          <w:color w:val="000000"/>
        </w:rPr>
        <w:t>MKRN3</w:t>
      </w:r>
      <w:r>
        <w:rPr>
          <w:rFonts w:ascii="Book Antiqua" w:eastAsia="Book Antiqua" w:hAnsi="Book Antiqua" w:cs="Book Antiqua"/>
          <w:color w:val="000000"/>
        </w:rPr>
        <w:t xml:space="preserve"> transcripts progressively decrease in the mouse hypothalamus during the first two postnatal </w:t>
      </w:r>
      <w:proofErr w:type="gramStart"/>
      <w:r>
        <w:rPr>
          <w:rFonts w:ascii="Book Antiqua" w:eastAsia="Book Antiqua" w:hAnsi="Book Antiqua" w:cs="Book Antiqua"/>
          <w:color w:val="000000"/>
        </w:rPr>
        <w:t>weeks</w:t>
      </w:r>
      <w:r>
        <w:rPr>
          <w:rFonts w:ascii="Book Antiqua" w:eastAsia="Book Antiqua" w:hAnsi="Book Antiqua" w:cs="Book Antiqua"/>
          <w:color w:val="000000"/>
          <w:vertAlign w:val="superscript"/>
        </w:rPr>
        <w:t>[</w:t>
      </w:r>
      <w:proofErr w:type="gramEnd"/>
      <w:r w:rsidR="004C205A">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was further </w:t>
      </w:r>
      <w:r>
        <w:rPr>
          <w:rFonts w:ascii="Book Antiqua" w:eastAsia="Book Antiqua" w:hAnsi="Book Antiqua" w:cs="Book Antiqua"/>
          <w:color w:val="000000"/>
        </w:rPr>
        <w:lastRenderedPageBreak/>
        <w:t xml:space="preserve">verified by reports of lower serum </w:t>
      </w:r>
      <w:r>
        <w:rPr>
          <w:rFonts w:ascii="Book Antiqua" w:eastAsia="Book Antiqua" w:hAnsi="Book Antiqua" w:cs="Book Antiqua"/>
          <w:i/>
          <w:iCs/>
          <w:color w:val="000000"/>
        </w:rPr>
        <w:t>MKRN3</w:t>
      </w:r>
      <w:r>
        <w:rPr>
          <w:rFonts w:ascii="Book Antiqua" w:eastAsia="Book Antiqua" w:hAnsi="Book Antiqua" w:cs="Book Antiqua"/>
          <w:color w:val="000000"/>
        </w:rPr>
        <w:t xml:space="preserve"> levels in girls with CPP than in healthy </w:t>
      </w:r>
      <w:proofErr w:type="gramStart"/>
      <w:r>
        <w:rPr>
          <w:rFonts w:ascii="Book Antiqua" w:eastAsia="Book Antiqua" w:hAnsi="Book Antiqua" w:cs="Book Antiqua"/>
          <w:color w:val="000000"/>
        </w:rPr>
        <w:t>girls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381112">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643EE2C8" w14:textId="6808B821" w:rsidR="00A77B3E" w:rsidRDefault="00A34B5F" w:rsidP="00381112">
      <w:pPr>
        <w:spacing w:line="360" w:lineRule="auto"/>
        <w:ind w:firstLineChars="100" w:firstLine="240"/>
        <w:jc w:val="both"/>
      </w:pPr>
      <w:r>
        <w:rPr>
          <w:rFonts w:ascii="Book Antiqua" w:eastAsia="Book Antiqua" w:hAnsi="Book Antiqua" w:cs="Book Antiqua"/>
          <w:color w:val="000000"/>
        </w:rPr>
        <w:t>CPP is caused by premature activation of the HPG axis and an increase in the amplitude and frequency of GnRH pulses. GnRH is produced in the hypothalamus and regulated by kisspeptin/neurokinin B/dynorphin (</w:t>
      </w:r>
      <w:proofErr w:type="spellStart"/>
      <w:r>
        <w:rPr>
          <w:rFonts w:ascii="Book Antiqua" w:eastAsia="Book Antiqua" w:hAnsi="Book Antiqua" w:cs="Book Antiqua"/>
          <w:color w:val="000000"/>
        </w:rPr>
        <w:t>KNDy</w:t>
      </w:r>
      <w:proofErr w:type="spellEnd"/>
      <w:r>
        <w:rPr>
          <w:rFonts w:ascii="Book Antiqua" w:eastAsia="Book Antiqua" w:hAnsi="Book Antiqua" w:cs="Book Antiqua"/>
          <w:color w:val="000000"/>
        </w:rPr>
        <w:t xml:space="preserve">) neurons, which are critical in pulse generation, steroid negative feedback, </w:t>
      </w:r>
      <w:proofErr w:type="gramStart"/>
      <w:r>
        <w:rPr>
          <w:rFonts w:ascii="Book Antiqua" w:eastAsia="Book Antiqua" w:hAnsi="Book Antiqua" w:cs="Book Antiqua"/>
          <w:color w:val="000000"/>
        </w:rPr>
        <w:t>puberty</w:t>
      </w:r>
      <w:proofErr w:type="gramEnd"/>
      <w:r>
        <w:rPr>
          <w:rFonts w:ascii="Book Antiqua" w:eastAsia="Book Antiqua" w:hAnsi="Book Antiqua" w:cs="Book Antiqua"/>
          <w:color w:val="000000"/>
        </w:rPr>
        <w:t xml:space="preserve"> and other functions. Previous human genetic studies have demonstrated the crucial role of kisspeptin and neurokinin B in stimulating GnRH secretion; dynorphin restrains secretion of </w:t>
      </w:r>
      <w:proofErr w:type="gramStart"/>
      <w:r>
        <w:rPr>
          <w:rFonts w:ascii="Book Antiqua" w:eastAsia="Book Antiqua" w:hAnsi="Book Antiqua" w:cs="Book Antiqua"/>
          <w:color w:val="000000"/>
        </w:rPr>
        <w:t>GnRH</w:t>
      </w:r>
      <w:r>
        <w:rPr>
          <w:rFonts w:ascii="Book Antiqua" w:eastAsia="Book Antiqua" w:hAnsi="Book Antiqua" w:cs="Book Antiqua"/>
          <w:color w:val="000000"/>
          <w:vertAlign w:val="superscript"/>
        </w:rPr>
        <w:t>[</w:t>
      </w:r>
      <w:proofErr w:type="gramEnd"/>
      <w:r w:rsidR="00427013">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sidR="00427013">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One study reported that </w:t>
      </w:r>
      <w:r w:rsidRPr="00381112">
        <w:rPr>
          <w:rFonts w:ascii="Book Antiqua" w:eastAsia="Book Antiqua" w:hAnsi="Book Antiqua" w:cs="Book Antiqua"/>
          <w:i/>
          <w:iCs/>
          <w:color w:val="000000"/>
        </w:rPr>
        <w:t>MKRN3</w:t>
      </w:r>
      <w:r>
        <w:rPr>
          <w:rFonts w:ascii="Book Antiqua" w:eastAsia="Book Antiqua" w:hAnsi="Book Antiqua" w:cs="Book Antiqua"/>
          <w:color w:val="000000"/>
        </w:rPr>
        <w:t xml:space="preserve"> selectively inhibits the promoter activity of the </w:t>
      </w:r>
      <w:r>
        <w:rPr>
          <w:rFonts w:ascii="Book Antiqua" w:eastAsia="Book Antiqua" w:hAnsi="Book Antiqua" w:cs="Book Antiqua"/>
          <w:i/>
          <w:iCs/>
          <w:color w:val="000000"/>
        </w:rPr>
        <w:t>KISS1</w:t>
      </w:r>
      <w:r>
        <w:rPr>
          <w:rFonts w:ascii="Book Antiqua" w:eastAsia="Book Antiqua" w:hAnsi="Book Antiqua" w:cs="Book Antiqua"/>
          <w:color w:val="000000"/>
        </w:rPr>
        <w:t xml:space="preserve"> and </w:t>
      </w:r>
      <w:r>
        <w:rPr>
          <w:rFonts w:ascii="Book Antiqua" w:eastAsia="Book Antiqua" w:hAnsi="Book Antiqua" w:cs="Book Antiqua"/>
          <w:i/>
          <w:iCs/>
          <w:color w:val="000000"/>
        </w:rPr>
        <w:t>TAC3</w:t>
      </w:r>
      <w:r>
        <w:rPr>
          <w:rFonts w:ascii="Book Antiqua" w:eastAsia="Book Antiqua" w:hAnsi="Book Antiqua" w:cs="Book Antiqua"/>
          <w:color w:val="000000"/>
        </w:rPr>
        <w:t xml:space="preserve"> genes, which encode kisspeptin and tachykinin-3, in the arcuate nucleus independent of its RING finger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sidR="00427013">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Liu</w:t>
      </w:r>
      <w:r w:rsidR="008F0C18">
        <w:rPr>
          <w:rFonts w:ascii="Book Antiqua" w:eastAsia="Book Antiqua" w:hAnsi="Book Antiqua" w:cs="Book Antiqua"/>
          <w:color w:val="000000"/>
        </w:rPr>
        <w:t xml:space="preserve"> </w:t>
      </w:r>
      <w:r w:rsidR="008F0C18" w:rsidRPr="008F0C18">
        <w:rPr>
          <w:rFonts w:ascii="Book Antiqua" w:eastAsia="Book Antiqua" w:hAnsi="Book Antiqua" w:cs="Book Antiqua"/>
          <w:i/>
          <w:iCs/>
          <w:color w:val="000000"/>
        </w:rPr>
        <w:t xml:space="preserve">et </w:t>
      </w:r>
      <w:proofErr w:type="gramStart"/>
      <w:r w:rsidR="008F0C18" w:rsidRPr="008F0C18">
        <w:rPr>
          <w:rFonts w:ascii="Book Antiqua" w:eastAsia="Book Antiqua" w:hAnsi="Book Antiqua" w:cs="Book Antiqua"/>
          <w:i/>
          <w:iCs/>
          <w:color w:val="000000"/>
        </w:rPr>
        <w:t>al</w:t>
      </w:r>
      <w:r w:rsidR="008F0C18">
        <w:rPr>
          <w:rFonts w:ascii="Book Antiqua" w:eastAsia="Book Antiqua" w:hAnsi="Book Antiqua" w:cs="Book Antiqua"/>
          <w:color w:val="000000"/>
          <w:vertAlign w:val="superscript"/>
        </w:rPr>
        <w:t>[</w:t>
      </w:r>
      <w:proofErr w:type="gramEnd"/>
      <w:r w:rsidR="00427013">
        <w:rPr>
          <w:rFonts w:ascii="Book Antiqua" w:eastAsia="Book Antiqua" w:hAnsi="Book Antiqua" w:cs="Book Antiqua"/>
          <w:color w:val="000000"/>
          <w:vertAlign w:val="superscript"/>
        </w:rPr>
        <w:t>9</w:t>
      </w:r>
      <w:r w:rsidR="008F0C18">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the RING domain of MKRN3 interacts with Nptx1, one of the earliest activated extracellular signals responding upon GnRH neuron induction when puberty begins, leading to polyubiquitination and suppression of Nptx1 activity during the initiation of puberty. Both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experiments have shown that microRNA-30 targets the 3’</w:t>
      </w:r>
      <w:r w:rsidR="008F0C18">
        <w:rPr>
          <w:rFonts w:ascii="Book Antiqua" w:eastAsia="Book Antiqua" w:hAnsi="Book Antiqua" w:cs="Book Antiqua"/>
          <w:color w:val="000000"/>
        </w:rPr>
        <w:t>-</w:t>
      </w:r>
      <w:r>
        <w:rPr>
          <w:rFonts w:ascii="Book Antiqua" w:eastAsia="Book Antiqua" w:hAnsi="Book Antiqua" w:cs="Book Antiqua"/>
          <w:color w:val="000000"/>
        </w:rPr>
        <w:t xml:space="preserve">untranslated region of the </w:t>
      </w:r>
      <w:r>
        <w:rPr>
          <w:rFonts w:ascii="Book Antiqua" w:eastAsia="Book Antiqua" w:hAnsi="Book Antiqua" w:cs="Book Antiqua"/>
          <w:i/>
          <w:iCs/>
          <w:color w:val="000000"/>
        </w:rPr>
        <w:t>MKRN3</w:t>
      </w:r>
      <w:r>
        <w:rPr>
          <w:rFonts w:ascii="Book Antiqua" w:eastAsia="Book Antiqua" w:hAnsi="Book Antiqua" w:cs="Book Antiqua"/>
          <w:color w:val="000000"/>
        </w:rPr>
        <w:t xml:space="preserve"> mRNA to control pubertal initiation. Injection of microRNA</w:t>
      </w:r>
      <w:r w:rsidR="008F0C18">
        <w:rPr>
          <w:rFonts w:ascii="Book Antiqua" w:eastAsia="Book Antiqua" w:hAnsi="Book Antiqua" w:cs="Book Antiqua"/>
          <w:color w:val="000000"/>
        </w:rPr>
        <w:t>-</w:t>
      </w:r>
      <w:r>
        <w:rPr>
          <w:rFonts w:ascii="Book Antiqua" w:eastAsia="Book Antiqua" w:hAnsi="Book Antiqua" w:cs="Book Antiqua"/>
          <w:color w:val="000000"/>
        </w:rPr>
        <w:t xml:space="preserve">30 inhibitors during prepuberty reverses downregulation of the hypothalamic </w:t>
      </w:r>
      <w:r w:rsidRPr="008F0C18">
        <w:rPr>
          <w:rFonts w:ascii="Book Antiqua" w:eastAsia="Book Antiqua" w:hAnsi="Book Antiqua" w:cs="Book Antiqua"/>
          <w:i/>
          <w:iCs/>
          <w:color w:val="000000"/>
        </w:rPr>
        <w:t>MKRN3</w:t>
      </w:r>
      <w:r>
        <w:rPr>
          <w:rFonts w:ascii="Book Antiqua" w:eastAsia="Book Antiqua" w:hAnsi="Book Antiqua" w:cs="Book Antiqua"/>
          <w:color w:val="000000"/>
        </w:rPr>
        <w:t xml:space="preserve"> protein and delays the onset of female </w:t>
      </w:r>
      <w:proofErr w:type="gramStart"/>
      <w:r>
        <w:rPr>
          <w:rFonts w:ascii="Book Antiqua" w:eastAsia="Book Antiqua" w:hAnsi="Book Antiqua" w:cs="Book Antiqua"/>
          <w:color w:val="000000"/>
        </w:rPr>
        <w:t>puberty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2701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Therefore, MKRN3 is extremely essential in the initiation of puberty, and this mechanism likely underlies its association with CPP.</w:t>
      </w:r>
    </w:p>
    <w:p w14:paraId="5B8EFBEE" w14:textId="7EC8A767" w:rsidR="00A77B3E" w:rsidRDefault="00A34B5F" w:rsidP="008F0C18">
      <w:pPr>
        <w:spacing w:line="360" w:lineRule="auto"/>
        <w:ind w:firstLineChars="100" w:firstLine="240"/>
        <w:jc w:val="both"/>
      </w:pPr>
      <w:r>
        <w:rPr>
          <w:rFonts w:ascii="Book Antiqua" w:eastAsia="Book Antiqua" w:hAnsi="Book Antiqua" w:cs="Book Antiqua"/>
          <w:color w:val="000000"/>
        </w:rPr>
        <w:t xml:space="preserve">We identified a rare missense mutation in </w:t>
      </w:r>
      <w:r>
        <w:rPr>
          <w:rFonts w:ascii="Book Antiqua" w:eastAsia="Book Antiqua" w:hAnsi="Book Antiqua" w:cs="Book Antiqua"/>
          <w:i/>
          <w:iCs/>
          <w:color w:val="000000"/>
        </w:rPr>
        <w:t xml:space="preserve">MKRN3 </w:t>
      </w:r>
      <w:r>
        <w:rPr>
          <w:rFonts w:ascii="Book Antiqua" w:eastAsia="Book Antiqua" w:hAnsi="Book Antiqua" w:cs="Book Antiqua"/>
          <w:color w:val="000000"/>
        </w:rPr>
        <w:t>(c.841C</w:t>
      </w:r>
      <w:r w:rsidR="008F0C18">
        <w:rPr>
          <w:rFonts w:ascii="Book Antiqua" w:eastAsia="Book Antiqua" w:hAnsi="Book Antiqua" w:cs="Book Antiqua"/>
          <w:color w:val="000000"/>
        </w:rPr>
        <w:t xml:space="preserve"> </w:t>
      </w:r>
      <w:r>
        <w:rPr>
          <w:rFonts w:ascii="Book Antiqua" w:eastAsia="Book Antiqua" w:hAnsi="Book Antiqua" w:cs="Book Antiqua"/>
          <w:color w:val="000000"/>
        </w:rPr>
        <w:t>&gt;</w:t>
      </w:r>
      <w:r w:rsidR="008F0C18">
        <w:rPr>
          <w:rFonts w:ascii="Book Antiqua" w:eastAsia="Book Antiqua" w:hAnsi="Book Antiqua" w:cs="Book Antiqua"/>
          <w:color w:val="000000"/>
        </w:rPr>
        <w:t xml:space="preserve"> </w:t>
      </w:r>
      <w:r>
        <w:rPr>
          <w:rFonts w:ascii="Book Antiqua" w:eastAsia="Book Antiqua" w:hAnsi="Book Antiqua" w:cs="Book Antiqua"/>
          <w:color w:val="000000"/>
        </w:rPr>
        <w:t xml:space="preserve">T) in a 6 year and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-old </w:t>
      </w:r>
      <w:proofErr w:type="gramStart"/>
      <w:r>
        <w:rPr>
          <w:rFonts w:ascii="Book Antiqua" w:eastAsia="Book Antiqua" w:hAnsi="Book Antiqua" w:cs="Book Antiqua"/>
          <w:color w:val="000000"/>
        </w:rPr>
        <w:t>girl</w:t>
      </w:r>
      <w:proofErr w:type="gramEnd"/>
      <w:r>
        <w:rPr>
          <w:rFonts w:ascii="Book Antiqua" w:eastAsia="Book Antiqua" w:hAnsi="Book Antiqua" w:cs="Book Antiqua"/>
          <w:color w:val="000000"/>
        </w:rPr>
        <w:t xml:space="preserve"> with CPP with a twin sister who also showed premature thelarche. Whole</w:t>
      </w:r>
      <w:r w:rsidR="008F0C18">
        <w:rPr>
          <w:rFonts w:ascii="Book Antiqua" w:eastAsia="Book Antiqua" w:hAnsi="Book Antiqua" w:cs="Book Antiqua"/>
          <w:color w:val="000000"/>
        </w:rPr>
        <w:t>-</w:t>
      </w:r>
      <w:r>
        <w:rPr>
          <w:rFonts w:ascii="Book Antiqua" w:eastAsia="Book Antiqua" w:hAnsi="Book Antiqua" w:cs="Book Antiqua"/>
          <w:color w:val="000000"/>
        </w:rPr>
        <w:t>exome sequencing revealed that the mutation was inherited from the father, whose pubertal development was normal. The c.841C &gt;</w:t>
      </w:r>
      <w:r w:rsidR="008F0C18">
        <w:rPr>
          <w:rFonts w:ascii="Book Antiqua" w:eastAsia="Book Antiqua" w:hAnsi="Book Antiqua" w:cs="Book Antiqua"/>
          <w:color w:val="000000"/>
        </w:rPr>
        <w:t xml:space="preserve"> </w:t>
      </w:r>
      <w:r>
        <w:rPr>
          <w:rFonts w:ascii="Book Antiqua" w:eastAsia="Book Antiqua" w:hAnsi="Book Antiqua" w:cs="Book Antiqua"/>
          <w:color w:val="000000"/>
        </w:rPr>
        <w:t xml:space="preserve">T mutation </w:t>
      </w:r>
      <w:proofErr w:type="gramStart"/>
      <w:r>
        <w:rPr>
          <w:rFonts w:ascii="Book Antiqua" w:eastAsia="Book Antiqua" w:hAnsi="Book Antiqua" w:cs="Book Antiqua"/>
          <w:color w:val="000000"/>
        </w:rPr>
        <w:t>is located in</w:t>
      </w:r>
      <w:proofErr w:type="gramEnd"/>
      <w:r>
        <w:rPr>
          <w:rFonts w:ascii="Book Antiqua" w:eastAsia="Book Antiqua" w:hAnsi="Book Antiqua" w:cs="Book Antiqua"/>
          <w:color w:val="000000"/>
        </w:rPr>
        <w:t xml:space="preserve"> the CH motif and results in a single amino acid change in the MKRN3 protein. Thus far, 50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mutations associated with CPP have been reported, including 14 frameshift mutations, 27 missense mutations, 4 nonsense mutations and 5 variants in upstream promoter or regulatory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 current case is only the second report of the c.841C</w:t>
      </w:r>
      <w:r w:rsidR="008F0C18">
        <w:rPr>
          <w:rFonts w:ascii="Book Antiqua" w:eastAsia="Book Antiqua" w:hAnsi="Book Antiqua" w:cs="Book Antiqua"/>
          <w:color w:val="000000"/>
        </w:rPr>
        <w:t xml:space="preserve"> </w:t>
      </w:r>
      <w:r>
        <w:rPr>
          <w:rFonts w:ascii="Book Antiqua" w:eastAsia="Book Antiqua" w:hAnsi="Book Antiqua" w:cs="Book Antiqua"/>
          <w:color w:val="000000"/>
        </w:rPr>
        <w:t>&gt;</w:t>
      </w:r>
      <w:r w:rsidR="008F0C18">
        <w:rPr>
          <w:rFonts w:ascii="Book Antiqua" w:eastAsia="Book Antiqua" w:hAnsi="Book Antiqua" w:cs="Book Antiqua"/>
          <w:color w:val="000000"/>
        </w:rPr>
        <w:t xml:space="preserve"> </w:t>
      </w:r>
      <w:r>
        <w:rPr>
          <w:rFonts w:ascii="Book Antiqua" w:eastAsia="Book Antiqua" w:hAnsi="Book Antiqua" w:cs="Book Antiqua"/>
          <w:color w:val="000000"/>
        </w:rPr>
        <w:t xml:space="preserve">T mutation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[1</w:t>
      </w:r>
      <w:r w:rsidR="0042701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Notably, this is also the first case of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 in twin sisters. It is worth noting that mutations in </w:t>
      </w:r>
      <w:r>
        <w:rPr>
          <w:rFonts w:ascii="Book Antiqua" w:eastAsia="Book Antiqua" w:hAnsi="Book Antiqua" w:cs="Book Antiqua"/>
          <w:i/>
          <w:iCs/>
          <w:color w:val="000000"/>
        </w:rPr>
        <w:t>MKRN3</w:t>
      </w:r>
      <w:r>
        <w:rPr>
          <w:rFonts w:ascii="Book Antiqua" w:eastAsia="Book Antiqua" w:hAnsi="Book Antiqua" w:cs="Book Antiqua"/>
          <w:color w:val="000000"/>
        </w:rPr>
        <w:t xml:space="preserve"> are more common in patients from </w:t>
      </w:r>
      <w:r>
        <w:rPr>
          <w:rFonts w:ascii="Book Antiqua" w:eastAsia="Book Antiqua" w:hAnsi="Book Antiqua" w:cs="Book Antiqua"/>
          <w:color w:val="000000"/>
        </w:rPr>
        <w:lastRenderedPageBreak/>
        <w:t xml:space="preserve">Western countries than in those from Asian </w:t>
      </w:r>
      <w:proofErr w:type="gramStart"/>
      <w:r>
        <w:rPr>
          <w:rFonts w:ascii="Book Antiqua" w:eastAsia="Book Antiqua" w:hAnsi="Book Antiqua" w:cs="Book Antiqua"/>
          <w:color w:val="000000"/>
        </w:rPr>
        <w:t>countries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which may result from genetic differences in ethnic</w:t>
      </w:r>
      <w:r w:rsidR="008F0C18">
        <w:rPr>
          <w:rFonts w:ascii="Book Antiqua" w:eastAsia="Book Antiqua" w:hAnsi="Book Antiqua" w:cs="Book Antiqua"/>
          <w:color w:val="000000"/>
        </w:rPr>
        <w:t xml:space="preserve"> </w:t>
      </w:r>
      <w:r>
        <w:rPr>
          <w:rFonts w:ascii="Book Antiqua" w:eastAsia="Book Antiqua" w:hAnsi="Book Antiqua" w:cs="Book Antiqua"/>
          <w:color w:val="000000"/>
        </w:rPr>
        <w:t>groups or the less frequent use of gene testing among children with CPP in Asian countries.</w:t>
      </w:r>
    </w:p>
    <w:p w14:paraId="1763D22C" w14:textId="75E2CAD5" w:rsidR="00A77B3E" w:rsidRDefault="00A34B5F" w:rsidP="008F0C18">
      <w:pPr>
        <w:spacing w:line="360" w:lineRule="auto"/>
        <w:ind w:firstLineChars="100" w:firstLine="240"/>
        <w:jc w:val="both"/>
      </w:pPr>
      <w:r>
        <w:rPr>
          <w:rFonts w:ascii="Book Antiqua" w:eastAsia="Book Antiqua" w:hAnsi="Book Antiqua" w:cs="Book Antiqua"/>
          <w:color w:val="000000"/>
        </w:rPr>
        <w:t>A systematic review and meta</w:t>
      </w:r>
      <w:r w:rsidR="008F0C18">
        <w:rPr>
          <w:rFonts w:ascii="Book Antiqua" w:eastAsia="Book Antiqua" w:hAnsi="Book Antiqua" w:cs="Book Antiqua"/>
          <w:color w:val="000000"/>
        </w:rPr>
        <w:t>-</w:t>
      </w:r>
      <w:r>
        <w:rPr>
          <w:rFonts w:ascii="Book Antiqua" w:eastAsia="Book Antiqua" w:hAnsi="Book Antiqua" w:cs="Book Antiqua"/>
          <w:color w:val="000000"/>
        </w:rPr>
        <w:t xml:space="preserve">analysis of the clinical features of patients with CPP carrying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mutations showed that </w:t>
      </w:r>
      <w:r>
        <w:rPr>
          <w:rFonts w:ascii="Book Antiqua" w:eastAsia="Book Antiqua" w:hAnsi="Book Antiqua" w:cs="Book Antiqua"/>
          <w:i/>
          <w:iCs/>
          <w:color w:val="000000"/>
        </w:rPr>
        <w:t>MKRN3</w:t>
      </w:r>
      <w:r w:rsidR="008F0C18">
        <w:rPr>
          <w:rFonts w:ascii="Book Antiqua" w:eastAsia="Book Antiqua" w:hAnsi="Book Antiqua" w:cs="Book Antiqua"/>
          <w:color w:val="000000"/>
        </w:rPr>
        <w:t xml:space="preserve"> </w:t>
      </w:r>
      <w:r>
        <w:rPr>
          <w:rFonts w:ascii="Book Antiqua" w:eastAsia="Book Antiqua" w:hAnsi="Book Antiqua" w:cs="Book Antiqua"/>
          <w:color w:val="000000"/>
        </w:rPr>
        <w:t>mutations are associated with non</w:t>
      </w:r>
      <w:r w:rsidR="008F0C18">
        <w:rPr>
          <w:rFonts w:ascii="Book Antiqua" w:eastAsia="Book Antiqua" w:hAnsi="Book Antiqua" w:cs="Book Antiqua"/>
          <w:color w:val="000000"/>
        </w:rPr>
        <w:t>-</w:t>
      </w:r>
      <w:r>
        <w:rPr>
          <w:rFonts w:ascii="Book Antiqua" w:eastAsia="Book Antiqua" w:hAnsi="Book Antiqua" w:cs="Book Antiqua"/>
          <w:color w:val="000000"/>
        </w:rPr>
        <w:t xml:space="preserve">syndromic CPP. Girls are more severely affected by CPP than boys and often experience pubertal initiation at an early age, with higher basal FSH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2701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no studies have investigated associations between genotypes and clinical phenotypes of CPP.</w:t>
      </w:r>
    </w:p>
    <w:p w14:paraId="6B82AD5C" w14:textId="577DF669" w:rsidR="00A77B3E" w:rsidRDefault="00A34B5F" w:rsidP="008F0C18">
      <w:pPr>
        <w:spacing w:line="360" w:lineRule="auto"/>
        <w:ind w:firstLineChars="100" w:firstLine="240"/>
        <w:jc w:val="both"/>
      </w:pPr>
      <w:r>
        <w:rPr>
          <w:rFonts w:ascii="Book Antiqua" w:eastAsia="Book Antiqua" w:hAnsi="Book Antiqua" w:cs="Book Antiqua"/>
          <w:color w:val="000000"/>
        </w:rPr>
        <w:t xml:space="preserve">Long-acting GnRH analogs are considered the gold standard treatment of CPP, and this treatment is typically administered by intramuscular injection or subcutaneous </w:t>
      </w:r>
      <w:proofErr w:type="gramStart"/>
      <w:r>
        <w:rPr>
          <w:rFonts w:ascii="Book Antiqua" w:eastAsia="Book Antiqua" w:hAnsi="Book Antiqua" w:cs="Book Antiqua"/>
          <w:color w:val="000000"/>
        </w:rPr>
        <w:t>implantation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Whether GnRH is effective for CPP patients with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 has not been completely determined. A retrospective study revealed no significant differences in mean LH or target height between CPP patients with or without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mutations after GnRH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427013">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study, after patient B was treated with three doses of GnRH analog (3.75 mg every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LH, FSH and E2 decreased to normal levels, without any progression of puberty signs, suggesting that the GnRH analog is effective in the treatment of CPP patients with </w:t>
      </w: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w:t>
      </w:r>
    </w:p>
    <w:p w14:paraId="0F41984A" w14:textId="77777777" w:rsidR="00A77B3E" w:rsidRDefault="00A77B3E">
      <w:pPr>
        <w:spacing w:line="360" w:lineRule="auto"/>
        <w:jc w:val="both"/>
      </w:pPr>
    </w:p>
    <w:p w14:paraId="627BF7B8" w14:textId="77777777" w:rsidR="00A77B3E" w:rsidRDefault="00A34B5F">
      <w:pPr>
        <w:spacing w:line="360" w:lineRule="auto"/>
        <w:jc w:val="both"/>
      </w:pPr>
      <w:r>
        <w:rPr>
          <w:rFonts w:ascii="Book Antiqua" w:eastAsia="Book Antiqua" w:hAnsi="Book Antiqua" w:cs="Book Antiqua"/>
          <w:b/>
          <w:caps/>
          <w:color w:val="000000"/>
          <w:u w:val="single"/>
        </w:rPr>
        <w:t>CONCLUSION</w:t>
      </w:r>
    </w:p>
    <w:p w14:paraId="48DB2775" w14:textId="23741B89" w:rsidR="00A77B3E" w:rsidRDefault="00A34B5F">
      <w:pPr>
        <w:spacing w:line="360" w:lineRule="auto"/>
        <w:jc w:val="both"/>
      </w:pPr>
      <w:r>
        <w:rPr>
          <w:rFonts w:ascii="Book Antiqua" w:eastAsia="Book Antiqua" w:hAnsi="Book Antiqua" w:cs="Book Antiqua"/>
          <w:i/>
          <w:iCs/>
          <w:color w:val="000000"/>
        </w:rPr>
        <w:t>MKRN3</w:t>
      </w:r>
      <w:r>
        <w:rPr>
          <w:rFonts w:ascii="Book Antiqua" w:eastAsia="Book Antiqua" w:hAnsi="Book Antiqua" w:cs="Book Antiqua"/>
          <w:color w:val="000000"/>
        </w:rPr>
        <w:t xml:space="preserve"> mutation is the most frequent genetic etiology of CPP. Here, we report twin sisters who presented premature thelarche and were diagnosed with CPP with a rare mutation in </w:t>
      </w:r>
      <w:r>
        <w:rPr>
          <w:rFonts w:ascii="Book Antiqua" w:eastAsia="Book Antiqua" w:hAnsi="Book Antiqua" w:cs="Book Antiqua"/>
          <w:i/>
          <w:iCs/>
          <w:color w:val="000000"/>
        </w:rPr>
        <w:t xml:space="preserve">MKRN3 </w:t>
      </w:r>
      <w:r>
        <w:rPr>
          <w:rFonts w:ascii="Book Antiqua" w:eastAsia="Book Antiqua" w:hAnsi="Book Antiqua" w:cs="Book Antiqua"/>
          <w:color w:val="000000"/>
        </w:rPr>
        <w:t>(c.841C</w:t>
      </w:r>
      <w:r w:rsidR="008F0C18">
        <w:rPr>
          <w:rFonts w:ascii="Book Antiqua" w:eastAsia="Book Antiqua" w:hAnsi="Book Antiqua" w:cs="Book Antiqua"/>
          <w:color w:val="000000"/>
        </w:rPr>
        <w:t xml:space="preserve"> </w:t>
      </w:r>
      <w:r>
        <w:rPr>
          <w:rFonts w:ascii="Book Antiqua" w:eastAsia="Book Antiqua" w:hAnsi="Book Antiqua" w:cs="Book Antiqua"/>
          <w:color w:val="000000"/>
        </w:rPr>
        <w:t>&gt;</w:t>
      </w:r>
      <w:r w:rsidR="008F0C18">
        <w:rPr>
          <w:rFonts w:ascii="Book Antiqua" w:eastAsia="Book Antiqua" w:hAnsi="Book Antiqua" w:cs="Book Antiqua"/>
          <w:color w:val="000000"/>
        </w:rPr>
        <w:t xml:space="preserve"> </w:t>
      </w:r>
      <w:r>
        <w:rPr>
          <w:rFonts w:ascii="Book Antiqua" w:eastAsia="Book Antiqua" w:hAnsi="Book Antiqua" w:cs="Book Antiqua"/>
          <w:color w:val="000000"/>
        </w:rPr>
        <w:t>T).</w:t>
      </w:r>
    </w:p>
    <w:p w14:paraId="1A8596A3" w14:textId="77777777" w:rsidR="00A77B3E" w:rsidRDefault="00A77B3E">
      <w:pPr>
        <w:spacing w:line="360" w:lineRule="auto"/>
        <w:jc w:val="both"/>
      </w:pPr>
    </w:p>
    <w:p w14:paraId="11F0AA9B" w14:textId="77777777" w:rsidR="00A77B3E" w:rsidRDefault="00A34B5F">
      <w:pPr>
        <w:spacing w:line="360" w:lineRule="auto"/>
        <w:jc w:val="both"/>
      </w:pPr>
      <w:r>
        <w:rPr>
          <w:rFonts w:ascii="Book Antiqua" w:eastAsia="Book Antiqua" w:hAnsi="Book Antiqua" w:cs="Book Antiqua"/>
          <w:b/>
          <w:caps/>
          <w:color w:val="000000"/>
          <w:u w:val="single"/>
        </w:rPr>
        <w:t>ACKNOWLEDGEMENTS</w:t>
      </w:r>
    </w:p>
    <w:p w14:paraId="58CDC969" w14:textId="77777777" w:rsidR="00A77B3E" w:rsidRDefault="00A34B5F">
      <w:pPr>
        <w:spacing w:line="360" w:lineRule="auto"/>
        <w:jc w:val="both"/>
      </w:pPr>
      <w:r>
        <w:rPr>
          <w:rFonts w:ascii="Book Antiqua" w:eastAsia="Book Antiqua" w:hAnsi="Book Antiqua" w:cs="Book Antiqua"/>
          <w:color w:val="000000"/>
        </w:rPr>
        <w:t xml:space="preserve">The authors would like to thank the probands and their family for agreeing to participate in this research. </w:t>
      </w:r>
    </w:p>
    <w:p w14:paraId="69B49776" w14:textId="77777777" w:rsidR="00A77B3E" w:rsidRDefault="00A77B3E">
      <w:pPr>
        <w:spacing w:line="360" w:lineRule="auto"/>
        <w:jc w:val="both"/>
      </w:pPr>
    </w:p>
    <w:p w14:paraId="50236D4C" w14:textId="77777777" w:rsidR="00A77B3E" w:rsidRDefault="00A34B5F">
      <w:pPr>
        <w:spacing w:line="360" w:lineRule="auto"/>
        <w:jc w:val="both"/>
      </w:pPr>
      <w:r>
        <w:rPr>
          <w:rFonts w:ascii="Book Antiqua" w:eastAsia="Book Antiqua" w:hAnsi="Book Antiqua" w:cs="Book Antiqua"/>
          <w:b/>
          <w:color w:val="000000"/>
        </w:rPr>
        <w:t>REFERENCES</w:t>
      </w:r>
    </w:p>
    <w:p w14:paraId="1AE2D71C" w14:textId="77777777" w:rsidR="004C205A" w:rsidRPr="00576A72" w:rsidRDefault="004C205A" w:rsidP="004C205A">
      <w:pPr>
        <w:spacing w:line="360" w:lineRule="auto"/>
        <w:jc w:val="both"/>
        <w:rPr>
          <w:rFonts w:ascii="Book Antiqua" w:hAnsi="Book Antiqua"/>
        </w:rPr>
      </w:pPr>
      <w:r w:rsidRPr="00576A72">
        <w:rPr>
          <w:rFonts w:ascii="Book Antiqua" w:hAnsi="Book Antiqua"/>
        </w:rPr>
        <w:lastRenderedPageBreak/>
        <w:t xml:space="preserve">1 </w:t>
      </w:r>
      <w:proofErr w:type="spellStart"/>
      <w:r w:rsidRPr="00576A72">
        <w:rPr>
          <w:rFonts w:ascii="Book Antiqua" w:hAnsi="Book Antiqua"/>
          <w:b/>
          <w:bCs/>
        </w:rPr>
        <w:t>Latronico</w:t>
      </w:r>
      <w:proofErr w:type="spellEnd"/>
      <w:r w:rsidRPr="00576A72">
        <w:rPr>
          <w:rFonts w:ascii="Book Antiqua" w:hAnsi="Book Antiqua"/>
          <w:b/>
          <w:bCs/>
        </w:rPr>
        <w:t xml:space="preserve"> AC</w:t>
      </w:r>
      <w:r w:rsidRPr="00576A72">
        <w:rPr>
          <w:rFonts w:ascii="Book Antiqua" w:hAnsi="Book Antiqua"/>
        </w:rPr>
        <w:t xml:space="preserve">, Brito VN, </w:t>
      </w:r>
      <w:proofErr w:type="spellStart"/>
      <w:r w:rsidRPr="00576A72">
        <w:rPr>
          <w:rFonts w:ascii="Book Antiqua" w:hAnsi="Book Antiqua"/>
        </w:rPr>
        <w:t>Carel</w:t>
      </w:r>
      <w:proofErr w:type="spellEnd"/>
      <w:r w:rsidRPr="00576A72">
        <w:rPr>
          <w:rFonts w:ascii="Book Antiqua" w:hAnsi="Book Antiqua"/>
        </w:rPr>
        <w:t xml:space="preserve"> JC. Causes, diagnosis, and treatment of central precocious puberty. </w:t>
      </w:r>
      <w:r w:rsidRPr="00576A72">
        <w:rPr>
          <w:rFonts w:ascii="Book Antiqua" w:hAnsi="Book Antiqua"/>
          <w:i/>
          <w:iCs/>
        </w:rPr>
        <w:t>Lancet Diabetes Endocrinol</w:t>
      </w:r>
      <w:r w:rsidRPr="00576A72">
        <w:rPr>
          <w:rFonts w:ascii="Book Antiqua" w:hAnsi="Book Antiqua"/>
        </w:rPr>
        <w:t xml:space="preserve"> 2016; </w:t>
      </w:r>
      <w:r w:rsidRPr="00576A72">
        <w:rPr>
          <w:rFonts w:ascii="Book Antiqua" w:hAnsi="Book Antiqua"/>
          <w:b/>
          <w:bCs/>
        </w:rPr>
        <w:t>4</w:t>
      </w:r>
      <w:r w:rsidRPr="00576A72">
        <w:rPr>
          <w:rFonts w:ascii="Book Antiqua" w:hAnsi="Book Antiqua"/>
        </w:rPr>
        <w:t>: 265-274 [PMID: 26852255 DOI: 10.1016/S2213-8587(15)00380-0]</w:t>
      </w:r>
    </w:p>
    <w:p w14:paraId="0B62FA6F" w14:textId="77777777" w:rsidR="004C205A" w:rsidRPr="00576A72" w:rsidRDefault="004C205A" w:rsidP="004C205A">
      <w:pPr>
        <w:spacing w:line="360" w:lineRule="auto"/>
        <w:jc w:val="both"/>
        <w:rPr>
          <w:rFonts w:ascii="Book Antiqua" w:hAnsi="Book Antiqua"/>
        </w:rPr>
      </w:pPr>
      <w:r w:rsidRPr="00576A72">
        <w:rPr>
          <w:rFonts w:ascii="Book Antiqua" w:hAnsi="Book Antiqua"/>
        </w:rPr>
        <w:t xml:space="preserve">2 </w:t>
      </w:r>
      <w:proofErr w:type="spellStart"/>
      <w:r w:rsidRPr="00576A72">
        <w:rPr>
          <w:rFonts w:ascii="Book Antiqua" w:hAnsi="Book Antiqua"/>
          <w:b/>
          <w:bCs/>
        </w:rPr>
        <w:t>Yoo</w:t>
      </w:r>
      <w:proofErr w:type="spellEnd"/>
      <w:r w:rsidRPr="00576A72">
        <w:rPr>
          <w:rFonts w:ascii="Book Antiqua" w:hAnsi="Book Antiqua"/>
          <w:b/>
          <w:bCs/>
        </w:rPr>
        <w:t xml:space="preserve"> JH</w:t>
      </w:r>
      <w:r w:rsidRPr="00576A72">
        <w:rPr>
          <w:rFonts w:ascii="Book Antiqua" w:hAnsi="Book Antiqua"/>
        </w:rPr>
        <w:t xml:space="preserve">. Effects of early menarche on physical and psychosocial health problems in adolescent girls and adult women. </w:t>
      </w:r>
      <w:r w:rsidRPr="00576A72">
        <w:rPr>
          <w:rFonts w:ascii="Book Antiqua" w:hAnsi="Book Antiqua"/>
          <w:i/>
          <w:iCs/>
        </w:rPr>
        <w:t xml:space="preserve">Korean J </w:t>
      </w:r>
      <w:proofErr w:type="spellStart"/>
      <w:r w:rsidRPr="00576A72">
        <w:rPr>
          <w:rFonts w:ascii="Book Antiqua" w:hAnsi="Book Antiqua"/>
          <w:i/>
          <w:iCs/>
        </w:rPr>
        <w:t>Pediatr</w:t>
      </w:r>
      <w:proofErr w:type="spellEnd"/>
      <w:r w:rsidRPr="00576A72">
        <w:rPr>
          <w:rFonts w:ascii="Book Antiqua" w:hAnsi="Book Antiqua"/>
        </w:rPr>
        <w:t xml:space="preserve"> 2016; </w:t>
      </w:r>
      <w:r w:rsidRPr="00576A72">
        <w:rPr>
          <w:rFonts w:ascii="Book Antiqua" w:hAnsi="Book Antiqua"/>
          <w:b/>
          <w:bCs/>
        </w:rPr>
        <w:t>59</w:t>
      </w:r>
      <w:r w:rsidRPr="00576A72">
        <w:rPr>
          <w:rFonts w:ascii="Book Antiqua" w:hAnsi="Book Antiqua"/>
        </w:rPr>
        <w:t>: 355-361 [PMID: 27721839 DOI: 10.3345/kjp.2016.59.9.355]</w:t>
      </w:r>
    </w:p>
    <w:p w14:paraId="6F2E1CB5" w14:textId="77777777" w:rsidR="004C205A" w:rsidRPr="00576A72" w:rsidRDefault="004C205A" w:rsidP="004C205A">
      <w:pPr>
        <w:spacing w:line="360" w:lineRule="auto"/>
        <w:jc w:val="both"/>
        <w:rPr>
          <w:rFonts w:ascii="Book Antiqua" w:hAnsi="Book Antiqua"/>
        </w:rPr>
      </w:pPr>
      <w:r w:rsidRPr="00576A72">
        <w:rPr>
          <w:rFonts w:ascii="Book Antiqua" w:hAnsi="Book Antiqua"/>
        </w:rPr>
        <w:t xml:space="preserve">3 </w:t>
      </w:r>
      <w:r w:rsidRPr="00576A72">
        <w:rPr>
          <w:rFonts w:ascii="Book Antiqua" w:hAnsi="Book Antiqua"/>
          <w:b/>
          <w:bCs/>
        </w:rPr>
        <w:t>Liu M</w:t>
      </w:r>
      <w:r w:rsidRPr="00576A72">
        <w:rPr>
          <w:rFonts w:ascii="Book Antiqua" w:hAnsi="Book Antiqua"/>
        </w:rPr>
        <w:t xml:space="preserve">, Fan L, Gong CX. A novel heterozygous MKRN3 nonsense mutation in a Chinese girl with idiopathic central precocious puberty: A case report. </w:t>
      </w:r>
      <w:r w:rsidRPr="00576A72">
        <w:rPr>
          <w:rFonts w:ascii="Book Antiqua" w:hAnsi="Book Antiqua"/>
          <w:i/>
          <w:iCs/>
        </w:rPr>
        <w:t>Medicine (Baltimore)</w:t>
      </w:r>
      <w:r w:rsidRPr="00576A72">
        <w:rPr>
          <w:rFonts w:ascii="Book Antiqua" w:hAnsi="Book Antiqua"/>
        </w:rPr>
        <w:t xml:space="preserve"> 2020; </w:t>
      </w:r>
      <w:r w:rsidRPr="00576A72">
        <w:rPr>
          <w:rFonts w:ascii="Book Antiqua" w:hAnsi="Book Antiqua"/>
          <w:b/>
          <w:bCs/>
        </w:rPr>
        <w:t>99</w:t>
      </w:r>
      <w:r w:rsidRPr="00576A72">
        <w:rPr>
          <w:rFonts w:ascii="Book Antiqua" w:hAnsi="Book Antiqua"/>
        </w:rPr>
        <w:t>: e22295 [PMID: 32957387 DOI: 10.1097/MD.0000000000022295]</w:t>
      </w:r>
    </w:p>
    <w:p w14:paraId="57104849" w14:textId="77777777" w:rsidR="004C205A" w:rsidRPr="00576A72" w:rsidRDefault="004C205A" w:rsidP="004C205A">
      <w:pPr>
        <w:spacing w:line="360" w:lineRule="auto"/>
        <w:jc w:val="both"/>
        <w:rPr>
          <w:rFonts w:ascii="Book Antiqua" w:hAnsi="Book Antiqua"/>
        </w:rPr>
      </w:pPr>
      <w:r w:rsidRPr="00576A72">
        <w:rPr>
          <w:rFonts w:ascii="Book Antiqua" w:hAnsi="Book Antiqua"/>
        </w:rPr>
        <w:t xml:space="preserve">4 </w:t>
      </w:r>
      <w:r w:rsidRPr="00576A72">
        <w:rPr>
          <w:rFonts w:ascii="Book Antiqua" w:hAnsi="Book Antiqua"/>
          <w:b/>
          <w:bCs/>
        </w:rPr>
        <w:t>Roberts SA</w:t>
      </w:r>
      <w:r w:rsidRPr="00576A72">
        <w:rPr>
          <w:rFonts w:ascii="Book Antiqua" w:hAnsi="Book Antiqua"/>
        </w:rPr>
        <w:t xml:space="preserve">, Kaiser UB. GENETICS IN ENDOCRINOLOGY: Genetic etiologies of central precocious puberty and the role of imprinted genes. </w:t>
      </w:r>
      <w:r w:rsidRPr="00576A72">
        <w:rPr>
          <w:rFonts w:ascii="Book Antiqua" w:hAnsi="Book Antiqua"/>
          <w:i/>
          <w:iCs/>
        </w:rPr>
        <w:t>Eur J Endocrinol</w:t>
      </w:r>
      <w:r w:rsidRPr="00576A72">
        <w:rPr>
          <w:rFonts w:ascii="Book Antiqua" w:hAnsi="Book Antiqua"/>
        </w:rPr>
        <w:t xml:space="preserve"> 2020; </w:t>
      </w:r>
      <w:r w:rsidRPr="00576A72">
        <w:rPr>
          <w:rFonts w:ascii="Book Antiqua" w:hAnsi="Book Antiqua"/>
          <w:b/>
          <w:bCs/>
        </w:rPr>
        <w:t>183</w:t>
      </w:r>
      <w:r w:rsidRPr="00576A72">
        <w:rPr>
          <w:rFonts w:ascii="Book Antiqua" w:hAnsi="Book Antiqua"/>
        </w:rPr>
        <w:t>: R107-R117 [PMID: 32698138 DOI: 10.1530/EJE-20-0103]</w:t>
      </w:r>
    </w:p>
    <w:p w14:paraId="26B1EE2A" w14:textId="77777777" w:rsidR="004C205A" w:rsidRPr="00576A72" w:rsidRDefault="004C205A" w:rsidP="004C205A">
      <w:pPr>
        <w:spacing w:line="360" w:lineRule="auto"/>
        <w:jc w:val="both"/>
        <w:rPr>
          <w:rFonts w:ascii="Book Antiqua" w:hAnsi="Book Antiqua"/>
        </w:rPr>
      </w:pPr>
      <w:r w:rsidRPr="00576A72">
        <w:rPr>
          <w:rFonts w:ascii="Book Antiqua" w:hAnsi="Book Antiqua"/>
        </w:rPr>
        <w:t xml:space="preserve">5 </w:t>
      </w:r>
      <w:proofErr w:type="spellStart"/>
      <w:r w:rsidRPr="00576A72">
        <w:rPr>
          <w:rFonts w:ascii="Book Antiqua" w:hAnsi="Book Antiqua"/>
          <w:b/>
          <w:bCs/>
        </w:rPr>
        <w:t>Maione</w:t>
      </w:r>
      <w:proofErr w:type="spellEnd"/>
      <w:r w:rsidRPr="00576A72">
        <w:rPr>
          <w:rFonts w:ascii="Book Antiqua" w:hAnsi="Book Antiqua"/>
          <w:b/>
          <w:bCs/>
        </w:rPr>
        <w:t xml:space="preserve"> L</w:t>
      </w:r>
      <w:r w:rsidRPr="00576A72">
        <w:rPr>
          <w:rFonts w:ascii="Book Antiqua" w:hAnsi="Book Antiqua"/>
        </w:rPr>
        <w:t xml:space="preserve">, </w:t>
      </w:r>
      <w:proofErr w:type="spellStart"/>
      <w:r w:rsidRPr="00576A72">
        <w:rPr>
          <w:rFonts w:ascii="Book Antiqua" w:hAnsi="Book Antiqua"/>
        </w:rPr>
        <w:t>Naulé</w:t>
      </w:r>
      <w:proofErr w:type="spellEnd"/>
      <w:r w:rsidRPr="00576A72">
        <w:rPr>
          <w:rFonts w:ascii="Book Antiqua" w:hAnsi="Book Antiqua"/>
        </w:rPr>
        <w:t xml:space="preserve"> L, Kaiser UB. </w:t>
      </w:r>
      <w:proofErr w:type="spellStart"/>
      <w:r w:rsidRPr="00576A72">
        <w:rPr>
          <w:rFonts w:ascii="Book Antiqua" w:hAnsi="Book Antiqua"/>
        </w:rPr>
        <w:t>Makorin</w:t>
      </w:r>
      <w:proofErr w:type="spellEnd"/>
      <w:r w:rsidRPr="00576A72">
        <w:rPr>
          <w:rFonts w:ascii="Book Antiqua" w:hAnsi="Book Antiqua"/>
        </w:rPr>
        <w:t xml:space="preserve"> RING finger protein 3 and central precocious puberty. </w:t>
      </w:r>
      <w:proofErr w:type="spellStart"/>
      <w:r w:rsidRPr="00576A72">
        <w:rPr>
          <w:rFonts w:ascii="Book Antiqua" w:hAnsi="Book Antiqua"/>
          <w:i/>
          <w:iCs/>
        </w:rPr>
        <w:t>Curr</w:t>
      </w:r>
      <w:proofErr w:type="spellEnd"/>
      <w:r w:rsidRPr="00576A72">
        <w:rPr>
          <w:rFonts w:ascii="Book Antiqua" w:hAnsi="Book Antiqua"/>
          <w:i/>
          <w:iCs/>
        </w:rPr>
        <w:t xml:space="preserve"> </w:t>
      </w:r>
      <w:proofErr w:type="spellStart"/>
      <w:r w:rsidRPr="00576A72">
        <w:rPr>
          <w:rFonts w:ascii="Book Antiqua" w:hAnsi="Book Antiqua"/>
          <w:i/>
          <w:iCs/>
        </w:rPr>
        <w:t>Opin</w:t>
      </w:r>
      <w:proofErr w:type="spellEnd"/>
      <w:r w:rsidRPr="00576A72">
        <w:rPr>
          <w:rFonts w:ascii="Book Antiqua" w:hAnsi="Book Antiqua"/>
          <w:i/>
          <w:iCs/>
        </w:rPr>
        <w:t xml:space="preserve"> </w:t>
      </w:r>
      <w:proofErr w:type="spellStart"/>
      <w:r w:rsidRPr="00576A72">
        <w:rPr>
          <w:rFonts w:ascii="Book Antiqua" w:hAnsi="Book Antiqua"/>
          <w:i/>
          <w:iCs/>
        </w:rPr>
        <w:t>Endocr</w:t>
      </w:r>
      <w:proofErr w:type="spellEnd"/>
      <w:r w:rsidRPr="00576A72">
        <w:rPr>
          <w:rFonts w:ascii="Book Antiqua" w:hAnsi="Book Antiqua"/>
          <w:i/>
          <w:iCs/>
        </w:rPr>
        <w:t xml:space="preserve"> </w:t>
      </w:r>
      <w:proofErr w:type="spellStart"/>
      <w:r w:rsidRPr="00576A72">
        <w:rPr>
          <w:rFonts w:ascii="Book Antiqua" w:hAnsi="Book Antiqua"/>
          <w:i/>
          <w:iCs/>
        </w:rPr>
        <w:t>Metab</w:t>
      </w:r>
      <w:proofErr w:type="spellEnd"/>
      <w:r w:rsidRPr="00576A72">
        <w:rPr>
          <w:rFonts w:ascii="Book Antiqua" w:hAnsi="Book Antiqua"/>
          <w:i/>
          <w:iCs/>
        </w:rPr>
        <w:t xml:space="preserve"> Res</w:t>
      </w:r>
      <w:r w:rsidRPr="00576A72">
        <w:rPr>
          <w:rFonts w:ascii="Book Antiqua" w:hAnsi="Book Antiqua"/>
        </w:rPr>
        <w:t xml:space="preserve"> 2020; </w:t>
      </w:r>
      <w:r w:rsidRPr="00576A72">
        <w:rPr>
          <w:rFonts w:ascii="Book Antiqua" w:hAnsi="Book Antiqua"/>
          <w:b/>
          <w:bCs/>
        </w:rPr>
        <w:t>14</w:t>
      </w:r>
      <w:r w:rsidRPr="00576A72">
        <w:rPr>
          <w:rFonts w:ascii="Book Antiqua" w:hAnsi="Book Antiqua"/>
        </w:rPr>
        <w:t>: 152-159 [PMID: 32984644 DOI: 10.1016/j.coemr.2020.08.003]</w:t>
      </w:r>
    </w:p>
    <w:p w14:paraId="130A8C57" w14:textId="77777777" w:rsidR="004C205A" w:rsidRPr="00576A72" w:rsidRDefault="004C205A" w:rsidP="004C205A">
      <w:pPr>
        <w:spacing w:line="360" w:lineRule="auto"/>
        <w:jc w:val="both"/>
        <w:rPr>
          <w:rFonts w:ascii="Book Antiqua" w:hAnsi="Book Antiqua"/>
        </w:rPr>
      </w:pPr>
      <w:r w:rsidRPr="00576A72">
        <w:rPr>
          <w:rFonts w:ascii="Book Antiqua" w:hAnsi="Book Antiqua"/>
        </w:rPr>
        <w:t xml:space="preserve">6 </w:t>
      </w:r>
      <w:r w:rsidRPr="00576A72">
        <w:rPr>
          <w:rFonts w:ascii="Book Antiqua" w:hAnsi="Book Antiqua"/>
          <w:b/>
          <w:bCs/>
        </w:rPr>
        <w:t>Abreu AP</w:t>
      </w:r>
      <w:r w:rsidRPr="00576A72">
        <w:rPr>
          <w:rFonts w:ascii="Book Antiqua" w:hAnsi="Book Antiqua"/>
        </w:rPr>
        <w:t xml:space="preserve">, Dauber A, Macedo DB, Noel SD, Brito VN, Gill JC, </w:t>
      </w:r>
      <w:proofErr w:type="spellStart"/>
      <w:r w:rsidRPr="00576A72">
        <w:rPr>
          <w:rFonts w:ascii="Book Antiqua" w:hAnsi="Book Antiqua"/>
        </w:rPr>
        <w:t>Cukier</w:t>
      </w:r>
      <w:proofErr w:type="spellEnd"/>
      <w:r w:rsidRPr="00576A72">
        <w:rPr>
          <w:rFonts w:ascii="Book Antiqua" w:hAnsi="Book Antiqua"/>
        </w:rPr>
        <w:t xml:space="preserve"> P, Thompson IR, Navarro VM, Gagliardi PC, Rodrigues T, Kochi C, </w:t>
      </w:r>
      <w:proofErr w:type="spellStart"/>
      <w:r w:rsidRPr="00576A72">
        <w:rPr>
          <w:rFonts w:ascii="Book Antiqua" w:hAnsi="Book Antiqua"/>
        </w:rPr>
        <w:t>Longui</w:t>
      </w:r>
      <w:proofErr w:type="spellEnd"/>
      <w:r w:rsidRPr="00576A72">
        <w:rPr>
          <w:rFonts w:ascii="Book Antiqua" w:hAnsi="Book Antiqua"/>
        </w:rPr>
        <w:t xml:space="preserve"> CA, </w:t>
      </w:r>
      <w:proofErr w:type="spellStart"/>
      <w:r w:rsidRPr="00576A72">
        <w:rPr>
          <w:rFonts w:ascii="Book Antiqua" w:hAnsi="Book Antiqua"/>
        </w:rPr>
        <w:t>Beckers</w:t>
      </w:r>
      <w:proofErr w:type="spellEnd"/>
      <w:r w:rsidRPr="00576A72">
        <w:rPr>
          <w:rFonts w:ascii="Book Antiqua" w:hAnsi="Book Antiqua"/>
        </w:rPr>
        <w:t xml:space="preserve"> D, de </w:t>
      </w:r>
      <w:proofErr w:type="spellStart"/>
      <w:r w:rsidRPr="00576A72">
        <w:rPr>
          <w:rFonts w:ascii="Book Antiqua" w:hAnsi="Book Antiqua"/>
        </w:rPr>
        <w:t>Zegher</w:t>
      </w:r>
      <w:proofErr w:type="spellEnd"/>
      <w:r w:rsidRPr="00576A72">
        <w:rPr>
          <w:rFonts w:ascii="Book Antiqua" w:hAnsi="Book Antiqua"/>
        </w:rPr>
        <w:t xml:space="preserve"> F, Montenegro LR, Mendonca BB, Carroll RS, Hirschhorn JN, </w:t>
      </w:r>
      <w:proofErr w:type="spellStart"/>
      <w:r w:rsidRPr="00576A72">
        <w:rPr>
          <w:rFonts w:ascii="Book Antiqua" w:hAnsi="Book Antiqua"/>
        </w:rPr>
        <w:t>Latronico</w:t>
      </w:r>
      <w:proofErr w:type="spellEnd"/>
      <w:r w:rsidRPr="00576A72">
        <w:rPr>
          <w:rFonts w:ascii="Book Antiqua" w:hAnsi="Book Antiqua"/>
        </w:rPr>
        <w:t xml:space="preserve"> AC, Kaiser UB. Central precocious puberty caused by mutations in the imprinted gene MKRN3. </w:t>
      </w:r>
      <w:r w:rsidRPr="00576A72">
        <w:rPr>
          <w:rFonts w:ascii="Book Antiqua" w:hAnsi="Book Antiqua"/>
          <w:i/>
          <w:iCs/>
        </w:rPr>
        <w:t xml:space="preserve">N </w:t>
      </w:r>
      <w:proofErr w:type="spellStart"/>
      <w:r w:rsidRPr="00576A72">
        <w:rPr>
          <w:rFonts w:ascii="Book Antiqua" w:hAnsi="Book Antiqua"/>
          <w:i/>
          <w:iCs/>
        </w:rPr>
        <w:t>Engl</w:t>
      </w:r>
      <w:proofErr w:type="spellEnd"/>
      <w:r w:rsidRPr="00576A72">
        <w:rPr>
          <w:rFonts w:ascii="Book Antiqua" w:hAnsi="Book Antiqua"/>
          <w:i/>
          <w:iCs/>
        </w:rPr>
        <w:t xml:space="preserve"> J Med</w:t>
      </w:r>
      <w:r w:rsidRPr="00576A72">
        <w:rPr>
          <w:rFonts w:ascii="Book Antiqua" w:hAnsi="Book Antiqua"/>
        </w:rPr>
        <w:t xml:space="preserve"> 2013; </w:t>
      </w:r>
      <w:r w:rsidRPr="00576A72">
        <w:rPr>
          <w:rFonts w:ascii="Book Antiqua" w:hAnsi="Book Antiqua"/>
          <w:b/>
          <w:bCs/>
        </w:rPr>
        <w:t>368</w:t>
      </w:r>
      <w:r w:rsidRPr="00576A72">
        <w:rPr>
          <w:rFonts w:ascii="Book Antiqua" w:hAnsi="Book Antiqua"/>
        </w:rPr>
        <w:t>: 2467-2475 [PMID: 23738509 DOI: 10.1056/NEJMoa1302160]</w:t>
      </w:r>
    </w:p>
    <w:p w14:paraId="16B6993C" w14:textId="77777777" w:rsidR="004C205A" w:rsidRPr="00576A72" w:rsidRDefault="004C205A" w:rsidP="004C205A">
      <w:pPr>
        <w:spacing w:line="360" w:lineRule="auto"/>
        <w:jc w:val="both"/>
        <w:rPr>
          <w:rFonts w:ascii="Book Antiqua" w:hAnsi="Book Antiqua"/>
        </w:rPr>
      </w:pPr>
      <w:r>
        <w:rPr>
          <w:rFonts w:ascii="Book Antiqua" w:hAnsi="Book Antiqua"/>
        </w:rPr>
        <w:t>7</w:t>
      </w:r>
      <w:r w:rsidRPr="00576A72">
        <w:rPr>
          <w:rFonts w:ascii="Book Antiqua" w:hAnsi="Book Antiqua"/>
        </w:rPr>
        <w:t xml:space="preserve"> </w:t>
      </w:r>
      <w:r w:rsidRPr="00576A72">
        <w:rPr>
          <w:rFonts w:ascii="Book Antiqua" w:hAnsi="Book Antiqua"/>
          <w:b/>
          <w:bCs/>
        </w:rPr>
        <w:t>Moore AM</w:t>
      </w:r>
      <w:r w:rsidRPr="00576A72">
        <w:rPr>
          <w:rFonts w:ascii="Book Antiqua" w:hAnsi="Book Antiqua"/>
        </w:rPr>
        <w:t xml:space="preserve">, Coolen LM, Porter DT, Goodman RL, Lehman MN. </w:t>
      </w:r>
      <w:proofErr w:type="spellStart"/>
      <w:r w:rsidRPr="00576A72">
        <w:rPr>
          <w:rFonts w:ascii="Book Antiqua" w:hAnsi="Book Antiqua"/>
        </w:rPr>
        <w:t>KNDy</w:t>
      </w:r>
      <w:proofErr w:type="spellEnd"/>
      <w:r w:rsidRPr="00576A72">
        <w:rPr>
          <w:rFonts w:ascii="Book Antiqua" w:hAnsi="Book Antiqua"/>
        </w:rPr>
        <w:t xml:space="preserve"> Cells Revisited. </w:t>
      </w:r>
      <w:r w:rsidRPr="00576A72">
        <w:rPr>
          <w:rFonts w:ascii="Book Antiqua" w:hAnsi="Book Antiqua"/>
          <w:i/>
          <w:iCs/>
        </w:rPr>
        <w:t>Endocrinology</w:t>
      </w:r>
      <w:r w:rsidRPr="00576A72">
        <w:rPr>
          <w:rFonts w:ascii="Book Antiqua" w:hAnsi="Book Antiqua"/>
        </w:rPr>
        <w:t xml:space="preserve"> 2018; </w:t>
      </w:r>
      <w:r w:rsidRPr="00576A72">
        <w:rPr>
          <w:rFonts w:ascii="Book Antiqua" w:hAnsi="Book Antiqua"/>
          <w:b/>
          <w:bCs/>
        </w:rPr>
        <w:t>159</w:t>
      </w:r>
      <w:r w:rsidRPr="00576A72">
        <w:rPr>
          <w:rFonts w:ascii="Book Antiqua" w:hAnsi="Book Antiqua"/>
        </w:rPr>
        <w:t>: 3219-3234 [PMID: 30010844 DOI: 10.1210/en.2018-00389]</w:t>
      </w:r>
    </w:p>
    <w:p w14:paraId="76214C0A" w14:textId="77777777" w:rsidR="004C205A" w:rsidRPr="00576A72" w:rsidRDefault="004C205A" w:rsidP="004C205A">
      <w:pPr>
        <w:spacing w:line="360" w:lineRule="auto"/>
        <w:jc w:val="both"/>
        <w:rPr>
          <w:rFonts w:ascii="Book Antiqua" w:hAnsi="Book Antiqua"/>
        </w:rPr>
      </w:pPr>
      <w:r>
        <w:rPr>
          <w:rFonts w:ascii="Book Antiqua" w:hAnsi="Book Antiqua"/>
        </w:rPr>
        <w:t>8</w:t>
      </w:r>
      <w:r w:rsidRPr="00576A72">
        <w:rPr>
          <w:rFonts w:ascii="Book Antiqua" w:hAnsi="Book Antiqua"/>
        </w:rPr>
        <w:t xml:space="preserve"> </w:t>
      </w:r>
      <w:r w:rsidRPr="00576A72">
        <w:rPr>
          <w:rFonts w:ascii="Book Antiqua" w:hAnsi="Book Antiqua"/>
          <w:b/>
          <w:bCs/>
        </w:rPr>
        <w:t>Abreu AP</w:t>
      </w:r>
      <w:r w:rsidRPr="00576A72">
        <w:rPr>
          <w:rFonts w:ascii="Book Antiqua" w:hAnsi="Book Antiqua"/>
        </w:rPr>
        <w:t xml:space="preserve">, Toro CA, Song YB, Navarro VM, Bosch MA, </w:t>
      </w:r>
      <w:proofErr w:type="spellStart"/>
      <w:r w:rsidRPr="00576A72">
        <w:rPr>
          <w:rFonts w:ascii="Book Antiqua" w:hAnsi="Book Antiqua"/>
        </w:rPr>
        <w:t>Eren</w:t>
      </w:r>
      <w:proofErr w:type="spellEnd"/>
      <w:r w:rsidRPr="00576A72">
        <w:rPr>
          <w:rFonts w:ascii="Book Antiqua" w:hAnsi="Book Antiqua"/>
        </w:rPr>
        <w:t xml:space="preserve"> A, Liang JN, Carroll RS, </w:t>
      </w:r>
      <w:proofErr w:type="spellStart"/>
      <w:r w:rsidRPr="00576A72">
        <w:rPr>
          <w:rFonts w:ascii="Book Antiqua" w:hAnsi="Book Antiqua"/>
        </w:rPr>
        <w:t>Latronico</w:t>
      </w:r>
      <w:proofErr w:type="spellEnd"/>
      <w:r w:rsidRPr="00576A72">
        <w:rPr>
          <w:rFonts w:ascii="Book Antiqua" w:hAnsi="Book Antiqua"/>
        </w:rPr>
        <w:t xml:space="preserve"> AC, </w:t>
      </w:r>
      <w:proofErr w:type="spellStart"/>
      <w:r w:rsidRPr="00576A72">
        <w:rPr>
          <w:rFonts w:ascii="Book Antiqua" w:hAnsi="Book Antiqua"/>
        </w:rPr>
        <w:t>Rønnekleiv</w:t>
      </w:r>
      <w:proofErr w:type="spellEnd"/>
      <w:r w:rsidRPr="00576A72">
        <w:rPr>
          <w:rFonts w:ascii="Book Antiqua" w:hAnsi="Book Antiqua"/>
        </w:rPr>
        <w:t xml:space="preserve"> OK, </w:t>
      </w:r>
      <w:proofErr w:type="spellStart"/>
      <w:r w:rsidRPr="00576A72">
        <w:rPr>
          <w:rFonts w:ascii="Book Antiqua" w:hAnsi="Book Antiqua"/>
        </w:rPr>
        <w:t>Aylwin</w:t>
      </w:r>
      <w:proofErr w:type="spellEnd"/>
      <w:r w:rsidRPr="00576A72">
        <w:rPr>
          <w:rFonts w:ascii="Book Antiqua" w:hAnsi="Book Antiqua"/>
        </w:rPr>
        <w:t xml:space="preserve"> CF, </w:t>
      </w:r>
      <w:proofErr w:type="spellStart"/>
      <w:r w:rsidRPr="00576A72">
        <w:rPr>
          <w:rFonts w:ascii="Book Antiqua" w:hAnsi="Book Antiqua"/>
        </w:rPr>
        <w:t>Lomniczi</w:t>
      </w:r>
      <w:proofErr w:type="spellEnd"/>
      <w:r w:rsidRPr="00576A72">
        <w:rPr>
          <w:rFonts w:ascii="Book Antiqua" w:hAnsi="Book Antiqua"/>
        </w:rPr>
        <w:t xml:space="preserve"> A, Ojeda S, Kaiser UB. MKRN3 inhibits the reproductive axis through actions in kisspeptin-expressing neurons. </w:t>
      </w:r>
      <w:r w:rsidRPr="00576A72">
        <w:rPr>
          <w:rFonts w:ascii="Book Antiqua" w:hAnsi="Book Antiqua"/>
          <w:i/>
          <w:iCs/>
        </w:rPr>
        <w:t>J Clin Invest</w:t>
      </w:r>
      <w:r w:rsidRPr="00576A72">
        <w:rPr>
          <w:rFonts w:ascii="Book Antiqua" w:hAnsi="Book Antiqua"/>
        </w:rPr>
        <w:t xml:space="preserve"> 2020; </w:t>
      </w:r>
      <w:r w:rsidRPr="00576A72">
        <w:rPr>
          <w:rFonts w:ascii="Book Antiqua" w:hAnsi="Book Antiqua"/>
          <w:b/>
          <w:bCs/>
        </w:rPr>
        <w:t>130</w:t>
      </w:r>
      <w:r w:rsidRPr="00576A72">
        <w:rPr>
          <w:rFonts w:ascii="Book Antiqua" w:hAnsi="Book Antiqua"/>
        </w:rPr>
        <w:t>: 4486-4500 [PMID: 32407292 DOI: 10.1172/JCI136564]</w:t>
      </w:r>
    </w:p>
    <w:p w14:paraId="766F1324" w14:textId="77777777" w:rsidR="004C205A" w:rsidRPr="00576A72" w:rsidRDefault="004C205A" w:rsidP="004C205A">
      <w:pPr>
        <w:spacing w:line="360" w:lineRule="auto"/>
        <w:jc w:val="both"/>
        <w:rPr>
          <w:rFonts w:ascii="Book Antiqua" w:hAnsi="Book Antiqua"/>
        </w:rPr>
      </w:pPr>
      <w:r>
        <w:rPr>
          <w:rFonts w:ascii="Book Antiqua" w:hAnsi="Book Antiqua"/>
        </w:rPr>
        <w:t>9</w:t>
      </w:r>
      <w:r w:rsidRPr="00576A72">
        <w:rPr>
          <w:rFonts w:ascii="Book Antiqua" w:hAnsi="Book Antiqua"/>
        </w:rPr>
        <w:t xml:space="preserve"> </w:t>
      </w:r>
      <w:r w:rsidRPr="00576A72">
        <w:rPr>
          <w:rFonts w:ascii="Book Antiqua" w:hAnsi="Book Antiqua"/>
          <w:b/>
          <w:bCs/>
        </w:rPr>
        <w:t>Liu H</w:t>
      </w:r>
      <w:r w:rsidRPr="00576A72">
        <w:rPr>
          <w:rFonts w:ascii="Book Antiqua" w:hAnsi="Book Antiqua"/>
        </w:rPr>
        <w:t xml:space="preserve">, Kong X, Chen F. Mkrn3 functions as a novel ubiquitin E3 ligase to inhibit Nptx1 during puberty initiation. </w:t>
      </w:r>
      <w:proofErr w:type="spellStart"/>
      <w:r w:rsidRPr="00576A72">
        <w:rPr>
          <w:rFonts w:ascii="Book Antiqua" w:hAnsi="Book Antiqua"/>
          <w:i/>
          <w:iCs/>
        </w:rPr>
        <w:t>Oncotarget</w:t>
      </w:r>
      <w:proofErr w:type="spellEnd"/>
      <w:r w:rsidRPr="00576A72">
        <w:rPr>
          <w:rFonts w:ascii="Book Antiqua" w:hAnsi="Book Antiqua"/>
        </w:rPr>
        <w:t xml:space="preserve"> 2017; </w:t>
      </w:r>
      <w:r w:rsidRPr="00576A72">
        <w:rPr>
          <w:rFonts w:ascii="Book Antiqua" w:hAnsi="Book Antiqua"/>
          <w:b/>
          <w:bCs/>
        </w:rPr>
        <w:t>8</w:t>
      </w:r>
      <w:r w:rsidRPr="00576A72">
        <w:rPr>
          <w:rFonts w:ascii="Book Antiqua" w:hAnsi="Book Antiqua"/>
        </w:rPr>
        <w:t>: 85102-85109 [PMID: 29156706 DOI: 10.18632/oncotarget.19347]</w:t>
      </w:r>
    </w:p>
    <w:p w14:paraId="1E3E417E" w14:textId="77777777" w:rsidR="004C205A" w:rsidRPr="00576A72" w:rsidRDefault="004C205A" w:rsidP="004C205A">
      <w:pPr>
        <w:spacing w:line="360" w:lineRule="auto"/>
        <w:jc w:val="both"/>
        <w:rPr>
          <w:rFonts w:ascii="Book Antiqua" w:hAnsi="Book Antiqua"/>
        </w:rPr>
      </w:pPr>
      <w:r w:rsidRPr="00576A72">
        <w:rPr>
          <w:rFonts w:ascii="Book Antiqua" w:hAnsi="Book Antiqua"/>
        </w:rPr>
        <w:lastRenderedPageBreak/>
        <w:t>1</w:t>
      </w:r>
      <w:r>
        <w:rPr>
          <w:rFonts w:ascii="Book Antiqua" w:hAnsi="Book Antiqua"/>
        </w:rPr>
        <w:t>0</w:t>
      </w:r>
      <w:r w:rsidRPr="00576A72">
        <w:rPr>
          <w:rFonts w:ascii="Book Antiqua" w:hAnsi="Book Antiqua"/>
        </w:rPr>
        <w:t xml:space="preserve"> </w:t>
      </w:r>
      <w:r w:rsidRPr="00576A72">
        <w:rPr>
          <w:rFonts w:ascii="Book Antiqua" w:hAnsi="Book Antiqua"/>
          <w:b/>
          <w:bCs/>
        </w:rPr>
        <w:t>Heras V</w:t>
      </w:r>
      <w:r w:rsidRPr="00576A72">
        <w:rPr>
          <w:rFonts w:ascii="Book Antiqua" w:hAnsi="Book Antiqua"/>
        </w:rPr>
        <w:t xml:space="preserve">, </w:t>
      </w:r>
      <w:proofErr w:type="spellStart"/>
      <w:r w:rsidRPr="00576A72">
        <w:rPr>
          <w:rFonts w:ascii="Book Antiqua" w:hAnsi="Book Antiqua"/>
        </w:rPr>
        <w:t>Sangiao-Alvarellos</w:t>
      </w:r>
      <w:proofErr w:type="spellEnd"/>
      <w:r w:rsidRPr="00576A72">
        <w:rPr>
          <w:rFonts w:ascii="Book Antiqua" w:hAnsi="Book Antiqua"/>
        </w:rPr>
        <w:t xml:space="preserve"> S, Manfredi-Lozano M, Sanchez-Tapia MJ, Ruiz-Pino F, </w:t>
      </w:r>
      <w:proofErr w:type="spellStart"/>
      <w:r w:rsidRPr="00576A72">
        <w:rPr>
          <w:rFonts w:ascii="Book Antiqua" w:hAnsi="Book Antiqua"/>
        </w:rPr>
        <w:t>Roa</w:t>
      </w:r>
      <w:proofErr w:type="spellEnd"/>
      <w:r w:rsidRPr="00576A72">
        <w:rPr>
          <w:rFonts w:ascii="Book Antiqua" w:hAnsi="Book Antiqua"/>
        </w:rPr>
        <w:t xml:space="preserve"> J, Lara-Chica M, </w:t>
      </w:r>
      <w:proofErr w:type="spellStart"/>
      <w:r w:rsidRPr="00576A72">
        <w:rPr>
          <w:rFonts w:ascii="Book Antiqua" w:hAnsi="Book Antiqua"/>
        </w:rPr>
        <w:t>Morrugares</w:t>
      </w:r>
      <w:proofErr w:type="spellEnd"/>
      <w:r w:rsidRPr="00576A72">
        <w:rPr>
          <w:rFonts w:ascii="Book Antiqua" w:hAnsi="Book Antiqua"/>
        </w:rPr>
        <w:t xml:space="preserve">-Carmona R, </w:t>
      </w:r>
      <w:proofErr w:type="spellStart"/>
      <w:r w:rsidRPr="00576A72">
        <w:rPr>
          <w:rFonts w:ascii="Book Antiqua" w:hAnsi="Book Antiqua"/>
        </w:rPr>
        <w:t>Jouy</w:t>
      </w:r>
      <w:proofErr w:type="spellEnd"/>
      <w:r w:rsidRPr="00576A72">
        <w:rPr>
          <w:rFonts w:ascii="Book Antiqua" w:hAnsi="Book Antiqua"/>
        </w:rPr>
        <w:t xml:space="preserve"> N, Abreu AP, </w:t>
      </w:r>
      <w:proofErr w:type="spellStart"/>
      <w:r w:rsidRPr="00576A72">
        <w:rPr>
          <w:rFonts w:ascii="Book Antiqua" w:hAnsi="Book Antiqua"/>
        </w:rPr>
        <w:t>Prevot</w:t>
      </w:r>
      <w:proofErr w:type="spellEnd"/>
      <w:r w:rsidRPr="00576A72">
        <w:rPr>
          <w:rFonts w:ascii="Book Antiqua" w:hAnsi="Book Antiqua"/>
        </w:rPr>
        <w:t xml:space="preserve"> V, </w:t>
      </w:r>
      <w:proofErr w:type="spellStart"/>
      <w:r w:rsidRPr="00576A72">
        <w:rPr>
          <w:rFonts w:ascii="Book Antiqua" w:hAnsi="Book Antiqua"/>
        </w:rPr>
        <w:t>Belsham</w:t>
      </w:r>
      <w:proofErr w:type="spellEnd"/>
      <w:r w:rsidRPr="00576A72">
        <w:rPr>
          <w:rFonts w:ascii="Book Antiqua" w:hAnsi="Book Antiqua"/>
        </w:rPr>
        <w:t xml:space="preserve"> D, Vazquez MJ, </w:t>
      </w:r>
      <w:proofErr w:type="spellStart"/>
      <w:r w:rsidRPr="00576A72">
        <w:rPr>
          <w:rFonts w:ascii="Book Antiqua" w:hAnsi="Book Antiqua"/>
        </w:rPr>
        <w:t>Calzado</w:t>
      </w:r>
      <w:proofErr w:type="spellEnd"/>
      <w:r w:rsidRPr="00576A72">
        <w:rPr>
          <w:rFonts w:ascii="Book Antiqua" w:hAnsi="Book Antiqua"/>
        </w:rPr>
        <w:t xml:space="preserve"> MA, Pinilla L, Gaytan F, </w:t>
      </w:r>
      <w:proofErr w:type="spellStart"/>
      <w:r w:rsidRPr="00576A72">
        <w:rPr>
          <w:rFonts w:ascii="Book Antiqua" w:hAnsi="Book Antiqua"/>
        </w:rPr>
        <w:t>Latronico</w:t>
      </w:r>
      <w:proofErr w:type="spellEnd"/>
      <w:r w:rsidRPr="00576A72">
        <w:rPr>
          <w:rFonts w:ascii="Book Antiqua" w:hAnsi="Book Antiqua"/>
        </w:rPr>
        <w:t xml:space="preserve"> AC, Kaiser UB, Castellano JM, Tena-</w:t>
      </w:r>
      <w:proofErr w:type="spellStart"/>
      <w:r w:rsidRPr="00576A72">
        <w:rPr>
          <w:rFonts w:ascii="Book Antiqua" w:hAnsi="Book Antiqua"/>
        </w:rPr>
        <w:t>Sempere</w:t>
      </w:r>
      <w:proofErr w:type="spellEnd"/>
      <w:r w:rsidRPr="00576A72">
        <w:rPr>
          <w:rFonts w:ascii="Book Antiqua" w:hAnsi="Book Antiqua"/>
        </w:rPr>
        <w:t xml:space="preserve"> M. Hypothalamic miR-30 regulates puberty onset via repression of the puberty-suppressing factor, Mkrn3. </w:t>
      </w:r>
      <w:proofErr w:type="spellStart"/>
      <w:r w:rsidRPr="00576A72">
        <w:rPr>
          <w:rFonts w:ascii="Book Antiqua" w:hAnsi="Book Antiqua"/>
          <w:i/>
          <w:iCs/>
        </w:rPr>
        <w:t>PLoS</w:t>
      </w:r>
      <w:proofErr w:type="spellEnd"/>
      <w:r w:rsidRPr="00576A72">
        <w:rPr>
          <w:rFonts w:ascii="Book Antiqua" w:hAnsi="Book Antiqua"/>
          <w:i/>
          <w:iCs/>
        </w:rPr>
        <w:t xml:space="preserve"> Biol</w:t>
      </w:r>
      <w:r w:rsidRPr="00576A72">
        <w:rPr>
          <w:rFonts w:ascii="Book Antiqua" w:hAnsi="Book Antiqua"/>
        </w:rPr>
        <w:t xml:space="preserve"> 2019; </w:t>
      </w:r>
      <w:r w:rsidRPr="00576A72">
        <w:rPr>
          <w:rFonts w:ascii="Book Antiqua" w:hAnsi="Book Antiqua"/>
          <w:b/>
          <w:bCs/>
        </w:rPr>
        <w:t>17</w:t>
      </w:r>
      <w:r w:rsidRPr="00576A72">
        <w:rPr>
          <w:rFonts w:ascii="Book Antiqua" w:hAnsi="Book Antiqua"/>
        </w:rPr>
        <w:t>: e3000532 [PMID: 31697675 DOI: 10.1371/journal.pbio.3000532]</w:t>
      </w:r>
    </w:p>
    <w:p w14:paraId="55634A86" w14:textId="77777777" w:rsidR="004C205A" w:rsidRPr="00576A72" w:rsidRDefault="004C205A" w:rsidP="004C205A">
      <w:pPr>
        <w:spacing w:line="360" w:lineRule="auto"/>
        <w:jc w:val="both"/>
        <w:rPr>
          <w:rFonts w:ascii="Book Antiqua" w:hAnsi="Book Antiqua"/>
        </w:rPr>
      </w:pPr>
      <w:r w:rsidRPr="00576A72">
        <w:rPr>
          <w:rFonts w:ascii="Book Antiqua" w:hAnsi="Book Antiqua"/>
        </w:rPr>
        <w:t>1</w:t>
      </w:r>
      <w:r>
        <w:rPr>
          <w:rFonts w:ascii="Book Antiqua" w:hAnsi="Book Antiqua"/>
        </w:rPr>
        <w:t>1</w:t>
      </w:r>
      <w:r w:rsidRPr="00576A72">
        <w:rPr>
          <w:rFonts w:ascii="Book Antiqua" w:hAnsi="Book Antiqua"/>
        </w:rPr>
        <w:t xml:space="preserve"> </w:t>
      </w:r>
      <w:r w:rsidRPr="00576A72">
        <w:rPr>
          <w:rFonts w:ascii="Book Antiqua" w:hAnsi="Book Antiqua"/>
          <w:b/>
          <w:bCs/>
        </w:rPr>
        <w:t>Lee HS</w:t>
      </w:r>
      <w:r w:rsidRPr="00576A72">
        <w:rPr>
          <w:rFonts w:ascii="Book Antiqua" w:hAnsi="Book Antiqua"/>
        </w:rPr>
        <w:t xml:space="preserve">, </w:t>
      </w:r>
      <w:proofErr w:type="spellStart"/>
      <w:r w:rsidRPr="00576A72">
        <w:rPr>
          <w:rFonts w:ascii="Book Antiqua" w:hAnsi="Book Antiqua"/>
        </w:rPr>
        <w:t>Jin</w:t>
      </w:r>
      <w:proofErr w:type="spellEnd"/>
      <w:r w:rsidRPr="00576A72">
        <w:rPr>
          <w:rFonts w:ascii="Book Antiqua" w:hAnsi="Book Antiqua"/>
        </w:rPr>
        <w:t xml:space="preserve"> HS, Shim YS, </w:t>
      </w:r>
      <w:proofErr w:type="spellStart"/>
      <w:r w:rsidRPr="00576A72">
        <w:rPr>
          <w:rFonts w:ascii="Book Antiqua" w:hAnsi="Book Antiqua"/>
        </w:rPr>
        <w:t>Jeong</w:t>
      </w:r>
      <w:proofErr w:type="spellEnd"/>
      <w:r w:rsidRPr="00576A72">
        <w:rPr>
          <w:rFonts w:ascii="Book Antiqua" w:hAnsi="Book Antiqua"/>
        </w:rPr>
        <w:t xml:space="preserve"> HR, Kwon E, Choi V, Kim MC, Chung IS, </w:t>
      </w:r>
      <w:proofErr w:type="spellStart"/>
      <w:r w:rsidRPr="00576A72">
        <w:rPr>
          <w:rFonts w:ascii="Book Antiqua" w:hAnsi="Book Antiqua"/>
        </w:rPr>
        <w:t>Jeong</w:t>
      </w:r>
      <w:proofErr w:type="spellEnd"/>
      <w:r w:rsidRPr="00576A72">
        <w:rPr>
          <w:rFonts w:ascii="Book Antiqua" w:hAnsi="Book Antiqua"/>
        </w:rPr>
        <w:t xml:space="preserve"> SY, Hwang JS. Low Frequency of MKRN3 Mutations in Central Precocious Puberty Among Korean Girls. </w:t>
      </w:r>
      <w:proofErr w:type="spellStart"/>
      <w:r w:rsidRPr="00576A72">
        <w:rPr>
          <w:rFonts w:ascii="Book Antiqua" w:hAnsi="Book Antiqua"/>
          <w:i/>
          <w:iCs/>
        </w:rPr>
        <w:t>Horm</w:t>
      </w:r>
      <w:proofErr w:type="spellEnd"/>
      <w:r w:rsidRPr="00576A72">
        <w:rPr>
          <w:rFonts w:ascii="Book Antiqua" w:hAnsi="Book Antiqua"/>
          <w:i/>
          <w:iCs/>
        </w:rPr>
        <w:t xml:space="preserve"> </w:t>
      </w:r>
      <w:proofErr w:type="spellStart"/>
      <w:r w:rsidRPr="00576A72">
        <w:rPr>
          <w:rFonts w:ascii="Book Antiqua" w:hAnsi="Book Antiqua"/>
          <w:i/>
          <w:iCs/>
        </w:rPr>
        <w:t>Metab</w:t>
      </w:r>
      <w:proofErr w:type="spellEnd"/>
      <w:r w:rsidRPr="00576A72">
        <w:rPr>
          <w:rFonts w:ascii="Book Antiqua" w:hAnsi="Book Antiqua"/>
          <w:i/>
          <w:iCs/>
        </w:rPr>
        <w:t xml:space="preserve"> Res</w:t>
      </w:r>
      <w:r w:rsidRPr="00576A72">
        <w:rPr>
          <w:rFonts w:ascii="Book Antiqua" w:hAnsi="Book Antiqua"/>
        </w:rPr>
        <w:t xml:space="preserve"> 2016; </w:t>
      </w:r>
      <w:r w:rsidRPr="00576A72">
        <w:rPr>
          <w:rFonts w:ascii="Book Antiqua" w:hAnsi="Book Antiqua"/>
          <w:b/>
          <w:bCs/>
        </w:rPr>
        <w:t>48</w:t>
      </w:r>
      <w:r w:rsidRPr="00576A72">
        <w:rPr>
          <w:rFonts w:ascii="Book Antiqua" w:hAnsi="Book Antiqua"/>
        </w:rPr>
        <w:t>: 118-122 [PMID: 25938887 DOI: 10.1055/s-0035-1548938]</w:t>
      </w:r>
    </w:p>
    <w:p w14:paraId="5D2EE905" w14:textId="77777777" w:rsidR="004C205A" w:rsidRPr="00576A72" w:rsidRDefault="004C205A" w:rsidP="004C205A">
      <w:pPr>
        <w:spacing w:line="360" w:lineRule="auto"/>
        <w:jc w:val="both"/>
        <w:rPr>
          <w:rFonts w:ascii="Book Antiqua" w:hAnsi="Book Antiqua"/>
        </w:rPr>
      </w:pPr>
      <w:r w:rsidRPr="00576A72">
        <w:rPr>
          <w:rFonts w:ascii="Book Antiqua" w:hAnsi="Book Antiqua"/>
        </w:rPr>
        <w:t>1</w:t>
      </w:r>
      <w:r>
        <w:rPr>
          <w:rFonts w:ascii="Book Antiqua" w:hAnsi="Book Antiqua"/>
        </w:rPr>
        <w:t>2</w:t>
      </w:r>
      <w:r w:rsidRPr="00576A72">
        <w:rPr>
          <w:rFonts w:ascii="Book Antiqua" w:hAnsi="Book Antiqua"/>
        </w:rPr>
        <w:t xml:space="preserve"> </w:t>
      </w:r>
      <w:r w:rsidRPr="00576A72">
        <w:rPr>
          <w:rFonts w:ascii="Book Antiqua" w:hAnsi="Book Antiqua"/>
          <w:b/>
          <w:bCs/>
        </w:rPr>
        <w:t>Valadares LP</w:t>
      </w:r>
      <w:r w:rsidRPr="00576A72">
        <w:rPr>
          <w:rFonts w:ascii="Book Antiqua" w:hAnsi="Book Antiqua"/>
        </w:rPr>
        <w:t xml:space="preserve">, </w:t>
      </w:r>
      <w:proofErr w:type="spellStart"/>
      <w:r w:rsidRPr="00576A72">
        <w:rPr>
          <w:rFonts w:ascii="Book Antiqua" w:hAnsi="Book Antiqua"/>
        </w:rPr>
        <w:t>Meireles</w:t>
      </w:r>
      <w:proofErr w:type="spellEnd"/>
      <w:r w:rsidRPr="00576A72">
        <w:rPr>
          <w:rFonts w:ascii="Book Antiqua" w:hAnsi="Book Antiqua"/>
        </w:rPr>
        <w:t xml:space="preserve"> CG, De Toledo IP, Santarem de Oliveira R, Gonçalves de Castro LC, Abreu AP, Carroll RS, </w:t>
      </w:r>
      <w:proofErr w:type="spellStart"/>
      <w:r w:rsidRPr="00576A72">
        <w:rPr>
          <w:rFonts w:ascii="Book Antiqua" w:hAnsi="Book Antiqua"/>
        </w:rPr>
        <w:t>Latronico</w:t>
      </w:r>
      <w:proofErr w:type="spellEnd"/>
      <w:r w:rsidRPr="00576A72">
        <w:rPr>
          <w:rFonts w:ascii="Book Antiqua" w:hAnsi="Book Antiqua"/>
        </w:rPr>
        <w:t xml:space="preserve"> AC, Kaiser UB, Guerra ENS, </w:t>
      </w:r>
      <w:proofErr w:type="spellStart"/>
      <w:r w:rsidRPr="00576A72">
        <w:rPr>
          <w:rFonts w:ascii="Book Antiqua" w:hAnsi="Book Antiqua"/>
        </w:rPr>
        <w:t>Lofrano</w:t>
      </w:r>
      <w:proofErr w:type="spellEnd"/>
      <w:r w:rsidRPr="00576A72">
        <w:rPr>
          <w:rFonts w:ascii="Book Antiqua" w:hAnsi="Book Antiqua"/>
        </w:rPr>
        <w:t xml:space="preserve">-Porto A. </w:t>
      </w:r>
      <w:r w:rsidRPr="00576A72">
        <w:rPr>
          <w:rFonts w:ascii="Book Antiqua" w:hAnsi="Book Antiqua"/>
          <w:i/>
          <w:iCs/>
        </w:rPr>
        <w:t>MKRN3</w:t>
      </w:r>
      <w:r w:rsidRPr="00576A72">
        <w:rPr>
          <w:rFonts w:ascii="Book Antiqua" w:hAnsi="Book Antiqua"/>
        </w:rPr>
        <w:t xml:space="preserve"> Mutations in Central Precocious Puberty: A Systematic Review and Meta-Analysis. </w:t>
      </w:r>
      <w:r w:rsidRPr="00576A72">
        <w:rPr>
          <w:rFonts w:ascii="Book Antiqua" w:hAnsi="Book Antiqua"/>
          <w:i/>
          <w:iCs/>
        </w:rPr>
        <w:t xml:space="preserve">J </w:t>
      </w:r>
      <w:proofErr w:type="spellStart"/>
      <w:r w:rsidRPr="00576A72">
        <w:rPr>
          <w:rFonts w:ascii="Book Antiqua" w:hAnsi="Book Antiqua"/>
          <w:i/>
          <w:iCs/>
        </w:rPr>
        <w:t>Endocr</w:t>
      </w:r>
      <w:proofErr w:type="spellEnd"/>
      <w:r w:rsidRPr="00576A72">
        <w:rPr>
          <w:rFonts w:ascii="Book Antiqua" w:hAnsi="Book Antiqua"/>
          <w:i/>
          <w:iCs/>
        </w:rPr>
        <w:t xml:space="preserve"> Soc</w:t>
      </w:r>
      <w:r w:rsidRPr="00576A72">
        <w:rPr>
          <w:rFonts w:ascii="Book Antiqua" w:hAnsi="Book Antiqua"/>
        </w:rPr>
        <w:t xml:space="preserve"> 2019; </w:t>
      </w:r>
      <w:r w:rsidRPr="00576A72">
        <w:rPr>
          <w:rFonts w:ascii="Book Antiqua" w:hAnsi="Book Antiqua"/>
          <w:b/>
          <w:bCs/>
        </w:rPr>
        <w:t>3</w:t>
      </w:r>
      <w:r w:rsidRPr="00576A72">
        <w:rPr>
          <w:rFonts w:ascii="Book Antiqua" w:hAnsi="Book Antiqua"/>
        </w:rPr>
        <w:t>: 979-995 [PMID: 31041429 DOI: 10.1210/js.2019-00041]</w:t>
      </w:r>
    </w:p>
    <w:p w14:paraId="6BAE45B2" w14:textId="77777777" w:rsidR="004C205A" w:rsidRPr="00576A72" w:rsidRDefault="004C205A" w:rsidP="004C205A">
      <w:pPr>
        <w:spacing w:line="360" w:lineRule="auto"/>
        <w:jc w:val="both"/>
        <w:rPr>
          <w:rFonts w:ascii="Book Antiqua" w:hAnsi="Book Antiqua"/>
        </w:rPr>
      </w:pPr>
      <w:r w:rsidRPr="00576A72">
        <w:rPr>
          <w:rFonts w:ascii="Book Antiqua" w:hAnsi="Book Antiqua"/>
        </w:rPr>
        <w:t>1</w:t>
      </w:r>
      <w:r>
        <w:rPr>
          <w:rFonts w:ascii="Book Antiqua" w:hAnsi="Book Antiqua"/>
        </w:rPr>
        <w:t>3</w:t>
      </w:r>
      <w:r w:rsidRPr="00576A72">
        <w:rPr>
          <w:rFonts w:ascii="Book Antiqua" w:hAnsi="Book Antiqua"/>
        </w:rPr>
        <w:t xml:space="preserve"> </w:t>
      </w:r>
      <w:r w:rsidRPr="00576A72">
        <w:rPr>
          <w:rFonts w:ascii="Book Antiqua" w:hAnsi="Book Antiqua"/>
          <w:b/>
          <w:bCs/>
        </w:rPr>
        <w:t>Ramos CO</w:t>
      </w:r>
      <w:r w:rsidRPr="00576A72">
        <w:rPr>
          <w:rFonts w:ascii="Book Antiqua" w:hAnsi="Book Antiqua"/>
        </w:rPr>
        <w:t xml:space="preserve">, Macedo DB, Canton APM, Cunha-Silva M, </w:t>
      </w:r>
      <w:proofErr w:type="spellStart"/>
      <w:r w:rsidRPr="00576A72">
        <w:rPr>
          <w:rFonts w:ascii="Book Antiqua" w:hAnsi="Book Antiqua"/>
        </w:rPr>
        <w:t>Antonini</w:t>
      </w:r>
      <w:proofErr w:type="spellEnd"/>
      <w:r w:rsidRPr="00576A72">
        <w:rPr>
          <w:rFonts w:ascii="Book Antiqua" w:hAnsi="Book Antiqua"/>
        </w:rPr>
        <w:t xml:space="preserve"> SRR, </w:t>
      </w:r>
      <w:proofErr w:type="spellStart"/>
      <w:r w:rsidRPr="00576A72">
        <w:rPr>
          <w:rFonts w:ascii="Book Antiqua" w:hAnsi="Book Antiqua"/>
        </w:rPr>
        <w:t>Stecchini</w:t>
      </w:r>
      <w:proofErr w:type="spellEnd"/>
      <w:r w:rsidRPr="00576A72">
        <w:rPr>
          <w:rFonts w:ascii="Book Antiqua" w:hAnsi="Book Antiqua"/>
        </w:rPr>
        <w:t xml:space="preserve"> MF, Seraphim CE, Rodrigues T, Mendonca BB, </w:t>
      </w:r>
      <w:proofErr w:type="spellStart"/>
      <w:r w:rsidRPr="00576A72">
        <w:rPr>
          <w:rFonts w:ascii="Book Antiqua" w:hAnsi="Book Antiqua"/>
        </w:rPr>
        <w:t>Latronico</w:t>
      </w:r>
      <w:proofErr w:type="spellEnd"/>
      <w:r w:rsidRPr="00576A72">
        <w:rPr>
          <w:rFonts w:ascii="Book Antiqua" w:hAnsi="Book Antiqua"/>
        </w:rPr>
        <w:t xml:space="preserve"> AC, Brito VN. Outcomes of Patients with Central Precocious Puberty Due to Loss-of-Function Mutations in the MKRN3 Gene after Treatment with Gonadotropin-Releasing Hormone Analog. </w:t>
      </w:r>
      <w:r w:rsidRPr="00576A72">
        <w:rPr>
          <w:rFonts w:ascii="Book Antiqua" w:hAnsi="Book Antiqua"/>
          <w:i/>
          <w:iCs/>
        </w:rPr>
        <w:t>Neuroendocrinology</w:t>
      </w:r>
      <w:r w:rsidRPr="00576A72">
        <w:rPr>
          <w:rFonts w:ascii="Book Antiqua" w:hAnsi="Book Antiqua"/>
        </w:rPr>
        <w:t xml:space="preserve"> 2020; </w:t>
      </w:r>
      <w:r w:rsidRPr="00576A72">
        <w:rPr>
          <w:rFonts w:ascii="Book Antiqua" w:hAnsi="Book Antiqua"/>
          <w:b/>
          <w:bCs/>
        </w:rPr>
        <w:t>110</w:t>
      </w:r>
      <w:r w:rsidRPr="00576A72">
        <w:rPr>
          <w:rFonts w:ascii="Book Antiqua" w:hAnsi="Book Antiqua"/>
        </w:rPr>
        <w:t>: 705-713 [PMID: 31671431 DOI: 10.1159/000504446]</w:t>
      </w:r>
    </w:p>
    <w:p w14:paraId="07EFE53C"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1939D22A" w14:textId="77777777" w:rsidR="00A77B3E" w:rsidRDefault="00A34B5F">
      <w:pPr>
        <w:spacing w:line="360" w:lineRule="auto"/>
        <w:jc w:val="both"/>
      </w:pPr>
      <w:r>
        <w:rPr>
          <w:rFonts w:ascii="Book Antiqua" w:eastAsia="Book Antiqua" w:hAnsi="Book Antiqua" w:cs="Book Antiqua"/>
          <w:b/>
          <w:color w:val="000000"/>
        </w:rPr>
        <w:lastRenderedPageBreak/>
        <w:t>Footnotes</w:t>
      </w:r>
    </w:p>
    <w:p w14:paraId="5A4064E8" w14:textId="77777777" w:rsidR="00A77B3E" w:rsidRDefault="00A34B5F">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736BF557" w14:textId="77777777" w:rsidR="00A77B3E" w:rsidRDefault="00A77B3E">
      <w:pPr>
        <w:spacing w:line="360" w:lineRule="auto"/>
        <w:jc w:val="both"/>
      </w:pPr>
    </w:p>
    <w:p w14:paraId="0FAFFB60" w14:textId="77777777" w:rsidR="00A77B3E" w:rsidRDefault="00A34B5F">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conflicts of interest related to this manuscript.</w:t>
      </w:r>
    </w:p>
    <w:p w14:paraId="6D4B5396" w14:textId="77777777" w:rsidR="00A77B3E" w:rsidRDefault="00A77B3E">
      <w:pPr>
        <w:spacing w:line="360" w:lineRule="auto"/>
        <w:jc w:val="both"/>
      </w:pPr>
    </w:p>
    <w:p w14:paraId="7DD286CB" w14:textId="77777777" w:rsidR="00A77B3E" w:rsidRDefault="00A34B5F">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08A09C4" w14:textId="77777777" w:rsidR="00A77B3E" w:rsidRDefault="00A77B3E">
      <w:pPr>
        <w:spacing w:line="360" w:lineRule="auto"/>
        <w:jc w:val="both"/>
      </w:pPr>
    </w:p>
    <w:p w14:paraId="1AA56CF6" w14:textId="77777777" w:rsidR="00A77B3E" w:rsidRDefault="00A34B5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51DB27" w14:textId="77777777" w:rsidR="00A77B3E" w:rsidRDefault="00A77B3E">
      <w:pPr>
        <w:spacing w:line="360" w:lineRule="auto"/>
        <w:jc w:val="both"/>
      </w:pPr>
    </w:p>
    <w:p w14:paraId="7A515370" w14:textId="378DDAD4" w:rsidR="00A77B3E" w:rsidRDefault="00A34B5F">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F0C18">
        <w:rPr>
          <w:rFonts w:ascii="Book Antiqua" w:eastAsia="Book Antiqua" w:hAnsi="Book Antiqua" w:cs="Book Antiqua"/>
          <w:color w:val="000000"/>
        </w:rPr>
        <w:t>m</w:t>
      </w:r>
      <w:r>
        <w:rPr>
          <w:rFonts w:ascii="Book Antiqua" w:eastAsia="Book Antiqua" w:hAnsi="Book Antiqua" w:cs="Book Antiqua"/>
          <w:color w:val="000000"/>
        </w:rPr>
        <w:t>anuscript</w:t>
      </w:r>
    </w:p>
    <w:p w14:paraId="1CFADB96" w14:textId="77777777" w:rsidR="00A77B3E" w:rsidRDefault="00A77B3E">
      <w:pPr>
        <w:spacing w:line="360" w:lineRule="auto"/>
        <w:jc w:val="both"/>
      </w:pPr>
    </w:p>
    <w:p w14:paraId="5EC6D28C" w14:textId="77777777" w:rsidR="00A77B3E" w:rsidRDefault="00A34B5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 2021</w:t>
      </w:r>
    </w:p>
    <w:p w14:paraId="0C882286" w14:textId="77777777" w:rsidR="00A77B3E" w:rsidRDefault="00A34B5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16, 2021</w:t>
      </w:r>
    </w:p>
    <w:p w14:paraId="5DA1241A" w14:textId="77777777" w:rsidR="00A77B3E" w:rsidRDefault="00A34B5F">
      <w:pPr>
        <w:spacing w:line="360" w:lineRule="auto"/>
        <w:jc w:val="both"/>
      </w:pPr>
      <w:r>
        <w:rPr>
          <w:rFonts w:ascii="Book Antiqua" w:eastAsia="Book Antiqua" w:hAnsi="Book Antiqua" w:cs="Book Antiqua"/>
          <w:b/>
          <w:color w:val="000000"/>
        </w:rPr>
        <w:t xml:space="preserve">Article in press: </w:t>
      </w:r>
    </w:p>
    <w:p w14:paraId="09F2E6D8" w14:textId="77777777" w:rsidR="00A77B3E" w:rsidRDefault="00A77B3E">
      <w:pPr>
        <w:spacing w:line="360" w:lineRule="auto"/>
        <w:jc w:val="both"/>
      </w:pPr>
    </w:p>
    <w:p w14:paraId="468EA770" w14:textId="3D30383C" w:rsidR="00A77B3E" w:rsidRDefault="00A34B5F">
      <w:pPr>
        <w:spacing w:line="360" w:lineRule="auto"/>
        <w:jc w:val="both"/>
      </w:pPr>
      <w:r>
        <w:rPr>
          <w:rFonts w:ascii="Book Antiqua" w:eastAsia="Book Antiqua" w:hAnsi="Book Antiqua" w:cs="Book Antiqua"/>
          <w:b/>
          <w:color w:val="000000"/>
        </w:rPr>
        <w:t xml:space="preserve">Specialty type: </w:t>
      </w:r>
      <w:r w:rsidR="008F0C18" w:rsidRPr="008F0C18">
        <w:rPr>
          <w:rFonts w:ascii="Book Antiqua" w:eastAsia="Book Antiqua" w:hAnsi="Book Antiqua" w:cs="Book Antiqua"/>
          <w:color w:val="000000"/>
        </w:rPr>
        <w:t>Medicine, research and experimental</w:t>
      </w:r>
    </w:p>
    <w:p w14:paraId="69BA4BA7" w14:textId="77777777" w:rsidR="00A77B3E" w:rsidRDefault="00A34B5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2AF528F3" w14:textId="77777777" w:rsidR="00A77B3E" w:rsidRDefault="00A34B5F">
      <w:pPr>
        <w:spacing w:line="360" w:lineRule="auto"/>
        <w:jc w:val="both"/>
      </w:pPr>
      <w:r>
        <w:rPr>
          <w:rFonts w:ascii="Book Antiqua" w:eastAsia="Book Antiqua" w:hAnsi="Book Antiqua" w:cs="Book Antiqua"/>
          <w:b/>
          <w:color w:val="000000"/>
        </w:rPr>
        <w:t>Peer-review report’s scientific quality classification</w:t>
      </w:r>
    </w:p>
    <w:p w14:paraId="1A30BF9B" w14:textId="77777777" w:rsidR="00A77B3E" w:rsidRDefault="00A34B5F">
      <w:pPr>
        <w:spacing w:line="360" w:lineRule="auto"/>
        <w:jc w:val="both"/>
      </w:pPr>
      <w:r>
        <w:rPr>
          <w:rFonts w:ascii="Book Antiqua" w:eastAsia="Book Antiqua" w:hAnsi="Book Antiqua" w:cs="Book Antiqua"/>
          <w:color w:val="000000"/>
        </w:rPr>
        <w:t>Grade A (Excellent): 0</w:t>
      </w:r>
    </w:p>
    <w:p w14:paraId="5B33622B" w14:textId="77777777" w:rsidR="00A77B3E" w:rsidRDefault="00A34B5F">
      <w:pPr>
        <w:spacing w:line="360" w:lineRule="auto"/>
        <w:jc w:val="both"/>
      </w:pPr>
      <w:r>
        <w:rPr>
          <w:rFonts w:ascii="Book Antiqua" w:eastAsia="Book Antiqua" w:hAnsi="Book Antiqua" w:cs="Book Antiqua"/>
          <w:color w:val="000000"/>
        </w:rPr>
        <w:t>Grade B (Very good): B, B</w:t>
      </w:r>
    </w:p>
    <w:p w14:paraId="5D49E2B0" w14:textId="77777777" w:rsidR="00A77B3E" w:rsidRDefault="00A34B5F">
      <w:pPr>
        <w:spacing w:line="360" w:lineRule="auto"/>
        <w:jc w:val="both"/>
      </w:pPr>
      <w:r>
        <w:rPr>
          <w:rFonts w:ascii="Book Antiqua" w:eastAsia="Book Antiqua" w:hAnsi="Book Antiqua" w:cs="Book Antiqua"/>
          <w:color w:val="000000"/>
        </w:rPr>
        <w:lastRenderedPageBreak/>
        <w:t>Grade C (Good): 0</w:t>
      </w:r>
    </w:p>
    <w:p w14:paraId="768A5652" w14:textId="77777777" w:rsidR="00A77B3E" w:rsidRDefault="00A34B5F">
      <w:pPr>
        <w:spacing w:line="360" w:lineRule="auto"/>
        <w:jc w:val="both"/>
      </w:pPr>
      <w:r>
        <w:rPr>
          <w:rFonts w:ascii="Book Antiqua" w:eastAsia="Book Antiqua" w:hAnsi="Book Antiqua" w:cs="Book Antiqua"/>
          <w:color w:val="000000"/>
        </w:rPr>
        <w:t>Grade D (Fair): 0</w:t>
      </w:r>
    </w:p>
    <w:p w14:paraId="341E8692" w14:textId="77777777" w:rsidR="00A77B3E" w:rsidRDefault="00A34B5F">
      <w:pPr>
        <w:spacing w:line="360" w:lineRule="auto"/>
        <w:jc w:val="both"/>
      </w:pPr>
      <w:r>
        <w:rPr>
          <w:rFonts w:ascii="Book Antiqua" w:eastAsia="Book Antiqua" w:hAnsi="Book Antiqua" w:cs="Book Antiqua"/>
          <w:color w:val="000000"/>
        </w:rPr>
        <w:t>Grade E (Poor): 0</w:t>
      </w:r>
    </w:p>
    <w:p w14:paraId="121D4F68" w14:textId="77777777" w:rsidR="00A77B3E" w:rsidRDefault="00A77B3E">
      <w:pPr>
        <w:spacing w:line="360" w:lineRule="auto"/>
        <w:jc w:val="both"/>
      </w:pPr>
    </w:p>
    <w:p w14:paraId="3380CE76" w14:textId="356B112A" w:rsidR="00A77B3E" w:rsidRDefault="00A34B5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Abubakar MS, </w:t>
      </w:r>
      <w:proofErr w:type="spellStart"/>
      <w:r>
        <w:rPr>
          <w:rFonts w:ascii="Book Antiqua" w:eastAsia="Book Antiqua" w:hAnsi="Book Antiqua" w:cs="Book Antiqua"/>
          <w:color w:val="000000"/>
        </w:rPr>
        <w:t>Cimen</w:t>
      </w:r>
      <w:proofErr w:type="spellEnd"/>
      <w:r>
        <w:rPr>
          <w:rFonts w:ascii="Book Antiqua" w:eastAsia="Book Antiqua" w:hAnsi="Book Antiqua" w:cs="Book Antiqua"/>
          <w:color w:val="000000"/>
        </w:rPr>
        <w:t xml:space="preserve"> SG</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sidR="008F0C18">
        <w:rPr>
          <w:rFonts w:ascii="Book Antiqua" w:eastAsia="Book Antiqua" w:hAnsi="Book Antiqua" w:cs="Book Antiqua"/>
          <w:color w:val="000000"/>
        </w:rPr>
        <w:t xml:space="preserve"> (Online Science Editor)</w:t>
      </w:r>
      <w:r>
        <w:rPr>
          <w:rFonts w:ascii="Book Antiqua" w:eastAsia="Book Antiqua" w:hAnsi="Book Antiqua" w:cs="Book Antiqua"/>
          <w:b/>
          <w:color w:val="000000"/>
        </w:rPr>
        <w:t xml:space="preserve"> L-Editor: </w:t>
      </w:r>
      <w:r w:rsidR="008F0C18">
        <w:rPr>
          <w:rFonts w:ascii="Book Antiqua" w:eastAsia="Book Antiqua" w:hAnsi="Book Antiqua" w:cs="Book Antiqua"/>
          <w:b/>
          <w:color w:val="000000"/>
        </w:rPr>
        <w:t xml:space="preserve"> </w:t>
      </w:r>
      <w:r>
        <w:rPr>
          <w:rFonts w:ascii="Book Antiqua" w:eastAsia="Book Antiqua" w:hAnsi="Book Antiqua" w:cs="Book Antiqua"/>
          <w:b/>
          <w:color w:val="000000"/>
        </w:rPr>
        <w:t>P-Editor:</w:t>
      </w:r>
    </w:p>
    <w:p w14:paraId="677E39D1" w14:textId="77777777" w:rsidR="008F0C18" w:rsidRDefault="008F0C18">
      <w:pPr>
        <w:spacing w:line="360" w:lineRule="auto"/>
        <w:jc w:val="both"/>
        <w:rPr>
          <w:rFonts w:ascii="Book Antiqua" w:eastAsia="Book Antiqua" w:hAnsi="Book Antiqua" w:cs="Book Antiqua"/>
          <w:b/>
          <w:color w:val="000000"/>
        </w:rPr>
      </w:pPr>
    </w:p>
    <w:p w14:paraId="74B45FB5" w14:textId="77777777" w:rsidR="00A77B3E" w:rsidRDefault="00A34B5F">
      <w:pPr>
        <w:spacing w:line="360" w:lineRule="auto"/>
        <w:jc w:val="both"/>
      </w:pPr>
      <w:r>
        <w:rPr>
          <w:rFonts w:ascii="Book Antiqua" w:eastAsia="Book Antiqua" w:hAnsi="Book Antiqua" w:cs="Book Antiqua"/>
          <w:b/>
          <w:color w:val="000000"/>
        </w:rPr>
        <w:t>Figure Legends</w:t>
      </w:r>
    </w:p>
    <w:p w14:paraId="358FB06D" w14:textId="02B1D850" w:rsidR="008F0C18" w:rsidRDefault="00A00B2A">
      <w:pPr>
        <w:spacing w:line="360" w:lineRule="auto"/>
        <w:jc w:val="both"/>
        <w:rPr>
          <w:rFonts w:ascii="Book Antiqua" w:eastAsia="Book Antiqua" w:hAnsi="Book Antiqua" w:cs="Book Antiqua"/>
          <w:b/>
          <w:bCs/>
          <w:color w:val="000000"/>
        </w:rPr>
      </w:pPr>
      <w:r>
        <w:rPr>
          <w:noProof/>
        </w:rPr>
        <w:drawing>
          <wp:inline distT="0" distB="0" distL="0" distR="0" wp14:anchorId="7BC437BF" wp14:editId="319B8D8E">
            <wp:extent cx="5082980" cy="3703641"/>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82980" cy="3703641"/>
                    </a:xfrm>
                    <a:prstGeom prst="rect">
                      <a:avLst/>
                    </a:prstGeom>
                  </pic:spPr>
                </pic:pic>
              </a:graphicData>
            </a:graphic>
          </wp:inline>
        </w:drawing>
      </w:r>
    </w:p>
    <w:p w14:paraId="46C88B0E" w14:textId="5E04B1B3" w:rsidR="00A00B2A" w:rsidRDefault="00A34B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Pedigrees of the investigated case with </w:t>
      </w:r>
      <w:r>
        <w:rPr>
          <w:rFonts w:ascii="Book Antiqua" w:eastAsia="Book Antiqua" w:hAnsi="Book Antiqua" w:cs="Book Antiqua"/>
          <w:b/>
          <w:bCs/>
          <w:i/>
          <w:iCs/>
          <w:color w:val="000000"/>
        </w:rPr>
        <w:t>MKRN3</w:t>
      </w:r>
      <w:r>
        <w:rPr>
          <w:rFonts w:ascii="Book Antiqua" w:eastAsia="Book Antiqua" w:hAnsi="Book Antiqua" w:cs="Book Antiqua"/>
          <w:b/>
          <w:bCs/>
          <w:color w:val="000000"/>
        </w:rPr>
        <w:t xml:space="preserve"> mutation. </w:t>
      </w:r>
      <w:r>
        <w:rPr>
          <w:rFonts w:ascii="Book Antiqua" w:eastAsia="Book Antiqua" w:hAnsi="Book Antiqua" w:cs="Book Antiqua"/>
          <w:color w:val="000000"/>
        </w:rPr>
        <w:t>Square indicates male family member, circles indicate female members, the black symbol indicates clinically affected family member, the symbol with black circle indicates unaffected carrier, arrow indicates the proband, the arrow indicates the profound in this family.</w:t>
      </w:r>
    </w:p>
    <w:p w14:paraId="0361E7C2" w14:textId="17895C70" w:rsidR="00A77B3E" w:rsidRDefault="00A00B2A">
      <w:pPr>
        <w:spacing w:line="360" w:lineRule="auto"/>
        <w:jc w:val="both"/>
      </w:pPr>
      <w:r>
        <w:rPr>
          <w:rFonts w:ascii="Book Antiqua" w:eastAsia="Book Antiqua" w:hAnsi="Book Antiqua" w:cs="Book Antiqua"/>
          <w:color w:val="000000"/>
        </w:rPr>
        <w:br w:type="page"/>
      </w:r>
      <w:r>
        <w:rPr>
          <w:noProof/>
        </w:rPr>
        <w:lastRenderedPageBreak/>
        <w:drawing>
          <wp:inline distT="0" distB="0" distL="0" distR="0" wp14:anchorId="0BABEBFD" wp14:editId="2E60A6E2">
            <wp:extent cx="5943600" cy="3471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471545"/>
                    </a:xfrm>
                    <a:prstGeom prst="rect">
                      <a:avLst/>
                    </a:prstGeom>
                  </pic:spPr>
                </pic:pic>
              </a:graphicData>
            </a:graphic>
          </wp:inline>
        </w:drawing>
      </w:r>
    </w:p>
    <w:p w14:paraId="168B6BEF" w14:textId="221AF222" w:rsidR="00A00B2A" w:rsidRDefault="00A34B5F">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A00B2A">
        <w:rPr>
          <w:rFonts w:ascii="Book Antiqua" w:eastAsia="Book Antiqua" w:hAnsi="Book Antiqua" w:cs="Book Antiqua"/>
          <w:b/>
          <w:bCs/>
          <w:color w:val="000000"/>
        </w:rPr>
        <w:t xml:space="preserve"> </w:t>
      </w:r>
      <w:r>
        <w:rPr>
          <w:rFonts w:ascii="Book Antiqua" w:eastAsia="Book Antiqua" w:hAnsi="Book Antiqua" w:cs="Book Antiqua"/>
          <w:b/>
          <w:bCs/>
          <w:color w:val="000000"/>
        </w:rPr>
        <w:t>Whole-exome sequencing showing the novel heterozygous mutation (c.841 C &gt;</w:t>
      </w:r>
      <w:r w:rsidR="00A00B2A">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T) in </w:t>
      </w:r>
      <w:r>
        <w:rPr>
          <w:rFonts w:ascii="Book Antiqua" w:eastAsia="Book Antiqua" w:hAnsi="Book Antiqua" w:cs="Book Antiqua"/>
          <w:b/>
          <w:bCs/>
          <w:i/>
          <w:iCs/>
          <w:color w:val="000000"/>
        </w:rPr>
        <w:t>MKRN3</w:t>
      </w:r>
      <w:r>
        <w:rPr>
          <w:rFonts w:ascii="Book Antiqua" w:eastAsia="Book Antiqua" w:hAnsi="Book Antiqua" w:cs="Book Antiqua"/>
          <w:b/>
          <w:bCs/>
          <w:color w:val="000000"/>
        </w:rPr>
        <w:t xml:space="preserve"> detected in the profound.</w:t>
      </w:r>
      <w:r>
        <w:rPr>
          <w:rFonts w:ascii="Book Antiqua" w:eastAsia="Book Antiqua" w:hAnsi="Book Antiqua" w:cs="Book Antiqua"/>
          <w:color w:val="000000"/>
        </w:rPr>
        <w:t xml:space="preserve"> The same mutation was covered in A’s twin sister, her father and grandmother, but not A’s mother.</w:t>
      </w:r>
    </w:p>
    <w:p w14:paraId="573D20EE" w14:textId="77777777" w:rsidR="00A00B2A" w:rsidRPr="00A962FB" w:rsidRDefault="00A00B2A" w:rsidP="00A00B2A">
      <w:pPr>
        <w:spacing w:line="360" w:lineRule="auto"/>
        <w:jc w:val="both"/>
        <w:rPr>
          <w:rFonts w:ascii="Book Antiqua" w:hAnsi="Book Antiqua"/>
          <w:b/>
          <w:bCs/>
        </w:rPr>
      </w:pPr>
      <w:r>
        <w:rPr>
          <w:rFonts w:ascii="Book Antiqua" w:eastAsia="Book Antiqua" w:hAnsi="Book Antiqua" w:cs="Book Antiqua"/>
          <w:color w:val="000000"/>
        </w:rPr>
        <w:br w:type="page"/>
      </w:r>
      <w:r w:rsidRPr="00A962FB">
        <w:rPr>
          <w:rFonts w:ascii="Book Antiqua" w:hAnsi="Book Antiqua"/>
          <w:b/>
          <w:bCs/>
        </w:rPr>
        <w:lastRenderedPageBreak/>
        <w:t>Table 1 Summary of the clinical data of the two patients</w:t>
      </w:r>
    </w:p>
    <w:tbl>
      <w:tblPr>
        <w:tblStyle w:val="a3"/>
        <w:tblW w:w="11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gridCol w:w="3923"/>
        <w:gridCol w:w="3924"/>
      </w:tblGrid>
      <w:tr w:rsidR="00A00B2A" w:rsidRPr="00A962FB" w14:paraId="431249B2" w14:textId="77777777" w:rsidTr="003B551B">
        <w:trPr>
          <w:trHeight w:val="340"/>
        </w:trPr>
        <w:tc>
          <w:tcPr>
            <w:tcW w:w="4104" w:type="dxa"/>
            <w:tcBorders>
              <w:top w:val="single" w:sz="4" w:space="0" w:color="auto"/>
              <w:bottom w:val="single" w:sz="4" w:space="0" w:color="auto"/>
            </w:tcBorders>
          </w:tcPr>
          <w:p w14:paraId="5F251E9B" w14:textId="77777777" w:rsidR="00A00B2A" w:rsidRPr="00A962FB" w:rsidRDefault="00A00B2A" w:rsidP="003B551B">
            <w:pPr>
              <w:spacing w:line="360" w:lineRule="auto"/>
              <w:jc w:val="both"/>
              <w:rPr>
                <w:rFonts w:ascii="Book Antiqua" w:hAnsi="Book Antiqua"/>
              </w:rPr>
            </w:pPr>
          </w:p>
        </w:tc>
        <w:tc>
          <w:tcPr>
            <w:tcW w:w="3923" w:type="dxa"/>
            <w:tcBorders>
              <w:top w:val="single" w:sz="4" w:space="0" w:color="auto"/>
              <w:bottom w:val="single" w:sz="4" w:space="0" w:color="auto"/>
            </w:tcBorders>
          </w:tcPr>
          <w:p w14:paraId="2E13F97A" w14:textId="77777777" w:rsidR="00A00B2A" w:rsidRPr="00A962FB" w:rsidRDefault="00A00B2A" w:rsidP="003B551B">
            <w:pPr>
              <w:spacing w:line="360" w:lineRule="auto"/>
              <w:jc w:val="both"/>
              <w:rPr>
                <w:rFonts w:ascii="Book Antiqua" w:hAnsi="Book Antiqua"/>
              </w:rPr>
            </w:pPr>
            <w:r w:rsidRPr="00A962FB">
              <w:rPr>
                <w:rFonts w:ascii="Book Antiqua" w:hAnsi="Book Antiqua"/>
              </w:rPr>
              <w:t>Patient A</w:t>
            </w:r>
          </w:p>
        </w:tc>
        <w:tc>
          <w:tcPr>
            <w:tcW w:w="3924" w:type="dxa"/>
            <w:tcBorders>
              <w:top w:val="single" w:sz="4" w:space="0" w:color="auto"/>
              <w:bottom w:val="single" w:sz="4" w:space="0" w:color="auto"/>
            </w:tcBorders>
          </w:tcPr>
          <w:p w14:paraId="4F5676A4" w14:textId="77777777" w:rsidR="00A00B2A" w:rsidRPr="00A962FB" w:rsidRDefault="00A00B2A" w:rsidP="003B551B">
            <w:pPr>
              <w:spacing w:line="360" w:lineRule="auto"/>
              <w:jc w:val="both"/>
              <w:rPr>
                <w:rFonts w:ascii="Book Antiqua" w:hAnsi="Book Antiqua"/>
              </w:rPr>
            </w:pPr>
            <w:r w:rsidRPr="00A962FB">
              <w:rPr>
                <w:rFonts w:ascii="Book Antiqua" w:hAnsi="Book Antiqua"/>
              </w:rPr>
              <w:t>Patient B</w:t>
            </w:r>
          </w:p>
        </w:tc>
      </w:tr>
      <w:tr w:rsidR="00A00B2A" w:rsidRPr="00A962FB" w14:paraId="510894A4" w14:textId="77777777" w:rsidTr="003B551B">
        <w:trPr>
          <w:trHeight w:val="381"/>
        </w:trPr>
        <w:tc>
          <w:tcPr>
            <w:tcW w:w="4104" w:type="dxa"/>
            <w:tcBorders>
              <w:top w:val="single" w:sz="4" w:space="0" w:color="auto"/>
            </w:tcBorders>
          </w:tcPr>
          <w:p w14:paraId="2FA1FC85" w14:textId="77777777" w:rsidR="00A00B2A" w:rsidRPr="00A962FB" w:rsidRDefault="00A00B2A" w:rsidP="003B551B">
            <w:pPr>
              <w:spacing w:line="360" w:lineRule="auto"/>
              <w:jc w:val="both"/>
              <w:rPr>
                <w:rFonts w:ascii="Book Antiqua" w:hAnsi="Book Antiqua"/>
              </w:rPr>
            </w:pPr>
            <w:r w:rsidRPr="00A962FB">
              <w:rPr>
                <w:rFonts w:ascii="Book Antiqua" w:hAnsi="Book Antiqua"/>
              </w:rPr>
              <w:t>Age at onset (</w:t>
            </w:r>
            <w:proofErr w:type="spellStart"/>
            <w:r w:rsidRPr="00A962FB">
              <w:rPr>
                <w:rFonts w:ascii="Book Antiqua" w:hAnsi="Book Antiqua"/>
              </w:rPr>
              <w:t>yr</w:t>
            </w:r>
            <w:proofErr w:type="spellEnd"/>
            <w:r w:rsidRPr="00A962FB">
              <w:rPr>
                <w:rFonts w:ascii="Book Antiqua" w:hAnsi="Book Antiqua"/>
              </w:rPr>
              <w:t>)</w:t>
            </w:r>
          </w:p>
        </w:tc>
        <w:tc>
          <w:tcPr>
            <w:tcW w:w="3923" w:type="dxa"/>
            <w:tcBorders>
              <w:top w:val="single" w:sz="4" w:space="0" w:color="auto"/>
            </w:tcBorders>
          </w:tcPr>
          <w:p w14:paraId="74613F66" w14:textId="77777777" w:rsidR="00A00B2A" w:rsidRPr="00A962FB" w:rsidRDefault="00A00B2A" w:rsidP="003B551B">
            <w:pPr>
              <w:spacing w:line="360" w:lineRule="auto"/>
              <w:jc w:val="both"/>
              <w:rPr>
                <w:rFonts w:ascii="Book Antiqua" w:hAnsi="Book Antiqua"/>
              </w:rPr>
            </w:pPr>
            <w:r w:rsidRPr="00A962FB">
              <w:rPr>
                <w:rFonts w:ascii="Book Antiqua" w:hAnsi="Book Antiqua"/>
              </w:rPr>
              <w:t>6.25</w:t>
            </w:r>
          </w:p>
        </w:tc>
        <w:tc>
          <w:tcPr>
            <w:tcW w:w="3924" w:type="dxa"/>
            <w:tcBorders>
              <w:top w:val="single" w:sz="4" w:space="0" w:color="auto"/>
            </w:tcBorders>
          </w:tcPr>
          <w:p w14:paraId="51CA1807" w14:textId="77777777" w:rsidR="00A00B2A" w:rsidRPr="00A962FB" w:rsidRDefault="00A00B2A" w:rsidP="003B551B">
            <w:pPr>
              <w:spacing w:line="360" w:lineRule="auto"/>
              <w:jc w:val="both"/>
              <w:rPr>
                <w:rFonts w:ascii="Book Antiqua" w:hAnsi="Book Antiqua"/>
              </w:rPr>
            </w:pPr>
            <w:r w:rsidRPr="00A962FB">
              <w:rPr>
                <w:rFonts w:ascii="Book Antiqua" w:hAnsi="Book Antiqua"/>
              </w:rPr>
              <w:t>6.33</w:t>
            </w:r>
          </w:p>
        </w:tc>
      </w:tr>
      <w:tr w:rsidR="00A00B2A" w:rsidRPr="00A962FB" w14:paraId="0FA9ACBD" w14:textId="77777777" w:rsidTr="003B551B">
        <w:trPr>
          <w:trHeight w:val="381"/>
        </w:trPr>
        <w:tc>
          <w:tcPr>
            <w:tcW w:w="4104" w:type="dxa"/>
          </w:tcPr>
          <w:p w14:paraId="513B3816" w14:textId="77777777" w:rsidR="00A00B2A" w:rsidRPr="00A962FB" w:rsidRDefault="00A00B2A" w:rsidP="003B551B">
            <w:pPr>
              <w:spacing w:line="360" w:lineRule="auto"/>
              <w:jc w:val="both"/>
              <w:rPr>
                <w:rFonts w:ascii="Book Antiqua" w:hAnsi="Book Antiqua"/>
              </w:rPr>
            </w:pPr>
            <w:r w:rsidRPr="00A962FB">
              <w:rPr>
                <w:rFonts w:ascii="Book Antiqua" w:hAnsi="Book Antiqua"/>
              </w:rPr>
              <w:t>Age at referral (</w:t>
            </w:r>
            <w:proofErr w:type="spellStart"/>
            <w:r w:rsidRPr="00A962FB">
              <w:rPr>
                <w:rFonts w:ascii="Book Antiqua" w:hAnsi="Book Antiqua"/>
              </w:rPr>
              <w:t>yr</w:t>
            </w:r>
            <w:proofErr w:type="spellEnd"/>
            <w:r w:rsidRPr="00A962FB">
              <w:rPr>
                <w:rFonts w:ascii="Book Antiqua" w:hAnsi="Book Antiqua"/>
              </w:rPr>
              <w:t>)</w:t>
            </w:r>
          </w:p>
        </w:tc>
        <w:tc>
          <w:tcPr>
            <w:tcW w:w="3923" w:type="dxa"/>
          </w:tcPr>
          <w:p w14:paraId="67E37C08" w14:textId="77777777" w:rsidR="00A00B2A" w:rsidRPr="00A962FB" w:rsidRDefault="00A00B2A" w:rsidP="003B551B">
            <w:pPr>
              <w:spacing w:line="360" w:lineRule="auto"/>
              <w:jc w:val="both"/>
              <w:rPr>
                <w:rFonts w:ascii="Book Antiqua" w:hAnsi="Book Antiqua"/>
              </w:rPr>
            </w:pPr>
            <w:r w:rsidRPr="00A962FB">
              <w:rPr>
                <w:rFonts w:ascii="Book Antiqua" w:hAnsi="Book Antiqua"/>
              </w:rPr>
              <w:t>6.66</w:t>
            </w:r>
          </w:p>
        </w:tc>
        <w:tc>
          <w:tcPr>
            <w:tcW w:w="3924" w:type="dxa"/>
          </w:tcPr>
          <w:p w14:paraId="1D1A2928" w14:textId="77777777" w:rsidR="00A00B2A" w:rsidRPr="00A962FB" w:rsidRDefault="00A00B2A" w:rsidP="003B551B">
            <w:pPr>
              <w:spacing w:line="360" w:lineRule="auto"/>
              <w:jc w:val="both"/>
              <w:rPr>
                <w:rFonts w:ascii="Book Antiqua" w:hAnsi="Book Antiqua"/>
              </w:rPr>
            </w:pPr>
            <w:r w:rsidRPr="00A962FB">
              <w:rPr>
                <w:rFonts w:ascii="Book Antiqua" w:hAnsi="Book Antiqua"/>
              </w:rPr>
              <w:t>6.5</w:t>
            </w:r>
          </w:p>
        </w:tc>
      </w:tr>
      <w:tr w:rsidR="00A00B2A" w:rsidRPr="00A962FB" w14:paraId="39013E49" w14:textId="77777777" w:rsidTr="003B551B">
        <w:trPr>
          <w:trHeight w:val="381"/>
        </w:trPr>
        <w:tc>
          <w:tcPr>
            <w:tcW w:w="4104" w:type="dxa"/>
          </w:tcPr>
          <w:p w14:paraId="7B5493E4" w14:textId="77777777" w:rsidR="00A00B2A" w:rsidRPr="00A962FB" w:rsidRDefault="00A00B2A" w:rsidP="003B551B">
            <w:pPr>
              <w:spacing w:line="360" w:lineRule="auto"/>
              <w:jc w:val="both"/>
              <w:rPr>
                <w:rFonts w:ascii="Book Antiqua" w:hAnsi="Book Antiqua"/>
              </w:rPr>
            </w:pPr>
            <w:r w:rsidRPr="00A962FB">
              <w:rPr>
                <w:rFonts w:ascii="Book Antiqua" w:hAnsi="Book Antiqua"/>
              </w:rPr>
              <w:t>Weight (kg)</w:t>
            </w:r>
          </w:p>
        </w:tc>
        <w:tc>
          <w:tcPr>
            <w:tcW w:w="3923" w:type="dxa"/>
          </w:tcPr>
          <w:p w14:paraId="76BA8BBC" w14:textId="77777777" w:rsidR="00A00B2A" w:rsidRPr="00A962FB" w:rsidRDefault="00A00B2A" w:rsidP="003B551B">
            <w:pPr>
              <w:spacing w:line="360" w:lineRule="auto"/>
              <w:jc w:val="both"/>
              <w:rPr>
                <w:rFonts w:ascii="Book Antiqua" w:hAnsi="Book Antiqua"/>
              </w:rPr>
            </w:pPr>
            <w:r w:rsidRPr="00A962FB">
              <w:rPr>
                <w:rFonts w:ascii="Book Antiqua" w:hAnsi="Book Antiqua"/>
              </w:rPr>
              <w:t>23</w:t>
            </w:r>
          </w:p>
        </w:tc>
        <w:tc>
          <w:tcPr>
            <w:tcW w:w="3924" w:type="dxa"/>
          </w:tcPr>
          <w:p w14:paraId="6D8F9984" w14:textId="77777777" w:rsidR="00A00B2A" w:rsidRPr="00A962FB" w:rsidRDefault="00A00B2A" w:rsidP="003B551B">
            <w:pPr>
              <w:spacing w:line="360" w:lineRule="auto"/>
              <w:jc w:val="both"/>
              <w:rPr>
                <w:rFonts w:ascii="Book Antiqua" w:hAnsi="Book Antiqua"/>
              </w:rPr>
            </w:pPr>
            <w:r w:rsidRPr="00A962FB">
              <w:rPr>
                <w:rFonts w:ascii="Book Antiqua" w:hAnsi="Book Antiqua"/>
              </w:rPr>
              <w:t>26.7</w:t>
            </w:r>
          </w:p>
        </w:tc>
      </w:tr>
      <w:tr w:rsidR="00A00B2A" w:rsidRPr="00A962FB" w14:paraId="0863E847" w14:textId="77777777" w:rsidTr="003B551B">
        <w:trPr>
          <w:trHeight w:val="381"/>
        </w:trPr>
        <w:tc>
          <w:tcPr>
            <w:tcW w:w="4104" w:type="dxa"/>
          </w:tcPr>
          <w:p w14:paraId="7FBF4E8F" w14:textId="77777777" w:rsidR="00A00B2A" w:rsidRPr="00A962FB" w:rsidRDefault="00A00B2A" w:rsidP="003B551B">
            <w:pPr>
              <w:spacing w:line="360" w:lineRule="auto"/>
              <w:jc w:val="both"/>
              <w:rPr>
                <w:rFonts w:ascii="Book Antiqua" w:hAnsi="Book Antiqua"/>
              </w:rPr>
            </w:pPr>
            <w:r w:rsidRPr="00A962FB">
              <w:rPr>
                <w:rFonts w:ascii="Book Antiqua" w:hAnsi="Book Antiqua"/>
              </w:rPr>
              <w:t>Height (cm)</w:t>
            </w:r>
          </w:p>
        </w:tc>
        <w:tc>
          <w:tcPr>
            <w:tcW w:w="3923" w:type="dxa"/>
          </w:tcPr>
          <w:p w14:paraId="6935AE32" w14:textId="77777777" w:rsidR="00A00B2A" w:rsidRPr="00A962FB" w:rsidRDefault="00A00B2A" w:rsidP="003B551B">
            <w:pPr>
              <w:spacing w:line="360" w:lineRule="auto"/>
              <w:jc w:val="both"/>
              <w:rPr>
                <w:rFonts w:ascii="Book Antiqua" w:hAnsi="Book Antiqua"/>
              </w:rPr>
            </w:pPr>
            <w:r w:rsidRPr="00A962FB">
              <w:rPr>
                <w:rFonts w:ascii="Book Antiqua" w:hAnsi="Book Antiqua"/>
              </w:rPr>
              <w:t>119.6</w:t>
            </w:r>
          </w:p>
        </w:tc>
        <w:tc>
          <w:tcPr>
            <w:tcW w:w="3924" w:type="dxa"/>
          </w:tcPr>
          <w:p w14:paraId="4B68A3E2" w14:textId="77777777" w:rsidR="00A00B2A" w:rsidRPr="00A962FB" w:rsidRDefault="00A00B2A" w:rsidP="003B551B">
            <w:pPr>
              <w:spacing w:line="360" w:lineRule="auto"/>
              <w:jc w:val="both"/>
              <w:rPr>
                <w:rFonts w:ascii="Book Antiqua" w:hAnsi="Book Antiqua"/>
              </w:rPr>
            </w:pPr>
            <w:r w:rsidRPr="00A962FB">
              <w:rPr>
                <w:rFonts w:ascii="Book Antiqua" w:hAnsi="Book Antiqua"/>
              </w:rPr>
              <w:t>122.6</w:t>
            </w:r>
          </w:p>
        </w:tc>
      </w:tr>
      <w:tr w:rsidR="00A00B2A" w:rsidRPr="00A962FB" w14:paraId="4FC2789C" w14:textId="77777777" w:rsidTr="003B551B">
        <w:trPr>
          <w:trHeight w:val="381"/>
        </w:trPr>
        <w:tc>
          <w:tcPr>
            <w:tcW w:w="4104" w:type="dxa"/>
          </w:tcPr>
          <w:p w14:paraId="7BD290BB" w14:textId="77777777" w:rsidR="00A00B2A" w:rsidRPr="00A962FB" w:rsidRDefault="00A00B2A" w:rsidP="003B551B">
            <w:pPr>
              <w:spacing w:line="360" w:lineRule="auto"/>
              <w:jc w:val="both"/>
              <w:rPr>
                <w:rFonts w:ascii="Book Antiqua" w:hAnsi="Book Antiqua"/>
              </w:rPr>
            </w:pPr>
            <w:r w:rsidRPr="00A962FB">
              <w:rPr>
                <w:rFonts w:ascii="Book Antiqua" w:hAnsi="Book Antiqua"/>
              </w:rPr>
              <w:t>Bone age (</w:t>
            </w:r>
            <w:proofErr w:type="spellStart"/>
            <w:r w:rsidRPr="00A962FB">
              <w:rPr>
                <w:rFonts w:ascii="Book Antiqua" w:hAnsi="Book Antiqua"/>
              </w:rPr>
              <w:t>yr</w:t>
            </w:r>
            <w:proofErr w:type="spellEnd"/>
            <w:r w:rsidRPr="00A962FB">
              <w:rPr>
                <w:rFonts w:ascii="Book Antiqua" w:hAnsi="Book Antiqua"/>
              </w:rPr>
              <w:t>)</w:t>
            </w:r>
          </w:p>
        </w:tc>
        <w:tc>
          <w:tcPr>
            <w:tcW w:w="3923" w:type="dxa"/>
          </w:tcPr>
          <w:p w14:paraId="580744D4" w14:textId="77777777" w:rsidR="00A00B2A" w:rsidRPr="00A962FB" w:rsidRDefault="00A00B2A" w:rsidP="003B551B">
            <w:pPr>
              <w:spacing w:line="360" w:lineRule="auto"/>
              <w:jc w:val="both"/>
              <w:rPr>
                <w:rFonts w:ascii="Book Antiqua" w:hAnsi="Book Antiqua"/>
              </w:rPr>
            </w:pPr>
            <w:r w:rsidRPr="00A962FB">
              <w:rPr>
                <w:rFonts w:ascii="Book Antiqua" w:hAnsi="Book Antiqua"/>
              </w:rPr>
              <w:t>7.5</w:t>
            </w:r>
          </w:p>
        </w:tc>
        <w:tc>
          <w:tcPr>
            <w:tcW w:w="3924" w:type="dxa"/>
          </w:tcPr>
          <w:p w14:paraId="29E84C43" w14:textId="77777777" w:rsidR="00A00B2A" w:rsidRPr="00A962FB" w:rsidRDefault="00A00B2A" w:rsidP="003B551B">
            <w:pPr>
              <w:spacing w:line="360" w:lineRule="auto"/>
              <w:jc w:val="both"/>
              <w:rPr>
                <w:rFonts w:ascii="Book Antiqua" w:hAnsi="Book Antiqua"/>
              </w:rPr>
            </w:pPr>
            <w:r w:rsidRPr="00A962FB">
              <w:rPr>
                <w:rFonts w:ascii="Book Antiqua" w:hAnsi="Book Antiqua"/>
              </w:rPr>
              <w:t>7.5</w:t>
            </w:r>
          </w:p>
        </w:tc>
      </w:tr>
      <w:tr w:rsidR="00A00B2A" w:rsidRPr="00A962FB" w14:paraId="4EFC7DFC" w14:textId="77777777" w:rsidTr="003B551B">
        <w:trPr>
          <w:trHeight w:val="381"/>
        </w:trPr>
        <w:tc>
          <w:tcPr>
            <w:tcW w:w="4104" w:type="dxa"/>
          </w:tcPr>
          <w:p w14:paraId="7299E371" w14:textId="77777777" w:rsidR="00A00B2A" w:rsidRPr="00A962FB" w:rsidRDefault="00A00B2A" w:rsidP="003B551B">
            <w:pPr>
              <w:spacing w:line="360" w:lineRule="auto"/>
              <w:jc w:val="both"/>
              <w:rPr>
                <w:rFonts w:ascii="Book Antiqua" w:hAnsi="Book Antiqua"/>
              </w:rPr>
            </w:pPr>
            <w:r w:rsidRPr="00A962FB">
              <w:rPr>
                <w:rFonts w:ascii="Book Antiqua" w:hAnsi="Book Antiqua"/>
              </w:rPr>
              <w:t>Tanner stage</w:t>
            </w:r>
          </w:p>
        </w:tc>
        <w:tc>
          <w:tcPr>
            <w:tcW w:w="3923" w:type="dxa"/>
          </w:tcPr>
          <w:p w14:paraId="14B76009" w14:textId="77777777" w:rsidR="00A00B2A" w:rsidRPr="00A962FB" w:rsidRDefault="00A00B2A" w:rsidP="003B551B">
            <w:pPr>
              <w:spacing w:line="360" w:lineRule="auto"/>
              <w:jc w:val="both"/>
              <w:rPr>
                <w:rFonts w:ascii="Book Antiqua" w:hAnsi="Book Antiqua"/>
              </w:rPr>
            </w:pPr>
            <w:r w:rsidRPr="00A962FB">
              <w:rPr>
                <w:rFonts w:ascii="Book Antiqua" w:hAnsi="Book Antiqua"/>
              </w:rPr>
              <w:t>B2</w:t>
            </w:r>
          </w:p>
        </w:tc>
        <w:tc>
          <w:tcPr>
            <w:tcW w:w="3924" w:type="dxa"/>
          </w:tcPr>
          <w:p w14:paraId="59EC0805" w14:textId="77777777" w:rsidR="00A00B2A" w:rsidRPr="00A962FB" w:rsidRDefault="00A00B2A" w:rsidP="003B551B">
            <w:pPr>
              <w:spacing w:line="360" w:lineRule="auto"/>
              <w:jc w:val="both"/>
              <w:rPr>
                <w:rFonts w:ascii="Book Antiqua" w:hAnsi="Book Antiqua"/>
              </w:rPr>
            </w:pPr>
            <w:r w:rsidRPr="00A962FB">
              <w:rPr>
                <w:rFonts w:ascii="Book Antiqua" w:hAnsi="Book Antiqua"/>
              </w:rPr>
              <w:t>B2</w:t>
            </w:r>
          </w:p>
        </w:tc>
      </w:tr>
      <w:tr w:rsidR="00A00B2A" w:rsidRPr="00A962FB" w14:paraId="38DB87C6" w14:textId="77777777" w:rsidTr="003B551B">
        <w:trPr>
          <w:trHeight w:val="381"/>
        </w:trPr>
        <w:tc>
          <w:tcPr>
            <w:tcW w:w="4104" w:type="dxa"/>
          </w:tcPr>
          <w:p w14:paraId="477A020A" w14:textId="77777777" w:rsidR="00A00B2A" w:rsidRPr="00A962FB" w:rsidRDefault="00A00B2A" w:rsidP="003B551B">
            <w:pPr>
              <w:spacing w:line="360" w:lineRule="auto"/>
              <w:jc w:val="both"/>
              <w:rPr>
                <w:rFonts w:ascii="Book Antiqua" w:hAnsi="Book Antiqua"/>
              </w:rPr>
            </w:pPr>
            <w:r w:rsidRPr="00A962FB">
              <w:rPr>
                <w:rFonts w:ascii="Book Antiqua" w:hAnsi="Book Antiqua"/>
              </w:rPr>
              <w:t>Pubarche stage</w:t>
            </w:r>
          </w:p>
        </w:tc>
        <w:tc>
          <w:tcPr>
            <w:tcW w:w="3923" w:type="dxa"/>
          </w:tcPr>
          <w:p w14:paraId="2EAD1D24" w14:textId="77777777" w:rsidR="00A00B2A" w:rsidRPr="00A962FB" w:rsidRDefault="00A00B2A" w:rsidP="003B551B">
            <w:pPr>
              <w:spacing w:line="360" w:lineRule="auto"/>
              <w:jc w:val="both"/>
              <w:rPr>
                <w:rFonts w:ascii="Book Antiqua" w:hAnsi="Book Antiqua"/>
              </w:rPr>
            </w:pPr>
            <w:r w:rsidRPr="00A962FB">
              <w:rPr>
                <w:rFonts w:ascii="Book Antiqua" w:hAnsi="Book Antiqua"/>
              </w:rPr>
              <w:t>PH1</w:t>
            </w:r>
          </w:p>
        </w:tc>
        <w:tc>
          <w:tcPr>
            <w:tcW w:w="3924" w:type="dxa"/>
          </w:tcPr>
          <w:p w14:paraId="4243A9F2" w14:textId="77777777" w:rsidR="00A00B2A" w:rsidRPr="00A962FB" w:rsidRDefault="00A00B2A" w:rsidP="003B551B">
            <w:pPr>
              <w:spacing w:line="360" w:lineRule="auto"/>
              <w:jc w:val="both"/>
              <w:rPr>
                <w:rFonts w:ascii="Book Antiqua" w:hAnsi="Book Antiqua"/>
              </w:rPr>
            </w:pPr>
            <w:r w:rsidRPr="00A962FB">
              <w:rPr>
                <w:rFonts w:ascii="Book Antiqua" w:hAnsi="Book Antiqua"/>
              </w:rPr>
              <w:t>PH1</w:t>
            </w:r>
          </w:p>
        </w:tc>
      </w:tr>
      <w:tr w:rsidR="00A00B2A" w:rsidRPr="00A962FB" w14:paraId="69DE12FC" w14:textId="77777777" w:rsidTr="003B551B">
        <w:trPr>
          <w:trHeight w:val="381"/>
        </w:trPr>
        <w:tc>
          <w:tcPr>
            <w:tcW w:w="4104" w:type="dxa"/>
          </w:tcPr>
          <w:p w14:paraId="58F48F1E" w14:textId="77777777" w:rsidR="00A00B2A" w:rsidRPr="00A962FB" w:rsidRDefault="00A00B2A" w:rsidP="003B551B">
            <w:pPr>
              <w:spacing w:line="360" w:lineRule="auto"/>
              <w:jc w:val="both"/>
              <w:rPr>
                <w:rFonts w:ascii="Book Antiqua" w:hAnsi="Book Antiqua"/>
              </w:rPr>
            </w:pPr>
            <w:r w:rsidRPr="00A962FB">
              <w:rPr>
                <w:rFonts w:ascii="Book Antiqua" w:hAnsi="Book Antiqua"/>
              </w:rPr>
              <w:t>Basal LH (</w:t>
            </w:r>
            <w:proofErr w:type="spellStart"/>
            <w:r w:rsidRPr="00A962FB">
              <w:rPr>
                <w:rFonts w:ascii="Book Antiqua" w:hAnsi="Book Antiqua"/>
              </w:rPr>
              <w:t>mIU</w:t>
            </w:r>
            <w:proofErr w:type="spellEnd"/>
            <w:r w:rsidRPr="00A962FB">
              <w:rPr>
                <w:rFonts w:ascii="Book Antiqua" w:hAnsi="Book Antiqua"/>
              </w:rPr>
              <w:t>/mL)</w:t>
            </w:r>
          </w:p>
        </w:tc>
        <w:tc>
          <w:tcPr>
            <w:tcW w:w="3923" w:type="dxa"/>
          </w:tcPr>
          <w:p w14:paraId="39236A16" w14:textId="77777777" w:rsidR="00A00B2A" w:rsidRPr="00A962FB" w:rsidRDefault="00A00B2A" w:rsidP="003B551B">
            <w:pPr>
              <w:spacing w:line="360" w:lineRule="auto"/>
              <w:jc w:val="both"/>
              <w:rPr>
                <w:rFonts w:ascii="Book Antiqua" w:hAnsi="Book Antiqua"/>
              </w:rPr>
            </w:pPr>
            <w:r w:rsidRPr="00A962FB">
              <w:rPr>
                <w:rFonts w:ascii="Book Antiqua" w:hAnsi="Book Antiqua"/>
              </w:rPr>
              <w:t>0.13</w:t>
            </w:r>
          </w:p>
        </w:tc>
        <w:tc>
          <w:tcPr>
            <w:tcW w:w="3924" w:type="dxa"/>
          </w:tcPr>
          <w:p w14:paraId="1EA98EF5" w14:textId="77777777" w:rsidR="00A00B2A" w:rsidRPr="00A962FB" w:rsidRDefault="00A00B2A" w:rsidP="003B551B">
            <w:pPr>
              <w:spacing w:line="360" w:lineRule="auto"/>
              <w:jc w:val="both"/>
              <w:rPr>
                <w:rFonts w:ascii="Book Antiqua" w:hAnsi="Book Antiqua"/>
              </w:rPr>
            </w:pPr>
            <w:r w:rsidRPr="00A962FB">
              <w:rPr>
                <w:rFonts w:ascii="Book Antiqua" w:hAnsi="Book Antiqua"/>
              </w:rPr>
              <w:t>N/A</w:t>
            </w:r>
          </w:p>
        </w:tc>
      </w:tr>
      <w:tr w:rsidR="00A00B2A" w:rsidRPr="00A962FB" w14:paraId="1AD3FC43" w14:textId="77777777" w:rsidTr="003B551B">
        <w:trPr>
          <w:trHeight w:val="381"/>
        </w:trPr>
        <w:tc>
          <w:tcPr>
            <w:tcW w:w="4104" w:type="dxa"/>
          </w:tcPr>
          <w:p w14:paraId="078B406A" w14:textId="77777777" w:rsidR="00A00B2A" w:rsidRPr="00A962FB" w:rsidRDefault="00A00B2A" w:rsidP="003B551B">
            <w:pPr>
              <w:spacing w:line="360" w:lineRule="auto"/>
              <w:jc w:val="both"/>
              <w:rPr>
                <w:rFonts w:ascii="Book Antiqua" w:hAnsi="Book Antiqua"/>
              </w:rPr>
            </w:pPr>
            <w:r w:rsidRPr="00A962FB">
              <w:rPr>
                <w:rFonts w:ascii="Book Antiqua" w:hAnsi="Book Antiqua"/>
              </w:rPr>
              <w:t>Peak LH (</w:t>
            </w:r>
            <w:proofErr w:type="spellStart"/>
            <w:r w:rsidRPr="00A962FB">
              <w:rPr>
                <w:rFonts w:ascii="Book Antiqua" w:hAnsi="Book Antiqua"/>
              </w:rPr>
              <w:t>mIU</w:t>
            </w:r>
            <w:proofErr w:type="spellEnd"/>
            <w:r w:rsidRPr="00A962FB">
              <w:rPr>
                <w:rFonts w:ascii="Book Antiqua" w:hAnsi="Book Antiqua"/>
              </w:rPr>
              <w:t>/mL)</w:t>
            </w:r>
          </w:p>
        </w:tc>
        <w:tc>
          <w:tcPr>
            <w:tcW w:w="3923" w:type="dxa"/>
          </w:tcPr>
          <w:p w14:paraId="0432E772" w14:textId="77777777" w:rsidR="00A00B2A" w:rsidRPr="00A962FB" w:rsidRDefault="00A00B2A" w:rsidP="003B551B">
            <w:pPr>
              <w:spacing w:line="360" w:lineRule="auto"/>
              <w:jc w:val="both"/>
              <w:rPr>
                <w:rFonts w:ascii="Book Antiqua" w:hAnsi="Book Antiqua"/>
              </w:rPr>
            </w:pPr>
            <w:r w:rsidRPr="00A962FB">
              <w:rPr>
                <w:rFonts w:ascii="Book Antiqua" w:hAnsi="Book Antiqua"/>
              </w:rPr>
              <w:t>4.71</w:t>
            </w:r>
          </w:p>
        </w:tc>
        <w:tc>
          <w:tcPr>
            <w:tcW w:w="3924" w:type="dxa"/>
          </w:tcPr>
          <w:p w14:paraId="2FE5B816" w14:textId="77777777" w:rsidR="00A00B2A" w:rsidRPr="00A962FB" w:rsidRDefault="00A00B2A" w:rsidP="003B551B">
            <w:pPr>
              <w:spacing w:line="360" w:lineRule="auto"/>
              <w:jc w:val="both"/>
              <w:rPr>
                <w:rFonts w:ascii="Book Antiqua" w:hAnsi="Book Antiqua"/>
              </w:rPr>
            </w:pPr>
            <w:r w:rsidRPr="00A962FB">
              <w:rPr>
                <w:rFonts w:ascii="Book Antiqua" w:hAnsi="Book Antiqua"/>
              </w:rPr>
              <w:t>15.81</w:t>
            </w:r>
          </w:p>
        </w:tc>
      </w:tr>
      <w:tr w:rsidR="00A00B2A" w:rsidRPr="00A962FB" w14:paraId="647591D7" w14:textId="77777777" w:rsidTr="003B551B">
        <w:trPr>
          <w:trHeight w:val="381"/>
        </w:trPr>
        <w:tc>
          <w:tcPr>
            <w:tcW w:w="4104" w:type="dxa"/>
          </w:tcPr>
          <w:p w14:paraId="518148C4" w14:textId="77777777" w:rsidR="00A00B2A" w:rsidRPr="00A962FB" w:rsidRDefault="00A00B2A" w:rsidP="003B551B">
            <w:pPr>
              <w:spacing w:line="360" w:lineRule="auto"/>
              <w:jc w:val="both"/>
              <w:rPr>
                <w:rFonts w:ascii="Book Antiqua" w:hAnsi="Book Antiqua"/>
              </w:rPr>
            </w:pPr>
            <w:r w:rsidRPr="00A962FB">
              <w:rPr>
                <w:rFonts w:ascii="Book Antiqua" w:hAnsi="Book Antiqua"/>
              </w:rPr>
              <w:t>Basal FSH (</w:t>
            </w:r>
            <w:proofErr w:type="spellStart"/>
            <w:r w:rsidRPr="00A962FB">
              <w:rPr>
                <w:rFonts w:ascii="Book Antiqua" w:hAnsi="Book Antiqua"/>
              </w:rPr>
              <w:t>mIU</w:t>
            </w:r>
            <w:proofErr w:type="spellEnd"/>
            <w:r w:rsidRPr="00A962FB">
              <w:rPr>
                <w:rFonts w:ascii="Book Antiqua" w:hAnsi="Book Antiqua"/>
              </w:rPr>
              <w:t>/mL)</w:t>
            </w:r>
          </w:p>
        </w:tc>
        <w:tc>
          <w:tcPr>
            <w:tcW w:w="3923" w:type="dxa"/>
          </w:tcPr>
          <w:p w14:paraId="67D16A68" w14:textId="77777777" w:rsidR="00A00B2A" w:rsidRPr="00A962FB" w:rsidRDefault="00A00B2A" w:rsidP="003B551B">
            <w:pPr>
              <w:spacing w:line="360" w:lineRule="auto"/>
              <w:jc w:val="both"/>
              <w:rPr>
                <w:rFonts w:ascii="Book Antiqua" w:hAnsi="Book Antiqua"/>
              </w:rPr>
            </w:pPr>
            <w:r w:rsidRPr="00A962FB">
              <w:rPr>
                <w:rFonts w:ascii="Book Antiqua" w:hAnsi="Book Antiqua"/>
              </w:rPr>
              <w:t>2.71</w:t>
            </w:r>
          </w:p>
        </w:tc>
        <w:tc>
          <w:tcPr>
            <w:tcW w:w="3924" w:type="dxa"/>
          </w:tcPr>
          <w:p w14:paraId="67EC0480" w14:textId="77777777" w:rsidR="00A00B2A" w:rsidRPr="00A962FB" w:rsidRDefault="00A00B2A" w:rsidP="003B551B">
            <w:pPr>
              <w:spacing w:line="360" w:lineRule="auto"/>
              <w:jc w:val="both"/>
              <w:rPr>
                <w:rFonts w:ascii="Book Antiqua" w:hAnsi="Book Antiqua"/>
              </w:rPr>
            </w:pPr>
            <w:r w:rsidRPr="00A962FB">
              <w:rPr>
                <w:rFonts w:ascii="Book Antiqua" w:hAnsi="Book Antiqua"/>
              </w:rPr>
              <w:t>N/A</w:t>
            </w:r>
          </w:p>
        </w:tc>
      </w:tr>
      <w:tr w:rsidR="00A00B2A" w:rsidRPr="00A962FB" w14:paraId="35F745A1" w14:textId="77777777" w:rsidTr="003B551B">
        <w:trPr>
          <w:trHeight w:val="381"/>
        </w:trPr>
        <w:tc>
          <w:tcPr>
            <w:tcW w:w="4104" w:type="dxa"/>
          </w:tcPr>
          <w:p w14:paraId="0D68E22A" w14:textId="77777777" w:rsidR="00A00B2A" w:rsidRPr="00A962FB" w:rsidRDefault="00A00B2A" w:rsidP="003B551B">
            <w:pPr>
              <w:spacing w:line="360" w:lineRule="auto"/>
              <w:jc w:val="both"/>
              <w:rPr>
                <w:rFonts w:ascii="Book Antiqua" w:hAnsi="Book Antiqua"/>
              </w:rPr>
            </w:pPr>
            <w:r w:rsidRPr="00A962FB">
              <w:rPr>
                <w:rFonts w:ascii="Book Antiqua" w:hAnsi="Book Antiqua"/>
              </w:rPr>
              <w:t>Peak FSH (</w:t>
            </w:r>
            <w:proofErr w:type="spellStart"/>
            <w:r w:rsidRPr="00A962FB">
              <w:rPr>
                <w:rFonts w:ascii="Book Antiqua" w:hAnsi="Book Antiqua"/>
              </w:rPr>
              <w:t>mIU</w:t>
            </w:r>
            <w:proofErr w:type="spellEnd"/>
            <w:r w:rsidRPr="00A962FB">
              <w:rPr>
                <w:rFonts w:ascii="Book Antiqua" w:hAnsi="Book Antiqua"/>
              </w:rPr>
              <w:t>/mL)</w:t>
            </w:r>
          </w:p>
        </w:tc>
        <w:tc>
          <w:tcPr>
            <w:tcW w:w="3923" w:type="dxa"/>
          </w:tcPr>
          <w:p w14:paraId="0BB91ECE" w14:textId="77777777" w:rsidR="00A00B2A" w:rsidRPr="00A962FB" w:rsidRDefault="00A00B2A" w:rsidP="003B551B">
            <w:pPr>
              <w:spacing w:line="360" w:lineRule="auto"/>
              <w:jc w:val="both"/>
              <w:rPr>
                <w:rFonts w:ascii="Book Antiqua" w:hAnsi="Book Antiqua"/>
              </w:rPr>
            </w:pPr>
            <w:r w:rsidRPr="00A962FB">
              <w:rPr>
                <w:rFonts w:ascii="Book Antiqua" w:hAnsi="Book Antiqua"/>
              </w:rPr>
              <w:t>16.48</w:t>
            </w:r>
          </w:p>
        </w:tc>
        <w:tc>
          <w:tcPr>
            <w:tcW w:w="3924" w:type="dxa"/>
          </w:tcPr>
          <w:p w14:paraId="57DF8B7E" w14:textId="77777777" w:rsidR="00A00B2A" w:rsidRPr="00A962FB" w:rsidRDefault="00A00B2A" w:rsidP="003B551B">
            <w:pPr>
              <w:spacing w:line="360" w:lineRule="auto"/>
              <w:jc w:val="both"/>
              <w:rPr>
                <w:rFonts w:ascii="Book Antiqua" w:hAnsi="Book Antiqua"/>
              </w:rPr>
            </w:pPr>
            <w:r w:rsidRPr="00A962FB">
              <w:rPr>
                <w:rFonts w:ascii="Book Antiqua" w:hAnsi="Book Antiqua"/>
              </w:rPr>
              <w:t>N/A</w:t>
            </w:r>
          </w:p>
        </w:tc>
      </w:tr>
      <w:tr w:rsidR="00A00B2A" w:rsidRPr="00A962FB" w14:paraId="503BFF1E" w14:textId="77777777" w:rsidTr="003B551B">
        <w:trPr>
          <w:trHeight w:val="381"/>
        </w:trPr>
        <w:tc>
          <w:tcPr>
            <w:tcW w:w="4104" w:type="dxa"/>
          </w:tcPr>
          <w:p w14:paraId="6A36F7B2" w14:textId="77777777" w:rsidR="00A00B2A" w:rsidRPr="00A962FB" w:rsidRDefault="00A00B2A" w:rsidP="003B551B">
            <w:pPr>
              <w:spacing w:line="360" w:lineRule="auto"/>
              <w:jc w:val="both"/>
              <w:rPr>
                <w:rFonts w:ascii="Book Antiqua" w:hAnsi="Book Antiqua"/>
              </w:rPr>
            </w:pPr>
            <w:r w:rsidRPr="00A962FB">
              <w:rPr>
                <w:rFonts w:ascii="Book Antiqua" w:hAnsi="Book Antiqua"/>
              </w:rPr>
              <w:t>Estradiol(</w:t>
            </w:r>
            <w:proofErr w:type="spellStart"/>
            <w:r w:rsidRPr="00A962FB">
              <w:rPr>
                <w:rFonts w:ascii="Book Antiqua" w:hAnsi="Book Antiqua"/>
              </w:rPr>
              <w:t>pg</w:t>
            </w:r>
            <w:proofErr w:type="spellEnd"/>
            <w:r w:rsidRPr="00A962FB">
              <w:rPr>
                <w:rFonts w:ascii="Book Antiqua" w:hAnsi="Book Antiqua"/>
              </w:rPr>
              <w:t>/ml)</w:t>
            </w:r>
          </w:p>
        </w:tc>
        <w:tc>
          <w:tcPr>
            <w:tcW w:w="3923" w:type="dxa"/>
          </w:tcPr>
          <w:p w14:paraId="59C94912" w14:textId="77777777" w:rsidR="00A00B2A" w:rsidRPr="00A962FB" w:rsidRDefault="00A00B2A" w:rsidP="003B551B">
            <w:pPr>
              <w:spacing w:line="360" w:lineRule="auto"/>
              <w:jc w:val="both"/>
              <w:rPr>
                <w:rFonts w:ascii="Book Antiqua" w:hAnsi="Book Antiqua"/>
              </w:rPr>
            </w:pPr>
            <w:r w:rsidRPr="00A962FB">
              <w:rPr>
                <w:rFonts w:ascii="Book Antiqua" w:hAnsi="Book Antiqua"/>
              </w:rPr>
              <w:t>25.26</w:t>
            </w:r>
          </w:p>
        </w:tc>
        <w:tc>
          <w:tcPr>
            <w:tcW w:w="3924" w:type="dxa"/>
          </w:tcPr>
          <w:p w14:paraId="1A05167A" w14:textId="77777777" w:rsidR="00A00B2A" w:rsidRPr="00A962FB" w:rsidRDefault="00A00B2A" w:rsidP="003B551B">
            <w:pPr>
              <w:spacing w:line="360" w:lineRule="auto"/>
              <w:jc w:val="both"/>
              <w:rPr>
                <w:rFonts w:ascii="Book Antiqua" w:hAnsi="Book Antiqua"/>
              </w:rPr>
            </w:pPr>
            <w:r w:rsidRPr="00A962FB">
              <w:rPr>
                <w:rFonts w:ascii="Book Antiqua" w:hAnsi="Book Antiqua"/>
              </w:rPr>
              <w:t>N/A</w:t>
            </w:r>
          </w:p>
        </w:tc>
      </w:tr>
      <w:tr w:rsidR="00A00B2A" w:rsidRPr="00A962FB" w14:paraId="58E80D71" w14:textId="77777777" w:rsidTr="003B551B">
        <w:trPr>
          <w:trHeight w:val="381"/>
        </w:trPr>
        <w:tc>
          <w:tcPr>
            <w:tcW w:w="4104" w:type="dxa"/>
          </w:tcPr>
          <w:p w14:paraId="28B6EF9A" w14:textId="77777777" w:rsidR="00A00B2A" w:rsidRPr="00A962FB" w:rsidRDefault="00A00B2A" w:rsidP="003B551B">
            <w:pPr>
              <w:spacing w:line="360" w:lineRule="auto"/>
              <w:jc w:val="both"/>
              <w:rPr>
                <w:rFonts w:ascii="Book Antiqua" w:hAnsi="Book Antiqua"/>
              </w:rPr>
            </w:pPr>
            <w:r w:rsidRPr="00A962FB">
              <w:rPr>
                <w:rFonts w:ascii="Book Antiqua" w:hAnsi="Book Antiqua"/>
              </w:rPr>
              <w:t>Peak LH/FSH</w:t>
            </w:r>
          </w:p>
        </w:tc>
        <w:tc>
          <w:tcPr>
            <w:tcW w:w="3923" w:type="dxa"/>
          </w:tcPr>
          <w:p w14:paraId="0D12A849" w14:textId="77777777" w:rsidR="00A00B2A" w:rsidRPr="00A962FB" w:rsidRDefault="00A00B2A" w:rsidP="003B551B">
            <w:pPr>
              <w:spacing w:line="360" w:lineRule="auto"/>
              <w:jc w:val="both"/>
              <w:rPr>
                <w:rFonts w:ascii="Book Antiqua" w:hAnsi="Book Antiqua"/>
              </w:rPr>
            </w:pPr>
            <w:r w:rsidRPr="00A962FB">
              <w:rPr>
                <w:rFonts w:ascii="Book Antiqua" w:hAnsi="Book Antiqua"/>
              </w:rPr>
              <w:t>0.29</w:t>
            </w:r>
          </w:p>
        </w:tc>
        <w:tc>
          <w:tcPr>
            <w:tcW w:w="3924" w:type="dxa"/>
          </w:tcPr>
          <w:p w14:paraId="1FCEBAFC" w14:textId="77777777" w:rsidR="00A00B2A" w:rsidRPr="00A962FB" w:rsidRDefault="00A00B2A" w:rsidP="003B551B">
            <w:pPr>
              <w:spacing w:line="360" w:lineRule="auto"/>
              <w:jc w:val="both"/>
              <w:rPr>
                <w:rFonts w:ascii="Book Antiqua" w:hAnsi="Book Antiqua"/>
              </w:rPr>
            </w:pPr>
            <w:r w:rsidRPr="00A962FB">
              <w:rPr>
                <w:rFonts w:ascii="Book Antiqua" w:hAnsi="Book Antiqua"/>
              </w:rPr>
              <w:t>N/A</w:t>
            </w:r>
          </w:p>
        </w:tc>
      </w:tr>
      <w:tr w:rsidR="00A00B2A" w:rsidRPr="00A962FB" w14:paraId="4C36B95E" w14:textId="77777777" w:rsidTr="003B551B">
        <w:trPr>
          <w:trHeight w:val="381"/>
        </w:trPr>
        <w:tc>
          <w:tcPr>
            <w:tcW w:w="4104" w:type="dxa"/>
          </w:tcPr>
          <w:p w14:paraId="59589538" w14:textId="77777777" w:rsidR="00A00B2A" w:rsidRPr="00A962FB" w:rsidRDefault="00A00B2A" w:rsidP="003B551B">
            <w:pPr>
              <w:spacing w:line="360" w:lineRule="auto"/>
              <w:jc w:val="both"/>
              <w:rPr>
                <w:rFonts w:ascii="Book Antiqua" w:hAnsi="Book Antiqua"/>
              </w:rPr>
            </w:pPr>
            <w:r w:rsidRPr="00A962FB">
              <w:rPr>
                <w:rFonts w:ascii="Book Antiqua" w:hAnsi="Book Antiqua"/>
              </w:rPr>
              <w:t>Uterine (mL)</w:t>
            </w:r>
          </w:p>
        </w:tc>
        <w:tc>
          <w:tcPr>
            <w:tcW w:w="3923" w:type="dxa"/>
          </w:tcPr>
          <w:p w14:paraId="36617823" w14:textId="77777777" w:rsidR="00A00B2A" w:rsidRPr="00A962FB" w:rsidRDefault="00A00B2A" w:rsidP="003B551B">
            <w:pPr>
              <w:spacing w:line="360" w:lineRule="auto"/>
              <w:jc w:val="both"/>
              <w:rPr>
                <w:rFonts w:ascii="Book Antiqua" w:hAnsi="Book Antiqua"/>
              </w:rPr>
            </w:pPr>
            <w:r w:rsidRPr="00A962FB">
              <w:rPr>
                <w:rFonts w:ascii="Book Antiqua" w:hAnsi="Book Antiqua"/>
              </w:rPr>
              <w:t>2.9</w:t>
            </w:r>
          </w:p>
        </w:tc>
        <w:tc>
          <w:tcPr>
            <w:tcW w:w="3924" w:type="dxa"/>
          </w:tcPr>
          <w:p w14:paraId="544A94AE" w14:textId="77777777" w:rsidR="00A00B2A" w:rsidRPr="00A962FB" w:rsidRDefault="00A00B2A" w:rsidP="003B551B">
            <w:pPr>
              <w:spacing w:line="360" w:lineRule="auto"/>
              <w:jc w:val="both"/>
              <w:rPr>
                <w:rFonts w:ascii="Book Antiqua" w:hAnsi="Book Antiqua"/>
              </w:rPr>
            </w:pPr>
            <w:r w:rsidRPr="00A962FB">
              <w:rPr>
                <w:rFonts w:ascii="Book Antiqua" w:hAnsi="Book Antiqua"/>
              </w:rPr>
              <w:t>5.3</w:t>
            </w:r>
          </w:p>
        </w:tc>
      </w:tr>
      <w:tr w:rsidR="00A00B2A" w:rsidRPr="00A962FB" w14:paraId="1A147746" w14:textId="77777777" w:rsidTr="003B551B">
        <w:trPr>
          <w:trHeight w:val="381"/>
        </w:trPr>
        <w:tc>
          <w:tcPr>
            <w:tcW w:w="4104" w:type="dxa"/>
          </w:tcPr>
          <w:p w14:paraId="6A722309" w14:textId="77777777" w:rsidR="00A00B2A" w:rsidRPr="00A962FB" w:rsidRDefault="00A00B2A" w:rsidP="003B551B">
            <w:pPr>
              <w:spacing w:line="360" w:lineRule="auto"/>
              <w:jc w:val="both"/>
              <w:rPr>
                <w:rFonts w:ascii="Book Antiqua" w:hAnsi="Book Antiqua"/>
              </w:rPr>
            </w:pPr>
            <w:r w:rsidRPr="00A962FB">
              <w:rPr>
                <w:rFonts w:ascii="Book Antiqua" w:hAnsi="Book Antiqua"/>
              </w:rPr>
              <w:t>Left Ovary (mL)</w:t>
            </w:r>
          </w:p>
        </w:tc>
        <w:tc>
          <w:tcPr>
            <w:tcW w:w="3923" w:type="dxa"/>
          </w:tcPr>
          <w:p w14:paraId="37B712F2" w14:textId="77777777" w:rsidR="00A00B2A" w:rsidRPr="00A962FB" w:rsidRDefault="00A00B2A" w:rsidP="003B551B">
            <w:pPr>
              <w:spacing w:line="360" w:lineRule="auto"/>
              <w:jc w:val="both"/>
              <w:rPr>
                <w:rFonts w:ascii="Book Antiqua" w:hAnsi="Book Antiqua"/>
              </w:rPr>
            </w:pPr>
            <w:r w:rsidRPr="00A962FB">
              <w:rPr>
                <w:rFonts w:ascii="Book Antiqua" w:hAnsi="Book Antiqua"/>
              </w:rPr>
              <w:t>1.2</w:t>
            </w:r>
          </w:p>
        </w:tc>
        <w:tc>
          <w:tcPr>
            <w:tcW w:w="3924" w:type="dxa"/>
          </w:tcPr>
          <w:p w14:paraId="055E9F5D" w14:textId="77777777" w:rsidR="00A00B2A" w:rsidRPr="00A962FB" w:rsidRDefault="00A00B2A" w:rsidP="003B551B">
            <w:pPr>
              <w:spacing w:line="360" w:lineRule="auto"/>
              <w:jc w:val="both"/>
              <w:rPr>
                <w:rFonts w:ascii="Book Antiqua" w:hAnsi="Book Antiqua"/>
              </w:rPr>
            </w:pPr>
            <w:r w:rsidRPr="00A962FB">
              <w:rPr>
                <w:rFonts w:ascii="Book Antiqua" w:hAnsi="Book Antiqua"/>
              </w:rPr>
              <w:t>1.9</w:t>
            </w:r>
          </w:p>
        </w:tc>
      </w:tr>
      <w:tr w:rsidR="00A00B2A" w:rsidRPr="00A962FB" w14:paraId="329FB929" w14:textId="77777777" w:rsidTr="003B551B">
        <w:trPr>
          <w:trHeight w:val="381"/>
        </w:trPr>
        <w:tc>
          <w:tcPr>
            <w:tcW w:w="4104" w:type="dxa"/>
          </w:tcPr>
          <w:p w14:paraId="1E306CA8" w14:textId="77777777" w:rsidR="00A00B2A" w:rsidRPr="00A962FB" w:rsidRDefault="00A00B2A" w:rsidP="003B551B">
            <w:pPr>
              <w:spacing w:line="360" w:lineRule="auto"/>
              <w:jc w:val="both"/>
              <w:rPr>
                <w:rFonts w:ascii="Book Antiqua" w:hAnsi="Book Antiqua"/>
              </w:rPr>
            </w:pPr>
            <w:r w:rsidRPr="00A962FB">
              <w:rPr>
                <w:rFonts w:ascii="Book Antiqua" w:hAnsi="Book Antiqua"/>
              </w:rPr>
              <w:t>Right Ovary (mL)</w:t>
            </w:r>
          </w:p>
        </w:tc>
        <w:tc>
          <w:tcPr>
            <w:tcW w:w="3923" w:type="dxa"/>
          </w:tcPr>
          <w:p w14:paraId="42C533A9" w14:textId="77777777" w:rsidR="00A00B2A" w:rsidRPr="00A962FB" w:rsidRDefault="00A00B2A" w:rsidP="003B551B">
            <w:pPr>
              <w:spacing w:line="360" w:lineRule="auto"/>
              <w:jc w:val="both"/>
              <w:rPr>
                <w:rFonts w:ascii="Book Antiqua" w:hAnsi="Book Antiqua"/>
              </w:rPr>
            </w:pPr>
            <w:r w:rsidRPr="00A962FB">
              <w:rPr>
                <w:rFonts w:ascii="Book Antiqua" w:hAnsi="Book Antiqua"/>
              </w:rPr>
              <w:t>1.7</w:t>
            </w:r>
          </w:p>
        </w:tc>
        <w:tc>
          <w:tcPr>
            <w:tcW w:w="3924" w:type="dxa"/>
          </w:tcPr>
          <w:p w14:paraId="225BB0F0" w14:textId="77777777" w:rsidR="00A00B2A" w:rsidRPr="00A962FB" w:rsidRDefault="00A00B2A" w:rsidP="003B551B">
            <w:pPr>
              <w:spacing w:line="360" w:lineRule="auto"/>
              <w:jc w:val="both"/>
              <w:rPr>
                <w:rFonts w:ascii="Book Antiqua" w:hAnsi="Book Antiqua"/>
              </w:rPr>
            </w:pPr>
            <w:r w:rsidRPr="00A962FB">
              <w:rPr>
                <w:rFonts w:ascii="Book Antiqua" w:hAnsi="Book Antiqua"/>
              </w:rPr>
              <w:t>1.8</w:t>
            </w:r>
          </w:p>
        </w:tc>
      </w:tr>
      <w:tr w:rsidR="00A00B2A" w:rsidRPr="00A962FB" w14:paraId="4FD260BE" w14:textId="77777777" w:rsidTr="003B551B">
        <w:trPr>
          <w:trHeight w:val="381"/>
        </w:trPr>
        <w:tc>
          <w:tcPr>
            <w:tcW w:w="4104" w:type="dxa"/>
            <w:tcBorders>
              <w:bottom w:val="single" w:sz="4" w:space="0" w:color="auto"/>
            </w:tcBorders>
          </w:tcPr>
          <w:p w14:paraId="348F28CC" w14:textId="77777777" w:rsidR="00A00B2A" w:rsidRPr="00A962FB" w:rsidRDefault="00A00B2A" w:rsidP="003B551B">
            <w:pPr>
              <w:spacing w:line="360" w:lineRule="auto"/>
              <w:jc w:val="both"/>
              <w:rPr>
                <w:rFonts w:ascii="Book Antiqua" w:hAnsi="Book Antiqua"/>
              </w:rPr>
            </w:pPr>
            <w:r w:rsidRPr="00A962FB">
              <w:rPr>
                <w:rFonts w:ascii="Book Antiqua" w:hAnsi="Book Antiqua"/>
              </w:rPr>
              <w:t>Brain magnetic resonance imaging</w:t>
            </w:r>
          </w:p>
        </w:tc>
        <w:tc>
          <w:tcPr>
            <w:tcW w:w="3923" w:type="dxa"/>
            <w:tcBorders>
              <w:bottom w:val="single" w:sz="4" w:space="0" w:color="auto"/>
            </w:tcBorders>
          </w:tcPr>
          <w:p w14:paraId="731CD7D9" w14:textId="77777777" w:rsidR="00A00B2A" w:rsidRPr="00A962FB" w:rsidRDefault="00A00B2A" w:rsidP="003B551B">
            <w:pPr>
              <w:spacing w:line="360" w:lineRule="auto"/>
              <w:jc w:val="both"/>
              <w:rPr>
                <w:rFonts w:ascii="Book Antiqua" w:hAnsi="Book Antiqua"/>
              </w:rPr>
            </w:pPr>
            <w:r w:rsidRPr="00A962FB">
              <w:rPr>
                <w:rFonts w:ascii="Book Antiqua" w:hAnsi="Book Antiqua"/>
              </w:rPr>
              <w:t>Normal</w:t>
            </w:r>
          </w:p>
        </w:tc>
        <w:tc>
          <w:tcPr>
            <w:tcW w:w="3924" w:type="dxa"/>
            <w:tcBorders>
              <w:bottom w:val="single" w:sz="4" w:space="0" w:color="auto"/>
            </w:tcBorders>
          </w:tcPr>
          <w:p w14:paraId="34919373" w14:textId="77777777" w:rsidR="00A00B2A" w:rsidRPr="00A962FB" w:rsidRDefault="00A00B2A" w:rsidP="003B551B">
            <w:pPr>
              <w:spacing w:line="360" w:lineRule="auto"/>
              <w:jc w:val="both"/>
              <w:rPr>
                <w:rFonts w:ascii="Book Antiqua" w:hAnsi="Book Antiqua"/>
              </w:rPr>
            </w:pPr>
            <w:r w:rsidRPr="00A962FB">
              <w:rPr>
                <w:rFonts w:ascii="Book Antiqua" w:hAnsi="Book Antiqua"/>
              </w:rPr>
              <w:t>Normal</w:t>
            </w:r>
          </w:p>
        </w:tc>
      </w:tr>
    </w:tbl>
    <w:p w14:paraId="0579861E" w14:textId="54D63B2E"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147C" w14:textId="77777777" w:rsidR="00575D4C" w:rsidRDefault="00575D4C" w:rsidP="00A00B2A">
      <w:r>
        <w:separator/>
      </w:r>
    </w:p>
  </w:endnote>
  <w:endnote w:type="continuationSeparator" w:id="0">
    <w:p w14:paraId="4303F95B" w14:textId="77777777" w:rsidR="00575D4C" w:rsidRDefault="00575D4C" w:rsidP="00A0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9C2C" w14:textId="77777777" w:rsidR="00A00B2A" w:rsidRPr="00A00B2A" w:rsidRDefault="00A00B2A" w:rsidP="00A00B2A">
    <w:pPr>
      <w:pStyle w:val="a6"/>
      <w:jc w:val="right"/>
      <w:rPr>
        <w:rFonts w:ascii="Book Antiqua" w:hAnsi="Book Antiqua"/>
        <w:color w:val="000000" w:themeColor="text1"/>
        <w:sz w:val="24"/>
        <w:szCs w:val="24"/>
      </w:rPr>
    </w:pPr>
    <w:r>
      <w:rPr>
        <w:color w:val="4F81BD" w:themeColor="accent1"/>
        <w:lang w:val="zh-CN" w:eastAsia="zh-CN"/>
      </w:rPr>
      <w:t xml:space="preserve"> </w:t>
    </w:r>
    <w:r w:rsidRPr="00A00B2A">
      <w:rPr>
        <w:rFonts w:ascii="Book Antiqua" w:hAnsi="Book Antiqua"/>
        <w:color w:val="000000" w:themeColor="text1"/>
        <w:sz w:val="24"/>
        <w:szCs w:val="24"/>
      </w:rPr>
      <w:fldChar w:fldCharType="begin"/>
    </w:r>
    <w:r w:rsidRPr="00A00B2A">
      <w:rPr>
        <w:rFonts w:ascii="Book Antiqua" w:hAnsi="Book Antiqua"/>
        <w:color w:val="000000" w:themeColor="text1"/>
        <w:sz w:val="24"/>
        <w:szCs w:val="24"/>
      </w:rPr>
      <w:instrText>PAGE  \* Arabic  \* MERGEFORMAT</w:instrText>
    </w:r>
    <w:r w:rsidRPr="00A00B2A">
      <w:rPr>
        <w:rFonts w:ascii="Book Antiqua" w:hAnsi="Book Antiqua"/>
        <w:color w:val="000000" w:themeColor="text1"/>
        <w:sz w:val="24"/>
        <w:szCs w:val="24"/>
      </w:rPr>
      <w:fldChar w:fldCharType="separate"/>
    </w:r>
    <w:r w:rsidRPr="00A00B2A">
      <w:rPr>
        <w:rFonts w:ascii="Book Antiqua" w:hAnsi="Book Antiqua"/>
        <w:color w:val="000000" w:themeColor="text1"/>
        <w:sz w:val="24"/>
        <w:szCs w:val="24"/>
        <w:lang w:val="zh-CN" w:eastAsia="zh-CN"/>
      </w:rPr>
      <w:t>2</w:t>
    </w:r>
    <w:r w:rsidRPr="00A00B2A">
      <w:rPr>
        <w:rFonts w:ascii="Book Antiqua" w:hAnsi="Book Antiqua"/>
        <w:color w:val="000000" w:themeColor="text1"/>
        <w:sz w:val="24"/>
        <w:szCs w:val="24"/>
      </w:rPr>
      <w:fldChar w:fldCharType="end"/>
    </w:r>
    <w:r w:rsidRPr="00A00B2A">
      <w:rPr>
        <w:rFonts w:ascii="Book Antiqua" w:hAnsi="Book Antiqua"/>
        <w:color w:val="000000" w:themeColor="text1"/>
        <w:sz w:val="24"/>
        <w:szCs w:val="24"/>
        <w:lang w:val="zh-CN" w:eastAsia="zh-CN"/>
      </w:rPr>
      <w:t xml:space="preserve"> / </w:t>
    </w:r>
    <w:r w:rsidRPr="00A00B2A">
      <w:rPr>
        <w:rFonts w:ascii="Book Antiqua" w:hAnsi="Book Antiqua"/>
        <w:color w:val="000000" w:themeColor="text1"/>
        <w:sz w:val="24"/>
        <w:szCs w:val="24"/>
      </w:rPr>
      <w:fldChar w:fldCharType="begin"/>
    </w:r>
    <w:r w:rsidRPr="00A00B2A">
      <w:rPr>
        <w:rFonts w:ascii="Book Antiqua" w:hAnsi="Book Antiqua"/>
        <w:color w:val="000000" w:themeColor="text1"/>
        <w:sz w:val="24"/>
        <w:szCs w:val="24"/>
      </w:rPr>
      <w:instrText>NUMPAGES  \* Arabic  \* MERGEFORMAT</w:instrText>
    </w:r>
    <w:r w:rsidRPr="00A00B2A">
      <w:rPr>
        <w:rFonts w:ascii="Book Antiqua" w:hAnsi="Book Antiqua"/>
        <w:color w:val="000000" w:themeColor="text1"/>
        <w:sz w:val="24"/>
        <w:szCs w:val="24"/>
      </w:rPr>
      <w:fldChar w:fldCharType="separate"/>
    </w:r>
    <w:r w:rsidRPr="00A00B2A">
      <w:rPr>
        <w:rFonts w:ascii="Book Antiqua" w:hAnsi="Book Antiqua"/>
        <w:color w:val="000000" w:themeColor="text1"/>
        <w:sz w:val="24"/>
        <w:szCs w:val="24"/>
        <w:lang w:val="zh-CN" w:eastAsia="zh-CN"/>
      </w:rPr>
      <w:t>2</w:t>
    </w:r>
    <w:r w:rsidRPr="00A00B2A">
      <w:rPr>
        <w:rFonts w:ascii="Book Antiqua" w:hAnsi="Book Antiqua"/>
        <w:color w:val="000000" w:themeColor="text1"/>
        <w:sz w:val="24"/>
        <w:szCs w:val="24"/>
      </w:rPr>
      <w:fldChar w:fldCharType="end"/>
    </w:r>
  </w:p>
  <w:p w14:paraId="307F3F65" w14:textId="77777777" w:rsidR="00A00B2A" w:rsidRDefault="00A00B2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28204" w14:textId="77777777" w:rsidR="00575D4C" w:rsidRDefault="00575D4C" w:rsidP="00A00B2A">
      <w:r>
        <w:separator/>
      </w:r>
    </w:p>
  </w:footnote>
  <w:footnote w:type="continuationSeparator" w:id="0">
    <w:p w14:paraId="4CE3CE42" w14:textId="77777777" w:rsidR="00575D4C" w:rsidRDefault="00575D4C" w:rsidP="00A00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42F39"/>
    <w:rsid w:val="00381009"/>
    <w:rsid w:val="00381112"/>
    <w:rsid w:val="003B5E75"/>
    <w:rsid w:val="00404528"/>
    <w:rsid w:val="00427013"/>
    <w:rsid w:val="004C205A"/>
    <w:rsid w:val="00556362"/>
    <w:rsid w:val="00575D4C"/>
    <w:rsid w:val="008F0C18"/>
    <w:rsid w:val="00935723"/>
    <w:rsid w:val="00A00B2A"/>
    <w:rsid w:val="00A34B5F"/>
    <w:rsid w:val="00A77B3E"/>
    <w:rsid w:val="00BB2442"/>
    <w:rsid w:val="00C12711"/>
    <w:rsid w:val="00C37B64"/>
    <w:rsid w:val="00CA2A55"/>
    <w:rsid w:val="00D42D43"/>
    <w:rsid w:val="00F33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3EE1B4"/>
  <w15:docId w15:val="{2C14EDAA-D4E8-44E0-9DB8-ED753507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B2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A00B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A00B2A"/>
    <w:rPr>
      <w:sz w:val="18"/>
      <w:szCs w:val="18"/>
    </w:rPr>
  </w:style>
  <w:style w:type="paragraph" w:styleId="a6">
    <w:name w:val="footer"/>
    <w:basedOn w:val="a"/>
    <w:link w:val="a7"/>
    <w:uiPriority w:val="99"/>
    <w:unhideWhenUsed/>
    <w:rsid w:val="00A00B2A"/>
    <w:pPr>
      <w:tabs>
        <w:tab w:val="center" w:pos="4153"/>
        <w:tab w:val="right" w:pos="8306"/>
      </w:tabs>
      <w:snapToGrid w:val="0"/>
    </w:pPr>
    <w:rPr>
      <w:sz w:val="18"/>
      <w:szCs w:val="18"/>
    </w:rPr>
  </w:style>
  <w:style w:type="character" w:customStyle="1" w:styleId="a7">
    <w:name w:val="页脚 字符"/>
    <w:basedOn w:val="a0"/>
    <w:link w:val="a6"/>
    <w:uiPriority w:val="99"/>
    <w:rsid w:val="00A00B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2923</Words>
  <Characters>16663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2021-09-10T08:42:00Z</dcterms:created>
  <dcterms:modified xsi:type="dcterms:W3CDTF">2021-09-10T08:42:00Z</dcterms:modified>
</cp:coreProperties>
</file>