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Name of Journal: </w:t>
      </w:r>
      <w:r>
        <w:rPr>
          <w:rFonts w:ascii="Book Antiqua" w:hAnsi="Book Antiqua" w:eastAsia="Book Antiqua" w:cs="Book Antiqua"/>
          <w:i/>
          <w:color w:val="000000" w:themeColor="text1"/>
          <w14:textFill>
            <w14:solidFill>
              <w14:schemeClr w14:val="tx1"/>
            </w14:solidFill>
          </w14:textFill>
        </w:rPr>
        <w:t>World Journal of Gastroenterology</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NO: </w:t>
      </w:r>
      <w:r>
        <w:rPr>
          <w:rFonts w:ascii="Book Antiqua" w:hAnsi="Book Antiqua" w:eastAsia="Book Antiqua" w:cs="Book Antiqua"/>
          <w:color w:val="000000" w:themeColor="text1"/>
          <w14:textFill>
            <w14:solidFill>
              <w14:schemeClr w14:val="tx1"/>
            </w14:solidFill>
          </w14:textFill>
        </w:rPr>
        <w:t>69512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Type: </w:t>
      </w:r>
      <w:r>
        <w:rPr>
          <w:rFonts w:ascii="Book Antiqua" w:hAnsi="Book Antiqua" w:eastAsia="Book Antiqua" w:cs="Book Antiqua"/>
          <w:color w:val="000000" w:themeColor="text1"/>
          <w14:textFill>
            <w14:solidFill>
              <w14:schemeClr w14:val="tx1"/>
            </w14:solidFill>
          </w14:textFill>
        </w:rPr>
        <w:t>ORIGINAL ARTICLE</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Retrospective Study</w:t>
      </w:r>
    </w:p>
    <w:p>
      <w:pPr>
        <w:spacing w:line="360" w:lineRule="auto"/>
        <w:jc w:val="both"/>
        <w:rPr>
          <w:rFonts w:ascii="Book Antiqua" w:hAnsi="Book Antiqua"/>
          <w:b/>
          <w:bCs/>
          <w:color w:val="000000" w:themeColor="text1"/>
          <w:lang w:eastAsia="zh-CN"/>
          <w14:textFill>
            <w14:solidFill>
              <w14:schemeClr w14:val="tx1"/>
            </w14:solidFill>
          </w14:textFill>
        </w:rPr>
      </w:pPr>
      <w:r>
        <w:rPr>
          <w:rFonts w:ascii="Book Antiqua" w:hAnsi="Book Antiqua"/>
          <w:b/>
          <w:bCs/>
          <w:color w:val="000000" w:themeColor="text1"/>
          <w:lang w:eastAsia="zh-CN"/>
          <w14:textFill>
            <w14:solidFill>
              <w14:schemeClr w14:val="tx1"/>
            </w14:solidFill>
          </w14:textFill>
        </w:rPr>
        <w:t>Infliximab trough level combined with inflammatory biomarkers predict long-term endoscopic outcomes in Crohn’s disease under infliximab therapy</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Cao </w:t>
      </w:r>
      <w:r>
        <w:rPr>
          <w:rFonts w:ascii="Book Antiqua" w:hAnsi="Book Antiqua" w:cs="Book Antiqua"/>
          <w:color w:val="000000" w:themeColor="text1"/>
          <w:lang w:eastAsia="zh-CN"/>
          <w14:textFill>
            <w14:solidFill>
              <w14:schemeClr w14:val="tx1"/>
            </w14:solidFill>
          </w14:textFill>
        </w:rPr>
        <w:t xml:space="preserve">WT </w:t>
      </w:r>
      <w:r>
        <w:rPr>
          <w:rFonts w:ascii="Book Antiqua" w:hAnsi="Book Antiqua" w:cs="Book Antiqua"/>
          <w:i/>
          <w:color w:val="000000" w:themeColor="text1"/>
          <w:lang w:eastAsia="zh-CN"/>
          <w14:textFill>
            <w14:solidFill>
              <w14:schemeClr w14:val="tx1"/>
            </w14:solidFill>
          </w14:textFill>
        </w:rPr>
        <w:t>et al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A single-center retrospective research in Eastern China</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Wan-Ting Cao, Rong Huang, Shan Liu, Yi-Hong Fan, Mao</w:t>
      </w:r>
      <w:r>
        <w:rPr>
          <w:rFonts w:ascii="Book Antiqua" w:hAnsi="Book Antiqua" w:cs="Book Antiqua"/>
          <w:color w:val="000000" w:themeColor="text1"/>
          <w:lang w:eastAsia="zh-CN"/>
          <w14:textFill>
            <w14:solidFill>
              <w14:schemeClr w14:val="tx1"/>
            </w14:solidFill>
          </w14:textFill>
        </w:rPr>
        <w:t>-S</w:t>
      </w:r>
      <w:r>
        <w:rPr>
          <w:rFonts w:ascii="Book Antiqua" w:hAnsi="Book Antiqua" w:eastAsia="Book Antiqua" w:cs="Book Antiqua"/>
          <w:color w:val="000000" w:themeColor="text1"/>
          <w14:textFill>
            <w14:solidFill>
              <w14:schemeClr w14:val="tx1"/>
            </w14:solidFill>
          </w14:textFill>
        </w:rPr>
        <w:t>heng Xu, Yi Xu, Hui Ni</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Wan-Ting Cao, Rong Huang, Yi-Hong Fan, Yi Xu, </w:t>
      </w:r>
      <w:r>
        <w:rPr>
          <w:rFonts w:ascii="Book Antiqua" w:hAnsi="Book Antiqua" w:eastAsia="Book Antiqua" w:cs="Book Antiqua"/>
          <w:color w:val="000000" w:themeColor="text1"/>
          <w14:textFill>
            <w14:solidFill>
              <w14:schemeClr w14:val="tx1"/>
            </w14:solidFill>
          </w14:textFill>
        </w:rPr>
        <w:t>Department of Gastroenterology, The First Affiliated Hospital of Zhejiang Chinese Medical University, Zhejiang Provincial Key Laboratory of Gastrointestinal Diseases Pathophysiology, Hangzhou 310006, Zhejiang</w:t>
      </w:r>
      <w:r>
        <w:rPr>
          <w:rFonts w:ascii="Book Antiqua" w:hAnsi="Book Antiqua" w:cs="Book Antiqua"/>
          <w:color w:val="000000" w:themeColor="text1"/>
          <w:lang w:eastAsia="zh-CN"/>
          <w14:textFill>
            <w14:solidFill>
              <w14:schemeClr w14:val="tx1"/>
            </w14:solidFill>
          </w14:textFill>
        </w:rPr>
        <w:t xml:space="preserve"> Province</w:t>
      </w:r>
      <w:r>
        <w:rPr>
          <w:rFonts w:ascii="Book Antiqua" w:hAnsi="Book Antiqua" w:eastAsia="Book Antiqua" w:cs="Book Antiqua"/>
          <w:color w:val="000000" w:themeColor="text1"/>
          <w14:textFill>
            <w14:solidFill>
              <w14:schemeClr w14:val="tx1"/>
            </w14:solidFill>
          </w14:textFill>
        </w:rPr>
        <w:t>, China</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Shan Liu, </w:t>
      </w:r>
      <w:r>
        <w:rPr>
          <w:rFonts w:ascii="Book Antiqua" w:hAnsi="Book Antiqua" w:eastAsia="Book Antiqua" w:cs="Book Antiqua"/>
          <w:color w:val="000000" w:themeColor="text1"/>
          <w14:textFill>
            <w14:solidFill>
              <w14:schemeClr w14:val="tx1"/>
            </w14:solidFill>
          </w14:textFill>
        </w:rPr>
        <w:t xml:space="preserve">Department of </w:t>
      </w:r>
      <w:r>
        <w:rPr>
          <w:rFonts w:ascii="Book Antiqua" w:hAnsi="Book Antiqua" w:eastAsia="Book Antiqua" w:cs="Book Antiqua"/>
          <w:caps/>
          <w:color w:val="000000" w:themeColor="text1"/>
          <w14:textFill>
            <w14:solidFill>
              <w14:schemeClr w14:val="tx1"/>
            </w14:solidFill>
          </w14:textFill>
        </w:rPr>
        <w:t>c</w:t>
      </w:r>
      <w:r>
        <w:rPr>
          <w:rFonts w:ascii="Book Antiqua" w:hAnsi="Book Antiqua" w:eastAsia="Book Antiqua" w:cs="Book Antiqua"/>
          <w:color w:val="000000" w:themeColor="text1"/>
          <w14:textFill>
            <w14:solidFill>
              <w14:schemeClr w14:val="tx1"/>
            </w14:solidFill>
          </w14:textFill>
        </w:rPr>
        <w:t xml:space="preserve">linical </w:t>
      </w:r>
      <w:r>
        <w:rPr>
          <w:rFonts w:ascii="Book Antiqua" w:hAnsi="Book Antiqua" w:eastAsia="Book Antiqua" w:cs="Book Antiqua"/>
          <w:caps/>
          <w:color w:val="000000" w:themeColor="text1"/>
          <w14:textFill>
            <w14:solidFill>
              <w14:schemeClr w14:val="tx1"/>
            </w14:solidFill>
          </w14:textFill>
        </w:rPr>
        <w:t>e</w:t>
      </w:r>
      <w:r>
        <w:rPr>
          <w:rFonts w:ascii="Book Antiqua" w:hAnsi="Book Antiqua" w:eastAsia="Book Antiqua" w:cs="Book Antiqua"/>
          <w:color w:val="000000" w:themeColor="text1"/>
          <w14:textFill>
            <w14:solidFill>
              <w14:schemeClr w14:val="tx1"/>
            </w14:solidFill>
          </w14:textFill>
        </w:rPr>
        <w:t xml:space="preserve">valuation </w:t>
      </w:r>
      <w:r>
        <w:rPr>
          <w:rFonts w:ascii="Book Antiqua" w:hAnsi="Book Antiqua" w:eastAsia="Book Antiqua" w:cs="Book Antiqua"/>
          <w:caps/>
          <w:color w:val="000000" w:themeColor="text1"/>
          <w14:textFill>
            <w14:solidFill>
              <w14:schemeClr w14:val="tx1"/>
            </w14:solidFill>
          </w14:textFill>
        </w:rPr>
        <w:t>c</w:t>
      </w:r>
      <w:r>
        <w:rPr>
          <w:rFonts w:ascii="Book Antiqua" w:hAnsi="Book Antiqua" w:eastAsia="Book Antiqua" w:cs="Book Antiqua"/>
          <w:color w:val="000000" w:themeColor="text1"/>
          <w14:textFill>
            <w14:solidFill>
              <w14:schemeClr w14:val="tx1"/>
            </w14:solidFill>
          </w14:textFill>
        </w:rPr>
        <w:t>enter, The First Affiliated Hospital of Zhejiang Chinese Medical University, Hangzhou 310006, Zhejiang</w:t>
      </w:r>
      <w:r>
        <w:rPr>
          <w:rFonts w:ascii="Book Antiqua" w:hAnsi="Book Antiqua" w:cs="Book Antiqua"/>
          <w:color w:val="000000" w:themeColor="text1"/>
          <w:lang w:eastAsia="zh-CN"/>
          <w14:textFill>
            <w14:solidFill>
              <w14:schemeClr w14:val="tx1"/>
            </w14:solidFill>
          </w14:textFill>
        </w:rPr>
        <w:t xml:space="preserve"> Province</w:t>
      </w:r>
      <w:r>
        <w:rPr>
          <w:rFonts w:ascii="Book Antiqua" w:hAnsi="Book Antiqua" w:eastAsia="Book Antiqua" w:cs="Book Antiqua"/>
          <w:color w:val="000000" w:themeColor="text1"/>
          <w14:textFill>
            <w14:solidFill>
              <w14:schemeClr w14:val="tx1"/>
            </w14:solidFill>
          </w14:textFill>
        </w:rPr>
        <w:t>, China</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Mao</w:t>
      </w:r>
      <w:r>
        <w:rPr>
          <w:rFonts w:hint="eastAsia" w:ascii="Book Antiqua" w:hAnsi="Book Antiqua" w:eastAsia="宋体" w:cs="Book Antiqua"/>
          <w:b/>
          <w:bCs/>
          <w:color w:val="000000" w:themeColor="text1"/>
          <w:lang w:val="en-US" w:eastAsia="zh-CN"/>
          <w14:textFill>
            <w14:solidFill>
              <w14:schemeClr w14:val="tx1"/>
            </w14:solidFill>
          </w14:textFill>
        </w:rPr>
        <w:t xml:space="preserve"> </w:t>
      </w:r>
      <w:r>
        <w:rPr>
          <w:rFonts w:ascii="Book Antiqua" w:hAnsi="Book Antiqua" w:eastAsia="Book Antiqua" w:cs="Book Antiqua"/>
          <w:b/>
          <w:bCs/>
          <w:caps/>
          <w:color w:val="000000" w:themeColor="text1"/>
          <w14:textFill>
            <w14:solidFill>
              <w14:schemeClr w14:val="tx1"/>
            </w14:solidFill>
          </w14:textFill>
        </w:rPr>
        <w:t>s</w:t>
      </w:r>
      <w:r>
        <w:rPr>
          <w:rFonts w:ascii="Book Antiqua" w:hAnsi="Book Antiqua" w:eastAsia="Book Antiqua" w:cs="Book Antiqua"/>
          <w:b/>
          <w:bCs/>
          <w:color w:val="000000" w:themeColor="text1"/>
          <w14:textFill>
            <w14:solidFill>
              <w14:schemeClr w14:val="tx1"/>
            </w14:solidFill>
          </w14:textFill>
        </w:rPr>
        <w:t xml:space="preserve">heng Xu, </w:t>
      </w:r>
      <w:r>
        <w:rPr>
          <w:rFonts w:ascii="Book Antiqua" w:hAnsi="Book Antiqua" w:eastAsia="Book Antiqua" w:cs="Book Antiqua"/>
          <w:color w:val="000000" w:themeColor="text1"/>
          <w14:textFill>
            <w14:solidFill>
              <w14:schemeClr w14:val="tx1"/>
            </w14:solidFill>
          </w14:textFill>
        </w:rPr>
        <w:t>Department of Radiology, The First Affiliated Hospital of Zhejiang Chinese Medical University, Hangzhou 310006, Zhejiang</w:t>
      </w:r>
      <w:r>
        <w:rPr>
          <w:rFonts w:ascii="Book Antiqua" w:hAnsi="Book Antiqua" w:cs="Book Antiqua"/>
          <w:color w:val="000000" w:themeColor="text1"/>
          <w:lang w:eastAsia="zh-CN"/>
          <w14:textFill>
            <w14:solidFill>
              <w14:schemeClr w14:val="tx1"/>
            </w14:solidFill>
          </w14:textFill>
        </w:rPr>
        <w:t xml:space="preserve"> Province</w:t>
      </w:r>
      <w:r>
        <w:rPr>
          <w:rFonts w:ascii="Book Antiqua" w:hAnsi="Book Antiqua" w:eastAsia="Book Antiqua" w:cs="Book Antiqua"/>
          <w:color w:val="000000" w:themeColor="text1"/>
          <w14:textFill>
            <w14:solidFill>
              <w14:schemeClr w14:val="tx1"/>
            </w14:solidFill>
          </w14:textFill>
        </w:rPr>
        <w:t>, China</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Hui Ni, </w:t>
      </w:r>
      <w:r>
        <w:rPr>
          <w:rFonts w:ascii="Book Antiqua" w:hAnsi="Book Antiqua" w:eastAsia="Book Antiqua" w:cs="Book Antiqua"/>
          <w:color w:val="000000" w:themeColor="text1"/>
          <w14:textFill>
            <w14:solidFill>
              <w14:schemeClr w14:val="tx1"/>
            </w14:solidFill>
          </w14:textFill>
        </w:rPr>
        <w:t>Department of Nursing, The Second Affiliated Hospital of Zhejiang University School of Medicine, Hangzhou 310006, Zhejiang</w:t>
      </w:r>
      <w:r>
        <w:rPr>
          <w:rFonts w:ascii="Book Antiqua" w:hAnsi="Book Antiqua" w:cs="Book Antiqua"/>
          <w:color w:val="000000" w:themeColor="text1"/>
          <w:lang w:eastAsia="zh-CN"/>
          <w14:textFill>
            <w14:solidFill>
              <w14:schemeClr w14:val="tx1"/>
            </w14:solidFill>
          </w14:textFill>
        </w:rPr>
        <w:t xml:space="preserve"> Province</w:t>
      </w:r>
      <w:r>
        <w:rPr>
          <w:rFonts w:ascii="Book Antiqua" w:hAnsi="Book Antiqua" w:eastAsia="Book Antiqua" w:cs="Book Antiqua"/>
          <w:color w:val="000000" w:themeColor="text1"/>
          <w14:textFill>
            <w14:solidFill>
              <w14:schemeClr w14:val="tx1"/>
            </w14:solidFill>
          </w14:textFill>
        </w:rPr>
        <w:t>, China</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bCs/>
          <w:color w:val="000000" w:themeColor="text1"/>
          <w:lang w:eastAsia="zh-CN"/>
          <w14:textFill>
            <w14:solidFill>
              <w14:schemeClr w14:val="tx1"/>
            </w14:solidFill>
          </w14:textFill>
        </w:rPr>
      </w:pPr>
      <w:r>
        <w:rPr>
          <w:rFonts w:ascii="Book Antiqua" w:hAnsi="Book Antiqua" w:cs="Book Antiqua"/>
          <w:b/>
          <w:bCs/>
          <w:color w:val="000000" w:themeColor="text1"/>
          <w:lang w:eastAsia="zh-CN"/>
          <w14:textFill>
            <w14:solidFill>
              <w14:schemeClr w14:val="tx1"/>
            </w14:solidFill>
          </w14:textFill>
        </w:rPr>
        <w:t xml:space="preserve">Author contributions: </w:t>
      </w:r>
      <w:r>
        <w:rPr>
          <w:rFonts w:ascii="Book Antiqua" w:hAnsi="Book Antiqua" w:cs="Book Antiqua"/>
          <w:bCs/>
          <w:color w:val="000000" w:themeColor="text1"/>
          <w:lang w:eastAsia="zh-CN"/>
          <w14:textFill>
            <w14:solidFill>
              <w14:schemeClr w14:val="tx1"/>
            </w14:solidFill>
          </w14:textFill>
        </w:rPr>
        <w:t>Fan YH designed the research; Cao WT performed the research; Cao WT and Liu S analyzed the data; Cao WT, Huang R, Ni H and Xu MS wrote the paper; Xu Y supervised the paper; All authors have read and approve the final manuscript.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Supported by </w:t>
      </w:r>
      <w:bookmarkStart w:id="0" w:name="OLE_LINK334"/>
      <w:bookmarkStart w:id="1" w:name="OLE_LINK333"/>
      <w:r>
        <w:rPr>
          <w:rFonts w:ascii="Book Antiqua" w:hAnsi="Book Antiqua" w:eastAsia="Book Antiqua" w:cs="Book Antiqua"/>
          <w:color w:val="000000" w:themeColor="text1"/>
          <w14:textFill>
            <w14:solidFill>
              <w14:schemeClr w14:val="tx1"/>
            </w14:solidFill>
          </w14:textFill>
        </w:rPr>
        <w:t>National Natural Science Foundation of China</w:t>
      </w:r>
      <w:bookmarkEnd w:id="0"/>
      <w:bookmarkEnd w:id="1"/>
      <w:r>
        <w:rPr>
          <w:rFonts w:ascii="Book Antiqua" w:hAnsi="Book Antiqua" w:eastAsia="Book Antiqua" w:cs="Book Antiqua"/>
          <w:color w:val="000000" w:themeColor="text1"/>
          <w14:textFill>
            <w14:solidFill>
              <w14:schemeClr w14:val="tx1"/>
            </w14:solidFill>
          </w14:textFill>
        </w:rPr>
        <w:t>, No. 81473506</w:t>
      </w:r>
      <w:r>
        <w:rPr>
          <w:rFonts w:hint="eastAsia" w:ascii="Book Antiqua" w:hAnsi="Book Antiqua" w:cs="Book Antiqua"/>
          <w:color w:val="000000" w:themeColor="text1"/>
          <w:lang w:eastAsia="zh-CN"/>
          <w14:textFill>
            <w14:solidFill>
              <w14:schemeClr w14:val="tx1"/>
            </w14:solidFill>
          </w14:textFill>
        </w:rPr>
        <w:t xml:space="preserve"> and</w:t>
      </w:r>
      <w:r>
        <w:rPr>
          <w:rFonts w:ascii="Book Antiqua" w:hAnsi="Book Antiqua" w:eastAsia="Book Antiqua" w:cs="Book Antiqua"/>
          <w:color w:val="000000" w:themeColor="text1"/>
          <w14:textFill>
            <w14:solidFill>
              <w14:schemeClr w14:val="tx1"/>
            </w14:solidFill>
          </w14:textFill>
        </w:rPr>
        <w:t xml:space="preserve"> No. 81971600; Zhejiang TCM Science and Technology Project, No. </w:t>
      </w:r>
      <w:bookmarkStart w:id="2" w:name="OLE_LINK336"/>
      <w:bookmarkStart w:id="3" w:name="OLE_LINK335"/>
      <w:r>
        <w:rPr>
          <w:rFonts w:ascii="Book Antiqua" w:hAnsi="Book Antiqua" w:eastAsia="Book Antiqua" w:cs="Book Antiqua"/>
          <w:color w:val="000000" w:themeColor="text1"/>
          <w14:textFill>
            <w14:solidFill>
              <w14:schemeClr w14:val="tx1"/>
            </w14:solidFill>
          </w14:textFill>
        </w:rPr>
        <w:t>2019ZA056</w:t>
      </w:r>
      <w:bookmarkEnd w:id="2"/>
      <w:bookmarkEnd w:id="3"/>
      <w:r>
        <w:rPr>
          <w:rFonts w:ascii="Book Antiqua" w:hAnsi="Book Antiqua" w:eastAsia="Book Antiqua" w:cs="Book Antiqua"/>
          <w:color w:val="000000" w:themeColor="text1"/>
          <w14:textFill>
            <w14:solidFill>
              <w14:schemeClr w14:val="tx1"/>
            </w14:solidFill>
          </w14:textFill>
        </w:rPr>
        <w:t>, No. 2021ZA057</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and</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No. 2016ZA077</w:t>
      </w:r>
      <w:r>
        <w:rPr>
          <w:rFonts w:ascii="Book Antiqua" w:hAnsi="Book Antiqua" w:cs="Book Antiqua"/>
          <w:color w:val="000000" w:themeColor="text1"/>
          <w:lang w:eastAsia="zh-CN"/>
          <w14:textFill>
            <w14:solidFill>
              <w14:schemeClr w14:val="tx1"/>
            </w14:solidFill>
          </w14:textFill>
        </w:rPr>
        <w: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Corresponding author: Yi-Hong Fan, MD, Associate Professor, Chief Doctor, </w:t>
      </w:r>
      <w:r>
        <w:rPr>
          <w:rFonts w:ascii="Book Antiqua" w:hAnsi="Book Antiqua" w:eastAsia="Book Antiqua" w:cs="Book Antiqua"/>
          <w:color w:val="000000" w:themeColor="text1"/>
          <w14:textFill>
            <w14:solidFill>
              <w14:schemeClr w14:val="tx1"/>
            </w14:solidFill>
          </w14:textFill>
        </w:rPr>
        <w:t>Department of Gastroenterology, The First Affiliated Hospital of Zhejiang Chinese Medical University, Zhejiang Provincial Key Laboratory of Gastrointestinal Diseases Pathophysiology, No. 54 Youdian Road, Shangcheng District, Hangzhou 310006, Zhejiang</w:t>
      </w:r>
      <w:r>
        <w:rPr>
          <w:rFonts w:ascii="Book Antiqua" w:hAnsi="Book Antiqua" w:cs="Book Antiqua"/>
          <w:color w:val="000000" w:themeColor="text1"/>
          <w:lang w:eastAsia="zh-CN"/>
          <w14:textFill>
            <w14:solidFill>
              <w14:schemeClr w14:val="tx1"/>
            </w14:solidFill>
          </w14:textFill>
        </w:rPr>
        <w:t xml:space="preserve"> Province</w:t>
      </w:r>
      <w:r>
        <w:rPr>
          <w:rFonts w:ascii="Book Antiqua" w:hAnsi="Book Antiqua" w:eastAsia="Book Antiqua" w:cs="Book Antiqua"/>
          <w:color w:val="000000" w:themeColor="text1"/>
          <w14:textFill>
            <w14:solidFill>
              <w14:schemeClr w14:val="tx1"/>
            </w14:solidFill>
          </w14:textFill>
        </w:rPr>
        <w:t>, China. yhfansjr@163.com</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Received: </w:t>
      </w:r>
      <w:r>
        <w:rPr>
          <w:rFonts w:ascii="Book Antiqua" w:hAnsi="Book Antiqua" w:eastAsia="Book Antiqua" w:cs="Book Antiqua"/>
          <w:color w:val="000000" w:themeColor="text1"/>
          <w14:textFill>
            <w14:solidFill>
              <w14:schemeClr w14:val="tx1"/>
            </w14:solidFill>
          </w14:textFill>
        </w:rPr>
        <w:t>October 30, 2021</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Revised: </w:t>
      </w:r>
      <w:r>
        <w:rPr>
          <w:rFonts w:ascii="Book Antiqua" w:hAnsi="Book Antiqua" w:cs="Book Antiqua"/>
          <w:bCs/>
          <w:color w:val="000000" w:themeColor="text1"/>
          <w:lang w:eastAsia="zh-CN"/>
          <w14:textFill>
            <w14:solidFill>
              <w14:schemeClr w14:val="tx1"/>
            </w14:solidFill>
          </w14:textFill>
        </w:rPr>
        <w:t>March 25, 2022</w:t>
      </w:r>
    </w:p>
    <w:p>
      <w:pPr>
        <w:spacing w:line="360" w:lineRule="auto"/>
        <w:jc w:val="both"/>
        <w:rPr>
          <w:rFonts w:ascii="Book Antiqua" w:hAnsi="Book Antiqua"/>
          <w:b w:val="0"/>
          <w:bCs w:val="0"/>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Accepted:</w:t>
      </w:r>
      <w:r>
        <w:t xml:space="preserve"> </w:t>
      </w:r>
      <w:r>
        <w:rPr>
          <w:rFonts w:ascii="Book Antiqua" w:hAnsi="Book Antiqua" w:eastAsia="Book Antiqua" w:cs="Book Antiqua"/>
          <w:b w:val="0"/>
          <w:bCs w:val="0"/>
          <w:color w:val="000000" w:themeColor="text1"/>
          <w14:textFill>
            <w14:solidFill>
              <w14:schemeClr w14:val="tx1"/>
            </w14:solidFill>
          </w14:textFill>
        </w:rPr>
        <w:t>May 7, 2022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Published online: </w:t>
      </w:r>
      <w:r>
        <w:rPr>
          <w:rFonts w:ascii="Book Antiqua" w:hAnsi="Book Antiqua" w:eastAsia="Book Antiqua" w:cs="Book Antiqua"/>
          <w:i w:val="0"/>
          <w:iCs w:val="0"/>
          <w:caps w:val="0"/>
          <w:color w:val="000000"/>
          <w:spacing w:val="0"/>
          <w:sz w:val="24"/>
          <w:szCs w:val="24"/>
          <w:shd w:val="clear" w:fill="FFFFFF"/>
        </w:rPr>
        <w:t>June 21, 2022</w:t>
      </w:r>
    </w:p>
    <w:p>
      <w:pPr>
        <w:spacing w:line="360" w:lineRule="auto"/>
        <w:jc w:val="both"/>
        <w:rPr>
          <w:rFonts w:ascii="Book Antiqua" w:hAnsi="Book Antiqua"/>
          <w:color w:val="000000" w:themeColor="text1"/>
          <w14:textFill>
            <w14:solidFill>
              <w14:schemeClr w14:val="tx1"/>
            </w14:solidFill>
          </w14:textFill>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Abstract</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BACKGROUND</w:t>
      </w: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Infliximab trough level (ITL) severely affects therapeutic outcomes of Crohn’s disease (CD) patients under infliximab (IFX). Recently, frontier research has focused on identifying ITL based on different therapeutic targets. Although previous studies have elaborated clinical value of ITL monitoring on short-term outcomes in CD patients during therapy, studies contraposing the predictive value of ITL on long-term endoscopic outcomes in CD patients are still scarce domestically and overseas. </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AIM</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To explore the predictive value of ITL in combination with inflammatory biomarkers on long-term endoscopic outcomes in CD with clinical remission during IFX maintenance therapy.</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METHODS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CD patients with endoscopic remission under long-term IFX maintenance therapy in the First Affiliated Hospital of Zhejiang Chinese Medicine University from January 2012 to December 2020 were collected. ITL and inflammatory biomarkers were continuously monitored during the therapy. The Step I study was conducted from weeks 14 to 54 of IFX treatment. The Step II study was conducted from weeks 54 to 108 of IFX treatment. Endoscopic outcomes were defined as endoscopic activity (</w:t>
      </w:r>
      <w:r>
        <w:rPr>
          <w:rFonts w:ascii="Book Antiqua" w:hAnsi="Book Antiqua"/>
          <w:color w:val="000000" w:themeColor="text1"/>
          <w:lang w:eastAsia="zh-CN"/>
          <w14:textFill>
            <w14:solidFill>
              <w14:schemeClr w14:val="tx1"/>
            </w14:solidFill>
          </w14:textFill>
        </w:rPr>
        <w:t>Crohn’s disease endoscopic index of severity</w:t>
      </w:r>
      <w:r>
        <w:rPr>
          <w:rFonts w:ascii="Book Antiqua" w:hAnsi="Book Antiqua" w:eastAsia="Book Antiqua" w:cs="Book Antiqua"/>
          <w:color w:val="000000" w:themeColor="text1"/>
          <w14:textFill>
            <w14:solidFill>
              <w14:schemeClr w14:val="tx1"/>
            </w14:solidFill>
          </w14:textFill>
        </w:rPr>
        <w:t xml:space="preserve"> score &gt; 2 points or Rutgeerts score &gt;</w:t>
      </w:r>
      <w:r>
        <w:rPr>
          <w:rFonts w:ascii="Book Antiqua" w:hAnsi="Book Antiqua" w:cs="Book Antiqua"/>
          <w:color w:val="000000" w:themeColor="text1"/>
          <w:lang w:eastAsia="zh-CN"/>
          <w14:textFill>
            <w14:solidFill>
              <w14:schemeClr w14:val="tx1"/>
            </w14:solidFill>
          </w14:textFill>
        </w:rPr>
        <w:t xml:space="preserve"> i</w:t>
      </w:r>
      <w:r>
        <w:rPr>
          <w:rFonts w:ascii="Book Antiqua" w:hAnsi="Book Antiqua" w:eastAsia="Book Antiqua" w:cs="Book Antiqua"/>
          <w:color w:val="000000" w:themeColor="text1"/>
          <w14:textFill>
            <w14:solidFill>
              <w14:schemeClr w14:val="tx1"/>
            </w14:solidFill>
          </w14:textFill>
        </w:rPr>
        <w:t>1) and endoscopic remission (</w:t>
      </w:r>
      <w:r>
        <w:rPr>
          <w:rFonts w:ascii="Book Antiqua" w:hAnsi="Book Antiqua"/>
          <w:color w:val="000000" w:themeColor="text1"/>
          <w:lang w:eastAsia="zh-CN"/>
          <w14:textFill>
            <w14:solidFill>
              <w14:schemeClr w14:val="tx1"/>
            </w14:solidFill>
          </w14:textFill>
        </w:rPr>
        <w:t>Crohn’s disease endoscopic index of severity</w:t>
      </w:r>
      <w:r>
        <w:rPr>
          <w:rFonts w:ascii="Book Antiqua" w:hAnsi="Book Antiqua" w:eastAsia="Book Antiqua" w:cs="Book Antiqua"/>
          <w:color w:val="000000" w:themeColor="text1"/>
          <w14:textFill>
            <w14:solidFill>
              <w14:schemeClr w14:val="tx1"/>
            </w14:solidFill>
          </w14:textFill>
        </w:rPr>
        <w:t xml:space="preserve"> score ≤ 2 points or Rutgeerts ≤ i1). Endoscopic relapse free survival was defined as endoscopic remission at the beginning of the study stage and maintaining endoscopic remission during the study stage.</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RESULTS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At week 14, low ITL </w:t>
      </w:r>
      <w:r>
        <w:rPr>
          <w:rFonts w:ascii="Book Antiqua" w:hAnsi="Book Antiqua" w:cs="Book Antiqua"/>
          <w:color w:val="000000" w:themeColor="text1"/>
          <w:lang w:eastAsia="zh-CN"/>
          <w14:textFill>
            <w14:solidFill>
              <w14:schemeClr w14:val="tx1"/>
            </w14:solidFill>
          </w14:textFill>
        </w:rPr>
        <w:t>[odds ratio (</w:t>
      </w:r>
      <w:r>
        <w:rPr>
          <w:rFonts w:ascii="Book Antiqua" w:hAnsi="Book Antiqua" w:eastAsia="Book Antiqua" w:cs="Book Antiqua"/>
          <w:color w:val="000000" w:themeColor="text1"/>
          <w14:textFill>
            <w14:solidFill>
              <w14:schemeClr w14:val="tx1"/>
            </w14:solidFill>
          </w14:textFill>
        </w:rPr>
        <w:t>OR)</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0.666, 95% confidence interval (CI)</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0.514-0.862, </w:t>
      </w:r>
      <w:r>
        <w:rPr>
          <w:rFonts w:ascii="Book Antiqua" w:hAnsi="Book Antiqua" w:eastAsia="Book Antiqua" w:cs="Book Antiqua"/>
          <w:i/>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0.01</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and high fecal calprotectin (FCP) level (OR</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1.002, 95%CI: 1.001-1.004, </w:t>
      </w:r>
      <w:r>
        <w:rPr>
          <w:rFonts w:ascii="Book Antiqua" w:hAnsi="Book Antiqua" w:eastAsia="Book Antiqua" w:cs="Book Antiqua"/>
          <w:i/>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0.01) increased the risk of endoscopic activity at week 54. At week 54, low ITL </w:t>
      </w:r>
      <w:r>
        <w:rPr>
          <w:rFonts w:ascii="Book Antiqua" w:hAnsi="Book Antiqua" w:eastAsia="宋体" w:cs="宋体"/>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OR</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0.466, 95%CI: 0.247-0.877, </w:t>
      </w:r>
      <w:r>
        <w:rPr>
          <w:rFonts w:ascii="Book Antiqua" w:hAnsi="Book Antiqua" w:eastAsia="Book Antiqua" w:cs="Book Antiqua"/>
          <w:i/>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0.01) and high C-reactive protein (CRP) level (OR</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1.590, 95%CI: 1.007-2.510, </w:t>
      </w:r>
      <w:r>
        <w:rPr>
          <w:rFonts w:ascii="Book Antiqua" w:hAnsi="Book Antiqua" w:eastAsia="Book Antiqua" w:cs="Book Antiqua"/>
          <w:i/>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0.01) increased the risk of endoscopic activity at week 108. At week 14,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5.60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[area under the curve (AUC)</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0.83, 95%CI: 0.73-0.90, </w:t>
      </w:r>
      <w:r>
        <w:rPr>
          <w:rFonts w:ascii="Book Antiqua" w:hAnsi="Book Antiqua" w:eastAsia="Book Antiqua" w:cs="Book Antiqua"/>
          <w:i/>
          <w:color w:val="000000" w:themeColor="text1"/>
          <w14:textFill>
            <w14:solidFill>
              <w14:schemeClr w14:val="tx1"/>
            </w14:solidFill>
          </w14:textFill>
        </w:rPr>
        <w:t>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&lt; </w:t>
      </w:r>
      <w:r>
        <w:rPr>
          <w:rFonts w:ascii="Book Antiqua" w:hAnsi="Book Antiqua" w:eastAsia="Book Antiqua" w:cs="Book Antiqua"/>
          <w:color w:val="000000" w:themeColor="text1"/>
          <w14:textFill>
            <w14:solidFill>
              <w14:schemeClr w14:val="tx1"/>
            </w14:solidFill>
          </w14:textFill>
        </w:rPr>
        <w:t>0.001] and FCP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&gt; </w:t>
      </w:r>
      <w:r>
        <w:rPr>
          <w:rFonts w:ascii="Book Antiqua" w:hAnsi="Book Antiqua" w:eastAsia="Book Antiqua" w:cs="Book Antiqua"/>
          <w:color w:val="000000" w:themeColor="text1"/>
          <w14:textFill>
            <w14:solidFill>
              <w14:schemeClr w14:val="tx1"/>
            </w14:solidFill>
          </w14:textFill>
        </w:rPr>
        <w:t>238</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μg/g (AUC</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0.82, 95%CI: 0.72-0.89, </w:t>
      </w:r>
      <w:r>
        <w:rPr>
          <w:rFonts w:ascii="Book Antiqua" w:hAnsi="Book Antiqua" w:eastAsia="Book Antiqua" w:cs="Book Antiqua"/>
          <w:i/>
          <w:color w:val="000000" w:themeColor="text1"/>
          <w14:textFill>
            <w14:solidFill>
              <w14:schemeClr w14:val="tx1"/>
            </w14:solidFill>
          </w14:textFill>
        </w:rPr>
        <w:t>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&lt; </w:t>
      </w:r>
      <w:r>
        <w:rPr>
          <w:rFonts w:ascii="Book Antiqua" w:hAnsi="Book Antiqua" w:eastAsia="Book Antiqua" w:cs="Book Antiqua"/>
          <w:color w:val="000000" w:themeColor="text1"/>
          <w14:textFill>
            <w14:solidFill>
              <w14:schemeClr w14:val="tx1"/>
            </w14:solidFill>
          </w14:textFill>
        </w:rPr>
        <w:t>0.001) moderately predicted endoscopic activity at week 54.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5.60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in combination with FCP &gt; 238</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μg/g indicated 82.0% possibility of endoscopic activity. At week 54,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2.10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color w:val="000000" w:themeColor="text1"/>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(AUC</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0.85, 95%CI: 0.72-0.93, </w:t>
      </w:r>
      <w:r>
        <w:rPr>
          <w:rFonts w:ascii="Book Antiqua" w:hAnsi="Book Antiqua" w:eastAsia="Book Antiqua" w:cs="Book Antiqua"/>
          <w:i/>
          <w:color w:val="000000" w:themeColor="text1"/>
          <w14:textFill>
            <w14:solidFill>
              <w14:schemeClr w14:val="tx1"/>
            </w14:solidFill>
          </w14:textFill>
        </w:rPr>
        <w:t>P</w:t>
      </w:r>
      <w:r>
        <w:rPr>
          <w:rFonts w:ascii="Book Antiqua" w:hAnsi="Book Antiqua" w:cs="Book Antiqua"/>
          <w:i/>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&lt; </w:t>
      </w:r>
      <w:r>
        <w:rPr>
          <w:rFonts w:ascii="Book Antiqua" w:hAnsi="Book Antiqua" w:eastAsia="Book Antiqua" w:cs="Book Antiqua"/>
          <w:color w:val="000000" w:themeColor="text1"/>
          <w14:textFill>
            <w14:solidFill>
              <w14:schemeClr w14:val="tx1"/>
            </w14:solidFill>
          </w14:textFill>
        </w:rPr>
        <w:t>0.001) and CRP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&gt; </w:t>
      </w:r>
      <w:r>
        <w:rPr>
          <w:rFonts w:ascii="Book Antiqua" w:hAnsi="Book Antiqua" w:eastAsia="Book Antiqua" w:cs="Book Antiqua"/>
          <w:color w:val="000000" w:themeColor="text1"/>
          <w14:textFill>
            <w14:solidFill>
              <w14:schemeClr w14:val="tx1"/>
            </w14:solidFill>
          </w14:textFill>
        </w:rPr>
        <w:t>3.00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mg/L (AUC</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0.73, 95%CI: 0.60-0.84, </w:t>
      </w:r>
      <w:r>
        <w:rPr>
          <w:rFonts w:ascii="Book Antiqua" w:hAnsi="Book Antiqua" w:eastAsia="Book Antiqua" w:cs="Book Antiqua"/>
          <w:i/>
          <w:color w:val="000000" w:themeColor="text1"/>
          <w14:textFill>
            <w14:solidFill>
              <w14:schemeClr w14:val="tx1"/>
            </w14:solidFill>
          </w14:textFill>
        </w:rPr>
        <w:t>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0.012) moderately predicted moderate endoscopic activity at week 108.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2.10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in combination with CRP &gt; 3.00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mg/L indicated 100.0% possibility of endoscopic activity. From weeks 14 to 54 of IFX treatment, patients with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&gt;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5.60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had higher rate of endoscopic relapse free survival than those with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5.60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(95.83% </w:t>
      </w:r>
      <w:r>
        <w:rPr>
          <w:rFonts w:ascii="Book Antiqua" w:hAnsi="Book Antiqua" w:eastAsia="Book Antiqua" w:cs="Book Antiqua"/>
          <w:i/>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46.67%). From weeks 54 to 108 of IFX treatment, patients with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&gt;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2.10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had higher rate of endoscopic survival free relapsed rate than those with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2.10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(92.68% </w:t>
      </w:r>
      <w:r>
        <w:rPr>
          <w:rFonts w:ascii="Book Antiqua" w:hAnsi="Book Antiqua" w:eastAsia="Book Antiqua" w:cs="Book Antiqua"/>
          <w:i/>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30.77%).</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CONCLUSION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Combination of ITL, CRP, and FCP contribute to long-term endoscopic prognosis monitoring. During IFX maintenance treatment, low ITL, high CRP level, and high FCP level were independent risk factors of CD patients with clinical remission in adverse endoscopy outcomes within 1-year follow-up.</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Key Words: </w:t>
      </w:r>
      <w:bookmarkStart w:id="4" w:name="OLE_LINK342"/>
      <w:bookmarkStart w:id="5" w:name="OLE_LINK341"/>
      <w:r>
        <w:rPr>
          <w:rFonts w:ascii="Book Antiqua" w:hAnsi="Book Antiqua" w:eastAsia="Book Antiqua" w:cs="Book Antiqua"/>
          <w:color w:val="000000" w:themeColor="text1"/>
          <w14:textFill>
            <w14:solidFill>
              <w14:schemeClr w14:val="tx1"/>
            </w14:solidFill>
          </w14:textFill>
        </w:rPr>
        <w:t>Infliximab trough level; C-reactive protein; Fecal calprotectin; Crohn’s disease; Clinical remission; Long-term endoscopic outcomes</w:t>
      </w:r>
    </w:p>
    <w:bookmarkEnd w:id="4"/>
    <w:bookmarkEnd w:id="5"/>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Book Antiqua" w:cs="Book Antiqua"/>
          <w:color w:val="000000" w:themeColor="text1"/>
          <w14:textFill>
            <w14:solidFill>
              <w14:schemeClr w14:val="tx1"/>
            </w14:solidFill>
          </w14:textFill>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color w:val="000000" w:themeColor="text1"/>
          <w14:textFill>
            <w14:solidFill>
              <w14:schemeClr w14:val="tx1"/>
            </w14:solidFill>
          </w14:textFill>
        </w:rPr>
        <w:t>Cao WT, Huang R, Liu S, Fan YH, Xu M</w:t>
      </w:r>
      <w:r>
        <w:rPr>
          <w:rFonts w:hint="eastAsia" w:ascii="Book Antiqua" w:hAnsi="Book Antiqua" w:eastAsia="宋体" w:cs="Book Antiqua"/>
          <w:color w:val="000000" w:themeColor="text1"/>
          <w:lang w:val="en-US" w:eastAsia="zh-CN"/>
          <w14:textFill>
            <w14:solidFill>
              <w14:schemeClr w14:val="tx1"/>
            </w14:solidFill>
          </w14:textFill>
        </w:rPr>
        <w:t>S</w:t>
      </w:r>
      <w:r>
        <w:rPr>
          <w:rFonts w:ascii="Book Antiqua" w:hAnsi="Book Antiqua" w:eastAsia="Book Antiqua" w:cs="Book Antiqua"/>
          <w:color w:val="000000" w:themeColor="text1"/>
          <w14:textFill>
            <w14:solidFill>
              <w14:schemeClr w14:val="tx1"/>
            </w14:solidFill>
          </w14:textFill>
        </w:rPr>
        <w:t xml:space="preserve">, Xu Y, Ni H. Infliximab trough level combined with inflammatory biomarkers predict long-term endoscopic outcomes in Crohn’s disease under infliximab therapy. </w:t>
      </w:r>
      <w:r>
        <w:rPr>
          <w:rFonts w:ascii="Book Antiqua" w:hAnsi="Book Antiqua" w:eastAsia="Book Antiqua" w:cs="Book Antiqua"/>
          <w:i/>
          <w:iCs/>
          <w:color w:val="000000" w:themeColor="text1"/>
          <w14:textFill>
            <w14:solidFill>
              <w14:schemeClr w14:val="tx1"/>
            </w14:solidFill>
          </w14:textFill>
        </w:rPr>
        <w:t>World J Gastroenterol</w:t>
      </w:r>
      <w:r>
        <w:rPr>
          <w:rFonts w:ascii="Book Antiqua" w:hAnsi="Book Antiqua" w:eastAsia="Book Antiqua" w:cs="Book Antiqua"/>
          <w:color w:val="000000" w:themeColor="text1"/>
          <w14:textFill>
            <w14:solidFill>
              <w14:schemeClr w14:val="tx1"/>
            </w14:solidFill>
          </w14:textFill>
        </w:rPr>
        <w:t xml:space="preserve"> 2022; </w:t>
      </w:r>
      <w:r>
        <w:rPr>
          <w:rFonts w:hint="eastAsia" w:ascii="Book Antiqua" w:hAnsi="Book Antiqua" w:eastAsia="Book Antiqua" w:cs="Book Antiqua"/>
          <w:color w:val="000000" w:themeColor="text1"/>
          <w14:textFill>
            <w14:solidFill>
              <w14:schemeClr w14:val="tx1"/>
            </w14:solidFill>
          </w14:textFill>
        </w:rPr>
        <w:t xml:space="preserve">28(23): </w:t>
      </w:r>
      <w:r>
        <w:rPr>
          <w:rFonts w:hint="default" w:ascii="Book Antiqua" w:hAnsi="Book Antiqua" w:eastAsia="Book Antiqua" w:cs="Book Antiqua"/>
          <w:i w:val="0"/>
          <w:iCs w:val="0"/>
          <w:color w:val="000000"/>
          <w:kern w:val="0"/>
          <w:sz w:val="24"/>
          <w:szCs w:val="24"/>
          <w:u w:val="none"/>
          <w:lang w:val="en-US" w:eastAsia="zh-CN" w:bidi="ar"/>
        </w:rPr>
        <w:t>258</w:t>
      </w:r>
      <w:r>
        <w:rPr>
          <w:rFonts w:hint="eastAsia" w:ascii="Book Antiqua" w:hAnsi="Book Antiqua" w:eastAsia="Book Antiqua" w:cs="Book Antiqua"/>
          <w:i w:val="0"/>
          <w:iCs w:val="0"/>
          <w:color w:val="000000"/>
          <w:kern w:val="0"/>
          <w:sz w:val="24"/>
          <w:szCs w:val="24"/>
          <w:u w:val="none"/>
          <w:lang w:val="en-US" w:eastAsia="zh-CN" w:bidi="ar"/>
        </w:rPr>
        <w:t>2</w:t>
      </w:r>
      <w:r>
        <w:rPr>
          <w:rFonts w:hint="default" w:ascii="Book Antiqua" w:hAnsi="Book Antiqua" w:eastAsia="Book Antiqua" w:cs="Book Antiqua"/>
          <w:i w:val="0"/>
          <w:iCs w:val="0"/>
          <w:color w:val="000000"/>
          <w:kern w:val="0"/>
          <w:sz w:val="24"/>
          <w:szCs w:val="24"/>
          <w:u w:val="none"/>
          <w:lang w:val="en-US" w:eastAsia="zh-CN" w:bidi="ar"/>
        </w:rPr>
        <w:t>-259</w:t>
      </w:r>
      <w:r>
        <w:rPr>
          <w:rFonts w:hint="eastAsia" w:ascii="Book Antiqua" w:hAnsi="Book Antiqua" w:eastAsia="Book Antiqua" w:cs="Book Antiqua"/>
          <w:i w:val="0"/>
          <w:iCs w:val="0"/>
          <w:color w:val="000000"/>
          <w:kern w:val="0"/>
          <w:sz w:val="24"/>
          <w:szCs w:val="24"/>
          <w:u w:val="none"/>
          <w:lang w:val="en-US" w:eastAsia="zh-CN" w:bidi="ar"/>
        </w:rPr>
        <w:t>6</w:t>
      </w:r>
      <w:r>
        <w:rPr>
          <w:rFonts w:hint="eastAsia" w:ascii="Book Antiqua" w:hAnsi="Book Antiqua" w:eastAsia="Book Antiqua" w:cs="Book Antiqua"/>
          <w:color w:val="000000" w:themeColor="text1"/>
          <w14:textFill>
            <w14:solidFill>
              <w14:schemeClr w14:val="tx1"/>
            </w14:solidFill>
          </w14:textFill>
        </w:rPr>
        <w:t xml:space="preserve">  </w:t>
      </w:r>
      <w:r>
        <w:rPr>
          <w:rFonts w:hint="eastAsia" w:ascii="Book Antiqua" w:hAnsi="Book Antiqua" w:eastAsia="Book Antiqua" w:cs="Book Antiqua"/>
          <w:b/>
          <w:bCs/>
          <w:color w:val="000000" w:themeColor="text1"/>
          <w14:textFill>
            <w14:solidFill>
              <w14:schemeClr w14:val="tx1"/>
            </w14:solidFill>
          </w14:textFill>
        </w:rPr>
        <w:t>URL</w:t>
      </w:r>
      <w:r>
        <w:rPr>
          <w:rFonts w:hint="eastAsia" w:ascii="Book Antiqua" w:hAnsi="Book Antiqua" w:eastAsia="Book Antiqua" w:cs="Book Antiqua"/>
          <w:color w:val="000000" w:themeColor="text1"/>
          <w14:textFill>
            <w14:solidFill>
              <w14:schemeClr w14:val="tx1"/>
            </w14:solidFill>
          </w14:textFill>
        </w:rPr>
        <w:t>: https://www.wjgnet.com/1007-9327/full/v28/i23/</w:t>
      </w:r>
      <w:bookmarkStart w:id="26" w:name="_GoBack"/>
      <w:bookmarkEnd w:id="26"/>
      <w:r>
        <w:rPr>
          <w:rFonts w:hint="default" w:ascii="Book Antiqua" w:hAnsi="Book Antiqua" w:eastAsia="Book Antiqua" w:cs="Book Antiqua"/>
          <w:i w:val="0"/>
          <w:iCs w:val="0"/>
          <w:color w:val="000000"/>
          <w:kern w:val="0"/>
          <w:sz w:val="24"/>
          <w:szCs w:val="24"/>
          <w:u w:val="none"/>
          <w:lang w:val="en-US" w:eastAsia="zh-CN" w:bidi="ar"/>
        </w:rPr>
        <w:t>258</w:t>
      </w:r>
      <w:r>
        <w:rPr>
          <w:rFonts w:hint="eastAsia" w:ascii="Book Antiqua" w:hAnsi="Book Antiqua" w:eastAsia="Book Antiqua" w:cs="Book Antiqua"/>
          <w:i w:val="0"/>
          <w:iCs w:val="0"/>
          <w:color w:val="000000"/>
          <w:kern w:val="0"/>
          <w:sz w:val="24"/>
          <w:szCs w:val="24"/>
          <w:u w:val="none"/>
          <w:lang w:val="en-US" w:eastAsia="zh-CN" w:bidi="ar"/>
        </w:rPr>
        <w:t>2</w:t>
      </w:r>
      <w:r>
        <w:rPr>
          <w:rFonts w:hint="eastAsia" w:ascii="Book Antiqua" w:hAnsi="Book Antiqua" w:eastAsia="Book Antiqua" w:cs="Book Antiqua"/>
          <w:color w:val="000000" w:themeColor="text1"/>
          <w14:textFill>
            <w14:solidFill>
              <w14:schemeClr w14:val="tx1"/>
            </w14:solidFill>
          </w14:textFill>
        </w:rPr>
        <w:t xml:space="preserve">.htm  </w:t>
      </w:r>
    </w:p>
    <w:p>
      <w:pPr>
        <w:spacing w:line="360" w:lineRule="auto"/>
        <w:jc w:val="both"/>
        <w:rPr>
          <w:rFonts w:hint="eastAsia" w:ascii="Book Antiqua" w:hAnsi="Book Antiqua" w:eastAsia="Book Antiqua" w:cs="Book Antiqua"/>
          <w:color w:val="000000" w:themeColor="text1"/>
          <w14:textFill>
            <w14:solidFill>
              <w14:schemeClr w14:val="tx1"/>
            </w14:solidFill>
          </w14:textFill>
        </w:rPr>
      </w:pPr>
      <w:r>
        <w:rPr>
          <w:rFonts w:hint="eastAsia" w:ascii="Book Antiqua" w:hAnsi="Book Antiqua" w:eastAsia="Book Antiqua" w:cs="Book Antiqua"/>
          <w:b/>
          <w:bCs/>
          <w:color w:val="000000" w:themeColor="text1"/>
          <w14:textFill>
            <w14:solidFill>
              <w14:schemeClr w14:val="tx1"/>
            </w14:solidFill>
          </w14:textFill>
        </w:rPr>
        <w:t>DOI</w:t>
      </w:r>
      <w:r>
        <w:rPr>
          <w:rFonts w:hint="eastAsia" w:ascii="Book Antiqua" w:hAnsi="Book Antiqua" w:eastAsia="Book Antiqua" w:cs="Book Antiqua"/>
          <w:color w:val="000000" w:themeColor="text1"/>
          <w14:textFill>
            <w14:solidFill>
              <w14:schemeClr w14:val="tx1"/>
            </w14:solidFill>
          </w14:textFill>
        </w:rPr>
        <w:t>: https://dx.doi.org/10.3748/wjg.v28.i23.</w:t>
      </w:r>
      <w:r>
        <w:rPr>
          <w:rFonts w:hint="default" w:ascii="Book Antiqua" w:hAnsi="Book Antiqua" w:eastAsia="Book Antiqua" w:cs="Book Antiqua"/>
          <w:i w:val="0"/>
          <w:iCs w:val="0"/>
          <w:color w:val="000000"/>
          <w:kern w:val="0"/>
          <w:sz w:val="24"/>
          <w:szCs w:val="24"/>
          <w:u w:val="none"/>
          <w:lang w:val="en-US" w:eastAsia="zh-CN" w:bidi="ar"/>
        </w:rPr>
        <w:t>258</w:t>
      </w:r>
      <w:r>
        <w:rPr>
          <w:rFonts w:hint="eastAsia" w:ascii="Book Antiqua" w:hAnsi="Book Antiqua" w:eastAsia="Book Antiqua" w:cs="Book Antiqua"/>
          <w:i w:val="0"/>
          <w:iCs w:val="0"/>
          <w:color w:val="000000"/>
          <w:kern w:val="0"/>
          <w:sz w:val="24"/>
          <w:szCs w:val="24"/>
          <w:u w:val="none"/>
          <w:lang w:val="en-US" w:eastAsia="zh-CN" w:bidi="ar"/>
        </w:rPr>
        <w:t>2</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Core Tip: </w:t>
      </w:r>
      <w:r>
        <w:rPr>
          <w:rFonts w:ascii="Book Antiqua" w:hAnsi="Book Antiqua" w:eastAsia="Book Antiqua" w:cs="Book Antiqua"/>
          <w:color w:val="000000" w:themeColor="text1"/>
          <w14:textFill>
            <w14:solidFill>
              <w14:schemeClr w14:val="tx1"/>
            </w14:solidFill>
          </w14:textFill>
        </w:rPr>
        <w:t>Previous investigations, contraposing Crohn’s disease patients under infliximab (IFX) maintenance therapy, have indicated that higher IFX trough level</w:t>
      </w:r>
      <w:r>
        <w:rPr>
          <w:rFonts w:ascii="Book Antiqua" w:hAnsi="Book Antiqua" w:cs="Book Antiqua"/>
          <w:color w:val="000000" w:themeColor="text1"/>
          <w:lang w:eastAsia="zh-CN"/>
          <w14:textFill>
            <w14:solidFill>
              <w14:schemeClr w14:val="tx1"/>
            </w14:solidFill>
          </w14:textFill>
        </w:rPr>
        <w:t>s</w:t>
      </w:r>
      <w:r>
        <w:rPr>
          <w:rFonts w:ascii="Book Antiqua" w:hAnsi="Book Antiqua" w:eastAsia="Book Antiqua" w:cs="Book Antiqua"/>
          <w:color w:val="000000" w:themeColor="text1"/>
          <w14:textFill>
            <w14:solidFill>
              <w14:schemeClr w14:val="tx1"/>
            </w14:solidFill>
          </w14:textFill>
        </w:rPr>
        <w:t xml:space="preserve"> (ITL</w:t>
      </w:r>
      <w:r>
        <w:rPr>
          <w:rFonts w:ascii="Book Antiqua" w:hAnsi="Book Antiqua" w:cs="Book Antiqua"/>
          <w:color w:val="000000" w:themeColor="text1"/>
          <w:lang w:eastAsia="zh-CN"/>
          <w14:textFill>
            <w14:solidFill>
              <w14:schemeClr w14:val="tx1"/>
            </w14:solidFill>
          </w14:textFill>
        </w:rPr>
        <w:t>s</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were associated with sustained drug response and clinical remission in inflammatory bowel disease</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patients, while lower ITLs were linked to secondary unresponsiveness of IFX. Currently, endoscopic remission or mucosal healing has been considered the main goal of biological therapy. Our study manifested that Crohn’s disease patients with higher levels of IFX blood concentration and lower levels of inflammatory biomarkers tended to have a better long-term endoscopic prognosis. Combining ITL, fecal calprotectin and C-reactive protein monitoring was helpful for the timely adjustment of IFX treatment strategy.</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br w:type="page"/>
      </w:r>
      <w:r>
        <w:rPr>
          <w:rFonts w:ascii="Book Antiqua" w:hAnsi="Book Antiqua" w:eastAsia="Book Antiqua" w:cs="Book Antiqua"/>
          <w:b/>
          <w:caps/>
          <w:color w:val="000000" w:themeColor="text1"/>
          <w:u w:val="single"/>
          <w14:textFill>
            <w14:solidFill>
              <w14:schemeClr w14:val="tx1"/>
            </w14:solidFill>
          </w14:textFill>
        </w:rPr>
        <w:t>INTRODUCTION</w:t>
      </w: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Crohn’s disease (CD) is a persistently progressive disease with nonspecific inflammation characterized by disease scope involving the whole digestive tract and disease depth involving the whole intestinal wall. The accumulation damage of intestinal walls contributes to the occurrence of stenosis, fistula and even abscess, reducing the life quality. Therefore, recent clinical studies have consistently concluded that therapeutic strategies and targets play key roles in controlling CD progression. Setting different therapeutic targets will have different disease outcomes. Clinical response, focusing only on the improvement of clinical symptoms, can improve the quality of daily life but not affect long-term treatment outcomes. CD patients who do not achieve deep remission may be aggravated persistently, while achieving deep remission could reduce long-term hospitalization and surgery rates. Deep remission is mainly defined in previous studies as endoscopic remission or mucosal healing. Biologics, as an important step in the therapeutic strategy of CD, can effectively control the disease progression if conducted early and completely. </w:t>
      </w:r>
    </w:p>
    <w:p>
      <w:pPr>
        <w:spacing w:line="360" w:lineRule="auto"/>
        <w:ind w:firstLine="72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In consideration of the wide use of infliximab (IFX), precisely predicting the long-term endoscopic outcomes is stressed by more and more inflammatory bowel disease (IBD) physicians. Although the IFX trough level (ITL) has been proven to be closely related to the outcome of CD, ITL alone may be biased in predicting the outcome of CD. Monitoring inflammation biomarkers is one of the important links of IFX therapy, including C-reaction protein (CRP), fecal calprotectin (FCP), </w:t>
      </w:r>
      <w:r>
        <w:rPr>
          <w:rFonts w:ascii="Book Antiqua" w:hAnsi="Book Antiqua" w:eastAsia="Book Antiqua" w:cs="Book Antiqua"/>
          <w:i/>
          <w:iCs/>
          <w:color w:val="000000" w:themeColor="text1"/>
          <w14:textFill>
            <w14:solidFill>
              <w14:schemeClr w14:val="tx1"/>
            </w14:solidFill>
          </w14:textFill>
        </w:rPr>
        <w:t>etc.</w:t>
      </w:r>
      <w:r>
        <w:rPr>
          <w:rFonts w:ascii="Book Antiqua" w:hAnsi="Book Antiqua" w:eastAsia="Book Antiqua" w:cs="Book Antiqua"/>
          <w:color w:val="000000" w:themeColor="text1"/>
          <w14:textFill>
            <w14:solidFill>
              <w14:schemeClr w14:val="tx1"/>
            </w14:solidFill>
          </w14:textFill>
        </w:rPr>
        <w:t xml:space="preserve"> High inflammatory load affects the pharmacokinetics of IFX, inducing secondary nonresponse by decreasing blood drug concentration. Currently, it is believed that inflammatory biomarkers are good predictors of disease activity, but there is still a lack of reliable evidence for predicting disease remission. Therefore, this study intends to evaluate long-term endoscopic outcomes of CD patients receiving IFX treatment by combining the blood drug concentration and inflammatory biomarkers.</w:t>
      </w:r>
    </w:p>
    <w:p>
      <w:pPr>
        <w:spacing w:line="360" w:lineRule="auto"/>
        <w:ind w:firstLine="420"/>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MATERIALS AND METHODS</w:t>
      </w:r>
    </w:p>
    <w:p>
      <w:pPr>
        <w:spacing w:line="360" w:lineRule="auto"/>
        <w:jc w:val="both"/>
        <w:rPr>
          <w:rFonts w:ascii="Book Antiqua" w:hAnsi="Book Antiqua"/>
          <w:i/>
          <w:color w:val="000000" w:themeColor="text1"/>
          <w14:textFill>
            <w14:solidFill>
              <w14:schemeClr w14:val="tx1"/>
            </w14:solidFill>
          </w14:textFill>
        </w:rPr>
      </w:pPr>
      <w:r>
        <w:rPr>
          <w:rFonts w:ascii="Book Antiqua" w:hAnsi="Book Antiqua" w:eastAsia="Book Antiqua" w:cs="Book Antiqua"/>
          <w:b/>
          <w:bCs/>
          <w:i/>
          <w:color w:val="000000" w:themeColor="text1"/>
          <w14:textFill>
            <w14:solidFill>
              <w14:schemeClr w14:val="tx1"/>
            </w14:solidFill>
          </w14:textFill>
        </w:rPr>
        <w:t>Study subjects design</w:t>
      </w:r>
    </w:p>
    <w:p>
      <w:pPr>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A single-center retrospective research was implemented at the First Affiliated Hospital of Zhejiang Chinese Medical University. </w:t>
      </w:r>
      <w:r>
        <w:rPr>
          <w:rFonts w:ascii="Book Antiqua" w:hAnsi="Book Antiqua" w:cs="Book Antiqua"/>
          <w:color w:val="000000" w:themeColor="text1"/>
          <w:lang w:eastAsia="zh-CN"/>
          <w14:textFill>
            <w14:solidFill>
              <w14:schemeClr w14:val="tx1"/>
            </w14:solidFill>
          </w14:textFill>
        </w:rPr>
        <w:t>CD</w:t>
      </w:r>
      <w:r>
        <w:rPr>
          <w:rFonts w:ascii="Book Antiqua" w:hAnsi="Book Antiqua" w:eastAsia="Book Antiqua" w:cs="Book Antiqua"/>
          <w:color w:val="000000" w:themeColor="text1"/>
          <w14:textFill>
            <w14:solidFill>
              <w14:schemeClr w14:val="tx1"/>
            </w14:solidFill>
          </w14:textFill>
        </w:rPr>
        <w:t xml:space="preserve"> patients under IFX therapy from January 2012 to December 2020 were collected. </w:t>
      </w:r>
      <w:r>
        <w:rPr>
          <w:rFonts w:ascii="Book Antiqua" w:hAnsi="Book Antiqua" w:cs="Book Antiqua"/>
          <w:color w:val="000000" w:themeColor="text1"/>
          <w:lang w:eastAsia="zh-CN"/>
          <w14:textFill>
            <w14:solidFill>
              <w14:schemeClr w14:val="tx1"/>
            </w14:solidFill>
          </w14:textFill>
        </w:rPr>
        <w:t xml:space="preserve">One hundred and eighty-one </w:t>
      </w:r>
      <w:r>
        <w:rPr>
          <w:rFonts w:ascii="Book Antiqua" w:hAnsi="Book Antiqua" w:eastAsia="Book Antiqua" w:cs="Book Antiqua"/>
          <w:color w:val="000000" w:themeColor="text1"/>
          <w14:textFill>
            <w14:solidFill>
              <w14:schemeClr w14:val="tx1"/>
            </w14:solidFill>
          </w14:textFill>
        </w:rPr>
        <w:t xml:space="preserve">CD patients underwent IFX treatment. </w:t>
      </w:r>
      <w:r>
        <w:rPr>
          <w:rFonts w:ascii="Book Antiqua" w:hAnsi="Book Antiqua" w:cs="Book Antiqua"/>
          <w:color w:val="000000" w:themeColor="text1"/>
          <w:lang w:eastAsia="zh-CN"/>
          <w14:textFill>
            <w14:solidFill>
              <w14:schemeClr w14:val="tx1"/>
            </w14:solidFill>
          </w14:textFill>
        </w:rPr>
        <w:t>One hundred and fifty-one</w:t>
      </w:r>
      <w:r>
        <w:rPr>
          <w:rFonts w:ascii="Book Antiqua" w:hAnsi="Book Antiqua" w:eastAsia="Book Antiqua" w:cs="Book Antiqua"/>
          <w:color w:val="000000" w:themeColor="text1"/>
          <w14:textFill>
            <w14:solidFill>
              <w14:schemeClr w14:val="tx1"/>
            </w14:solidFill>
          </w14:textFill>
        </w:rPr>
        <w:t xml:space="preserve"> CD patients underwent endoscopy as well as serum concentration monitoring at week 14 after the third dose of IFX induction therapy. Inclusion criteria: (</w:t>
      </w:r>
      <w:r>
        <w:rPr>
          <w:rFonts w:ascii="Book Antiqua" w:hAnsi="Book Antiqua" w:cs="Book Antiqua"/>
          <w:color w:val="000000" w:themeColor="text1"/>
          <w:lang w:eastAsia="zh-CN"/>
          <w14:textFill>
            <w14:solidFill>
              <w14:schemeClr w14:val="tx1"/>
            </w14:solidFill>
          </w14:textFill>
        </w:rPr>
        <w:t>1</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caps/>
          <w:color w:val="000000" w:themeColor="text1"/>
          <w14:textFill>
            <w14:solidFill>
              <w14:schemeClr w14:val="tx1"/>
            </w14:solidFill>
          </w14:textFill>
        </w:rPr>
        <w:t>e</w:t>
      </w:r>
      <w:r>
        <w:rPr>
          <w:rFonts w:ascii="Book Antiqua" w:hAnsi="Book Antiqua" w:eastAsia="Book Antiqua" w:cs="Book Antiqua"/>
          <w:color w:val="000000" w:themeColor="text1"/>
          <w14:textFill>
            <w14:solidFill>
              <w14:schemeClr w14:val="tx1"/>
            </w14:solidFill>
          </w14:textFill>
        </w:rPr>
        <w:t>ndoscopic remission at week 14 [</w:t>
      </w:r>
      <w:r>
        <w:rPr>
          <w:rFonts w:ascii="Book Antiqua" w:hAnsi="Book Antiqua"/>
          <w:color w:val="000000" w:themeColor="text1"/>
          <w:lang w:eastAsia="zh-CN"/>
          <w14:textFill>
            <w14:solidFill>
              <w14:schemeClr w14:val="tx1"/>
            </w14:solidFill>
          </w14:textFill>
        </w:rPr>
        <w:t>Crohn’s disease endoscopic index of severity</w:t>
      </w:r>
      <w:r>
        <w:rPr>
          <w:rFonts w:ascii="Book Antiqua" w:hAnsi="Book Antiqua" w:eastAsia="Book Antiqua" w:cs="Book Antiqua"/>
          <w:color w:val="000000" w:themeColor="text1"/>
          <w14:textFill>
            <w14:solidFill>
              <w14:schemeClr w14:val="tx1"/>
            </w14:solidFill>
          </w14:textFill>
        </w:rPr>
        <w:t xml:space="preserve"> (CDEIS) score ≤ 2 points or Rutgeerts ≤ i1]</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cs="Book Antiqua"/>
          <w:color w:val="000000" w:themeColor="text1"/>
          <w:lang w:eastAsia="zh-CN"/>
          <w14:textFill>
            <w14:solidFill>
              <w14:schemeClr w14:val="tx1"/>
            </w14:solidFill>
          </w14:textFill>
        </w:rPr>
        <w:t>2</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caps/>
          <w:color w:val="000000" w:themeColor="text1"/>
          <w14:textFill>
            <w14:solidFill>
              <w14:schemeClr w14:val="tx1"/>
            </w14:solidFill>
          </w14:textFill>
        </w:rPr>
        <w:t>c</w:t>
      </w:r>
      <w:r>
        <w:rPr>
          <w:rFonts w:ascii="Book Antiqua" w:hAnsi="Book Antiqua" w:eastAsia="Book Antiqua" w:cs="Book Antiqua"/>
          <w:color w:val="000000" w:themeColor="text1"/>
          <w14:textFill>
            <w14:solidFill>
              <w14:schemeClr w14:val="tx1"/>
            </w14:solidFill>
          </w14:textFill>
        </w:rPr>
        <w:t>linical remission after IFX induction therapy without corticosteroids more than 6 mo</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cs="Book Antiqua"/>
          <w:color w:val="000000" w:themeColor="text1"/>
          <w:lang w:eastAsia="zh-CN"/>
          <w14:textFill>
            <w14:solidFill>
              <w14:schemeClr w14:val="tx1"/>
            </w14:solidFill>
          </w14:textFill>
        </w:rPr>
        <w:t xml:space="preserve">and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3</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caps/>
          <w:color w:val="000000" w:themeColor="text1"/>
          <w14:textFill>
            <w14:solidFill>
              <w14:schemeClr w14:val="tx1"/>
            </w14:solidFill>
          </w14:textFill>
        </w:rPr>
        <w:t>t</w:t>
      </w:r>
      <w:r>
        <w:rPr>
          <w:rFonts w:ascii="Book Antiqua" w:hAnsi="Book Antiqua" w:eastAsia="Book Antiqua" w:cs="Book Antiqua"/>
          <w:color w:val="000000" w:themeColor="text1"/>
          <w14:textFill>
            <w14:solidFill>
              <w14:schemeClr w14:val="tx1"/>
            </w14:solidFill>
          </w14:textFill>
        </w:rPr>
        <w:t>herapeutic strategy during maintenance stage was designed as IFX 5</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mg/kg every 8 wk combined with azathioprine (AZA) 50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 every day. Therapeutic strategic was modulated if CD patients were confronted with clinical relapse or secondary loss of response (LOR), and data analysis focused on the treatment course when patients received IFX 5</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mg/kg and AZA therapy regularly. Secondary LOR was defined as a recurrence of the disease during IFX maintenance therapy. Two criteria were met to determine LOR: The recurrence of symptoms of IBD in clinical remission after induction therapy and symptoms caused by the inflammatory activity of IBD itself. Clinical relapse means </w:t>
      </w:r>
      <w:r>
        <w:rPr>
          <w:rFonts w:ascii="Book Antiqua" w:hAnsi="Book Antiqua"/>
          <w:color w:val="000000" w:themeColor="text1"/>
          <w:lang w:eastAsia="zh-CN"/>
          <w14:textFill>
            <w14:solidFill>
              <w14:schemeClr w14:val="tx1"/>
            </w14:solidFill>
          </w14:textFill>
        </w:rPr>
        <w:t>Crohn’s disease activity index</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&gt;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150 points. Blood drug concentration monitoring and clinical, laboratory, endoscopic and imaging evaluation were implemented every 2 mo since the third dose of IFX induction therapy in all patients. The study was divided into two stages, step I study period defined as IFX maintenance therapy during week 14 to week 54 and step II study period defined as IFX maintenance therapy during week 54 to week 108.</w:t>
      </w:r>
    </w:p>
    <w:p>
      <w:pPr>
        <w:spacing w:line="360" w:lineRule="auto"/>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i/>
          <w:color w:val="000000" w:themeColor="text1"/>
          <w14:textFill>
            <w14:solidFill>
              <w14:schemeClr w14:val="tx1"/>
            </w14:solidFill>
          </w14:textFill>
        </w:rPr>
      </w:pPr>
      <w:r>
        <w:rPr>
          <w:rFonts w:ascii="Book Antiqua" w:hAnsi="Book Antiqua" w:eastAsia="Book Antiqua" w:cs="Book Antiqua"/>
          <w:b/>
          <w:bCs/>
          <w:i/>
          <w:color w:val="000000" w:themeColor="text1"/>
          <w14:textFill>
            <w14:solidFill>
              <w14:schemeClr w14:val="tx1"/>
            </w14:solidFill>
          </w14:textFill>
        </w:rPr>
        <w:t>Data collection</w:t>
      </w:r>
    </w:p>
    <w:p>
      <w:pPr>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General data included age, sex, course, disease location, disease behavior, medication history and history of intestinal surgery. Laboratory indicators include white blood cell count, blood platelet count, CRP, erythrocyte sedimentation rate, serum albumin, FCP, ITL and anti-IFX antibody. Evaluation indicators of disease severity included </w:t>
      </w:r>
      <w:r>
        <w:rPr>
          <w:rFonts w:ascii="Book Antiqua" w:hAnsi="Book Antiqua"/>
          <w:color w:val="000000" w:themeColor="text1"/>
          <w:lang w:eastAsia="zh-CN"/>
          <w14:textFill>
            <w14:solidFill>
              <w14:schemeClr w14:val="tx1"/>
            </w14:solidFill>
          </w14:textFill>
        </w:rPr>
        <w:t>Crohn’s disease activity index</w:t>
      </w:r>
      <w:r>
        <w:rPr>
          <w:rFonts w:ascii="Book Antiqua" w:hAnsi="Book Antiqua" w:eastAsia="Book Antiqua" w:cs="Book Antiqua"/>
          <w:color w:val="000000" w:themeColor="text1"/>
          <w14:textFill>
            <w14:solidFill>
              <w14:schemeClr w14:val="tx1"/>
            </w14:solidFill>
          </w14:textFill>
        </w:rPr>
        <w:t xml:space="preserve"> score on clinical severity, CDEIS score on endoscopic severity in CD patients without intestinal surgery and Rutgeerts score on endoscopic severity in CD patients with intestinal surgery. </w:t>
      </w:r>
    </w:p>
    <w:p>
      <w:pPr>
        <w:spacing w:line="360" w:lineRule="auto"/>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i/>
          <w:color w:val="000000" w:themeColor="text1"/>
          <w14:textFill>
            <w14:solidFill>
              <w14:schemeClr w14:val="tx1"/>
            </w14:solidFill>
          </w14:textFill>
        </w:rPr>
      </w:pPr>
      <w:r>
        <w:rPr>
          <w:rFonts w:ascii="Book Antiqua" w:hAnsi="Book Antiqua" w:eastAsia="Book Antiqua" w:cs="Book Antiqua"/>
          <w:b/>
          <w:bCs/>
          <w:i/>
          <w:color w:val="000000" w:themeColor="text1"/>
          <w14:textFill>
            <w14:solidFill>
              <w14:schemeClr w14:val="tx1"/>
            </w14:solidFill>
          </w14:textFill>
        </w:rPr>
        <w:t xml:space="preserve">Outcome definition </w:t>
      </w:r>
    </w:p>
    <w:p>
      <w:pPr>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Endoscopic outcomes at week 54 and week 108 after IFX initial therapy were evaluated by specialist physicians on IBD under electronic colonoscopy. Endoscopic remission was defined as CDEIS score ≤</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 or Rutgeerts score ≤</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i1, and endoscopic activity was defined as CDEIS score</w:t>
      </w:r>
      <w:r>
        <w:rPr>
          <w:rFonts w:ascii="Book Antiqua" w:hAnsi="Book Antiqua" w:eastAsia="宋体" w:cs="宋体"/>
          <w:color w:val="000000" w:themeColor="text1"/>
          <w:lang w:eastAsia="zh-CN"/>
          <w14:textFill>
            <w14:solidFill>
              <w14:schemeClr w14:val="tx1"/>
            </w14:solidFill>
          </w14:textFill>
        </w:rPr>
        <w:t xml:space="preserve"> &gt; </w:t>
      </w:r>
      <w:r>
        <w:rPr>
          <w:rFonts w:ascii="Book Antiqua" w:hAnsi="Book Antiqua" w:eastAsia="Book Antiqua" w:cs="Book Antiqua"/>
          <w:color w:val="000000" w:themeColor="text1"/>
          <w14:textFill>
            <w14:solidFill>
              <w14:schemeClr w14:val="tx1"/>
            </w14:solidFill>
          </w14:textFill>
        </w:rPr>
        <w:t>2 or Rutgeerts score</w:t>
      </w:r>
      <w:r>
        <w:rPr>
          <w:rFonts w:ascii="Book Antiqua" w:hAnsi="Book Antiqua" w:eastAsia="宋体" w:cs="宋体"/>
          <w:color w:val="000000" w:themeColor="text1"/>
          <w:lang w:eastAsia="zh-CN"/>
          <w14:textFill>
            <w14:solidFill>
              <w14:schemeClr w14:val="tx1"/>
            </w14:solidFill>
          </w14:textFill>
        </w:rPr>
        <w:t xml:space="preserve"> &gt; </w:t>
      </w:r>
      <w:r>
        <w:rPr>
          <w:rFonts w:ascii="Book Antiqua" w:hAnsi="Book Antiqua" w:eastAsia="Book Antiqua" w:cs="Book Antiqua"/>
          <w:color w:val="000000" w:themeColor="text1"/>
          <w14:textFill>
            <w14:solidFill>
              <w14:schemeClr w14:val="tx1"/>
            </w14:solidFill>
          </w14:textFill>
        </w:rPr>
        <w:t xml:space="preserve">i1. Survival outcomes during IFX maintenance therapy were concentrated on endoscopic relapse-free survival, defined as sustained endoscopic remission during step I study period or step II study period. </w:t>
      </w:r>
    </w:p>
    <w:p>
      <w:pPr>
        <w:spacing w:line="360" w:lineRule="auto"/>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i/>
          <w:color w:val="000000" w:themeColor="text1"/>
          <w14:textFill>
            <w14:solidFill>
              <w14:schemeClr w14:val="tx1"/>
            </w14:solidFill>
          </w14:textFill>
        </w:rPr>
      </w:pPr>
      <w:r>
        <w:rPr>
          <w:rFonts w:ascii="Book Antiqua" w:hAnsi="Book Antiqua" w:eastAsia="Book Antiqua" w:cs="Book Antiqua"/>
          <w:b/>
          <w:bCs/>
          <w:i/>
          <w:color w:val="000000" w:themeColor="text1"/>
          <w14:textFill>
            <w14:solidFill>
              <w14:schemeClr w14:val="tx1"/>
            </w14:solidFill>
          </w14:textFill>
        </w:rPr>
        <w:t>Statistical analysis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Descriptive statistical analysis was used to describe characteristics of CD patients. Number of</w:t>
      </w:r>
      <w:bookmarkStart w:id="6" w:name="OLE_LINK5"/>
      <w:r>
        <w:rPr>
          <w:rFonts w:ascii="Book Antiqua" w:hAnsi="Book Antiqua" w:eastAsia="Book Antiqua" w:cs="Book Antiqua"/>
          <w:color w:val="000000" w:themeColor="text1"/>
          <w14:textFill>
            <w14:solidFill>
              <w14:schemeClr w14:val="tx1"/>
            </w14:solidFill>
          </w14:textFill>
        </w:rPr>
        <w:t xml:space="preserve"> cases (percentage) was used to describe categorial variable.</w:t>
      </w:r>
      <w:bookmarkEnd w:id="6"/>
      <w:r>
        <w:rPr>
          <w:rFonts w:ascii="Book Antiqua" w:hAnsi="Book Antiqua" w:eastAsia="Book Antiqua" w:cs="Book Antiqua"/>
          <w:color w:val="000000" w:themeColor="text1"/>
          <w14:textFill>
            <w14:solidFill>
              <w14:schemeClr w14:val="tx1"/>
            </w14:solidFill>
          </w14:textFill>
        </w:rPr>
        <w:t xml:space="preserve"> </w:t>
      </w:r>
      <w:r>
        <w:rPr>
          <w:rFonts w:hint="eastAsia" w:ascii="Book Antiqua" w:hAnsi="Book Antiqua" w:eastAsia="宋体" w:cs="Book Antiqua"/>
          <w:color w:val="000000" w:themeColor="text1"/>
          <w:lang w:val="en-US" w:eastAsia="zh-CN"/>
          <w14:textFill>
            <w14:solidFill>
              <w14:schemeClr w14:val="tx1"/>
            </w14:solidFill>
          </w14:textFill>
        </w:rPr>
        <w:t>m</w:t>
      </w:r>
      <w:r>
        <w:rPr>
          <w:rFonts w:ascii="Book Antiqua" w:hAnsi="Book Antiqua" w:eastAsia="Book Antiqua" w:cs="Book Antiqua"/>
          <w:color w:val="000000" w:themeColor="text1"/>
          <w14:textFill>
            <w14:solidFill>
              <w14:schemeClr w14:val="tx1"/>
            </w14:solidFill>
          </w14:textFill>
        </w:rPr>
        <w:t>ean</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hint="eastAsia" w:ascii="Book Antiqua" w:hAnsi="Book Antiqua" w:cs="Book Antiqua"/>
          <w:color w:val="000000" w:themeColor="text1"/>
          <w:lang w:val="en-US" w:eastAsia="zh-CN"/>
          <w14:textFill>
            <w14:solidFill>
              <w14:schemeClr w14:val="tx1"/>
            </w14:solidFill>
          </w14:textFill>
        </w:rPr>
        <w:t>SD</w:t>
      </w:r>
      <w:r>
        <w:rPr>
          <w:rFonts w:ascii="Book Antiqua" w:hAnsi="Book Antiqua" w:eastAsia="Book Antiqua" w:cs="Book Antiqua"/>
          <w:color w:val="000000" w:themeColor="text1"/>
          <w14:textFill>
            <w14:solidFill>
              <w14:schemeClr w14:val="tx1"/>
            </w14:solidFill>
          </w14:textFill>
        </w:rPr>
        <w:t xml:space="preserve"> was used to describe continuous variable. Nonparametric Mann-Whitney test was used to compare two groups in enumeration data or measurement data without normal distribution. Two-sample t test was used to compare two groups in measurement data with normal distribution. One-way analysis of variance was used to compare multi-group if data satisfied homogeneity of variance. Nonparametric Kruskal-Wallis test was used to compare multi-group if data not satisfied homogeneity of variance. SPSS 23.0 (Armonk, NY, United States) was used to analyze differences between groups. A </w:t>
      </w:r>
      <w:r>
        <w:rPr>
          <w:rFonts w:ascii="Book Antiqua" w:hAnsi="Book Antiqua" w:eastAsia="Book Antiqua" w:cs="Book Antiqua"/>
          <w:i/>
          <w:caps/>
          <w:color w:val="000000" w:themeColor="text1"/>
          <w14:textFill>
            <w14:solidFill>
              <w14:schemeClr w14:val="tx1"/>
            </w14:solidFill>
          </w14:textFill>
        </w:rPr>
        <w:t>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value</w:t>
      </w:r>
      <w:r>
        <w:rPr>
          <w:rFonts w:ascii="Book Antiqua" w:hAnsi="Book Antiqua" w:eastAsia="宋体" w:cs="宋体"/>
          <w:color w:val="000000" w:themeColor="text1"/>
          <w:lang w:eastAsia="zh-CN"/>
          <w14:textFill>
            <w14:solidFill>
              <w14:schemeClr w14:val="tx1"/>
            </w14:solidFill>
          </w14:textFill>
        </w:rPr>
        <w:t xml:space="preserve"> &lt; </w:t>
      </w:r>
      <w:r>
        <w:rPr>
          <w:rFonts w:ascii="Book Antiqua" w:hAnsi="Book Antiqua" w:eastAsia="Book Antiqua" w:cs="Book Antiqua"/>
          <w:color w:val="000000" w:themeColor="text1"/>
          <w14:textFill>
            <w14:solidFill>
              <w14:schemeClr w14:val="tx1"/>
            </w14:solidFill>
          </w14:textFill>
        </w:rPr>
        <w:t xml:space="preserve">0.05 was considered significant. </w:t>
      </w:r>
    </w:p>
    <w:p>
      <w:pPr>
        <w:spacing w:line="360" w:lineRule="auto"/>
        <w:ind w:firstLine="42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Receiver-operating characteristic (ROC) analysis was used to identify the best cut off level of ITL on predicting endoscopic remission as well as sensitivity, specificity, positive predictive value, negative predictive value, area under the curve and Youden Index. Univariate logistic regression analysis was used to identify the association between endoscopic activity and predictors. Log-rank test was used to identify the association between endoscopic relapse and predictors. GraphPad Prism9.0 (San Diego, CA, United States) was used to draw histograms and survival analysis curves and implement log-rank test. MedCalc19.0 was used to draw ROC curve and analyze the predictive value of indicators on endoscopic outcomes. A </w:t>
      </w:r>
      <w:r>
        <w:rPr>
          <w:rFonts w:ascii="Book Antiqua" w:hAnsi="Book Antiqua" w:eastAsia="Book Antiqua" w:cs="Book Antiqua"/>
          <w:i/>
          <w:caps/>
          <w:color w:val="000000" w:themeColor="text1"/>
          <w14:textFill>
            <w14:solidFill>
              <w14:schemeClr w14:val="tx1"/>
            </w14:solidFill>
          </w14:textFill>
        </w:rPr>
        <w:t>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value</w:t>
      </w:r>
      <w:r>
        <w:rPr>
          <w:rFonts w:ascii="Book Antiqua" w:hAnsi="Book Antiqua" w:eastAsia="宋体" w:cs="宋体"/>
          <w:color w:val="000000" w:themeColor="text1"/>
          <w:lang w:eastAsia="zh-CN"/>
          <w14:textFill>
            <w14:solidFill>
              <w14:schemeClr w14:val="tx1"/>
            </w14:solidFill>
          </w14:textFill>
        </w:rPr>
        <w:t xml:space="preserve"> &lt; </w:t>
      </w:r>
      <w:r>
        <w:rPr>
          <w:rFonts w:ascii="Book Antiqua" w:hAnsi="Book Antiqua" w:eastAsia="Book Antiqua" w:cs="Book Antiqua"/>
          <w:color w:val="000000" w:themeColor="text1"/>
          <w14:textFill>
            <w14:solidFill>
              <w14:schemeClr w14:val="tx1"/>
            </w14:solidFill>
          </w14:textFill>
        </w:rPr>
        <w:t>0.05 was considered significant.</w:t>
      </w:r>
    </w:p>
    <w:p>
      <w:pPr>
        <w:spacing w:line="360" w:lineRule="auto"/>
        <w:ind w:firstLine="420"/>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RESULTS</w:t>
      </w:r>
    </w:p>
    <w:p>
      <w:pPr>
        <w:spacing w:line="360" w:lineRule="auto"/>
        <w:jc w:val="both"/>
        <w:rPr>
          <w:rFonts w:ascii="Book Antiqua" w:hAnsi="Book Antiqua"/>
          <w:i/>
          <w:color w:val="000000" w:themeColor="text1"/>
          <w14:textFill>
            <w14:solidFill>
              <w14:schemeClr w14:val="tx1"/>
            </w14:solidFill>
          </w14:textFill>
        </w:rPr>
      </w:pPr>
      <w:r>
        <w:rPr>
          <w:rFonts w:ascii="Book Antiqua" w:hAnsi="Book Antiqua" w:eastAsia="Book Antiqua" w:cs="Book Antiqua"/>
          <w:b/>
          <w:bCs/>
          <w:i/>
          <w:color w:val="000000" w:themeColor="text1"/>
          <w14:textFill>
            <w14:solidFill>
              <w14:schemeClr w14:val="tx1"/>
            </w14:solidFill>
          </w14:textFill>
        </w:rPr>
        <w:t>Characteristics of study subjects</w:t>
      </w:r>
    </w:p>
    <w:p>
      <w:pPr>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total, the study cohort collected 112 CD patients achieving clinical remission after IFX induction therapy. In step I study, 19 CD patients were excluded due to data absence (</w:t>
      </w:r>
      <w:r>
        <w:rPr>
          <w:rFonts w:ascii="Book Antiqua" w:hAnsi="Book Antiqua" w:eastAsia="Book Antiqua" w:cs="Book Antiqua"/>
          <w:i/>
          <w:iCs/>
          <w:color w:val="000000" w:themeColor="text1"/>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 = 1, 5.26%) and endoscopic activity at week 14 (</w:t>
      </w:r>
      <w:r>
        <w:rPr>
          <w:rFonts w:ascii="Book Antiqua" w:hAnsi="Book Antiqua" w:eastAsia="Book Antiqua" w:cs="Book Antiqua"/>
          <w:i/>
          <w:iCs/>
          <w:color w:val="000000" w:themeColor="text1"/>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 = 18, 94.74%), while 93 CD patients with endoscopic remission at week 14 were included. In step II study, 58 CD patients were excluded due to course of therapy shorter than 2 years (</w:t>
      </w:r>
      <w:r>
        <w:rPr>
          <w:rFonts w:ascii="Book Antiqua" w:hAnsi="Book Antiqua" w:eastAsia="Book Antiqua" w:cs="Book Antiqua"/>
          <w:i/>
          <w:iCs/>
          <w:color w:val="000000" w:themeColor="text1"/>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 = 10, 17.24%), secondary non-response of IFX (</w:t>
      </w:r>
      <w:r>
        <w:rPr>
          <w:rFonts w:ascii="Book Antiqua" w:hAnsi="Book Antiqua" w:eastAsia="Book Antiqua" w:cs="Book Antiqua"/>
          <w:i/>
          <w:iCs/>
          <w:color w:val="000000" w:themeColor="text1"/>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 = 12, 20.69%), suspension of IFX therapy within 2 years for disease remission (</w:t>
      </w:r>
      <w:r>
        <w:rPr>
          <w:rFonts w:ascii="Book Antiqua" w:hAnsi="Book Antiqua" w:eastAsia="Book Antiqua" w:cs="Book Antiqua"/>
          <w:i/>
          <w:iCs/>
          <w:color w:val="000000" w:themeColor="text1"/>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 = 10, 17.24%) and endoscopic activity at week 54 (</w:t>
      </w:r>
      <w:r>
        <w:rPr>
          <w:rFonts w:ascii="Book Antiqua" w:hAnsi="Book Antiqua" w:eastAsia="Book Antiqua" w:cs="Book Antiqua"/>
          <w:i/>
          <w:iCs/>
          <w:color w:val="000000" w:themeColor="text1"/>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 = 26, 44.83%), while 54 CD patients with endoscopic remission at week 54 were included. These 12 patients did not satisfy indications of operation and received hormonotherapy as the primary choice to alleviate disease, for our center lacked other biological agents at that time. All CD patients under IFX maintenance therapy were combined with AZA</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(Figure 1). The dose of IFX was 5</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mg/kg every 8 wk, and the dose of AZA was 50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 every day. Characteristics of CD patients included in study are shown in Table 1.</w:t>
      </w:r>
    </w:p>
    <w:p>
      <w:pPr>
        <w:spacing w:line="360" w:lineRule="auto"/>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i/>
          <w:color w:val="000000" w:themeColor="text1"/>
          <w14:textFill>
            <w14:solidFill>
              <w14:schemeClr w14:val="tx1"/>
            </w14:solidFill>
          </w14:textFill>
        </w:rPr>
      </w:pPr>
      <w:r>
        <w:rPr>
          <w:rFonts w:ascii="Book Antiqua" w:hAnsi="Book Antiqua" w:eastAsia="Book Antiqua" w:cs="Book Antiqua"/>
          <w:b/>
          <w:bCs/>
          <w:i/>
          <w:color w:val="000000" w:themeColor="text1"/>
          <w14:textFill>
            <w14:solidFill>
              <w14:schemeClr w14:val="tx1"/>
            </w14:solidFill>
          </w14:textFill>
        </w:rPr>
        <w:t>Correlation between ITL, inflammatory biomarkers and endoscopic outcomes</w:t>
      </w: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step I study, 67/93 CD patients (72.04%) sustained endoscopic remission at week 54 among. Multivariable regression analysis revealed that only ITL (OR</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0.666, 95%CI: 0.514-0.862, P = 0.002) and FCP (OR</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1.002, 95%CI: 1.001-1.004, P = 0.002) were independent risk of endoscopic activity at week 54 (Table 2). Based on incremental gain analysis, an ITL range of 5.0</w:t>
      </w:r>
      <w:r>
        <w:rPr>
          <w:rFonts w:ascii="Book Antiqua" w:hAnsi="Book Antiqua" w:eastAsia="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7.4</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μg/mL was correlated with sustained endoscopic remission rate of more than 85% (figure 2).</w:t>
      </w:r>
    </w:p>
    <w:p>
      <w:pPr>
        <w:spacing w:line="360" w:lineRule="auto"/>
        <w:ind w:firstLine="42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step II study, 42/54 CD patients (77.78%) sustained endoscopic remission at week 108. Multivariable regression analysis revealed that only ITL (OR</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0.466, 95%CI: 0.247-0.877,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0.018) and CRP (OR</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1.590, 95%CI: 1.007-2.510,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0.047) were independent risks of endoscopic activity at week 108 (Table 2). Based on incremental gain analysis, an ITL range of 2.0</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3.9</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μg/mL was correlated with sustained endoscopic remission rate of more than 85% (Figure </w:t>
      </w:r>
      <w:r>
        <w:rPr>
          <w:rFonts w:hint="eastAsia" w:ascii="Book Antiqua" w:hAnsi="Book Antiqua" w:cs="Book Antiqua"/>
          <w:color w:val="000000" w:themeColor="text1"/>
          <w:lang w:eastAsia="zh-CN"/>
          <w14:textFill>
            <w14:solidFill>
              <w14:schemeClr w14:val="tx1"/>
            </w14:solidFill>
          </w14:textFill>
        </w:rPr>
        <w:t>2</w:t>
      </w:r>
      <w:r>
        <w:rPr>
          <w:rFonts w:ascii="Book Antiqua" w:hAnsi="Book Antiqua" w:eastAsia="Book Antiqua" w:cs="Book Antiqua"/>
          <w:color w:val="000000" w:themeColor="text1"/>
          <w14:textFill>
            <w14:solidFill>
              <w14:schemeClr w14:val="tx1"/>
            </w14:solidFill>
          </w14:textFill>
        </w:rPr>
        <w:t>).</w:t>
      </w:r>
    </w:p>
    <w:p>
      <w:pPr>
        <w:spacing w:line="360" w:lineRule="auto"/>
        <w:jc w:val="both"/>
        <w:rPr>
          <w:rFonts w:ascii="Book Antiqua" w:hAnsi="Book Antiqua" w:cs="Book Antiqua"/>
          <w:b/>
          <w:bCs/>
          <w:color w:val="000000" w:themeColor="text1"/>
          <w:lang w:eastAsia="zh-CN"/>
          <w14:textFill>
            <w14:solidFill>
              <w14:schemeClr w14:val="tx1"/>
            </w14:solidFill>
          </w14:textFill>
        </w:rPr>
      </w:pPr>
    </w:p>
    <w:p>
      <w:pPr>
        <w:spacing w:line="360" w:lineRule="auto"/>
        <w:jc w:val="both"/>
        <w:rPr>
          <w:rFonts w:ascii="Book Antiqua" w:hAnsi="Book Antiqua" w:eastAsia="Book Antiqua" w:cs="Book Antiqua"/>
          <w:b/>
          <w:bCs/>
          <w:i/>
          <w:color w:val="000000" w:themeColor="text1"/>
          <w14:textFill>
            <w14:solidFill>
              <w14:schemeClr w14:val="tx1"/>
            </w14:solidFill>
          </w14:textFill>
        </w:rPr>
      </w:pPr>
      <w:bookmarkStart w:id="7" w:name="OLE_LINK3"/>
      <w:bookmarkStart w:id="8" w:name="OLE_LINK1"/>
      <w:r>
        <w:rPr>
          <w:rFonts w:ascii="Book Antiqua" w:hAnsi="Book Antiqua" w:eastAsia="Book Antiqua" w:cs="Book Antiqua"/>
          <w:b/>
          <w:bCs/>
          <w:i/>
          <w:color w:val="000000" w:themeColor="text1"/>
          <w14:textFill>
            <w14:solidFill>
              <w14:schemeClr w14:val="tx1"/>
            </w14:solidFill>
          </w14:textFill>
        </w:rPr>
        <w:t>Predictive value of ITL and inflammatory biomarkers on endoscopic outcomes</w:t>
      </w:r>
      <w:bookmarkEnd w:id="7"/>
    </w:p>
    <w:bookmarkEnd w:id="8"/>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step I study, the ROC analysis demonstrated that the best cut off level of ITL and FCP at week 14 on predicting endoscopic relapse at week 54 was 5.60</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μg/ml </w:t>
      </w:r>
      <w:bookmarkStart w:id="9" w:name="_Hlk101553245"/>
      <w:r>
        <w:rPr>
          <w:rFonts w:ascii="Book Antiqua" w:hAnsi="Book Antiqua" w:eastAsia="Book Antiqua" w:cs="Book Antiqua"/>
          <w:color w:val="000000" w:themeColor="text1"/>
          <w14:textFill>
            <w14:solidFill>
              <w14:schemeClr w14:val="tx1"/>
            </w14:solidFill>
          </w14:textFill>
        </w:rPr>
        <w:t>(AUC</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0.83, 95%CI: 0.73-0.90, P</w:t>
      </w:r>
      <w:r>
        <w:rPr>
          <w:rFonts w:ascii="Book Antiqua" w:hAnsi="Book Antiqua" w:eastAsia="Book Antiqua" w:cs="Book Antiqua"/>
          <w:color w:val="000000" w:themeColor="text1"/>
          <w:lang w:eastAsia="zh-CN"/>
          <w14:textFill>
            <w14:solidFill>
              <w14:schemeClr w14:val="tx1"/>
            </w14:solidFill>
          </w14:textFill>
        </w:rPr>
        <w:t xml:space="preserve"> &lt; </w:t>
      </w:r>
      <w:r>
        <w:rPr>
          <w:rFonts w:ascii="Book Antiqua" w:hAnsi="Book Antiqua" w:eastAsia="Book Antiqua" w:cs="Book Antiqua"/>
          <w:color w:val="000000" w:themeColor="text1"/>
          <w14:textFill>
            <w14:solidFill>
              <w14:schemeClr w14:val="tx1"/>
            </w14:solidFill>
          </w14:textFill>
        </w:rPr>
        <w:t xml:space="preserve">0.001) </w:t>
      </w:r>
      <w:bookmarkEnd w:id="9"/>
      <w:r>
        <w:rPr>
          <w:rFonts w:ascii="Book Antiqua" w:hAnsi="Book Antiqua" w:eastAsia="Book Antiqua" w:cs="Book Antiqua"/>
          <w:color w:val="000000" w:themeColor="text1"/>
          <w14:textFill>
            <w14:solidFill>
              <w14:schemeClr w14:val="tx1"/>
            </w14:solidFill>
          </w14:textFill>
        </w:rPr>
        <w:t>and 238</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μg/g </w:t>
      </w:r>
      <w:bookmarkStart w:id="10" w:name="_Hlk101553276"/>
      <w:r>
        <w:rPr>
          <w:rFonts w:ascii="Book Antiqua" w:hAnsi="Book Antiqua" w:eastAsia="Book Antiqua" w:cs="Book Antiqua"/>
          <w:color w:val="000000" w:themeColor="text1"/>
          <w14:textFill>
            <w14:solidFill>
              <w14:schemeClr w14:val="tx1"/>
            </w14:solidFill>
          </w14:textFill>
        </w:rPr>
        <w:t>(AUC</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0.82, 95%CI: 0.72-0.89, P</w:t>
      </w:r>
      <w:r>
        <w:rPr>
          <w:rFonts w:ascii="Book Antiqua" w:hAnsi="Book Antiqua" w:eastAsia="Book Antiqua" w:cs="Book Antiqua"/>
          <w:color w:val="000000" w:themeColor="text1"/>
          <w:lang w:eastAsia="zh-CN"/>
          <w14:textFill>
            <w14:solidFill>
              <w14:schemeClr w14:val="tx1"/>
            </w14:solidFill>
          </w14:textFill>
        </w:rPr>
        <w:t xml:space="preserve"> &lt; </w:t>
      </w:r>
      <w:r>
        <w:rPr>
          <w:rFonts w:ascii="Book Antiqua" w:hAnsi="Book Antiqua" w:eastAsia="Book Antiqua" w:cs="Book Antiqua"/>
          <w:color w:val="000000" w:themeColor="text1"/>
          <w14:textFill>
            <w14:solidFill>
              <w14:schemeClr w14:val="tx1"/>
            </w14:solidFill>
          </w14:textFill>
        </w:rPr>
        <w:t xml:space="preserve">0.001) </w:t>
      </w:r>
      <w:bookmarkEnd w:id="10"/>
      <w:r>
        <w:rPr>
          <w:rFonts w:ascii="Book Antiqua" w:hAnsi="Book Antiqua" w:eastAsia="Book Antiqua" w:cs="Book Antiqua"/>
          <w:color w:val="000000" w:themeColor="text1"/>
          <w14:textFill>
            <w14:solidFill>
              <w14:schemeClr w14:val="tx1"/>
            </w14:solidFill>
          </w14:textFill>
        </w:rPr>
        <w:t>(Table 3 and Figure 3). CD patients with ITL</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5.60</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μg/ml and FCP</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&gt;</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238</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μg/g at week 14 had 82% probability of endoscopic relapse at week 54. However, CD patients with ITL</w:t>
      </w:r>
      <w:r>
        <w:rPr>
          <w:rFonts w:ascii="Book Antiqua" w:hAnsi="Book Antiqua" w:eastAsia="Book Antiqua" w:cs="Book Antiqua"/>
          <w:color w:val="000000" w:themeColor="text1"/>
          <w:lang w:eastAsia="zh-CN"/>
          <w14:textFill>
            <w14:solidFill>
              <w14:schemeClr w14:val="tx1"/>
            </w14:solidFill>
          </w14:textFill>
        </w:rPr>
        <w:t xml:space="preserve"> &gt; </w:t>
      </w:r>
      <w:r>
        <w:rPr>
          <w:rFonts w:ascii="Book Antiqua" w:hAnsi="Book Antiqua" w:eastAsia="Book Antiqua" w:cs="Book Antiqua"/>
          <w:color w:val="000000" w:themeColor="text1"/>
          <w14:textFill>
            <w14:solidFill>
              <w14:schemeClr w14:val="tx1"/>
            </w14:solidFill>
          </w14:textFill>
        </w:rPr>
        <w:t>5.60</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μg/ml and FCP</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238</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μg/g at week 14 had 98% probability of sustained endoscopic remission at week 54.</w:t>
      </w:r>
    </w:p>
    <w:p>
      <w:pPr>
        <w:spacing w:line="360" w:lineRule="auto"/>
        <w:ind w:firstLine="420"/>
        <w:jc w:val="both"/>
        <w:rPr>
          <w:rFonts w:ascii="Book Antiqua" w:hAnsi="Book Antiqua" w:cs="Book Antiqua"/>
          <w:color w:val="000000" w:themeColor="text1"/>
          <w:lang w:eastAsia="zh-CN"/>
          <w14:textFill>
            <w14:solidFill>
              <w14:schemeClr w14:val="tx1"/>
            </w14:solidFill>
          </w14:textFill>
        </w:rPr>
      </w:pPr>
      <w:bookmarkStart w:id="11" w:name="OLE_LINK2"/>
      <w:r>
        <w:rPr>
          <w:rFonts w:ascii="Book Antiqua" w:hAnsi="Book Antiqua" w:eastAsia="Book Antiqua" w:cs="Book Antiqua"/>
          <w:color w:val="000000" w:themeColor="text1"/>
          <w14:textFill>
            <w14:solidFill>
              <w14:schemeClr w14:val="tx1"/>
            </w14:solidFill>
          </w14:textFill>
        </w:rPr>
        <w:t>In step II study, the ROC analysis demonstrated that the best cut off level of ITL and CRP at week 54</w:t>
      </w:r>
      <w:bookmarkEnd w:id="11"/>
      <w:r>
        <w:rPr>
          <w:rFonts w:ascii="Book Antiqua" w:hAnsi="Book Antiqua" w:eastAsia="Book Antiqua" w:cs="Book Antiqua"/>
          <w:color w:val="000000" w:themeColor="text1"/>
          <w14:textFill>
            <w14:solidFill>
              <w14:schemeClr w14:val="tx1"/>
            </w14:solidFill>
          </w14:textFill>
        </w:rPr>
        <w:t xml:space="preserve"> on predicting endoscopic relapse at week 108 was 2.10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w:t>
      </w:r>
      <w:bookmarkStart w:id="12" w:name="_Hlk101553298"/>
      <w:r>
        <w:rPr>
          <w:rFonts w:ascii="Book Antiqua" w:hAnsi="Book Antiqua" w:eastAsia="Book Antiqua" w:cs="Book Antiqua"/>
          <w:color w:val="000000" w:themeColor="text1"/>
          <w14:textFill>
            <w14:solidFill>
              <w14:schemeClr w14:val="tx1"/>
            </w14:solidFill>
          </w14:textFill>
        </w:rPr>
        <w:t>(AUC</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0.85, 95%CI: 0.72-0.93,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cs="Book Antiqua"/>
          <w:i/>
          <w:iCs/>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&lt; </w:t>
      </w:r>
      <w:r>
        <w:rPr>
          <w:rFonts w:ascii="Book Antiqua" w:hAnsi="Book Antiqua" w:eastAsia="Book Antiqua" w:cs="Book Antiqua"/>
          <w:color w:val="000000" w:themeColor="text1"/>
          <w14:textFill>
            <w14:solidFill>
              <w14:schemeClr w14:val="tx1"/>
            </w14:solidFill>
          </w14:textFill>
        </w:rPr>
        <w:t>0.001)</w:t>
      </w:r>
      <w:bookmarkEnd w:id="12"/>
      <w:r>
        <w:rPr>
          <w:rFonts w:ascii="Book Antiqua" w:hAnsi="Book Antiqua" w:eastAsia="Book Antiqua" w:cs="Book Antiqua"/>
          <w:color w:val="000000" w:themeColor="text1"/>
          <w14:textFill>
            <w14:solidFill>
              <w14:schemeClr w14:val="tx1"/>
            </w14:solidFill>
          </w14:textFill>
        </w:rPr>
        <w:t xml:space="preserve"> and 3.00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mg/L </w:t>
      </w:r>
      <w:bookmarkStart w:id="13" w:name="_Hlk101553354"/>
      <w:r>
        <w:rPr>
          <w:rFonts w:ascii="Book Antiqua" w:hAnsi="Book Antiqua" w:eastAsia="Book Antiqua" w:cs="Book Antiqua"/>
          <w:color w:val="000000" w:themeColor="text1"/>
          <w14:textFill>
            <w14:solidFill>
              <w14:schemeClr w14:val="tx1"/>
            </w14:solidFill>
          </w14:textFill>
        </w:rPr>
        <w:t>(AUC</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0.73, 95%CI: 0.60-0.84,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cs="Book Antiqua"/>
          <w:i/>
          <w:iCs/>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0.012)</w:t>
      </w:r>
      <w:bookmarkEnd w:id="13"/>
      <w:r>
        <w:rPr>
          <w:rFonts w:ascii="Book Antiqua" w:hAnsi="Book Antiqua" w:eastAsia="Book Antiqua" w:cs="Book Antiqua"/>
          <w:color w:val="000000" w:themeColor="text1"/>
          <w14:textFill>
            <w14:solidFill>
              <w14:schemeClr w14:val="tx1"/>
            </w14:solidFill>
          </w14:textFill>
        </w:rPr>
        <w:t xml:space="preserve"> (Table 3 and Figure 3). CD patients with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2.10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and CRP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&gt;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3.00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mg/L at week 54 had 100% probability of endoscopic relapse at week 108. However, CD patients with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&gt; </w:t>
      </w:r>
      <w:r>
        <w:rPr>
          <w:rFonts w:ascii="Book Antiqua" w:hAnsi="Book Antiqua" w:eastAsia="Book Antiqua" w:cs="Book Antiqua"/>
          <w:color w:val="000000" w:themeColor="text1"/>
          <w14:textFill>
            <w14:solidFill>
              <w14:schemeClr w14:val="tx1"/>
            </w14:solidFill>
          </w14:textFill>
        </w:rPr>
        <w:t>2.10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and CRP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3.00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mg/L at week 54 had 97% probability of sustained endoscopic remission at week 108.</w:t>
      </w:r>
    </w:p>
    <w:p>
      <w:pPr>
        <w:spacing w:line="360" w:lineRule="auto"/>
        <w:ind w:firstLine="420"/>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eastAsia="Book Antiqua" w:cs="Book Antiqua"/>
          <w:b/>
          <w:bCs/>
          <w:i/>
          <w:color w:val="000000" w:themeColor="text1"/>
          <w14:textFill>
            <w14:solidFill>
              <w14:schemeClr w14:val="tx1"/>
            </w14:solidFill>
          </w14:textFill>
        </w:rPr>
      </w:pPr>
      <w:r>
        <w:rPr>
          <w:rFonts w:ascii="Book Antiqua" w:hAnsi="Book Antiqua" w:eastAsia="Book Antiqua" w:cs="Book Antiqua"/>
          <w:b/>
          <w:bCs/>
          <w:i/>
          <w:color w:val="000000" w:themeColor="text1"/>
          <w14:textFill>
            <w14:solidFill>
              <w14:schemeClr w14:val="tx1"/>
            </w14:solidFill>
          </w14:textFill>
        </w:rPr>
        <w:t>Correlation between ITL, inflammatory biomarkers and endoscopic relapse-free survival</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In step I study, 26/93</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(27.96%) CD patients had experienced endoscopic relapse from week 14 to week 54 of IFX maintenance therapy. The estimated endoscopic relapse-free rate was 46/48</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(95.83%) in CD patients with ITL</w:t>
      </w:r>
      <w:r>
        <w:rPr>
          <w:rFonts w:ascii="Book Antiqua" w:hAnsi="Book Antiqua" w:eastAsia="Book Antiqua" w:cs="Book Antiqua"/>
          <w:color w:val="000000" w:themeColor="text1"/>
          <w:lang w:eastAsia="zh-CN"/>
          <w14:textFill>
            <w14:solidFill>
              <w14:schemeClr w14:val="tx1"/>
            </w14:solidFill>
          </w14:textFill>
        </w:rPr>
        <w:t xml:space="preserve"> &gt; </w:t>
      </w:r>
      <w:r>
        <w:rPr>
          <w:rFonts w:ascii="Book Antiqua" w:hAnsi="Book Antiqua" w:eastAsia="Book Antiqua" w:cs="Book Antiqua"/>
          <w:color w:val="000000" w:themeColor="text1"/>
          <w14:textFill>
            <w14:solidFill>
              <w14:schemeClr w14:val="tx1"/>
            </w14:solidFill>
          </w14:textFill>
        </w:rPr>
        <w:t>5.6</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μg/ml and 21/45</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(46.67%) in CD patients with ITL</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5.6</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μg/ml. The median time to endoscopic relapse of CD patients with ITL</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5.6</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μg/ml was 32.00</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wk shorter than those with ITL</w:t>
      </w:r>
      <w:r>
        <w:rPr>
          <w:rFonts w:ascii="Book Antiqua" w:hAnsi="Book Antiqua" w:eastAsia="Book Antiqua" w:cs="Book Antiqua"/>
          <w:color w:val="000000" w:themeColor="text1"/>
          <w:lang w:eastAsia="zh-CN"/>
          <w14:textFill>
            <w14:solidFill>
              <w14:schemeClr w14:val="tx1"/>
            </w14:solidFill>
          </w14:textFill>
        </w:rPr>
        <w:t xml:space="preserve"> &gt; </w:t>
      </w:r>
      <w:r>
        <w:rPr>
          <w:rFonts w:ascii="Book Antiqua" w:hAnsi="Book Antiqua" w:eastAsia="Book Antiqua" w:cs="Book Antiqua"/>
          <w:color w:val="000000" w:themeColor="text1"/>
          <w14:textFill>
            <w14:solidFill>
              <w14:schemeClr w14:val="tx1"/>
            </w14:solidFill>
          </w14:textFill>
        </w:rPr>
        <w:t>5.6</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μg/ml </w:t>
      </w:r>
      <w:bookmarkStart w:id="14" w:name="_Hlk101553428"/>
      <w:r>
        <w:rPr>
          <w:rFonts w:ascii="Book Antiqua" w:hAnsi="Book Antiqua" w:eastAsia="Book Antiqua" w:cs="Book Antiqua"/>
          <w:color w:val="000000" w:themeColor="text1"/>
          <w14:textFill>
            <w14:solidFill>
              <w14:schemeClr w14:val="tx1"/>
            </w14:solidFill>
          </w14:textFill>
        </w:rPr>
        <w:t>[hazard ratio (HR)</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16.19, 95%CI: 7.44-35.22, P</w:t>
      </w:r>
      <w:r>
        <w:rPr>
          <w:rFonts w:ascii="Book Antiqua" w:hAnsi="Book Antiqua" w:eastAsia="Book Antiqua" w:cs="Book Antiqua"/>
          <w:color w:val="000000" w:themeColor="text1"/>
          <w:lang w:eastAsia="zh-CN"/>
          <w14:textFill>
            <w14:solidFill>
              <w14:schemeClr w14:val="tx1"/>
            </w14:solidFill>
          </w14:textFill>
        </w:rPr>
        <w:t xml:space="preserve"> &lt; </w:t>
      </w:r>
      <w:r>
        <w:rPr>
          <w:rFonts w:ascii="Book Antiqua" w:hAnsi="Book Antiqua" w:eastAsia="Book Antiqua" w:cs="Book Antiqua"/>
          <w:color w:val="000000" w:themeColor="text1"/>
          <w14:textFill>
            <w14:solidFill>
              <w14:schemeClr w14:val="tx1"/>
            </w14:solidFill>
          </w14:textFill>
        </w:rPr>
        <w:t>0.0001]</w:t>
      </w:r>
      <w:bookmarkEnd w:id="14"/>
      <w:r>
        <w:rPr>
          <w:rFonts w:ascii="Book Antiqua" w:hAnsi="Book Antiqua" w:eastAsia="Book Antiqua" w:cs="Book Antiqua"/>
          <w:color w:val="000000" w:themeColor="text1"/>
          <w14:textFill>
            <w14:solidFill>
              <w14:schemeClr w14:val="tx1"/>
            </w14:solidFill>
          </w14:textFill>
        </w:rPr>
        <w:t xml:space="preserve"> (Figure 4A). The estimated endoscopic relapse-free rate was 6/25</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(24.00%) in CD patients with FCP</w:t>
      </w:r>
      <w:r>
        <w:rPr>
          <w:rFonts w:ascii="Book Antiqua" w:hAnsi="Book Antiqua" w:eastAsia="Book Antiqua" w:cs="Book Antiqua"/>
          <w:color w:val="000000" w:themeColor="text1"/>
          <w:lang w:eastAsia="zh-CN"/>
          <w14:textFill>
            <w14:solidFill>
              <w14:schemeClr w14:val="tx1"/>
            </w14:solidFill>
          </w14:textFill>
        </w:rPr>
        <w:t xml:space="preserve"> &gt; </w:t>
      </w:r>
      <w:r>
        <w:rPr>
          <w:rFonts w:ascii="Book Antiqua" w:hAnsi="Book Antiqua" w:eastAsia="Book Antiqua" w:cs="Book Antiqua"/>
          <w:color w:val="000000" w:themeColor="text1"/>
          <w14:textFill>
            <w14:solidFill>
              <w14:schemeClr w14:val="tx1"/>
            </w14:solidFill>
          </w14:textFill>
        </w:rPr>
        <w:t>238</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μg/g and 61/68</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(89.71%) in CD patients with FCP</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238</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μg/g. The median time to endoscopic relapse of CD patients with FCP</w:t>
      </w:r>
      <w:r>
        <w:rPr>
          <w:rFonts w:ascii="Book Antiqua" w:hAnsi="Book Antiqua" w:eastAsia="Book Antiqua" w:cs="Book Antiqua"/>
          <w:color w:val="000000" w:themeColor="text1"/>
          <w:lang w:eastAsia="zh-CN"/>
          <w14:textFill>
            <w14:solidFill>
              <w14:schemeClr w14:val="tx1"/>
            </w14:solidFill>
          </w14:textFill>
        </w:rPr>
        <w:t xml:space="preserve"> &gt; </w:t>
      </w:r>
      <w:r>
        <w:rPr>
          <w:rFonts w:ascii="Book Antiqua" w:hAnsi="Book Antiqua" w:eastAsia="Book Antiqua" w:cs="Book Antiqua"/>
          <w:color w:val="000000" w:themeColor="text1"/>
          <w14:textFill>
            <w14:solidFill>
              <w14:schemeClr w14:val="tx1"/>
            </w14:solidFill>
          </w14:textFill>
        </w:rPr>
        <w:t>238</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μg/g was 21.00 wk shorter than those with FCP ≤ 238 μg/g (HR</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11.25, 95%CI: 4.26-29.73, P</w:t>
      </w:r>
      <w:r>
        <w:rPr>
          <w:rFonts w:ascii="Book Antiqua" w:hAnsi="Book Antiqua" w:eastAsia="Book Antiqua" w:cs="Book Antiqua"/>
          <w:color w:val="000000" w:themeColor="text1"/>
          <w:lang w:eastAsia="zh-CN"/>
          <w14:textFill>
            <w14:solidFill>
              <w14:schemeClr w14:val="tx1"/>
            </w14:solidFill>
          </w14:textFill>
        </w:rPr>
        <w:t xml:space="preserve"> &lt; </w:t>
      </w:r>
      <w:r>
        <w:rPr>
          <w:rFonts w:ascii="Book Antiqua" w:hAnsi="Book Antiqua" w:eastAsia="Book Antiqua" w:cs="Book Antiqua"/>
          <w:color w:val="000000" w:themeColor="text1"/>
          <w14:textFill>
            <w14:solidFill>
              <w14:schemeClr w14:val="tx1"/>
            </w14:solidFill>
          </w14:textFill>
        </w:rPr>
        <w:t>0.0001) (Figure 4B).</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In step II study, 12/54</w:t>
      </w:r>
      <w:r>
        <w:rPr>
          <w:rFonts w:ascii="Book Antiqua" w:hAnsi="Book Antiqua" w:eastAsia="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(22.22%) CD patients had experienced endoscopic relapse from week 54 to week 108 of IFX maintenance therapy. The estimated endoscopic relapse-free rate was 38/41</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(92.68%) in CD patients with ITL</w:t>
      </w:r>
      <w:r>
        <w:rPr>
          <w:rFonts w:ascii="Book Antiqua" w:hAnsi="Book Antiqua" w:eastAsia="宋体" w:cs="宋体"/>
          <w:color w:val="000000" w:themeColor="text1"/>
          <w:lang w:eastAsia="zh-CN"/>
          <w14:textFill>
            <w14:solidFill>
              <w14:schemeClr w14:val="tx1"/>
            </w14:solidFill>
          </w14:textFill>
        </w:rPr>
        <w:t xml:space="preserve"> &gt; </w:t>
      </w:r>
      <w:r>
        <w:rPr>
          <w:rFonts w:ascii="Book Antiqua" w:hAnsi="Book Antiqua" w:eastAsia="Book Antiqua" w:cs="Book Antiqua"/>
          <w:color w:val="000000" w:themeColor="text1"/>
          <w14:textFill>
            <w14:solidFill>
              <w14:schemeClr w14:val="tx1"/>
            </w14:solidFill>
          </w14:textFill>
        </w:rPr>
        <w:t>2.1</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and 4/13</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(30.77%) in CD patients with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2.1</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The median time to endoscopic relapse of CD patients with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2.1</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was 40.00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 shorter than those with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&gt; </w:t>
      </w:r>
      <w:r>
        <w:rPr>
          <w:rFonts w:ascii="Book Antiqua" w:hAnsi="Book Antiqua" w:eastAsia="Book Antiqua" w:cs="Book Antiqua"/>
          <w:color w:val="000000" w:themeColor="text1"/>
          <w14:textFill>
            <w14:solidFill>
              <w14:schemeClr w14:val="tx1"/>
            </w14:solidFill>
          </w14:textFill>
        </w:rPr>
        <w:t>2.1</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(HR</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13.14, 95%CI: 3.07-56.27, </w:t>
      </w:r>
      <w:r>
        <w:rPr>
          <w:rFonts w:ascii="Book Antiqua" w:hAnsi="Book Antiqua" w:eastAsia="Book Antiqua" w:cs="Book Antiqua"/>
          <w:i/>
          <w:color w:val="000000" w:themeColor="text1"/>
          <w14:textFill>
            <w14:solidFill>
              <w14:schemeClr w14:val="tx1"/>
            </w14:solidFill>
          </w14:textFill>
        </w:rPr>
        <w:t>P</w:t>
      </w:r>
      <w:r>
        <w:rPr>
          <w:rFonts w:ascii="Book Antiqua" w:hAnsi="Book Antiqua" w:cs="Book Antiqua"/>
          <w:i/>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&lt; </w:t>
      </w:r>
      <w:r>
        <w:rPr>
          <w:rFonts w:ascii="Book Antiqua" w:hAnsi="Book Antiqua" w:eastAsia="Book Antiqua" w:cs="Book Antiqua"/>
          <w:color w:val="000000" w:themeColor="text1"/>
          <w14:textFill>
            <w14:solidFill>
              <w14:schemeClr w14:val="tx1"/>
            </w14:solidFill>
          </w14:textFill>
        </w:rPr>
        <w:t>0.0001) (Figure 4D). The estimated endoscopic relapse-free rate was 4/8</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(50.00%) in CD patients with CRP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&gt; </w:t>
      </w:r>
      <w:r>
        <w:rPr>
          <w:rFonts w:ascii="Book Antiqua" w:hAnsi="Book Antiqua" w:eastAsia="Book Antiqua" w:cs="Book Antiqua"/>
          <w:color w:val="000000" w:themeColor="text1"/>
          <w14:textFill>
            <w14:solidFill>
              <w14:schemeClr w14:val="tx1"/>
            </w14:solidFill>
          </w14:textFill>
        </w:rPr>
        <w:t>3.00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mg/L and 40/46</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(86.96%) in CD patients with CRP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3.00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mg/L. The median time to endoscopic relapse of CD patients with CRP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&gt; </w:t>
      </w:r>
      <w:r>
        <w:rPr>
          <w:rFonts w:ascii="Book Antiqua" w:hAnsi="Book Antiqua" w:eastAsia="Book Antiqua" w:cs="Book Antiqua"/>
          <w:color w:val="000000" w:themeColor="text1"/>
          <w14:textFill>
            <w14:solidFill>
              <w14:schemeClr w14:val="tx1"/>
            </w14:solidFill>
          </w14:textFill>
        </w:rPr>
        <w:t>3.00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mg/L was 50.00 wk shorter than those with CRP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3.00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mg/L (HR</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7.85, 95%CI: 1.31-46.85, </w:t>
      </w:r>
      <w:r>
        <w:rPr>
          <w:rFonts w:ascii="Book Antiqua" w:hAnsi="Book Antiqua" w:eastAsia="Book Antiqua" w:cs="Book Antiqua"/>
          <w:i/>
          <w:color w:val="000000" w:themeColor="text1"/>
          <w14:textFill>
            <w14:solidFill>
              <w14:schemeClr w14:val="tx1"/>
            </w14:solidFill>
          </w14:textFill>
        </w:rPr>
        <w:t>P</w:t>
      </w:r>
      <w:r>
        <w:rPr>
          <w:rFonts w:ascii="Book Antiqua" w:hAnsi="Book Antiqua" w:eastAsia="宋体" w:cs="宋体"/>
          <w:color w:val="000000" w:themeColor="text1"/>
          <w:lang w:eastAsia="zh-CN"/>
          <w14:textFill>
            <w14:solidFill>
              <w14:schemeClr w14:val="tx1"/>
            </w14:solidFill>
          </w14:textFill>
        </w:rPr>
        <w:t xml:space="preserve"> &lt; </w:t>
      </w:r>
      <w:r>
        <w:rPr>
          <w:rFonts w:ascii="Book Antiqua" w:hAnsi="Book Antiqua" w:eastAsia="Book Antiqua" w:cs="Book Antiqua"/>
          <w:color w:val="000000" w:themeColor="text1"/>
          <w14:textFill>
            <w14:solidFill>
              <w14:schemeClr w14:val="tx1"/>
            </w14:solidFill>
          </w14:textFill>
        </w:rPr>
        <w:t>0.0001) (Figure 4C).</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DISCUSSION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Several studies have confirmed that different ITLs brought about different outcomes of CD under IFX therapy (Table 4). Tang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[1]</w:t>
      </w:r>
      <w:r>
        <w:rPr>
          <w:rFonts w:ascii="Book Antiqua" w:hAnsi="Book Antiqua" w:eastAsia="Book Antiqua" w:cs="Book Antiqua"/>
          <w:color w:val="000000" w:themeColor="text1"/>
          <w14:textFill>
            <w14:solidFill>
              <w14:schemeClr w14:val="tx1"/>
            </w14:solidFill>
          </w14:textFill>
        </w:rPr>
        <w:t xml:space="preserve"> discovered that CD patients achieving mucosal healing at week 14 of IFX therapy with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&gt; </w:t>
      </w:r>
      <w:r>
        <w:rPr>
          <w:rFonts w:ascii="Book Antiqua" w:hAnsi="Book Antiqua" w:eastAsia="Book Antiqua" w:cs="Book Antiqua"/>
          <w:color w:val="000000" w:themeColor="text1"/>
          <w14:textFill>
            <w14:solidFill>
              <w14:schemeClr w14:val="tx1"/>
            </w14:solidFill>
          </w14:textFill>
        </w:rPr>
        <w:t>2.5</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at week 14 had 71% chance of mucosal healing at week 54, while patients with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&lt; </w:t>
      </w:r>
      <w:r>
        <w:rPr>
          <w:rFonts w:ascii="Book Antiqua" w:hAnsi="Book Antiqua" w:eastAsia="Book Antiqua" w:cs="Book Antiqua"/>
          <w:color w:val="000000" w:themeColor="text1"/>
          <w14:textFill>
            <w14:solidFill>
              <w14:schemeClr w14:val="tx1"/>
            </w14:solidFill>
          </w14:textFill>
        </w:rPr>
        <w:t>2.5</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had only 33% chance.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3</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at the beginning of IFX maintenance therapy was confirmed as a predictor of sustained response to IFX in CD patients</w:t>
      </w:r>
      <w:r>
        <w:rPr>
          <w:rFonts w:ascii="Book Antiqua" w:hAnsi="Book Antiqua" w:eastAsia="Book Antiqua" w:cs="Book Antiqua"/>
          <w:color w:val="000000" w:themeColor="text1"/>
          <w:vertAlign w:val="superscript"/>
          <w14:textFill>
            <w14:solidFill>
              <w14:schemeClr w14:val="tx1"/>
            </w14:solidFill>
          </w14:textFill>
        </w:rPr>
        <w:t>[2]</w:t>
      </w:r>
      <w:r>
        <w:rPr>
          <w:rFonts w:ascii="Book Antiqua" w:hAnsi="Book Antiqua" w:eastAsia="Book Antiqua" w:cs="Book Antiqua"/>
          <w:color w:val="000000" w:themeColor="text1"/>
          <w14:textFill>
            <w14:solidFill>
              <w14:schemeClr w14:val="tx1"/>
            </w14:solidFill>
          </w14:textFill>
        </w:rPr>
        <w:t>. Recently a prospective study in Japan verified that CD patients with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3</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at week 14 after IFX initial therapy had much better long-term clinical outcomes than patients with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&lt; </w:t>
      </w:r>
      <w:r>
        <w:rPr>
          <w:rFonts w:ascii="Book Antiqua" w:hAnsi="Book Antiqua" w:eastAsia="Book Antiqua" w:cs="Book Antiqua"/>
          <w:color w:val="000000" w:themeColor="text1"/>
          <w14:textFill>
            <w14:solidFill>
              <w14:schemeClr w14:val="tx1"/>
            </w14:solidFill>
          </w14:textFill>
        </w:rPr>
        <w:t>3</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of which survival analysis indicated 100% probability of clinical remission at week 108 in the former and 33.3% probability in the latter</w:t>
      </w:r>
      <w:r>
        <w:rPr>
          <w:rFonts w:ascii="Book Antiqua" w:hAnsi="Book Antiqua" w:eastAsia="Book Antiqua" w:cs="Book Antiqua"/>
          <w:color w:val="000000" w:themeColor="text1"/>
          <w:vertAlign w:val="superscript"/>
          <w14:textFill>
            <w14:solidFill>
              <w14:schemeClr w14:val="tx1"/>
            </w14:solidFill>
          </w14:textFill>
        </w:rPr>
        <w:t>[3]</w:t>
      </w:r>
      <w:r>
        <w:rPr>
          <w:rFonts w:ascii="Book Antiqua" w:hAnsi="Book Antiqua" w:eastAsia="Book Antiqua" w:cs="Book Antiqua"/>
          <w:color w:val="000000" w:themeColor="text1"/>
          <w14:textFill>
            <w14:solidFill>
              <w14:schemeClr w14:val="tx1"/>
            </w14:solidFill>
          </w14:textFill>
        </w:rPr>
        <w:t>. A meta-analysis determined that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&gt; </w:t>
      </w:r>
      <w:r>
        <w:rPr>
          <w:rFonts w:ascii="Book Antiqua" w:hAnsi="Book Antiqua" w:eastAsia="Book Antiqua" w:cs="Book Antiqua"/>
          <w:color w:val="000000" w:themeColor="text1"/>
          <w14:textFill>
            <w14:solidFill>
              <w14:schemeClr w14:val="tx1"/>
            </w14:solidFill>
          </w14:textFill>
        </w:rPr>
        <w:t>2.0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of IBD patients under IFX maintenance therapy contributes to better prognosis such as clinical remission or mucosal healing</w:t>
      </w:r>
      <w:r>
        <w:rPr>
          <w:rFonts w:ascii="Book Antiqua" w:hAnsi="Book Antiqua" w:eastAsia="Book Antiqua" w:cs="Book Antiqua"/>
          <w:color w:val="000000" w:themeColor="text1"/>
          <w:vertAlign w:val="superscript"/>
          <w14:textFill>
            <w14:solidFill>
              <w14:schemeClr w14:val="tx1"/>
            </w14:solidFill>
          </w14:textFill>
        </w:rPr>
        <w:t>[4]</w:t>
      </w:r>
      <w:r>
        <w:rPr>
          <w:rFonts w:ascii="Book Antiqua" w:hAnsi="Book Antiqua" w:eastAsia="Book Antiqua" w:cs="Book Antiqua"/>
          <w:color w:val="000000" w:themeColor="text1"/>
          <w14:textFill>
            <w14:solidFill>
              <w14:schemeClr w14:val="tx1"/>
            </w14:solidFill>
          </w14:textFill>
        </w:rPr>
        <w:t>. Similarly, this study found that CD patients with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&gt; </w:t>
      </w:r>
      <w:r>
        <w:rPr>
          <w:rFonts w:ascii="Book Antiqua" w:hAnsi="Book Antiqua" w:eastAsia="Book Antiqua" w:cs="Book Antiqua"/>
          <w:color w:val="000000" w:themeColor="text1"/>
          <w14:textFill>
            <w14:solidFill>
              <w14:schemeClr w14:val="tx1"/>
            </w14:solidFill>
          </w14:textFill>
        </w:rPr>
        <w:t>5.6</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at week 14 had a large chance of achieving sustained endoscopic remission during IFX maintenance therapy as well as CD patients with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&gt; </w:t>
      </w:r>
      <w:r>
        <w:rPr>
          <w:rFonts w:ascii="Book Antiqua" w:hAnsi="Book Antiqua" w:eastAsia="Book Antiqua" w:cs="Book Antiqua"/>
          <w:color w:val="000000" w:themeColor="text1"/>
          <w14:textFill>
            <w14:solidFill>
              <w14:schemeClr w14:val="tx1"/>
            </w14:solidFill>
          </w14:textFill>
        </w:rPr>
        <w:t>2.1</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at week 54. Borren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[5]</w:t>
      </w:r>
      <w:r>
        <w:rPr>
          <w:rFonts w:ascii="Book Antiqua" w:hAnsi="Book Antiqua" w:eastAsia="Book Antiqua" w:cs="Book Antiqua"/>
          <w:color w:val="000000" w:themeColor="text1"/>
          <w14:textFill>
            <w14:solidFill>
              <w14:schemeClr w14:val="tx1"/>
            </w14:solidFill>
          </w14:textFill>
        </w:rPr>
        <w:t xml:space="preserve"> implemented a multi-center retrospective study and concluded that low ITL in IBD patients during IFX maintenance therapy could not be a good predictor of clinical relapse in the next 2 years, suggesting that proactive therapeutic drug monitoring was not suitable in this group. However, this study discovered that CD patients with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5.6</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at week 14 or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2.1</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at week 54 were more likely to experience endoscopic relapse during the 1-year follow-up period.</w:t>
      </w:r>
    </w:p>
    <w:p>
      <w:pPr>
        <w:spacing w:line="360" w:lineRule="auto"/>
        <w:ind w:firstLine="42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According to previous studies, the challenge for IBD physicians is to frame the more suitable blood trough level of IFX to achieve better disease prognosis in clinical therapy. The elements associated with the blood trough level of IFX can be classified into three areas. Above all, the better the therapeutic goal desired by IBD physicians or patients, the higher the blood trough level of IFX is required. An observational study contraposing to CD patients with a history of intestinal surgery by Imaeda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[6]</w:t>
      </w:r>
      <w:r>
        <w:rPr>
          <w:rFonts w:ascii="Book Antiqua" w:hAnsi="Book Antiqua" w:eastAsia="Book Antiqua" w:cs="Book Antiqua"/>
          <w:color w:val="000000" w:themeColor="text1"/>
          <w14:textFill>
            <w14:solidFill>
              <w14:schemeClr w14:val="tx1"/>
            </w14:solidFill>
          </w14:textFill>
        </w:rPr>
        <w:t xml:space="preserve"> verified that mucosal healing required higher ITLs as more than 4.0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compared to those to achieve normalization of routine clinical markers.</w:t>
      </w:r>
      <w:r>
        <w:rPr>
          <w:rFonts w:ascii="Book Antiqua" w:hAnsi="Book Antiqua" w:eastAsia="Book Antiqua" w:cs="Book Antiqua"/>
          <w:i/>
          <w:iCs/>
          <w:color w:val="000000" w:themeColor="text1"/>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Papamichael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[7]</w:t>
      </w:r>
      <w:r>
        <w:rPr>
          <w:rFonts w:ascii="Book Antiqua" w:hAnsi="Book Antiqua" w:eastAsia="Book Antiqua" w:cs="Book Antiqua"/>
          <w:color w:val="000000" w:themeColor="text1"/>
          <w14:textFill>
            <w14:solidFill>
              <w14:schemeClr w14:val="tx1"/>
            </w14:solidFill>
          </w14:textFill>
        </w:rPr>
        <w:t xml:space="preserve"> considered that ITL surpassing 9.7</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indicated 80% probability of endoscopic remission in CD patients under IFX maintenance therapy, while ITL surpassing 2.2</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was associated only with biochemical remission. Recently, a prospective study verified that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&gt; </w:t>
      </w:r>
      <w:r>
        <w:rPr>
          <w:rFonts w:ascii="Book Antiqua" w:hAnsi="Book Antiqua" w:eastAsia="Book Antiqua" w:cs="Book Antiqua"/>
          <w:color w:val="000000" w:themeColor="text1"/>
          <w14:textFill>
            <w14:solidFill>
              <w14:schemeClr w14:val="tx1"/>
            </w14:solidFill>
          </w14:textFill>
        </w:rPr>
        <w:t>8.0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 xml:space="preserve">l </w:t>
      </w:r>
      <w:r>
        <w:rPr>
          <w:rFonts w:ascii="Book Antiqua" w:hAnsi="Book Antiqua" w:eastAsia="Book Antiqua" w:cs="Book Antiqua"/>
          <w:color w:val="000000" w:themeColor="text1"/>
          <w14:textFill>
            <w14:solidFill>
              <w14:schemeClr w14:val="tx1"/>
            </w14:solidFill>
          </w14:textFill>
        </w:rPr>
        <w:t>was highly correlated with histological emission and sustained histological remission in IBD patients</w:t>
      </w:r>
      <w:r>
        <w:rPr>
          <w:rFonts w:ascii="Book Antiqua" w:hAnsi="Book Antiqua" w:eastAsia="Book Antiqua" w:cs="Book Antiqua"/>
          <w:color w:val="000000" w:themeColor="text1"/>
          <w:vertAlign w:val="superscript"/>
          <w14:textFill>
            <w14:solidFill>
              <w14:schemeClr w14:val="tx1"/>
            </w14:solidFill>
          </w14:textFill>
        </w:rPr>
        <w:t>[8]</w:t>
      </w:r>
      <w:r>
        <w:rPr>
          <w:rFonts w:ascii="Book Antiqua" w:hAnsi="Book Antiqua" w:eastAsia="Book Antiqua" w:cs="Book Antiqua"/>
          <w:color w:val="000000" w:themeColor="text1"/>
          <w14:textFill>
            <w14:solidFill>
              <w14:schemeClr w14:val="tx1"/>
            </w14:solidFill>
          </w14:textFill>
        </w:rPr>
        <w:t xml:space="preserve">. Perianal fistula, the most universal complications of CD patients, is another therapeutic goal. A retrospective cross-sectional study by Plevris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[9]</w:t>
      </w:r>
      <w:r>
        <w:rPr>
          <w:rFonts w:ascii="Book Antiqua" w:hAnsi="Book Antiqua" w:eastAsia="Book Antiqua" w:cs="Book Antiqua"/>
          <w:color w:val="000000" w:themeColor="text1"/>
          <w14:textFill>
            <w14:solidFill>
              <w14:schemeClr w14:val="tx1"/>
            </w14:solidFill>
          </w14:textFill>
        </w:rPr>
        <w:t xml:space="preserve"> manifested that perianal fistula healing or closure is associated with higher ITLs as more than 7.1</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w:t>
      </w:r>
    </w:p>
    <w:p>
      <w:pPr>
        <w:spacing w:line="360" w:lineRule="auto"/>
        <w:ind w:firstLine="42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Secondly, each clinical study had different stages of IFX drug monitoring, especially during maintenance therapy. ITL continues to decrease as time passed during IFX maintenance therapy</w:t>
      </w:r>
      <w:r>
        <w:rPr>
          <w:rFonts w:ascii="Book Antiqua" w:hAnsi="Book Antiqua" w:eastAsia="Book Antiqua" w:cs="Book Antiqua"/>
          <w:color w:val="000000" w:themeColor="text1"/>
          <w:vertAlign w:val="superscript"/>
          <w14:textFill>
            <w14:solidFill>
              <w14:schemeClr w14:val="tx1"/>
            </w14:solidFill>
          </w14:textFill>
        </w:rPr>
        <w:t>[10]</w:t>
      </w:r>
      <w:r>
        <w:rPr>
          <w:rFonts w:ascii="Book Antiqua" w:hAnsi="Book Antiqua" w:eastAsia="Book Antiqua" w:cs="Book Antiqua"/>
          <w:color w:val="000000" w:themeColor="text1"/>
          <w14:textFill>
            <w14:solidFill>
              <w14:schemeClr w14:val="tx1"/>
            </w14:solidFill>
          </w14:textFill>
        </w:rPr>
        <w:t>. A cross-sectional study of IBD patients under IFX therapy with a fixed dose more than 6 mo found that IBD patients with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3.4</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had a 73% chance of endoscopic mucosal healing</w:t>
      </w:r>
      <w:r>
        <w:rPr>
          <w:rFonts w:ascii="Book Antiqua" w:hAnsi="Book Antiqua" w:eastAsia="Book Antiqua" w:cs="Book Antiqua"/>
          <w:color w:val="000000" w:themeColor="text1"/>
          <w:vertAlign w:val="superscript"/>
          <w14:textFill>
            <w14:solidFill>
              <w14:schemeClr w14:val="tx1"/>
            </w14:solidFill>
          </w14:textFill>
        </w:rPr>
        <w:t>[11]</w:t>
      </w:r>
      <w:r>
        <w:rPr>
          <w:rFonts w:ascii="Book Antiqua" w:hAnsi="Book Antiqua" w:eastAsia="Book Antiqua" w:cs="Book Antiqua"/>
          <w:color w:val="000000" w:themeColor="text1"/>
          <w14:textFill>
            <w14:solidFill>
              <w14:schemeClr w14:val="tx1"/>
            </w14:solidFill>
          </w14:textFill>
        </w:rPr>
        <w:t xml:space="preserve">. Kang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[12]</w:t>
      </w:r>
      <w:r>
        <w:rPr>
          <w:rFonts w:ascii="Book Antiqua" w:hAnsi="Book Antiqua" w:eastAsia="Book Antiqua" w:cs="Book Antiqua"/>
          <w:color w:val="000000" w:themeColor="text1"/>
          <w14:textFill>
            <w14:solidFill>
              <w14:schemeClr w14:val="tx1"/>
            </w14:solidFill>
          </w14:textFill>
        </w:rPr>
        <w:t xml:space="preserve"> showed that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5</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during IFX maintenance therapy could identify mucosal healing in pediatric CD patients with 80% specificity. Feng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[13]</w:t>
      </w:r>
      <w:r>
        <w:rPr>
          <w:rFonts w:ascii="Book Antiqua" w:hAnsi="Book Antiqua" w:eastAsia="Book Antiqua" w:cs="Book Antiqua"/>
          <w:color w:val="000000" w:themeColor="text1"/>
          <w14:textFill>
            <w14:solidFill>
              <w14:schemeClr w14:val="tx1"/>
            </w14:solidFill>
          </w14:textFill>
        </w:rPr>
        <w:t xml:space="preserve"> innovatively integrated ITL levels in different time stages to identify endoscopic mucosal healing in CD patients, indicating that patients with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&gt; </w:t>
      </w:r>
      <w:r>
        <w:rPr>
          <w:rFonts w:ascii="Book Antiqua" w:hAnsi="Book Antiqua" w:eastAsia="Book Antiqua" w:cs="Book Antiqua"/>
          <w:color w:val="000000" w:themeColor="text1"/>
          <w14:textFill>
            <w14:solidFill>
              <w14:schemeClr w14:val="tx1"/>
            </w14:solidFill>
          </w14:textFill>
        </w:rPr>
        <w:t>4.85</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at week 14 and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&gt; </w:t>
      </w:r>
      <w:r>
        <w:rPr>
          <w:rFonts w:ascii="Book Antiqua" w:hAnsi="Book Antiqua" w:eastAsia="Book Antiqua" w:cs="Book Antiqua"/>
          <w:color w:val="000000" w:themeColor="text1"/>
          <w14:textFill>
            <w14:solidFill>
              <w14:schemeClr w14:val="tx1"/>
            </w14:solidFill>
          </w14:textFill>
        </w:rPr>
        <w:t>2.85</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at week 30 had an 80% chance of achieving endoscopic mucosal healing. Based on incremental gain analysis in our study, sustained endoscopic remission rate at week 54 reached only 54.63% at an ITL range of 2.5 to 4.9</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at week 14 while corresponding numbers at week 108 was 89.47% at an ITL range of 2.0 to 3.9</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μg/mL at week 54. Therefore, the study held the view that CD patients with endoscopic remission need higher ITL at the beginning of IFX maintenance therapy (≥</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5.6</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μg/mL at week 14) than after IFX maintenance therapy over a half year (≥</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2.1</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μg/mL at week 54). In addition, CD patients achieving endoscopic remission after IFX induction therapy and sustained endoscopic remission more than a half year may not need high ITL to maintain endoscopic remission. </w:t>
      </w:r>
    </w:p>
    <w:p>
      <w:pPr>
        <w:spacing w:line="360" w:lineRule="auto"/>
        <w:ind w:firstLine="42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third element is therapeutic optimization of IFX in IBD. Adverse IFX response as high ATI level or low ITL may occur in a few CD patients during IFX maintenance therapy. Several clinical studies held the view that severe inflammatory activity of CD patients could change pharmacokinetics of anti-tumor necrosis factor α biology</w:t>
      </w:r>
      <w:r>
        <w:rPr>
          <w:rFonts w:ascii="Book Antiqua" w:hAnsi="Book Antiqua" w:eastAsia="Book Antiqua" w:cs="Book Antiqua"/>
          <w:color w:val="000000" w:themeColor="text1"/>
          <w:vertAlign w:val="superscript"/>
          <w14:textFill>
            <w14:solidFill>
              <w14:schemeClr w14:val="tx1"/>
            </w14:solidFill>
          </w14:textFill>
        </w:rPr>
        <w:t>[14-16]</w:t>
      </w:r>
      <w:r>
        <w:rPr>
          <w:rFonts w:ascii="Book Antiqua" w:hAnsi="Book Antiqua" w:eastAsia="Book Antiqua" w:cs="Book Antiqua"/>
          <w:color w:val="000000" w:themeColor="text1"/>
          <w14:textFill>
            <w14:solidFill>
              <w14:schemeClr w14:val="tx1"/>
            </w14:solidFill>
          </w14:textFill>
        </w:rPr>
        <w:t>. Therapeutic optimization as increasing fixed dose from 5</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mg/kg to 10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mg/kg or shortening injection interval form every 8 wk to 4-6 wk contributes to increase ITL and decrease ATI level. A study from Greece demonstrated that, for the initial measurement after therapeutic adjustment, ITL increased from 1.47</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to 8.50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in patients with therapeutic optimization while ITL decreased from 5.65</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to 3.8μg/ml in patients without therapeutic optimization</w:t>
      </w:r>
      <w:r>
        <w:rPr>
          <w:rFonts w:ascii="Book Antiqua" w:hAnsi="Book Antiqua" w:eastAsia="Book Antiqua" w:cs="Book Antiqua"/>
          <w:color w:val="000000" w:themeColor="text1"/>
          <w:vertAlign w:val="superscript"/>
          <w14:textFill>
            <w14:solidFill>
              <w14:schemeClr w14:val="tx1"/>
            </w14:solidFill>
          </w14:textFill>
        </w:rPr>
        <w:t>[10]</w:t>
      </w:r>
      <w:r>
        <w:rPr>
          <w:rFonts w:ascii="Book Antiqua" w:hAnsi="Book Antiqua" w:eastAsia="Book Antiqua" w:cs="Book Antiqua"/>
          <w:color w:val="000000" w:themeColor="text1"/>
          <w14:textFill>
            <w14:solidFill>
              <w14:schemeClr w14:val="tx1"/>
            </w14:solidFill>
          </w14:textFill>
        </w:rPr>
        <w:t xml:space="preserve">. A multi-center randomized clinical trial conducted by Dreesen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[17]</w:t>
      </w:r>
      <w:r>
        <w:rPr>
          <w:rFonts w:ascii="Book Antiqua" w:hAnsi="Book Antiqua" w:eastAsia="Book Antiqua" w:cs="Book Antiqua"/>
          <w:color w:val="000000" w:themeColor="text1"/>
          <w14:textFill>
            <w14:solidFill>
              <w14:schemeClr w14:val="tx1"/>
            </w14:solidFill>
          </w14:textFill>
        </w:rPr>
        <w:t xml:space="preserve"> showed that CD patients under IFX maintenance therapy as 5</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mg/kg had high probability of no mucosal ulcer under endoscopy at week 54 with ITL more than 7.3mg/L, and CD patients under intensified dose IFX therapy as 10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mg/kg had 94% probability of no mucosal ulcer under endoscopy with ITL rising to more than 10.6</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mg/L. Therefore, intensified therapy may contribute to mucosal healing in CD patients with ulceration if IFX injection dose is less than 10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mg/kg and ITL is less than 10.6</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However, a few CD patients will accept combination therapy of IFX and immunosuppressant to boost the efficacy, especially AZA and mercaptopurine. AZA is a precursor of mercaptopurine, and two components ultimately produce thioguanine to exert clinical effect during metabolism. A study verified that thioguanine concentration more than 125</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pmol/8</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10</w:t>
      </w:r>
      <w:r>
        <w:rPr>
          <w:rFonts w:ascii="Book Antiqua" w:hAnsi="Book Antiqua" w:eastAsia="Book Antiqua" w:cs="Book Antiqua"/>
          <w:color w:val="000000" w:themeColor="text1"/>
          <w:vertAlign w:val="superscript"/>
          <w14:textFill>
            <w14:solidFill>
              <w14:schemeClr w14:val="tx1"/>
            </w14:solidFill>
          </w14:textFill>
        </w:rPr>
        <w:t>8</w:t>
      </w:r>
      <w:r>
        <w:rPr>
          <w:rFonts w:ascii="Book Antiqua" w:hAnsi="Book Antiqua" w:eastAsia="Book Antiqua" w:cs="Book Antiqua"/>
          <w:color w:val="000000" w:themeColor="text1"/>
          <w14:textFill>
            <w14:solidFill>
              <w14:schemeClr w14:val="tx1"/>
            </w14:solidFill>
          </w14:textFill>
        </w:rPr>
        <w:t xml:space="preserve"> red blood cells could enhance ITL to 8.3</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or more and decrease positive rate of ATI</w:t>
      </w:r>
      <w:r>
        <w:rPr>
          <w:rFonts w:ascii="Book Antiqua" w:hAnsi="Book Antiqua" w:eastAsia="Book Antiqua" w:cs="Book Antiqua"/>
          <w:color w:val="000000" w:themeColor="text1"/>
          <w:vertAlign w:val="superscript"/>
          <w14:textFill>
            <w14:solidFill>
              <w14:schemeClr w14:val="tx1"/>
            </w14:solidFill>
          </w14:textFill>
        </w:rPr>
        <w:t>[18,19]</w:t>
      </w:r>
      <w:r>
        <w:rPr>
          <w:rFonts w:ascii="Book Antiqua" w:hAnsi="Book Antiqua" w:eastAsia="Book Antiqua" w:cs="Book Antiqua"/>
          <w:color w:val="000000" w:themeColor="text1"/>
          <w14:textFill>
            <w14:solidFill>
              <w14:schemeClr w14:val="tx1"/>
            </w14:solidFill>
          </w14:textFill>
        </w:rPr>
        <w:t>. Hence, this study mainly included CD patients with sustained clinical remission more than 6 mo under fixed therapeutic strategy of IFX 5</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mg/kg every 8 wk combined with AZA 50 mg every day. Retrospective records of CD patients included would suspend if therapy strategy changed, such as intensive therapy of IFX, conversion therapy of other biologics and combination therapy of surgery or other medications. The study design eliminated the influence of therapeutic adjustment on ITL. </w:t>
      </w:r>
    </w:p>
    <w:p>
      <w:pPr>
        <w:spacing w:line="360" w:lineRule="auto"/>
        <w:ind w:firstLine="42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greatest strength of inflammatory biomarkers compared with blood trough level is that they are unaffected by time during different monitoring stages of biological therapy in IBD patients. This study showed that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&gt; </w:t>
      </w:r>
      <w:r>
        <w:rPr>
          <w:rFonts w:ascii="Book Antiqua" w:hAnsi="Book Antiqua" w:eastAsia="Book Antiqua" w:cs="Book Antiqua"/>
          <w:color w:val="000000" w:themeColor="text1"/>
          <w14:textFill>
            <w14:solidFill>
              <w14:schemeClr w14:val="tx1"/>
            </w14:solidFill>
          </w14:textFill>
        </w:rPr>
        <w:t>5.6</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combined with FCP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238</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μg/g at week 14 moderately predicted sustained endoscopic remission during the 1-year follow-up period on CD patients with positive predictive value more than 95% as well as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&gt; </w:t>
      </w:r>
      <w:r>
        <w:rPr>
          <w:rFonts w:ascii="Book Antiqua" w:hAnsi="Book Antiqua" w:eastAsia="Book Antiqua" w:cs="Book Antiqua"/>
          <w:color w:val="000000" w:themeColor="text1"/>
          <w14:textFill>
            <w14:solidFill>
              <w14:schemeClr w14:val="tx1"/>
            </w14:solidFill>
          </w14:textFill>
        </w:rPr>
        <w:t>2.1</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combined with CRP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3.00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mg/L at week 54, superior to use ITL as the only predictor. FCP and CRP are considered as the most universal and typical biomarkers of inflammatory evaluation in IBD, also verified to be the independent risk factors of adverse endoscopic outcomes. The study confirmed that combining blood trough level with inflammatory biomarkers contributed to improving the accuracy of the prediction on endoscopic outcomes. A post hoc analysis from the CALM study manifested that CD patients with FCP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&lt;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250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μg/g mostly achieved CDEIS &lt; 4 without deep ulceration, regardless of whether CRP &lt;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5</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mg/L. However, among patients with CRP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&lt;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5</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mg/L but FCP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250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μg/g, only 16.7% achieved CDEIS</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&lt;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4 without deep ulceration</w:t>
      </w:r>
      <w:r>
        <w:rPr>
          <w:rFonts w:ascii="Book Antiqua" w:hAnsi="Book Antiqua" w:eastAsia="Book Antiqua" w:cs="Book Antiqua"/>
          <w:color w:val="000000" w:themeColor="text1"/>
          <w:vertAlign w:val="superscript"/>
          <w14:textFill>
            <w14:solidFill>
              <w14:schemeClr w14:val="tx1"/>
            </w14:solidFill>
          </w14:textFill>
        </w:rPr>
        <w:t>[20]</w:t>
      </w:r>
      <w:r>
        <w:rPr>
          <w:rFonts w:ascii="Book Antiqua" w:hAnsi="Book Antiqua" w:eastAsia="Book Antiqua" w:cs="Book Antiqua"/>
          <w:color w:val="000000" w:themeColor="text1"/>
          <w14:textFill>
            <w14:solidFill>
              <w14:schemeClr w14:val="tx1"/>
            </w14:solidFill>
          </w14:textFill>
        </w:rPr>
        <w:t>. The result indicated that the correlation between FCP normalization and endoscopic mucosal healing in CD patients was stronger than that of CRP normalization. A previous study verified that FCP is suitable for distinguishing mild endoscopic activity from endoscopic remission, while it is difficult to distinguish partial endoscopic remission from complete endoscopic remission</w:t>
      </w:r>
      <w:r>
        <w:rPr>
          <w:rFonts w:ascii="Book Antiqua" w:hAnsi="Book Antiqua" w:eastAsia="Book Antiqua" w:cs="Book Antiqua"/>
          <w:color w:val="000000" w:themeColor="text1"/>
          <w:vertAlign w:val="superscript"/>
          <w14:textFill>
            <w14:solidFill>
              <w14:schemeClr w14:val="tx1"/>
            </w14:solidFill>
          </w14:textFill>
        </w:rPr>
        <w:t>[21]</w:t>
      </w:r>
      <w:r>
        <w:rPr>
          <w:rFonts w:ascii="Book Antiqua" w:hAnsi="Book Antiqua" w:eastAsia="Book Antiqua" w:cs="Book Antiqua"/>
          <w:color w:val="000000" w:themeColor="text1"/>
          <w14:textFill>
            <w14:solidFill>
              <w14:schemeClr w14:val="tx1"/>
            </w14:solidFill>
          </w14:textFill>
        </w:rPr>
        <w:t>. Similar to blood trough level, the optimal cut off value of FCP for distinguishing endoscopic activity from endoscopic remission ranges from 71</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μg/g to 250 μg/g with moderate diagnostic performance</w:t>
      </w:r>
      <w:r>
        <w:rPr>
          <w:rFonts w:ascii="Book Antiqua" w:hAnsi="Book Antiqua" w:eastAsia="Book Antiqua" w:cs="Book Antiqua"/>
          <w:color w:val="000000" w:themeColor="text1"/>
          <w:vertAlign w:val="superscript"/>
          <w14:textFill>
            <w14:solidFill>
              <w14:schemeClr w14:val="tx1"/>
            </w14:solidFill>
          </w14:textFill>
        </w:rPr>
        <w:t>[22-27]</w:t>
      </w:r>
      <w:r>
        <w:rPr>
          <w:rFonts w:ascii="Book Antiqua" w:hAnsi="Book Antiqua" w:eastAsia="Book Antiqua" w:cs="Book Antiqua"/>
          <w:color w:val="000000" w:themeColor="text1"/>
          <w14:textFill>
            <w14:solidFill>
              <w14:schemeClr w14:val="tx1"/>
            </w14:solidFill>
          </w14:textFill>
        </w:rPr>
        <w:t>. The study identified that FCP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&gt; </w:t>
      </w:r>
      <w:r>
        <w:rPr>
          <w:rFonts w:ascii="Book Antiqua" w:hAnsi="Book Antiqua" w:eastAsia="Book Antiqua" w:cs="Book Antiqua"/>
          <w:color w:val="000000" w:themeColor="text1"/>
          <w14:textFill>
            <w14:solidFill>
              <w14:schemeClr w14:val="tx1"/>
            </w14:solidFill>
          </w14:textFill>
        </w:rPr>
        <w:t>276</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μg/g predicted endoscopic activity at week 54 of CD patients with clinical remission at week 14 moderately with 84.6% sensitivity and 92.1% specificity. Unlike FCP, the sensitivity of CRP to mild intestinal inflammation was low and the level of CRP increased much more dramatically in CD patients with moderate to severe inflammation. Therefore, the previous study preferred to utilize CRP to distinguish moderate to severe endoscopic activity from mild to moderate endoscopic activity rather than distinguish mild endoscopic activity from endoscopic remission. A Spanish study showed that FCP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&gt; </w:t>
      </w:r>
      <w:r>
        <w:rPr>
          <w:rFonts w:ascii="Book Antiqua" w:hAnsi="Book Antiqua" w:eastAsia="Book Antiqua" w:cs="Book Antiqua"/>
          <w:color w:val="000000" w:themeColor="text1"/>
          <w14:textFill>
            <w14:solidFill>
              <w14:schemeClr w14:val="tx1"/>
            </w14:solidFill>
          </w14:textFill>
        </w:rPr>
        <w:t>155</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μg/g in combination with CRP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&gt; </w:t>
      </w:r>
      <w:r>
        <w:rPr>
          <w:rFonts w:ascii="Book Antiqua" w:hAnsi="Book Antiqua" w:eastAsia="Book Antiqua" w:cs="Book Antiqua"/>
          <w:color w:val="000000" w:themeColor="text1"/>
          <w14:textFill>
            <w14:solidFill>
              <w14:schemeClr w14:val="tx1"/>
            </w14:solidFill>
          </w14:textFill>
        </w:rPr>
        <w:t>6.7</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mg/L could identify endoscopic activity with 82% specificity</w:t>
      </w:r>
      <w:r>
        <w:rPr>
          <w:rFonts w:ascii="Book Antiqua" w:hAnsi="Book Antiqua" w:eastAsia="Book Antiqua" w:cs="Book Antiqua"/>
          <w:color w:val="000000" w:themeColor="text1"/>
          <w:vertAlign w:val="superscript"/>
          <w14:textFill>
            <w14:solidFill>
              <w14:schemeClr w14:val="tx1"/>
            </w14:solidFill>
          </w14:textFill>
        </w:rPr>
        <w:t>[27]</w:t>
      </w:r>
      <w:r>
        <w:rPr>
          <w:rFonts w:ascii="Book Antiqua" w:hAnsi="Book Antiqua" w:eastAsia="Book Antiqua" w:cs="Book Antiqua"/>
          <w:color w:val="000000" w:themeColor="text1"/>
          <w14:textFill>
            <w14:solidFill>
              <w14:schemeClr w14:val="tx1"/>
            </w14:solidFill>
          </w14:textFill>
        </w:rPr>
        <w:t xml:space="preserve">. </w:t>
      </w:r>
    </w:p>
    <w:p>
      <w:pPr>
        <w:spacing w:line="360" w:lineRule="auto"/>
        <w:ind w:firstLine="420"/>
        <w:jc w:val="both"/>
        <w:rPr>
          <w:rFonts w:ascii="Book Antiqua" w:hAnsi="Book Antiqua"/>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However, the study has shortcomings in some areas. Firstly, the retrospective single-center study with small sample, inferior to prospective multi-center with greater sample, comprised some confounding factors. More real-world studies and randomized controlled trials on guidance significance of ITL to therapeutic outcomes in IBD need to be conducted. Secondly, the study primarily concentrated on mucosal inflammation located in large intestine, ignoring small intestine due to the high cost and the incomplete scoring system of small intestinal evaluation accompanied by the poor compliance of patients and the laborious operation of endoscopists. Correlation between ITL and various small intestinal examinations including endoscopy or imageology may be the focus of the future study. Last but not least, definition of deep remission on CD has been tightened. Considering transmural inflammation of CD, endoscopy is confined to mucosal inflammation and macroscopical evaluation while imageology can accurately evaluate complete volume of intestinal wall and histopathological examination, which contributes to microscopical examination. Notwithstanding endoscopic remission considered as the main targets and histological remission considered as a novel target, the new concept of ‘disease clearance’, which includes clinical, endoscopic and microscopic remission, has drawn more and more attention from IBD physicians and may bring about a new upsurge of studies on IFX monitoring and new therapeutic targets</w:t>
      </w:r>
      <w:r>
        <w:rPr>
          <w:rFonts w:ascii="Book Antiqua" w:hAnsi="Book Antiqua" w:eastAsia="Book Antiqua" w:cs="Book Antiqua"/>
          <w:color w:val="000000" w:themeColor="text1"/>
          <w:vertAlign w:val="superscript"/>
          <w14:textFill>
            <w14:solidFill>
              <w14:schemeClr w14:val="tx1"/>
            </w14:solidFill>
          </w14:textFill>
        </w:rPr>
        <w:t>[28]</w:t>
      </w:r>
      <w:r>
        <w:rPr>
          <w:rFonts w:ascii="Book Antiqua" w:hAnsi="Book Antiqua" w:eastAsia="Book Antiqua" w:cs="Book Antiqua"/>
          <w:color w:val="000000" w:themeColor="text1"/>
          <w14:textFill>
            <w14:solidFill>
              <w14:schemeClr w14:val="tx1"/>
            </w14:solidFill>
          </w14:textFill>
        </w:rPr>
        <w:t>.</w:t>
      </w:r>
    </w:p>
    <w:p>
      <w:pPr>
        <w:spacing w:line="360" w:lineRule="auto"/>
        <w:ind w:firstLine="420"/>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CONCLUSION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conclusion, during IFX maintenance treatment, low ITL, high CRP level and high FCP level were independent risk factors of long-term adverse endoscopy outcomes in CD patients with clinical remission. Combination of ITL, CRP and FCP contribute to long-term endoscopic prognosis monitoring. The best cut off values of ITL for predicting endoscopic activity within 1-year follow up were 5.60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at week 14 and 2.10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at week 54. In addition,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5.60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in combination with FCP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&gt;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238</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μg/g at week 14 as well as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2.10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in combination with CRP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&gt;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3.00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mg/L at week 54 increased the precision of prediction on endoscopic outcomes at week 54 and week 108, respectively. Therapeutic optimization is still recommended in CD patients achieving endoscopic remission, provided that low ITLs or high levels of inflammatory biomarkers, such as CRP or FCP, arise to prevent endoscopic recurrence as soon as possible. </w:t>
      </w:r>
    </w:p>
    <w:p>
      <w:pPr>
        <w:spacing w:line="360" w:lineRule="auto"/>
        <w:ind w:firstLine="420"/>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ARTICLE HIGHLIGHTS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background</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Existing studies have confirmed that infliximab (IFX) blood concentration is closely related to remission and recurrence of Crohn's disease (CD) patients under IFX therapy. In addition, monitoring inflammatory biomarkers regularly is another important tool for prognosis assessment of CD patients. Current studies have confirmed that C-reactive protein (CRP) and fecal calprotectin (FCP) are good predictors of disease activity, but there is still a lack of reliable evidence for predicting disease remission. Therefore, in the early stage of IFX treatment, combination of IFX blood concentration and inflammatory biomarkers may contribute to predict the change of CD outcomes.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motivation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best therapeutic goal of CD was initially defined as clinical remission, and then the definition was converted to endoscopic remission with precise therapy. Nowadays, some clinicians even pursue whole-wall healing with individualized therapy. However, long-term clinical prognosis rather than long-term endoscopic prognosis is still a research priority of clinical studies contrapose to CD patients under IFX therapy. Therefore, prediction on long-term endoscopic prognosis of CD patients under IFX therapy has been based solely on models because of a lack of available data.</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objectives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To explore the predictive value of blood drug concentration on long-term endoscopic outcomes of IFX therapy for CD and establish a comprehensive outcome prediction model combining IFX blood drug concentration, CRP and FCP, so as to provide a basis for clinical decision making.</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methods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A single-center retrospective research has been implemented in the First Affiliated Hospital of Zhejiang Chinese Medical University. </w:t>
      </w:r>
      <w:r>
        <w:rPr>
          <w:rFonts w:ascii="Book Antiqua" w:hAnsi="Book Antiqua" w:cs="Book Antiqua"/>
          <w:color w:val="000000" w:themeColor="text1"/>
          <w:lang w:eastAsia="zh-CN"/>
          <w14:textFill>
            <w14:solidFill>
              <w14:schemeClr w14:val="tx1"/>
            </w14:solidFill>
          </w14:textFill>
        </w:rPr>
        <w:t>CD</w:t>
      </w:r>
      <w:r>
        <w:rPr>
          <w:rFonts w:ascii="Book Antiqua" w:hAnsi="Book Antiqua" w:eastAsia="Book Antiqua" w:cs="Book Antiqua"/>
          <w:color w:val="000000" w:themeColor="text1"/>
          <w14:textFill>
            <w14:solidFill>
              <w14:schemeClr w14:val="tx1"/>
            </w14:solidFill>
          </w14:textFill>
        </w:rPr>
        <w:t xml:space="preserve"> patients under IFX therapy from January 2012 to December 2020 were collected. </w:t>
      </w:r>
      <w:r>
        <w:rPr>
          <w:rFonts w:ascii="Book Antiqua" w:hAnsi="Book Antiqua" w:cs="Book Antiqua"/>
          <w:color w:val="000000" w:themeColor="text1"/>
          <w:lang w:eastAsia="zh-CN"/>
          <w14:textFill>
            <w14:solidFill>
              <w14:schemeClr w14:val="tx1"/>
            </w14:solidFill>
          </w14:textFill>
        </w:rPr>
        <w:t xml:space="preserve">One hundred and eighty-one </w:t>
      </w:r>
      <w:r>
        <w:rPr>
          <w:rFonts w:ascii="Book Antiqua" w:hAnsi="Book Antiqua" w:eastAsia="Book Antiqua" w:cs="Book Antiqua"/>
          <w:color w:val="000000" w:themeColor="text1"/>
          <w14:textFill>
            <w14:solidFill>
              <w14:schemeClr w14:val="tx1"/>
            </w14:solidFill>
          </w14:textFill>
        </w:rPr>
        <w:t xml:space="preserve">CD patients underwent IFX treatment. </w:t>
      </w:r>
      <w:r>
        <w:rPr>
          <w:rFonts w:ascii="Book Antiqua" w:hAnsi="Book Antiqua" w:cs="Book Antiqua"/>
          <w:color w:val="000000" w:themeColor="text1"/>
          <w:lang w:eastAsia="zh-CN"/>
          <w14:textFill>
            <w14:solidFill>
              <w14:schemeClr w14:val="tx1"/>
            </w14:solidFill>
          </w14:textFill>
        </w:rPr>
        <w:t xml:space="preserve">One hundred and fifty-three </w:t>
      </w:r>
      <w:r>
        <w:rPr>
          <w:rFonts w:ascii="Book Antiqua" w:hAnsi="Book Antiqua" w:eastAsia="Book Antiqua" w:cs="Book Antiqua"/>
          <w:color w:val="000000" w:themeColor="text1"/>
          <w14:textFill>
            <w14:solidFill>
              <w14:schemeClr w14:val="tx1"/>
            </w14:solidFill>
          </w14:textFill>
        </w:rPr>
        <w:t>CD patients underwent en</w:t>
      </w:r>
      <w:r>
        <w:rPr>
          <w:rFonts w:hint="eastAsia" w:ascii="Book Antiqua" w:hAnsi="Book Antiqua" w:eastAsia="Book Antiqua" w:cs="Book Antiqua"/>
          <w:color w:val="000000" w:themeColor="text1"/>
          <w14:textFill>
            <w14:solidFill>
              <w14:schemeClr w14:val="tx1"/>
            </w14:solidFill>
          </w14:textFill>
        </w:rPr>
        <w:t>d</w:t>
      </w:r>
      <w:r>
        <w:rPr>
          <w:rFonts w:ascii="Book Antiqua" w:hAnsi="Book Antiqua" w:eastAsia="Book Antiqua" w:cs="Book Antiqua"/>
          <w:color w:val="000000" w:themeColor="text1"/>
          <w14:textFill>
            <w14:solidFill>
              <w14:schemeClr w14:val="tx1"/>
            </w14:solidFill>
          </w14:textFill>
        </w:rPr>
        <w:t>oscopy as well as serum concentration monitoring at week 14 after the third dose of IFX induction therapy. Inclusion criteria: (</w:t>
      </w:r>
      <w:r>
        <w:rPr>
          <w:rFonts w:ascii="Book Antiqua" w:hAnsi="Book Antiqua" w:cs="Book Antiqua"/>
          <w:color w:val="000000" w:themeColor="text1"/>
          <w:lang w:eastAsia="zh-CN"/>
          <w14:textFill>
            <w14:solidFill>
              <w14:schemeClr w14:val="tx1"/>
            </w14:solidFill>
          </w14:textFill>
        </w:rPr>
        <w:t>1</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caps/>
          <w:color w:val="000000" w:themeColor="text1"/>
          <w14:textFill>
            <w14:solidFill>
              <w14:schemeClr w14:val="tx1"/>
            </w14:solidFill>
          </w14:textFill>
        </w:rPr>
        <w:t>e</w:t>
      </w:r>
      <w:r>
        <w:rPr>
          <w:rFonts w:ascii="Book Antiqua" w:hAnsi="Book Antiqua" w:eastAsia="Book Antiqua" w:cs="Book Antiqua"/>
          <w:color w:val="000000" w:themeColor="text1"/>
          <w14:textFill>
            <w14:solidFill>
              <w14:schemeClr w14:val="tx1"/>
            </w14:solidFill>
          </w14:textFill>
        </w:rPr>
        <w:t>ndoscopic remission at week 14 [</w:t>
      </w:r>
      <w:r>
        <w:rPr>
          <w:rFonts w:ascii="Book Antiqua" w:hAnsi="Book Antiqua"/>
          <w:color w:val="000000" w:themeColor="text1"/>
          <w:lang w:eastAsia="zh-CN"/>
          <w14:textFill>
            <w14:solidFill>
              <w14:schemeClr w14:val="tx1"/>
            </w14:solidFill>
          </w14:textFill>
        </w:rPr>
        <w:t>Crohn’s disease endoscopic index of severity</w:t>
      </w:r>
      <w:r>
        <w:rPr>
          <w:rFonts w:ascii="Book Antiqua" w:hAnsi="Book Antiqua" w:eastAsia="Book Antiqua" w:cs="Book Antiqua"/>
          <w:color w:val="000000" w:themeColor="text1"/>
          <w14:textFill>
            <w14:solidFill>
              <w14:schemeClr w14:val="tx1"/>
            </w14:solidFill>
          </w14:textFill>
        </w:rPr>
        <w:t xml:space="preserve"> (CDEIS) score ≤ 2 points or Rutgeerts ≤ i1]</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cs="Book Antiqua"/>
          <w:color w:val="000000" w:themeColor="text1"/>
          <w:lang w:eastAsia="zh-CN"/>
          <w14:textFill>
            <w14:solidFill>
              <w14:schemeClr w14:val="tx1"/>
            </w14:solidFill>
          </w14:textFill>
        </w:rPr>
        <w:t>2</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caps/>
          <w:color w:val="000000" w:themeColor="text1"/>
          <w14:textFill>
            <w14:solidFill>
              <w14:schemeClr w14:val="tx1"/>
            </w14:solidFill>
          </w14:textFill>
        </w:rPr>
        <w:t>c</w:t>
      </w:r>
      <w:r>
        <w:rPr>
          <w:rFonts w:ascii="Book Antiqua" w:hAnsi="Book Antiqua" w:eastAsia="Book Antiqua" w:cs="Book Antiqua"/>
          <w:color w:val="000000" w:themeColor="text1"/>
          <w14:textFill>
            <w14:solidFill>
              <w14:schemeClr w14:val="tx1"/>
            </w14:solidFill>
          </w14:textFill>
        </w:rPr>
        <w:t xml:space="preserve">linical remission after IFX induction therapy without corticosteroids more than 6 mo; </w:t>
      </w:r>
      <w:r>
        <w:rPr>
          <w:rFonts w:ascii="Book Antiqua" w:hAnsi="Book Antiqua" w:cs="Book Antiqua"/>
          <w:color w:val="000000" w:themeColor="text1"/>
          <w:lang w:eastAsia="zh-CN"/>
          <w14:textFill>
            <w14:solidFill>
              <w14:schemeClr w14:val="tx1"/>
            </w14:solidFill>
          </w14:textFill>
        </w:rPr>
        <w:t xml:space="preserve">and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3</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caps/>
          <w:color w:val="000000" w:themeColor="text1"/>
          <w14:textFill>
            <w14:solidFill>
              <w14:schemeClr w14:val="tx1"/>
            </w14:solidFill>
          </w14:textFill>
        </w:rPr>
        <w:t>t</w:t>
      </w:r>
      <w:r>
        <w:rPr>
          <w:rFonts w:ascii="Book Antiqua" w:hAnsi="Book Antiqua" w:eastAsia="Book Antiqua" w:cs="Book Antiqua"/>
          <w:color w:val="000000" w:themeColor="text1"/>
          <w14:textFill>
            <w14:solidFill>
              <w14:schemeClr w14:val="tx1"/>
            </w14:solidFill>
          </w14:textFill>
        </w:rPr>
        <w:t>herapeutic strategy during maintenance stage was designed as IFX 5</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mg/kg every 8 wk combined with azathioprine 50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 every day. The study was divided into two stages, the Step I study was conducted from week 14 to 54 of IFX treatment, and the Step II study was conducted from week 54 to 108 of IFX treatment. Endoscopic outcomes were defined as endoscopic activity (CDEIS score &gt; 2 points or Rutgeerts score &gt; i1) and endoscopic remission (CDEIS score ≤ 2 points or Rutgeerts ≤ i1). Endoscopic relapse free survival was defined as endoscopic remission at the beginning of the study stage and maintaining endoscopic remission during the study stage.</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results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In step I study, 67/93 CD patients (72.04%) sustained endoscopic remission at week 54. Multivariable regression analysis demonstrated that only ITL [odds ratio (OR) = 0.666, 95% confidence interval (CI): 0.514-0.862,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0.002] and FCP (OR = 1.002, 95%CI: 1.001-1.004,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0.002) were independent risk of endoscopic activity at week 54. The receiver-operating characteristic analysis demonstrated that the best cut off level of ITL and FCP at week 14 on predicting endoscopic relapse at week 54 was 5.60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[area under the curve (AUC)</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0.83, 95%CI: 0.73-0.90, </w:t>
      </w:r>
      <w:r>
        <w:rPr>
          <w:rFonts w:ascii="Book Antiqua" w:hAnsi="Book Antiqua" w:eastAsia="Book Antiqua" w:cs="Book Antiqua"/>
          <w:i/>
          <w:color w:val="000000" w:themeColor="text1"/>
          <w14:textFill>
            <w14:solidFill>
              <w14:schemeClr w14:val="tx1"/>
            </w14:solidFill>
          </w14:textFill>
        </w:rPr>
        <w:t>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&lt; </w:t>
      </w:r>
      <w:r>
        <w:rPr>
          <w:rFonts w:ascii="Book Antiqua" w:hAnsi="Book Antiqua" w:eastAsia="Book Antiqua" w:cs="Book Antiqua"/>
          <w:color w:val="000000" w:themeColor="text1"/>
          <w14:textFill>
            <w14:solidFill>
              <w14:schemeClr w14:val="tx1"/>
            </w14:solidFill>
          </w14:textFill>
        </w:rPr>
        <w:t>0.001] and 238</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μg/g (AUC</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0.82, 95%CI: 0.72-0.89, </w:t>
      </w:r>
      <w:r>
        <w:rPr>
          <w:rFonts w:ascii="Book Antiqua" w:hAnsi="Book Antiqua" w:eastAsia="Book Antiqua" w:cs="Book Antiqua"/>
          <w:i/>
          <w:color w:val="000000" w:themeColor="text1"/>
          <w14:textFill>
            <w14:solidFill>
              <w14:schemeClr w14:val="tx1"/>
            </w14:solidFill>
          </w14:textFill>
        </w:rPr>
        <w:t>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&lt; </w:t>
      </w:r>
      <w:r>
        <w:rPr>
          <w:rFonts w:ascii="Book Antiqua" w:hAnsi="Book Antiqua" w:eastAsia="Book Antiqua" w:cs="Book Antiqua"/>
          <w:color w:val="000000" w:themeColor="text1"/>
          <w14:textFill>
            <w14:solidFill>
              <w14:schemeClr w14:val="tx1"/>
            </w14:solidFill>
          </w14:textFill>
        </w:rPr>
        <w:t>0.001). The median time to endoscopic relapse of CD patients with ITL ≤ 5.6 μg/ml was 32.00 wk shorter than those with ITL</w:t>
      </w:r>
      <w:r>
        <w:rPr>
          <w:rFonts w:ascii="Book Antiqua" w:hAnsi="Book Antiqua" w:eastAsia="宋体" w:cs="宋体"/>
          <w:color w:val="000000" w:themeColor="text1"/>
          <w:lang w:eastAsia="zh-CN"/>
          <w14:textFill>
            <w14:solidFill>
              <w14:schemeClr w14:val="tx1"/>
            </w14:solidFill>
          </w14:textFill>
        </w:rPr>
        <w:t xml:space="preserve"> &gt; </w:t>
      </w:r>
      <w:r>
        <w:rPr>
          <w:rFonts w:ascii="Book Antiqua" w:hAnsi="Book Antiqua" w:eastAsia="Book Antiqua" w:cs="Book Antiqua"/>
          <w:color w:val="000000" w:themeColor="text1"/>
          <w14:textFill>
            <w14:solidFill>
              <w14:schemeClr w14:val="tx1"/>
            </w14:solidFill>
          </w14:textFill>
        </w:rPr>
        <w:t>5.6</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[hazard ratio (HR)</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16.19, 95%CI: 7.44-35.22, </w:t>
      </w:r>
      <w:r>
        <w:rPr>
          <w:rFonts w:ascii="Book Antiqua" w:hAnsi="Book Antiqua" w:eastAsia="Book Antiqua" w:cs="Book Antiqua"/>
          <w:i/>
          <w:color w:val="000000" w:themeColor="text1"/>
          <w14:textFill>
            <w14:solidFill>
              <w14:schemeClr w14:val="tx1"/>
            </w14:solidFill>
          </w14:textFill>
        </w:rPr>
        <w:t>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&lt; </w:t>
      </w:r>
      <w:r>
        <w:rPr>
          <w:rFonts w:ascii="Book Antiqua" w:hAnsi="Book Antiqua" w:eastAsia="Book Antiqua" w:cs="Book Antiqua"/>
          <w:color w:val="000000" w:themeColor="text1"/>
          <w14:textFill>
            <w14:solidFill>
              <w14:schemeClr w14:val="tx1"/>
            </w14:solidFill>
          </w14:textFill>
        </w:rPr>
        <w:t>0.0001]. The median time to endoscopic relapse of CD patients with FCP</w:t>
      </w:r>
      <w:r>
        <w:rPr>
          <w:rFonts w:ascii="Book Antiqua" w:hAnsi="Book Antiqua" w:eastAsia="宋体" w:cs="宋体"/>
          <w:color w:val="000000" w:themeColor="text1"/>
          <w:lang w:eastAsia="zh-CN"/>
          <w14:textFill>
            <w14:solidFill>
              <w14:schemeClr w14:val="tx1"/>
            </w14:solidFill>
          </w14:textFill>
        </w:rPr>
        <w:t xml:space="preserve"> &gt; </w:t>
      </w:r>
      <w:r>
        <w:rPr>
          <w:rFonts w:ascii="Book Antiqua" w:hAnsi="Book Antiqua" w:eastAsia="Book Antiqua" w:cs="Book Antiqua"/>
          <w:color w:val="000000" w:themeColor="text1"/>
          <w14:textFill>
            <w14:solidFill>
              <w14:schemeClr w14:val="tx1"/>
            </w14:solidFill>
          </w14:textFill>
        </w:rPr>
        <w:t>238</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μg/g was 21.00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wk shorter than those with FCP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238</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μg/g (HR</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11.25, 95%CI: 4.26-29.73, </w:t>
      </w:r>
      <w:r>
        <w:rPr>
          <w:rFonts w:ascii="Book Antiqua" w:hAnsi="Book Antiqua" w:eastAsia="Book Antiqua" w:cs="Book Antiqua"/>
          <w:i/>
          <w:color w:val="000000" w:themeColor="text1"/>
          <w14:textFill>
            <w14:solidFill>
              <w14:schemeClr w14:val="tx1"/>
            </w14:solidFill>
          </w14:textFill>
        </w:rPr>
        <w:t>P</w:t>
      </w:r>
      <w:r>
        <w:rPr>
          <w:rFonts w:ascii="Book Antiqua" w:hAnsi="Book Antiqua" w:eastAsia="宋体" w:cs="宋体"/>
          <w:color w:val="000000" w:themeColor="text1"/>
          <w:lang w:eastAsia="zh-CN"/>
          <w14:textFill>
            <w14:solidFill>
              <w14:schemeClr w14:val="tx1"/>
            </w14:solidFill>
          </w14:textFill>
        </w:rPr>
        <w:t xml:space="preserve"> &lt; </w:t>
      </w:r>
      <w:r>
        <w:rPr>
          <w:rFonts w:ascii="Book Antiqua" w:hAnsi="Book Antiqua" w:eastAsia="Book Antiqua" w:cs="Book Antiqua"/>
          <w:color w:val="000000" w:themeColor="text1"/>
          <w14:textFill>
            <w14:solidFill>
              <w14:schemeClr w14:val="tx1"/>
            </w14:solidFill>
          </w14:textFill>
        </w:rPr>
        <w:t>0.0001). (II) In step II study, 42/54 CD patients (77.78%) sustained endoscopic remission at week 108. Multivariable regression analysis found that only ITL (OR = 0.466, 95%CI:</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0.247-0.877,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0.018) and CRP (OR = 1.590, 95%CI: 1.007-2.510,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0.047) were independent risks of endoscopic activity at week 108. The receiver-operating characteristic analysis demonstrated that the best cut off level of ITL and CRP at week 54 on predicting endoscopic relapse at week 108 was 2.10 μg/ml (AUC</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0.85, 95%CI: 0.72-0.93, </w:t>
      </w:r>
      <w:r>
        <w:rPr>
          <w:rFonts w:ascii="Book Antiqua" w:hAnsi="Book Antiqua" w:eastAsia="Book Antiqua" w:cs="Book Antiqua"/>
          <w:i/>
          <w:color w:val="000000" w:themeColor="text1"/>
          <w14:textFill>
            <w14:solidFill>
              <w14:schemeClr w14:val="tx1"/>
            </w14:solidFill>
          </w14:textFill>
        </w:rPr>
        <w:t>P</w:t>
      </w:r>
      <w:r>
        <w:rPr>
          <w:rFonts w:ascii="Book Antiqua" w:hAnsi="Book Antiqua" w:eastAsia="宋体" w:cs="宋体"/>
          <w:color w:val="000000" w:themeColor="text1"/>
          <w:lang w:eastAsia="zh-CN"/>
          <w14:textFill>
            <w14:solidFill>
              <w14:schemeClr w14:val="tx1"/>
            </w14:solidFill>
          </w14:textFill>
        </w:rPr>
        <w:t xml:space="preserve"> &lt; </w:t>
      </w:r>
      <w:r>
        <w:rPr>
          <w:rFonts w:ascii="Book Antiqua" w:hAnsi="Book Antiqua" w:eastAsia="Book Antiqua" w:cs="Book Antiqua"/>
          <w:color w:val="000000" w:themeColor="text1"/>
          <w14:textFill>
            <w14:solidFill>
              <w14:schemeClr w14:val="tx1"/>
            </w14:solidFill>
          </w14:textFill>
        </w:rPr>
        <w:t>0.001) and 3.00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mg/L (AUC</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0.73, 95%CI: 0.60-0.84,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 0.012). The median time to endoscopic relapse of CD patients with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2.1</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was 40.00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 shorter than those with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&gt; </w:t>
      </w:r>
      <w:r>
        <w:rPr>
          <w:rFonts w:ascii="Book Antiqua" w:hAnsi="Book Antiqua" w:eastAsia="Book Antiqua" w:cs="Book Antiqua"/>
          <w:color w:val="000000" w:themeColor="text1"/>
          <w14:textFill>
            <w14:solidFill>
              <w14:schemeClr w14:val="tx1"/>
            </w14:solidFill>
          </w14:textFill>
        </w:rPr>
        <w:t>2.1</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(HR</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13.14, 95%CI: 3.07-56.27, </w:t>
      </w:r>
      <w:r>
        <w:rPr>
          <w:rFonts w:ascii="Book Antiqua" w:hAnsi="Book Antiqua" w:eastAsia="Book Antiqua" w:cs="Book Antiqua"/>
          <w:i/>
          <w:color w:val="000000" w:themeColor="text1"/>
          <w14:textFill>
            <w14:solidFill>
              <w14:schemeClr w14:val="tx1"/>
            </w14:solidFill>
          </w14:textFill>
        </w:rPr>
        <w:t>P</w:t>
      </w:r>
      <w:r>
        <w:rPr>
          <w:rFonts w:ascii="Book Antiqua" w:hAnsi="Book Antiqua" w:eastAsia="宋体" w:cs="宋体"/>
          <w:color w:val="000000" w:themeColor="text1"/>
          <w:lang w:eastAsia="zh-CN"/>
          <w14:textFill>
            <w14:solidFill>
              <w14:schemeClr w14:val="tx1"/>
            </w14:solidFill>
          </w14:textFill>
        </w:rPr>
        <w:t xml:space="preserve"> &lt; </w:t>
      </w:r>
      <w:r>
        <w:rPr>
          <w:rFonts w:ascii="Book Antiqua" w:hAnsi="Book Antiqua" w:eastAsia="Book Antiqua" w:cs="Book Antiqua"/>
          <w:color w:val="000000" w:themeColor="text1"/>
          <w14:textFill>
            <w14:solidFill>
              <w14:schemeClr w14:val="tx1"/>
            </w14:solidFill>
          </w14:textFill>
        </w:rPr>
        <w:t>0.0001). The median time to endoscopic relapse of CD patients with CRP</w:t>
      </w:r>
      <w:r>
        <w:rPr>
          <w:rFonts w:ascii="Book Antiqua" w:hAnsi="Book Antiqua" w:eastAsia="宋体" w:cs="宋体"/>
          <w:color w:val="000000" w:themeColor="text1"/>
          <w:lang w:eastAsia="zh-CN"/>
          <w14:textFill>
            <w14:solidFill>
              <w14:schemeClr w14:val="tx1"/>
            </w14:solidFill>
          </w14:textFill>
        </w:rPr>
        <w:t xml:space="preserve"> &gt; </w:t>
      </w:r>
      <w:r>
        <w:rPr>
          <w:rFonts w:ascii="Book Antiqua" w:hAnsi="Book Antiqua" w:eastAsia="Book Antiqua" w:cs="Book Antiqua"/>
          <w:color w:val="000000" w:themeColor="text1"/>
          <w14:textFill>
            <w14:solidFill>
              <w14:schemeClr w14:val="tx1"/>
            </w14:solidFill>
          </w14:textFill>
        </w:rPr>
        <w:t>3.00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mg/L was 50.00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wk shorter than those with CRP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3.00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mg/L (HR</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7.85, 95%CI: 1.31-46.85, </w:t>
      </w:r>
      <w:r>
        <w:rPr>
          <w:rFonts w:ascii="Book Antiqua" w:hAnsi="Book Antiqua" w:eastAsia="Book Antiqua" w:cs="Book Antiqua"/>
          <w:i/>
          <w:color w:val="000000" w:themeColor="text1"/>
          <w14:textFill>
            <w14:solidFill>
              <w14:schemeClr w14:val="tx1"/>
            </w14:solidFill>
          </w14:textFill>
        </w:rPr>
        <w:t>P</w:t>
      </w:r>
      <w:r>
        <w:rPr>
          <w:rFonts w:ascii="Book Antiqua" w:hAnsi="Book Antiqua" w:eastAsia="宋体" w:cs="宋体"/>
          <w:color w:val="000000" w:themeColor="text1"/>
          <w:lang w:eastAsia="zh-CN"/>
          <w14:textFill>
            <w14:solidFill>
              <w14:schemeClr w14:val="tx1"/>
            </w14:solidFill>
          </w14:textFill>
        </w:rPr>
        <w:t xml:space="preserve">&lt; </w:t>
      </w:r>
      <w:r>
        <w:rPr>
          <w:rFonts w:ascii="Book Antiqua" w:hAnsi="Book Antiqua" w:eastAsia="Book Antiqua" w:cs="Book Antiqua"/>
          <w:color w:val="000000" w:themeColor="text1"/>
          <w14:textFill>
            <w14:solidFill>
              <w14:schemeClr w14:val="tx1"/>
            </w14:solidFill>
          </w14:textFill>
        </w:rPr>
        <w:t>0.0001).</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conclusions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best cut off values of ITL for predicting endoscopic activity within 1-year follow up was 5.60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at week 14 and 2.10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at week 54. In addition,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5.60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in combination with FCP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&gt;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238</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μg/g at week 14 as well as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2.10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in combination with CRP</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&gt;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3.00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mg/L at week 54 increased the precision of prediction on endoscopic outcomes at week 54 and week 108, respectively.</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perspectives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view of the fact that conduction of intensive monitoring for biological management plays a vital role in precise treatment for CD patients, much larger and more stringent prospective studies are warranted to provide the best predictive models as acknowledged globally in allusion to long-term endoscopic outcomes of CD patients under IFX therapy.</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ACKNOWLEDGEMENTS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The authors would like to thank Dr. Bin Lv, </w:t>
      </w:r>
      <w:r>
        <w:rPr>
          <w:rFonts w:hint="eastAsia" w:ascii="Book Antiqua" w:hAnsi="Book Antiqua" w:eastAsia="宋体" w:cs="Book Antiqua"/>
          <w:color w:val="000000" w:themeColor="text1"/>
          <w:lang w:val="en-US" w:eastAsia="zh-CN"/>
          <w14:textFill>
            <w14:solidFill>
              <w14:schemeClr w14:val="tx1"/>
            </w14:solidFill>
          </w14:textFill>
        </w:rPr>
        <w:t>F</w:t>
      </w:r>
      <w:r>
        <w:rPr>
          <w:rFonts w:ascii="Book Antiqua" w:hAnsi="Book Antiqua" w:eastAsia="Book Antiqua" w:cs="Book Antiqua"/>
          <w:color w:val="000000" w:themeColor="text1"/>
          <w14:textFill>
            <w14:solidFill>
              <w14:schemeClr w14:val="tx1"/>
            </w14:solidFill>
          </w14:textFill>
        </w:rPr>
        <w:t xml:space="preserve">ull </w:t>
      </w:r>
      <w:r>
        <w:rPr>
          <w:rFonts w:hint="eastAsia" w:ascii="Book Antiqua" w:hAnsi="Book Antiqua" w:eastAsia="宋体" w:cs="Book Antiqua"/>
          <w:color w:val="000000" w:themeColor="text1"/>
          <w:lang w:val="en-US" w:eastAsia="zh-CN"/>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rofessor and </w:t>
      </w:r>
      <w:r>
        <w:rPr>
          <w:rFonts w:hint="eastAsia" w:ascii="Book Antiqua" w:hAnsi="Book Antiqua" w:eastAsia="宋体" w:cs="Book Antiqua"/>
          <w:color w:val="000000" w:themeColor="text1"/>
          <w:lang w:val="en-US" w:eastAsia="zh-CN"/>
          <w14:textFill>
            <w14:solidFill>
              <w14:schemeClr w14:val="tx1"/>
            </w14:solidFill>
          </w14:textFill>
        </w:rPr>
        <w:t>C</w:t>
      </w:r>
      <w:r>
        <w:rPr>
          <w:rFonts w:ascii="Book Antiqua" w:hAnsi="Book Antiqua" w:eastAsia="Book Antiqua" w:cs="Book Antiqua"/>
          <w:color w:val="000000" w:themeColor="text1"/>
          <w14:textFill>
            <w14:solidFill>
              <w14:schemeClr w14:val="tx1"/>
            </w14:solidFill>
          </w14:textFill>
        </w:rPr>
        <w:t xml:space="preserve">hief </w:t>
      </w:r>
      <w:r>
        <w:rPr>
          <w:rFonts w:hint="eastAsia" w:ascii="Book Antiqua" w:hAnsi="Book Antiqua" w:eastAsia="宋体" w:cs="Book Antiqua"/>
          <w:color w:val="000000" w:themeColor="text1"/>
          <w:lang w:val="en-US" w:eastAsia="zh-CN"/>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hysician at the First Affiliated Hospital of Zhejiang Chinese Medical University, Department of Gastroenterology, for his help in revising this paper, and Shan Liu, at the First Affiliated Hospital of Zhejiang Chinese Medical University, Clinical Evaluation Center, for help with statistical analysis.</w:t>
      </w:r>
    </w:p>
    <w:p>
      <w:pPr>
        <w:spacing w:line="360" w:lineRule="auto"/>
        <w:jc w:val="both"/>
        <w:rPr>
          <w:rFonts w:ascii="Book Antiqua" w:hAnsi="Book Antiqua"/>
          <w:color w:val="000000" w:themeColor="text1"/>
          <w14:textFill>
            <w14:solidFill>
              <w14:schemeClr w14:val="tx1"/>
            </w14:solidFill>
          </w14:textFill>
        </w:rPr>
      </w:pPr>
    </w:p>
    <w:p>
      <w:pPr>
        <w:pStyle w:val="18"/>
        <w:spacing w:after="0" w:line="360" w:lineRule="auto"/>
        <w:jc w:val="left"/>
        <w:rPr>
          <w:rFonts w:ascii="Book Antiqua" w:hAnsi="Book Antiqua"/>
          <w:b/>
          <w:color w:val="000000" w:themeColor="text1"/>
          <w:sz w:val="24"/>
          <w:szCs w:val="24"/>
          <w14:textFill>
            <w14:solidFill>
              <w14:schemeClr w14:val="tx1"/>
            </w14:solidFill>
          </w14:textFill>
        </w:rPr>
      </w:pPr>
      <w:bookmarkStart w:id="15" w:name="OLE_LINK198"/>
      <w:bookmarkStart w:id="16" w:name="OLE_LINK60"/>
      <w:bookmarkStart w:id="17" w:name="OLE_LINK536"/>
      <w:bookmarkStart w:id="18" w:name="OLE_LINK358"/>
      <w:bookmarkStart w:id="19" w:name="_Hlk10469424"/>
      <w:bookmarkStart w:id="20" w:name="OLE_LINK16"/>
      <w:r>
        <w:rPr>
          <w:rFonts w:ascii="Book Antiqua" w:hAnsi="Book Antiqua"/>
          <w:b/>
          <w:color w:val="000000" w:themeColor="text1"/>
          <w:sz w:val="24"/>
          <w:szCs w:val="24"/>
          <w14:textFill>
            <w14:solidFill>
              <w14:schemeClr w14:val="tx1"/>
            </w14:solidFill>
          </w14:textFill>
        </w:rPr>
        <w:t>REFERENCES</w:t>
      </w:r>
      <w:bookmarkEnd w:id="15"/>
      <w:bookmarkEnd w:id="16"/>
    </w:p>
    <w:bookmarkEnd w:id="17"/>
    <w:bookmarkEnd w:id="18"/>
    <w:bookmarkEnd w:id="19"/>
    <w:bookmarkEnd w:id="20"/>
    <w:p>
      <w:pPr>
        <w:pStyle w:val="7"/>
        <w:spacing w:before="0" w:beforeAutospacing="0" w:after="0" w:afterAutospacing="0" w:line="360" w:lineRule="auto"/>
        <w:jc w:val="both"/>
        <w:rPr>
          <w:rFonts w:ascii="Book Antiqua" w:hAnsi="Book Antiqua"/>
        </w:rPr>
      </w:pPr>
      <w:bookmarkStart w:id="21" w:name="OLE_LINK339"/>
      <w:bookmarkStart w:id="22" w:name="OLE_LINK338"/>
      <w:r>
        <w:rPr>
          <w:rFonts w:ascii="Book Antiqua" w:hAnsi="Book Antiqua"/>
        </w:rPr>
        <w:t xml:space="preserve">1 </w:t>
      </w:r>
      <w:r>
        <w:rPr>
          <w:rFonts w:ascii="Book Antiqua" w:hAnsi="Book Antiqua"/>
          <w:b/>
          <w:bCs/>
        </w:rPr>
        <w:t>Tang J</w:t>
      </w:r>
      <w:r>
        <w:rPr>
          <w:rFonts w:ascii="Book Antiqua" w:hAnsi="Book Antiqua"/>
        </w:rPr>
        <w:t xml:space="preserve">, Yang Q, Huang Z, Guo H, Chao K, Hu P, Gao X. Early serum infliximab trough level and mucosal healing could be predictors for one-year outcome after initiating therapy in Crohn's disease. </w:t>
      </w:r>
      <w:r>
        <w:rPr>
          <w:rFonts w:ascii="Book Antiqua" w:hAnsi="Book Antiqua"/>
          <w:i/>
          <w:iCs/>
        </w:rPr>
        <w:t>Scand J Gastroenterol</w:t>
      </w:r>
      <w:r>
        <w:rPr>
          <w:rFonts w:ascii="Book Antiqua" w:hAnsi="Book Antiqua"/>
        </w:rPr>
        <w:t xml:space="preserve"> 2020; </w:t>
      </w:r>
      <w:r>
        <w:rPr>
          <w:rFonts w:ascii="Book Antiqua" w:hAnsi="Book Antiqua"/>
          <w:b/>
          <w:bCs/>
        </w:rPr>
        <w:t>55</w:t>
      </w:r>
      <w:r>
        <w:rPr>
          <w:rFonts w:ascii="Book Antiqua" w:hAnsi="Book Antiqua"/>
        </w:rPr>
        <w:t>: 1035-1040 [PMID: 32819192 DOI: 10.1080/00365521.2020.1800077]</w:t>
      </w:r>
    </w:p>
    <w:p>
      <w:pPr>
        <w:pStyle w:val="7"/>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Bortlik M</w:t>
      </w:r>
      <w:r>
        <w:rPr>
          <w:rFonts w:ascii="Book Antiqua" w:hAnsi="Book Antiqua"/>
        </w:rPr>
        <w:t xml:space="preserve">, Duricova D, Malickova K, Machkova N, Bouzkova E, Hrdlicka L, Komarek A, Lukas M. Infliximab trough levels may predict sustained response to infliximab in patients with Crohn's disease. </w:t>
      </w:r>
      <w:r>
        <w:rPr>
          <w:rFonts w:ascii="Book Antiqua" w:hAnsi="Book Antiqua"/>
          <w:i/>
          <w:iCs/>
        </w:rPr>
        <w:t>J Crohns Colitis</w:t>
      </w:r>
      <w:r>
        <w:rPr>
          <w:rFonts w:ascii="Book Antiqua" w:hAnsi="Book Antiqua"/>
        </w:rPr>
        <w:t xml:space="preserve"> 2013; </w:t>
      </w:r>
      <w:r>
        <w:rPr>
          <w:rFonts w:ascii="Book Antiqua" w:hAnsi="Book Antiqua"/>
          <w:b/>
          <w:bCs/>
        </w:rPr>
        <w:t>7</w:t>
      </w:r>
      <w:r>
        <w:rPr>
          <w:rFonts w:ascii="Book Antiqua" w:hAnsi="Book Antiqua"/>
        </w:rPr>
        <w:t>: 736-743 [PMID: 23200919 DOI: 10.1016/j.crohns.2012.10.019]</w:t>
      </w:r>
    </w:p>
    <w:p>
      <w:pPr>
        <w:pStyle w:val="7"/>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Ishida N</w:t>
      </w:r>
      <w:r>
        <w:rPr>
          <w:rFonts w:ascii="Book Antiqua" w:hAnsi="Book Antiqua"/>
        </w:rPr>
        <w:t xml:space="preserve">, Miyazu T, Sugiyama T, Tamura S, Kagami T, Tani S, Yamade M, Iwaizumi M, Hamaya Y, Osawa S, Furuta T, Sugimoto K. The effect of early trough level of infliximab on subsequent disease course in patients with Crohn disease: A prospective cohort study. </w:t>
      </w:r>
      <w:r>
        <w:rPr>
          <w:rFonts w:ascii="Book Antiqua" w:hAnsi="Book Antiqua"/>
          <w:i/>
          <w:iCs/>
        </w:rPr>
        <w:t>Medicine (Baltimore)</w:t>
      </w:r>
      <w:r>
        <w:rPr>
          <w:rFonts w:ascii="Book Antiqua" w:hAnsi="Book Antiqua"/>
        </w:rPr>
        <w:t xml:space="preserve"> 2020; </w:t>
      </w:r>
      <w:r>
        <w:rPr>
          <w:rFonts w:ascii="Book Antiqua" w:hAnsi="Book Antiqua"/>
          <w:b/>
          <w:bCs/>
        </w:rPr>
        <w:t>99</w:t>
      </w:r>
      <w:r>
        <w:rPr>
          <w:rFonts w:ascii="Book Antiqua" w:hAnsi="Book Antiqua"/>
        </w:rPr>
        <w:t>: e21226 [PMID: 32702894 DOI: 10.1097/MD.0000000000021226]</w:t>
      </w:r>
    </w:p>
    <w:p>
      <w:pPr>
        <w:pStyle w:val="7"/>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Moore C</w:t>
      </w:r>
      <w:r>
        <w:rPr>
          <w:rFonts w:ascii="Book Antiqua" w:hAnsi="Book Antiqua"/>
        </w:rPr>
        <w:t xml:space="preserve">, Corbett G, Moss AC. Systematic Review and Meta-Analysis: Serum Infliximab Levels During Maintenance Therapy and Outcomes in Inflammatory Bowel Disease. </w:t>
      </w:r>
      <w:r>
        <w:rPr>
          <w:rFonts w:ascii="Book Antiqua" w:hAnsi="Book Antiqua"/>
          <w:i/>
          <w:iCs/>
        </w:rPr>
        <w:t>J Crohns Colitis</w:t>
      </w:r>
      <w:r>
        <w:rPr>
          <w:rFonts w:ascii="Book Antiqua" w:hAnsi="Book Antiqua"/>
        </w:rPr>
        <w:t xml:space="preserve"> 2016; </w:t>
      </w:r>
      <w:r>
        <w:rPr>
          <w:rFonts w:ascii="Book Antiqua" w:hAnsi="Book Antiqua"/>
          <w:b/>
          <w:bCs/>
        </w:rPr>
        <w:t>10</w:t>
      </w:r>
      <w:r>
        <w:rPr>
          <w:rFonts w:ascii="Book Antiqua" w:hAnsi="Book Antiqua"/>
        </w:rPr>
        <w:t>: 619-625 [PMID: 26763722 DOI: 10.1093/ecco-jcc/jjw007]</w:t>
      </w:r>
    </w:p>
    <w:p>
      <w:pPr>
        <w:pStyle w:val="7"/>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Borren NZ</w:t>
      </w:r>
      <w:r>
        <w:rPr>
          <w:rFonts w:ascii="Book Antiqua" w:hAnsi="Book Antiqua"/>
        </w:rPr>
        <w:t xml:space="preserve">, Paulides E, Frinack JL, Olson RN, Willrich MAV, van der Woude CJ, Ananthakrishnan AN. Infliximab Trough Levels Are Not Predictive of Relapse in Patients with IBD in Endoscopic Remission: A Multicenter Cohort Study. </w:t>
      </w:r>
      <w:r>
        <w:rPr>
          <w:rFonts w:ascii="Book Antiqua" w:hAnsi="Book Antiqua"/>
          <w:i/>
          <w:iCs/>
        </w:rPr>
        <w:t>Dig Dis Sci</w:t>
      </w:r>
      <w:r>
        <w:rPr>
          <w:rFonts w:ascii="Book Antiqua" w:hAnsi="Book Antiqua"/>
        </w:rPr>
        <w:t xml:space="preserve"> 2021; </w:t>
      </w:r>
      <w:r>
        <w:rPr>
          <w:rFonts w:ascii="Book Antiqua" w:hAnsi="Book Antiqua"/>
          <w:b/>
          <w:bCs/>
        </w:rPr>
        <w:t>66</w:t>
      </w:r>
      <w:r>
        <w:rPr>
          <w:rFonts w:ascii="Book Antiqua" w:hAnsi="Book Antiqua"/>
        </w:rPr>
        <w:t>: 3548-3554 [PMID: 33037969 DOI: 10.1007/s10620-020-06645-0]</w:t>
      </w:r>
    </w:p>
    <w:p>
      <w:pPr>
        <w:pStyle w:val="7"/>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Imaeda H</w:t>
      </w:r>
      <w:r>
        <w:rPr>
          <w:rFonts w:ascii="Book Antiqua" w:hAnsi="Book Antiqua"/>
        </w:rPr>
        <w:t xml:space="preserve">, Bamba S, Takahashi K, Fujimoto T, Ban H, Tsujikawa T, Sasaki M, Fujiyama Y, Andoh A. Relationship between serum infliximab trough levels and endoscopic activities in patients with Crohn's disease under scheduled maintenance treatment. </w:t>
      </w:r>
      <w:r>
        <w:rPr>
          <w:rFonts w:ascii="Book Antiqua" w:hAnsi="Book Antiqua"/>
          <w:i/>
          <w:iCs/>
        </w:rPr>
        <w:t>J Gastroenterol</w:t>
      </w:r>
      <w:r>
        <w:rPr>
          <w:rFonts w:ascii="Book Antiqua" w:hAnsi="Book Antiqua"/>
        </w:rPr>
        <w:t xml:space="preserve"> 2014; </w:t>
      </w:r>
      <w:r>
        <w:rPr>
          <w:rFonts w:ascii="Book Antiqua" w:hAnsi="Book Antiqua"/>
          <w:b/>
          <w:bCs/>
        </w:rPr>
        <w:t>49</w:t>
      </w:r>
      <w:r>
        <w:rPr>
          <w:rFonts w:ascii="Book Antiqua" w:hAnsi="Book Antiqua"/>
        </w:rPr>
        <w:t>: 674-682 [PMID: 23666424 DOI: 10.1007/s00535-013-0829-7]</w:t>
      </w:r>
    </w:p>
    <w:p>
      <w:pPr>
        <w:pStyle w:val="7"/>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Papamichael K</w:t>
      </w:r>
      <w:r>
        <w:rPr>
          <w:rFonts w:ascii="Book Antiqua" w:hAnsi="Book Antiqua"/>
        </w:rPr>
        <w:t xml:space="preserve">, Rakowsky S, Rivera C, Cheifetz AS, Osterman MT. Association Between Serum Infliximab Trough Concentrations During Maintenance Therapy and Biochemical, Endoscopic, and Histologic Remission in Crohn's Disease. </w:t>
      </w:r>
      <w:r>
        <w:rPr>
          <w:rFonts w:ascii="Book Antiqua" w:hAnsi="Book Antiqua"/>
          <w:i/>
          <w:iCs/>
        </w:rPr>
        <w:t>Inflamm Bowel Dis</w:t>
      </w:r>
      <w:r>
        <w:rPr>
          <w:rFonts w:ascii="Book Antiqua" w:hAnsi="Book Antiqua"/>
        </w:rPr>
        <w:t xml:space="preserve"> 2018; </w:t>
      </w:r>
      <w:r>
        <w:rPr>
          <w:rFonts w:ascii="Book Antiqua" w:hAnsi="Book Antiqua"/>
          <w:b/>
          <w:bCs/>
        </w:rPr>
        <w:t>24</w:t>
      </w:r>
      <w:r>
        <w:rPr>
          <w:rFonts w:ascii="Book Antiqua" w:hAnsi="Book Antiqua"/>
        </w:rPr>
        <w:t>: 2266-2271 [PMID: 29718327 DOI: 10.1093/ibd/izy132]</w:t>
      </w:r>
    </w:p>
    <w:p>
      <w:pPr>
        <w:pStyle w:val="7"/>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Wilson A</w:t>
      </w:r>
      <w:r>
        <w:rPr>
          <w:rFonts w:ascii="Book Antiqua" w:hAnsi="Book Antiqua"/>
        </w:rPr>
        <w:t xml:space="preserve">, Choi B, Sey M, Ponich T, Beaton M, Kim RB. High infliximab trough concentrations are associated with sustained histologic remission in inflammatory bowel disease: a prospective cohort study. </w:t>
      </w:r>
      <w:r>
        <w:rPr>
          <w:rFonts w:ascii="Book Antiqua" w:hAnsi="Book Antiqua"/>
          <w:i/>
          <w:iCs/>
        </w:rPr>
        <w:t>BMC Gastroenterol</w:t>
      </w:r>
      <w:r>
        <w:rPr>
          <w:rFonts w:ascii="Book Antiqua" w:hAnsi="Book Antiqua"/>
        </w:rPr>
        <w:t xml:space="preserve"> 2021; </w:t>
      </w:r>
      <w:r>
        <w:rPr>
          <w:rFonts w:ascii="Book Antiqua" w:hAnsi="Book Antiqua"/>
          <w:b/>
          <w:bCs/>
        </w:rPr>
        <w:t>21</w:t>
      </w:r>
      <w:r>
        <w:rPr>
          <w:rFonts w:ascii="Book Antiqua" w:hAnsi="Book Antiqua"/>
        </w:rPr>
        <w:t>: 77 [PMID: 33602145 DOI: 10.1186/s12876-021-01650-7]</w:t>
      </w:r>
    </w:p>
    <w:p>
      <w:pPr>
        <w:pStyle w:val="7"/>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Plevris N</w:t>
      </w:r>
      <w:r>
        <w:rPr>
          <w:rFonts w:ascii="Book Antiqua" w:hAnsi="Book Antiqua"/>
        </w:rPr>
        <w:t xml:space="preserve">, Jenkinson PW, Arnott ID, Jones GR, Lees CW. Higher anti-tumor necrosis factor levels are associated with perianal fistula healing and fistula closure in Crohn's disease. </w:t>
      </w:r>
      <w:r>
        <w:rPr>
          <w:rFonts w:ascii="Book Antiqua" w:hAnsi="Book Antiqua"/>
          <w:i/>
          <w:iCs/>
        </w:rPr>
        <w:t>Eur J Gastroenterol Hepatol</w:t>
      </w:r>
      <w:r>
        <w:rPr>
          <w:rFonts w:ascii="Book Antiqua" w:hAnsi="Book Antiqua"/>
        </w:rPr>
        <w:t xml:space="preserve"> 2020; </w:t>
      </w:r>
      <w:r>
        <w:rPr>
          <w:rFonts w:ascii="Book Antiqua" w:hAnsi="Book Antiqua"/>
          <w:b/>
          <w:bCs/>
        </w:rPr>
        <w:t>32</w:t>
      </w:r>
      <w:r>
        <w:rPr>
          <w:rFonts w:ascii="Book Antiqua" w:hAnsi="Book Antiqua"/>
        </w:rPr>
        <w:t>: 32-37 [PMID: 31567638 DOI: 10.1097/MEG.0000000000001561]</w:t>
      </w:r>
    </w:p>
    <w:p>
      <w:pPr>
        <w:pStyle w:val="7"/>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Orfanoudaki E</w:t>
      </w:r>
      <w:r>
        <w:rPr>
          <w:rFonts w:ascii="Book Antiqua" w:hAnsi="Book Antiqua"/>
        </w:rPr>
        <w:t xml:space="preserve">, Gazouli M, Foteinogiannopoulou K, Theodoraki E, Legaki E, Romanos I, Mouzas I, Koutroubakis IE. Infliximab trough levels are decreasing over time in patients with inflammatory bowel disease on maintenance treatment with infliximab. </w:t>
      </w:r>
      <w:r>
        <w:rPr>
          <w:rFonts w:ascii="Book Antiqua" w:hAnsi="Book Antiqua"/>
          <w:i/>
          <w:iCs/>
        </w:rPr>
        <w:t>Eur J Gastroenterol Hepatol</w:t>
      </w:r>
      <w:r>
        <w:rPr>
          <w:rFonts w:ascii="Book Antiqua" w:hAnsi="Book Antiqua"/>
        </w:rPr>
        <w:t xml:space="preserve"> 2019; </w:t>
      </w:r>
      <w:r>
        <w:rPr>
          <w:rFonts w:ascii="Book Antiqua" w:hAnsi="Book Antiqua"/>
          <w:b/>
          <w:bCs/>
        </w:rPr>
        <w:t>31</w:t>
      </w:r>
      <w:r>
        <w:rPr>
          <w:rFonts w:ascii="Book Antiqua" w:hAnsi="Book Antiqua"/>
        </w:rPr>
        <w:t>: 187-191 [PMID: 30543573 DOI: 10.1097/MEG.0000000000001332]</w:t>
      </w:r>
    </w:p>
    <w:p>
      <w:pPr>
        <w:pStyle w:val="7"/>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Chaparro M</w:t>
      </w:r>
      <w:r>
        <w:rPr>
          <w:rFonts w:ascii="Book Antiqua" w:hAnsi="Book Antiqua"/>
        </w:rPr>
        <w:t xml:space="preserve">, Barreiro-de Acosta M, Echarri A, Almendros R, Barrio J, Llao J, Gomollón F, Vera M, Cabriada JL, Guardiola J, Guerra I, Beltrán B, Roncero O, Busquets D, Taxonera C, Calvet X, Ferreiro-Iglesias R, Ollero Pena V, Bernardo D, Donday MG, Garre A, Godino A, Díaz A, Gisbert JP. Correlation Between Anti-TNF Serum Levels and Endoscopic Inflammation in Inflammatory Bowel Disease Patients. </w:t>
      </w:r>
      <w:r>
        <w:rPr>
          <w:rFonts w:ascii="Book Antiqua" w:hAnsi="Book Antiqua"/>
          <w:i/>
          <w:iCs/>
        </w:rPr>
        <w:t>Dig Dis Sci</w:t>
      </w:r>
      <w:r>
        <w:rPr>
          <w:rFonts w:ascii="Book Antiqua" w:hAnsi="Book Antiqua"/>
        </w:rPr>
        <w:t xml:space="preserve"> 2019; </w:t>
      </w:r>
      <w:r>
        <w:rPr>
          <w:rFonts w:ascii="Book Antiqua" w:hAnsi="Book Antiqua"/>
          <w:b/>
          <w:bCs/>
        </w:rPr>
        <w:t>64</w:t>
      </w:r>
      <w:r>
        <w:rPr>
          <w:rFonts w:ascii="Book Antiqua" w:hAnsi="Book Antiqua"/>
        </w:rPr>
        <w:t>: 846-854 [PMID: 30426297 DOI: 10.1007/s10620-018-5362-3]</w:t>
      </w:r>
    </w:p>
    <w:p>
      <w:pPr>
        <w:pStyle w:val="7"/>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Kang B</w:t>
      </w:r>
      <w:r>
        <w:rPr>
          <w:rFonts w:ascii="Book Antiqua" w:hAnsi="Book Antiqua"/>
        </w:rPr>
        <w:t xml:space="preserve">, Choi SY, Choi YO, Lee SY, Baek SY, Sohn I, Choe BH, Lee HJ, Choe YH. Infliximab Trough Levels Are Associated With Mucosal Healing During Maintenance Treatment With Infliximab in Paediatric Crohn's Disease. </w:t>
      </w:r>
      <w:r>
        <w:rPr>
          <w:rFonts w:ascii="Book Antiqua" w:hAnsi="Book Antiqua"/>
          <w:i/>
          <w:iCs/>
        </w:rPr>
        <w:t>J Crohns Colitis</w:t>
      </w:r>
      <w:r>
        <w:rPr>
          <w:rFonts w:ascii="Book Antiqua" w:hAnsi="Book Antiqua"/>
        </w:rPr>
        <w:t xml:space="preserve"> 2019; </w:t>
      </w:r>
      <w:r>
        <w:rPr>
          <w:rFonts w:ascii="Book Antiqua" w:hAnsi="Book Antiqua"/>
          <w:b/>
          <w:bCs/>
        </w:rPr>
        <w:t>13</w:t>
      </w:r>
      <w:r>
        <w:rPr>
          <w:rFonts w:ascii="Book Antiqua" w:hAnsi="Book Antiqua"/>
        </w:rPr>
        <w:t>: 189-197 [PMID: 30452616 DOI: 10.1093/ecco-jcc/jjy155]</w:t>
      </w:r>
    </w:p>
    <w:p>
      <w:pPr>
        <w:pStyle w:val="7"/>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Feng T</w:t>
      </w:r>
      <w:r>
        <w:rPr>
          <w:rFonts w:ascii="Book Antiqua" w:hAnsi="Book Antiqua"/>
        </w:rPr>
        <w:t xml:space="preserve">, Chen B, Ungar B, Qiu Y, Zhang S, He J, Lin S, He Y, Zeng Z, Ben-Horin S, Chen M, Mao R. Association of Infliximab Levels With Mucosal Healing Is Time-Dependent in Crohn's Disease: Higher Drug Exposure Is Required Postinduction Than During Maintenance Treatment. </w:t>
      </w:r>
      <w:r>
        <w:rPr>
          <w:rFonts w:ascii="Book Antiqua" w:hAnsi="Book Antiqua"/>
          <w:i/>
          <w:iCs/>
        </w:rPr>
        <w:t>Inflamm Bowel Dis</w:t>
      </w:r>
      <w:r>
        <w:rPr>
          <w:rFonts w:ascii="Book Antiqua" w:hAnsi="Book Antiqua"/>
        </w:rPr>
        <w:t xml:space="preserve"> 2019; </w:t>
      </w:r>
      <w:r>
        <w:rPr>
          <w:rFonts w:ascii="Book Antiqua" w:hAnsi="Book Antiqua"/>
          <w:b/>
          <w:bCs/>
        </w:rPr>
        <w:t>25</w:t>
      </w:r>
      <w:r>
        <w:rPr>
          <w:rFonts w:ascii="Book Antiqua" w:hAnsi="Book Antiqua"/>
        </w:rPr>
        <w:t>: 1813-1821 [PMID: 30934050 DOI: 10.1093/ibd/izz061]</w:t>
      </w:r>
    </w:p>
    <w:p>
      <w:pPr>
        <w:pStyle w:val="7"/>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Beltrán B</w:t>
      </w:r>
      <w:r>
        <w:rPr>
          <w:rFonts w:ascii="Book Antiqua" w:hAnsi="Book Antiqua"/>
        </w:rPr>
        <w:t xml:space="preserve">, Iborra M, Sáez-González E, Marqués-Miñana MR, Moret I, Cerrillo E, Tortosa L, Bastida G, Hinojosa J, Poveda-Andrés JL, Nos P. Fecal Calprotectin Pretreatment and Induction Infliximab Levels for Prediction of Primary Nonresponse to Infliximab Therapy in Crohn's Disease. </w:t>
      </w:r>
      <w:r>
        <w:rPr>
          <w:rFonts w:ascii="Book Antiqua" w:hAnsi="Book Antiqua"/>
          <w:i/>
          <w:iCs/>
        </w:rPr>
        <w:t>Dig Dis</w:t>
      </w:r>
      <w:r>
        <w:rPr>
          <w:rFonts w:ascii="Book Antiqua" w:hAnsi="Book Antiqua"/>
        </w:rPr>
        <w:t xml:space="preserve"> 2019; </w:t>
      </w:r>
      <w:r>
        <w:rPr>
          <w:rFonts w:ascii="Book Antiqua" w:hAnsi="Book Antiqua"/>
          <w:b/>
          <w:bCs/>
        </w:rPr>
        <w:t>37</w:t>
      </w:r>
      <w:r>
        <w:rPr>
          <w:rFonts w:ascii="Book Antiqua" w:hAnsi="Book Antiqua"/>
        </w:rPr>
        <w:t>: 108-115 [PMID: 30149385 DOI: 10.1159/000492626]</w:t>
      </w:r>
    </w:p>
    <w:p>
      <w:pPr>
        <w:pStyle w:val="7"/>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Hemperly A</w:t>
      </w:r>
      <w:r>
        <w:rPr>
          <w:rFonts w:ascii="Book Antiqua" w:hAnsi="Book Antiqua"/>
        </w:rPr>
        <w:t xml:space="preserve">, Vande Casteele N. Clinical Pharmacokinetics and Pharmacodynamics of Infliximab in the Treatment of Inflammatory Bowel Disease. </w:t>
      </w:r>
      <w:r>
        <w:rPr>
          <w:rFonts w:ascii="Book Antiqua" w:hAnsi="Book Antiqua"/>
          <w:i/>
          <w:iCs/>
        </w:rPr>
        <w:t>Clin Pharmacokinet</w:t>
      </w:r>
      <w:r>
        <w:rPr>
          <w:rFonts w:ascii="Book Antiqua" w:hAnsi="Book Antiqua"/>
        </w:rPr>
        <w:t xml:space="preserve"> 2018; </w:t>
      </w:r>
      <w:r>
        <w:rPr>
          <w:rFonts w:ascii="Book Antiqua" w:hAnsi="Book Antiqua"/>
          <w:b/>
          <w:bCs/>
        </w:rPr>
        <w:t>57</w:t>
      </w:r>
      <w:r>
        <w:rPr>
          <w:rFonts w:ascii="Book Antiqua" w:hAnsi="Book Antiqua"/>
        </w:rPr>
        <w:t>: 929-942 [PMID: 29330783 DOI: 10.1007/s40262-017-0627-0]</w:t>
      </w:r>
    </w:p>
    <w:p>
      <w:pPr>
        <w:pStyle w:val="7"/>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Dreesen E</w:t>
      </w:r>
      <w:r>
        <w:rPr>
          <w:rFonts w:ascii="Book Antiqua" w:hAnsi="Book Antiqua"/>
        </w:rPr>
        <w:t xml:space="preserve">, Berends S, Laharie D, D'Haens G, Vermeire S, Gils A, Mathôt R. Modelling of the relationship between infliximab exposure, faecal calprotectin and endoscopic remission in patients with Crohn's disease. </w:t>
      </w:r>
      <w:r>
        <w:rPr>
          <w:rFonts w:ascii="Book Antiqua" w:hAnsi="Book Antiqua"/>
          <w:i/>
          <w:iCs/>
        </w:rPr>
        <w:t>Br J Clin Pharmacol</w:t>
      </w:r>
      <w:r>
        <w:rPr>
          <w:rFonts w:ascii="Book Antiqua" w:hAnsi="Book Antiqua"/>
        </w:rPr>
        <w:t xml:space="preserve"> 2021; </w:t>
      </w:r>
      <w:r>
        <w:rPr>
          <w:rFonts w:ascii="Book Antiqua" w:hAnsi="Book Antiqua"/>
          <w:b/>
          <w:bCs/>
        </w:rPr>
        <w:t>87</w:t>
      </w:r>
      <w:r>
        <w:rPr>
          <w:rFonts w:ascii="Book Antiqua" w:hAnsi="Book Antiqua"/>
        </w:rPr>
        <w:t>: 106-118 [PMID: 32415677 DOI: 10.1111/bcp.14364]</w:t>
      </w:r>
    </w:p>
    <w:p>
      <w:pPr>
        <w:pStyle w:val="7"/>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Dreesen E</w:t>
      </w:r>
      <w:r>
        <w:rPr>
          <w:rFonts w:ascii="Book Antiqua" w:hAnsi="Book Antiqua"/>
        </w:rPr>
        <w:t xml:space="preserve">, Baert F, Laharie D, Bossuyt P, Bouhnik Y, Buisson A, Lambrecht G, Louis E, Oldenburg B, Pariente B, Pierik M, van der Woude CJ, D'Haens G, Vermeire S, Gils A. Monitoring a Combination of Calprotectin and Infliximab Identifies Patients With Mucosal Healing of Crohn's Disease. </w:t>
      </w:r>
      <w:r>
        <w:rPr>
          <w:rFonts w:ascii="Book Antiqua" w:hAnsi="Book Antiqua"/>
          <w:i/>
          <w:iCs/>
        </w:rPr>
        <w:t>Clin Gastroenterol Hepatol</w:t>
      </w:r>
      <w:r>
        <w:rPr>
          <w:rFonts w:ascii="Book Antiqua" w:hAnsi="Book Antiqua"/>
        </w:rPr>
        <w:t xml:space="preserve"> 2020; </w:t>
      </w:r>
      <w:r>
        <w:rPr>
          <w:rFonts w:ascii="Book Antiqua" w:hAnsi="Book Antiqua"/>
          <w:b/>
          <w:bCs/>
        </w:rPr>
        <w:t>18</w:t>
      </w:r>
      <w:r>
        <w:rPr>
          <w:rFonts w:ascii="Book Antiqua" w:hAnsi="Book Antiqua"/>
        </w:rPr>
        <w:t>: 637-646.e11 [PMID: 31128336 DOI: 10.1016/j.cgh.2019.05.029]</w:t>
      </w:r>
    </w:p>
    <w:p>
      <w:pPr>
        <w:pStyle w:val="7"/>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Yarur AJ</w:t>
      </w:r>
      <w:r>
        <w:rPr>
          <w:rFonts w:ascii="Book Antiqua" w:hAnsi="Book Antiqua"/>
        </w:rPr>
        <w:t xml:space="preserve">, Kubiliun MJ, Czul F, Sussman DA, Quintero MA, Jain A, Drake KA, Hauenstein SI, Lockton S, Deshpande AR, Barkin JS, Singh S, Abreu MT. Concentrations of 6-thioguanine nucleotide correlate with trough levels of infliximab in patients with inflammatory bowel disease on combination therapy. </w:t>
      </w:r>
      <w:r>
        <w:rPr>
          <w:rFonts w:ascii="Book Antiqua" w:hAnsi="Book Antiqua"/>
          <w:i/>
          <w:iCs/>
        </w:rPr>
        <w:t>Clin Gastroenterol Hepatol</w:t>
      </w:r>
      <w:r>
        <w:rPr>
          <w:rFonts w:ascii="Book Antiqua" w:hAnsi="Book Antiqua"/>
        </w:rPr>
        <w:t xml:space="preserve"> 2015; </w:t>
      </w:r>
      <w:r>
        <w:rPr>
          <w:rFonts w:ascii="Book Antiqua" w:hAnsi="Book Antiqua"/>
          <w:b/>
          <w:bCs/>
        </w:rPr>
        <w:t>13</w:t>
      </w:r>
      <w:r>
        <w:rPr>
          <w:rFonts w:ascii="Book Antiqua" w:hAnsi="Book Antiqua"/>
        </w:rPr>
        <w:t>: 1118-24.e3 [PMID: 25562796 DOI: 10.1016/j.cgh.2014.12.026]</w:t>
      </w:r>
    </w:p>
    <w:p>
      <w:pPr>
        <w:pStyle w:val="7"/>
        <w:spacing w:before="0" w:beforeAutospacing="0" w:after="0" w:afterAutospacing="0" w:line="360" w:lineRule="auto"/>
        <w:jc w:val="both"/>
        <w:rPr>
          <w:rFonts w:ascii="Book Antiqua" w:hAnsi="Book Antiqua"/>
        </w:rPr>
      </w:pPr>
      <w:r>
        <w:rPr>
          <w:rFonts w:ascii="Book Antiqua" w:hAnsi="Book Antiqua"/>
        </w:rPr>
        <w:t xml:space="preserve">19 </w:t>
      </w:r>
      <w:r>
        <w:rPr>
          <w:rFonts w:ascii="Book Antiqua" w:hAnsi="Book Antiqua"/>
          <w:b/>
          <w:bCs/>
        </w:rPr>
        <w:t>Vermeire S</w:t>
      </w:r>
      <w:r>
        <w:rPr>
          <w:rFonts w:ascii="Book Antiqua" w:hAnsi="Book Antiqua"/>
        </w:rPr>
        <w:t xml:space="preserve">, Noman M, Van Assche G, Baert F, D'Haens G, Rutgeerts P. Effectiveness of concomitant immunosuppressive therapy in suppressing the formation of antibodies to infliximab in Crohn's disease. </w:t>
      </w:r>
      <w:r>
        <w:rPr>
          <w:rFonts w:ascii="Book Antiqua" w:hAnsi="Book Antiqua"/>
          <w:i/>
          <w:iCs/>
        </w:rPr>
        <w:t>Gut</w:t>
      </w:r>
      <w:r>
        <w:rPr>
          <w:rFonts w:ascii="Book Antiqua" w:hAnsi="Book Antiqua"/>
        </w:rPr>
        <w:t xml:space="preserve"> 2007; </w:t>
      </w:r>
      <w:r>
        <w:rPr>
          <w:rFonts w:ascii="Book Antiqua" w:hAnsi="Book Antiqua"/>
          <w:b/>
          <w:bCs/>
        </w:rPr>
        <w:t>56</w:t>
      </w:r>
      <w:r>
        <w:rPr>
          <w:rFonts w:ascii="Book Antiqua" w:hAnsi="Book Antiqua"/>
        </w:rPr>
        <w:t>: 1226-1231 [PMID: 17229796 DOI: 10.1136/gut.2006.099978]</w:t>
      </w:r>
    </w:p>
    <w:p>
      <w:pPr>
        <w:pStyle w:val="7"/>
        <w:spacing w:before="0" w:beforeAutospacing="0" w:after="0" w:afterAutospacing="0" w:line="360" w:lineRule="auto"/>
        <w:jc w:val="both"/>
        <w:rPr>
          <w:rFonts w:ascii="Book Antiqua" w:hAnsi="Book Antiqua"/>
        </w:rPr>
      </w:pPr>
      <w:r>
        <w:rPr>
          <w:rFonts w:ascii="Book Antiqua" w:hAnsi="Book Antiqua"/>
        </w:rPr>
        <w:t xml:space="preserve">20 </w:t>
      </w:r>
      <w:r>
        <w:rPr>
          <w:rFonts w:ascii="Book Antiqua" w:hAnsi="Book Antiqua"/>
          <w:b/>
          <w:bCs/>
        </w:rPr>
        <w:t>Reinisch W</w:t>
      </w:r>
      <w:r>
        <w:rPr>
          <w:rFonts w:ascii="Book Antiqua" w:hAnsi="Book Antiqua"/>
        </w:rPr>
        <w:t xml:space="preserve">, Panaccione R, Bossuyt P, Baert F, Armuzzi A, Hébuterne X, Travis S, Danese S, Sandborn WJ, Schreiber S, Berg S, Zhou Q, Kligys K, Neimark E, Suleiman AA, D'Haens G, Colombel JF. Association of Biomarker Cutoffs and Endoscopic Outcomes in Crohn's Disease: A Post Hoc Analysis From the CALM Study. </w:t>
      </w:r>
      <w:r>
        <w:rPr>
          <w:rFonts w:ascii="Book Antiqua" w:hAnsi="Book Antiqua"/>
          <w:i/>
          <w:iCs/>
        </w:rPr>
        <w:t>Inflamm Bowel Dis</w:t>
      </w:r>
      <w:r>
        <w:rPr>
          <w:rFonts w:ascii="Book Antiqua" w:hAnsi="Book Antiqua"/>
        </w:rPr>
        <w:t xml:space="preserve"> 2020; </w:t>
      </w:r>
      <w:r>
        <w:rPr>
          <w:rFonts w:ascii="Book Antiqua" w:hAnsi="Book Antiqua"/>
          <w:b/>
          <w:bCs/>
        </w:rPr>
        <w:t>26</w:t>
      </w:r>
      <w:r>
        <w:rPr>
          <w:rFonts w:ascii="Book Antiqua" w:hAnsi="Book Antiqua"/>
        </w:rPr>
        <w:t>: 1562-1571 [PMID: 32105310 DOI: 10.1093/ibd/izaa025]</w:t>
      </w:r>
    </w:p>
    <w:p>
      <w:pPr>
        <w:pStyle w:val="7"/>
        <w:spacing w:before="0" w:beforeAutospacing="0" w:after="0" w:afterAutospacing="0" w:line="360" w:lineRule="auto"/>
        <w:jc w:val="both"/>
        <w:rPr>
          <w:rFonts w:ascii="Book Antiqua" w:hAnsi="Book Antiqua"/>
        </w:rPr>
      </w:pPr>
      <w:r>
        <w:rPr>
          <w:rFonts w:ascii="Book Antiqua" w:hAnsi="Book Antiqua"/>
        </w:rPr>
        <w:t xml:space="preserve">21 </w:t>
      </w:r>
      <w:r>
        <w:rPr>
          <w:rFonts w:ascii="Book Antiqua" w:hAnsi="Book Antiqua"/>
          <w:b/>
          <w:bCs/>
        </w:rPr>
        <w:t>Kawashima K</w:t>
      </w:r>
      <w:r>
        <w:rPr>
          <w:rFonts w:ascii="Book Antiqua" w:hAnsi="Book Antiqua"/>
        </w:rPr>
        <w:t xml:space="preserve">, Ishihara S, Yuki T, Fukuba N, Sonoyama H, Kazumori H, Yamashita N, Tada Y, Kusunoki R, Oka A, Oshima N, Mishima Y, Moriyama I, Kinoshita Y. Fecal Calprotectin More Accurately Predicts Endoscopic Remission of Crohn's Disease than Serological Biomarkers Evaluated Using Balloon-assisted Enteroscopy. </w:t>
      </w:r>
      <w:r>
        <w:rPr>
          <w:rFonts w:ascii="Book Antiqua" w:hAnsi="Book Antiqua"/>
          <w:i/>
          <w:iCs/>
        </w:rPr>
        <w:t>Inflamm Bowel Dis</w:t>
      </w:r>
      <w:r>
        <w:rPr>
          <w:rFonts w:ascii="Book Antiqua" w:hAnsi="Book Antiqua"/>
        </w:rPr>
        <w:t xml:space="preserve"> 2017; </w:t>
      </w:r>
      <w:r>
        <w:rPr>
          <w:rFonts w:ascii="Book Antiqua" w:hAnsi="Book Antiqua"/>
          <w:b/>
          <w:bCs/>
        </w:rPr>
        <w:t>23</w:t>
      </w:r>
      <w:r>
        <w:rPr>
          <w:rFonts w:ascii="Book Antiqua" w:hAnsi="Book Antiqua"/>
        </w:rPr>
        <w:t>: 2027-2034 [PMID: 28817462 DOI: 10.1097/MIB.0000000000001202]</w:t>
      </w:r>
    </w:p>
    <w:p>
      <w:pPr>
        <w:pStyle w:val="7"/>
        <w:spacing w:before="0" w:beforeAutospacing="0" w:after="0" w:afterAutospacing="0" w:line="360" w:lineRule="auto"/>
        <w:jc w:val="both"/>
        <w:rPr>
          <w:rFonts w:ascii="Book Antiqua" w:hAnsi="Book Antiqua"/>
        </w:rPr>
      </w:pPr>
      <w:r>
        <w:rPr>
          <w:rFonts w:ascii="Book Antiqua" w:hAnsi="Book Antiqua"/>
        </w:rPr>
        <w:t xml:space="preserve">22 </w:t>
      </w:r>
      <w:r>
        <w:rPr>
          <w:rFonts w:ascii="Book Antiqua" w:hAnsi="Book Antiqua"/>
          <w:b/>
          <w:bCs/>
        </w:rPr>
        <w:t>D'Haens G</w:t>
      </w:r>
      <w:r>
        <w:rPr>
          <w:rFonts w:ascii="Book Antiqua" w:hAnsi="Book Antiqua"/>
        </w:rPr>
        <w:t xml:space="preserve">, Ferrante M, Vermeire S, Baert F, Noman M, Moortgat L, Geens P, Iwens D, Aerden I, Van Assche G, Van Olmen G, Rutgeerts P. Fecal calprotectin is a surrogate marker for endoscopic lesions in inflammatory bowel disease. </w:t>
      </w:r>
      <w:r>
        <w:rPr>
          <w:rFonts w:ascii="Book Antiqua" w:hAnsi="Book Antiqua"/>
          <w:i/>
          <w:iCs/>
        </w:rPr>
        <w:t>Inflamm Bowel Dis</w:t>
      </w:r>
      <w:r>
        <w:rPr>
          <w:rFonts w:ascii="Book Antiqua" w:hAnsi="Book Antiqua"/>
        </w:rPr>
        <w:t xml:space="preserve"> 2012; </w:t>
      </w:r>
      <w:r>
        <w:rPr>
          <w:rFonts w:ascii="Book Antiqua" w:hAnsi="Book Antiqua"/>
          <w:b/>
          <w:bCs/>
        </w:rPr>
        <w:t>18</w:t>
      </w:r>
      <w:r>
        <w:rPr>
          <w:rFonts w:ascii="Book Antiqua" w:hAnsi="Book Antiqua"/>
        </w:rPr>
        <w:t>: 2218-2224 [PMID: 22344983 DOI: 10.1002/ibd.22917]</w:t>
      </w:r>
    </w:p>
    <w:p>
      <w:pPr>
        <w:pStyle w:val="7"/>
        <w:spacing w:before="0" w:beforeAutospacing="0" w:after="0" w:afterAutospacing="0" w:line="360" w:lineRule="auto"/>
        <w:jc w:val="both"/>
        <w:rPr>
          <w:rFonts w:ascii="Book Antiqua" w:hAnsi="Book Antiqua"/>
        </w:rPr>
      </w:pPr>
      <w:r>
        <w:rPr>
          <w:rFonts w:ascii="Book Antiqua" w:hAnsi="Book Antiqua"/>
        </w:rPr>
        <w:t xml:space="preserve">23 </w:t>
      </w:r>
      <w:r>
        <w:rPr>
          <w:rFonts w:ascii="Book Antiqua" w:hAnsi="Book Antiqua"/>
          <w:b/>
          <w:bCs/>
        </w:rPr>
        <w:t>Kostas A</w:t>
      </w:r>
      <w:r>
        <w:rPr>
          <w:rFonts w:ascii="Book Antiqua" w:hAnsi="Book Antiqua"/>
        </w:rPr>
        <w:t xml:space="preserve">, Siakavellas SI, Kosmidis C, Takou A, Nikou J, Maropoulos G, Vlachogiannakos J, Papatheodoridis GV, Papaconstantinou I, Bamias G. Fecal calprotectin measurement is a marker of short-term clinical outcome and presence of mucosal healing in patients with inflammatory bowel disease. </w:t>
      </w:r>
      <w:r>
        <w:rPr>
          <w:rFonts w:ascii="Book Antiqua" w:hAnsi="Book Antiqua"/>
          <w:i/>
          <w:iCs/>
        </w:rPr>
        <w:t>World J Gastroenterol</w:t>
      </w:r>
      <w:r>
        <w:rPr>
          <w:rFonts w:ascii="Book Antiqua" w:hAnsi="Book Antiqua"/>
        </w:rPr>
        <w:t xml:space="preserve"> 2017; </w:t>
      </w:r>
      <w:r>
        <w:rPr>
          <w:rFonts w:ascii="Book Antiqua" w:hAnsi="Book Antiqua"/>
          <w:b/>
          <w:bCs/>
        </w:rPr>
        <w:t>23</w:t>
      </w:r>
      <w:r>
        <w:rPr>
          <w:rFonts w:ascii="Book Antiqua" w:hAnsi="Book Antiqua"/>
        </w:rPr>
        <w:t>: 7387-7396 [PMID: 29151692 DOI: 10.3748/wjg.v23.i41.7387]</w:t>
      </w:r>
    </w:p>
    <w:p>
      <w:pPr>
        <w:pStyle w:val="7"/>
        <w:spacing w:before="0" w:beforeAutospacing="0" w:after="0" w:afterAutospacing="0" w:line="360" w:lineRule="auto"/>
        <w:jc w:val="both"/>
        <w:rPr>
          <w:rFonts w:ascii="Book Antiqua" w:hAnsi="Book Antiqua"/>
        </w:rPr>
      </w:pPr>
      <w:r>
        <w:rPr>
          <w:rFonts w:ascii="Book Antiqua" w:hAnsi="Book Antiqua"/>
        </w:rPr>
        <w:t xml:space="preserve">24 </w:t>
      </w:r>
      <w:r>
        <w:rPr>
          <w:rFonts w:ascii="Book Antiqua" w:hAnsi="Book Antiqua"/>
          <w:b/>
          <w:bCs/>
        </w:rPr>
        <w:t>Vázquez Morón JM</w:t>
      </w:r>
      <w:r>
        <w:rPr>
          <w:rFonts w:ascii="Book Antiqua" w:hAnsi="Book Antiqua"/>
        </w:rPr>
        <w:t xml:space="preserve">, Pallarés Manrique H, Machancoses FH, Ramos Lora M, Ruiz Frutos C. Accurate cut-offs for predicting endoscopic activity and mucosal healing in Crohn's disease with fecal calprotectin. </w:t>
      </w:r>
      <w:r>
        <w:rPr>
          <w:rFonts w:ascii="Book Antiqua" w:hAnsi="Book Antiqua"/>
          <w:i/>
          <w:iCs/>
        </w:rPr>
        <w:t>Rev Esp Enferm Dig</w:t>
      </w:r>
      <w:r>
        <w:rPr>
          <w:rFonts w:ascii="Book Antiqua" w:hAnsi="Book Antiqua"/>
        </w:rPr>
        <w:t xml:space="preserve"> 2017; </w:t>
      </w:r>
      <w:r>
        <w:rPr>
          <w:rFonts w:ascii="Book Antiqua" w:hAnsi="Book Antiqua"/>
          <w:b/>
          <w:bCs/>
        </w:rPr>
        <w:t>109</w:t>
      </w:r>
      <w:r>
        <w:rPr>
          <w:rFonts w:ascii="Book Antiqua" w:hAnsi="Book Antiqua"/>
        </w:rPr>
        <w:t>: 130-136 [PMID: 28071062 DOI: 10.17235/reed.2017.4542/2016]</w:t>
      </w:r>
    </w:p>
    <w:p>
      <w:pPr>
        <w:pStyle w:val="7"/>
        <w:spacing w:before="0" w:beforeAutospacing="0" w:after="0" w:afterAutospacing="0" w:line="360" w:lineRule="auto"/>
        <w:jc w:val="both"/>
        <w:rPr>
          <w:rFonts w:ascii="Book Antiqua" w:hAnsi="Book Antiqua"/>
        </w:rPr>
      </w:pPr>
      <w:r>
        <w:rPr>
          <w:rFonts w:ascii="Book Antiqua" w:hAnsi="Book Antiqua"/>
        </w:rPr>
        <w:t xml:space="preserve">25 </w:t>
      </w:r>
      <w:r>
        <w:rPr>
          <w:rFonts w:ascii="Book Antiqua" w:hAnsi="Book Antiqua"/>
          <w:b/>
          <w:bCs/>
        </w:rPr>
        <w:t>Inokuchi T</w:t>
      </w:r>
      <w:r>
        <w:rPr>
          <w:rFonts w:ascii="Book Antiqua" w:hAnsi="Book Antiqua"/>
        </w:rPr>
        <w:t xml:space="preserve">, Kato J, Hiraoka S, Takashima S, Nakarai A, Takei D, Sugihara Y, Takahara M, Kawano S, Harada K, Okada H. Fecal Immunochemical Test Versus Fecal Calprotectin for Prediction of Mucosal Healing in Crohn's Disease. </w:t>
      </w:r>
      <w:r>
        <w:rPr>
          <w:rFonts w:ascii="Book Antiqua" w:hAnsi="Book Antiqua"/>
          <w:i/>
          <w:iCs/>
        </w:rPr>
        <w:t>Inflamm Bowel Dis</w:t>
      </w:r>
      <w:r>
        <w:rPr>
          <w:rFonts w:ascii="Book Antiqua" w:hAnsi="Book Antiqua"/>
        </w:rPr>
        <w:t xml:space="preserve"> 2016; </w:t>
      </w:r>
      <w:r>
        <w:rPr>
          <w:rFonts w:ascii="Book Antiqua" w:hAnsi="Book Antiqua"/>
          <w:b/>
          <w:bCs/>
        </w:rPr>
        <w:t>22</w:t>
      </w:r>
      <w:r>
        <w:rPr>
          <w:rFonts w:ascii="Book Antiqua" w:hAnsi="Book Antiqua"/>
        </w:rPr>
        <w:t>: 1078-1085 [PMID: 26891256 DOI: 10.1097/MIB.0000000000000728]</w:t>
      </w:r>
    </w:p>
    <w:p>
      <w:pPr>
        <w:pStyle w:val="7"/>
        <w:spacing w:before="0" w:beforeAutospacing="0" w:after="0" w:afterAutospacing="0" w:line="360" w:lineRule="auto"/>
        <w:jc w:val="both"/>
        <w:rPr>
          <w:rFonts w:ascii="Book Antiqua" w:hAnsi="Book Antiqua"/>
        </w:rPr>
      </w:pPr>
      <w:r>
        <w:rPr>
          <w:rFonts w:ascii="Book Antiqua" w:hAnsi="Book Antiqua"/>
        </w:rPr>
        <w:t xml:space="preserve">26 </w:t>
      </w:r>
      <w:r>
        <w:rPr>
          <w:rFonts w:ascii="Book Antiqua" w:hAnsi="Book Antiqua"/>
          <w:b/>
          <w:bCs/>
        </w:rPr>
        <w:t>D'Arcangelo G</w:t>
      </w:r>
      <w:r>
        <w:rPr>
          <w:rFonts w:ascii="Book Antiqua" w:hAnsi="Book Antiqua"/>
        </w:rPr>
        <w:t xml:space="preserve">, Oliva S, Dilillo A, Viola F, Civitelli F, Isoldi S, Cucchiara S, Aloi M. Predictors of Long-term Clinical and Endoscopic Remission in Children With Crohn Disease Treated With Infliximab. </w:t>
      </w:r>
      <w:r>
        <w:rPr>
          <w:rFonts w:ascii="Book Antiqua" w:hAnsi="Book Antiqua"/>
          <w:i/>
          <w:iCs/>
        </w:rPr>
        <w:t>J Pediatr Gastroenterol Nutr</w:t>
      </w:r>
      <w:r>
        <w:rPr>
          <w:rFonts w:ascii="Book Antiqua" w:hAnsi="Book Antiqua"/>
        </w:rPr>
        <w:t xml:space="preserve"> 2019; </w:t>
      </w:r>
      <w:r>
        <w:rPr>
          <w:rFonts w:ascii="Book Antiqua" w:hAnsi="Book Antiqua"/>
          <w:b/>
          <w:bCs/>
        </w:rPr>
        <w:t>68</w:t>
      </w:r>
      <w:r>
        <w:rPr>
          <w:rFonts w:ascii="Book Antiqua" w:hAnsi="Book Antiqua"/>
        </w:rPr>
        <w:t>: 841-846 [PMID: 30633110 DOI: 10.1097/MPG.0000000000002262]</w:t>
      </w:r>
    </w:p>
    <w:p>
      <w:pPr>
        <w:pStyle w:val="7"/>
        <w:spacing w:before="0" w:beforeAutospacing="0" w:after="0" w:afterAutospacing="0" w:line="360" w:lineRule="auto"/>
        <w:jc w:val="both"/>
        <w:rPr>
          <w:rFonts w:ascii="Book Antiqua" w:hAnsi="Book Antiqua"/>
        </w:rPr>
      </w:pPr>
      <w:r>
        <w:rPr>
          <w:rFonts w:ascii="Book Antiqua" w:hAnsi="Book Antiqua"/>
        </w:rPr>
        <w:t xml:space="preserve">27 </w:t>
      </w:r>
      <w:r>
        <w:rPr>
          <w:rFonts w:ascii="Book Antiqua" w:hAnsi="Book Antiqua"/>
          <w:b/>
          <w:bCs/>
        </w:rPr>
        <w:t>Penna FGC</w:t>
      </w:r>
      <w:r>
        <w:rPr>
          <w:rFonts w:ascii="Book Antiqua" w:hAnsi="Book Antiqua"/>
        </w:rPr>
        <w:t xml:space="preserve">, Rosa RM, Pereira FH, Cunha PFS, Sousa SCS, Ferrari TCA, Cara C, Ferrari MLA. Combined evaluation of fecal calprotectin and C-reactive protein as a therapeutic target in the management of patients with Crohn's disease. </w:t>
      </w:r>
      <w:r>
        <w:rPr>
          <w:rFonts w:ascii="Book Antiqua" w:hAnsi="Book Antiqua"/>
          <w:i/>
          <w:iCs/>
        </w:rPr>
        <w:t>Gastroenterol Hepatol</w:t>
      </w:r>
      <w:r>
        <w:rPr>
          <w:rFonts w:ascii="Book Antiqua" w:hAnsi="Book Antiqua"/>
        </w:rPr>
        <w:t xml:space="preserve"> 2021; </w:t>
      </w:r>
      <w:r>
        <w:rPr>
          <w:rFonts w:ascii="Book Antiqua" w:hAnsi="Book Antiqua"/>
          <w:b/>
          <w:bCs/>
        </w:rPr>
        <w:t>44</w:t>
      </w:r>
      <w:r>
        <w:rPr>
          <w:rFonts w:ascii="Book Antiqua" w:hAnsi="Book Antiqua"/>
        </w:rPr>
        <w:t>: 87-95 [PMID: 32680729 DOI: 10.1016/j.gastrohep.2020.04.015]</w:t>
      </w:r>
    </w:p>
    <w:p>
      <w:pPr>
        <w:pStyle w:val="7"/>
        <w:spacing w:before="0" w:beforeAutospacing="0" w:after="0" w:afterAutospacing="0" w:line="360" w:lineRule="auto"/>
        <w:jc w:val="both"/>
        <w:rPr>
          <w:rFonts w:ascii="Book Antiqua" w:hAnsi="Book Antiqua"/>
        </w:rPr>
      </w:pPr>
      <w:r>
        <w:rPr>
          <w:rFonts w:ascii="Book Antiqua" w:hAnsi="Book Antiqua"/>
        </w:rPr>
        <w:t xml:space="preserve">28 </w:t>
      </w:r>
      <w:r>
        <w:rPr>
          <w:rFonts w:ascii="Book Antiqua" w:hAnsi="Book Antiqua"/>
          <w:b/>
          <w:bCs/>
        </w:rPr>
        <w:t>Dal Buono A</w:t>
      </w:r>
      <w:r>
        <w:rPr>
          <w:rFonts w:ascii="Book Antiqua" w:hAnsi="Book Antiqua"/>
        </w:rPr>
        <w:t xml:space="preserve">, Roda G, Argollo M, Zacharopoulou E, Peyrin-Biroulet L, Danese S. Treat to target or 'treat to clear' in inflammatory bowel diseases: one step further? </w:t>
      </w:r>
      <w:r>
        <w:rPr>
          <w:rFonts w:ascii="Book Antiqua" w:hAnsi="Book Antiqua"/>
          <w:i/>
          <w:iCs/>
        </w:rPr>
        <w:t>Expert Rev Gastroenterol Hepatol</w:t>
      </w:r>
      <w:r>
        <w:rPr>
          <w:rFonts w:ascii="Book Antiqua" w:hAnsi="Book Antiqua"/>
        </w:rPr>
        <w:t xml:space="preserve"> 2020; </w:t>
      </w:r>
      <w:r>
        <w:rPr>
          <w:rFonts w:ascii="Book Antiqua" w:hAnsi="Book Antiqua"/>
          <w:b/>
          <w:bCs/>
        </w:rPr>
        <w:t>14</w:t>
      </w:r>
      <w:r>
        <w:rPr>
          <w:rFonts w:ascii="Book Antiqua" w:hAnsi="Book Antiqua"/>
        </w:rPr>
        <w:t>: 807-817 [PMID: 32762582 DOI: 10.1080/17474124.2020.1804361]</w:t>
      </w:r>
    </w:p>
    <w:p>
      <w:pPr>
        <w:spacing w:line="360" w:lineRule="auto"/>
        <w:jc w:val="both"/>
        <w:rPr>
          <w:rFonts w:ascii="Book Antiqua" w:hAnsi="Book Antiqua"/>
          <w:color w:val="000000" w:themeColor="text1"/>
          <w14:textFill>
            <w14:solidFill>
              <w14:schemeClr w14:val="tx1"/>
            </w14:solidFill>
          </w14:textFill>
        </w:rPr>
      </w:pPr>
    </w:p>
    <w:bookmarkEnd w:id="21"/>
    <w:bookmarkEnd w:id="22"/>
    <w:p>
      <w:pPr>
        <w:spacing w:line="360" w:lineRule="auto"/>
        <w:jc w:val="both"/>
        <w:rPr>
          <w:rFonts w:ascii="Book Antiqua" w:hAnsi="Book Antiqua"/>
          <w:color w:val="000000" w:themeColor="text1"/>
          <w14:textFill>
            <w14:solidFill>
              <w14:schemeClr w14:val="tx1"/>
            </w14:solidFill>
          </w14:textFill>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Footnotes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Institutional review board statement: </w:t>
      </w:r>
      <w:r>
        <w:rPr>
          <w:rFonts w:ascii="Book Antiqua" w:hAnsi="Book Antiqua" w:eastAsia="Book Antiqua" w:cs="Book Antiqua"/>
          <w:color w:val="000000" w:themeColor="text1"/>
          <w14:textFill>
            <w14:solidFill>
              <w14:schemeClr w14:val="tx1"/>
            </w14:solidFill>
          </w14:textFill>
        </w:rPr>
        <w:t>This study was reviewed and approved by the ethics committee of the First Affiliated Hospital of Zhejiang Chinese Medical University</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No. 2021-KL-024-02.</w:t>
      </w:r>
    </w:p>
    <w:p>
      <w:pPr>
        <w:spacing w:line="360" w:lineRule="auto"/>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Informed consent statement: </w:t>
      </w:r>
      <w:r>
        <w:rPr>
          <w:rFonts w:ascii="Book Antiqua" w:hAnsi="Book Antiqua" w:eastAsia="Book Antiqua" w:cs="Book Antiqua"/>
          <w:color w:val="000000" w:themeColor="text1"/>
          <w14:textFill>
            <w14:solidFill>
              <w14:schemeClr w14:val="tx1"/>
            </w14:solidFill>
          </w14:textFill>
        </w:rPr>
        <w:t>All study participants, or their legal guardian, provided informed written consent prior to study enrollment.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hint="eastAsia" w:ascii="Book Antiqua" w:hAnsi="Book Antiqua" w:eastAsia="宋体" w:cs="Book Antiqua"/>
          <w:color w:val="000000" w:themeColor="text1"/>
          <w:lang w:eastAsia="zh-CN"/>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Conflict-of-interest statement: </w:t>
      </w:r>
      <w:r>
        <w:rPr>
          <w:rFonts w:ascii="Book Antiqua" w:hAnsi="Book Antiqua" w:eastAsia="Book Antiqua" w:cs="Book Antiqua"/>
          <w:color w:val="000000" w:themeColor="text1"/>
          <w14:textFill>
            <w14:solidFill>
              <w14:schemeClr w14:val="tx1"/>
            </w14:solidFill>
          </w14:textFill>
        </w:rPr>
        <w:t>The authors declare that they have no conflict of interest.</w:t>
      </w:r>
    </w:p>
    <w:p>
      <w:pPr>
        <w:spacing w:line="360" w:lineRule="auto"/>
        <w:jc w:val="both"/>
        <w:rPr>
          <w:rFonts w:hint="eastAsia" w:ascii="Book Antiqua" w:hAnsi="Book Antiqua" w:eastAsia="宋体" w:cs="Book Antiqua"/>
          <w:color w:val="000000" w:themeColor="text1"/>
          <w:lang w:eastAsia="zh-CN"/>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Data sharing statement: </w:t>
      </w:r>
      <w:r>
        <w:rPr>
          <w:rFonts w:ascii="Book Antiqua" w:hAnsi="Book Antiqua" w:eastAsia="Book Antiqua" w:cs="Book Antiqua"/>
          <w:color w:val="000000" w:themeColor="text1"/>
          <w14:textFill>
            <w14:solidFill>
              <w14:schemeClr w14:val="tx1"/>
            </w14:solidFill>
          </w14:textFill>
        </w:rPr>
        <w:t>Some or all data, models, or code generated or used during the study are available from the corresponding author by request. People could contact the corresponding author to get the data which is not used for commercial purposes.</w:t>
      </w:r>
    </w:p>
    <w:p>
      <w:pPr>
        <w:spacing w:line="360" w:lineRule="auto"/>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Open-Access: </w:t>
      </w:r>
      <w:bookmarkStart w:id="23" w:name="OLE_LINK340"/>
      <w:bookmarkStart w:id="24" w:name="OLE_LINK337"/>
      <w:r>
        <w:rPr>
          <w:rFonts w:ascii="Book Antiqua" w:hAnsi="Book Antiqua" w:eastAsia="Book Antiqua" w:cs="Book Antiqua"/>
          <w:color w:val="000000" w:themeColor="text1"/>
          <w14:textFill>
            <w14:solidFill>
              <w14:schemeClr w14:val="tx1"/>
            </w14:solidFill>
          </w14:textFill>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23"/>
    <w:bookmarkEnd w:id="24"/>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Provenance and peer review: </w:t>
      </w:r>
      <w:r>
        <w:rPr>
          <w:rFonts w:ascii="Book Antiqua" w:hAnsi="Book Antiqua" w:eastAsia="Book Antiqua" w:cs="Book Antiqua"/>
          <w:color w:val="000000" w:themeColor="text1"/>
          <w14:textFill>
            <w14:solidFill>
              <w14:schemeClr w14:val="tx1"/>
            </w14:solidFill>
          </w14:textFill>
        </w:rPr>
        <w:t>Unsolicited article; Externally peer reviewed.</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Peer-review model: </w:t>
      </w:r>
      <w:r>
        <w:rPr>
          <w:rFonts w:ascii="Book Antiqua" w:hAnsi="Book Antiqua" w:eastAsia="Book Antiqua" w:cs="Book Antiqua"/>
          <w:color w:val="000000" w:themeColor="text1"/>
          <w14:textFill>
            <w14:solidFill>
              <w14:schemeClr w14:val="tx1"/>
            </w14:solidFill>
          </w14:textFill>
        </w:rPr>
        <w:t>Single blind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Peer-review started: </w:t>
      </w:r>
      <w:r>
        <w:rPr>
          <w:rFonts w:ascii="Book Antiqua" w:hAnsi="Book Antiqua" w:eastAsia="Book Antiqua" w:cs="Book Antiqua"/>
          <w:color w:val="000000" w:themeColor="text1"/>
          <w14:textFill>
            <w14:solidFill>
              <w14:schemeClr w14:val="tx1"/>
            </w14:solidFill>
          </w14:textFill>
        </w:rPr>
        <w:t>October 30, 2021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First decision: </w:t>
      </w:r>
      <w:r>
        <w:rPr>
          <w:rFonts w:ascii="Book Antiqua" w:hAnsi="Book Antiqua" w:eastAsia="Book Antiqua" w:cs="Book Antiqua"/>
          <w:color w:val="000000" w:themeColor="text1"/>
          <w14:textFill>
            <w14:solidFill>
              <w14:schemeClr w14:val="tx1"/>
            </w14:solidFill>
          </w14:textFill>
        </w:rPr>
        <w:t>March 11, 2022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Article in press: </w:t>
      </w:r>
      <w:r>
        <w:rPr>
          <w:rFonts w:ascii="Book Antiqua" w:hAnsi="Book Antiqua" w:eastAsia="Book Antiqua" w:cs="Book Antiqua"/>
          <w:b w:val="0"/>
          <w:bCs w:val="0"/>
          <w:color w:val="000000" w:themeColor="text1"/>
          <w14:textFill>
            <w14:solidFill>
              <w14:schemeClr w14:val="tx1"/>
            </w14:solidFill>
          </w14:textFill>
        </w:rPr>
        <w:t>May 7, 2022</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Specialty type: </w:t>
      </w:r>
      <w:r>
        <w:rPr>
          <w:rFonts w:ascii="Book Antiqua" w:hAnsi="Book Antiqua" w:eastAsia="Book Antiqua" w:cs="Book Antiqua"/>
          <w:color w:val="000000" w:themeColor="text1"/>
          <w14:textFill>
            <w14:solidFill>
              <w14:schemeClr w14:val="tx1"/>
            </w14:solidFill>
          </w14:textFill>
        </w:rPr>
        <w:t>Gastroenterology and hepatology</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Country/Territory of origin: </w:t>
      </w:r>
      <w:r>
        <w:rPr>
          <w:rFonts w:ascii="Book Antiqua" w:hAnsi="Book Antiqua" w:eastAsia="Book Antiqua" w:cs="Book Antiqua"/>
          <w:color w:val="000000" w:themeColor="text1"/>
          <w14:textFill>
            <w14:solidFill>
              <w14:schemeClr w14:val="tx1"/>
            </w14:solidFill>
          </w14:textFill>
        </w:rPr>
        <w:t>China</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Peer-review report’s scientific quality classification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A (Excellent): 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B (Very good): 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C (Good): C, C</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D (Fair): 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E (Poor): 0</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hint="default" w:ascii="Book Antiqua" w:hAnsi="Book Antiqua" w:eastAsia="宋体"/>
          <w:color w:val="000000" w:themeColor="text1"/>
          <w:lang w:val="en-US" w:eastAsia="zh-CN"/>
          <w14:textFill>
            <w14:solidFill>
              <w14:schemeClr w14:val="tx1"/>
            </w14:solidFill>
          </w14:textFill>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themeColor="text1"/>
          <w14:textFill>
            <w14:solidFill>
              <w14:schemeClr w14:val="tx1"/>
            </w14:solidFill>
          </w14:textFill>
        </w:rPr>
        <w:t xml:space="preserve">P-Reviewer: </w:t>
      </w:r>
      <w:r>
        <w:rPr>
          <w:rFonts w:ascii="Book Antiqua" w:hAnsi="Book Antiqua" w:eastAsia="Book Antiqua" w:cs="Book Antiqua"/>
          <w:color w:val="000000" w:themeColor="text1"/>
          <w14:textFill>
            <w14:solidFill>
              <w14:schemeClr w14:val="tx1"/>
            </w14:solidFill>
          </w14:textFill>
        </w:rPr>
        <w:t>Leite A, Brazil; Taxonera C, Spain</w:t>
      </w:r>
      <w:r>
        <w:rPr>
          <w:rFonts w:ascii="Book Antiqua" w:hAnsi="Book Antiqua" w:eastAsia="Book Antiqua" w:cs="Book Antiqua"/>
          <w:b/>
          <w:color w:val="000000" w:themeColor="text1"/>
          <w14:textFill>
            <w14:solidFill>
              <w14:schemeClr w14:val="tx1"/>
            </w14:solidFill>
          </w14:textFill>
        </w:rPr>
        <w:t xml:space="preserve"> S-Editor: </w:t>
      </w:r>
      <w:r>
        <w:rPr>
          <w:rFonts w:ascii="Book Antiqua" w:hAnsi="Book Antiqua" w:cs="Book Antiqua"/>
          <w:color w:val="000000" w:themeColor="text1"/>
          <w:lang w:eastAsia="zh-CN"/>
          <w14:textFill>
            <w14:solidFill>
              <w14:schemeClr w14:val="tx1"/>
            </w14:solidFill>
          </w14:textFill>
        </w:rPr>
        <w:t>Ma YJ</w:t>
      </w:r>
      <w:r>
        <w:rPr>
          <w:rFonts w:ascii="Book Antiqua" w:hAnsi="Book Antiqua" w:eastAsia="Book Antiqua" w:cs="Book Antiqua"/>
          <w:b/>
          <w:color w:val="000000" w:themeColor="text1"/>
          <w14:textFill>
            <w14:solidFill>
              <w14:schemeClr w14:val="tx1"/>
            </w14:solidFill>
          </w14:textFill>
        </w:rPr>
        <w:t xml:space="preserve"> L-Editor: </w:t>
      </w:r>
      <w:r>
        <w:rPr>
          <w:rFonts w:ascii="Book Antiqua" w:hAnsi="Book Antiqua" w:eastAsia="Book Antiqua" w:cs="Book Antiqua"/>
          <w:bCs/>
          <w:color w:val="000000" w:themeColor="text1"/>
          <w14:textFill>
            <w14:solidFill>
              <w14:schemeClr w14:val="tx1"/>
            </w14:solidFill>
          </w14:textFill>
        </w:rPr>
        <w:t>Filipodia</w:t>
      </w:r>
      <w:r>
        <w:rPr>
          <w:rFonts w:ascii="Book Antiqua" w:hAnsi="Book Antiqua" w:eastAsia="Book Antiqua" w:cs="Book Antiqua"/>
          <w:b/>
          <w:color w:val="000000" w:themeColor="text1"/>
          <w14:textFill>
            <w14:solidFill>
              <w14:schemeClr w14:val="tx1"/>
            </w14:solidFill>
          </w14:textFill>
        </w:rPr>
        <w:t xml:space="preserve"> P-Editor: </w:t>
      </w:r>
      <w:r>
        <w:rPr>
          <w:rFonts w:hint="eastAsia" w:ascii="Book Antiqua" w:hAnsi="Book Antiqua" w:eastAsia="宋体" w:cs="Book Antiqua"/>
          <w:b w:val="0"/>
          <w:bCs/>
          <w:color w:val="000000" w:themeColor="text1"/>
          <w:lang w:val="en-US" w:eastAsia="zh-CN"/>
          <w14:textFill>
            <w14:solidFill>
              <w14:schemeClr w14:val="tx1"/>
            </w14:solidFill>
          </w14:textFill>
        </w:rPr>
        <w:t>Cai YX</w:t>
      </w:r>
    </w:p>
    <w:p>
      <w:pPr>
        <w:spacing w:line="360" w:lineRule="auto"/>
        <w:jc w:val="both"/>
        <w:rPr>
          <w:rFonts w:ascii="Book Antiqua" w:hAnsi="Book Antiqua" w:cs="Book Antiqua"/>
          <w:b/>
          <w:color w:val="000000" w:themeColor="text1"/>
          <w:lang w:eastAsia="zh-CN"/>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Figure Legends</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drawing>
          <wp:inline distT="0" distB="0" distL="114300" distR="114300">
            <wp:extent cx="6047105" cy="2914015"/>
            <wp:effectExtent l="0" t="0" r="3175" b="12065"/>
            <wp:docPr id="7" name="图片 7" descr="WJG-28-2582-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G-28-2582-g001"/>
                    <pic:cNvPicPr>
                      <a:picLocks noChangeAspect="1"/>
                    </pic:cNvPicPr>
                  </pic:nvPicPr>
                  <pic:blipFill>
                    <a:blip r:embed="rId5"/>
                    <a:stretch>
                      <a:fillRect/>
                    </a:stretch>
                  </pic:blipFill>
                  <pic:spPr>
                    <a:xfrm>
                      <a:off x="0" y="0"/>
                      <a:ext cx="6047105" cy="2914015"/>
                    </a:xfrm>
                    <a:prstGeom prst="rect">
                      <a:avLst/>
                    </a:prstGeom>
                  </pic:spPr>
                </pic:pic>
              </a:graphicData>
            </a:graphic>
          </wp:inline>
        </w:drawing>
      </w:r>
    </w:p>
    <w:p>
      <w:pPr>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Figure 1</w:t>
      </w:r>
      <w:r>
        <w:rPr>
          <w:rFonts w:ascii="Book Antiqua" w:hAnsi="Book Antiqua" w:eastAsia="Book Antiqua" w:cs="Book Antiqua"/>
          <w:color w:val="000000" w:themeColor="text1"/>
          <w14:textFill>
            <w14:solidFill>
              <w14:schemeClr w14:val="tx1"/>
            </w14:solidFill>
          </w14:textFill>
        </w:rPr>
        <w:t xml:space="preserve"> </w:t>
      </w:r>
      <w:bookmarkStart w:id="25" w:name="OLE_LINK4"/>
      <w:r>
        <w:rPr>
          <w:rFonts w:ascii="Book Antiqua" w:hAnsi="Book Antiqua" w:eastAsia="Book Antiqua" w:cs="Book Antiqua"/>
          <w:b/>
          <w:color w:val="000000" w:themeColor="text1"/>
          <w14:textFill>
            <w14:solidFill>
              <w14:schemeClr w14:val="tx1"/>
            </w14:solidFill>
          </w14:textFill>
        </w:rPr>
        <w:t>Patients selected and outcome of infliximab therapy.</w:t>
      </w:r>
      <w:bookmarkEnd w:id="25"/>
      <w:r>
        <w:rPr>
          <w:rFonts w:ascii="Book Antiqua" w:hAnsi="Book Antiqua" w:eastAsia="Book Antiqua" w:cs="Book Antiqua"/>
          <w:color w:val="000000" w:themeColor="text1"/>
          <w14:textFill>
            <w14:solidFill>
              <w14:schemeClr w14:val="tx1"/>
            </w14:solidFill>
          </w14:textFill>
        </w:rPr>
        <w:t xml:space="preserve"> CD: Crohn‘s disease; EA: Endoscopic activity; IFX: Infliximab.</w:t>
      </w:r>
    </w:p>
    <w:p>
      <w:pPr>
        <w:spacing w:line="360" w:lineRule="auto"/>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br w:type="page"/>
      </w:r>
      <w:r>
        <w:rPr>
          <w:rFonts w:ascii="Book Antiqua" w:hAnsi="Book Antiqua"/>
          <w:color w:val="000000" w:themeColor="text1"/>
          <w:lang w:eastAsia="zh-CN"/>
          <w14:textFill>
            <w14:solidFill>
              <w14:schemeClr w14:val="tx1"/>
            </w14:solidFill>
          </w14:textFill>
        </w:rPr>
        <w:drawing>
          <wp:inline distT="0" distB="0" distL="114300" distR="114300">
            <wp:extent cx="3962400" cy="2974975"/>
            <wp:effectExtent l="0" t="0" r="0" b="12065"/>
            <wp:docPr id="8" name="图片 8" descr="WJG-28-2582-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JG-28-2582-g002"/>
                    <pic:cNvPicPr>
                      <a:picLocks noChangeAspect="1"/>
                    </pic:cNvPicPr>
                  </pic:nvPicPr>
                  <pic:blipFill>
                    <a:blip r:embed="rId6"/>
                    <a:stretch>
                      <a:fillRect/>
                    </a:stretch>
                  </pic:blipFill>
                  <pic:spPr>
                    <a:xfrm>
                      <a:off x="0" y="0"/>
                      <a:ext cx="3962400" cy="2974975"/>
                    </a:xfrm>
                    <a:prstGeom prst="rect">
                      <a:avLst/>
                    </a:prstGeom>
                  </pic:spPr>
                </pic:pic>
              </a:graphicData>
            </a:graphic>
          </wp:inline>
        </w:drawing>
      </w:r>
    </w:p>
    <w:p>
      <w:pPr>
        <w:spacing w:line="360" w:lineRule="auto"/>
        <w:jc w:val="both"/>
        <w:rPr>
          <w:rFonts w:ascii="Book Antiqua" w:hAnsi="Book Antiqua" w:eastAsia="Book Antiqua" w:cs="Book Antiqua"/>
          <w:b/>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Figure 2</w:t>
      </w:r>
      <w:r>
        <w:rPr>
          <w:rFonts w:ascii="Book Antiqua" w:hAnsi="Book Antiqua" w:eastAsia="Book Antiqua" w:cs="Book Antiqua"/>
          <w:b/>
          <w:color w:val="000000" w:themeColor="text1"/>
          <w14:textFill>
            <w14:solidFill>
              <w14:schemeClr w14:val="tx1"/>
            </w14:solidFill>
          </w14:textFill>
        </w:rPr>
        <w:t xml:space="preserve"> Incremental gain analysis of sustained endoscopic remission rate in relation to infliximab trough level at week 14 and week 54.</w:t>
      </w:r>
    </w:p>
    <w:p>
      <w:pPr>
        <w:spacing w:line="360" w:lineRule="auto"/>
        <w:jc w:val="both"/>
        <w:rPr>
          <w:rFonts w:ascii="Book Antiqua" w:hAnsi="Book Antiqua" w:eastAsia="Book Antiqua" w:cs="Book Antiqua"/>
          <w:b/>
          <w:color w:val="000000" w:themeColor="text1"/>
          <w14:textFill>
            <w14:solidFill>
              <w14:schemeClr w14:val="tx1"/>
            </w14:solidFill>
          </w14:textFill>
        </w:rPr>
      </w:pPr>
    </w:p>
    <w:p>
      <w:pPr>
        <w:spacing w:line="360" w:lineRule="auto"/>
        <w:jc w:val="both"/>
        <w:rPr>
          <w:rFonts w:ascii="Book Antiqua" w:hAnsi="Book Antiqua" w:eastAsia="Book Antiqua" w:cs="Book Antiqua"/>
          <w:b/>
          <w:color w:val="000000" w:themeColor="text1"/>
          <w14:textFill>
            <w14:solidFill>
              <w14:schemeClr w14:val="tx1"/>
            </w14:solidFill>
          </w14:textFill>
        </w:rPr>
      </w:pPr>
    </w:p>
    <w:p>
      <w:pPr>
        <w:spacing w:line="360" w:lineRule="auto"/>
        <w:jc w:val="both"/>
        <w:rPr>
          <w:rFonts w:ascii="Book Antiqua" w:hAnsi="Book Antiqua" w:eastAsia="Book Antiqua" w:cs="Book Antiqua"/>
          <w:b/>
          <w:color w:val="000000" w:themeColor="text1"/>
          <w14:textFill>
            <w14:solidFill>
              <w14:schemeClr w14:val="tx1"/>
            </w14:solidFill>
          </w14:textFill>
        </w:rPr>
      </w:pPr>
    </w:p>
    <w:p>
      <w:pPr>
        <w:spacing w:line="360" w:lineRule="auto"/>
        <w:jc w:val="both"/>
        <w:rPr>
          <w:rFonts w:ascii="Book Antiqua" w:hAnsi="Book Antiqua" w:eastAsia="Book Antiqua" w:cs="Book Antiqua"/>
          <w:b/>
          <w:color w:val="000000" w:themeColor="text1"/>
          <w14:textFill>
            <w14:solidFill>
              <w14:schemeClr w14:val="tx1"/>
            </w14:solidFill>
          </w14:textFill>
        </w:rPr>
      </w:pPr>
    </w:p>
    <w:p>
      <w:pPr>
        <w:spacing w:line="360" w:lineRule="auto"/>
        <w:jc w:val="both"/>
        <w:rPr>
          <w:rFonts w:ascii="Book Antiqua" w:hAnsi="Book Antiqua" w:eastAsia="Book Antiqua" w:cs="Book Antiqua"/>
          <w:b/>
          <w:color w:val="000000" w:themeColor="text1"/>
          <w14:textFill>
            <w14:solidFill>
              <w14:schemeClr w14:val="tx1"/>
            </w14:solidFill>
          </w14:textFill>
        </w:rPr>
      </w:pPr>
    </w:p>
    <w:p>
      <w:pPr>
        <w:spacing w:line="360" w:lineRule="auto"/>
        <w:jc w:val="both"/>
        <w:rPr>
          <w:rFonts w:ascii="Book Antiqua" w:hAnsi="Book Antiqua" w:cs="Book Antiqua"/>
          <w:b/>
          <w:color w:val="000000" w:themeColor="text1"/>
          <w:lang w:eastAsia="zh-CN"/>
          <w14:textFill>
            <w14:solidFill>
              <w14:schemeClr w14:val="tx1"/>
            </w14:solidFill>
          </w14:textFill>
        </w:rPr>
      </w:pPr>
      <w:r>
        <w:rPr>
          <w:rFonts w:ascii="Book Antiqua" w:hAnsi="Book Antiqua" w:cs="Book Antiqua"/>
          <w:b/>
          <w:color w:val="000000" w:themeColor="text1"/>
          <w:lang w:eastAsia="zh-CN"/>
          <w14:textFill>
            <w14:solidFill>
              <w14:schemeClr w14:val="tx1"/>
            </w14:solidFill>
          </w14:textFill>
        </w:rPr>
        <w:drawing>
          <wp:inline distT="0" distB="0" distL="114300" distR="114300">
            <wp:extent cx="3895090" cy="3931920"/>
            <wp:effectExtent l="0" t="0" r="6350" b="0"/>
            <wp:docPr id="9" name="图片 9" descr="WJG-28-2582-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JG-28-2582-g003"/>
                    <pic:cNvPicPr>
                      <a:picLocks noChangeAspect="1"/>
                    </pic:cNvPicPr>
                  </pic:nvPicPr>
                  <pic:blipFill>
                    <a:blip r:embed="rId7"/>
                    <a:stretch>
                      <a:fillRect/>
                    </a:stretch>
                  </pic:blipFill>
                  <pic:spPr>
                    <a:xfrm>
                      <a:off x="0" y="0"/>
                      <a:ext cx="3895090" cy="3931920"/>
                    </a:xfrm>
                    <a:prstGeom prst="rect">
                      <a:avLst/>
                    </a:prstGeom>
                  </pic:spPr>
                </pic:pic>
              </a:graphicData>
            </a:graphic>
          </wp:inline>
        </w:drawing>
      </w:r>
    </w:p>
    <w:p>
      <w:pPr>
        <w:spacing w:line="360" w:lineRule="auto"/>
        <w:jc w:val="both"/>
        <w:rPr>
          <w:rFonts w:ascii="Book Antiqua" w:hAnsi="Book Antiqua" w:cs="Book Antiqua"/>
          <w:b/>
          <w:color w:val="000000" w:themeColor="text1"/>
          <w:lang w:eastAsia="zh-CN"/>
          <w14:textFill>
            <w14:solidFill>
              <w14:schemeClr w14:val="tx1"/>
            </w14:solidFill>
          </w14:textFill>
        </w:rPr>
      </w:pPr>
    </w:p>
    <w:p>
      <w:pPr>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Figure 3</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b/>
          <w:bCs/>
          <w:color w:val="000000" w:themeColor="text1"/>
          <w14:textFill>
            <w14:solidFill>
              <w14:schemeClr w14:val="tx1"/>
            </w14:solidFill>
          </w14:textFill>
        </w:rPr>
        <w:t xml:space="preserve">Receiver operator characteristic curve of infliximab trough level and inflammatory biomarkers in predicting endoscopic outcomes. </w:t>
      </w:r>
      <w:r>
        <w:rPr>
          <w:rFonts w:ascii="Book Antiqua" w:hAnsi="Book Antiqua" w:eastAsia="Book Antiqua" w:cs="Book Antiqua"/>
          <w:color w:val="000000" w:themeColor="text1"/>
          <w14:textFill>
            <w14:solidFill>
              <w14:schemeClr w14:val="tx1"/>
            </w14:solidFill>
          </w14:textFill>
        </w:rPr>
        <w:t>A</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Receiver operator characteristic (ROC) curve of infliximab trough level at week 14 in predicting endoscopic remission of Crohn’s </w:t>
      </w:r>
      <w:r>
        <w:rPr>
          <w:rFonts w:ascii="Book Antiqua" w:hAnsi="Book Antiqua" w:cs="Book Antiqua"/>
          <w:color w:val="000000" w:themeColor="text1"/>
          <w:lang w:eastAsia="zh-CN"/>
          <w14:textFill>
            <w14:solidFill>
              <w14:schemeClr w14:val="tx1"/>
            </w14:solidFill>
          </w14:textFill>
        </w:rPr>
        <w:t>d</w:t>
      </w:r>
      <w:r>
        <w:rPr>
          <w:rFonts w:ascii="Book Antiqua" w:hAnsi="Book Antiqua" w:eastAsia="Book Antiqua" w:cs="Book Antiqua"/>
          <w:color w:val="000000" w:themeColor="text1"/>
          <w14:textFill>
            <w14:solidFill>
              <w14:schemeClr w14:val="tx1"/>
            </w14:solidFill>
          </w14:textFill>
        </w:rPr>
        <w:t xml:space="preserve">isease </w:t>
      </w:r>
      <w:r>
        <w:rPr>
          <w:rFonts w:ascii="Book Antiqua" w:hAnsi="Book Antiqua" w:cs="Book Antiqua"/>
          <w:color w:val="000000" w:themeColor="text1"/>
          <w:lang w:eastAsia="zh-CN"/>
          <w14:textFill>
            <w14:solidFill>
              <w14:schemeClr w14:val="tx1"/>
            </w14:solidFill>
          </w14:textFill>
        </w:rPr>
        <w:t xml:space="preserve">(CD) </w:t>
      </w:r>
      <w:r>
        <w:rPr>
          <w:rFonts w:ascii="Book Antiqua" w:hAnsi="Book Antiqua" w:eastAsia="Book Antiqua" w:cs="Book Antiqua"/>
          <w:color w:val="000000" w:themeColor="text1"/>
          <w14:textFill>
            <w14:solidFill>
              <w14:schemeClr w14:val="tx1"/>
            </w14:solidFill>
          </w14:textFill>
        </w:rPr>
        <w:t>at week 54</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B</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ROC curve of fecal calprotectin at week 14 in predicting endoscopic remission of </w:t>
      </w:r>
      <w:r>
        <w:rPr>
          <w:rFonts w:ascii="Book Antiqua" w:hAnsi="Book Antiqua" w:cs="Book Antiqua"/>
          <w:color w:val="000000" w:themeColor="text1"/>
          <w:lang w:eastAsia="zh-CN"/>
          <w14:textFill>
            <w14:solidFill>
              <w14:schemeClr w14:val="tx1"/>
            </w14:solidFill>
          </w14:textFill>
        </w:rPr>
        <w:t>CD</w:t>
      </w:r>
      <w:r>
        <w:rPr>
          <w:rFonts w:ascii="Book Antiqua" w:hAnsi="Book Antiqua" w:eastAsia="Book Antiqua" w:cs="Book Antiqua"/>
          <w:color w:val="000000" w:themeColor="text1"/>
          <w14:textFill>
            <w14:solidFill>
              <w14:schemeClr w14:val="tx1"/>
            </w14:solidFill>
          </w14:textFill>
        </w:rPr>
        <w:t xml:space="preserve"> at week 54</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C</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ROC curve of infliximab trough level at week 54 in predicting endoscopic remission of </w:t>
      </w:r>
      <w:r>
        <w:rPr>
          <w:rFonts w:ascii="Book Antiqua" w:hAnsi="Book Antiqua" w:cs="Book Antiqua"/>
          <w:color w:val="000000" w:themeColor="text1"/>
          <w:lang w:eastAsia="zh-CN"/>
          <w14:textFill>
            <w14:solidFill>
              <w14:schemeClr w14:val="tx1"/>
            </w14:solidFill>
          </w14:textFill>
        </w:rPr>
        <w:t>CD</w:t>
      </w:r>
      <w:r>
        <w:rPr>
          <w:rFonts w:ascii="Book Antiqua" w:hAnsi="Book Antiqua" w:eastAsia="Book Antiqua" w:cs="Book Antiqua"/>
          <w:color w:val="000000" w:themeColor="text1"/>
          <w14:textFill>
            <w14:solidFill>
              <w14:schemeClr w14:val="tx1"/>
            </w14:solidFill>
          </w14:textFill>
        </w:rPr>
        <w:t xml:space="preserve"> at week 108</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D</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ROC of C-reactive protein at week 54 in predicting endoscopic remission of </w:t>
      </w:r>
      <w:r>
        <w:rPr>
          <w:rFonts w:ascii="Book Antiqua" w:hAnsi="Book Antiqua" w:cs="Book Antiqua"/>
          <w:color w:val="000000" w:themeColor="text1"/>
          <w:lang w:eastAsia="zh-CN"/>
          <w14:textFill>
            <w14:solidFill>
              <w14:schemeClr w14:val="tx1"/>
            </w14:solidFill>
          </w14:textFill>
        </w:rPr>
        <w:t>CD</w:t>
      </w:r>
      <w:r>
        <w:rPr>
          <w:rFonts w:ascii="Book Antiqua" w:hAnsi="Book Antiqua" w:eastAsia="Book Antiqua" w:cs="Book Antiqua"/>
          <w:color w:val="000000" w:themeColor="text1"/>
          <w14:textFill>
            <w14:solidFill>
              <w14:schemeClr w14:val="tx1"/>
            </w14:solidFill>
          </w14:textFill>
        </w:rPr>
        <w:t xml:space="preserve"> at week 108. ITL: Infliximab trough level; CRP: C-reactive protein; FCP: Fecal calprotectin; AUC: Area under the curve.</w:t>
      </w:r>
    </w:p>
    <w:p>
      <w:pPr>
        <w:spacing w:line="360" w:lineRule="auto"/>
        <w:jc w:val="both"/>
        <w:rPr>
          <w:rFonts w:ascii="Book Antiqua" w:hAnsi="Book Antiqua"/>
          <w:b/>
          <w:color w:val="000000" w:themeColor="text1"/>
          <w:lang w:eastAsia="zh-CN"/>
          <w14:textFill>
            <w14:solidFill>
              <w14:schemeClr w14:val="tx1"/>
            </w14:solidFill>
          </w14:textFill>
        </w:rPr>
      </w:pPr>
      <w:r>
        <w:rPr>
          <w:rFonts w:ascii="Book Antiqua" w:hAnsi="Book Antiqua" w:cs="Book Antiqua"/>
          <w:b/>
          <w:color w:val="000000" w:themeColor="text1"/>
          <w:lang w:eastAsia="zh-CN"/>
          <w14:textFill>
            <w14:solidFill>
              <w14:schemeClr w14:val="tx1"/>
            </w14:solidFill>
          </w14:textFill>
        </w:rPr>
        <w:br w:type="page"/>
      </w:r>
      <w:r>
        <w:rPr>
          <w:rFonts w:ascii="Book Antiqua" w:hAnsi="Book Antiqua"/>
          <w:b/>
          <w:color w:val="000000" w:themeColor="text1"/>
          <w:lang w:eastAsia="zh-CN"/>
          <w14:textFill>
            <w14:solidFill>
              <w14:schemeClr w14:val="tx1"/>
            </w14:solidFill>
          </w14:textFill>
        </w:rPr>
        <w:drawing>
          <wp:inline distT="0" distB="0" distL="114300" distR="114300">
            <wp:extent cx="5626735" cy="4032250"/>
            <wp:effectExtent l="0" t="0" r="12065" b="6350"/>
            <wp:docPr id="10" name="图片 10" descr="WJG-28-2582-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WJG-28-2582-g004"/>
                    <pic:cNvPicPr>
                      <a:picLocks noChangeAspect="1"/>
                    </pic:cNvPicPr>
                  </pic:nvPicPr>
                  <pic:blipFill>
                    <a:blip r:embed="rId8"/>
                    <a:stretch>
                      <a:fillRect/>
                    </a:stretch>
                  </pic:blipFill>
                  <pic:spPr>
                    <a:xfrm>
                      <a:off x="0" y="0"/>
                      <a:ext cx="5626735" cy="4032250"/>
                    </a:xfrm>
                    <a:prstGeom prst="rect">
                      <a:avLst/>
                    </a:prstGeom>
                  </pic:spPr>
                </pic:pic>
              </a:graphicData>
            </a:graphic>
          </wp:inline>
        </w:drawing>
      </w:r>
    </w:p>
    <w:p>
      <w:pPr>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Figure 4 </w:t>
      </w:r>
      <w:r>
        <w:rPr>
          <w:rFonts w:ascii="Book Antiqua" w:hAnsi="Book Antiqua" w:eastAsia="Book Antiqua" w:cs="Book Antiqua"/>
          <w:b/>
          <w:color w:val="000000" w:themeColor="text1"/>
          <w14:textFill>
            <w14:solidFill>
              <w14:schemeClr w14:val="tx1"/>
            </w14:solidFill>
          </w14:textFill>
        </w:rPr>
        <w:t xml:space="preserve">Proportion without endoscopic relapse. </w:t>
      </w:r>
      <w:r>
        <w:rPr>
          <w:rFonts w:ascii="Book Antiqua" w:hAnsi="Book Antiqua" w:eastAsia="Book Antiqua" w:cs="Book Antiqua"/>
          <w:color w:val="000000" w:themeColor="text1"/>
          <w14:textFill>
            <w14:solidFill>
              <w14:schemeClr w14:val="tx1"/>
            </w14:solidFill>
          </w14:textFill>
        </w:rPr>
        <w:t xml:space="preserve">A. Time since infliximab </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IFX</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therapy at week 14 </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IFX trough level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&gt; </w:t>
      </w:r>
      <w:r>
        <w:rPr>
          <w:rFonts w:ascii="Book Antiqua" w:hAnsi="Book Antiqua" w:eastAsia="Book Antiqua" w:cs="Book Antiqua"/>
          <w:color w:val="000000" w:themeColor="text1"/>
          <w14:textFill>
            <w14:solidFill>
              <w14:schemeClr w14:val="tx1"/>
            </w14:solidFill>
          </w14:textFill>
        </w:rPr>
        <w:t>5.6</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i/>
          <w:color w:val="000000" w:themeColor="text1"/>
          <w14:textFill>
            <w14:solidFill>
              <w14:schemeClr w14:val="tx1"/>
            </w14:solidFill>
          </w14:textFill>
        </w:rPr>
        <w:t xml:space="preserve">vs </w:t>
      </w:r>
      <w:r>
        <w:rPr>
          <w:rFonts w:ascii="Book Antiqua" w:hAnsi="Book Antiqua" w:eastAsia="Book Antiqua" w:cs="Book Antiqua"/>
          <w:color w:val="000000" w:themeColor="text1"/>
          <w14:textFill>
            <w14:solidFill>
              <w14:schemeClr w14:val="tx1"/>
            </w14:solidFill>
          </w14:textFill>
        </w:rPr>
        <w:t>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5.6</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B</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Time to IFX therapy at week 14 </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fecal calprotectin</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238</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μg/g </w:t>
      </w:r>
      <w:r>
        <w:rPr>
          <w:rFonts w:ascii="Book Antiqua" w:hAnsi="Book Antiqua" w:eastAsia="Book Antiqua" w:cs="Book Antiqua"/>
          <w:i/>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fecal calprotectin</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&gt; </w:t>
      </w:r>
      <w:r>
        <w:rPr>
          <w:rFonts w:ascii="Book Antiqua" w:hAnsi="Book Antiqua" w:eastAsia="Book Antiqua" w:cs="Book Antiqua"/>
          <w:color w:val="000000" w:themeColor="text1"/>
          <w14:textFill>
            <w14:solidFill>
              <w14:schemeClr w14:val="tx1"/>
            </w14:solidFill>
          </w14:textFill>
        </w:rPr>
        <w:t>238</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μg/g</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C</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Time to IFX therapy at week 54 </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C-reactive protein</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3.0mg/L </w:t>
      </w:r>
      <w:r>
        <w:rPr>
          <w:rFonts w:ascii="Book Antiqua" w:hAnsi="Book Antiqua" w:eastAsia="Book Antiqua" w:cs="Book Antiqua"/>
          <w:i/>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C-reactive protein</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&gt; </w:t>
      </w:r>
      <w:r>
        <w:rPr>
          <w:rFonts w:ascii="Book Antiqua" w:hAnsi="Book Antiqua" w:eastAsia="Book Antiqua" w:cs="Book Antiqua"/>
          <w:color w:val="000000" w:themeColor="text1"/>
          <w14:textFill>
            <w14:solidFill>
              <w14:schemeClr w14:val="tx1"/>
            </w14:solidFill>
          </w14:textFill>
        </w:rPr>
        <w:t>3.0</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mg/L)</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D</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Time to IFX therapy at week 54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宋体" w:cs="宋体"/>
          <w:color w:val="000000" w:themeColor="text1"/>
          <w:lang w:eastAsia="zh-CN"/>
          <w14:textFill>
            <w14:solidFill>
              <w14:schemeClr w14:val="tx1"/>
            </w14:solidFill>
          </w14:textFill>
        </w:rPr>
        <w:t xml:space="preserve">&gt; </w:t>
      </w:r>
      <w:r>
        <w:rPr>
          <w:rFonts w:ascii="Book Antiqua" w:hAnsi="Book Antiqua" w:eastAsia="Book Antiqua" w:cs="Book Antiqua"/>
          <w:color w:val="000000" w:themeColor="text1"/>
          <w14:textFill>
            <w14:solidFill>
              <w14:schemeClr w14:val="tx1"/>
            </w14:solidFill>
          </w14:textFill>
        </w:rPr>
        <w:t>2.1</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i/>
          <w:color w:val="000000" w:themeColor="text1"/>
          <w14:textFill>
            <w14:solidFill>
              <w14:schemeClr w14:val="tx1"/>
            </w14:solidFill>
          </w14:textFill>
        </w:rPr>
        <w:t>vs</w:t>
      </w:r>
      <w:r>
        <w:rPr>
          <w:rFonts w:ascii="Book Antiqua" w:hAnsi="Book Antiqua" w:eastAsia="Book Antiqua" w:cs="Book Antiqua"/>
          <w:color w:val="000000" w:themeColor="text1"/>
          <w14:textFill>
            <w14:solidFill>
              <w14:schemeClr w14:val="tx1"/>
            </w14:solidFill>
          </w14:textFill>
        </w:rPr>
        <w:t xml:space="preserve"> ITL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2.1</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μg/m</w:t>
      </w:r>
      <w:r>
        <w:rPr>
          <w:rFonts w:ascii="Book Antiqua" w:hAnsi="Book Antiqua" w:eastAsia="Book Antiqua" w:cs="Book Antiqua"/>
          <w:caps/>
          <w:color w:val="000000" w:themeColor="text1"/>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ITL: Infliximab trough level; CRP: C-reactive protein; FCP: Fecal calprotectin; IFX: Infliximab.</w:t>
      </w:r>
    </w:p>
    <w:p>
      <w:pPr>
        <w:spacing w:line="360" w:lineRule="auto"/>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cs="Book Antiqua"/>
          <w:b/>
          <w:color w:val="000000" w:themeColor="text1"/>
          <w:lang w:eastAsia="zh-CN"/>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br w:type="page"/>
      </w:r>
      <w:r>
        <w:rPr>
          <w:rFonts w:ascii="Book Antiqua" w:hAnsi="Book Antiqua" w:eastAsia="Book Antiqua" w:cs="Book Antiqua"/>
          <w:b/>
          <w:bCs/>
          <w:color w:val="000000" w:themeColor="text1"/>
          <w14:textFill>
            <w14:solidFill>
              <w14:schemeClr w14:val="tx1"/>
            </w14:solidFill>
          </w14:textFill>
        </w:rPr>
        <w:t xml:space="preserve">Table 1 </w:t>
      </w:r>
      <w:r>
        <w:rPr>
          <w:rFonts w:ascii="Book Antiqua" w:hAnsi="Book Antiqua" w:eastAsia="Book Antiqua" w:cs="Book Antiqua"/>
          <w:b/>
          <w:color w:val="000000" w:themeColor="text1"/>
          <w14:textFill>
            <w14:solidFill>
              <w14:schemeClr w14:val="tx1"/>
            </w14:solidFill>
          </w14:textFill>
        </w:rPr>
        <w:t>Clinical characteristics of Crohn‘s disease patients with endoscopic remission</w:t>
      </w:r>
    </w:p>
    <w:tbl>
      <w:tblPr>
        <w:tblStyle w:val="9"/>
        <w:tblW w:w="15070" w:type="dxa"/>
        <w:tblInd w:w="9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42"/>
        <w:gridCol w:w="1788"/>
        <w:gridCol w:w="1788"/>
        <w:gridCol w:w="1788"/>
        <w:gridCol w:w="1788"/>
        <w:gridCol w:w="1788"/>
        <w:gridCol w:w="178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4342" w:type="dxa"/>
            <w:vMerge w:val="restart"/>
            <w:shd w:val="clear" w:color="auto" w:fill="auto"/>
            <w:noWrap/>
            <w:vAlign w:val="center"/>
          </w:tcPr>
          <w:p>
            <w:pPr>
              <w:keepNext w:val="0"/>
              <w:keepLines w:val="0"/>
              <w:widowControl/>
              <w:suppressLineNumbers w:val="0"/>
              <w:jc w:val="both"/>
              <w:textAlignment w:val="center"/>
              <w:rPr>
                <w:rFonts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Variable</w:t>
            </w:r>
          </w:p>
        </w:tc>
        <w:tc>
          <w:tcPr>
            <w:tcW w:w="5364" w:type="dxa"/>
            <w:gridSpan w:val="3"/>
            <w:tcBorders>
              <w:bottom w:val="single" w:color="auto" w:sz="4" w:space="0"/>
            </w:tcBorders>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Week 14 (after initial IFX therapy)</w:t>
            </w:r>
          </w:p>
        </w:tc>
        <w:tc>
          <w:tcPr>
            <w:tcW w:w="5364" w:type="dxa"/>
            <w:gridSpan w:val="3"/>
            <w:tcBorders>
              <w:bottom w:val="single" w:color="auto" w:sz="4" w:space="0"/>
            </w:tcBorders>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 xml:space="preserve">Week 54 (after initial IFX therapy) </w:t>
            </w:r>
            <w:r>
              <w:rPr>
                <w:rFonts w:hint="default" w:ascii="Book Antiqua" w:hAnsi="Book Antiqua" w:eastAsia="Book Antiqua" w:cs="Book Antiqua"/>
                <w:b/>
                <w:bCs/>
                <w:i/>
                <w:iCs/>
                <w:color w:val="000000"/>
                <w:kern w:val="0"/>
                <w:sz w:val="24"/>
                <w:szCs w:val="24"/>
                <w:u w:val="none"/>
                <w:lang w:val="en-US" w:eastAsia="zh-CN" w:bidi="ar"/>
              </w:rPr>
              <w:t xml:space="preserve">n </w:t>
            </w:r>
            <w:r>
              <w:rPr>
                <w:rFonts w:hint="default" w:ascii="Book Antiqua" w:hAnsi="Book Antiqua" w:eastAsia="Book Antiqua" w:cs="Book Antiqua"/>
                <w:b/>
                <w:bCs/>
                <w:i w:val="0"/>
                <w:iCs w:val="0"/>
                <w:color w:val="000000"/>
                <w:kern w:val="0"/>
                <w:sz w:val="24"/>
                <w:szCs w:val="24"/>
                <w:u w:val="none"/>
                <w:lang w:val="en-US" w:eastAsia="zh-CN" w:bidi="ar"/>
              </w:rPr>
              <w:t>=</w:t>
            </w:r>
            <w:r>
              <w:rPr>
                <w:rFonts w:hint="default" w:ascii="Book Antiqua" w:hAnsi="Book Antiqua" w:eastAsia="Book Antiqua" w:cs="Book Antiqua"/>
                <w:b/>
                <w:bCs/>
                <w:i/>
                <w:iCs/>
                <w:color w:val="000000"/>
                <w:kern w:val="0"/>
                <w:sz w:val="24"/>
                <w:szCs w:val="24"/>
                <w:u w:val="none"/>
                <w:lang w:val="en-US" w:eastAsia="zh-CN" w:bidi="ar"/>
              </w:rPr>
              <w:t xml:space="preserve"> </w:t>
            </w:r>
            <w:r>
              <w:rPr>
                <w:rFonts w:hint="default" w:ascii="Book Antiqua" w:hAnsi="Book Antiqua" w:eastAsia="Book Antiqua" w:cs="Book Antiqua"/>
                <w:b/>
                <w:bCs/>
                <w:i w:val="0"/>
                <w:iCs w:val="0"/>
                <w:color w:val="000000"/>
                <w:kern w:val="0"/>
                <w:sz w:val="24"/>
                <w:szCs w:val="24"/>
                <w:u w:val="none"/>
                <w:lang w:val="en-US" w:eastAsia="zh-CN" w:bidi="ar"/>
              </w:rPr>
              <w:t>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342" w:type="dxa"/>
            <w:vMerge w:val="continue"/>
            <w:tcBorders>
              <w:bottom w:val="single" w:color="auto" w:sz="4" w:space="0"/>
            </w:tcBorders>
            <w:shd w:val="clear" w:color="auto" w:fill="auto"/>
            <w:noWrap/>
            <w:vAlign w:val="center"/>
          </w:tcPr>
          <w:p>
            <w:pPr>
              <w:jc w:val="both"/>
              <w:rPr>
                <w:rFonts w:hint="default" w:ascii="Book Antiqua" w:hAnsi="Book Antiqua" w:eastAsia="Book Antiqua" w:cs="Book Antiqua"/>
                <w:b/>
                <w:bCs/>
                <w:i w:val="0"/>
                <w:iCs w:val="0"/>
                <w:color w:val="000000"/>
                <w:sz w:val="24"/>
                <w:szCs w:val="24"/>
                <w:u w:val="none"/>
              </w:rPr>
            </w:pPr>
          </w:p>
        </w:tc>
        <w:tc>
          <w:tcPr>
            <w:tcW w:w="1788" w:type="dxa"/>
            <w:tcBorders>
              <w:top w:val="single" w:color="auto" w:sz="4" w:space="0"/>
              <w:bottom w:val="single" w:color="auto" w:sz="4" w:space="0"/>
            </w:tcBorders>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 xml:space="preserve">Total, </w:t>
            </w:r>
            <w:r>
              <w:rPr>
                <w:rFonts w:hint="default" w:ascii="Book Antiqua" w:hAnsi="Book Antiqua" w:eastAsia="Book Antiqua" w:cs="Book Antiqua"/>
                <w:b/>
                <w:bCs/>
                <w:i/>
                <w:iCs/>
                <w:color w:val="000000"/>
                <w:kern w:val="0"/>
                <w:sz w:val="24"/>
                <w:szCs w:val="24"/>
                <w:u w:val="none"/>
                <w:lang w:val="en-US" w:eastAsia="zh-CN" w:bidi="ar"/>
              </w:rPr>
              <w:t xml:space="preserve">n </w:t>
            </w:r>
            <w:r>
              <w:rPr>
                <w:rFonts w:hint="default" w:ascii="Book Antiqua" w:hAnsi="Book Antiqua" w:eastAsia="Book Antiqua" w:cs="Book Antiqua"/>
                <w:b/>
                <w:bCs/>
                <w:i w:val="0"/>
                <w:iCs w:val="0"/>
                <w:color w:val="000000"/>
                <w:kern w:val="0"/>
                <w:sz w:val="24"/>
                <w:szCs w:val="24"/>
                <w:u w:val="none"/>
                <w:lang w:val="en-US" w:eastAsia="zh-CN" w:bidi="ar"/>
              </w:rPr>
              <w:t>=</w:t>
            </w:r>
            <w:r>
              <w:rPr>
                <w:rFonts w:hint="default" w:ascii="Book Antiqua" w:hAnsi="Book Antiqua" w:eastAsia="Book Antiqua" w:cs="Book Antiqua"/>
                <w:b/>
                <w:bCs/>
                <w:i/>
                <w:iCs/>
                <w:color w:val="000000"/>
                <w:kern w:val="0"/>
                <w:sz w:val="24"/>
                <w:szCs w:val="24"/>
                <w:u w:val="none"/>
                <w:lang w:val="en-US" w:eastAsia="zh-CN" w:bidi="ar"/>
              </w:rPr>
              <w:t xml:space="preserve"> </w:t>
            </w:r>
            <w:r>
              <w:rPr>
                <w:rFonts w:hint="default" w:ascii="Book Antiqua" w:hAnsi="Book Antiqua" w:eastAsia="Book Antiqua" w:cs="Book Antiqua"/>
                <w:b/>
                <w:bCs/>
                <w:i w:val="0"/>
                <w:iCs w:val="0"/>
                <w:color w:val="000000"/>
                <w:kern w:val="0"/>
                <w:sz w:val="24"/>
                <w:szCs w:val="24"/>
                <w:u w:val="none"/>
                <w:lang w:val="en-US" w:eastAsia="zh-CN" w:bidi="ar"/>
              </w:rPr>
              <w:t>93</w:t>
            </w:r>
          </w:p>
        </w:tc>
        <w:tc>
          <w:tcPr>
            <w:tcW w:w="1788" w:type="dxa"/>
            <w:tcBorders>
              <w:top w:val="single" w:color="auto" w:sz="4" w:space="0"/>
              <w:bottom w:val="single" w:color="auto" w:sz="4" w:space="0"/>
            </w:tcBorders>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 xml:space="preserve">ER at week 54, </w:t>
            </w:r>
            <w:r>
              <w:rPr>
                <w:rFonts w:hint="default" w:ascii="Book Antiqua" w:hAnsi="Book Antiqua" w:eastAsia="Book Antiqua" w:cs="Book Antiqua"/>
                <w:b/>
                <w:bCs/>
                <w:i/>
                <w:iCs/>
                <w:color w:val="000000"/>
                <w:kern w:val="0"/>
                <w:sz w:val="24"/>
                <w:szCs w:val="24"/>
                <w:u w:val="none"/>
                <w:lang w:val="en-US" w:eastAsia="zh-CN" w:bidi="ar"/>
              </w:rPr>
              <w:t xml:space="preserve">n </w:t>
            </w:r>
            <w:r>
              <w:rPr>
                <w:rFonts w:hint="default" w:ascii="Book Antiqua" w:hAnsi="Book Antiqua" w:eastAsia="Book Antiqua" w:cs="Book Antiqua"/>
                <w:b/>
                <w:bCs/>
                <w:i w:val="0"/>
                <w:iCs w:val="0"/>
                <w:color w:val="000000"/>
                <w:kern w:val="0"/>
                <w:sz w:val="24"/>
                <w:szCs w:val="24"/>
                <w:u w:val="none"/>
                <w:lang w:val="en-US" w:eastAsia="zh-CN" w:bidi="ar"/>
              </w:rPr>
              <w:t>=</w:t>
            </w:r>
            <w:r>
              <w:rPr>
                <w:rFonts w:hint="default" w:ascii="Book Antiqua" w:hAnsi="Book Antiqua" w:eastAsia="Book Antiqua" w:cs="Book Antiqua"/>
                <w:b/>
                <w:bCs/>
                <w:i/>
                <w:iCs/>
                <w:color w:val="000000"/>
                <w:kern w:val="0"/>
                <w:sz w:val="24"/>
                <w:szCs w:val="24"/>
                <w:u w:val="none"/>
                <w:lang w:val="en-US" w:eastAsia="zh-CN" w:bidi="ar"/>
              </w:rPr>
              <w:t xml:space="preserve"> </w:t>
            </w:r>
            <w:r>
              <w:rPr>
                <w:rFonts w:hint="default" w:ascii="Book Antiqua" w:hAnsi="Book Antiqua" w:eastAsia="Book Antiqua" w:cs="Book Antiqua"/>
                <w:b/>
                <w:bCs/>
                <w:i w:val="0"/>
                <w:iCs w:val="0"/>
                <w:color w:val="000000"/>
                <w:kern w:val="0"/>
                <w:sz w:val="24"/>
                <w:szCs w:val="24"/>
                <w:u w:val="none"/>
                <w:lang w:val="en-US" w:eastAsia="zh-CN" w:bidi="ar"/>
              </w:rPr>
              <w:t>67</w:t>
            </w:r>
          </w:p>
        </w:tc>
        <w:tc>
          <w:tcPr>
            <w:tcW w:w="1788" w:type="dxa"/>
            <w:tcBorders>
              <w:top w:val="single" w:color="auto" w:sz="4" w:space="0"/>
              <w:bottom w:val="single" w:color="auto" w:sz="4" w:space="0"/>
            </w:tcBorders>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 xml:space="preserve">EA at week 54, </w:t>
            </w:r>
            <w:r>
              <w:rPr>
                <w:rFonts w:hint="default" w:ascii="Book Antiqua" w:hAnsi="Book Antiqua" w:eastAsia="Book Antiqua" w:cs="Book Antiqua"/>
                <w:b/>
                <w:bCs/>
                <w:i/>
                <w:iCs/>
                <w:color w:val="000000"/>
                <w:kern w:val="0"/>
                <w:sz w:val="24"/>
                <w:szCs w:val="24"/>
                <w:u w:val="none"/>
                <w:lang w:val="en-US" w:eastAsia="zh-CN" w:bidi="ar"/>
              </w:rPr>
              <w:t xml:space="preserve">n </w:t>
            </w:r>
            <w:r>
              <w:rPr>
                <w:rFonts w:hint="default" w:ascii="Book Antiqua" w:hAnsi="Book Antiqua" w:eastAsia="Book Antiqua" w:cs="Book Antiqua"/>
                <w:b/>
                <w:bCs/>
                <w:i w:val="0"/>
                <w:iCs w:val="0"/>
                <w:color w:val="000000"/>
                <w:kern w:val="0"/>
                <w:sz w:val="24"/>
                <w:szCs w:val="24"/>
                <w:u w:val="none"/>
                <w:lang w:val="en-US" w:eastAsia="zh-CN" w:bidi="ar"/>
              </w:rPr>
              <w:t>=</w:t>
            </w:r>
            <w:r>
              <w:rPr>
                <w:rFonts w:hint="default" w:ascii="Book Antiqua" w:hAnsi="Book Antiqua" w:eastAsia="Book Antiqua" w:cs="Book Antiqua"/>
                <w:b/>
                <w:bCs/>
                <w:i/>
                <w:iCs/>
                <w:color w:val="000000"/>
                <w:kern w:val="0"/>
                <w:sz w:val="24"/>
                <w:szCs w:val="24"/>
                <w:u w:val="none"/>
                <w:lang w:val="en-US" w:eastAsia="zh-CN" w:bidi="ar"/>
              </w:rPr>
              <w:t xml:space="preserve"> </w:t>
            </w:r>
            <w:r>
              <w:rPr>
                <w:rFonts w:hint="default" w:ascii="Book Antiqua" w:hAnsi="Book Antiqua" w:eastAsia="Book Antiqua" w:cs="Book Antiqua"/>
                <w:b/>
                <w:bCs/>
                <w:i w:val="0"/>
                <w:iCs w:val="0"/>
                <w:color w:val="000000"/>
                <w:kern w:val="0"/>
                <w:sz w:val="24"/>
                <w:szCs w:val="24"/>
                <w:u w:val="none"/>
                <w:lang w:val="en-US" w:eastAsia="zh-CN" w:bidi="ar"/>
              </w:rPr>
              <w:t>26</w:t>
            </w:r>
          </w:p>
        </w:tc>
        <w:tc>
          <w:tcPr>
            <w:tcW w:w="0" w:type="auto"/>
            <w:tcBorders>
              <w:top w:val="single" w:color="auto" w:sz="4" w:space="0"/>
              <w:bottom w:val="single" w:color="auto" w:sz="4" w:space="0"/>
            </w:tcBorders>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 xml:space="preserve">Total, </w:t>
            </w:r>
            <w:r>
              <w:rPr>
                <w:rFonts w:hint="default" w:ascii="Book Antiqua" w:hAnsi="Book Antiqua" w:eastAsia="Book Antiqua" w:cs="Book Antiqua"/>
                <w:b/>
                <w:bCs/>
                <w:i/>
                <w:iCs/>
                <w:color w:val="000000"/>
                <w:kern w:val="0"/>
                <w:sz w:val="24"/>
                <w:szCs w:val="24"/>
                <w:u w:val="none"/>
                <w:lang w:val="en-US" w:eastAsia="zh-CN" w:bidi="ar"/>
              </w:rPr>
              <w:t xml:space="preserve">n </w:t>
            </w:r>
            <w:r>
              <w:rPr>
                <w:rFonts w:hint="default" w:ascii="Book Antiqua" w:hAnsi="Book Antiqua" w:eastAsia="Book Antiqua" w:cs="Book Antiqua"/>
                <w:b/>
                <w:bCs/>
                <w:i w:val="0"/>
                <w:iCs w:val="0"/>
                <w:color w:val="000000"/>
                <w:kern w:val="0"/>
                <w:sz w:val="24"/>
                <w:szCs w:val="24"/>
                <w:u w:val="none"/>
                <w:lang w:val="en-US" w:eastAsia="zh-CN" w:bidi="ar"/>
              </w:rPr>
              <w:t>=</w:t>
            </w:r>
            <w:r>
              <w:rPr>
                <w:rFonts w:hint="default" w:ascii="Book Antiqua" w:hAnsi="Book Antiqua" w:eastAsia="Book Antiqua" w:cs="Book Antiqua"/>
                <w:b/>
                <w:bCs/>
                <w:i/>
                <w:iCs/>
                <w:color w:val="000000"/>
                <w:kern w:val="0"/>
                <w:sz w:val="24"/>
                <w:szCs w:val="24"/>
                <w:u w:val="none"/>
                <w:lang w:val="en-US" w:eastAsia="zh-CN" w:bidi="ar"/>
              </w:rPr>
              <w:t xml:space="preserve"> </w:t>
            </w:r>
            <w:r>
              <w:rPr>
                <w:rFonts w:hint="default" w:ascii="Book Antiqua" w:hAnsi="Book Antiqua" w:eastAsia="Book Antiqua" w:cs="Book Antiqua"/>
                <w:b/>
                <w:bCs/>
                <w:i w:val="0"/>
                <w:iCs w:val="0"/>
                <w:color w:val="000000"/>
                <w:kern w:val="0"/>
                <w:sz w:val="24"/>
                <w:szCs w:val="24"/>
                <w:u w:val="none"/>
                <w:lang w:val="en-US" w:eastAsia="zh-CN" w:bidi="ar"/>
              </w:rPr>
              <w:t>54</w:t>
            </w:r>
          </w:p>
        </w:tc>
        <w:tc>
          <w:tcPr>
            <w:tcW w:w="1788" w:type="dxa"/>
            <w:tcBorders>
              <w:top w:val="single" w:color="auto" w:sz="4" w:space="0"/>
              <w:bottom w:val="single" w:color="auto" w:sz="4" w:space="0"/>
            </w:tcBorders>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 xml:space="preserve">ER at week 108, </w:t>
            </w:r>
            <w:r>
              <w:rPr>
                <w:rFonts w:hint="default" w:ascii="Book Antiqua" w:hAnsi="Book Antiqua" w:eastAsia="Book Antiqua" w:cs="Book Antiqua"/>
                <w:b/>
                <w:bCs/>
                <w:i/>
                <w:iCs/>
                <w:color w:val="000000"/>
                <w:kern w:val="0"/>
                <w:sz w:val="24"/>
                <w:szCs w:val="24"/>
                <w:u w:val="none"/>
                <w:lang w:val="en-US" w:eastAsia="zh-CN" w:bidi="ar"/>
              </w:rPr>
              <w:t xml:space="preserve">n </w:t>
            </w:r>
            <w:r>
              <w:rPr>
                <w:rFonts w:hint="default" w:ascii="Book Antiqua" w:hAnsi="Book Antiqua" w:eastAsia="Book Antiqua" w:cs="Book Antiqua"/>
                <w:b/>
                <w:bCs/>
                <w:i w:val="0"/>
                <w:iCs w:val="0"/>
                <w:color w:val="000000"/>
                <w:kern w:val="0"/>
                <w:sz w:val="24"/>
                <w:szCs w:val="24"/>
                <w:u w:val="none"/>
                <w:lang w:val="en-US" w:eastAsia="zh-CN" w:bidi="ar"/>
              </w:rPr>
              <w:t>=</w:t>
            </w:r>
            <w:r>
              <w:rPr>
                <w:rFonts w:hint="default" w:ascii="Book Antiqua" w:hAnsi="Book Antiqua" w:eastAsia="Book Antiqua" w:cs="Book Antiqua"/>
                <w:b/>
                <w:bCs/>
                <w:i/>
                <w:iCs/>
                <w:color w:val="000000"/>
                <w:kern w:val="0"/>
                <w:sz w:val="24"/>
                <w:szCs w:val="24"/>
                <w:u w:val="none"/>
                <w:lang w:val="en-US" w:eastAsia="zh-CN" w:bidi="ar"/>
              </w:rPr>
              <w:t xml:space="preserve"> </w:t>
            </w:r>
            <w:r>
              <w:rPr>
                <w:rFonts w:hint="default" w:ascii="Book Antiqua" w:hAnsi="Book Antiqua" w:eastAsia="Book Antiqua" w:cs="Book Antiqua"/>
                <w:b/>
                <w:bCs/>
                <w:i w:val="0"/>
                <w:iCs w:val="0"/>
                <w:color w:val="000000"/>
                <w:kern w:val="0"/>
                <w:sz w:val="24"/>
                <w:szCs w:val="24"/>
                <w:u w:val="none"/>
                <w:lang w:val="en-US" w:eastAsia="zh-CN" w:bidi="ar"/>
              </w:rPr>
              <w:t>42</w:t>
            </w:r>
          </w:p>
        </w:tc>
        <w:tc>
          <w:tcPr>
            <w:tcW w:w="1788" w:type="dxa"/>
            <w:tcBorders>
              <w:top w:val="single" w:color="auto" w:sz="4" w:space="0"/>
              <w:bottom w:val="single" w:color="auto" w:sz="4" w:space="0"/>
            </w:tcBorders>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b/>
                <w:bCs/>
                <w:i w:val="0"/>
                <w:iCs w:val="0"/>
                <w:color w:val="000000"/>
                <w:sz w:val="24"/>
                <w:szCs w:val="24"/>
                <w:u w:val="none"/>
              </w:rPr>
            </w:pPr>
            <w:r>
              <w:rPr>
                <w:rFonts w:hint="default" w:ascii="Book Antiqua" w:hAnsi="Book Antiqua" w:eastAsia="Book Antiqua" w:cs="Book Antiqua"/>
                <w:b/>
                <w:bCs/>
                <w:i w:val="0"/>
                <w:iCs w:val="0"/>
                <w:color w:val="000000"/>
                <w:kern w:val="0"/>
                <w:sz w:val="24"/>
                <w:szCs w:val="24"/>
                <w:u w:val="none"/>
                <w:lang w:val="en-US" w:eastAsia="zh-CN" w:bidi="ar"/>
              </w:rPr>
              <w:t xml:space="preserve">EA at week 108, </w:t>
            </w:r>
            <w:r>
              <w:rPr>
                <w:rFonts w:hint="default" w:ascii="Book Antiqua" w:hAnsi="Book Antiqua" w:eastAsia="Book Antiqua" w:cs="Book Antiqua"/>
                <w:b/>
                <w:bCs/>
                <w:i/>
                <w:iCs/>
                <w:color w:val="000000"/>
                <w:kern w:val="0"/>
                <w:sz w:val="24"/>
                <w:szCs w:val="24"/>
                <w:u w:val="none"/>
                <w:lang w:val="en-US" w:eastAsia="zh-CN" w:bidi="ar"/>
              </w:rPr>
              <w:t xml:space="preserve">n </w:t>
            </w:r>
            <w:r>
              <w:rPr>
                <w:rFonts w:hint="default" w:ascii="Book Antiqua" w:hAnsi="Book Antiqua" w:eastAsia="Book Antiqua" w:cs="Book Antiqua"/>
                <w:b/>
                <w:bCs/>
                <w:i w:val="0"/>
                <w:iCs w:val="0"/>
                <w:color w:val="000000"/>
                <w:kern w:val="0"/>
                <w:sz w:val="24"/>
                <w:szCs w:val="24"/>
                <w:u w:val="none"/>
                <w:lang w:val="en-US" w:eastAsia="zh-CN" w:bidi="ar"/>
              </w:rPr>
              <w:t>=</w:t>
            </w:r>
            <w:r>
              <w:rPr>
                <w:rFonts w:hint="default" w:ascii="Book Antiqua" w:hAnsi="Book Antiqua" w:eastAsia="Book Antiqua" w:cs="Book Antiqua"/>
                <w:b/>
                <w:bCs/>
                <w:i/>
                <w:iCs/>
                <w:color w:val="000000"/>
                <w:kern w:val="0"/>
                <w:sz w:val="24"/>
                <w:szCs w:val="24"/>
                <w:u w:val="none"/>
                <w:lang w:val="en-US" w:eastAsia="zh-CN" w:bidi="ar"/>
              </w:rPr>
              <w:t xml:space="preserve"> </w:t>
            </w:r>
            <w:r>
              <w:rPr>
                <w:rFonts w:hint="default" w:ascii="Book Antiqua" w:hAnsi="Book Antiqua" w:eastAsia="Book Antiqua" w:cs="Book Antiqua"/>
                <w:b/>
                <w:bCs/>
                <w:i w:val="0"/>
                <w:iCs w:val="0"/>
                <w:color w:val="000000"/>
                <w:kern w:val="0"/>
                <w:sz w:val="24"/>
                <w:szCs w:val="24"/>
                <w:u w:val="none"/>
                <w:lang w:val="en-US" w:eastAsia="zh-CN" w:bidi="ar"/>
              </w:rPr>
              <w:t>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4" w:hRule="atLeast"/>
        </w:trPr>
        <w:tc>
          <w:tcPr>
            <w:tcW w:w="4342" w:type="dxa"/>
            <w:tcBorders>
              <w:top w:val="single" w:color="auto" w:sz="4" w:space="0"/>
            </w:tcBorders>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Median age in yr, mean ± SD</w:t>
            </w:r>
          </w:p>
        </w:tc>
        <w:tc>
          <w:tcPr>
            <w:tcW w:w="1788" w:type="dxa"/>
            <w:tcBorders>
              <w:top w:val="single" w:color="auto" w:sz="4" w:space="0"/>
            </w:tcBorders>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28.96 ± 9.37</w:t>
            </w:r>
          </w:p>
        </w:tc>
        <w:tc>
          <w:tcPr>
            <w:tcW w:w="0" w:type="auto"/>
            <w:tcBorders>
              <w:top w:val="single" w:color="auto" w:sz="4" w:space="0"/>
            </w:tcBorders>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29.03 ± 10.09</w:t>
            </w:r>
          </w:p>
        </w:tc>
        <w:tc>
          <w:tcPr>
            <w:tcW w:w="0" w:type="auto"/>
            <w:tcBorders>
              <w:top w:val="single" w:color="auto" w:sz="4" w:space="0"/>
            </w:tcBorders>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28.77 ± 7.39</w:t>
            </w:r>
          </w:p>
        </w:tc>
        <w:tc>
          <w:tcPr>
            <w:tcW w:w="0" w:type="auto"/>
            <w:tcBorders>
              <w:top w:val="single" w:color="auto" w:sz="4" w:space="0"/>
            </w:tcBorders>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27.57 ± 10.13</w:t>
            </w:r>
          </w:p>
        </w:tc>
        <w:tc>
          <w:tcPr>
            <w:tcW w:w="0" w:type="auto"/>
            <w:tcBorders>
              <w:top w:val="single" w:color="auto" w:sz="4" w:space="0"/>
            </w:tcBorders>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26.93 ± 9.87</w:t>
            </w:r>
          </w:p>
        </w:tc>
        <w:tc>
          <w:tcPr>
            <w:tcW w:w="0" w:type="auto"/>
            <w:tcBorders>
              <w:top w:val="single" w:color="auto" w:sz="4" w:space="0"/>
            </w:tcBorders>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29.83 ± 11.13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4342" w:type="dxa"/>
            <w:shd w:val="clear" w:color="auto" w:fill="auto"/>
            <w:noWrap/>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Course in yr, median (IQR)</w:t>
            </w:r>
          </w:p>
        </w:tc>
        <w:tc>
          <w:tcPr>
            <w:tcW w:w="1788"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3.0 (1.0, 6.0)</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2.0 (1.0, 6.0)</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3.5 (2.0, 8.3)</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2.0 (1.0, 5.0)</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2.0 (1.0, 5.0)</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2.0 (1.3, 8.5)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6" w:hRule="atLeast"/>
        </w:trPr>
        <w:tc>
          <w:tcPr>
            <w:tcW w:w="4342"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Male sex, </w:t>
            </w:r>
            <w:r>
              <w:rPr>
                <w:rFonts w:hint="default" w:ascii="Book Antiqua" w:hAnsi="Book Antiqua" w:eastAsia="Book Antiqua" w:cs="Book Antiqua"/>
                <w:i/>
                <w:iCs/>
                <w:color w:val="000000"/>
                <w:kern w:val="0"/>
                <w:sz w:val="24"/>
                <w:szCs w:val="24"/>
                <w:u w:val="none"/>
                <w:lang w:val="en-US" w:eastAsia="zh-CN" w:bidi="ar"/>
              </w:rPr>
              <w:t xml:space="preserve">n </w:t>
            </w:r>
            <w:r>
              <w:rPr>
                <w:rFonts w:hint="default" w:ascii="Book Antiqua" w:hAnsi="Book Antiqua" w:eastAsia="Book Antiqua" w:cs="Book Antiqua"/>
                <w:i w:val="0"/>
                <w:iCs w:val="0"/>
                <w:color w:val="000000"/>
                <w:kern w:val="0"/>
                <w:sz w:val="24"/>
                <w:szCs w:val="24"/>
                <w:u w:val="none"/>
                <w:lang w:val="en-US" w:eastAsia="zh-CN" w:bidi="ar"/>
              </w:rPr>
              <w:t>(%)</w:t>
            </w:r>
          </w:p>
        </w:tc>
        <w:tc>
          <w:tcPr>
            <w:tcW w:w="1788"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55 (59.1)</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43 (64.2)</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12 (46.2)</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35 (64.8)</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28 (66.7)</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7 (58.3)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7" w:hRule="atLeast"/>
        </w:trPr>
        <w:tc>
          <w:tcPr>
            <w:tcW w:w="4342"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Disease location, </w:t>
            </w:r>
            <w:r>
              <w:rPr>
                <w:rFonts w:hint="default" w:ascii="Book Antiqua" w:hAnsi="Book Antiqua" w:eastAsia="Book Antiqua" w:cs="Book Antiqua"/>
                <w:i/>
                <w:iCs/>
                <w:color w:val="000000"/>
                <w:kern w:val="0"/>
                <w:sz w:val="24"/>
                <w:szCs w:val="24"/>
                <w:u w:val="none"/>
                <w:lang w:val="en-US" w:eastAsia="zh-CN" w:bidi="ar"/>
              </w:rPr>
              <w:t xml:space="preserve">n </w:t>
            </w:r>
            <w:r>
              <w:rPr>
                <w:rFonts w:hint="default" w:ascii="Book Antiqua" w:hAnsi="Book Antiqua" w:eastAsia="Book Antiqua" w:cs="Book Antiqua"/>
                <w:i w:val="0"/>
                <w:iCs w:val="0"/>
                <w:color w:val="000000"/>
                <w:kern w:val="0"/>
                <w:sz w:val="24"/>
                <w:szCs w:val="24"/>
                <w:u w:val="none"/>
                <w:lang w:val="en-US" w:eastAsia="zh-CN" w:bidi="ar"/>
              </w:rPr>
              <w:t>(%)</w:t>
            </w:r>
          </w:p>
        </w:tc>
        <w:tc>
          <w:tcPr>
            <w:tcW w:w="1788" w:type="dxa"/>
            <w:shd w:val="clear" w:color="auto" w:fill="auto"/>
            <w:noWrap/>
            <w:vAlign w:val="center"/>
          </w:tcPr>
          <w:p>
            <w:pPr>
              <w:jc w:val="both"/>
              <w:rPr>
                <w:rFonts w:hint="eastAsia" w:ascii="等线" w:hAnsi="等线" w:eastAsia="等线" w:cs="等线"/>
                <w:b/>
                <w:bCs/>
                <w:i w:val="0"/>
                <w:iCs w:val="0"/>
                <w:color w:val="000000"/>
                <w:sz w:val="24"/>
                <w:szCs w:val="24"/>
                <w:u w:val="none"/>
              </w:rPr>
            </w:pPr>
          </w:p>
        </w:tc>
        <w:tc>
          <w:tcPr>
            <w:tcW w:w="0" w:type="auto"/>
            <w:shd w:val="clear" w:color="auto" w:fill="FFFFFF"/>
            <w:noWrap/>
            <w:vAlign w:val="center"/>
          </w:tcPr>
          <w:p>
            <w:pPr>
              <w:jc w:val="both"/>
              <w:rPr>
                <w:rFonts w:hint="eastAsia" w:ascii="等线" w:hAnsi="等线" w:eastAsia="等线" w:cs="等线"/>
                <w:i w:val="0"/>
                <w:iCs w:val="0"/>
                <w:color w:val="000000"/>
                <w:sz w:val="24"/>
                <w:szCs w:val="24"/>
                <w:u w:val="none"/>
              </w:rPr>
            </w:pPr>
          </w:p>
        </w:tc>
        <w:tc>
          <w:tcPr>
            <w:tcW w:w="0" w:type="auto"/>
            <w:shd w:val="clear" w:color="auto" w:fill="FFFFFF"/>
            <w:noWrap/>
            <w:vAlign w:val="center"/>
          </w:tcPr>
          <w:p>
            <w:pPr>
              <w:jc w:val="both"/>
              <w:rPr>
                <w:rFonts w:hint="eastAsia" w:ascii="等线" w:hAnsi="等线" w:eastAsia="等线" w:cs="等线"/>
                <w:i w:val="0"/>
                <w:iCs w:val="0"/>
                <w:color w:val="000000"/>
                <w:sz w:val="24"/>
                <w:szCs w:val="24"/>
                <w:u w:val="none"/>
              </w:rPr>
            </w:pPr>
          </w:p>
        </w:tc>
        <w:tc>
          <w:tcPr>
            <w:tcW w:w="0" w:type="auto"/>
            <w:shd w:val="clear" w:color="auto" w:fill="FFFFFF"/>
            <w:noWrap/>
            <w:vAlign w:val="center"/>
          </w:tcPr>
          <w:p>
            <w:pPr>
              <w:jc w:val="both"/>
              <w:rPr>
                <w:rFonts w:hint="eastAsia" w:ascii="等线" w:hAnsi="等线" w:eastAsia="等线" w:cs="等线"/>
                <w:i w:val="0"/>
                <w:iCs w:val="0"/>
                <w:color w:val="000000"/>
                <w:sz w:val="24"/>
                <w:szCs w:val="24"/>
                <w:u w:val="none"/>
              </w:rPr>
            </w:pPr>
          </w:p>
        </w:tc>
        <w:tc>
          <w:tcPr>
            <w:tcW w:w="0" w:type="auto"/>
            <w:shd w:val="clear" w:color="auto" w:fill="FFFFFF"/>
            <w:noWrap/>
            <w:vAlign w:val="center"/>
          </w:tcPr>
          <w:p>
            <w:pPr>
              <w:jc w:val="both"/>
              <w:rPr>
                <w:rFonts w:hint="eastAsia" w:ascii="等线" w:hAnsi="等线" w:eastAsia="等线" w:cs="等线"/>
                <w:i w:val="0"/>
                <w:iCs w:val="0"/>
                <w:color w:val="000000"/>
                <w:sz w:val="24"/>
                <w:szCs w:val="24"/>
                <w:u w:val="none"/>
              </w:rPr>
            </w:pPr>
          </w:p>
        </w:tc>
        <w:tc>
          <w:tcPr>
            <w:tcW w:w="0" w:type="auto"/>
            <w:shd w:val="clear" w:color="auto" w:fill="FFFFFF"/>
            <w:noWrap/>
            <w:vAlign w:val="center"/>
          </w:tcPr>
          <w:p>
            <w:pPr>
              <w:jc w:val="both"/>
              <w:rPr>
                <w:rFonts w:hint="eastAsia" w:ascii="等线" w:hAnsi="等线" w:eastAsia="等线" w:cs="等线"/>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4342" w:type="dxa"/>
            <w:shd w:val="clear" w:color="auto" w:fill="auto"/>
            <w:noWrap/>
            <w:vAlign w:val="center"/>
          </w:tcPr>
          <w:p>
            <w:pPr>
              <w:keepNext w:val="0"/>
              <w:keepLines w:val="0"/>
              <w:widowControl/>
              <w:suppressLineNumbers w:val="0"/>
              <w:ind w:firstLineChars="20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L1 (terminal ileum)</w:t>
            </w:r>
          </w:p>
        </w:tc>
        <w:tc>
          <w:tcPr>
            <w:tcW w:w="1788"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18 (19.4)</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14 (20.9)</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 (15.4)</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10 (18.5)</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9 (21.4)</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 (8.3)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trPr>
        <w:tc>
          <w:tcPr>
            <w:tcW w:w="4342" w:type="dxa"/>
            <w:shd w:val="clear" w:color="auto" w:fill="auto"/>
            <w:noWrap/>
            <w:vAlign w:val="center"/>
          </w:tcPr>
          <w:p>
            <w:pPr>
              <w:keepNext w:val="0"/>
              <w:keepLines w:val="0"/>
              <w:widowControl/>
              <w:suppressLineNumbers w:val="0"/>
              <w:ind w:firstLineChars="20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L2 (colon)</w:t>
            </w:r>
          </w:p>
        </w:tc>
        <w:tc>
          <w:tcPr>
            <w:tcW w:w="1788"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11 (11.8)</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6 (9.0)</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 (19.2)</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 (9.3)</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 (9.5)</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 (8.3)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 w:hRule="atLeast"/>
        </w:trPr>
        <w:tc>
          <w:tcPr>
            <w:tcW w:w="4342" w:type="dxa"/>
            <w:shd w:val="clear" w:color="auto" w:fill="auto"/>
            <w:noWrap/>
            <w:vAlign w:val="center"/>
          </w:tcPr>
          <w:p>
            <w:pPr>
              <w:keepNext w:val="0"/>
              <w:keepLines w:val="0"/>
              <w:widowControl/>
              <w:suppressLineNumbers w:val="0"/>
              <w:ind w:firstLineChars="20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L3 (ileocolon)</w:t>
            </w:r>
          </w:p>
        </w:tc>
        <w:tc>
          <w:tcPr>
            <w:tcW w:w="1788"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64 (68.8)</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47 (70.1)</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17 (65.4)</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39 (72.2)</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29 (69.0)</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10 (83.3)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3" w:hRule="atLeast"/>
        </w:trPr>
        <w:tc>
          <w:tcPr>
            <w:tcW w:w="4342" w:type="dxa"/>
            <w:shd w:val="clear" w:color="auto" w:fill="auto"/>
            <w:noWrap/>
            <w:vAlign w:val="center"/>
          </w:tcPr>
          <w:p>
            <w:pPr>
              <w:keepNext w:val="0"/>
              <w:keepLines w:val="0"/>
              <w:widowControl/>
              <w:suppressLineNumbers w:val="0"/>
              <w:ind w:firstLineChars="20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L4 (upper digestive tract)</w:t>
            </w:r>
          </w:p>
        </w:tc>
        <w:tc>
          <w:tcPr>
            <w:tcW w:w="1788"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22 (23.7)</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15 (22.4)</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7 (26.9)</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14 (25.9)</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11(26.2)</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 (25.0)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4342"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Disease behavior, </w:t>
            </w:r>
            <w:r>
              <w:rPr>
                <w:rFonts w:hint="default" w:ascii="Book Antiqua" w:hAnsi="Book Antiqua" w:eastAsia="Book Antiqua" w:cs="Book Antiqua"/>
                <w:i/>
                <w:iCs/>
                <w:color w:val="000000"/>
                <w:kern w:val="0"/>
                <w:sz w:val="24"/>
                <w:szCs w:val="24"/>
                <w:u w:val="none"/>
                <w:lang w:val="en-US" w:eastAsia="zh-CN" w:bidi="ar"/>
              </w:rPr>
              <w:t xml:space="preserve">n </w:t>
            </w:r>
            <w:r>
              <w:rPr>
                <w:rFonts w:hint="default" w:ascii="Book Antiqua" w:hAnsi="Book Antiqua" w:eastAsia="Book Antiqua" w:cs="Book Antiqua"/>
                <w:i w:val="0"/>
                <w:iCs w:val="0"/>
                <w:color w:val="000000"/>
                <w:kern w:val="0"/>
                <w:sz w:val="24"/>
                <w:szCs w:val="24"/>
                <w:u w:val="none"/>
                <w:lang w:val="en-US" w:eastAsia="zh-CN" w:bidi="ar"/>
              </w:rPr>
              <w:t>(%)</w:t>
            </w:r>
          </w:p>
        </w:tc>
        <w:tc>
          <w:tcPr>
            <w:tcW w:w="1788" w:type="dxa"/>
            <w:shd w:val="clear" w:color="auto" w:fill="auto"/>
            <w:noWrap/>
            <w:vAlign w:val="center"/>
          </w:tcPr>
          <w:p>
            <w:pPr>
              <w:jc w:val="both"/>
              <w:rPr>
                <w:rFonts w:hint="eastAsia" w:ascii="等线" w:hAnsi="等线" w:eastAsia="等线" w:cs="等线"/>
                <w:b/>
                <w:bCs/>
                <w:i w:val="0"/>
                <w:iCs w:val="0"/>
                <w:color w:val="000000"/>
                <w:sz w:val="24"/>
                <w:szCs w:val="24"/>
                <w:u w:val="none"/>
              </w:rPr>
            </w:pPr>
          </w:p>
        </w:tc>
        <w:tc>
          <w:tcPr>
            <w:tcW w:w="0" w:type="auto"/>
            <w:shd w:val="clear" w:color="auto" w:fill="FFFFFF"/>
            <w:noWrap/>
            <w:vAlign w:val="center"/>
          </w:tcPr>
          <w:p>
            <w:pPr>
              <w:jc w:val="both"/>
              <w:rPr>
                <w:rFonts w:hint="eastAsia" w:ascii="等线" w:hAnsi="等线" w:eastAsia="等线" w:cs="等线"/>
                <w:i w:val="0"/>
                <w:iCs w:val="0"/>
                <w:color w:val="000000"/>
                <w:sz w:val="24"/>
                <w:szCs w:val="24"/>
                <w:u w:val="none"/>
              </w:rPr>
            </w:pPr>
          </w:p>
        </w:tc>
        <w:tc>
          <w:tcPr>
            <w:tcW w:w="0" w:type="auto"/>
            <w:shd w:val="clear" w:color="auto" w:fill="FFFFFF"/>
            <w:noWrap/>
            <w:vAlign w:val="center"/>
          </w:tcPr>
          <w:p>
            <w:pPr>
              <w:jc w:val="both"/>
              <w:rPr>
                <w:rFonts w:hint="eastAsia" w:ascii="等线" w:hAnsi="等线" w:eastAsia="等线" w:cs="等线"/>
                <w:i w:val="0"/>
                <w:iCs w:val="0"/>
                <w:color w:val="000000"/>
                <w:sz w:val="24"/>
                <w:szCs w:val="24"/>
                <w:u w:val="none"/>
              </w:rPr>
            </w:pPr>
          </w:p>
        </w:tc>
        <w:tc>
          <w:tcPr>
            <w:tcW w:w="0" w:type="auto"/>
            <w:shd w:val="clear" w:color="auto" w:fill="FFFFFF"/>
            <w:noWrap/>
            <w:vAlign w:val="center"/>
          </w:tcPr>
          <w:p>
            <w:pPr>
              <w:jc w:val="both"/>
              <w:rPr>
                <w:rFonts w:hint="eastAsia" w:ascii="等线" w:hAnsi="等线" w:eastAsia="等线" w:cs="等线"/>
                <w:i w:val="0"/>
                <w:iCs w:val="0"/>
                <w:color w:val="000000"/>
                <w:sz w:val="24"/>
                <w:szCs w:val="24"/>
                <w:u w:val="none"/>
              </w:rPr>
            </w:pPr>
          </w:p>
        </w:tc>
        <w:tc>
          <w:tcPr>
            <w:tcW w:w="0" w:type="auto"/>
            <w:shd w:val="clear" w:color="auto" w:fill="FFFFFF"/>
            <w:noWrap/>
            <w:vAlign w:val="center"/>
          </w:tcPr>
          <w:p>
            <w:pPr>
              <w:jc w:val="both"/>
              <w:rPr>
                <w:rFonts w:hint="eastAsia" w:ascii="等线" w:hAnsi="等线" w:eastAsia="等线" w:cs="等线"/>
                <w:i w:val="0"/>
                <w:iCs w:val="0"/>
                <w:color w:val="000000"/>
                <w:sz w:val="24"/>
                <w:szCs w:val="24"/>
                <w:u w:val="none"/>
              </w:rPr>
            </w:pPr>
          </w:p>
        </w:tc>
        <w:tc>
          <w:tcPr>
            <w:tcW w:w="0" w:type="auto"/>
            <w:shd w:val="clear" w:color="auto" w:fill="FFFFFF"/>
            <w:noWrap/>
            <w:vAlign w:val="center"/>
          </w:tcPr>
          <w:p>
            <w:pPr>
              <w:jc w:val="both"/>
              <w:rPr>
                <w:rFonts w:hint="eastAsia" w:ascii="等线" w:hAnsi="等线" w:eastAsia="等线" w:cs="等线"/>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4342" w:type="dxa"/>
            <w:shd w:val="clear" w:color="auto" w:fill="auto"/>
            <w:noWrap/>
            <w:vAlign w:val="center"/>
          </w:tcPr>
          <w:p>
            <w:pPr>
              <w:keepNext w:val="0"/>
              <w:keepLines w:val="0"/>
              <w:widowControl/>
              <w:suppressLineNumbers w:val="0"/>
              <w:ind w:firstLineChars="20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B1 (no)</w:t>
            </w:r>
          </w:p>
        </w:tc>
        <w:tc>
          <w:tcPr>
            <w:tcW w:w="1788"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19 (20.4)</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15 (22.4)</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 (15.4)</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13 (24.1)</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9 (21.4)</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 (33.3)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4342" w:type="dxa"/>
            <w:shd w:val="clear" w:color="auto" w:fill="auto"/>
            <w:noWrap/>
            <w:vAlign w:val="center"/>
          </w:tcPr>
          <w:p>
            <w:pPr>
              <w:keepNext w:val="0"/>
              <w:keepLines w:val="0"/>
              <w:widowControl/>
              <w:suppressLineNumbers w:val="0"/>
              <w:ind w:firstLineChars="20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B2 (stenosis)</w:t>
            </w:r>
          </w:p>
        </w:tc>
        <w:tc>
          <w:tcPr>
            <w:tcW w:w="1788"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11 (11.8)</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9 (13.4)</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 (7.7)</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6 (11.1)</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 (11.9)</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 (8.3)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4342" w:type="dxa"/>
            <w:shd w:val="clear" w:color="auto" w:fill="auto"/>
            <w:noWrap/>
            <w:vAlign w:val="center"/>
          </w:tcPr>
          <w:p>
            <w:pPr>
              <w:keepNext w:val="0"/>
              <w:keepLines w:val="0"/>
              <w:widowControl/>
              <w:suppressLineNumbers w:val="0"/>
              <w:ind w:firstLineChars="20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B3 (penetration)</w:t>
            </w:r>
          </w:p>
        </w:tc>
        <w:tc>
          <w:tcPr>
            <w:tcW w:w="1788"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40 (43.0)</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27 (40.3)</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13 (50.0)</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23 (42.6)</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18 (42.9)</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 (41.7)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trPr>
        <w:tc>
          <w:tcPr>
            <w:tcW w:w="4342" w:type="dxa"/>
            <w:shd w:val="clear" w:color="auto" w:fill="auto"/>
            <w:noWrap/>
            <w:vAlign w:val="center"/>
          </w:tcPr>
          <w:p>
            <w:pPr>
              <w:keepNext w:val="0"/>
              <w:keepLines w:val="0"/>
              <w:widowControl/>
              <w:suppressLineNumbers w:val="0"/>
              <w:ind w:firstLineChars="20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B2 (stenosis) + B3 (penetration)</w:t>
            </w:r>
          </w:p>
        </w:tc>
        <w:tc>
          <w:tcPr>
            <w:tcW w:w="1788"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23 (24.7)</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16 (23.9)</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7 (26.9)</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12 (22.2)</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10 (23.8)</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 (16.7)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6" w:hRule="atLeast"/>
        </w:trPr>
        <w:tc>
          <w:tcPr>
            <w:tcW w:w="4342"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Perianal diseases, </w:t>
            </w:r>
            <w:r>
              <w:rPr>
                <w:rFonts w:hint="default" w:ascii="Book Antiqua" w:hAnsi="Book Antiqua" w:eastAsia="Book Antiqua" w:cs="Book Antiqua"/>
                <w:i/>
                <w:iCs/>
                <w:color w:val="000000"/>
                <w:kern w:val="0"/>
                <w:sz w:val="24"/>
                <w:szCs w:val="24"/>
                <w:u w:val="none"/>
                <w:lang w:val="en-US" w:eastAsia="zh-CN" w:bidi="ar"/>
              </w:rPr>
              <w:t xml:space="preserve">n </w:t>
            </w:r>
            <w:r>
              <w:rPr>
                <w:rFonts w:hint="default" w:ascii="Book Antiqua" w:hAnsi="Book Antiqua" w:eastAsia="Book Antiqua" w:cs="Book Antiqua"/>
                <w:i w:val="0"/>
                <w:iCs w:val="0"/>
                <w:color w:val="000000"/>
                <w:kern w:val="0"/>
                <w:sz w:val="24"/>
                <w:szCs w:val="24"/>
                <w:u w:val="none"/>
                <w:lang w:val="en-US" w:eastAsia="zh-CN" w:bidi="ar"/>
              </w:rPr>
              <w:t>(%)</w:t>
            </w:r>
          </w:p>
        </w:tc>
        <w:tc>
          <w:tcPr>
            <w:tcW w:w="1788"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55 (59.1)</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38 (56.7)</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17 (65.4)</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32 (59.3)</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25 (59.5)</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7 (58.3)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4342"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Previous medical therapy, </w:t>
            </w:r>
            <w:r>
              <w:rPr>
                <w:rFonts w:hint="default" w:ascii="Book Antiqua" w:hAnsi="Book Antiqua" w:eastAsia="Book Antiqua" w:cs="Book Antiqua"/>
                <w:i/>
                <w:iCs/>
                <w:color w:val="000000"/>
                <w:kern w:val="0"/>
                <w:sz w:val="24"/>
                <w:szCs w:val="24"/>
                <w:u w:val="none"/>
                <w:lang w:val="en-US" w:eastAsia="zh-CN" w:bidi="ar"/>
              </w:rPr>
              <w:t xml:space="preserve">n </w:t>
            </w:r>
            <w:r>
              <w:rPr>
                <w:rFonts w:hint="default" w:ascii="Book Antiqua" w:hAnsi="Book Antiqua" w:eastAsia="Book Antiqua" w:cs="Book Antiqua"/>
                <w:i w:val="0"/>
                <w:iCs w:val="0"/>
                <w:color w:val="000000"/>
                <w:kern w:val="0"/>
                <w:sz w:val="24"/>
                <w:szCs w:val="24"/>
                <w:u w:val="none"/>
                <w:lang w:val="en-US" w:eastAsia="zh-CN" w:bidi="ar"/>
              </w:rPr>
              <w:t>(%)</w:t>
            </w:r>
          </w:p>
        </w:tc>
        <w:tc>
          <w:tcPr>
            <w:tcW w:w="1788"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64 (68.8)</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46 (68.7)</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18 (69.2)</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34 (63.0)</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25 (59.5)</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9 (75.0)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4342"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Previous surgical therapy, </w:t>
            </w:r>
            <w:r>
              <w:rPr>
                <w:rFonts w:hint="default" w:ascii="Book Antiqua" w:hAnsi="Book Antiqua" w:eastAsia="Book Antiqua" w:cs="Book Antiqua"/>
                <w:i/>
                <w:iCs/>
                <w:color w:val="000000"/>
                <w:kern w:val="0"/>
                <w:sz w:val="24"/>
                <w:szCs w:val="24"/>
                <w:u w:val="none"/>
                <w:lang w:val="en-US" w:eastAsia="zh-CN" w:bidi="ar"/>
              </w:rPr>
              <w:t xml:space="preserve">n </w:t>
            </w:r>
            <w:r>
              <w:rPr>
                <w:rFonts w:hint="default" w:ascii="Book Antiqua" w:hAnsi="Book Antiqua" w:eastAsia="Book Antiqua" w:cs="Book Antiqua"/>
                <w:i w:val="0"/>
                <w:iCs w:val="0"/>
                <w:color w:val="000000"/>
                <w:kern w:val="0"/>
                <w:sz w:val="24"/>
                <w:szCs w:val="24"/>
                <w:u w:val="none"/>
                <w:lang w:val="en-US" w:eastAsia="zh-CN" w:bidi="ar"/>
              </w:rPr>
              <w:t>(%)</w:t>
            </w:r>
          </w:p>
        </w:tc>
        <w:tc>
          <w:tcPr>
            <w:tcW w:w="1788"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15 (16.1)</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11 (16.4)</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 (15.4)</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8 (14.8)</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8 (19.0)</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0 (0.0)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8" w:hRule="atLeast"/>
        </w:trPr>
        <w:tc>
          <w:tcPr>
            <w:tcW w:w="4342" w:type="dxa"/>
            <w:shd w:val="clear" w:color="auto" w:fill="auto"/>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 xml:space="preserve">Laboratory indicators, mean ± </w:t>
            </w:r>
            <w:r>
              <w:rPr>
                <w:rFonts w:hint="eastAsia" w:ascii="Book Antiqua" w:hAnsi="Book Antiqua" w:eastAsia="Book Antiqua" w:cs="Book Antiqua"/>
                <w:i w:val="0"/>
                <w:iCs w:val="0"/>
                <w:color w:val="000000"/>
                <w:kern w:val="0"/>
                <w:sz w:val="24"/>
                <w:szCs w:val="24"/>
                <w:u w:val="none"/>
                <w:lang w:val="en-US" w:eastAsia="zh-CN" w:bidi="ar"/>
              </w:rPr>
              <w:t>SD</w:t>
            </w:r>
          </w:p>
        </w:tc>
        <w:tc>
          <w:tcPr>
            <w:tcW w:w="1788" w:type="dxa"/>
            <w:shd w:val="clear" w:color="auto" w:fill="auto"/>
            <w:vAlign w:val="center"/>
          </w:tcPr>
          <w:p>
            <w:pPr>
              <w:jc w:val="both"/>
              <w:rPr>
                <w:rFonts w:hint="eastAsia" w:ascii="等线" w:hAnsi="等线" w:eastAsia="等线" w:cs="等线"/>
                <w:b/>
                <w:bCs/>
                <w:i w:val="0"/>
                <w:iCs w:val="0"/>
                <w:color w:val="000000"/>
                <w:sz w:val="24"/>
                <w:szCs w:val="24"/>
                <w:u w:val="none"/>
              </w:rPr>
            </w:pPr>
          </w:p>
        </w:tc>
        <w:tc>
          <w:tcPr>
            <w:tcW w:w="0" w:type="auto"/>
            <w:shd w:val="clear" w:color="auto" w:fill="FFFFFF"/>
            <w:noWrap/>
            <w:vAlign w:val="center"/>
          </w:tcPr>
          <w:p>
            <w:pPr>
              <w:jc w:val="both"/>
              <w:rPr>
                <w:rFonts w:hint="eastAsia" w:ascii="等线" w:hAnsi="等线" w:eastAsia="等线" w:cs="等线"/>
                <w:i w:val="0"/>
                <w:iCs w:val="0"/>
                <w:color w:val="000000"/>
                <w:sz w:val="24"/>
                <w:szCs w:val="24"/>
                <w:u w:val="none"/>
              </w:rPr>
            </w:pPr>
          </w:p>
        </w:tc>
        <w:tc>
          <w:tcPr>
            <w:tcW w:w="0" w:type="auto"/>
            <w:shd w:val="clear" w:color="auto" w:fill="FFFFFF"/>
            <w:noWrap/>
            <w:vAlign w:val="center"/>
          </w:tcPr>
          <w:p>
            <w:pPr>
              <w:jc w:val="both"/>
              <w:rPr>
                <w:rFonts w:hint="eastAsia" w:ascii="等线" w:hAnsi="等线" w:eastAsia="等线" w:cs="等线"/>
                <w:i w:val="0"/>
                <w:iCs w:val="0"/>
                <w:color w:val="000000"/>
                <w:sz w:val="24"/>
                <w:szCs w:val="24"/>
                <w:u w:val="none"/>
              </w:rPr>
            </w:pPr>
          </w:p>
        </w:tc>
        <w:tc>
          <w:tcPr>
            <w:tcW w:w="0" w:type="auto"/>
            <w:shd w:val="clear" w:color="auto" w:fill="FFFFFF"/>
            <w:noWrap/>
            <w:vAlign w:val="center"/>
          </w:tcPr>
          <w:p>
            <w:pPr>
              <w:jc w:val="both"/>
              <w:rPr>
                <w:rFonts w:hint="eastAsia" w:ascii="等线" w:hAnsi="等线" w:eastAsia="等线" w:cs="等线"/>
                <w:i w:val="0"/>
                <w:iCs w:val="0"/>
                <w:color w:val="000000"/>
                <w:sz w:val="24"/>
                <w:szCs w:val="24"/>
                <w:u w:val="none"/>
              </w:rPr>
            </w:pPr>
          </w:p>
        </w:tc>
        <w:tc>
          <w:tcPr>
            <w:tcW w:w="0" w:type="auto"/>
            <w:shd w:val="clear" w:color="auto" w:fill="FFFFFF"/>
            <w:noWrap/>
            <w:vAlign w:val="center"/>
          </w:tcPr>
          <w:p>
            <w:pPr>
              <w:jc w:val="both"/>
              <w:rPr>
                <w:rFonts w:hint="eastAsia" w:ascii="等线" w:hAnsi="等线" w:eastAsia="等线" w:cs="等线"/>
                <w:i w:val="0"/>
                <w:iCs w:val="0"/>
                <w:color w:val="000000"/>
                <w:sz w:val="24"/>
                <w:szCs w:val="24"/>
                <w:u w:val="none"/>
              </w:rPr>
            </w:pPr>
          </w:p>
        </w:tc>
        <w:tc>
          <w:tcPr>
            <w:tcW w:w="0" w:type="auto"/>
            <w:shd w:val="clear" w:color="auto" w:fill="FFFFFF"/>
            <w:noWrap/>
            <w:vAlign w:val="center"/>
          </w:tcPr>
          <w:p>
            <w:pPr>
              <w:jc w:val="both"/>
              <w:rPr>
                <w:rFonts w:hint="eastAsia" w:ascii="等线" w:hAnsi="等线" w:eastAsia="等线" w:cs="等线"/>
                <w:i w:val="0"/>
                <w:iCs w:val="0"/>
                <w:color w:val="000000"/>
                <w:sz w:val="24"/>
                <w:szCs w:val="24"/>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4342" w:type="dxa"/>
            <w:shd w:val="clear" w:color="auto" w:fill="auto"/>
            <w:noWrap/>
            <w:vAlign w:val="center"/>
          </w:tcPr>
          <w:p>
            <w:pPr>
              <w:keepNext w:val="0"/>
              <w:keepLines w:val="0"/>
              <w:widowControl/>
              <w:suppressLineNumbers w:val="0"/>
              <w:jc w:val="left"/>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Fecal calprotectin, μg/g</w:t>
            </w:r>
          </w:p>
        </w:tc>
        <w:tc>
          <w:tcPr>
            <w:tcW w:w="1788"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399.96 ± 562.47</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178.62 ± 242.38</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970.35 ± 734.49</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353.17 ± 557.71</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178.57 ± 276.56</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964.25 ± 830.56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trPr>
        <w:tc>
          <w:tcPr>
            <w:tcW w:w="4342"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IFX trough level, μg/ml</w:t>
            </w:r>
          </w:p>
        </w:tc>
        <w:tc>
          <w:tcPr>
            <w:tcW w:w="1788"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6.12 ± 3.72</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7.23 ± 3.48</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3.25 ± 2.67</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3.80 ± 2.25</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4.37 ± 2.02</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1.80 ± 1.90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7" w:hRule="atLeast"/>
        </w:trPr>
        <w:tc>
          <w:tcPr>
            <w:tcW w:w="4342"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White blood count, × 10</w:t>
            </w:r>
            <w:r>
              <w:rPr>
                <w:rFonts w:hint="default" w:ascii="Book Antiqua" w:hAnsi="Book Antiqua" w:eastAsia="Book Antiqua" w:cs="Book Antiqua"/>
                <w:i w:val="0"/>
                <w:iCs w:val="0"/>
                <w:color w:val="000000"/>
                <w:kern w:val="0"/>
                <w:sz w:val="24"/>
                <w:szCs w:val="24"/>
                <w:u w:val="none"/>
                <w:vertAlign w:val="superscript"/>
                <w:lang w:val="en-US" w:eastAsia="zh-CN" w:bidi="ar"/>
              </w:rPr>
              <w:t>9</w:t>
            </w:r>
            <w:r>
              <w:rPr>
                <w:rFonts w:hint="default" w:ascii="Book Antiqua" w:hAnsi="Book Antiqua" w:eastAsia="Book Antiqua" w:cs="Book Antiqua"/>
                <w:i w:val="0"/>
                <w:iCs w:val="0"/>
                <w:color w:val="000000"/>
                <w:kern w:val="0"/>
                <w:sz w:val="24"/>
                <w:szCs w:val="24"/>
                <w:u w:val="none"/>
                <w:lang w:val="en-US" w:eastAsia="zh-CN" w:bidi="ar"/>
              </w:rPr>
              <w:t>/L</w:t>
            </w:r>
          </w:p>
        </w:tc>
        <w:tc>
          <w:tcPr>
            <w:tcW w:w="1788"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5.32 ± 1.87</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5.16 ± 1.47</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5.73 ± 2.65</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5.27 ± 1.41</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5.27 ± 1.43</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5.28 ± 1.41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trPr>
        <w:tc>
          <w:tcPr>
            <w:tcW w:w="4342"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Hematoglobin, g/L</w:t>
            </w:r>
          </w:p>
        </w:tc>
        <w:tc>
          <w:tcPr>
            <w:tcW w:w="1788"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128.37 ± 20.42</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130.96 ± 20.03</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121.69 ± 20.27</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136.59 ± 16.06</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136.79 ± 16.94</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135.92 ± 13.13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1" w:hRule="atLeast"/>
        </w:trPr>
        <w:tc>
          <w:tcPr>
            <w:tcW w:w="4342"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Platelet, × 10</w:t>
            </w:r>
            <w:r>
              <w:rPr>
                <w:rFonts w:hint="default" w:ascii="Book Antiqua" w:hAnsi="Book Antiqua" w:eastAsia="Book Antiqua" w:cs="Book Antiqua"/>
                <w:i w:val="0"/>
                <w:iCs w:val="0"/>
                <w:color w:val="000000"/>
                <w:kern w:val="0"/>
                <w:sz w:val="24"/>
                <w:szCs w:val="24"/>
                <w:u w:val="none"/>
                <w:vertAlign w:val="superscript"/>
                <w:lang w:val="en-US" w:eastAsia="zh-CN" w:bidi="ar"/>
              </w:rPr>
              <w:t>9</w:t>
            </w:r>
            <w:r>
              <w:rPr>
                <w:rFonts w:hint="default" w:ascii="Book Antiqua" w:hAnsi="Book Antiqua" w:eastAsia="Book Antiqua" w:cs="Book Antiqua"/>
                <w:i w:val="0"/>
                <w:iCs w:val="0"/>
                <w:color w:val="000000"/>
                <w:kern w:val="0"/>
                <w:sz w:val="24"/>
                <w:szCs w:val="24"/>
                <w:u w:val="none"/>
                <w:lang w:val="en-US" w:eastAsia="zh-CN" w:bidi="ar"/>
              </w:rPr>
              <w:t>/L</w:t>
            </w:r>
          </w:p>
        </w:tc>
        <w:tc>
          <w:tcPr>
            <w:tcW w:w="1788"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210.66 ± 69.77</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202.36 ± 58.34</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232.04 ± 90.94</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205.02 ± 46.19</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204.62 ± 45.82</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206.42 ± 49.54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trPr>
        <w:tc>
          <w:tcPr>
            <w:tcW w:w="4342"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Erythrocyte sedimentation rate, mm/h</w:t>
            </w:r>
          </w:p>
        </w:tc>
        <w:tc>
          <w:tcPr>
            <w:tcW w:w="1788"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9.88 ± 12.25</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6.89 ± 7.96</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17.46 ± 17.28</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7.31 ± 10.35</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6.33 ± 6.89</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10.75 ± 17.97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trPr>
        <w:tc>
          <w:tcPr>
            <w:tcW w:w="4342"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Albumin, g/L</w:t>
            </w:r>
          </w:p>
        </w:tc>
        <w:tc>
          <w:tcPr>
            <w:tcW w:w="1788"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42.13 ± 4.17</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42.65 ± 3.93</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40.77 ± 4.54</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44.51 ± 3.40</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44.99 ± 3.38</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42.85 ± 3.02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4342"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C-reactive protein, mg/dl</w:t>
            </w:r>
          </w:p>
        </w:tc>
        <w:tc>
          <w:tcPr>
            <w:tcW w:w="1788" w:type="dxa"/>
            <w:shd w:val="clear" w:color="auto" w:fill="auto"/>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2.98 ± 5.43</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1.82 ± 2.77</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5.96 ± 8.69</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1.99 ± 3.18</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1.23 ± 1.79</w:t>
            </w:r>
          </w:p>
        </w:tc>
        <w:tc>
          <w:tcPr>
            <w:tcW w:w="0" w:type="auto"/>
            <w:shd w:val="clear" w:color="auto" w:fill="FFFFFF"/>
            <w:noWrap/>
            <w:vAlign w:val="center"/>
          </w:tcPr>
          <w:p>
            <w:pPr>
              <w:keepNext w:val="0"/>
              <w:keepLines w:val="0"/>
              <w:widowControl/>
              <w:suppressLineNumbers w:val="0"/>
              <w:jc w:val="both"/>
              <w:textAlignment w:val="center"/>
              <w:rPr>
                <w:rFonts w:hint="default" w:ascii="Book Antiqua" w:hAnsi="Book Antiqua" w:eastAsia="Book Antiqua" w:cs="Book Antiqua"/>
                <w:i w:val="0"/>
                <w:iCs w:val="0"/>
                <w:color w:val="000000"/>
                <w:sz w:val="24"/>
                <w:szCs w:val="24"/>
                <w:u w:val="none"/>
              </w:rPr>
            </w:pPr>
            <w:r>
              <w:rPr>
                <w:rFonts w:hint="default" w:ascii="Book Antiqua" w:hAnsi="Book Antiqua" w:eastAsia="Book Antiqua" w:cs="Book Antiqua"/>
                <w:i w:val="0"/>
                <w:iCs w:val="0"/>
                <w:color w:val="000000"/>
                <w:kern w:val="0"/>
                <w:sz w:val="24"/>
                <w:szCs w:val="24"/>
                <w:u w:val="none"/>
                <w:lang w:val="en-US" w:eastAsia="zh-CN" w:bidi="ar"/>
              </w:rPr>
              <w:t>4.66 ± 5.19</w:t>
            </w:r>
          </w:p>
        </w:tc>
      </w:tr>
    </w:tbl>
    <w:p>
      <w:pPr>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等线" w:cs="宋体"/>
          <w:color w:val="000000"/>
        </w:rPr>
        <w:t>IFX</w:t>
      </w:r>
      <w:r>
        <w:rPr>
          <w:rFonts w:ascii="Book Antiqua" w:hAnsi="Book Antiqua" w:eastAsia="等线" w:cs="宋体"/>
          <w:color w:val="000000"/>
          <w:lang w:eastAsia="zh-CN"/>
        </w:rPr>
        <w:t xml:space="preserve">: </w:t>
      </w:r>
      <w:r>
        <w:rPr>
          <w:rFonts w:ascii="Book Antiqua" w:hAnsi="Book Antiqua" w:eastAsia="Book Antiqua" w:cs="Book Antiqua"/>
          <w:color w:val="000000" w:themeColor="text1"/>
          <w14:textFill>
            <w14:solidFill>
              <w14:schemeClr w14:val="tx1"/>
            </w14:solidFill>
          </w14:textFill>
        </w:rPr>
        <w:t>Infliximab</w:t>
      </w:r>
      <w:r>
        <w:rPr>
          <w:rFonts w:ascii="Book Antiqua" w:hAnsi="Book Antiqua" w:cs="Book Antiqua"/>
          <w:color w:val="000000" w:themeColor="text1"/>
          <w:lang w:eastAsia="zh-CN"/>
          <w14:textFill>
            <w14:solidFill>
              <w14:schemeClr w14:val="tx1"/>
            </w14:solidFill>
          </w14:textFill>
        </w:rPr>
        <w:t>; IQR: Interquartile range; SD: standard deviation; EA:</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cs="Book Antiqua"/>
          <w:caps/>
          <w:color w:val="000000" w:themeColor="text1"/>
          <w:lang w:eastAsia="zh-CN"/>
          <w14:textFill>
            <w14:solidFill>
              <w14:schemeClr w14:val="tx1"/>
            </w14:solidFill>
          </w14:textFill>
        </w:rPr>
        <w:t>e</w:t>
      </w:r>
      <w:r>
        <w:rPr>
          <w:rFonts w:ascii="Book Antiqua" w:hAnsi="Book Antiqua" w:cs="Book Antiqua"/>
          <w:color w:val="000000" w:themeColor="text1"/>
          <w:lang w:eastAsia="zh-CN"/>
          <w14:textFill>
            <w14:solidFill>
              <w14:schemeClr w14:val="tx1"/>
            </w14:solidFill>
          </w14:textFill>
        </w:rPr>
        <w:t>xperimental adhesive; ER:</w:t>
      </w:r>
      <w:r>
        <w:t xml:space="preserve"> </w:t>
      </w:r>
      <w:r>
        <w:rPr>
          <w:rFonts w:ascii="Book Antiqua" w:hAnsi="Book Antiqua" w:cs="Book Antiqua"/>
          <w:color w:val="000000" w:themeColor="text1"/>
          <w:lang w:eastAsia="zh-CN"/>
          <w14:textFill>
            <w14:solidFill>
              <w14:schemeClr w14:val="tx1"/>
            </w14:solidFill>
          </w14:textFill>
        </w:rPr>
        <w:t>Endoplasmic reticulum.</w:t>
      </w:r>
    </w:p>
    <w:p>
      <w:pPr>
        <w:spacing w:line="360" w:lineRule="auto"/>
        <w:jc w:val="both"/>
        <w:rPr>
          <w:rFonts w:ascii="Book Antiqua" w:hAnsi="Book Antiqua" w:cs="Book Antiqua"/>
          <w:b/>
          <w:color w:val="000000" w:themeColor="text1"/>
          <w:lang w:eastAsia="zh-CN"/>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br w:type="page"/>
      </w:r>
      <w:r>
        <w:rPr>
          <w:rFonts w:ascii="Book Antiqua" w:hAnsi="Book Antiqua" w:eastAsia="Book Antiqua" w:cs="Book Antiqua"/>
          <w:b/>
          <w:bCs/>
          <w:color w:val="000000" w:themeColor="text1"/>
          <w14:textFill>
            <w14:solidFill>
              <w14:schemeClr w14:val="tx1"/>
            </w14:solidFill>
          </w14:textFill>
        </w:rPr>
        <w:t xml:space="preserve">Table 2 </w:t>
      </w:r>
      <w:r>
        <w:rPr>
          <w:rFonts w:ascii="Book Antiqua" w:hAnsi="Book Antiqua" w:eastAsia="Book Antiqua" w:cs="Book Antiqua"/>
          <w:b/>
          <w:color w:val="000000" w:themeColor="text1"/>
          <w14:textFill>
            <w14:solidFill>
              <w14:schemeClr w14:val="tx1"/>
            </w14:solidFill>
          </w14:textFill>
        </w:rPr>
        <w:t>Predictive indicators of endoscopic relapse in Crohn's disease patients with endoscopic remission</w:t>
      </w:r>
    </w:p>
    <w:tbl>
      <w:tblPr>
        <w:tblStyle w:val="9"/>
        <w:tblW w:w="16555"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39"/>
        <w:gridCol w:w="2552"/>
        <w:gridCol w:w="891"/>
        <w:gridCol w:w="2351"/>
        <w:gridCol w:w="816"/>
        <w:gridCol w:w="2547"/>
        <w:gridCol w:w="816"/>
        <w:gridCol w:w="2227"/>
        <w:gridCol w:w="81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3539" w:type="dxa"/>
            <w:vMerge w:val="restart"/>
            <w:shd w:val="clear" w:color="auto" w:fill="auto"/>
            <w:noWrap/>
            <w:vAlign w:val="center"/>
          </w:tcPr>
          <w:p>
            <w:pPr>
              <w:spacing w:line="360" w:lineRule="auto"/>
              <w:jc w:val="both"/>
              <w:rPr>
                <w:rFonts w:ascii="Book Antiqua" w:hAnsi="Book Antiqua" w:eastAsia="等线" w:cs="宋体"/>
                <w:b/>
                <w:bCs/>
                <w:color w:val="000000"/>
              </w:rPr>
            </w:pPr>
            <w:r>
              <w:rPr>
                <w:rFonts w:ascii="Book Antiqua" w:hAnsi="Book Antiqua" w:eastAsia="等线" w:cs="宋体"/>
                <w:b/>
                <w:bCs/>
                <w:color w:val="000000"/>
              </w:rPr>
              <w:t>Variable</w:t>
            </w:r>
          </w:p>
        </w:tc>
        <w:tc>
          <w:tcPr>
            <w:tcW w:w="6610" w:type="dxa"/>
            <w:gridSpan w:val="4"/>
            <w:tcBorders>
              <w:bottom w:val="single" w:color="auto" w:sz="4" w:space="0"/>
            </w:tcBorders>
            <w:shd w:val="clear" w:color="auto" w:fill="auto"/>
            <w:noWrap/>
            <w:vAlign w:val="center"/>
          </w:tcPr>
          <w:p>
            <w:pPr>
              <w:spacing w:line="360" w:lineRule="auto"/>
              <w:jc w:val="both"/>
              <w:rPr>
                <w:rFonts w:ascii="Book Antiqua" w:hAnsi="Book Antiqua" w:eastAsia="等线" w:cs="宋体"/>
                <w:b/>
                <w:bCs/>
                <w:color w:val="000000"/>
              </w:rPr>
            </w:pPr>
            <w:r>
              <w:rPr>
                <w:rFonts w:ascii="Book Antiqua" w:hAnsi="Book Antiqua" w:eastAsia="等线" w:cs="宋体"/>
                <w:b/>
                <w:bCs/>
                <w:color w:val="000000"/>
              </w:rPr>
              <w:t xml:space="preserve">Week 14 (after initial IFX therapy), </w:t>
            </w:r>
            <w:r>
              <w:rPr>
                <w:rFonts w:ascii="Book Antiqua" w:hAnsi="Book Antiqua" w:eastAsia="等线" w:cs="宋体"/>
                <w:b/>
                <w:bCs/>
                <w:i/>
                <w:color w:val="000000"/>
              </w:rPr>
              <w:t xml:space="preserve">n </w:t>
            </w:r>
            <w:r>
              <w:rPr>
                <w:rFonts w:ascii="Book Antiqua" w:hAnsi="Book Antiqua" w:eastAsia="等线" w:cs="宋体"/>
                <w:b/>
                <w:bCs/>
                <w:color w:val="000000"/>
              </w:rPr>
              <w:t>=</w:t>
            </w:r>
            <w:r>
              <w:rPr>
                <w:rFonts w:ascii="Book Antiqua" w:hAnsi="Book Antiqua" w:eastAsia="等线" w:cs="宋体"/>
                <w:b/>
                <w:bCs/>
                <w:i/>
                <w:color w:val="000000"/>
              </w:rPr>
              <w:t xml:space="preserve"> </w:t>
            </w:r>
            <w:r>
              <w:rPr>
                <w:rFonts w:ascii="Book Antiqua" w:hAnsi="Book Antiqua" w:eastAsia="等线" w:cs="宋体"/>
                <w:b/>
                <w:bCs/>
                <w:color w:val="000000"/>
              </w:rPr>
              <w:t>93</w:t>
            </w:r>
          </w:p>
        </w:tc>
        <w:tc>
          <w:tcPr>
            <w:tcW w:w="6406" w:type="dxa"/>
            <w:gridSpan w:val="4"/>
            <w:tcBorders>
              <w:bottom w:val="single" w:color="auto" w:sz="4" w:space="0"/>
            </w:tcBorders>
            <w:shd w:val="clear" w:color="auto" w:fill="auto"/>
            <w:noWrap/>
            <w:vAlign w:val="center"/>
          </w:tcPr>
          <w:p>
            <w:pPr>
              <w:spacing w:line="360" w:lineRule="auto"/>
              <w:jc w:val="both"/>
              <w:rPr>
                <w:rFonts w:ascii="Book Antiqua" w:hAnsi="Book Antiqua" w:eastAsia="等线" w:cs="宋体"/>
                <w:b/>
                <w:bCs/>
                <w:color w:val="000000"/>
              </w:rPr>
            </w:pPr>
            <w:r>
              <w:rPr>
                <w:rFonts w:ascii="Book Antiqua" w:hAnsi="Book Antiqua" w:eastAsia="等线" w:cs="宋体"/>
                <w:b/>
                <w:bCs/>
                <w:color w:val="000000"/>
              </w:rPr>
              <w:t xml:space="preserve">Week 14 (after initial IFX therapy), </w:t>
            </w:r>
            <w:r>
              <w:rPr>
                <w:rFonts w:ascii="Book Antiqua" w:hAnsi="Book Antiqua" w:eastAsia="等线" w:cs="宋体"/>
                <w:b/>
                <w:bCs/>
                <w:i/>
                <w:color w:val="000000"/>
              </w:rPr>
              <w:t xml:space="preserve">n </w:t>
            </w:r>
            <w:r>
              <w:rPr>
                <w:rFonts w:ascii="Book Antiqua" w:hAnsi="Book Antiqua" w:eastAsia="等线" w:cs="宋体"/>
                <w:b/>
                <w:bCs/>
                <w:color w:val="000000"/>
              </w:rPr>
              <w:t>=</w:t>
            </w:r>
            <w:r>
              <w:rPr>
                <w:rFonts w:ascii="Book Antiqua" w:hAnsi="Book Antiqua" w:eastAsia="等线" w:cs="宋体"/>
                <w:b/>
                <w:bCs/>
                <w:i/>
                <w:color w:val="000000"/>
              </w:rPr>
              <w:t xml:space="preserve"> </w:t>
            </w:r>
            <w:r>
              <w:rPr>
                <w:rFonts w:ascii="Book Antiqua" w:hAnsi="Book Antiqua" w:eastAsia="等线" w:cs="宋体"/>
                <w:b/>
                <w:bCs/>
                <w:color w:val="000000"/>
              </w:rPr>
              <w:t>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539" w:type="dxa"/>
            <w:vMerge w:val="continue"/>
            <w:vAlign w:val="center"/>
          </w:tcPr>
          <w:p>
            <w:pPr>
              <w:spacing w:line="360" w:lineRule="auto"/>
              <w:jc w:val="both"/>
              <w:rPr>
                <w:rFonts w:ascii="Book Antiqua" w:hAnsi="Book Antiqua" w:eastAsia="等线" w:cs="宋体"/>
                <w:b/>
                <w:bCs/>
                <w:color w:val="000000"/>
              </w:rPr>
            </w:pPr>
          </w:p>
        </w:tc>
        <w:tc>
          <w:tcPr>
            <w:tcW w:w="6610" w:type="dxa"/>
            <w:gridSpan w:val="4"/>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cs="宋体"/>
                <w:b/>
                <w:color w:val="000000"/>
              </w:rPr>
            </w:pPr>
            <w:r>
              <w:rPr>
                <w:rFonts w:ascii="Book Antiqua" w:hAnsi="Book Antiqua" w:eastAsia="等线" w:cs="宋体"/>
                <w:b/>
                <w:color w:val="000000"/>
              </w:rPr>
              <w:t>Predict endoscopic relapse at week 54</w:t>
            </w:r>
          </w:p>
        </w:tc>
        <w:tc>
          <w:tcPr>
            <w:tcW w:w="6406" w:type="dxa"/>
            <w:gridSpan w:val="4"/>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cs="宋体"/>
                <w:b/>
                <w:color w:val="000000"/>
              </w:rPr>
            </w:pPr>
            <w:r>
              <w:rPr>
                <w:rFonts w:ascii="Book Antiqua" w:hAnsi="Book Antiqua" w:eastAsia="等线" w:cs="宋体"/>
                <w:b/>
                <w:color w:val="000000"/>
              </w:rPr>
              <w:t>Predict endoscopic relapse at week 108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539" w:type="dxa"/>
            <w:vMerge w:val="continue"/>
            <w:vAlign w:val="center"/>
          </w:tcPr>
          <w:p>
            <w:pPr>
              <w:spacing w:line="360" w:lineRule="auto"/>
              <w:jc w:val="both"/>
              <w:rPr>
                <w:rFonts w:ascii="Book Antiqua" w:hAnsi="Book Antiqua" w:eastAsia="等线" w:cs="宋体"/>
                <w:b/>
                <w:bCs/>
                <w:color w:val="000000"/>
              </w:rPr>
            </w:pPr>
          </w:p>
        </w:tc>
        <w:tc>
          <w:tcPr>
            <w:tcW w:w="3443" w:type="dxa"/>
            <w:gridSpan w:val="2"/>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cs="宋体"/>
                <w:b/>
                <w:color w:val="000000"/>
              </w:rPr>
            </w:pPr>
            <w:r>
              <w:rPr>
                <w:rFonts w:ascii="Book Antiqua" w:hAnsi="Book Antiqua" w:eastAsia="等线" w:cs="宋体"/>
                <w:b/>
                <w:color w:val="000000"/>
              </w:rPr>
              <w:t>Univariate analysis</w:t>
            </w:r>
          </w:p>
        </w:tc>
        <w:tc>
          <w:tcPr>
            <w:tcW w:w="3167" w:type="dxa"/>
            <w:gridSpan w:val="2"/>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cs="宋体"/>
                <w:b/>
                <w:color w:val="000000"/>
              </w:rPr>
            </w:pPr>
            <w:r>
              <w:rPr>
                <w:rFonts w:ascii="Book Antiqua" w:hAnsi="Book Antiqua" w:eastAsia="等线" w:cs="宋体"/>
                <w:b/>
                <w:color w:val="000000"/>
              </w:rPr>
              <w:t>Multivariable analysis</w:t>
            </w:r>
          </w:p>
        </w:tc>
        <w:tc>
          <w:tcPr>
            <w:tcW w:w="3363" w:type="dxa"/>
            <w:gridSpan w:val="2"/>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cs="宋体"/>
                <w:b/>
                <w:color w:val="000000"/>
              </w:rPr>
            </w:pPr>
            <w:r>
              <w:rPr>
                <w:rFonts w:ascii="Book Antiqua" w:hAnsi="Book Antiqua" w:eastAsia="等线" w:cs="宋体"/>
                <w:b/>
                <w:color w:val="000000"/>
              </w:rPr>
              <w:t>Univariate analysis</w:t>
            </w:r>
          </w:p>
        </w:tc>
        <w:tc>
          <w:tcPr>
            <w:tcW w:w="3043" w:type="dxa"/>
            <w:gridSpan w:val="2"/>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cs="宋体"/>
                <w:b/>
                <w:color w:val="000000"/>
              </w:rPr>
            </w:pPr>
            <w:r>
              <w:rPr>
                <w:rFonts w:ascii="Book Antiqua" w:hAnsi="Book Antiqua" w:eastAsia="等线" w:cs="宋体"/>
                <w:b/>
                <w:color w:val="000000"/>
              </w:rPr>
              <w:t>Multivariable analysis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539" w:type="dxa"/>
            <w:vMerge w:val="continue"/>
            <w:tcBorders>
              <w:bottom w:val="single" w:color="auto" w:sz="4" w:space="0"/>
            </w:tcBorders>
            <w:vAlign w:val="center"/>
          </w:tcPr>
          <w:p>
            <w:pPr>
              <w:spacing w:line="360" w:lineRule="auto"/>
              <w:jc w:val="both"/>
              <w:rPr>
                <w:rFonts w:ascii="Book Antiqua" w:hAnsi="Book Antiqua" w:eastAsia="等线" w:cs="宋体"/>
                <w:b/>
                <w:bCs/>
                <w:color w:val="000000"/>
              </w:rPr>
            </w:pPr>
          </w:p>
        </w:tc>
        <w:tc>
          <w:tcPr>
            <w:tcW w:w="2552"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cs="宋体"/>
                <w:b/>
                <w:color w:val="000000"/>
              </w:rPr>
            </w:pPr>
            <w:r>
              <w:rPr>
                <w:rFonts w:ascii="Book Antiqua" w:hAnsi="Book Antiqua" w:eastAsia="等线" w:cs="宋体"/>
                <w:b/>
                <w:color w:val="000000"/>
              </w:rPr>
              <w:t>OR (95%CI)</w:t>
            </w:r>
          </w:p>
        </w:tc>
        <w:tc>
          <w:tcPr>
            <w:tcW w:w="891"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cs="宋体"/>
                <w:b/>
                <w:iCs/>
                <w:color w:val="000000"/>
              </w:rPr>
            </w:pPr>
            <w:r>
              <w:rPr>
                <w:rFonts w:ascii="Book Antiqua" w:hAnsi="Book Antiqua" w:eastAsia="等线" w:cs="宋体"/>
                <w:b/>
                <w:i/>
                <w:iCs/>
                <w:color w:val="000000"/>
              </w:rPr>
              <w:t>P</w:t>
            </w:r>
            <w:r>
              <w:rPr>
                <w:rFonts w:ascii="Book Antiqua" w:hAnsi="Book Antiqua" w:eastAsia="等线" w:cs="宋体"/>
                <w:b/>
                <w:iCs/>
                <w:color w:val="000000"/>
              </w:rPr>
              <w:t xml:space="preserve"> value</w:t>
            </w:r>
          </w:p>
        </w:tc>
        <w:tc>
          <w:tcPr>
            <w:tcW w:w="2351"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cs="宋体"/>
                <w:b/>
                <w:color w:val="000000"/>
              </w:rPr>
            </w:pPr>
            <w:r>
              <w:rPr>
                <w:rFonts w:ascii="Book Antiqua" w:hAnsi="Book Antiqua" w:eastAsia="等线" w:cs="宋体"/>
                <w:b/>
                <w:color w:val="000000"/>
              </w:rPr>
              <w:t xml:space="preserve">OR (95%CI) </w:t>
            </w:r>
          </w:p>
        </w:tc>
        <w:tc>
          <w:tcPr>
            <w:tcW w:w="816"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cs="宋体"/>
                <w:b/>
                <w:iCs/>
                <w:color w:val="000000"/>
              </w:rPr>
            </w:pPr>
            <w:r>
              <w:rPr>
                <w:rFonts w:ascii="Book Antiqua" w:hAnsi="Book Antiqua" w:eastAsia="等线" w:cs="宋体"/>
                <w:b/>
                <w:i/>
                <w:iCs/>
                <w:color w:val="000000"/>
              </w:rPr>
              <w:t>P</w:t>
            </w:r>
            <w:r>
              <w:rPr>
                <w:rFonts w:ascii="Book Antiqua" w:hAnsi="Book Antiqua" w:eastAsia="等线" w:cs="宋体"/>
                <w:b/>
                <w:iCs/>
                <w:color w:val="000000"/>
              </w:rPr>
              <w:t xml:space="preserve"> value</w:t>
            </w:r>
          </w:p>
        </w:tc>
        <w:tc>
          <w:tcPr>
            <w:tcW w:w="2547"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cs="宋体"/>
                <w:b/>
                <w:color w:val="000000"/>
              </w:rPr>
            </w:pPr>
            <w:r>
              <w:rPr>
                <w:rFonts w:ascii="Book Antiqua" w:hAnsi="Book Antiqua" w:eastAsia="等线" w:cs="宋体"/>
                <w:b/>
                <w:color w:val="000000"/>
              </w:rPr>
              <w:t>OR (95%CI)</w:t>
            </w:r>
          </w:p>
        </w:tc>
        <w:tc>
          <w:tcPr>
            <w:tcW w:w="816"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cs="宋体"/>
                <w:b/>
                <w:iCs/>
                <w:color w:val="000000"/>
              </w:rPr>
            </w:pPr>
            <w:r>
              <w:rPr>
                <w:rFonts w:ascii="Book Antiqua" w:hAnsi="Book Antiqua" w:eastAsia="等线" w:cs="宋体"/>
                <w:b/>
                <w:i/>
                <w:iCs/>
                <w:color w:val="000000"/>
              </w:rPr>
              <w:t>P</w:t>
            </w:r>
            <w:r>
              <w:rPr>
                <w:rFonts w:ascii="Book Antiqua" w:hAnsi="Book Antiqua" w:eastAsia="等线" w:cs="宋体"/>
                <w:b/>
                <w:iCs/>
                <w:color w:val="000000"/>
              </w:rPr>
              <w:t xml:space="preserve"> value</w:t>
            </w:r>
          </w:p>
        </w:tc>
        <w:tc>
          <w:tcPr>
            <w:tcW w:w="2227"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cs="宋体"/>
                <w:b/>
                <w:color w:val="000000"/>
              </w:rPr>
            </w:pPr>
            <w:r>
              <w:rPr>
                <w:rFonts w:ascii="Book Antiqua" w:hAnsi="Book Antiqua" w:eastAsia="等线" w:cs="宋体"/>
                <w:b/>
                <w:color w:val="000000"/>
              </w:rPr>
              <w:t>OR (95%CI)</w:t>
            </w:r>
          </w:p>
        </w:tc>
        <w:tc>
          <w:tcPr>
            <w:tcW w:w="816" w:type="dxa"/>
            <w:tcBorders>
              <w:top w:val="single" w:color="auto" w:sz="4" w:space="0"/>
              <w:bottom w:val="single" w:color="auto" w:sz="4" w:space="0"/>
            </w:tcBorders>
            <w:shd w:val="clear" w:color="auto" w:fill="auto"/>
            <w:noWrap/>
            <w:vAlign w:val="center"/>
          </w:tcPr>
          <w:p>
            <w:pPr>
              <w:spacing w:line="360" w:lineRule="auto"/>
              <w:jc w:val="both"/>
              <w:rPr>
                <w:rFonts w:ascii="Book Antiqua" w:hAnsi="Book Antiqua" w:eastAsia="等线" w:cs="宋体"/>
                <w:b/>
                <w:i/>
                <w:iCs/>
                <w:color w:val="000000"/>
              </w:rPr>
            </w:pPr>
            <w:r>
              <w:rPr>
                <w:rFonts w:ascii="Book Antiqua" w:hAnsi="Book Antiqua" w:eastAsia="等线" w:cs="宋体"/>
                <w:b/>
                <w:i/>
                <w:iCs/>
                <w:color w:val="000000"/>
              </w:rPr>
              <w:t>P</w:t>
            </w:r>
            <w:r>
              <w:rPr>
                <w:rFonts w:ascii="Book Antiqua" w:hAnsi="Book Antiqua" w:eastAsia="等线" w:cs="宋体"/>
                <w:b/>
                <w:iCs/>
                <w:color w:val="000000"/>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539" w:type="dxa"/>
            <w:tcBorders>
              <w:top w:val="single" w:color="auto" w:sz="4" w:space="0"/>
            </w:tcBorders>
            <w:shd w:val="clear" w:color="000000" w:fill="FFFFFF"/>
            <w:noWrap/>
            <w:vAlign w:val="bottom"/>
          </w:tcPr>
          <w:p>
            <w:pPr>
              <w:spacing w:line="360" w:lineRule="auto"/>
              <w:jc w:val="both"/>
              <w:rPr>
                <w:rFonts w:ascii="Book Antiqua" w:hAnsi="Book Antiqua" w:eastAsia="等线" w:cs="宋体"/>
                <w:bCs/>
                <w:color w:val="000000"/>
              </w:rPr>
            </w:pPr>
            <w:r>
              <w:rPr>
                <w:rFonts w:ascii="Book Antiqua" w:hAnsi="Book Antiqua" w:eastAsia="等线" w:cs="宋体"/>
                <w:bCs/>
                <w:color w:val="000000"/>
              </w:rPr>
              <w:t>Median age in y</w:t>
            </w:r>
            <w:r>
              <w:rPr>
                <w:rFonts w:hint="eastAsia" w:ascii="Book Antiqua" w:hAnsi="Book Antiqua" w:eastAsia="等线" w:cs="宋体"/>
                <w:bCs/>
                <w:color w:val="000000"/>
                <w:lang w:eastAsia="zh-CN"/>
              </w:rPr>
              <w:t>ea</w:t>
            </w:r>
            <w:r>
              <w:rPr>
                <w:rFonts w:ascii="Book Antiqua" w:hAnsi="Book Antiqua" w:eastAsia="等线" w:cs="宋体"/>
                <w:bCs/>
                <w:color w:val="000000"/>
              </w:rPr>
              <w:t>r, median (IQR)</w:t>
            </w:r>
          </w:p>
        </w:tc>
        <w:tc>
          <w:tcPr>
            <w:tcW w:w="2552" w:type="dxa"/>
            <w:tcBorders>
              <w:top w:val="single" w:color="auto" w:sz="4" w:space="0"/>
            </w:tcBorders>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0.997 (0.950-1.047)</w:t>
            </w:r>
          </w:p>
        </w:tc>
        <w:tc>
          <w:tcPr>
            <w:tcW w:w="891" w:type="dxa"/>
            <w:tcBorders>
              <w:top w:val="single" w:color="auto" w:sz="4" w:space="0"/>
            </w:tcBorders>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0.904</w:t>
            </w:r>
          </w:p>
        </w:tc>
        <w:tc>
          <w:tcPr>
            <w:tcW w:w="2351" w:type="dxa"/>
            <w:tcBorders>
              <w:top w:val="single" w:color="auto" w:sz="4" w:space="0"/>
            </w:tcBorders>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tcBorders>
              <w:top w:val="single" w:color="auto" w:sz="4" w:space="0"/>
            </w:tcBorders>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c>
          <w:tcPr>
            <w:tcW w:w="2547" w:type="dxa"/>
            <w:tcBorders>
              <w:top w:val="single" w:color="auto" w:sz="4" w:space="0"/>
            </w:tcBorders>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1.028 (0.967-1.093)</w:t>
            </w:r>
          </w:p>
        </w:tc>
        <w:tc>
          <w:tcPr>
            <w:tcW w:w="816" w:type="dxa"/>
            <w:tcBorders>
              <w:top w:val="single" w:color="auto" w:sz="4" w:space="0"/>
            </w:tcBorders>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0.381</w:t>
            </w:r>
          </w:p>
        </w:tc>
        <w:tc>
          <w:tcPr>
            <w:tcW w:w="2227" w:type="dxa"/>
            <w:tcBorders>
              <w:top w:val="single" w:color="auto" w:sz="4" w:space="0"/>
            </w:tcBorders>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tcBorders>
              <w:top w:val="single" w:color="auto" w:sz="4" w:space="0"/>
            </w:tcBorders>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539" w:type="dxa"/>
            <w:shd w:val="clear" w:color="000000" w:fill="FFFFFF"/>
            <w:noWrap/>
            <w:vAlign w:val="bottom"/>
          </w:tcPr>
          <w:p>
            <w:pPr>
              <w:spacing w:line="360" w:lineRule="auto"/>
              <w:jc w:val="both"/>
              <w:rPr>
                <w:rFonts w:ascii="Book Antiqua" w:hAnsi="Book Antiqua" w:eastAsia="等线" w:cs="宋体"/>
                <w:bCs/>
                <w:color w:val="000000"/>
              </w:rPr>
            </w:pPr>
            <w:r>
              <w:rPr>
                <w:rFonts w:ascii="Book Antiqua" w:hAnsi="Book Antiqua" w:eastAsia="等线" w:cs="宋体"/>
                <w:bCs/>
                <w:color w:val="000000"/>
              </w:rPr>
              <w:t>Course in year, median (IQR)</w:t>
            </w:r>
          </w:p>
        </w:tc>
        <w:tc>
          <w:tcPr>
            <w:tcW w:w="2552"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1.054 (0.945-1.176)</w:t>
            </w:r>
          </w:p>
        </w:tc>
        <w:tc>
          <w:tcPr>
            <w:tcW w:w="891"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0.346</w:t>
            </w:r>
          </w:p>
        </w:tc>
        <w:tc>
          <w:tcPr>
            <w:tcW w:w="2351"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c>
          <w:tcPr>
            <w:tcW w:w="254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1.065 (0.906-1.253)</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0.444</w:t>
            </w:r>
          </w:p>
        </w:tc>
        <w:tc>
          <w:tcPr>
            <w:tcW w:w="222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539" w:type="dxa"/>
            <w:shd w:val="clear" w:color="000000" w:fill="FFFFFF"/>
            <w:noWrap/>
            <w:vAlign w:val="bottom"/>
          </w:tcPr>
          <w:p>
            <w:pPr>
              <w:spacing w:line="360" w:lineRule="auto"/>
              <w:jc w:val="both"/>
              <w:rPr>
                <w:rFonts w:ascii="Book Antiqua" w:hAnsi="Book Antiqua" w:eastAsia="等线" w:cs="宋体"/>
                <w:bCs/>
                <w:color w:val="000000"/>
              </w:rPr>
            </w:pPr>
            <w:r>
              <w:rPr>
                <w:rFonts w:ascii="Book Antiqua" w:hAnsi="Book Antiqua" w:eastAsia="等线" w:cs="宋体"/>
                <w:bCs/>
                <w:color w:val="000000"/>
              </w:rPr>
              <w:t xml:space="preserve">Male sex, </w:t>
            </w:r>
            <w:r>
              <w:rPr>
                <w:rFonts w:ascii="Book Antiqua" w:hAnsi="Book Antiqua" w:eastAsia="等线" w:cs="宋体"/>
                <w:bCs/>
                <w:i/>
                <w:color w:val="000000"/>
              </w:rPr>
              <w:t xml:space="preserve">n </w:t>
            </w:r>
            <w:r>
              <w:rPr>
                <w:rFonts w:ascii="Book Antiqua" w:hAnsi="Book Antiqua" w:eastAsia="等线" w:cs="宋体"/>
                <w:bCs/>
                <w:color w:val="000000"/>
              </w:rPr>
              <w:t>(%)</w:t>
            </w:r>
          </w:p>
        </w:tc>
        <w:tc>
          <w:tcPr>
            <w:tcW w:w="2552"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0.478 (0.191-1.199)</w:t>
            </w:r>
          </w:p>
        </w:tc>
        <w:tc>
          <w:tcPr>
            <w:tcW w:w="891"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0.116</w:t>
            </w:r>
          </w:p>
        </w:tc>
        <w:tc>
          <w:tcPr>
            <w:tcW w:w="2351"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c>
          <w:tcPr>
            <w:tcW w:w="254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0.700 (0.188-2.607)</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0.595</w:t>
            </w:r>
          </w:p>
        </w:tc>
        <w:tc>
          <w:tcPr>
            <w:tcW w:w="222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539" w:type="dxa"/>
            <w:shd w:val="clear" w:color="000000" w:fill="FFFFFF"/>
            <w:noWrap/>
            <w:vAlign w:val="bottom"/>
          </w:tcPr>
          <w:p>
            <w:pPr>
              <w:spacing w:line="360" w:lineRule="auto"/>
              <w:jc w:val="both"/>
              <w:rPr>
                <w:rFonts w:ascii="Book Antiqua" w:hAnsi="Book Antiqua" w:eastAsia="等线" w:cs="宋体"/>
                <w:bCs/>
                <w:color w:val="000000"/>
              </w:rPr>
            </w:pPr>
            <w:r>
              <w:rPr>
                <w:rFonts w:ascii="Book Antiqua" w:hAnsi="Book Antiqua" w:eastAsia="等线" w:cs="宋体"/>
                <w:bCs/>
                <w:color w:val="000000"/>
              </w:rPr>
              <w:t xml:space="preserve">Disease location, </w:t>
            </w:r>
            <w:r>
              <w:rPr>
                <w:rFonts w:ascii="Book Antiqua" w:hAnsi="Book Antiqua" w:eastAsia="等线" w:cs="宋体"/>
                <w:bCs/>
                <w:i/>
                <w:color w:val="000000"/>
              </w:rPr>
              <w:t xml:space="preserve">n </w:t>
            </w:r>
            <w:r>
              <w:rPr>
                <w:rFonts w:ascii="Book Antiqua" w:hAnsi="Book Antiqua" w:eastAsia="等线" w:cs="宋体"/>
                <w:bCs/>
                <w:color w:val="000000"/>
              </w:rPr>
              <w:t>(%)</w:t>
            </w:r>
          </w:p>
        </w:tc>
        <w:tc>
          <w:tcPr>
            <w:tcW w:w="2552" w:type="dxa"/>
            <w:shd w:val="clear" w:color="000000" w:fill="FFFFFF"/>
            <w:noWrap/>
            <w:vAlign w:val="center"/>
          </w:tcPr>
          <w:p>
            <w:pPr>
              <w:spacing w:line="360" w:lineRule="auto"/>
              <w:jc w:val="both"/>
              <w:rPr>
                <w:rFonts w:hint="eastAsia" w:ascii="Book Antiqua" w:hAnsi="Book Antiqua" w:eastAsia="等线" w:cs="宋体"/>
                <w:color w:val="000000"/>
                <w:lang w:eastAsia="zh-CN"/>
              </w:rPr>
            </w:pPr>
          </w:p>
        </w:tc>
        <w:tc>
          <w:tcPr>
            <w:tcW w:w="891" w:type="dxa"/>
            <w:shd w:val="clear" w:color="000000" w:fill="FFFFFF"/>
            <w:noWrap/>
            <w:vAlign w:val="center"/>
          </w:tcPr>
          <w:p>
            <w:pPr>
              <w:spacing w:line="360" w:lineRule="auto"/>
              <w:jc w:val="both"/>
              <w:rPr>
                <w:rFonts w:hint="eastAsia" w:ascii="Book Antiqua" w:hAnsi="Book Antiqua" w:eastAsia="等线" w:cs="宋体"/>
                <w:iCs/>
                <w:color w:val="000000"/>
                <w:lang w:eastAsia="zh-CN"/>
              </w:rPr>
            </w:pPr>
          </w:p>
        </w:tc>
        <w:tc>
          <w:tcPr>
            <w:tcW w:w="2351" w:type="dxa"/>
            <w:shd w:val="clear" w:color="000000" w:fill="FFFFFF"/>
            <w:noWrap/>
            <w:vAlign w:val="center"/>
          </w:tcPr>
          <w:p>
            <w:pPr>
              <w:spacing w:line="360" w:lineRule="auto"/>
              <w:jc w:val="both"/>
              <w:rPr>
                <w:rFonts w:hint="eastAsia" w:ascii="Book Antiqua" w:hAnsi="Book Antiqua" w:eastAsia="等线" w:cs="宋体"/>
                <w:color w:val="000000"/>
                <w:lang w:eastAsia="zh-CN"/>
              </w:rPr>
            </w:pPr>
          </w:p>
        </w:tc>
        <w:tc>
          <w:tcPr>
            <w:tcW w:w="816" w:type="dxa"/>
            <w:shd w:val="clear" w:color="000000" w:fill="FFFFFF"/>
            <w:noWrap/>
            <w:vAlign w:val="center"/>
          </w:tcPr>
          <w:p>
            <w:pPr>
              <w:spacing w:line="360" w:lineRule="auto"/>
              <w:jc w:val="both"/>
              <w:rPr>
                <w:rFonts w:hint="eastAsia" w:ascii="Book Antiqua" w:hAnsi="Book Antiqua" w:eastAsia="等线" w:cs="宋体"/>
                <w:iCs/>
                <w:color w:val="000000"/>
                <w:lang w:eastAsia="zh-CN"/>
              </w:rPr>
            </w:pPr>
          </w:p>
        </w:tc>
        <w:tc>
          <w:tcPr>
            <w:tcW w:w="2547" w:type="dxa"/>
            <w:shd w:val="clear" w:color="000000" w:fill="FFFFFF"/>
            <w:noWrap/>
            <w:vAlign w:val="center"/>
          </w:tcPr>
          <w:p>
            <w:pPr>
              <w:spacing w:line="360" w:lineRule="auto"/>
              <w:jc w:val="both"/>
              <w:rPr>
                <w:rFonts w:hint="eastAsia" w:ascii="Book Antiqua" w:hAnsi="Book Antiqua" w:eastAsia="等线" w:cs="宋体"/>
                <w:color w:val="000000"/>
                <w:lang w:eastAsia="zh-CN"/>
              </w:rPr>
            </w:pPr>
          </w:p>
        </w:tc>
        <w:tc>
          <w:tcPr>
            <w:tcW w:w="816" w:type="dxa"/>
            <w:shd w:val="clear" w:color="000000" w:fill="FFFFFF"/>
            <w:noWrap/>
            <w:vAlign w:val="center"/>
          </w:tcPr>
          <w:p>
            <w:pPr>
              <w:spacing w:line="360" w:lineRule="auto"/>
              <w:jc w:val="both"/>
              <w:rPr>
                <w:rFonts w:hint="eastAsia" w:ascii="Book Antiqua" w:hAnsi="Book Antiqua" w:eastAsia="等线" w:cs="宋体"/>
                <w:iCs/>
                <w:color w:val="000000"/>
                <w:lang w:eastAsia="zh-CN"/>
              </w:rPr>
            </w:pPr>
          </w:p>
        </w:tc>
        <w:tc>
          <w:tcPr>
            <w:tcW w:w="2227" w:type="dxa"/>
            <w:shd w:val="clear" w:color="000000" w:fill="FFFFFF"/>
            <w:noWrap/>
            <w:vAlign w:val="center"/>
          </w:tcPr>
          <w:p>
            <w:pPr>
              <w:spacing w:line="360" w:lineRule="auto"/>
              <w:jc w:val="both"/>
              <w:rPr>
                <w:rFonts w:hint="eastAsia" w:ascii="Book Antiqua" w:hAnsi="Book Antiqua" w:eastAsia="等线" w:cs="宋体"/>
                <w:color w:val="000000"/>
                <w:lang w:eastAsia="zh-CN"/>
              </w:rPr>
            </w:pPr>
          </w:p>
        </w:tc>
        <w:tc>
          <w:tcPr>
            <w:tcW w:w="816" w:type="dxa"/>
            <w:shd w:val="clear" w:color="000000" w:fill="FFFFFF"/>
            <w:noWrap/>
            <w:vAlign w:val="center"/>
          </w:tcPr>
          <w:p>
            <w:pPr>
              <w:spacing w:line="360" w:lineRule="auto"/>
              <w:jc w:val="both"/>
              <w:rPr>
                <w:rFonts w:hint="eastAsia" w:ascii="Book Antiqua" w:hAnsi="Book Antiqua" w:eastAsia="等线" w:cs="宋体"/>
                <w:iCs/>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539" w:type="dxa"/>
            <w:shd w:val="clear" w:color="000000" w:fill="FFFFFF"/>
            <w:noWrap/>
            <w:vAlign w:val="bottom"/>
          </w:tcPr>
          <w:p>
            <w:pPr>
              <w:spacing w:line="360" w:lineRule="auto"/>
              <w:ind w:firstLine="480" w:firstLineChars="200"/>
              <w:jc w:val="both"/>
              <w:rPr>
                <w:rFonts w:ascii="Book Antiqua" w:hAnsi="Book Antiqua" w:eastAsia="等线" w:cs="宋体"/>
                <w:color w:val="000000"/>
              </w:rPr>
            </w:pPr>
            <w:r>
              <w:rPr>
                <w:rFonts w:ascii="Book Antiqua" w:hAnsi="Book Antiqua" w:eastAsia="等线" w:cs="宋体"/>
                <w:color w:val="000000"/>
              </w:rPr>
              <w:t>L1 (terminal ileum)</w:t>
            </w:r>
          </w:p>
        </w:tc>
        <w:tc>
          <w:tcPr>
            <w:tcW w:w="2552"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0.413 (0.114-1.495)</w:t>
            </w:r>
          </w:p>
        </w:tc>
        <w:tc>
          <w:tcPr>
            <w:tcW w:w="891"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0.178</w:t>
            </w:r>
          </w:p>
        </w:tc>
        <w:tc>
          <w:tcPr>
            <w:tcW w:w="2351"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c>
          <w:tcPr>
            <w:tcW w:w="254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1.158 0.117-11.454)</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0.900</w:t>
            </w:r>
          </w:p>
        </w:tc>
        <w:tc>
          <w:tcPr>
            <w:tcW w:w="222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539" w:type="dxa"/>
            <w:shd w:val="clear" w:color="000000" w:fill="FFFFFF"/>
            <w:noWrap/>
            <w:vAlign w:val="bottom"/>
          </w:tcPr>
          <w:p>
            <w:pPr>
              <w:spacing w:line="360" w:lineRule="auto"/>
              <w:ind w:firstLine="480" w:firstLineChars="200"/>
              <w:jc w:val="both"/>
              <w:rPr>
                <w:rFonts w:ascii="Book Antiqua" w:hAnsi="Book Antiqua" w:eastAsia="等线" w:cs="宋体"/>
                <w:color w:val="000000"/>
              </w:rPr>
            </w:pPr>
            <w:r>
              <w:rPr>
                <w:rFonts w:ascii="Book Antiqua" w:hAnsi="Book Antiqua" w:eastAsia="等线" w:cs="宋体"/>
                <w:color w:val="000000"/>
              </w:rPr>
              <w:t>L2 (colon)</w:t>
            </w:r>
          </w:p>
        </w:tc>
        <w:tc>
          <w:tcPr>
            <w:tcW w:w="2552"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1.453 (0.430-4.908)</w:t>
            </w:r>
          </w:p>
        </w:tc>
        <w:tc>
          <w:tcPr>
            <w:tcW w:w="891"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0.548</w:t>
            </w:r>
          </w:p>
        </w:tc>
        <w:tc>
          <w:tcPr>
            <w:tcW w:w="2351"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c>
          <w:tcPr>
            <w:tcW w:w="254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3.000 (0.341-26.427)</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0.322</w:t>
            </w:r>
          </w:p>
        </w:tc>
        <w:tc>
          <w:tcPr>
            <w:tcW w:w="222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539" w:type="dxa"/>
            <w:shd w:val="clear" w:color="000000" w:fill="FFFFFF"/>
            <w:noWrap/>
            <w:vAlign w:val="bottom"/>
          </w:tcPr>
          <w:p>
            <w:pPr>
              <w:spacing w:line="360" w:lineRule="auto"/>
              <w:ind w:firstLine="480" w:firstLineChars="200"/>
              <w:jc w:val="both"/>
              <w:rPr>
                <w:rFonts w:ascii="Book Antiqua" w:hAnsi="Book Antiqua" w:eastAsia="等线" w:cs="宋体"/>
                <w:color w:val="000000"/>
              </w:rPr>
            </w:pPr>
            <w:r>
              <w:rPr>
                <w:rFonts w:ascii="Book Antiqua" w:hAnsi="Book Antiqua" w:eastAsia="等线" w:cs="宋体"/>
                <w:color w:val="000000"/>
              </w:rPr>
              <w:t>L3 (ileocolon)</w:t>
            </w:r>
          </w:p>
        </w:tc>
        <w:tc>
          <w:tcPr>
            <w:tcW w:w="2552"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91"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c>
          <w:tcPr>
            <w:tcW w:w="2351"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c>
          <w:tcPr>
            <w:tcW w:w="254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c>
          <w:tcPr>
            <w:tcW w:w="222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539" w:type="dxa"/>
            <w:shd w:val="clear" w:color="000000" w:fill="FFFFFF"/>
            <w:noWrap/>
            <w:vAlign w:val="bottom"/>
          </w:tcPr>
          <w:p>
            <w:pPr>
              <w:spacing w:line="360" w:lineRule="auto"/>
              <w:ind w:firstLine="480" w:firstLineChars="200"/>
              <w:jc w:val="both"/>
              <w:rPr>
                <w:rFonts w:ascii="Book Antiqua" w:hAnsi="Book Antiqua" w:eastAsia="等线" w:cs="宋体"/>
                <w:color w:val="000000"/>
              </w:rPr>
            </w:pPr>
            <w:r>
              <w:rPr>
                <w:rFonts w:ascii="Book Antiqua" w:hAnsi="Book Antiqua" w:eastAsia="等线" w:cs="宋体"/>
                <w:color w:val="000000"/>
              </w:rPr>
              <w:t>L4 (upper digestive tract)</w:t>
            </w:r>
          </w:p>
        </w:tc>
        <w:tc>
          <w:tcPr>
            <w:tcW w:w="2552"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1.277 (0.452-3.612)</w:t>
            </w:r>
          </w:p>
        </w:tc>
        <w:tc>
          <w:tcPr>
            <w:tcW w:w="891"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0.645</w:t>
            </w:r>
          </w:p>
        </w:tc>
        <w:tc>
          <w:tcPr>
            <w:tcW w:w="2351"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c>
          <w:tcPr>
            <w:tcW w:w="254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0.939 (0.215-4.113）</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0.934</w:t>
            </w:r>
          </w:p>
        </w:tc>
        <w:tc>
          <w:tcPr>
            <w:tcW w:w="222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539" w:type="dxa"/>
            <w:shd w:val="clear" w:color="000000" w:fill="FFFFFF"/>
            <w:noWrap/>
            <w:vAlign w:val="bottom"/>
          </w:tcPr>
          <w:p>
            <w:pPr>
              <w:spacing w:line="360" w:lineRule="auto"/>
              <w:jc w:val="both"/>
              <w:rPr>
                <w:rFonts w:ascii="Book Antiqua" w:hAnsi="Book Antiqua" w:eastAsia="等线" w:cs="宋体"/>
                <w:bCs/>
                <w:color w:val="000000"/>
              </w:rPr>
            </w:pPr>
            <w:r>
              <w:rPr>
                <w:rFonts w:ascii="Book Antiqua" w:hAnsi="Book Antiqua" w:eastAsia="等线" w:cs="宋体"/>
                <w:bCs/>
                <w:color w:val="000000"/>
              </w:rPr>
              <w:t xml:space="preserve">Disease behavior, </w:t>
            </w:r>
            <w:r>
              <w:rPr>
                <w:rFonts w:ascii="Book Antiqua" w:hAnsi="Book Antiqua" w:eastAsia="等线" w:cs="宋体"/>
                <w:bCs/>
                <w:i/>
                <w:color w:val="000000"/>
              </w:rPr>
              <w:t xml:space="preserve">n </w:t>
            </w:r>
            <w:r>
              <w:rPr>
                <w:rFonts w:ascii="Book Antiqua" w:hAnsi="Book Antiqua" w:eastAsia="等线" w:cs="宋体"/>
                <w:bCs/>
                <w:color w:val="000000"/>
              </w:rPr>
              <w:t>(%)</w:t>
            </w:r>
          </w:p>
        </w:tc>
        <w:tc>
          <w:tcPr>
            <w:tcW w:w="2552" w:type="dxa"/>
            <w:shd w:val="clear" w:color="000000" w:fill="FFFFFF"/>
            <w:noWrap/>
            <w:vAlign w:val="center"/>
          </w:tcPr>
          <w:p>
            <w:pPr>
              <w:spacing w:line="360" w:lineRule="auto"/>
              <w:jc w:val="both"/>
              <w:rPr>
                <w:rFonts w:hint="eastAsia" w:ascii="Book Antiqua" w:hAnsi="Book Antiqua" w:eastAsia="等线" w:cs="宋体"/>
                <w:color w:val="000000"/>
                <w:lang w:eastAsia="zh-CN"/>
              </w:rPr>
            </w:pPr>
          </w:p>
        </w:tc>
        <w:tc>
          <w:tcPr>
            <w:tcW w:w="891" w:type="dxa"/>
            <w:shd w:val="clear" w:color="000000" w:fill="FFFFFF"/>
            <w:noWrap/>
            <w:vAlign w:val="center"/>
          </w:tcPr>
          <w:p>
            <w:pPr>
              <w:spacing w:line="360" w:lineRule="auto"/>
              <w:jc w:val="both"/>
              <w:rPr>
                <w:rFonts w:hint="eastAsia" w:ascii="Book Antiqua" w:hAnsi="Book Antiqua" w:eastAsia="等线" w:cs="宋体"/>
                <w:iCs/>
                <w:color w:val="000000"/>
                <w:lang w:eastAsia="zh-CN"/>
              </w:rPr>
            </w:pPr>
          </w:p>
        </w:tc>
        <w:tc>
          <w:tcPr>
            <w:tcW w:w="2351" w:type="dxa"/>
            <w:shd w:val="clear" w:color="000000" w:fill="FFFFFF"/>
            <w:noWrap/>
            <w:vAlign w:val="center"/>
          </w:tcPr>
          <w:p>
            <w:pPr>
              <w:spacing w:line="360" w:lineRule="auto"/>
              <w:jc w:val="both"/>
              <w:rPr>
                <w:rFonts w:hint="eastAsia" w:ascii="Book Antiqua" w:hAnsi="Book Antiqua" w:eastAsia="等线" w:cs="宋体"/>
                <w:color w:val="000000"/>
                <w:lang w:eastAsia="zh-CN"/>
              </w:rPr>
            </w:pPr>
          </w:p>
        </w:tc>
        <w:tc>
          <w:tcPr>
            <w:tcW w:w="816" w:type="dxa"/>
            <w:shd w:val="clear" w:color="000000" w:fill="FFFFFF"/>
            <w:noWrap/>
            <w:vAlign w:val="center"/>
          </w:tcPr>
          <w:p>
            <w:pPr>
              <w:spacing w:line="360" w:lineRule="auto"/>
              <w:jc w:val="both"/>
              <w:rPr>
                <w:rFonts w:hint="eastAsia" w:ascii="Book Antiqua" w:hAnsi="Book Antiqua" w:eastAsia="等线" w:cs="宋体"/>
                <w:iCs/>
                <w:color w:val="000000"/>
                <w:lang w:eastAsia="zh-CN"/>
              </w:rPr>
            </w:pPr>
          </w:p>
        </w:tc>
        <w:tc>
          <w:tcPr>
            <w:tcW w:w="2547" w:type="dxa"/>
            <w:shd w:val="clear" w:color="000000" w:fill="FFFFFF"/>
            <w:noWrap/>
            <w:vAlign w:val="center"/>
          </w:tcPr>
          <w:p>
            <w:pPr>
              <w:spacing w:line="360" w:lineRule="auto"/>
              <w:jc w:val="both"/>
              <w:rPr>
                <w:rFonts w:hint="eastAsia" w:ascii="Book Antiqua" w:hAnsi="Book Antiqua" w:eastAsia="等线" w:cs="宋体"/>
                <w:color w:val="000000"/>
                <w:lang w:eastAsia="zh-CN"/>
              </w:rPr>
            </w:pPr>
          </w:p>
        </w:tc>
        <w:tc>
          <w:tcPr>
            <w:tcW w:w="816" w:type="dxa"/>
            <w:shd w:val="clear" w:color="000000" w:fill="FFFFFF"/>
            <w:noWrap/>
            <w:vAlign w:val="center"/>
          </w:tcPr>
          <w:p>
            <w:pPr>
              <w:spacing w:line="360" w:lineRule="auto"/>
              <w:jc w:val="both"/>
              <w:rPr>
                <w:rFonts w:hint="eastAsia" w:ascii="Book Antiqua" w:hAnsi="Book Antiqua" w:eastAsia="等线" w:cs="宋体"/>
                <w:iCs/>
                <w:color w:val="000000"/>
                <w:lang w:eastAsia="zh-CN"/>
              </w:rPr>
            </w:pPr>
          </w:p>
        </w:tc>
        <w:tc>
          <w:tcPr>
            <w:tcW w:w="2227" w:type="dxa"/>
            <w:shd w:val="clear" w:color="000000" w:fill="FFFFFF"/>
            <w:noWrap/>
            <w:vAlign w:val="center"/>
          </w:tcPr>
          <w:p>
            <w:pPr>
              <w:spacing w:line="360" w:lineRule="auto"/>
              <w:jc w:val="both"/>
              <w:rPr>
                <w:rFonts w:hint="eastAsia" w:ascii="Book Antiqua" w:hAnsi="Book Antiqua" w:eastAsia="等线" w:cs="宋体"/>
                <w:color w:val="000000"/>
                <w:lang w:eastAsia="zh-CN"/>
              </w:rPr>
            </w:pPr>
          </w:p>
        </w:tc>
        <w:tc>
          <w:tcPr>
            <w:tcW w:w="816" w:type="dxa"/>
            <w:shd w:val="clear" w:color="000000" w:fill="FFFFFF"/>
            <w:noWrap/>
            <w:vAlign w:val="center"/>
          </w:tcPr>
          <w:p>
            <w:pPr>
              <w:spacing w:line="360" w:lineRule="auto"/>
              <w:jc w:val="both"/>
              <w:rPr>
                <w:rFonts w:hint="eastAsia" w:ascii="Book Antiqua" w:hAnsi="Book Antiqua" w:eastAsia="等线" w:cs="宋体"/>
                <w:iCs/>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539" w:type="dxa"/>
            <w:shd w:val="clear" w:color="000000" w:fill="FFFFFF"/>
            <w:noWrap/>
            <w:vAlign w:val="bottom"/>
          </w:tcPr>
          <w:p>
            <w:pPr>
              <w:spacing w:line="360" w:lineRule="auto"/>
              <w:ind w:firstLine="480" w:firstLineChars="200"/>
              <w:jc w:val="both"/>
              <w:rPr>
                <w:rFonts w:ascii="Book Antiqua" w:hAnsi="Book Antiqua" w:eastAsia="等线" w:cs="宋体"/>
                <w:color w:val="000000"/>
              </w:rPr>
            </w:pPr>
            <w:r>
              <w:rPr>
                <w:rFonts w:ascii="Book Antiqua" w:hAnsi="Book Antiqua" w:eastAsia="等线" w:cs="宋体"/>
                <w:color w:val="000000"/>
              </w:rPr>
              <w:t>B1 (no)</w:t>
            </w:r>
          </w:p>
        </w:tc>
        <w:tc>
          <w:tcPr>
            <w:tcW w:w="2552"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91"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c>
          <w:tcPr>
            <w:tcW w:w="2351"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c>
          <w:tcPr>
            <w:tcW w:w="254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c>
          <w:tcPr>
            <w:tcW w:w="222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539" w:type="dxa"/>
            <w:shd w:val="clear" w:color="000000" w:fill="FFFFFF"/>
            <w:noWrap/>
            <w:vAlign w:val="bottom"/>
          </w:tcPr>
          <w:p>
            <w:pPr>
              <w:spacing w:line="360" w:lineRule="auto"/>
              <w:ind w:firstLine="480" w:firstLineChars="200"/>
              <w:jc w:val="both"/>
              <w:rPr>
                <w:rFonts w:ascii="Book Antiqua" w:hAnsi="Book Antiqua" w:eastAsia="等线" w:cs="宋体"/>
                <w:color w:val="000000"/>
              </w:rPr>
            </w:pPr>
            <w:r>
              <w:rPr>
                <w:rFonts w:ascii="Book Antiqua" w:hAnsi="Book Antiqua" w:eastAsia="等线" w:cs="宋体"/>
                <w:color w:val="000000"/>
              </w:rPr>
              <w:t>B2 (stenosis)</w:t>
            </w:r>
          </w:p>
        </w:tc>
        <w:tc>
          <w:tcPr>
            <w:tcW w:w="2552"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0.889 (0.345-2.294)</w:t>
            </w:r>
          </w:p>
        </w:tc>
        <w:tc>
          <w:tcPr>
            <w:tcW w:w="891"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0.808</w:t>
            </w:r>
          </w:p>
        </w:tc>
        <w:tc>
          <w:tcPr>
            <w:tcW w:w="2351"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c>
          <w:tcPr>
            <w:tcW w:w="254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0.600 (0.141-2.561)</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0.490</w:t>
            </w:r>
          </w:p>
        </w:tc>
        <w:tc>
          <w:tcPr>
            <w:tcW w:w="222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539" w:type="dxa"/>
            <w:shd w:val="clear" w:color="000000" w:fill="FFFFFF"/>
            <w:noWrap/>
            <w:vAlign w:val="bottom"/>
          </w:tcPr>
          <w:p>
            <w:pPr>
              <w:spacing w:line="360" w:lineRule="auto"/>
              <w:ind w:firstLine="480" w:firstLineChars="200"/>
              <w:jc w:val="both"/>
              <w:rPr>
                <w:rFonts w:ascii="Book Antiqua" w:hAnsi="Book Antiqua" w:eastAsia="等线" w:cs="宋体"/>
                <w:color w:val="000000"/>
              </w:rPr>
            </w:pPr>
            <w:r>
              <w:rPr>
                <w:rFonts w:ascii="Book Antiqua" w:hAnsi="Book Antiqua" w:eastAsia="等线" w:cs="宋体"/>
                <w:color w:val="000000"/>
              </w:rPr>
              <w:t>B3 (penetration)</w:t>
            </w:r>
          </w:p>
        </w:tc>
        <w:tc>
          <w:tcPr>
            <w:tcW w:w="2552"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1.860 (0.658-5.264)</w:t>
            </w:r>
          </w:p>
        </w:tc>
        <w:tc>
          <w:tcPr>
            <w:tcW w:w="891"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0.242</w:t>
            </w:r>
          </w:p>
        </w:tc>
        <w:tc>
          <w:tcPr>
            <w:tcW w:w="2351"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c>
          <w:tcPr>
            <w:tcW w:w="254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0.700 (0.188-2.607)</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0.595</w:t>
            </w:r>
          </w:p>
        </w:tc>
        <w:tc>
          <w:tcPr>
            <w:tcW w:w="222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539" w:type="dxa"/>
            <w:shd w:val="clear" w:color="000000" w:fill="FFFFFF"/>
            <w:noWrap/>
            <w:vAlign w:val="bottom"/>
          </w:tcPr>
          <w:p>
            <w:pPr>
              <w:spacing w:line="360" w:lineRule="auto"/>
              <w:ind w:firstLine="480" w:firstLineChars="200"/>
              <w:jc w:val="both"/>
              <w:rPr>
                <w:rFonts w:ascii="Book Antiqua" w:hAnsi="Book Antiqua" w:eastAsia="等线" w:cs="宋体"/>
                <w:color w:val="000000"/>
              </w:rPr>
            </w:pPr>
            <w:r>
              <w:rPr>
                <w:rFonts w:ascii="Book Antiqua" w:hAnsi="Book Antiqua" w:eastAsia="等线" w:cs="宋体"/>
                <w:color w:val="000000"/>
              </w:rPr>
              <w:t>B2 (stenosis)</w:t>
            </w:r>
            <w:r>
              <w:rPr>
                <w:rFonts w:hint="eastAsia" w:ascii="Book Antiqua" w:hAnsi="Book Antiqua" w:eastAsia="等线" w:cs="宋体"/>
                <w:color w:val="000000"/>
                <w:lang w:eastAsia="zh-CN"/>
              </w:rPr>
              <w:t xml:space="preserve"> </w:t>
            </w:r>
            <w:r>
              <w:rPr>
                <w:rFonts w:ascii="Book Antiqua" w:hAnsi="Book Antiqua" w:eastAsia="等线" w:cs="宋体"/>
                <w:color w:val="000000"/>
              </w:rPr>
              <w:t>+</w:t>
            </w:r>
            <w:r>
              <w:rPr>
                <w:rFonts w:hint="eastAsia" w:ascii="Book Antiqua" w:hAnsi="Book Antiqua" w:eastAsia="等线" w:cs="宋体"/>
                <w:color w:val="000000"/>
                <w:lang w:eastAsia="zh-CN"/>
              </w:rPr>
              <w:t xml:space="preserve"> </w:t>
            </w:r>
            <w:r>
              <w:rPr>
                <w:rFonts w:ascii="Book Antiqua" w:hAnsi="Book Antiqua" w:eastAsia="等线" w:cs="宋体"/>
                <w:color w:val="000000"/>
              </w:rPr>
              <w:t>B3 (penetration)</w:t>
            </w:r>
          </w:p>
        </w:tc>
        <w:tc>
          <w:tcPr>
            <w:tcW w:w="2552"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91"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c>
          <w:tcPr>
            <w:tcW w:w="2351"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c>
          <w:tcPr>
            <w:tcW w:w="254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c>
          <w:tcPr>
            <w:tcW w:w="222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539" w:type="dxa"/>
            <w:shd w:val="clear" w:color="000000" w:fill="FFFFFF"/>
            <w:noWrap/>
            <w:vAlign w:val="bottom"/>
          </w:tcPr>
          <w:p>
            <w:pPr>
              <w:spacing w:line="360" w:lineRule="auto"/>
              <w:jc w:val="both"/>
              <w:rPr>
                <w:rFonts w:ascii="Book Antiqua" w:hAnsi="Book Antiqua" w:eastAsia="等线" w:cs="宋体"/>
                <w:bCs/>
                <w:color w:val="000000"/>
              </w:rPr>
            </w:pPr>
            <w:r>
              <w:rPr>
                <w:rFonts w:ascii="Book Antiqua" w:hAnsi="Book Antiqua" w:eastAsia="等线" w:cs="宋体"/>
                <w:bCs/>
                <w:color w:val="000000"/>
              </w:rPr>
              <w:t xml:space="preserve">Perianal diseases, </w:t>
            </w:r>
            <w:r>
              <w:rPr>
                <w:rFonts w:ascii="Book Antiqua" w:hAnsi="Book Antiqua" w:eastAsia="等线" w:cs="宋体"/>
                <w:bCs/>
                <w:i/>
                <w:color w:val="000000"/>
              </w:rPr>
              <w:t xml:space="preserve">n </w:t>
            </w:r>
            <w:r>
              <w:rPr>
                <w:rFonts w:ascii="Book Antiqua" w:hAnsi="Book Antiqua" w:eastAsia="等线" w:cs="宋体"/>
                <w:bCs/>
                <w:color w:val="000000"/>
              </w:rPr>
              <w:t>(%)</w:t>
            </w:r>
          </w:p>
        </w:tc>
        <w:tc>
          <w:tcPr>
            <w:tcW w:w="2552"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1.442 (0.562-3.696)</w:t>
            </w:r>
          </w:p>
        </w:tc>
        <w:tc>
          <w:tcPr>
            <w:tcW w:w="891"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0.446</w:t>
            </w:r>
          </w:p>
        </w:tc>
        <w:tc>
          <w:tcPr>
            <w:tcW w:w="2351"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c>
          <w:tcPr>
            <w:tcW w:w="254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0.952 (0.259-3.502)</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0.941</w:t>
            </w:r>
          </w:p>
        </w:tc>
        <w:tc>
          <w:tcPr>
            <w:tcW w:w="222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539" w:type="dxa"/>
            <w:shd w:val="clear" w:color="000000" w:fill="FFFFFF"/>
            <w:noWrap/>
            <w:vAlign w:val="bottom"/>
          </w:tcPr>
          <w:p>
            <w:pPr>
              <w:spacing w:line="360" w:lineRule="auto"/>
              <w:jc w:val="both"/>
              <w:rPr>
                <w:rFonts w:ascii="Book Antiqua" w:hAnsi="Book Antiqua" w:eastAsia="等线" w:cs="宋体"/>
                <w:bCs/>
                <w:color w:val="000000"/>
              </w:rPr>
            </w:pPr>
            <w:r>
              <w:rPr>
                <w:rFonts w:ascii="Book Antiqua" w:hAnsi="Book Antiqua" w:eastAsia="等线" w:cs="宋体"/>
                <w:bCs/>
                <w:color w:val="000000"/>
              </w:rPr>
              <w:t xml:space="preserve">Previous medical therapy, </w:t>
            </w:r>
            <w:r>
              <w:rPr>
                <w:rFonts w:ascii="Book Antiqua" w:hAnsi="Book Antiqua" w:eastAsia="等线" w:cs="宋体"/>
                <w:bCs/>
                <w:i/>
                <w:color w:val="000000"/>
              </w:rPr>
              <w:t xml:space="preserve">n </w:t>
            </w:r>
            <w:r>
              <w:rPr>
                <w:rFonts w:ascii="Book Antiqua" w:hAnsi="Book Antiqua" w:eastAsia="等线" w:cs="宋体"/>
                <w:bCs/>
                <w:color w:val="000000"/>
              </w:rPr>
              <w:t>(%)</w:t>
            </w:r>
          </w:p>
        </w:tc>
        <w:tc>
          <w:tcPr>
            <w:tcW w:w="2552"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1.027 (0.386-2.736)</w:t>
            </w:r>
          </w:p>
        </w:tc>
        <w:tc>
          <w:tcPr>
            <w:tcW w:w="891"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0.957</w:t>
            </w:r>
          </w:p>
        </w:tc>
        <w:tc>
          <w:tcPr>
            <w:tcW w:w="2351" w:type="dxa"/>
            <w:shd w:val="clear" w:color="000000" w:fill="FFFFFF"/>
            <w:noWrap/>
            <w:vAlign w:val="center"/>
          </w:tcPr>
          <w:p>
            <w:pPr>
              <w:spacing w:line="360" w:lineRule="auto"/>
              <w:jc w:val="both"/>
              <w:rPr>
                <w:rFonts w:hint="eastAsia" w:ascii="Book Antiqua" w:hAnsi="Book Antiqua" w:eastAsia="等线" w:cs="宋体"/>
                <w:color w:val="000000"/>
                <w:lang w:eastAsia="zh-CN"/>
              </w:rPr>
            </w:pPr>
          </w:p>
        </w:tc>
        <w:tc>
          <w:tcPr>
            <w:tcW w:w="816" w:type="dxa"/>
            <w:shd w:val="clear" w:color="000000" w:fill="FFFFFF"/>
            <w:noWrap/>
            <w:vAlign w:val="center"/>
          </w:tcPr>
          <w:p>
            <w:pPr>
              <w:spacing w:line="360" w:lineRule="auto"/>
              <w:jc w:val="both"/>
              <w:rPr>
                <w:rFonts w:hint="eastAsia" w:ascii="Book Antiqua" w:hAnsi="Book Antiqua" w:eastAsia="等线" w:cs="宋体"/>
                <w:iCs/>
                <w:color w:val="000000"/>
                <w:lang w:eastAsia="zh-CN"/>
              </w:rPr>
            </w:pPr>
          </w:p>
        </w:tc>
        <w:tc>
          <w:tcPr>
            <w:tcW w:w="254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2.040 (0.481-8.650)</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0.333</w:t>
            </w:r>
          </w:p>
        </w:tc>
        <w:tc>
          <w:tcPr>
            <w:tcW w:w="2227" w:type="dxa"/>
            <w:shd w:val="clear" w:color="000000" w:fill="FFFFFF"/>
            <w:noWrap/>
            <w:vAlign w:val="center"/>
          </w:tcPr>
          <w:p>
            <w:pPr>
              <w:spacing w:line="360" w:lineRule="auto"/>
              <w:jc w:val="both"/>
              <w:rPr>
                <w:rFonts w:hint="eastAsia" w:ascii="Book Antiqua" w:hAnsi="Book Antiqua" w:eastAsia="等线" w:cs="宋体"/>
                <w:color w:val="000000"/>
                <w:lang w:eastAsia="zh-CN"/>
              </w:rPr>
            </w:pPr>
          </w:p>
        </w:tc>
        <w:tc>
          <w:tcPr>
            <w:tcW w:w="816" w:type="dxa"/>
            <w:shd w:val="clear" w:color="000000" w:fill="FFFFFF"/>
            <w:noWrap/>
            <w:vAlign w:val="center"/>
          </w:tcPr>
          <w:p>
            <w:pPr>
              <w:spacing w:line="360" w:lineRule="auto"/>
              <w:jc w:val="both"/>
              <w:rPr>
                <w:rFonts w:hint="eastAsia" w:ascii="Book Antiqua" w:hAnsi="Book Antiqua" w:eastAsia="等线" w:cs="宋体"/>
                <w:iCs/>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539" w:type="dxa"/>
            <w:shd w:val="clear" w:color="000000" w:fill="FFFFFF"/>
            <w:noWrap/>
            <w:vAlign w:val="bottom"/>
          </w:tcPr>
          <w:p>
            <w:pPr>
              <w:spacing w:line="360" w:lineRule="auto"/>
              <w:jc w:val="both"/>
              <w:rPr>
                <w:rFonts w:ascii="Book Antiqua" w:hAnsi="Book Antiqua" w:eastAsia="等线" w:cs="宋体"/>
                <w:bCs/>
                <w:color w:val="000000"/>
              </w:rPr>
            </w:pPr>
            <w:r>
              <w:rPr>
                <w:rFonts w:ascii="Book Antiqua" w:hAnsi="Book Antiqua" w:eastAsia="等线" w:cs="宋体"/>
                <w:bCs/>
                <w:color w:val="000000"/>
              </w:rPr>
              <w:t xml:space="preserve">Previous surgical therapy, </w:t>
            </w:r>
            <w:r>
              <w:rPr>
                <w:rFonts w:ascii="Book Antiqua" w:hAnsi="Book Antiqua" w:eastAsia="等线" w:cs="宋体"/>
                <w:bCs/>
                <w:i/>
                <w:color w:val="000000"/>
              </w:rPr>
              <w:t xml:space="preserve">n </w:t>
            </w:r>
            <w:r>
              <w:rPr>
                <w:rFonts w:ascii="Book Antiqua" w:hAnsi="Book Antiqua" w:eastAsia="等线" w:cs="宋体"/>
                <w:bCs/>
                <w:color w:val="000000"/>
              </w:rPr>
              <w:t>(%)</w:t>
            </w:r>
          </w:p>
        </w:tc>
        <w:tc>
          <w:tcPr>
            <w:tcW w:w="2552"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0.926 (0.266-3.218)</w:t>
            </w:r>
          </w:p>
        </w:tc>
        <w:tc>
          <w:tcPr>
            <w:tcW w:w="891"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0.903</w:t>
            </w:r>
          </w:p>
        </w:tc>
        <w:tc>
          <w:tcPr>
            <w:tcW w:w="2351"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c>
          <w:tcPr>
            <w:tcW w:w="254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c>
          <w:tcPr>
            <w:tcW w:w="222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3539" w:type="dxa"/>
            <w:shd w:val="clear" w:color="000000" w:fill="FFFFFF"/>
            <w:vAlign w:val="center"/>
          </w:tcPr>
          <w:p>
            <w:pPr>
              <w:spacing w:line="360" w:lineRule="auto"/>
              <w:jc w:val="both"/>
              <w:rPr>
                <w:rFonts w:ascii="Book Antiqua" w:hAnsi="Book Antiqua" w:eastAsia="等线" w:cs="宋体"/>
                <w:bCs/>
                <w:color w:val="000000"/>
              </w:rPr>
            </w:pPr>
            <w:r>
              <w:rPr>
                <w:rFonts w:ascii="Book Antiqua" w:hAnsi="Book Antiqua" w:eastAsia="等线" w:cs="宋体"/>
                <w:bCs/>
                <w:color w:val="000000"/>
              </w:rPr>
              <w:t>Laboratory indicators, median (IQR)</w:t>
            </w:r>
          </w:p>
        </w:tc>
        <w:tc>
          <w:tcPr>
            <w:tcW w:w="2552" w:type="dxa"/>
            <w:shd w:val="clear" w:color="000000" w:fill="FFFFFF"/>
            <w:noWrap/>
            <w:vAlign w:val="center"/>
          </w:tcPr>
          <w:p>
            <w:pPr>
              <w:spacing w:line="360" w:lineRule="auto"/>
              <w:jc w:val="both"/>
              <w:rPr>
                <w:rFonts w:hint="eastAsia" w:ascii="Book Antiqua" w:hAnsi="Book Antiqua" w:eastAsia="等线" w:cs="宋体"/>
                <w:color w:val="000000"/>
                <w:lang w:eastAsia="zh-CN"/>
              </w:rPr>
            </w:pPr>
          </w:p>
        </w:tc>
        <w:tc>
          <w:tcPr>
            <w:tcW w:w="891" w:type="dxa"/>
            <w:shd w:val="clear" w:color="000000" w:fill="FFFFFF"/>
            <w:noWrap/>
            <w:vAlign w:val="center"/>
          </w:tcPr>
          <w:p>
            <w:pPr>
              <w:spacing w:line="360" w:lineRule="auto"/>
              <w:jc w:val="both"/>
              <w:rPr>
                <w:rFonts w:hint="eastAsia" w:ascii="Book Antiqua" w:hAnsi="Book Antiqua" w:eastAsia="等线" w:cs="宋体"/>
                <w:iCs/>
                <w:color w:val="000000"/>
                <w:lang w:eastAsia="zh-CN"/>
              </w:rPr>
            </w:pPr>
          </w:p>
        </w:tc>
        <w:tc>
          <w:tcPr>
            <w:tcW w:w="2351" w:type="dxa"/>
            <w:shd w:val="clear" w:color="000000" w:fill="FFFFFF"/>
            <w:noWrap/>
            <w:vAlign w:val="center"/>
          </w:tcPr>
          <w:p>
            <w:pPr>
              <w:spacing w:line="360" w:lineRule="auto"/>
              <w:jc w:val="both"/>
              <w:rPr>
                <w:rFonts w:hint="eastAsia" w:ascii="Book Antiqua" w:hAnsi="Book Antiqua" w:eastAsia="等线" w:cs="宋体"/>
                <w:color w:val="000000"/>
                <w:lang w:eastAsia="zh-CN"/>
              </w:rPr>
            </w:pPr>
          </w:p>
        </w:tc>
        <w:tc>
          <w:tcPr>
            <w:tcW w:w="816" w:type="dxa"/>
            <w:shd w:val="clear" w:color="000000" w:fill="FFFFFF"/>
            <w:noWrap/>
            <w:vAlign w:val="center"/>
          </w:tcPr>
          <w:p>
            <w:pPr>
              <w:spacing w:line="360" w:lineRule="auto"/>
              <w:jc w:val="both"/>
              <w:rPr>
                <w:rFonts w:hint="eastAsia" w:ascii="Book Antiqua" w:hAnsi="Book Antiqua" w:eastAsia="等线" w:cs="宋体"/>
                <w:iCs/>
                <w:color w:val="000000"/>
                <w:lang w:eastAsia="zh-CN"/>
              </w:rPr>
            </w:pPr>
          </w:p>
        </w:tc>
        <w:tc>
          <w:tcPr>
            <w:tcW w:w="2547" w:type="dxa"/>
            <w:shd w:val="clear" w:color="000000" w:fill="FFFFFF"/>
            <w:noWrap/>
            <w:vAlign w:val="center"/>
          </w:tcPr>
          <w:p>
            <w:pPr>
              <w:spacing w:line="360" w:lineRule="auto"/>
              <w:jc w:val="both"/>
              <w:rPr>
                <w:rFonts w:hint="eastAsia" w:ascii="Book Antiqua" w:hAnsi="Book Antiqua" w:eastAsia="等线" w:cs="宋体"/>
                <w:color w:val="000000"/>
                <w:lang w:eastAsia="zh-CN"/>
              </w:rPr>
            </w:pPr>
          </w:p>
        </w:tc>
        <w:tc>
          <w:tcPr>
            <w:tcW w:w="816" w:type="dxa"/>
            <w:shd w:val="clear" w:color="000000" w:fill="FFFFFF"/>
            <w:noWrap/>
            <w:vAlign w:val="center"/>
          </w:tcPr>
          <w:p>
            <w:pPr>
              <w:spacing w:line="360" w:lineRule="auto"/>
              <w:jc w:val="both"/>
              <w:rPr>
                <w:rFonts w:hint="eastAsia" w:ascii="Book Antiqua" w:hAnsi="Book Antiqua" w:eastAsia="等线" w:cs="宋体"/>
                <w:iCs/>
                <w:color w:val="000000"/>
                <w:lang w:eastAsia="zh-CN"/>
              </w:rPr>
            </w:pPr>
          </w:p>
        </w:tc>
        <w:tc>
          <w:tcPr>
            <w:tcW w:w="2227" w:type="dxa"/>
            <w:shd w:val="clear" w:color="000000" w:fill="FFFFFF"/>
            <w:noWrap/>
            <w:vAlign w:val="center"/>
          </w:tcPr>
          <w:p>
            <w:pPr>
              <w:spacing w:line="360" w:lineRule="auto"/>
              <w:jc w:val="both"/>
              <w:rPr>
                <w:rFonts w:hint="eastAsia" w:ascii="Book Antiqua" w:hAnsi="Book Antiqua" w:eastAsia="等线" w:cs="宋体"/>
                <w:color w:val="000000"/>
                <w:lang w:eastAsia="zh-CN"/>
              </w:rPr>
            </w:pPr>
          </w:p>
        </w:tc>
        <w:tc>
          <w:tcPr>
            <w:tcW w:w="816" w:type="dxa"/>
            <w:shd w:val="clear" w:color="000000" w:fill="FFFFFF"/>
            <w:noWrap/>
            <w:vAlign w:val="center"/>
          </w:tcPr>
          <w:p>
            <w:pPr>
              <w:spacing w:line="360" w:lineRule="auto"/>
              <w:jc w:val="both"/>
              <w:rPr>
                <w:rFonts w:hint="eastAsia" w:ascii="Book Antiqua" w:hAnsi="Book Antiqua" w:eastAsia="等线" w:cs="宋体"/>
                <w:iCs/>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539" w:type="dxa"/>
            <w:shd w:val="clear" w:color="000000" w:fill="FFFFFF"/>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Fecal calprotectin, μg/g</w:t>
            </w:r>
          </w:p>
        </w:tc>
        <w:tc>
          <w:tcPr>
            <w:tcW w:w="2552" w:type="dxa"/>
            <w:shd w:val="clear" w:color="000000" w:fill="FFFFFF"/>
            <w:noWrap/>
            <w:vAlign w:val="center"/>
          </w:tcPr>
          <w:p>
            <w:pPr>
              <w:spacing w:line="360" w:lineRule="auto"/>
              <w:jc w:val="both"/>
              <w:rPr>
                <w:rFonts w:ascii="Book Antiqua" w:hAnsi="Book Antiqua" w:eastAsia="等线" w:cs="宋体"/>
                <w:bCs/>
                <w:color w:val="000000"/>
              </w:rPr>
            </w:pPr>
            <w:r>
              <w:rPr>
                <w:rFonts w:ascii="Book Antiqua" w:hAnsi="Book Antiqua" w:eastAsia="等线" w:cs="宋体"/>
                <w:bCs/>
                <w:color w:val="000000"/>
              </w:rPr>
              <w:t>1.003 (1.002-1.005)</w:t>
            </w:r>
          </w:p>
        </w:tc>
        <w:tc>
          <w:tcPr>
            <w:tcW w:w="891" w:type="dxa"/>
            <w:shd w:val="clear" w:color="000000" w:fill="FFFFFF"/>
            <w:noWrap/>
            <w:vAlign w:val="center"/>
          </w:tcPr>
          <w:p>
            <w:pPr>
              <w:spacing w:line="360" w:lineRule="auto"/>
              <w:jc w:val="both"/>
              <w:rPr>
                <w:rFonts w:ascii="Book Antiqua" w:hAnsi="Book Antiqua" w:eastAsia="等线" w:cs="宋体"/>
                <w:bCs/>
                <w:iCs/>
                <w:color w:val="000000"/>
              </w:rPr>
            </w:pPr>
            <w:r>
              <w:rPr>
                <w:rFonts w:ascii="Book Antiqua" w:hAnsi="Book Antiqua" w:eastAsia="等线" w:cs="宋体"/>
                <w:bCs/>
                <w:iCs/>
                <w:color w:val="000000"/>
              </w:rPr>
              <w:t>0.000</w:t>
            </w:r>
          </w:p>
        </w:tc>
        <w:tc>
          <w:tcPr>
            <w:tcW w:w="2351" w:type="dxa"/>
            <w:shd w:val="clear" w:color="000000" w:fill="FFFFFF"/>
            <w:noWrap/>
            <w:vAlign w:val="center"/>
          </w:tcPr>
          <w:p>
            <w:pPr>
              <w:spacing w:line="360" w:lineRule="auto"/>
              <w:jc w:val="both"/>
              <w:rPr>
                <w:rFonts w:ascii="Book Antiqua" w:hAnsi="Book Antiqua" w:eastAsia="等线" w:cs="宋体"/>
                <w:bCs/>
                <w:color w:val="000000"/>
              </w:rPr>
            </w:pPr>
            <w:r>
              <w:rPr>
                <w:rFonts w:ascii="Book Antiqua" w:hAnsi="Book Antiqua" w:eastAsia="等线" w:cs="宋体"/>
                <w:bCs/>
                <w:color w:val="000000"/>
              </w:rPr>
              <w:t>1.002 (1.001-1.004)</w:t>
            </w:r>
          </w:p>
        </w:tc>
        <w:tc>
          <w:tcPr>
            <w:tcW w:w="816" w:type="dxa"/>
            <w:shd w:val="clear" w:color="000000" w:fill="FFFFFF"/>
            <w:noWrap/>
            <w:vAlign w:val="center"/>
          </w:tcPr>
          <w:p>
            <w:pPr>
              <w:spacing w:line="360" w:lineRule="auto"/>
              <w:jc w:val="both"/>
              <w:rPr>
                <w:rFonts w:ascii="Book Antiqua" w:hAnsi="Book Antiqua" w:eastAsia="等线" w:cs="宋体"/>
                <w:bCs/>
                <w:iCs/>
                <w:color w:val="000000"/>
              </w:rPr>
            </w:pPr>
            <w:r>
              <w:rPr>
                <w:rFonts w:ascii="Book Antiqua" w:hAnsi="Book Antiqua" w:eastAsia="等线" w:cs="宋体"/>
                <w:bCs/>
                <w:iCs/>
                <w:color w:val="000000"/>
              </w:rPr>
              <w:t>0.002</w:t>
            </w:r>
          </w:p>
        </w:tc>
        <w:tc>
          <w:tcPr>
            <w:tcW w:w="2547" w:type="dxa"/>
            <w:shd w:val="clear" w:color="000000" w:fill="FFFFFF"/>
            <w:noWrap/>
            <w:vAlign w:val="center"/>
          </w:tcPr>
          <w:p>
            <w:pPr>
              <w:spacing w:line="360" w:lineRule="auto"/>
              <w:jc w:val="both"/>
              <w:rPr>
                <w:rFonts w:ascii="Book Antiqua" w:hAnsi="Book Antiqua" w:eastAsia="等线" w:cs="宋体"/>
                <w:bCs/>
                <w:color w:val="000000"/>
              </w:rPr>
            </w:pPr>
            <w:r>
              <w:rPr>
                <w:rFonts w:ascii="Book Antiqua" w:hAnsi="Book Antiqua" w:eastAsia="等线" w:cs="宋体"/>
                <w:bCs/>
                <w:color w:val="000000"/>
              </w:rPr>
              <w:t>1.002 (1.001-1.004)</w:t>
            </w:r>
          </w:p>
        </w:tc>
        <w:tc>
          <w:tcPr>
            <w:tcW w:w="816" w:type="dxa"/>
            <w:shd w:val="clear" w:color="000000" w:fill="FFFFFF"/>
            <w:noWrap/>
            <w:vAlign w:val="center"/>
          </w:tcPr>
          <w:p>
            <w:pPr>
              <w:spacing w:line="360" w:lineRule="auto"/>
              <w:jc w:val="both"/>
              <w:rPr>
                <w:rFonts w:ascii="Book Antiqua" w:hAnsi="Book Antiqua" w:eastAsia="等线" w:cs="宋体"/>
                <w:bCs/>
                <w:iCs/>
                <w:color w:val="000000"/>
              </w:rPr>
            </w:pPr>
            <w:r>
              <w:rPr>
                <w:rFonts w:ascii="Book Antiqua" w:hAnsi="Book Antiqua" w:eastAsia="等线" w:cs="宋体"/>
                <w:bCs/>
                <w:iCs/>
                <w:color w:val="000000"/>
              </w:rPr>
              <w:t>0.001</w:t>
            </w:r>
          </w:p>
        </w:tc>
        <w:tc>
          <w:tcPr>
            <w:tcW w:w="222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 xml:space="preserve">NS </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539"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IFX trough level, μg/m</w:t>
            </w:r>
            <w:r>
              <w:rPr>
                <w:rFonts w:ascii="Book Antiqua" w:hAnsi="Book Antiqua" w:eastAsia="等线" w:cs="宋体"/>
                <w:caps/>
                <w:color w:val="000000"/>
              </w:rPr>
              <w:t>l</w:t>
            </w:r>
          </w:p>
        </w:tc>
        <w:tc>
          <w:tcPr>
            <w:tcW w:w="2552" w:type="dxa"/>
            <w:shd w:val="clear" w:color="000000" w:fill="FFFFFF"/>
            <w:noWrap/>
            <w:vAlign w:val="center"/>
          </w:tcPr>
          <w:p>
            <w:pPr>
              <w:spacing w:line="360" w:lineRule="auto"/>
              <w:jc w:val="both"/>
              <w:rPr>
                <w:rFonts w:ascii="Book Antiqua" w:hAnsi="Book Antiqua" w:eastAsia="等线" w:cs="宋体"/>
                <w:bCs/>
                <w:color w:val="000000"/>
              </w:rPr>
            </w:pPr>
            <w:r>
              <w:rPr>
                <w:rFonts w:ascii="Book Antiqua" w:hAnsi="Book Antiqua" w:eastAsia="等线" w:cs="宋体"/>
                <w:bCs/>
                <w:color w:val="000000"/>
              </w:rPr>
              <w:t>0.650 (0.532-0.796)</w:t>
            </w:r>
          </w:p>
        </w:tc>
        <w:tc>
          <w:tcPr>
            <w:tcW w:w="891" w:type="dxa"/>
            <w:shd w:val="clear" w:color="000000" w:fill="FFFFFF"/>
            <w:noWrap/>
            <w:vAlign w:val="center"/>
          </w:tcPr>
          <w:p>
            <w:pPr>
              <w:spacing w:line="360" w:lineRule="auto"/>
              <w:jc w:val="both"/>
              <w:rPr>
                <w:rFonts w:ascii="Book Antiqua" w:hAnsi="Book Antiqua" w:eastAsia="等线" w:cs="宋体"/>
                <w:bCs/>
                <w:iCs/>
                <w:color w:val="000000"/>
              </w:rPr>
            </w:pPr>
            <w:r>
              <w:rPr>
                <w:rFonts w:ascii="Book Antiqua" w:hAnsi="Book Antiqua" w:eastAsia="等线" w:cs="宋体"/>
                <w:bCs/>
                <w:iCs/>
                <w:color w:val="000000"/>
              </w:rPr>
              <w:t>0.000</w:t>
            </w:r>
          </w:p>
        </w:tc>
        <w:tc>
          <w:tcPr>
            <w:tcW w:w="2351" w:type="dxa"/>
            <w:shd w:val="clear" w:color="000000" w:fill="FFFFFF"/>
            <w:noWrap/>
            <w:vAlign w:val="center"/>
          </w:tcPr>
          <w:p>
            <w:pPr>
              <w:spacing w:line="360" w:lineRule="auto"/>
              <w:jc w:val="both"/>
              <w:rPr>
                <w:rFonts w:ascii="Book Antiqua" w:hAnsi="Book Antiqua" w:eastAsia="等线" w:cs="宋体"/>
                <w:bCs/>
                <w:color w:val="000000"/>
              </w:rPr>
            </w:pPr>
            <w:r>
              <w:rPr>
                <w:rFonts w:ascii="Book Antiqua" w:hAnsi="Book Antiqua" w:eastAsia="等线" w:cs="宋体"/>
                <w:bCs/>
                <w:color w:val="000000"/>
              </w:rPr>
              <w:t>0.666 (0.514-0.862)</w:t>
            </w:r>
          </w:p>
        </w:tc>
        <w:tc>
          <w:tcPr>
            <w:tcW w:w="816" w:type="dxa"/>
            <w:shd w:val="clear" w:color="000000" w:fill="FFFFFF"/>
            <w:noWrap/>
            <w:vAlign w:val="center"/>
          </w:tcPr>
          <w:p>
            <w:pPr>
              <w:spacing w:line="360" w:lineRule="auto"/>
              <w:jc w:val="both"/>
              <w:rPr>
                <w:rFonts w:ascii="Book Antiqua" w:hAnsi="Book Antiqua" w:eastAsia="等线" w:cs="宋体"/>
                <w:bCs/>
                <w:iCs/>
                <w:color w:val="000000"/>
              </w:rPr>
            </w:pPr>
            <w:r>
              <w:rPr>
                <w:rFonts w:ascii="Book Antiqua" w:hAnsi="Book Antiqua" w:eastAsia="等线" w:cs="宋体"/>
                <w:bCs/>
                <w:iCs/>
                <w:color w:val="000000"/>
              </w:rPr>
              <w:t>0.002</w:t>
            </w:r>
          </w:p>
        </w:tc>
        <w:tc>
          <w:tcPr>
            <w:tcW w:w="2547" w:type="dxa"/>
            <w:shd w:val="clear" w:color="000000" w:fill="FFFFFF"/>
            <w:noWrap/>
            <w:vAlign w:val="center"/>
          </w:tcPr>
          <w:p>
            <w:pPr>
              <w:spacing w:line="360" w:lineRule="auto"/>
              <w:jc w:val="both"/>
              <w:rPr>
                <w:rFonts w:ascii="Book Antiqua" w:hAnsi="Book Antiqua" w:eastAsia="等线" w:cs="宋体"/>
                <w:bCs/>
                <w:color w:val="000000"/>
              </w:rPr>
            </w:pPr>
            <w:r>
              <w:rPr>
                <w:rFonts w:ascii="Book Antiqua" w:hAnsi="Book Antiqua" w:eastAsia="等线" w:cs="宋体"/>
                <w:bCs/>
                <w:color w:val="000000"/>
              </w:rPr>
              <w:t>0.470 (0.289-0.766)</w:t>
            </w:r>
          </w:p>
        </w:tc>
        <w:tc>
          <w:tcPr>
            <w:tcW w:w="816" w:type="dxa"/>
            <w:shd w:val="clear" w:color="000000" w:fill="FFFFFF"/>
            <w:noWrap/>
            <w:vAlign w:val="center"/>
          </w:tcPr>
          <w:p>
            <w:pPr>
              <w:spacing w:line="360" w:lineRule="auto"/>
              <w:jc w:val="both"/>
              <w:rPr>
                <w:rFonts w:ascii="Book Antiqua" w:hAnsi="Book Antiqua" w:eastAsia="等线" w:cs="宋体"/>
                <w:bCs/>
                <w:iCs/>
                <w:color w:val="000000"/>
              </w:rPr>
            </w:pPr>
            <w:r>
              <w:rPr>
                <w:rFonts w:ascii="Book Antiqua" w:hAnsi="Book Antiqua" w:eastAsia="等线" w:cs="宋体"/>
                <w:bCs/>
                <w:iCs/>
                <w:color w:val="000000"/>
              </w:rPr>
              <w:t>0.002</w:t>
            </w:r>
          </w:p>
        </w:tc>
        <w:tc>
          <w:tcPr>
            <w:tcW w:w="2227" w:type="dxa"/>
            <w:shd w:val="clear" w:color="000000" w:fill="FFFFFF"/>
            <w:noWrap/>
            <w:vAlign w:val="center"/>
          </w:tcPr>
          <w:p>
            <w:pPr>
              <w:spacing w:line="360" w:lineRule="auto"/>
              <w:jc w:val="both"/>
              <w:rPr>
                <w:rFonts w:ascii="Book Antiqua" w:hAnsi="Book Antiqua" w:eastAsia="等线" w:cs="宋体"/>
                <w:bCs/>
                <w:color w:val="000000"/>
              </w:rPr>
            </w:pPr>
            <w:r>
              <w:rPr>
                <w:rFonts w:ascii="Book Antiqua" w:hAnsi="Book Antiqua" w:eastAsia="等线" w:cs="宋体"/>
                <w:bCs/>
                <w:color w:val="000000"/>
              </w:rPr>
              <w:t>0.466 (0.247-0.877)</w:t>
            </w:r>
          </w:p>
        </w:tc>
        <w:tc>
          <w:tcPr>
            <w:tcW w:w="816" w:type="dxa"/>
            <w:shd w:val="clear" w:color="000000" w:fill="FFFFFF"/>
            <w:noWrap/>
            <w:vAlign w:val="center"/>
          </w:tcPr>
          <w:p>
            <w:pPr>
              <w:spacing w:line="360" w:lineRule="auto"/>
              <w:jc w:val="both"/>
              <w:rPr>
                <w:rFonts w:ascii="Book Antiqua" w:hAnsi="Book Antiqua" w:eastAsia="等线" w:cs="宋体"/>
                <w:bCs/>
                <w:iCs/>
                <w:color w:val="000000"/>
              </w:rPr>
            </w:pPr>
            <w:r>
              <w:rPr>
                <w:rFonts w:ascii="Book Antiqua" w:hAnsi="Book Antiqua" w:eastAsia="等线" w:cs="宋体"/>
                <w:bCs/>
                <w:iCs/>
                <w:color w:val="000000"/>
              </w:rPr>
              <w:t>0.018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539"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White blood count, x 10</w:t>
            </w:r>
            <w:r>
              <w:rPr>
                <w:rFonts w:ascii="Book Antiqua" w:hAnsi="Book Antiqua" w:eastAsia="等线" w:cs="宋体"/>
                <w:color w:val="000000"/>
                <w:vertAlign w:val="superscript"/>
              </w:rPr>
              <w:t>9</w:t>
            </w:r>
            <w:r>
              <w:rPr>
                <w:rFonts w:ascii="Book Antiqua" w:hAnsi="Book Antiqua" w:eastAsia="等线" w:cs="宋体"/>
                <w:color w:val="000000"/>
              </w:rPr>
              <w:t xml:space="preserve">/L </w:t>
            </w:r>
          </w:p>
        </w:tc>
        <w:tc>
          <w:tcPr>
            <w:tcW w:w="2552"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1.167 (0.921-1.478)</w:t>
            </w:r>
          </w:p>
        </w:tc>
        <w:tc>
          <w:tcPr>
            <w:tcW w:w="891"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0.201</w:t>
            </w:r>
          </w:p>
        </w:tc>
        <w:tc>
          <w:tcPr>
            <w:tcW w:w="2351"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c>
          <w:tcPr>
            <w:tcW w:w="254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1.004 (0.636-1.586)</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0.986</w:t>
            </w:r>
          </w:p>
        </w:tc>
        <w:tc>
          <w:tcPr>
            <w:tcW w:w="222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539"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Hematoglobin, g/L</w:t>
            </w:r>
          </w:p>
        </w:tc>
        <w:tc>
          <w:tcPr>
            <w:tcW w:w="2552"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0.977 (0.954-1.000)</w:t>
            </w:r>
          </w:p>
        </w:tc>
        <w:tc>
          <w:tcPr>
            <w:tcW w:w="891"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0.053</w:t>
            </w:r>
          </w:p>
        </w:tc>
        <w:tc>
          <w:tcPr>
            <w:tcW w:w="2351"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c>
          <w:tcPr>
            <w:tcW w:w="254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0.997 (0.957-1.038)</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0.867</w:t>
            </w:r>
          </w:p>
        </w:tc>
        <w:tc>
          <w:tcPr>
            <w:tcW w:w="222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 xml:space="preserve">— </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539"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Platelet, x 10</w:t>
            </w:r>
            <w:r>
              <w:rPr>
                <w:rFonts w:ascii="Book Antiqua" w:hAnsi="Book Antiqua" w:eastAsia="等线" w:cs="宋体"/>
                <w:color w:val="000000"/>
                <w:vertAlign w:val="superscript"/>
              </w:rPr>
              <w:t>9</w:t>
            </w:r>
            <w:r>
              <w:rPr>
                <w:rFonts w:ascii="Book Antiqua" w:hAnsi="Book Antiqua" w:eastAsia="等线" w:cs="宋体"/>
                <w:color w:val="000000"/>
              </w:rPr>
              <w:t>/L</w:t>
            </w:r>
          </w:p>
        </w:tc>
        <w:tc>
          <w:tcPr>
            <w:tcW w:w="2552"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1.006 (0.999-1.013)</w:t>
            </w:r>
          </w:p>
        </w:tc>
        <w:tc>
          <w:tcPr>
            <w:tcW w:w="891"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0.081</w:t>
            </w:r>
          </w:p>
        </w:tc>
        <w:tc>
          <w:tcPr>
            <w:tcW w:w="2351"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c>
          <w:tcPr>
            <w:tcW w:w="254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1.001 (0.987-1.015)</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0.904</w:t>
            </w:r>
          </w:p>
        </w:tc>
        <w:tc>
          <w:tcPr>
            <w:tcW w:w="222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539"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Erythrocyte sedimentation rate, mm/h</w:t>
            </w:r>
          </w:p>
        </w:tc>
        <w:tc>
          <w:tcPr>
            <w:tcW w:w="2552" w:type="dxa"/>
            <w:shd w:val="clear" w:color="000000" w:fill="FFFFFF"/>
            <w:noWrap/>
            <w:vAlign w:val="center"/>
          </w:tcPr>
          <w:p>
            <w:pPr>
              <w:spacing w:line="360" w:lineRule="auto"/>
              <w:jc w:val="both"/>
              <w:rPr>
                <w:rFonts w:ascii="Book Antiqua" w:hAnsi="Book Antiqua" w:eastAsia="等线" w:cs="宋体"/>
                <w:bCs/>
                <w:color w:val="000000"/>
              </w:rPr>
            </w:pPr>
            <w:r>
              <w:rPr>
                <w:rFonts w:ascii="Book Antiqua" w:hAnsi="Book Antiqua" w:eastAsia="等线" w:cs="宋体"/>
                <w:bCs/>
                <w:color w:val="000000"/>
              </w:rPr>
              <w:t>1.073 (1.028-1.120)</w:t>
            </w:r>
          </w:p>
        </w:tc>
        <w:tc>
          <w:tcPr>
            <w:tcW w:w="891" w:type="dxa"/>
            <w:shd w:val="clear" w:color="000000" w:fill="FFFFFF"/>
            <w:noWrap/>
            <w:vAlign w:val="center"/>
          </w:tcPr>
          <w:p>
            <w:pPr>
              <w:spacing w:line="360" w:lineRule="auto"/>
              <w:jc w:val="both"/>
              <w:rPr>
                <w:rFonts w:ascii="Book Antiqua" w:hAnsi="Book Antiqua" w:eastAsia="等线" w:cs="宋体"/>
                <w:bCs/>
                <w:iCs/>
                <w:color w:val="000000"/>
              </w:rPr>
            </w:pPr>
            <w:r>
              <w:rPr>
                <w:rFonts w:ascii="Book Antiqua" w:hAnsi="Book Antiqua" w:eastAsia="等线" w:cs="宋体"/>
                <w:bCs/>
                <w:iCs/>
                <w:color w:val="000000"/>
              </w:rPr>
              <w:t>0.001</w:t>
            </w:r>
          </w:p>
        </w:tc>
        <w:tc>
          <w:tcPr>
            <w:tcW w:w="2351"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NS</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NS</w:t>
            </w:r>
          </w:p>
        </w:tc>
        <w:tc>
          <w:tcPr>
            <w:tcW w:w="254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1.035 (0.978-1.096)</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0.239</w:t>
            </w:r>
          </w:p>
        </w:tc>
        <w:tc>
          <w:tcPr>
            <w:tcW w:w="222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539"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Albumin, g/L</w:t>
            </w:r>
          </w:p>
        </w:tc>
        <w:tc>
          <w:tcPr>
            <w:tcW w:w="2552"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0.895 (0.800-1.002)</w:t>
            </w:r>
          </w:p>
        </w:tc>
        <w:tc>
          <w:tcPr>
            <w:tcW w:w="891"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0.054</w:t>
            </w:r>
          </w:p>
        </w:tc>
        <w:tc>
          <w:tcPr>
            <w:tcW w:w="2351"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c>
          <w:tcPr>
            <w:tcW w:w="254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0.821 (0.667-1.010)</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0.062</w:t>
            </w:r>
          </w:p>
        </w:tc>
        <w:tc>
          <w:tcPr>
            <w:tcW w:w="2227"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539"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C-reactive protein, mg/d</w:t>
            </w:r>
            <w:r>
              <w:rPr>
                <w:rFonts w:ascii="Book Antiqua" w:hAnsi="Book Antiqua" w:eastAsia="等线" w:cs="宋体"/>
                <w:caps/>
                <w:color w:val="000000"/>
              </w:rPr>
              <w:t>l</w:t>
            </w:r>
          </w:p>
        </w:tc>
        <w:tc>
          <w:tcPr>
            <w:tcW w:w="2552" w:type="dxa"/>
            <w:shd w:val="clear" w:color="000000" w:fill="FFFFFF"/>
            <w:noWrap/>
            <w:vAlign w:val="center"/>
          </w:tcPr>
          <w:p>
            <w:pPr>
              <w:spacing w:line="360" w:lineRule="auto"/>
              <w:jc w:val="both"/>
              <w:rPr>
                <w:rFonts w:ascii="Book Antiqua" w:hAnsi="Book Antiqua" w:eastAsia="等线" w:cs="宋体"/>
                <w:bCs/>
                <w:color w:val="000000"/>
              </w:rPr>
            </w:pPr>
            <w:r>
              <w:rPr>
                <w:rFonts w:ascii="Book Antiqua" w:hAnsi="Book Antiqua" w:eastAsia="等线" w:cs="宋体"/>
                <w:bCs/>
                <w:color w:val="000000"/>
              </w:rPr>
              <w:t>1.245 (1.080-1.435)</w:t>
            </w:r>
          </w:p>
        </w:tc>
        <w:tc>
          <w:tcPr>
            <w:tcW w:w="891" w:type="dxa"/>
            <w:shd w:val="clear" w:color="000000" w:fill="FFFFFF"/>
            <w:noWrap/>
            <w:vAlign w:val="center"/>
          </w:tcPr>
          <w:p>
            <w:pPr>
              <w:spacing w:line="360" w:lineRule="auto"/>
              <w:jc w:val="both"/>
              <w:rPr>
                <w:rFonts w:ascii="Book Antiqua" w:hAnsi="Book Antiqua" w:eastAsia="等线" w:cs="宋体"/>
                <w:bCs/>
                <w:iCs/>
                <w:color w:val="000000"/>
              </w:rPr>
            </w:pPr>
            <w:r>
              <w:rPr>
                <w:rFonts w:ascii="Book Antiqua" w:hAnsi="Book Antiqua" w:eastAsia="等线" w:cs="宋体"/>
                <w:bCs/>
                <w:iCs/>
                <w:color w:val="000000"/>
              </w:rPr>
              <w:t>0.003</w:t>
            </w:r>
          </w:p>
        </w:tc>
        <w:tc>
          <w:tcPr>
            <w:tcW w:w="2351" w:type="dxa"/>
            <w:shd w:val="clear" w:color="000000" w:fill="FFFFFF"/>
            <w:noWrap/>
            <w:vAlign w:val="center"/>
          </w:tcPr>
          <w:p>
            <w:pPr>
              <w:spacing w:line="360" w:lineRule="auto"/>
              <w:jc w:val="both"/>
              <w:rPr>
                <w:rFonts w:ascii="Book Antiqua" w:hAnsi="Book Antiqua" w:eastAsia="等线" w:cs="宋体"/>
                <w:color w:val="000000"/>
              </w:rPr>
            </w:pPr>
            <w:r>
              <w:rPr>
                <w:rFonts w:ascii="Book Antiqua" w:hAnsi="Book Antiqua" w:eastAsia="等线" w:cs="宋体"/>
                <w:color w:val="000000"/>
              </w:rPr>
              <w:t>NS</w:t>
            </w:r>
          </w:p>
        </w:tc>
        <w:tc>
          <w:tcPr>
            <w:tcW w:w="816" w:type="dxa"/>
            <w:shd w:val="clear" w:color="000000" w:fill="FFFFFF"/>
            <w:noWrap/>
            <w:vAlign w:val="center"/>
          </w:tcPr>
          <w:p>
            <w:pPr>
              <w:spacing w:line="360" w:lineRule="auto"/>
              <w:jc w:val="both"/>
              <w:rPr>
                <w:rFonts w:ascii="Book Antiqua" w:hAnsi="Book Antiqua" w:eastAsia="等线" w:cs="宋体"/>
                <w:iCs/>
                <w:color w:val="000000"/>
              </w:rPr>
            </w:pPr>
            <w:r>
              <w:rPr>
                <w:rFonts w:ascii="Book Antiqua" w:hAnsi="Book Antiqua" w:eastAsia="等线" w:cs="宋体"/>
                <w:iCs/>
                <w:color w:val="000000"/>
              </w:rPr>
              <w:t>NS</w:t>
            </w:r>
          </w:p>
        </w:tc>
        <w:tc>
          <w:tcPr>
            <w:tcW w:w="2547" w:type="dxa"/>
            <w:shd w:val="clear" w:color="000000" w:fill="FFFFFF"/>
            <w:noWrap/>
            <w:vAlign w:val="center"/>
          </w:tcPr>
          <w:p>
            <w:pPr>
              <w:spacing w:line="360" w:lineRule="auto"/>
              <w:jc w:val="both"/>
              <w:rPr>
                <w:rFonts w:ascii="Book Antiqua" w:hAnsi="Book Antiqua" w:eastAsia="等线" w:cs="宋体"/>
                <w:bCs/>
                <w:color w:val="000000"/>
              </w:rPr>
            </w:pPr>
            <w:r>
              <w:rPr>
                <w:rFonts w:ascii="Book Antiqua" w:hAnsi="Book Antiqua" w:eastAsia="等线" w:cs="宋体"/>
                <w:bCs/>
                <w:color w:val="000000"/>
              </w:rPr>
              <w:t>1.389 (1.070-1.804)</w:t>
            </w:r>
          </w:p>
        </w:tc>
        <w:tc>
          <w:tcPr>
            <w:tcW w:w="816" w:type="dxa"/>
            <w:shd w:val="clear" w:color="000000" w:fill="FFFFFF"/>
            <w:noWrap/>
            <w:vAlign w:val="center"/>
          </w:tcPr>
          <w:p>
            <w:pPr>
              <w:spacing w:line="360" w:lineRule="auto"/>
              <w:jc w:val="both"/>
              <w:rPr>
                <w:rFonts w:ascii="Book Antiqua" w:hAnsi="Book Antiqua" w:eastAsia="等线" w:cs="宋体"/>
                <w:bCs/>
                <w:iCs/>
                <w:color w:val="000000"/>
              </w:rPr>
            </w:pPr>
            <w:r>
              <w:rPr>
                <w:rFonts w:ascii="Book Antiqua" w:hAnsi="Book Antiqua" w:eastAsia="等线" w:cs="宋体"/>
                <w:bCs/>
                <w:iCs/>
                <w:color w:val="000000"/>
              </w:rPr>
              <w:t>0.014</w:t>
            </w:r>
          </w:p>
        </w:tc>
        <w:tc>
          <w:tcPr>
            <w:tcW w:w="2227" w:type="dxa"/>
            <w:shd w:val="clear" w:color="000000" w:fill="FFFFFF"/>
            <w:noWrap/>
            <w:vAlign w:val="center"/>
          </w:tcPr>
          <w:p>
            <w:pPr>
              <w:spacing w:line="360" w:lineRule="auto"/>
              <w:jc w:val="both"/>
              <w:rPr>
                <w:rFonts w:ascii="Book Antiqua" w:hAnsi="Book Antiqua" w:eastAsia="等线" w:cs="宋体"/>
                <w:bCs/>
                <w:color w:val="000000"/>
              </w:rPr>
            </w:pPr>
            <w:r>
              <w:rPr>
                <w:rFonts w:ascii="Book Antiqua" w:hAnsi="Book Antiqua" w:eastAsia="等线" w:cs="宋体"/>
                <w:bCs/>
                <w:color w:val="000000"/>
              </w:rPr>
              <w:t>1.590 (1.007-2.510)</w:t>
            </w:r>
          </w:p>
        </w:tc>
        <w:tc>
          <w:tcPr>
            <w:tcW w:w="816" w:type="dxa"/>
            <w:shd w:val="clear" w:color="000000" w:fill="FFFFFF"/>
            <w:noWrap/>
            <w:vAlign w:val="center"/>
          </w:tcPr>
          <w:p>
            <w:pPr>
              <w:spacing w:line="360" w:lineRule="auto"/>
              <w:jc w:val="both"/>
              <w:rPr>
                <w:rFonts w:ascii="Book Antiqua" w:hAnsi="Book Antiqua" w:eastAsia="等线" w:cs="宋体"/>
                <w:bCs/>
                <w:iCs/>
                <w:color w:val="000000"/>
              </w:rPr>
            </w:pPr>
            <w:r>
              <w:rPr>
                <w:rFonts w:ascii="Book Antiqua" w:hAnsi="Book Antiqua" w:eastAsia="等线" w:cs="宋体"/>
                <w:bCs/>
                <w:iCs/>
                <w:color w:val="000000"/>
              </w:rPr>
              <w:t>0.047</w:t>
            </w:r>
          </w:p>
        </w:tc>
      </w:tr>
    </w:tbl>
    <w:p>
      <w:pPr>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等线" w:cs="宋体"/>
          <w:color w:val="000000"/>
        </w:rPr>
        <w:t>IFX</w:t>
      </w:r>
      <w:r>
        <w:rPr>
          <w:rFonts w:ascii="Book Antiqua" w:hAnsi="Book Antiqua" w:eastAsia="等线" w:cs="宋体"/>
          <w:color w:val="000000"/>
          <w:lang w:eastAsia="zh-CN"/>
        </w:rPr>
        <w:t xml:space="preserve">: </w:t>
      </w:r>
      <w:r>
        <w:rPr>
          <w:rFonts w:ascii="Book Antiqua" w:hAnsi="Book Antiqua" w:eastAsia="Book Antiqua" w:cs="Book Antiqua"/>
          <w:color w:val="000000" w:themeColor="text1"/>
          <w14:textFill>
            <w14:solidFill>
              <w14:schemeClr w14:val="tx1"/>
            </w14:solidFill>
          </w14:textFill>
        </w:rPr>
        <w:t>Infliximab</w:t>
      </w:r>
      <w:r>
        <w:rPr>
          <w:rFonts w:ascii="Book Antiqua" w:hAnsi="Book Antiqua" w:cs="Book Antiqua"/>
          <w:color w:val="000000" w:themeColor="text1"/>
          <w:lang w:eastAsia="zh-CN"/>
          <w14:textFill>
            <w14:solidFill>
              <w14:schemeClr w14:val="tx1"/>
            </w14:solidFill>
          </w14:textFill>
        </w:rPr>
        <w:t>; NS: Not significant; CI: Confidence interval; IQR: Interquartile range; OR: Odds ratio.</w:t>
      </w:r>
    </w:p>
    <w:p>
      <w:pPr>
        <w:spacing w:line="360" w:lineRule="auto"/>
        <w:jc w:val="both"/>
        <w:rPr>
          <w:rFonts w:ascii="Book Antiqua" w:hAnsi="Book Antiqua"/>
          <w:b/>
          <w:color w:val="000000" w:themeColor="text1"/>
          <w:lang w:eastAsia="zh-CN"/>
          <w14:textFill>
            <w14:solidFill>
              <w14:schemeClr w14:val="tx1"/>
            </w14:solidFill>
          </w14:textFill>
        </w:rPr>
      </w:pPr>
      <w:r>
        <w:rPr>
          <w:rFonts w:ascii="Book Antiqua" w:hAnsi="Book Antiqua"/>
          <w:b/>
          <w:color w:val="000000" w:themeColor="text1"/>
          <w:lang w:eastAsia="zh-CN"/>
          <w14:textFill>
            <w14:solidFill>
              <w14:schemeClr w14:val="tx1"/>
            </w14:solidFill>
          </w14:textFill>
        </w:rPr>
        <w:br w:type="page"/>
      </w:r>
      <w:r>
        <w:rPr>
          <w:rFonts w:ascii="Book Antiqua" w:hAnsi="Book Antiqua" w:eastAsia="Book Antiqua" w:cs="Book Antiqua"/>
          <w:b/>
          <w:bCs/>
          <w:color w:val="000000" w:themeColor="text1"/>
          <w14:textFill>
            <w14:solidFill>
              <w14:schemeClr w14:val="tx1"/>
            </w14:solidFill>
          </w14:textFill>
        </w:rPr>
        <w:t>Table 3</w:t>
      </w:r>
      <w:r>
        <w:rPr>
          <w:rFonts w:ascii="Book Antiqua" w:hAnsi="Book Antiqua" w:eastAsia="Book Antiqua" w:cs="Book Antiqua"/>
          <w:b/>
          <w:color w:val="000000" w:themeColor="text1"/>
          <w14:textFill>
            <w14:solidFill>
              <w14:schemeClr w14:val="tx1"/>
            </w14:solidFill>
          </w14:textFill>
        </w:rPr>
        <w:t xml:space="preserve"> Predictive value of indicators on endoscopic relapse</w:t>
      </w:r>
    </w:p>
    <w:tbl>
      <w:tblPr>
        <w:tblStyle w:val="9"/>
        <w:tblW w:w="15280"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72"/>
        <w:gridCol w:w="1786"/>
        <w:gridCol w:w="1786"/>
        <w:gridCol w:w="1786"/>
        <w:gridCol w:w="1970"/>
        <w:gridCol w:w="1970"/>
        <w:gridCol w:w="1970"/>
        <w:gridCol w:w="104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972" w:type="dxa"/>
            <w:tcBorders>
              <w:bottom w:val="single" w:color="auto" w:sz="4" w:space="0"/>
            </w:tcBorders>
            <w:shd w:val="clear" w:color="auto" w:fill="auto"/>
            <w:vAlign w:val="center"/>
          </w:tcPr>
          <w:p>
            <w:pPr>
              <w:spacing w:line="360" w:lineRule="auto"/>
              <w:rPr>
                <w:rFonts w:hint="eastAsia" w:ascii="Book Antiqua" w:hAnsi="Book Antiqua" w:eastAsia="等线" w:cs="宋体"/>
                <w:b/>
                <w:bCs/>
                <w:color w:val="000000"/>
                <w:lang w:eastAsia="zh-CN"/>
              </w:rPr>
            </w:pPr>
          </w:p>
        </w:tc>
        <w:tc>
          <w:tcPr>
            <w:tcW w:w="1786" w:type="dxa"/>
            <w:tcBorders>
              <w:bottom w:val="single" w:color="auto" w:sz="4" w:space="0"/>
            </w:tcBorders>
            <w:shd w:val="clear" w:color="auto" w:fill="auto"/>
            <w:noWrap/>
            <w:vAlign w:val="center"/>
          </w:tcPr>
          <w:p>
            <w:pPr>
              <w:spacing w:line="360" w:lineRule="auto"/>
              <w:rPr>
                <w:rFonts w:ascii="Book Antiqua" w:hAnsi="Book Antiqua" w:eastAsia="等线" w:cs="宋体"/>
                <w:b/>
                <w:bCs/>
                <w:color w:val="000000"/>
              </w:rPr>
            </w:pPr>
            <w:r>
              <w:rPr>
                <w:rFonts w:ascii="Book Antiqua" w:hAnsi="Book Antiqua" w:eastAsia="等线" w:cs="宋体"/>
                <w:b/>
                <w:bCs/>
                <w:color w:val="000000"/>
              </w:rPr>
              <w:t>Youden index</w:t>
            </w:r>
          </w:p>
        </w:tc>
        <w:tc>
          <w:tcPr>
            <w:tcW w:w="1786" w:type="dxa"/>
            <w:tcBorders>
              <w:bottom w:val="single" w:color="auto" w:sz="4" w:space="0"/>
            </w:tcBorders>
            <w:shd w:val="clear" w:color="auto" w:fill="auto"/>
            <w:noWrap/>
            <w:vAlign w:val="center"/>
          </w:tcPr>
          <w:p>
            <w:pPr>
              <w:spacing w:line="360" w:lineRule="auto"/>
              <w:rPr>
                <w:rFonts w:ascii="Book Antiqua" w:hAnsi="Book Antiqua" w:eastAsia="等线" w:cs="宋体"/>
                <w:b/>
                <w:bCs/>
                <w:color w:val="000000"/>
              </w:rPr>
            </w:pPr>
            <w:r>
              <w:rPr>
                <w:rFonts w:ascii="Book Antiqua" w:hAnsi="Book Antiqua" w:eastAsia="等线" w:cs="宋体"/>
                <w:b/>
                <w:bCs/>
                <w:color w:val="000000"/>
              </w:rPr>
              <w:t>Sensitivity</w:t>
            </w:r>
          </w:p>
        </w:tc>
        <w:tc>
          <w:tcPr>
            <w:tcW w:w="1786" w:type="dxa"/>
            <w:tcBorders>
              <w:bottom w:val="single" w:color="auto" w:sz="4" w:space="0"/>
            </w:tcBorders>
            <w:shd w:val="clear" w:color="auto" w:fill="auto"/>
            <w:noWrap/>
            <w:vAlign w:val="center"/>
          </w:tcPr>
          <w:p>
            <w:pPr>
              <w:spacing w:line="360" w:lineRule="auto"/>
              <w:rPr>
                <w:rFonts w:ascii="Book Antiqua" w:hAnsi="Book Antiqua" w:eastAsia="等线" w:cs="宋体"/>
                <w:b/>
                <w:bCs/>
                <w:color w:val="000000"/>
              </w:rPr>
            </w:pPr>
            <w:r>
              <w:rPr>
                <w:rFonts w:ascii="Book Antiqua" w:hAnsi="Book Antiqua" w:eastAsia="等线" w:cs="宋体"/>
                <w:b/>
                <w:bCs/>
                <w:color w:val="000000"/>
              </w:rPr>
              <w:t>Specificity</w:t>
            </w:r>
          </w:p>
        </w:tc>
        <w:tc>
          <w:tcPr>
            <w:tcW w:w="1970" w:type="dxa"/>
            <w:tcBorders>
              <w:bottom w:val="single" w:color="auto" w:sz="4" w:space="0"/>
            </w:tcBorders>
            <w:shd w:val="clear" w:color="auto" w:fill="auto"/>
            <w:vAlign w:val="center"/>
          </w:tcPr>
          <w:p>
            <w:pPr>
              <w:spacing w:line="360" w:lineRule="auto"/>
              <w:rPr>
                <w:rFonts w:ascii="Book Antiqua" w:hAnsi="Book Antiqua" w:eastAsia="等线" w:cs="宋体"/>
                <w:b/>
                <w:bCs/>
                <w:color w:val="000000"/>
              </w:rPr>
            </w:pPr>
            <w:r>
              <w:rPr>
                <w:rFonts w:ascii="Book Antiqua" w:hAnsi="Book Antiqua" w:eastAsia="等线" w:cs="宋体"/>
                <w:b/>
                <w:bCs/>
                <w:color w:val="000000"/>
              </w:rPr>
              <w:t>Positive predictive value</w:t>
            </w:r>
          </w:p>
        </w:tc>
        <w:tc>
          <w:tcPr>
            <w:tcW w:w="1970" w:type="dxa"/>
            <w:tcBorders>
              <w:bottom w:val="single" w:color="auto" w:sz="4" w:space="0"/>
            </w:tcBorders>
            <w:shd w:val="clear" w:color="auto" w:fill="auto"/>
            <w:vAlign w:val="center"/>
          </w:tcPr>
          <w:p>
            <w:pPr>
              <w:spacing w:line="360" w:lineRule="auto"/>
              <w:rPr>
                <w:rFonts w:ascii="Book Antiqua" w:hAnsi="Book Antiqua" w:eastAsia="等线" w:cs="宋体"/>
                <w:b/>
                <w:bCs/>
                <w:color w:val="000000"/>
              </w:rPr>
            </w:pPr>
            <w:r>
              <w:rPr>
                <w:rFonts w:ascii="Book Antiqua" w:hAnsi="Book Antiqua" w:eastAsia="等线" w:cs="宋体"/>
                <w:b/>
                <w:bCs/>
                <w:color w:val="000000"/>
              </w:rPr>
              <w:t>Negative predictive value</w:t>
            </w:r>
          </w:p>
        </w:tc>
        <w:tc>
          <w:tcPr>
            <w:tcW w:w="1970" w:type="dxa"/>
            <w:tcBorders>
              <w:bottom w:val="single" w:color="auto" w:sz="4" w:space="0"/>
            </w:tcBorders>
            <w:shd w:val="clear" w:color="auto" w:fill="auto"/>
            <w:vAlign w:val="center"/>
          </w:tcPr>
          <w:p>
            <w:pPr>
              <w:spacing w:line="360" w:lineRule="auto"/>
              <w:rPr>
                <w:rFonts w:ascii="Book Antiqua" w:hAnsi="Book Antiqua" w:eastAsia="等线" w:cs="宋体"/>
                <w:b/>
                <w:bCs/>
                <w:color w:val="000000"/>
              </w:rPr>
            </w:pPr>
            <w:r>
              <w:rPr>
                <w:rFonts w:ascii="Book Antiqua" w:hAnsi="Book Antiqua" w:eastAsia="等线" w:cs="宋体"/>
                <w:b/>
                <w:bCs/>
                <w:color w:val="000000"/>
              </w:rPr>
              <w:t>Area under the ROC curve</w:t>
            </w:r>
          </w:p>
        </w:tc>
        <w:tc>
          <w:tcPr>
            <w:tcW w:w="1040" w:type="dxa"/>
            <w:tcBorders>
              <w:bottom w:val="single" w:color="auto" w:sz="4" w:space="0"/>
            </w:tcBorders>
            <w:shd w:val="clear" w:color="auto" w:fill="auto"/>
            <w:noWrap/>
            <w:vAlign w:val="center"/>
          </w:tcPr>
          <w:p>
            <w:pPr>
              <w:spacing w:line="360" w:lineRule="auto"/>
              <w:rPr>
                <w:rFonts w:ascii="Book Antiqua" w:hAnsi="Book Antiqua" w:eastAsia="等线" w:cs="宋体"/>
                <w:b/>
                <w:bCs/>
                <w:i/>
                <w:iCs/>
                <w:color w:val="000000"/>
              </w:rPr>
            </w:pPr>
            <w:r>
              <w:rPr>
                <w:rFonts w:ascii="Book Antiqua" w:hAnsi="Book Antiqua" w:eastAsia="等线" w:cs="宋体"/>
                <w:b/>
                <w:bCs/>
                <w:i/>
                <w:iCs/>
                <w:color w:val="000000"/>
              </w:rPr>
              <w:t xml:space="preserve">P </w:t>
            </w:r>
            <w:r>
              <w:rPr>
                <w:rFonts w:ascii="Book Antiqua" w:hAnsi="Book Antiqua" w:eastAsia="等线" w:cs="宋体"/>
                <w:b/>
                <w:bCs/>
                <w:iCs/>
                <w:color w:val="000000"/>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972" w:type="dxa"/>
            <w:tcBorders>
              <w:top w:val="single" w:color="auto" w:sz="4" w:space="0"/>
            </w:tcBorders>
            <w:shd w:val="clear" w:color="auto" w:fill="auto"/>
          </w:tcPr>
          <w:p>
            <w:pPr>
              <w:spacing w:line="360" w:lineRule="auto"/>
              <w:rPr>
                <w:rFonts w:ascii="Book Antiqua" w:hAnsi="Book Antiqua" w:eastAsia="等线" w:cs="宋体"/>
                <w:bCs/>
                <w:color w:val="000000"/>
              </w:rPr>
            </w:pPr>
            <w:r>
              <w:rPr>
                <w:rFonts w:ascii="Book Antiqua" w:hAnsi="Book Antiqua" w:eastAsia="等线" w:cs="宋体"/>
                <w:bCs/>
                <w:color w:val="000000"/>
              </w:rPr>
              <w:t>Predictors at week 14 of Endoscopic relapse at week 54</w:t>
            </w:r>
          </w:p>
        </w:tc>
        <w:tc>
          <w:tcPr>
            <w:tcW w:w="1786" w:type="dxa"/>
            <w:tcBorders>
              <w:top w:val="single" w:color="auto" w:sz="4" w:space="0"/>
            </w:tcBorders>
            <w:shd w:val="clear" w:color="auto" w:fill="auto"/>
            <w:noWrap/>
            <w:vAlign w:val="center"/>
          </w:tcPr>
          <w:p>
            <w:pPr>
              <w:spacing w:line="360" w:lineRule="auto"/>
              <w:rPr>
                <w:rFonts w:hint="eastAsia" w:ascii="Book Antiqua" w:hAnsi="Book Antiqua" w:eastAsia="等线" w:cs="宋体"/>
                <w:color w:val="000000"/>
                <w:lang w:eastAsia="zh-CN"/>
              </w:rPr>
            </w:pPr>
          </w:p>
        </w:tc>
        <w:tc>
          <w:tcPr>
            <w:tcW w:w="1786" w:type="dxa"/>
            <w:tcBorders>
              <w:top w:val="single" w:color="auto" w:sz="4" w:space="0"/>
            </w:tcBorders>
            <w:shd w:val="clear" w:color="auto" w:fill="auto"/>
            <w:noWrap/>
            <w:vAlign w:val="center"/>
          </w:tcPr>
          <w:p>
            <w:pPr>
              <w:spacing w:line="360" w:lineRule="auto"/>
              <w:rPr>
                <w:rFonts w:hint="eastAsia" w:ascii="Book Antiqua" w:hAnsi="Book Antiqua" w:eastAsia="等线" w:cs="宋体"/>
                <w:color w:val="000000"/>
                <w:lang w:eastAsia="zh-CN"/>
              </w:rPr>
            </w:pPr>
          </w:p>
        </w:tc>
        <w:tc>
          <w:tcPr>
            <w:tcW w:w="1786" w:type="dxa"/>
            <w:tcBorders>
              <w:top w:val="single" w:color="auto" w:sz="4" w:space="0"/>
            </w:tcBorders>
            <w:shd w:val="clear" w:color="auto" w:fill="auto"/>
            <w:noWrap/>
            <w:vAlign w:val="center"/>
          </w:tcPr>
          <w:p>
            <w:pPr>
              <w:spacing w:line="360" w:lineRule="auto"/>
              <w:rPr>
                <w:rFonts w:hint="eastAsia" w:ascii="Book Antiqua" w:hAnsi="Book Antiqua" w:eastAsia="等线" w:cs="宋体"/>
                <w:color w:val="000000"/>
                <w:lang w:eastAsia="zh-CN"/>
              </w:rPr>
            </w:pPr>
          </w:p>
        </w:tc>
        <w:tc>
          <w:tcPr>
            <w:tcW w:w="1970" w:type="dxa"/>
            <w:tcBorders>
              <w:top w:val="single" w:color="auto" w:sz="4" w:space="0"/>
            </w:tcBorders>
            <w:shd w:val="clear" w:color="auto" w:fill="auto"/>
            <w:noWrap/>
            <w:vAlign w:val="center"/>
          </w:tcPr>
          <w:p>
            <w:pPr>
              <w:spacing w:line="360" w:lineRule="auto"/>
              <w:rPr>
                <w:rFonts w:hint="eastAsia" w:ascii="Book Antiqua" w:hAnsi="Book Antiqua" w:eastAsia="等线" w:cs="宋体"/>
                <w:color w:val="000000"/>
                <w:lang w:eastAsia="zh-CN"/>
              </w:rPr>
            </w:pPr>
          </w:p>
        </w:tc>
        <w:tc>
          <w:tcPr>
            <w:tcW w:w="1970" w:type="dxa"/>
            <w:tcBorders>
              <w:top w:val="single" w:color="auto" w:sz="4" w:space="0"/>
            </w:tcBorders>
            <w:shd w:val="clear" w:color="auto" w:fill="auto"/>
            <w:noWrap/>
            <w:vAlign w:val="center"/>
          </w:tcPr>
          <w:p>
            <w:pPr>
              <w:spacing w:line="360" w:lineRule="auto"/>
              <w:rPr>
                <w:rFonts w:hint="eastAsia" w:ascii="Book Antiqua" w:hAnsi="Book Antiqua" w:eastAsia="等线" w:cs="宋体"/>
                <w:color w:val="000000"/>
                <w:lang w:eastAsia="zh-CN"/>
              </w:rPr>
            </w:pPr>
          </w:p>
        </w:tc>
        <w:tc>
          <w:tcPr>
            <w:tcW w:w="1970" w:type="dxa"/>
            <w:tcBorders>
              <w:top w:val="single" w:color="auto" w:sz="4" w:space="0"/>
            </w:tcBorders>
            <w:shd w:val="clear" w:color="auto" w:fill="auto"/>
            <w:noWrap/>
            <w:vAlign w:val="center"/>
          </w:tcPr>
          <w:p>
            <w:pPr>
              <w:spacing w:line="360" w:lineRule="auto"/>
              <w:rPr>
                <w:rFonts w:hint="eastAsia" w:ascii="Book Antiqua" w:hAnsi="Book Antiqua" w:eastAsia="等线" w:cs="宋体"/>
                <w:color w:val="000000"/>
                <w:lang w:eastAsia="zh-CN"/>
              </w:rPr>
            </w:pPr>
          </w:p>
        </w:tc>
        <w:tc>
          <w:tcPr>
            <w:tcW w:w="1040" w:type="dxa"/>
            <w:tcBorders>
              <w:top w:val="single" w:color="auto" w:sz="4" w:space="0"/>
            </w:tcBorders>
            <w:shd w:val="clear" w:color="auto" w:fill="auto"/>
            <w:noWrap/>
            <w:vAlign w:val="center"/>
          </w:tcPr>
          <w:p>
            <w:pPr>
              <w:spacing w:line="360" w:lineRule="auto"/>
              <w:rPr>
                <w:rFonts w:hint="eastAsia" w:ascii="Book Antiqua" w:hAnsi="Book Antiqua" w:eastAsia="等线" w:cs="宋体"/>
                <w:color w:val="000000"/>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972" w:type="dxa"/>
            <w:shd w:val="clear" w:color="auto" w:fill="auto"/>
            <w:vAlign w:val="center"/>
          </w:tcPr>
          <w:p>
            <w:pPr>
              <w:spacing w:line="360" w:lineRule="auto"/>
              <w:rPr>
                <w:rFonts w:ascii="Book Antiqua" w:hAnsi="Book Antiqua" w:eastAsia="等线" w:cs="宋体"/>
                <w:color w:val="000000"/>
              </w:rPr>
            </w:pPr>
            <w:r>
              <w:rPr>
                <w:rFonts w:ascii="Book Antiqua" w:hAnsi="Book Antiqua" w:eastAsia="等线" w:cs="宋体"/>
                <w:color w:val="000000"/>
              </w:rPr>
              <w:t xml:space="preserve">ITL </w:t>
            </w:r>
            <w:r>
              <w:rPr>
                <w:rFonts w:ascii="Book Antiqua" w:hAnsi="Book Antiqua" w:eastAsia="宋体" w:cs="宋体"/>
                <w:color w:val="000000"/>
              </w:rPr>
              <w:t xml:space="preserve">≤ </w:t>
            </w:r>
            <w:r>
              <w:rPr>
                <w:rFonts w:ascii="Book Antiqua" w:hAnsi="Book Antiqua" w:eastAsia="等线" w:cs="宋体"/>
                <w:color w:val="000000"/>
              </w:rPr>
              <w:t>5.6 μg/m</w:t>
            </w:r>
            <w:r>
              <w:rPr>
                <w:rFonts w:ascii="Book Antiqua" w:hAnsi="Book Antiqua" w:eastAsia="等线" w:cs="宋体"/>
                <w:caps/>
                <w:color w:val="000000"/>
              </w:rPr>
              <w:t>l</w:t>
            </w:r>
          </w:p>
        </w:tc>
        <w:tc>
          <w:tcPr>
            <w:tcW w:w="1786"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0.61 (0.41-0.72)</w:t>
            </w:r>
          </w:p>
        </w:tc>
        <w:tc>
          <w:tcPr>
            <w:tcW w:w="1786"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0.92 (0.75-0.99)</w:t>
            </w:r>
          </w:p>
        </w:tc>
        <w:tc>
          <w:tcPr>
            <w:tcW w:w="1786"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0.69 (0.56-0.79)</w:t>
            </w:r>
          </w:p>
        </w:tc>
        <w:tc>
          <w:tcPr>
            <w:tcW w:w="197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0.53 (0.44-0.62)</w:t>
            </w:r>
          </w:p>
        </w:tc>
        <w:tc>
          <w:tcPr>
            <w:tcW w:w="197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0.96 (0.86-0.99)</w:t>
            </w:r>
          </w:p>
        </w:tc>
        <w:tc>
          <w:tcPr>
            <w:tcW w:w="197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0.83 (0.73-0.90)</w:t>
            </w:r>
          </w:p>
        </w:tc>
        <w:tc>
          <w:tcPr>
            <w:tcW w:w="104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宋体" w:cs="宋体"/>
                <w:color w:val="000000"/>
              </w:rPr>
              <w:t xml:space="preserve">&lt; </w:t>
            </w:r>
            <w:r>
              <w:rPr>
                <w:rFonts w:ascii="Book Antiqua" w:hAnsi="Book Antiqua" w:eastAsia="等线" w:cs="宋体"/>
                <w:color w:val="000000"/>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972" w:type="dxa"/>
            <w:shd w:val="clear" w:color="auto" w:fill="auto"/>
            <w:vAlign w:val="center"/>
          </w:tcPr>
          <w:p>
            <w:pPr>
              <w:spacing w:line="360" w:lineRule="auto"/>
              <w:rPr>
                <w:rFonts w:ascii="Book Antiqua" w:hAnsi="Book Antiqua" w:eastAsia="等线" w:cs="宋体"/>
                <w:color w:val="000000"/>
              </w:rPr>
            </w:pPr>
            <w:r>
              <w:rPr>
                <w:rFonts w:ascii="Book Antiqua" w:hAnsi="Book Antiqua" w:eastAsia="等线" w:cs="宋体"/>
                <w:color w:val="000000"/>
              </w:rPr>
              <w:t xml:space="preserve">FCP </w:t>
            </w:r>
            <w:r>
              <w:rPr>
                <w:rFonts w:ascii="Book Antiqua" w:hAnsi="Book Antiqua" w:eastAsia="宋体" w:cs="宋体"/>
                <w:color w:val="000000"/>
              </w:rPr>
              <w:t xml:space="preserve">&gt; </w:t>
            </w:r>
            <w:r>
              <w:rPr>
                <w:rFonts w:ascii="Book Antiqua" w:hAnsi="Book Antiqua" w:eastAsia="等线" w:cs="宋体"/>
                <w:color w:val="000000"/>
              </w:rPr>
              <w:t>238 μg/g</w:t>
            </w:r>
          </w:p>
        </w:tc>
        <w:tc>
          <w:tcPr>
            <w:tcW w:w="1786"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0.64 (0.38-0.78)</w:t>
            </w:r>
          </w:p>
        </w:tc>
        <w:tc>
          <w:tcPr>
            <w:tcW w:w="1786"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0.73 (0.52-0.88)</w:t>
            </w:r>
          </w:p>
        </w:tc>
        <w:tc>
          <w:tcPr>
            <w:tcW w:w="1786"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0.91 (0.82-0.97)</w:t>
            </w:r>
          </w:p>
        </w:tc>
        <w:tc>
          <w:tcPr>
            <w:tcW w:w="197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0.76 (0.59-0.88)</w:t>
            </w:r>
          </w:p>
        </w:tc>
        <w:tc>
          <w:tcPr>
            <w:tcW w:w="197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0.90 (0.82-0.94)</w:t>
            </w:r>
          </w:p>
        </w:tc>
        <w:tc>
          <w:tcPr>
            <w:tcW w:w="197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0.82 (0.72-0.89)</w:t>
            </w:r>
          </w:p>
        </w:tc>
        <w:tc>
          <w:tcPr>
            <w:tcW w:w="104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宋体" w:cs="宋体"/>
                <w:color w:val="000000"/>
              </w:rPr>
              <w:t xml:space="preserve">&lt; </w:t>
            </w:r>
            <w:r>
              <w:rPr>
                <w:rFonts w:ascii="Book Antiqua" w:hAnsi="Book Antiqua" w:eastAsia="等线" w:cs="宋体"/>
                <w:color w:val="000000"/>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972" w:type="dxa"/>
            <w:shd w:val="clear" w:color="auto" w:fill="auto"/>
            <w:vAlign w:val="center"/>
          </w:tcPr>
          <w:p>
            <w:pPr>
              <w:spacing w:line="360" w:lineRule="auto"/>
              <w:rPr>
                <w:rFonts w:ascii="Book Antiqua" w:hAnsi="Book Antiqua" w:eastAsia="等线" w:cs="宋体"/>
                <w:color w:val="000000"/>
              </w:rPr>
            </w:pPr>
            <w:r>
              <w:rPr>
                <w:rFonts w:ascii="Book Antiqua" w:hAnsi="Book Antiqua" w:eastAsia="等线" w:cs="宋体"/>
                <w:color w:val="000000"/>
              </w:rPr>
              <w:t>ITL ≤ 5.6 μg/m</w:t>
            </w:r>
            <w:r>
              <w:rPr>
                <w:rFonts w:ascii="Book Antiqua" w:hAnsi="Book Antiqua" w:eastAsia="等线" w:cs="宋体"/>
                <w:caps/>
                <w:color w:val="000000"/>
              </w:rPr>
              <w:t>l</w:t>
            </w:r>
            <w:r>
              <w:rPr>
                <w:rFonts w:ascii="Book Antiqua" w:hAnsi="Book Antiqua" w:eastAsia="等线" w:cs="宋体"/>
                <w:color w:val="000000"/>
              </w:rPr>
              <w:t xml:space="preserve"> and FCP &gt; 238 μg/g</w:t>
            </w:r>
          </w:p>
        </w:tc>
        <w:tc>
          <w:tcPr>
            <w:tcW w:w="1786"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0.63 (0.40-0.80)</w:t>
            </w:r>
          </w:p>
        </w:tc>
        <w:tc>
          <w:tcPr>
            <w:tcW w:w="1786"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0.69 (0.48-0.86)</w:t>
            </w:r>
          </w:p>
        </w:tc>
        <w:tc>
          <w:tcPr>
            <w:tcW w:w="1786"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0.94 (0.85-0.98)</w:t>
            </w:r>
          </w:p>
        </w:tc>
        <w:tc>
          <w:tcPr>
            <w:tcW w:w="197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0.82 (0.63-0.92)</w:t>
            </w:r>
          </w:p>
        </w:tc>
        <w:tc>
          <w:tcPr>
            <w:tcW w:w="197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0.89 (0.82-0.93)</w:t>
            </w:r>
          </w:p>
        </w:tc>
        <w:tc>
          <w:tcPr>
            <w:tcW w:w="197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0.82 (0.72-0.89)</w:t>
            </w:r>
          </w:p>
        </w:tc>
        <w:tc>
          <w:tcPr>
            <w:tcW w:w="104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宋体" w:cs="宋体"/>
                <w:color w:val="000000"/>
              </w:rPr>
              <w:t xml:space="preserve">&lt; </w:t>
            </w:r>
            <w:r>
              <w:rPr>
                <w:rFonts w:ascii="Book Antiqua" w:hAnsi="Book Antiqua" w:eastAsia="等线" w:cs="宋体"/>
                <w:color w:val="000000"/>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972" w:type="dxa"/>
            <w:shd w:val="clear" w:color="auto" w:fill="auto"/>
            <w:vAlign w:val="center"/>
          </w:tcPr>
          <w:p>
            <w:pPr>
              <w:spacing w:line="360" w:lineRule="auto"/>
              <w:rPr>
                <w:rFonts w:ascii="Book Antiqua" w:hAnsi="Book Antiqua" w:eastAsia="等线" w:cs="宋体"/>
                <w:color w:val="000000"/>
              </w:rPr>
            </w:pPr>
            <w:r>
              <w:rPr>
                <w:rFonts w:ascii="Book Antiqua" w:hAnsi="Book Antiqua" w:eastAsia="等线" w:cs="宋体"/>
                <w:color w:val="000000"/>
              </w:rPr>
              <w:t>ITL ≤ 5.6 μg/m</w:t>
            </w:r>
            <w:r>
              <w:rPr>
                <w:rFonts w:ascii="Book Antiqua" w:hAnsi="Book Antiqua" w:eastAsia="等线" w:cs="宋体"/>
                <w:caps/>
                <w:color w:val="000000"/>
              </w:rPr>
              <w:t>l</w:t>
            </w:r>
            <w:r>
              <w:rPr>
                <w:rFonts w:ascii="Book Antiqua" w:hAnsi="Book Antiqua" w:eastAsia="等线" w:cs="宋体"/>
                <w:color w:val="000000"/>
              </w:rPr>
              <w:t xml:space="preserve"> or FCP &gt; 238 μg/g</w:t>
            </w:r>
          </w:p>
        </w:tc>
        <w:tc>
          <w:tcPr>
            <w:tcW w:w="1786"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0.62 (0.47-0.74)</w:t>
            </w:r>
          </w:p>
        </w:tc>
        <w:tc>
          <w:tcPr>
            <w:tcW w:w="1786"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0.96 (0.80-1.00)</w:t>
            </w:r>
          </w:p>
        </w:tc>
        <w:tc>
          <w:tcPr>
            <w:tcW w:w="1786"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0.66 (0.53-0.77)</w:t>
            </w:r>
          </w:p>
        </w:tc>
        <w:tc>
          <w:tcPr>
            <w:tcW w:w="197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0.52 (0.44-0.60)</w:t>
            </w:r>
          </w:p>
        </w:tc>
        <w:tc>
          <w:tcPr>
            <w:tcW w:w="197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0.98 (0.87-1.00)</w:t>
            </w:r>
          </w:p>
        </w:tc>
        <w:tc>
          <w:tcPr>
            <w:tcW w:w="197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0.81 (0.71-0.88)</w:t>
            </w:r>
          </w:p>
        </w:tc>
        <w:tc>
          <w:tcPr>
            <w:tcW w:w="104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宋体" w:cs="宋体"/>
                <w:color w:val="000000"/>
              </w:rPr>
              <w:t xml:space="preserve">&lt; </w:t>
            </w:r>
            <w:r>
              <w:rPr>
                <w:rFonts w:ascii="Book Antiqua" w:hAnsi="Book Antiqua" w:eastAsia="等线" w:cs="宋体"/>
                <w:color w:val="000000"/>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972" w:type="dxa"/>
            <w:shd w:val="clear" w:color="auto" w:fill="auto"/>
          </w:tcPr>
          <w:p>
            <w:pPr>
              <w:spacing w:line="360" w:lineRule="auto"/>
              <w:rPr>
                <w:rFonts w:ascii="Book Antiqua" w:hAnsi="Book Antiqua" w:eastAsia="等线" w:cs="宋体"/>
                <w:bCs/>
                <w:color w:val="000000"/>
              </w:rPr>
            </w:pPr>
            <w:r>
              <w:rPr>
                <w:rFonts w:ascii="Book Antiqua" w:hAnsi="Book Antiqua" w:eastAsia="等线" w:cs="宋体"/>
                <w:bCs/>
                <w:color w:val="000000"/>
              </w:rPr>
              <w:t>Predictors at week 54 of Endoscopic relapse at week 108</w:t>
            </w:r>
          </w:p>
        </w:tc>
        <w:tc>
          <w:tcPr>
            <w:tcW w:w="1786" w:type="dxa"/>
            <w:shd w:val="clear" w:color="auto" w:fill="auto"/>
            <w:noWrap/>
            <w:vAlign w:val="center"/>
          </w:tcPr>
          <w:p>
            <w:pPr>
              <w:spacing w:line="360" w:lineRule="auto"/>
              <w:rPr>
                <w:rFonts w:hint="eastAsia" w:ascii="Book Antiqua" w:hAnsi="Book Antiqua" w:eastAsia="等线" w:cs="宋体"/>
                <w:color w:val="000000"/>
                <w:lang w:eastAsia="zh-CN"/>
              </w:rPr>
            </w:pPr>
          </w:p>
        </w:tc>
        <w:tc>
          <w:tcPr>
            <w:tcW w:w="1786" w:type="dxa"/>
            <w:shd w:val="clear" w:color="auto" w:fill="auto"/>
            <w:noWrap/>
            <w:vAlign w:val="center"/>
          </w:tcPr>
          <w:p>
            <w:pPr>
              <w:spacing w:line="360" w:lineRule="auto"/>
              <w:rPr>
                <w:rFonts w:hint="eastAsia" w:ascii="Book Antiqua" w:hAnsi="Book Antiqua" w:eastAsia="等线" w:cs="宋体"/>
                <w:color w:val="000000"/>
                <w:lang w:eastAsia="zh-CN"/>
              </w:rPr>
            </w:pPr>
          </w:p>
        </w:tc>
        <w:tc>
          <w:tcPr>
            <w:tcW w:w="1786" w:type="dxa"/>
            <w:shd w:val="clear" w:color="auto" w:fill="auto"/>
            <w:noWrap/>
            <w:vAlign w:val="center"/>
          </w:tcPr>
          <w:p>
            <w:pPr>
              <w:spacing w:line="360" w:lineRule="auto"/>
              <w:rPr>
                <w:rFonts w:hint="eastAsia" w:ascii="Book Antiqua" w:hAnsi="Book Antiqua" w:eastAsia="等线" w:cs="宋体"/>
                <w:color w:val="000000"/>
                <w:lang w:eastAsia="zh-CN"/>
              </w:rPr>
            </w:pPr>
          </w:p>
        </w:tc>
        <w:tc>
          <w:tcPr>
            <w:tcW w:w="1970" w:type="dxa"/>
            <w:shd w:val="clear" w:color="auto" w:fill="auto"/>
            <w:noWrap/>
            <w:vAlign w:val="center"/>
          </w:tcPr>
          <w:p>
            <w:pPr>
              <w:spacing w:line="360" w:lineRule="auto"/>
              <w:rPr>
                <w:rFonts w:hint="eastAsia" w:ascii="Book Antiqua" w:hAnsi="Book Antiqua" w:eastAsia="等线" w:cs="宋体"/>
                <w:color w:val="000000"/>
                <w:lang w:eastAsia="zh-CN"/>
              </w:rPr>
            </w:pPr>
          </w:p>
        </w:tc>
        <w:tc>
          <w:tcPr>
            <w:tcW w:w="1970" w:type="dxa"/>
            <w:shd w:val="clear" w:color="auto" w:fill="auto"/>
            <w:noWrap/>
            <w:vAlign w:val="center"/>
          </w:tcPr>
          <w:p>
            <w:pPr>
              <w:spacing w:line="360" w:lineRule="auto"/>
              <w:rPr>
                <w:rFonts w:hint="eastAsia" w:ascii="Book Antiqua" w:hAnsi="Book Antiqua" w:eastAsia="等线" w:cs="宋体"/>
                <w:color w:val="000000"/>
                <w:lang w:eastAsia="zh-CN"/>
              </w:rPr>
            </w:pPr>
          </w:p>
        </w:tc>
        <w:tc>
          <w:tcPr>
            <w:tcW w:w="1970" w:type="dxa"/>
            <w:shd w:val="clear" w:color="auto" w:fill="auto"/>
            <w:noWrap/>
            <w:vAlign w:val="center"/>
          </w:tcPr>
          <w:p>
            <w:pPr>
              <w:spacing w:line="360" w:lineRule="auto"/>
              <w:rPr>
                <w:rFonts w:hint="eastAsia" w:ascii="Book Antiqua" w:hAnsi="Book Antiqua" w:eastAsia="等线" w:cs="宋体"/>
                <w:color w:val="000000"/>
                <w:lang w:eastAsia="zh-CN"/>
              </w:rPr>
            </w:pPr>
          </w:p>
        </w:tc>
        <w:tc>
          <w:tcPr>
            <w:tcW w:w="1040" w:type="dxa"/>
            <w:shd w:val="clear" w:color="auto" w:fill="auto"/>
            <w:noWrap/>
            <w:vAlign w:val="center"/>
          </w:tcPr>
          <w:p>
            <w:pPr>
              <w:spacing w:line="360" w:lineRule="auto"/>
              <w:rPr>
                <w:rFonts w:ascii="Book Antiqua" w:hAnsi="Book Antiqua" w:eastAsia="等线" w:cs="宋体"/>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972" w:type="dxa"/>
            <w:shd w:val="clear" w:color="auto" w:fill="auto"/>
            <w:vAlign w:val="center"/>
          </w:tcPr>
          <w:p>
            <w:pPr>
              <w:spacing w:line="360" w:lineRule="auto"/>
              <w:rPr>
                <w:rFonts w:ascii="Book Antiqua" w:hAnsi="Book Antiqua" w:eastAsia="等线" w:cs="宋体"/>
                <w:color w:val="000000"/>
              </w:rPr>
            </w:pPr>
            <w:r>
              <w:rPr>
                <w:rFonts w:ascii="Book Antiqua" w:hAnsi="Book Antiqua" w:eastAsia="等线" w:cs="宋体"/>
                <w:color w:val="000000"/>
              </w:rPr>
              <w:t xml:space="preserve">ITL </w:t>
            </w:r>
            <w:r>
              <w:rPr>
                <w:rFonts w:ascii="Book Antiqua" w:hAnsi="Book Antiqua" w:eastAsia="宋体" w:cs="宋体"/>
                <w:color w:val="000000"/>
              </w:rPr>
              <w:t xml:space="preserve">≤ </w:t>
            </w:r>
            <w:r>
              <w:rPr>
                <w:rFonts w:ascii="Book Antiqua" w:hAnsi="Book Antiqua" w:eastAsia="等线" w:cs="宋体"/>
                <w:color w:val="000000"/>
              </w:rPr>
              <w:t>2.1 μg/m</w:t>
            </w:r>
            <w:r>
              <w:rPr>
                <w:rFonts w:ascii="Book Antiqua" w:hAnsi="Book Antiqua" w:eastAsia="等线" w:cs="宋体"/>
                <w:caps/>
                <w:color w:val="000000"/>
              </w:rPr>
              <w:t>l</w:t>
            </w:r>
          </w:p>
        </w:tc>
        <w:tc>
          <w:tcPr>
            <w:tcW w:w="1786"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0.68 (0.40-0.87)</w:t>
            </w:r>
          </w:p>
        </w:tc>
        <w:tc>
          <w:tcPr>
            <w:tcW w:w="1786"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0.75 (0.43-0.95)</w:t>
            </w:r>
          </w:p>
        </w:tc>
        <w:tc>
          <w:tcPr>
            <w:tcW w:w="1786"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0.93 (0.81-0.99)</w:t>
            </w:r>
          </w:p>
        </w:tc>
        <w:tc>
          <w:tcPr>
            <w:tcW w:w="197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0.75 (0.49-0.90)</w:t>
            </w:r>
          </w:p>
        </w:tc>
        <w:tc>
          <w:tcPr>
            <w:tcW w:w="197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0.93 (0.83-0.97)</w:t>
            </w:r>
          </w:p>
        </w:tc>
        <w:tc>
          <w:tcPr>
            <w:tcW w:w="197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0.85 (0.72-0.93)</w:t>
            </w:r>
          </w:p>
        </w:tc>
        <w:tc>
          <w:tcPr>
            <w:tcW w:w="104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宋体" w:cs="宋体"/>
                <w:color w:val="000000"/>
              </w:rPr>
              <w:t xml:space="preserve">&lt; </w:t>
            </w:r>
            <w:r>
              <w:rPr>
                <w:rFonts w:ascii="Book Antiqua" w:hAnsi="Book Antiqua" w:eastAsia="等线" w:cs="宋体"/>
                <w:color w:val="000000"/>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972" w:type="dxa"/>
            <w:shd w:val="clear" w:color="auto" w:fill="auto"/>
            <w:vAlign w:val="center"/>
          </w:tcPr>
          <w:p>
            <w:pPr>
              <w:spacing w:line="360" w:lineRule="auto"/>
              <w:rPr>
                <w:rFonts w:ascii="Book Antiqua" w:hAnsi="Book Antiqua" w:eastAsia="等线" w:cs="宋体"/>
                <w:color w:val="000000"/>
              </w:rPr>
            </w:pPr>
            <w:r>
              <w:rPr>
                <w:rFonts w:ascii="Book Antiqua" w:hAnsi="Book Antiqua" w:eastAsia="等线" w:cs="宋体"/>
                <w:color w:val="000000"/>
              </w:rPr>
              <w:t xml:space="preserve">CRP </w:t>
            </w:r>
            <w:r>
              <w:rPr>
                <w:rFonts w:ascii="Book Antiqua" w:hAnsi="Book Antiqua" w:eastAsia="宋体" w:cs="宋体"/>
                <w:color w:val="000000"/>
              </w:rPr>
              <w:t xml:space="preserve">&gt; </w:t>
            </w:r>
            <w:r>
              <w:rPr>
                <w:rFonts w:ascii="Book Antiqua" w:hAnsi="Book Antiqua" w:eastAsia="等线" w:cs="宋体"/>
                <w:color w:val="000000"/>
              </w:rPr>
              <w:t>3.0 mg/d</w:t>
            </w:r>
            <w:r>
              <w:rPr>
                <w:rFonts w:ascii="Book Antiqua" w:hAnsi="Book Antiqua" w:eastAsia="等线" w:cs="宋体"/>
                <w:caps/>
                <w:color w:val="000000"/>
              </w:rPr>
              <w:t>l</w:t>
            </w:r>
          </w:p>
        </w:tc>
        <w:tc>
          <w:tcPr>
            <w:tcW w:w="1786"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0.45 (0.20-0.68)</w:t>
            </w:r>
          </w:p>
        </w:tc>
        <w:tc>
          <w:tcPr>
            <w:tcW w:w="1786"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0.50 (0.21-0.79)</w:t>
            </w:r>
          </w:p>
        </w:tc>
        <w:tc>
          <w:tcPr>
            <w:tcW w:w="1786"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0.95 (0.84-0.99)</w:t>
            </w:r>
          </w:p>
        </w:tc>
        <w:tc>
          <w:tcPr>
            <w:tcW w:w="197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0.75 (0.41-0.93)</w:t>
            </w:r>
          </w:p>
        </w:tc>
        <w:tc>
          <w:tcPr>
            <w:tcW w:w="197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0.87 (0.79-0.92)</w:t>
            </w:r>
          </w:p>
        </w:tc>
        <w:tc>
          <w:tcPr>
            <w:tcW w:w="197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0.73 (0.60-0.84)</w:t>
            </w:r>
          </w:p>
        </w:tc>
        <w:tc>
          <w:tcPr>
            <w:tcW w:w="104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972" w:type="dxa"/>
            <w:shd w:val="clear" w:color="auto" w:fill="auto"/>
            <w:vAlign w:val="center"/>
          </w:tcPr>
          <w:p>
            <w:pPr>
              <w:spacing w:line="360" w:lineRule="auto"/>
              <w:rPr>
                <w:rFonts w:ascii="Book Antiqua" w:hAnsi="Book Antiqua" w:eastAsia="等线" w:cs="宋体"/>
                <w:color w:val="000000"/>
              </w:rPr>
            </w:pPr>
            <w:r>
              <w:rPr>
                <w:rFonts w:ascii="Book Antiqua" w:hAnsi="Book Antiqua" w:eastAsia="等线" w:cs="宋体"/>
                <w:color w:val="000000"/>
              </w:rPr>
              <w:t>ITL ≤ 2.1 μg/m</w:t>
            </w:r>
            <w:r>
              <w:rPr>
                <w:rFonts w:ascii="Book Antiqua" w:hAnsi="Book Antiqua" w:eastAsia="等线" w:cs="宋体"/>
                <w:caps/>
                <w:color w:val="000000"/>
              </w:rPr>
              <w:t>l</w:t>
            </w:r>
            <w:r>
              <w:rPr>
                <w:rFonts w:ascii="Book Antiqua" w:hAnsi="Book Antiqua" w:eastAsia="等线" w:cs="宋体"/>
                <w:color w:val="000000"/>
              </w:rPr>
              <w:t xml:space="preserve"> and CRP &gt; 3.0 mg/d</w:t>
            </w:r>
            <w:r>
              <w:rPr>
                <w:rFonts w:ascii="Book Antiqua" w:hAnsi="Book Antiqua" w:eastAsia="等线" w:cs="宋体"/>
                <w:caps/>
                <w:color w:val="000000"/>
              </w:rPr>
              <w:t>l</w:t>
            </w:r>
          </w:p>
        </w:tc>
        <w:tc>
          <w:tcPr>
            <w:tcW w:w="1786"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0.33 (0.08-0.58)</w:t>
            </w:r>
          </w:p>
        </w:tc>
        <w:tc>
          <w:tcPr>
            <w:tcW w:w="1786"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0.33 (0.10-0.65)</w:t>
            </w:r>
          </w:p>
        </w:tc>
        <w:tc>
          <w:tcPr>
            <w:tcW w:w="1786"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1.00 (0.92-1.00)</w:t>
            </w:r>
          </w:p>
        </w:tc>
        <w:tc>
          <w:tcPr>
            <w:tcW w:w="197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1.00 (1.00-1.00)</w:t>
            </w:r>
          </w:p>
        </w:tc>
        <w:tc>
          <w:tcPr>
            <w:tcW w:w="197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0.84 (0.78-0.89)</w:t>
            </w:r>
          </w:p>
        </w:tc>
        <w:tc>
          <w:tcPr>
            <w:tcW w:w="197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0.67 (0.53-0.79)</w:t>
            </w:r>
          </w:p>
        </w:tc>
        <w:tc>
          <w:tcPr>
            <w:tcW w:w="104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972" w:type="dxa"/>
            <w:shd w:val="clear" w:color="auto" w:fill="auto"/>
            <w:vAlign w:val="center"/>
          </w:tcPr>
          <w:p>
            <w:pPr>
              <w:spacing w:line="360" w:lineRule="auto"/>
              <w:rPr>
                <w:rFonts w:ascii="Book Antiqua" w:hAnsi="Book Antiqua" w:eastAsia="等线" w:cs="宋体"/>
                <w:color w:val="000000"/>
              </w:rPr>
            </w:pPr>
            <w:r>
              <w:rPr>
                <w:rFonts w:ascii="Book Antiqua" w:hAnsi="Book Antiqua" w:eastAsia="等线" w:cs="宋体"/>
                <w:color w:val="000000"/>
              </w:rPr>
              <w:t>ITL ≤ 2.1 μg/m</w:t>
            </w:r>
            <w:r>
              <w:rPr>
                <w:rFonts w:ascii="Book Antiqua" w:hAnsi="Book Antiqua" w:eastAsia="等线" w:cs="宋体"/>
                <w:caps/>
                <w:color w:val="000000"/>
              </w:rPr>
              <w:t>l</w:t>
            </w:r>
            <w:r>
              <w:rPr>
                <w:rFonts w:ascii="Book Antiqua" w:hAnsi="Book Antiqua" w:eastAsia="等线" w:cs="宋体"/>
                <w:color w:val="000000"/>
              </w:rPr>
              <w:t xml:space="preserve"> or CRP &gt; 3.0 mg/d</w:t>
            </w:r>
            <w:r>
              <w:rPr>
                <w:rFonts w:ascii="Book Antiqua" w:hAnsi="Book Antiqua" w:eastAsia="等线" w:cs="宋体"/>
                <w:caps/>
                <w:color w:val="000000"/>
              </w:rPr>
              <w:t>l</w:t>
            </w:r>
          </w:p>
        </w:tc>
        <w:tc>
          <w:tcPr>
            <w:tcW w:w="1786"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0.80 (0.50-0.93)</w:t>
            </w:r>
          </w:p>
        </w:tc>
        <w:tc>
          <w:tcPr>
            <w:tcW w:w="1786"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0.92 (0.62-1.00)</w:t>
            </w:r>
          </w:p>
        </w:tc>
        <w:tc>
          <w:tcPr>
            <w:tcW w:w="1786"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0.88 (0.74-0.96)</w:t>
            </w:r>
          </w:p>
        </w:tc>
        <w:tc>
          <w:tcPr>
            <w:tcW w:w="197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0.69 (0.49-0.84)</w:t>
            </w:r>
          </w:p>
        </w:tc>
        <w:tc>
          <w:tcPr>
            <w:tcW w:w="197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0.97 (0.85-1.00)</w:t>
            </w:r>
          </w:p>
        </w:tc>
        <w:tc>
          <w:tcPr>
            <w:tcW w:w="197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0.90 (0.79-0.96)</w:t>
            </w:r>
          </w:p>
        </w:tc>
        <w:tc>
          <w:tcPr>
            <w:tcW w:w="1040" w:type="dxa"/>
            <w:shd w:val="clear" w:color="auto" w:fill="auto"/>
            <w:noWrap/>
            <w:vAlign w:val="center"/>
          </w:tcPr>
          <w:p>
            <w:pPr>
              <w:spacing w:line="360" w:lineRule="auto"/>
              <w:rPr>
                <w:rFonts w:ascii="Book Antiqua" w:hAnsi="Book Antiqua" w:eastAsia="等线" w:cs="宋体"/>
                <w:color w:val="000000"/>
              </w:rPr>
            </w:pPr>
            <w:r>
              <w:rPr>
                <w:rFonts w:ascii="Book Antiqua" w:hAnsi="Book Antiqua" w:eastAsia="等线" w:cs="宋体"/>
                <w:color w:val="000000"/>
              </w:rPr>
              <w:t>＜0.001</w:t>
            </w:r>
          </w:p>
        </w:tc>
      </w:tr>
    </w:tbl>
    <w:p>
      <w:pPr>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ITL</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Infliximab trough level; FCP</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Fecal calprotectin; CRP</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C-reactive protein; ROC: Receiver operating characteristic.</w:t>
      </w:r>
    </w:p>
    <w:p>
      <w:pPr>
        <w:spacing w:line="360" w:lineRule="auto"/>
        <w:jc w:val="both"/>
        <w:rPr>
          <w:rFonts w:ascii="Book Antiqua" w:hAnsi="Book Antiqua"/>
          <w:b/>
        </w:rPr>
      </w:pPr>
      <w:r>
        <w:rPr>
          <w:rFonts w:ascii="Book Antiqua" w:hAnsi="Book Antiqua"/>
          <w:color w:val="000000" w:themeColor="text1"/>
          <w:lang w:eastAsia="zh-CN"/>
          <w14:textFill>
            <w14:solidFill>
              <w14:schemeClr w14:val="tx1"/>
            </w14:solidFill>
          </w14:textFill>
        </w:rPr>
        <w:br w:type="page"/>
      </w:r>
      <w:r>
        <w:rPr>
          <w:rFonts w:hint="eastAsia" w:ascii="Book Antiqua" w:hAnsi="Book Antiqua"/>
          <w:b/>
          <w:bCs/>
          <w:caps/>
          <w:lang w:eastAsia="zh-CN"/>
        </w:rPr>
        <w:t>T</w:t>
      </w:r>
      <w:r>
        <w:rPr>
          <w:rFonts w:ascii="Book Antiqua" w:hAnsi="Book Antiqua"/>
          <w:b/>
          <w:bCs/>
          <w:lang w:eastAsia="zh-CN"/>
        </w:rPr>
        <w:t>able</w:t>
      </w:r>
      <w:r>
        <w:rPr>
          <w:rFonts w:ascii="Book Antiqua" w:hAnsi="Book Antiqua"/>
          <w:b/>
          <w:bCs/>
        </w:rPr>
        <w:t xml:space="preserve"> 4 </w:t>
      </w:r>
      <w:r>
        <w:rPr>
          <w:rFonts w:ascii="Book Antiqua" w:hAnsi="Book Antiqua"/>
          <w:b/>
          <w:caps/>
        </w:rPr>
        <w:t>p</w:t>
      </w:r>
      <w:r>
        <w:rPr>
          <w:rFonts w:ascii="Book Antiqua" w:hAnsi="Book Antiqua"/>
          <w:b/>
        </w:rPr>
        <w:t>revious research of infliximab trough level on deep remission in inflammatory bowel disease</w:t>
      </w:r>
    </w:p>
    <w:tbl>
      <w:tblPr>
        <w:tblStyle w:val="9"/>
        <w:tblW w:w="17740" w:type="dxa"/>
        <w:tblInd w:w="0" w:type="dxa"/>
        <w:tblLayout w:type="autofit"/>
        <w:tblCellMar>
          <w:top w:w="0" w:type="dxa"/>
          <w:left w:w="108" w:type="dxa"/>
          <w:bottom w:w="0" w:type="dxa"/>
          <w:right w:w="108" w:type="dxa"/>
        </w:tblCellMar>
      </w:tblPr>
      <w:tblGrid>
        <w:gridCol w:w="2939"/>
        <w:gridCol w:w="2913"/>
        <w:gridCol w:w="6451"/>
        <w:gridCol w:w="1316"/>
        <w:gridCol w:w="857"/>
        <w:gridCol w:w="778"/>
        <w:gridCol w:w="878"/>
        <w:gridCol w:w="750"/>
        <w:gridCol w:w="858"/>
      </w:tblGrid>
      <w:tr>
        <w:tblPrEx>
          <w:tblCellMar>
            <w:top w:w="0" w:type="dxa"/>
            <w:left w:w="108" w:type="dxa"/>
            <w:bottom w:w="0" w:type="dxa"/>
            <w:right w:w="108" w:type="dxa"/>
          </w:tblCellMar>
        </w:tblPrEx>
        <w:trPr>
          <w:trHeight w:val="630" w:hRule="atLeast"/>
        </w:trPr>
        <w:tc>
          <w:tcPr>
            <w:tcW w:w="2939" w:type="dxa"/>
            <w:tcBorders>
              <w:top w:val="single" w:color="000000" w:sz="8" w:space="0"/>
              <w:left w:val="nil"/>
              <w:bottom w:val="single" w:color="000000" w:sz="8" w:space="0"/>
              <w:right w:val="nil"/>
            </w:tcBorders>
            <w:shd w:val="clear" w:color="000000" w:fill="FFFFFF"/>
            <w:vAlign w:val="center"/>
          </w:tcPr>
          <w:p>
            <w:pPr>
              <w:spacing w:line="360" w:lineRule="auto"/>
              <w:rPr>
                <w:rFonts w:ascii="Book Antiqua" w:hAnsi="Book Antiqua" w:eastAsia="宋体" w:cs="宋体"/>
                <w:b/>
                <w:bCs/>
              </w:rPr>
            </w:pPr>
            <w:r>
              <w:rPr>
                <w:rFonts w:ascii="Book Antiqua" w:hAnsi="Book Antiqua" w:eastAsia="宋体" w:cs="宋体"/>
                <w:b/>
                <w:bCs/>
              </w:rPr>
              <w:t>Study design</w:t>
            </w:r>
          </w:p>
        </w:tc>
        <w:tc>
          <w:tcPr>
            <w:tcW w:w="2913" w:type="dxa"/>
            <w:tcBorders>
              <w:top w:val="single" w:color="000000" w:sz="8" w:space="0"/>
              <w:left w:val="nil"/>
              <w:bottom w:val="single" w:color="000000" w:sz="8" w:space="0"/>
              <w:right w:val="nil"/>
            </w:tcBorders>
            <w:shd w:val="clear" w:color="000000" w:fill="FFFFFF"/>
            <w:vAlign w:val="center"/>
          </w:tcPr>
          <w:p>
            <w:pPr>
              <w:spacing w:line="360" w:lineRule="auto"/>
              <w:rPr>
                <w:rFonts w:ascii="Book Antiqua" w:hAnsi="Book Antiqua" w:eastAsia="宋体" w:cs="宋体"/>
                <w:b/>
                <w:bCs/>
              </w:rPr>
            </w:pPr>
            <w:r>
              <w:rPr>
                <w:rFonts w:ascii="Book Antiqua" w:hAnsi="Book Antiqua" w:eastAsia="宋体" w:cs="宋体"/>
                <w:b/>
                <w:bCs/>
              </w:rPr>
              <w:t xml:space="preserve">Optimal cut-off value </w:t>
            </w:r>
          </w:p>
        </w:tc>
        <w:tc>
          <w:tcPr>
            <w:tcW w:w="6451" w:type="dxa"/>
            <w:tcBorders>
              <w:top w:val="single" w:color="000000" w:sz="8" w:space="0"/>
              <w:left w:val="nil"/>
              <w:bottom w:val="single" w:color="000000" w:sz="8" w:space="0"/>
              <w:right w:val="nil"/>
            </w:tcBorders>
            <w:shd w:val="clear" w:color="000000" w:fill="FFFFFF"/>
            <w:vAlign w:val="center"/>
          </w:tcPr>
          <w:p>
            <w:pPr>
              <w:spacing w:line="360" w:lineRule="auto"/>
              <w:rPr>
                <w:rFonts w:ascii="Book Antiqua" w:hAnsi="Book Antiqua" w:eastAsia="宋体" w:cs="宋体"/>
                <w:b/>
                <w:bCs/>
              </w:rPr>
            </w:pPr>
            <w:r>
              <w:rPr>
                <w:rFonts w:ascii="Book Antiqua" w:hAnsi="Book Antiqua" w:eastAsia="宋体" w:cs="宋体"/>
                <w:b/>
                <w:bCs/>
              </w:rPr>
              <w:t>Predictive content</w:t>
            </w:r>
          </w:p>
        </w:tc>
        <w:tc>
          <w:tcPr>
            <w:tcW w:w="1316" w:type="dxa"/>
            <w:tcBorders>
              <w:top w:val="single" w:color="000000" w:sz="8" w:space="0"/>
              <w:left w:val="nil"/>
              <w:bottom w:val="single" w:color="000000" w:sz="8" w:space="0"/>
              <w:right w:val="nil"/>
            </w:tcBorders>
            <w:shd w:val="clear" w:color="000000" w:fill="FFFFFF"/>
            <w:vAlign w:val="center"/>
          </w:tcPr>
          <w:p>
            <w:pPr>
              <w:spacing w:line="360" w:lineRule="auto"/>
              <w:rPr>
                <w:rFonts w:ascii="Book Antiqua" w:hAnsi="Book Antiqua" w:eastAsia="宋体" w:cs="宋体"/>
                <w:b/>
                <w:bCs/>
              </w:rPr>
            </w:pPr>
            <w:r>
              <w:rPr>
                <w:rFonts w:ascii="Book Antiqua" w:hAnsi="Book Antiqua" w:eastAsia="宋体" w:cs="宋体"/>
                <w:b/>
                <w:bCs/>
              </w:rPr>
              <w:t xml:space="preserve">Yes/No, </w:t>
            </w:r>
            <w:r>
              <w:rPr>
                <w:rFonts w:ascii="Book Antiqua" w:hAnsi="Book Antiqua" w:eastAsia="宋体" w:cs="宋体"/>
                <w:b/>
                <w:bCs/>
                <w:i/>
                <w:iCs/>
              </w:rPr>
              <w:t>n</w:t>
            </w:r>
          </w:p>
        </w:tc>
        <w:tc>
          <w:tcPr>
            <w:tcW w:w="857" w:type="dxa"/>
            <w:tcBorders>
              <w:top w:val="single" w:color="000000" w:sz="8" w:space="0"/>
              <w:left w:val="nil"/>
              <w:bottom w:val="single" w:color="000000" w:sz="8" w:space="0"/>
              <w:right w:val="nil"/>
            </w:tcBorders>
            <w:shd w:val="clear" w:color="000000" w:fill="FFFFFF"/>
            <w:vAlign w:val="center"/>
          </w:tcPr>
          <w:p>
            <w:pPr>
              <w:spacing w:line="360" w:lineRule="auto"/>
              <w:rPr>
                <w:rFonts w:ascii="Book Antiqua" w:hAnsi="Book Antiqua" w:eastAsia="宋体" w:cs="宋体"/>
                <w:b/>
                <w:bCs/>
              </w:rPr>
            </w:pPr>
            <w:r>
              <w:rPr>
                <w:rFonts w:ascii="Book Antiqua" w:hAnsi="Book Antiqua" w:eastAsia="宋体" w:cs="宋体"/>
                <w:b/>
                <w:bCs/>
              </w:rPr>
              <w:t>SE</w:t>
            </w:r>
          </w:p>
        </w:tc>
        <w:tc>
          <w:tcPr>
            <w:tcW w:w="778" w:type="dxa"/>
            <w:tcBorders>
              <w:top w:val="single" w:color="000000" w:sz="8" w:space="0"/>
              <w:left w:val="nil"/>
              <w:bottom w:val="single" w:color="000000" w:sz="8" w:space="0"/>
              <w:right w:val="nil"/>
            </w:tcBorders>
            <w:shd w:val="clear" w:color="000000" w:fill="FFFFFF"/>
            <w:vAlign w:val="center"/>
          </w:tcPr>
          <w:p>
            <w:pPr>
              <w:spacing w:line="360" w:lineRule="auto"/>
              <w:rPr>
                <w:rFonts w:ascii="Book Antiqua" w:hAnsi="Book Antiqua" w:eastAsia="宋体" w:cs="宋体"/>
                <w:b/>
                <w:bCs/>
              </w:rPr>
            </w:pPr>
            <w:r>
              <w:rPr>
                <w:rFonts w:ascii="Book Antiqua" w:hAnsi="Book Antiqua" w:eastAsia="宋体" w:cs="宋体"/>
                <w:b/>
                <w:bCs/>
              </w:rPr>
              <w:t>SP</w:t>
            </w:r>
          </w:p>
        </w:tc>
        <w:tc>
          <w:tcPr>
            <w:tcW w:w="878" w:type="dxa"/>
            <w:tcBorders>
              <w:top w:val="single" w:color="000000" w:sz="8" w:space="0"/>
              <w:left w:val="nil"/>
              <w:bottom w:val="single" w:color="000000" w:sz="8" w:space="0"/>
              <w:right w:val="nil"/>
            </w:tcBorders>
            <w:shd w:val="clear" w:color="000000" w:fill="FFFFFF"/>
            <w:vAlign w:val="center"/>
          </w:tcPr>
          <w:p>
            <w:pPr>
              <w:spacing w:line="360" w:lineRule="auto"/>
              <w:rPr>
                <w:rFonts w:ascii="Book Antiqua" w:hAnsi="Book Antiqua" w:eastAsia="宋体" w:cs="宋体"/>
                <w:b/>
                <w:bCs/>
              </w:rPr>
            </w:pPr>
            <w:r>
              <w:rPr>
                <w:rFonts w:ascii="Book Antiqua" w:hAnsi="Book Antiqua" w:eastAsia="宋体" w:cs="宋体"/>
                <w:b/>
                <w:bCs/>
              </w:rPr>
              <w:t>PPV</w:t>
            </w:r>
          </w:p>
        </w:tc>
        <w:tc>
          <w:tcPr>
            <w:tcW w:w="750" w:type="dxa"/>
            <w:tcBorders>
              <w:top w:val="single" w:color="000000" w:sz="8" w:space="0"/>
              <w:left w:val="nil"/>
              <w:bottom w:val="single" w:color="000000" w:sz="8" w:space="0"/>
              <w:right w:val="nil"/>
            </w:tcBorders>
            <w:shd w:val="clear" w:color="000000" w:fill="FFFFFF"/>
            <w:vAlign w:val="center"/>
          </w:tcPr>
          <w:p>
            <w:pPr>
              <w:spacing w:line="360" w:lineRule="auto"/>
              <w:rPr>
                <w:rFonts w:ascii="Book Antiqua" w:hAnsi="Book Antiqua" w:eastAsia="宋体" w:cs="宋体"/>
                <w:b/>
                <w:bCs/>
              </w:rPr>
            </w:pPr>
            <w:r>
              <w:rPr>
                <w:rFonts w:ascii="Book Antiqua" w:hAnsi="Book Antiqua" w:eastAsia="宋体" w:cs="宋体"/>
                <w:b/>
                <w:bCs/>
              </w:rPr>
              <w:t>NPV</w:t>
            </w:r>
          </w:p>
        </w:tc>
        <w:tc>
          <w:tcPr>
            <w:tcW w:w="858" w:type="dxa"/>
            <w:tcBorders>
              <w:top w:val="single" w:color="000000" w:sz="8" w:space="0"/>
              <w:left w:val="nil"/>
              <w:bottom w:val="single" w:color="000000" w:sz="8" w:space="0"/>
              <w:right w:val="nil"/>
            </w:tcBorders>
            <w:shd w:val="clear" w:color="000000" w:fill="FFFFFF"/>
            <w:vAlign w:val="center"/>
          </w:tcPr>
          <w:p>
            <w:pPr>
              <w:spacing w:line="360" w:lineRule="auto"/>
              <w:rPr>
                <w:rFonts w:ascii="Book Antiqua" w:hAnsi="Book Antiqua" w:eastAsia="宋体" w:cs="宋体"/>
                <w:b/>
                <w:bCs/>
              </w:rPr>
            </w:pPr>
            <w:r>
              <w:rPr>
                <w:rFonts w:ascii="Book Antiqua" w:hAnsi="Book Antiqua" w:eastAsia="宋体" w:cs="宋体"/>
                <w:b/>
                <w:bCs/>
              </w:rPr>
              <w:t>AUC</w:t>
            </w:r>
          </w:p>
        </w:tc>
      </w:tr>
      <w:tr>
        <w:tblPrEx>
          <w:tblCellMar>
            <w:top w:w="0" w:type="dxa"/>
            <w:left w:w="108" w:type="dxa"/>
            <w:bottom w:w="0" w:type="dxa"/>
            <w:right w:w="108" w:type="dxa"/>
          </w:tblCellMar>
        </w:tblPrEx>
        <w:trPr>
          <w:trHeight w:val="700" w:hRule="atLeast"/>
        </w:trPr>
        <w:tc>
          <w:tcPr>
            <w:tcW w:w="2939" w:type="dxa"/>
            <w:vMerge w:val="restart"/>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A retrospective observational single-center study in China</w:t>
            </w:r>
          </w:p>
        </w:tc>
        <w:tc>
          <w:tcPr>
            <w:tcW w:w="2913"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4.85 μg/m</w:t>
            </w:r>
            <w:r>
              <w:rPr>
                <w:rFonts w:ascii="Book Antiqua" w:hAnsi="Book Antiqua" w:eastAsia="宋体" w:cs="宋体"/>
                <w:caps/>
              </w:rPr>
              <w:t xml:space="preserve">l </w:t>
            </w:r>
            <w:r>
              <w:rPr>
                <w:rFonts w:ascii="Book Antiqua" w:hAnsi="Book Antiqua" w:eastAsia="宋体" w:cs="宋体"/>
              </w:rPr>
              <w:t>at week 14</w:t>
            </w:r>
          </w:p>
        </w:tc>
        <w:tc>
          <w:tcPr>
            <w:tcW w:w="6451"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Mucosal healing (complete absence of any sign of ulceration)</w:t>
            </w:r>
          </w:p>
        </w:tc>
        <w:tc>
          <w:tcPr>
            <w:tcW w:w="1316"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82/59</w:t>
            </w:r>
          </w:p>
        </w:tc>
        <w:tc>
          <w:tcPr>
            <w:tcW w:w="857"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67%</w:t>
            </w:r>
          </w:p>
        </w:tc>
        <w:tc>
          <w:tcPr>
            <w:tcW w:w="7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80%</w:t>
            </w:r>
          </w:p>
        </w:tc>
        <w:tc>
          <w:tcPr>
            <w:tcW w:w="878" w:type="dxa"/>
            <w:tcBorders>
              <w:top w:val="nil"/>
              <w:left w:val="nil"/>
              <w:bottom w:val="nil"/>
              <w:right w:val="nil"/>
            </w:tcBorders>
            <w:shd w:val="clear" w:color="000000" w:fill="FFFFFF"/>
          </w:tcPr>
          <w:p>
            <w:pPr>
              <w:spacing w:line="360" w:lineRule="auto"/>
              <w:rPr>
                <w:rFonts w:hint="eastAsia" w:ascii="Book Antiqua" w:hAnsi="Book Antiqua" w:eastAsia="宋体" w:cs="宋体"/>
                <w:lang w:eastAsia="zh-CN"/>
              </w:rPr>
            </w:pPr>
          </w:p>
        </w:tc>
        <w:tc>
          <w:tcPr>
            <w:tcW w:w="750" w:type="dxa"/>
            <w:tcBorders>
              <w:top w:val="nil"/>
              <w:left w:val="nil"/>
              <w:bottom w:val="nil"/>
              <w:right w:val="nil"/>
            </w:tcBorders>
            <w:shd w:val="clear" w:color="000000" w:fill="FFFFFF"/>
          </w:tcPr>
          <w:p>
            <w:pPr>
              <w:spacing w:line="360" w:lineRule="auto"/>
              <w:rPr>
                <w:rFonts w:hint="eastAsia" w:ascii="Book Antiqua" w:hAnsi="Book Antiqua" w:eastAsia="宋体" w:cs="宋体"/>
                <w:lang w:eastAsia="zh-CN"/>
              </w:rPr>
            </w:pPr>
          </w:p>
        </w:tc>
        <w:tc>
          <w:tcPr>
            <w:tcW w:w="85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0.80</w:t>
            </w:r>
          </w:p>
        </w:tc>
      </w:tr>
      <w:tr>
        <w:tblPrEx>
          <w:tblCellMar>
            <w:top w:w="0" w:type="dxa"/>
            <w:left w:w="108" w:type="dxa"/>
            <w:bottom w:w="0" w:type="dxa"/>
            <w:right w:w="108" w:type="dxa"/>
          </w:tblCellMar>
        </w:tblPrEx>
        <w:trPr>
          <w:trHeight w:val="310" w:hRule="atLeast"/>
        </w:trPr>
        <w:tc>
          <w:tcPr>
            <w:tcW w:w="2939" w:type="dxa"/>
            <w:vMerge w:val="continue"/>
            <w:tcBorders>
              <w:top w:val="nil"/>
              <w:left w:val="nil"/>
              <w:bottom w:val="nil"/>
              <w:right w:val="nil"/>
            </w:tcBorders>
            <w:vAlign w:val="center"/>
          </w:tcPr>
          <w:p>
            <w:pPr>
              <w:spacing w:line="360" w:lineRule="auto"/>
              <w:rPr>
                <w:rFonts w:ascii="Book Antiqua" w:hAnsi="Book Antiqua" w:eastAsia="宋体" w:cs="宋体"/>
              </w:rPr>
            </w:pPr>
          </w:p>
        </w:tc>
        <w:tc>
          <w:tcPr>
            <w:tcW w:w="2913"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4.85 μg/m</w:t>
            </w:r>
            <w:r>
              <w:rPr>
                <w:rFonts w:ascii="Book Antiqua" w:hAnsi="Book Antiqua" w:eastAsia="宋体" w:cs="宋体"/>
                <w:caps/>
              </w:rPr>
              <w:t>l</w:t>
            </w:r>
            <w:r>
              <w:rPr>
                <w:rFonts w:ascii="Book Antiqua" w:hAnsi="Book Antiqua" w:eastAsia="宋体" w:cs="宋体"/>
              </w:rPr>
              <w:t xml:space="preserve"> at week 14</w:t>
            </w:r>
          </w:p>
        </w:tc>
        <w:tc>
          <w:tcPr>
            <w:tcW w:w="6451"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Mucosal healing (CDEIS of &lt; 3)</w:t>
            </w:r>
          </w:p>
        </w:tc>
        <w:tc>
          <w:tcPr>
            <w:tcW w:w="1316"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84/57</w:t>
            </w:r>
          </w:p>
        </w:tc>
        <w:tc>
          <w:tcPr>
            <w:tcW w:w="857"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68%</w:t>
            </w:r>
          </w:p>
        </w:tc>
        <w:tc>
          <w:tcPr>
            <w:tcW w:w="7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83%</w:t>
            </w:r>
          </w:p>
        </w:tc>
        <w:tc>
          <w:tcPr>
            <w:tcW w:w="878" w:type="dxa"/>
            <w:tcBorders>
              <w:top w:val="nil"/>
              <w:left w:val="nil"/>
              <w:bottom w:val="nil"/>
              <w:right w:val="nil"/>
            </w:tcBorders>
            <w:shd w:val="clear" w:color="000000" w:fill="FFFFFF"/>
          </w:tcPr>
          <w:p>
            <w:pPr>
              <w:spacing w:line="360" w:lineRule="auto"/>
              <w:rPr>
                <w:rFonts w:hint="eastAsia" w:ascii="Book Antiqua" w:hAnsi="Book Antiqua" w:eastAsia="宋体" w:cs="宋体"/>
                <w:lang w:eastAsia="zh-CN"/>
              </w:rPr>
            </w:pPr>
          </w:p>
        </w:tc>
        <w:tc>
          <w:tcPr>
            <w:tcW w:w="750" w:type="dxa"/>
            <w:tcBorders>
              <w:top w:val="nil"/>
              <w:left w:val="nil"/>
              <w:bottom w:val="nil"/>
              <w:right w:val="nil"/>
            </w:tcBorders>
            <w:shd w:val="clear" w:color="000000" w:fill="FFFFFF"/>
          </w:tcPr>
          <w:p>
            <w:pPr>
              <w:spacing w:line="360" w:lineRule="auto"/>
              <w:rPr>
                <w:rFonts w:hint="eastAsia" w:ascii="Book Antiqua" w:hAnsi="Book Antiqua" w:eastAsia="宋体" w:cs="宋体"/>
                <w:lang w:eastAsia="zh-CN"/>
              </w:rPr>
            </w:pPr>
          </w:p>
        </w:tc>
        <w:tc>
          <w:tcPr>
            <w:tcW w:w="85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0.79</w:t>
            </w:r>
          </w:p>
        </w:tc>
      </w:tr>
      <w:tr>
        <w:tblPrEx>
          <w:tblCellMar>
            <w:top w:w="0" w:type="dxa"/>
            <w:left w:w="108" w:type="dxa"/>
            <w:bottom w:w="0" w:type="dxa"/>
            <w:right w:w="108" w:type="dxa"/>
          </w:tblCellMar>
        </w:tblPrEx>
        <w:trPr>
          <w:trHeight w:val="620" w:hRule="atLeast"/>
        </w:trPr>
        <w:tc>
          <w:tcPr>
            <w:tcW w:w="2939" w:type="dxa"/>
            <w:vMerge w:val="continue"/>
            <w:tcBorders>
              <w:top w:val="nil"/>
              <w:left w:val="nil"/>
              <w:bottom w:val="nil"/>
              <w:right w:val="nil"/>
            </w:tcBorders>
            <w:vAlign w:val="center"/>
          </w:tcPr>
          <w:p>
            <w:pPr>
              <w:spacing w:line="360" w:lineRule="auto"/>
              <w:rPr>
                <w:rFonts w:ascii="Book Antiqua" w:hAnsi="Book Antiqua" w:eastAsia="宋体" w:cs="宋体"/>
              </w:rPr>
            </w:pPr>
          </w:p>
        </w:tc>
        <w:tc>
          <w:tcPr>
            <w:tcW w:w="2913"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2.85 μg/m</w:t>
            </w:r>
            <w:r>
              <w:rPr>
                <w:rFonts w:ascii="Book Antiqua" w:hAnsi="Book Antiqua" w:eastAsia="宋体" w:cs="宋体"/>
                <w:caps/>
              </w:rPr>
              <w:t>l</w:t>
            </w:r>
            <w:r>
              <w:rPr>
                <w:rFonts w:ascii="Book Antiqua" w:hAnsi="Book Antiqua" w:eastAsia="宋体" w:cs="宋体"/>
              </w:rPr>
              <w:t xml:space="preserve"> at week 30</w:t>
            </w:r>
          </w:p>
        </w:tc>
        <w:tc>
          <w:tcPr>
            <w:tcW w:w="6451"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Mucosal healing (complete absence of any sign of ulceration)</w:t>
            </w:r>
          </w:p>
        </w:tc>
        <w:tc>
          <w:tcPr>
            <w:tcW w:w="1316"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59/50</w:t>
            </w:r>
          </w:p>
        </w:tc>
        <w:tc>
          <w:tcPr>
            <w:tcW w:w="857"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73%</w:t>
            </w:r>
          </w:p>
        </w:tc>
        <w:tc>
          <w:tcPr>
            <w:tcW w:w="7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84%</w:t>
            </w:r>
          </w:p>
        </w:tc>
        <w:tc>
          <w:tcPr>
            <w:tcW w:w="878" w:type="dxa"/>
            <w:tcBorders>
              <w:top w:val="nil"/>
              <w:left w:val="nil"/>
              <w:bottom w:val="nil"/>
              <w:right w:val="nil"/>
            </w:tcBorders>
            <w:shd w:val="clear" w:color="000000" w:fill="FFFFFF"/>
          </w:tcPr>
          <w:p>
            <w:pPr>
              <w:spacing w:line="360" w:lineRule="auto"/>
              <w:rPr>
                <w:rFonts w:hint="eastAsia" w:ascii="Book Antiqua" w:hAnsi="Book Antiqua" w:eastAsia="宋体" w:cs="宋体"/>
                <w:lang w:eastAsia="zh-CN"/>
              </w:rPr>
            </w:pPr>
          </w:p>
        </w:tc>
        <w:tc>
          <w:tcPr>
            <w:tcW w:w="750" w:type="dxa"/>
            <w:tcBorders>
              <w:top w:val="nil"/>
              <w:left w:val="nil"/>
              <w:bottom w:val="nil"/>
              <w:right w:val="nil"/>
            </w:tcBorders>
            <w:shd w:val="clear" w:color="000000" w:fill="FFFFFF"/>
          </w:tcPr>
          <w:p>
            <w:pPr>
              <w:spacing w:line="360" w:lineRule="auto"/>
              <w:rPr>
                <w:rFonts w:hint="eastAsia" w:ascii="Book Antiqua" w:hAnsi="Book Antiqua" w:eastAsia="宋体" w:cs="宋体"/>
                <w:lang w:eastAsia="zh-CN"/>
              </w:rPr>
            </w:pPr>
          </w:p>
        </w:tc>
        <w:tc>
          <w:tcPr>
            <w:tcW w:w="85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0.78</w:t>
            </w:r>
          </w:p>
        </w:tc>
      </w:tr>
      <w:tr>
        <w:tblPrEx>
          <w:tblCellMar>
            <w:top w:w="0" w:type="dxa"/>
            <w:left w:w="108" w:type="dxa"/>
            <w:bottom w:w="0" w:type="dxa"/>
            <w:right w:w="108" w:type="dxa"/>
          </w:tblCellMar>
        </w:tblPrEx>
        <w:trPr>
          <w:trHeight w:val="310" w:hRule="atLeast"/>
        </w:trPr>
        <w:tc>
          <w:tcPr>
            <w:tcW w:w="2939" w:type="dxa"/>
            <w:vMerge w:val="continue"/>
            <w:tcBorders>
              <w:top w:val="nil"/>
              <w:left w:val="nil"/>
              <w:bottom w:val="nil"/>
              <w:right w:val="nil"/>
            </w:tcBorders>
            <w:vAlign w:val="center"/>
          </w:tcPr>
          <w:p>
            <w:pPr>
              <w:spacing w:line="360" w:lineRule="auto"/>
              <w:rPr>
                <w:rFonts w:ascii="Book Antiqua" w:hAnsi="Book Antiqua" w:eastAsia="宋体" w:cs="宋体"/>
              </w:rPr>
            </w:pPr>
          </w:p>
        </w:tc>
        <w:tc>
          <w:tcPr>
            <w:tcW w:w="2913"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2.85 μg/m</w:t>
            </w:r>
            <w:r>
              <w:rPr>
                <w:rFonts w:ascii="Book Antiqua" w:hAnsi="Book Antiqua" w:eastAsia="宋体" w:cs="宋体"/>
                <w:caps/>
              </w:rPr>
              <w:t>l</w:t>
            </w:r>
            <w:r>
              <w:rPr>
                <w:rFonts w:ascii="Book Antiqua" w:hAnsi="Book Antiqua" w:eastAsia="宋体" w:cs="宋体"/>
              </w:rPr>
              <w:t xml:space="preserve"> at week 30</w:t>
            </w:r>
          </w:p>
        </w:tc>
        <w:tc>
          <w:tcPr>
            <w:tcW w:w="6451"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Mucosal healing (CDEIS of &lt; 3)</w:t>
            </w:r>
          </w:p>
        </w:tc>
        <w:tc>
          <w:tcPr>
            <w:tcW w:w="1316"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62/47</w:t>
            </w:r>
          </w:p>
        </w:tc>
        <w:tc>
          <w:tcPr>
            <w:tcW w:w="857"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68%</w:t>
            </w:r>
          </w:p>
        </w:tc>
        <w:tc>
          <w:tcPr>
            <w:tcW w:w="7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81%</w:t>
            </w:r>
          </w:p>
        </w:tc>
        <w:tc>
          <w:tcPr>
            <w:tcW w:w="878" w:type="dxa"/>
            <w:tcBorders>
              <w:top w:val="nil"/>
              <w:left w:val="nil"/>
              <w:bottom w:val="nil"/>
              <w:right w:val="nil"/>
            </w:tcBorders>
            <w:shd w:val="clear" w:color="000000" w:fill="FFFFFF"/>
          </w:tcPr>
          <w:p>
            <w:pPr>
              <w:spacing w:line="360" w:lineRule="auto"/>
              <w:rPr>
                <w:rFonts w:hint="eastAsia" w:ascii="Book Antiqua" w:hAnsi="Book Antiqua" w:eastAsia="宋体" w:cs="宋体"/>
                <w:lang w:eastAsia="zh-CN"/>
              </w:rPr>
            </w:pPr>
          </w:p>
        </w:tc>
        <w:tc>
          <w:tcPr>
            <w:tcW w:w="750" w:type="dxa"/>
            <w:tcBorders>
              <w:top w:val="nil"/>
              <w:left w:val="nil"/>
              <w:bottom w:val="nil"/>
              <w:right w:val="nil"/>
            </w:tcBorders>
            <w:shd w:val="clear" w:color="000000" w:fill="FFFFFF"/>
          </w:tcPr>
          <w:p>
            <w:pPr>
              <w:spacing w:line="360" w:lineRule="auto"/>
              <w:rPr>
                <w:rFonts w:hint="eastAsia" w:ascii="Book Antiqua" w:hAnsi="Book Antiqua" w:eastAsia="宋体" w:cs="宋体"/>
                <w:lang w:eastAsia="zh-CN"/>
              </w:rPr>
            </w:pPr>
          </w:p>
        </w:tc>
        <w:tc>
          <w:tcPr>
            <w:tcW w:w="85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0.73</w:t>
            </w:r>
          </w:p>
        </w:tc>
      </w:tr>
      <w:tr>
        <w:tblPrEx>
          <w:tblCellMar>
            <w:top w:w="0" w:type="dxa"/>
            <w:left w:w="108" w:type="dxa"/>
            <w:bottom w:w="0" w:type="dxa"/>
            <w:right w:w="108" w:type="dxa"/>
          </w:tblCellMar>
        </w:tblPrEx>
        <w:trPr>
          <w:trHeight w:val="420" w:hRule="atLeast"/>
        </w:trPr>
        <w:tc>
          <w:tcPr>
            <w:tcW w:w="2939" w:type="dxa"/>
            <w:vMerge w:val="restart"/>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A retrospective observational single-center study in China</w:t>
            </w:r>
          </w:p>
        </w:tc>
        <w:tc>
          <w:tcPr>
            <w:tcW w:w="2913"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2.50 μg/m</w:t>
            </w:r>
            <w:r>
              <w:rPr>
                <w:rFonts w:ascii="Book Antiqua" w:hAnsi="Book Antiqua" w:eastAsia="宋体" w:cs="宋体"/>
                <w:caps/>
              </w:rPr>
              <w:t>l</w:t>
            </w:r>
            <w:r>
              <w:rPr>
                <w:rFonts w:ascii="Book Antiqua" w:hAnsi="Book Antiqua" w:eastAsia="宋体" w:cs="宋体"/>
              </w:rPr>
              <w:t xml:space="preserve"> at week 14</w:t>
            </w:r>
          </w:p>
        </w:tc>
        <w:tc>
          <w:tcPr>
            <w:tcW w:w="6451"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Mucosal healing (SES-CD/Rutgeerts of 0 or 1) at week 52</w:t>
            </w:r>
          </w:p>
        </w:tc>
        <w:tc>
          <w:tcPr>
            <w:tcW w:w="1316"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31/42</w:t>
            </w:r>
          </w:p>
        </w:tc>
        <w:tc>
          <w:tcPr>
            <w:tcW w:w="857"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87%</w:t>
            </w:r>
          </w:p>
        </w:tc>
        <w:tc>
          <w:tcPr>
            <w:tcW w:w="7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60%</w:t>
            </w:r>
          </w:p>
        </w:tc>
        <w:tc>
          <w:tcPr>
            <w:tcW w:w="878" w:type="dxa"/>
            <w:tcBorders>
              <w:top w:val="nil"/>
              <w:left w:val="nil"/>
              <w:bottom w:val="nil"/>
              <w:right w:val="nil"/>
            </w:tcBorders>
            <w:shd w:val="clear" w:color="000000" w:fill="FFFFFF"/>
          </w:tcPr>
          <w:p>
            <w:pPr>
              <w:spacing w:line="360" w:lineRule="auto"/>
              <w:rPr>
                <w:rFonts w:hint="eastAsia" w:ascii="Book Antiqua" w:hAnsi="Book Antiqua" w:eastAsia="宋体" w:cs="宋体"/>
                <w:lang w:eastAsia="zh-CN"/>
              </w:rPr>
            </w:pPr>
          </w:p>
        </w:tc>
        <w:tc>
          <w:tcPr>
            <w:tcW w:w="750" w:type="dxa"/>
            <w:tcBorders>
              <w:top w:val="nil"/>
              <w:left w:val="nil"/>
              <w:bottom w:val="nil"/>
              <w:right w:val="nil"/>
            </w:tcBorders>
            <w:shd w:val="clear" w:color="000000" w:fill="FFFFFF"/>
          </w:tcPr>
          <w:p>
            <w:pPr>
              <w:spacing w:line="360" w:lineRule="auto"/>
              <w:rPr>
                <w:rFonts w:hint="eastAsia" w:ascii="Book Antiqua" w:hAnsi="Book Antiqua" w:eastAsia="宋体" w:cs="宋体"/>
                <w:lang w:eastAsia="zh-CN"/>
              </w:rPr>
            </w:pPr>
          </w:p>
        </w:tc>
        <w:tc>
          <w:tcPr>
            <w:tcW w:w="85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0.70</w:t>
            </w:r>
          </w:p>
        </w:tc>
      </w:tr>
      <w:tr>
        <w:tblPrEx>
          <w:tblCellMar>
            <w:top w:w="0" w:type="dxa"/>
            <w:left w:w="108" w:type="dxa"/>
            <w:bottom w:w="0" w:type="dxa"/>
            <w:right w:w="108" w:type="dxa"/>
          </w:tblCellMar>
        </w:tblPrEx>
        <w:trPr>
          <w:trHeight w:val="930" w:hRule="atLeast"/>
        </w:trPr>
        <w:tc>
          <w:tcPr>
            <w:tcW w:w="2939" w:type="dxa"/>
            <w:vMerge w:val="continue"/>
            <w:tcBorders>
              <w:top w:val="nil"/>
              <w:left w:val="nil"/>
              <w:bottom w:val="nil"/>
              <w:right w:val="nil"/>
            </w:tcBorders>
            <w:vAlign w:val="center"/>
          </w:tcPr>
          <w:p>
            <w:pPr>
              <w:spacing w:line="360" w:lineRule="auto"/>
              <w:rPr>
                <w:rFonts w:ascii="Book Antiqua" w:hAnsi="Book Antiqua" w:eastAsia="宋体" w:cs="宋体"/>
              </w:rPr>
            </w:pPr>
          </w:p>
        </w:tc>
        <w:tc>
          <w:tcPr>
            <w:tcW w:w="2913"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2.50 μg/m</w:t>
            </w:r>
            <w:r>
              <w:rPr>
                <w:rFonts w:ascii="Book Antiqua" w:hAnsi="Book Antiqua" w:eastAsia="宋体" w:cs="宋体"/>
                <w:caps/>
              </w:rPr>
              <w:t>l</w:t>
            </w:r>
            <w:r>
              <w:rPr>
                <w:rFonts w:ascii="Book Antiqua" w:hAnsi="Book Antiqua" w:eastAsia="宋体" w:cs="宋体"/>
              </w:rPr>
              <w:t xml:space="preserve"> at week 14</w:t>
            </w:r>
          </w:p>
        </w:tc>
        <w:tc>
          <w:tcPr>
            <w:tcW w:w="6451"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Sustained remission (no treatment failure, no need for surgery or intensification of IFX nor new introduction during IFX therapy) at week 52</w:t>
            </w:r>
          </w:p>
        </w:tc>
        <w:tc>
          <w:tcPr>
            <w:tcW w:w="1316"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70/38</w:t>
            </w:r>
          </w:p>
        </w:tc>
        <w:tc>
          <w:tcPr>
            <w:tcW w:w="857"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64%</w:t>
            </w:r>
          </w:p>
        </w:tc>
        <w:tc>
          <w:tcPr>
            <w:tcW w:w="7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63%</w:t>
            </w:r>
          </w:p>
        </w:tc>
        <w:tc>
          <w:tcPr>
            <w:tcW w:w="878" w:type="dxa"/>
            <w:tcBorders>
              <w:top w:val="nil"/>
              <w:left w:val="nil"/>
              <w:bottom w:val="nil"/>
              <w:right w:val="nil"/>
            </w:tcBorders>
            <w:shd w:val="clear" w:color="000000" w:fill="FFFFFF"/>
          </w:tcPr>
          <w:p>
            <w:pPr>
              <w:spacing w:line="360" w:lineRule="auto"/>
              <w:rPr>
                <w:rFonts w:hint="eastAsia" w:ascii="Book Antiqua" w:hAnsi="Book Antiqua" w:eastAsia="宋体" w:cs="宋体"/>
                <w:lang w:eastAsia="zh-CN"/>
              </w:rPr>
            </w:pPr>
          </w:p>
        </w:tc>
        <w:tc>
          <w:tcPr>
            <w:tcW w:w="750" w:type="dxa"/>
            <w:tcBorders>
              <w:top w:val="nil"/>
              <w:left w:val="nil"/>
              <w:bottom w:val="nil"/>
              <w:right w:val="nil"/>
            </w:tcBorders>
            <w:shd w:val="clear" w:color="000000" w:fill="FFFFFF"/>
          </w:tcPr>
          <w:p>
            <w:pPr>
              <w:spacing w:line="360" w:lineRule="auto"/>
              <w:rPr>
                <w:rFonts w:hint="eastAsia" w:ascii="Book Antiqua" w:hAnsi="Book Antiqua" w:eastAsia="宋体" w:cs="宋体"/>
                <w:lang w:eastAsia="zh-CN"/>
              </w:rPr>
            </w:pPr>
          </w:p>
        </w:tc>
        <w:tc>
          <w:tcPr>
            <w:tcW w:w="85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0.70</w:t>
            </w:r>
          </w:p>
        </w:tc>
      </w:tr>
      <w:tr>
        <w:tblPrEx>
          <w:tblCellMar>
            <w:top w:w="0" w:type="dxa"/>
            <w:left w:w="108" w:type="dxa"/>
            <w:bottom w:w="0" w:type="dxa"/>
            <w:right w:w="108" w:type="dxa"/>
          </w:tblCellMar>
        </w:tblPrEx>
        <w:trPr>
          <w:trHeight w:val="930" w:hRule="atLeast"/>
        </w:trPr>
        <w:tc>
          <w:tcPr>
            <w:tcW w:w="2939"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A prospective multicenter study in Spanish</w:t>
            </w:r>
          </w:p>
        </w:tc>
        <w:tc>
          <w:tcPr>
            <w:tcW w:w="2913"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3.40 μg/m</w:t>
            </w:r>
            <w:r>
              <w:rPr>
                <w:rFonts w:ascii="Book Antiqua" w:hAnsi="Book Antiqua" w:eastAsia="宋体" w:cs="宋体"/>
                <w:caps/>
              </w:rPr>
              <w:t>l</w:t>
            </w:r>
          </w:p>
        </w:tc>
        <w:tc>
          <w:tcPr>
            <w:tcW w:w="6451"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(1) SES-CD&lt;3 for CD patients; (2) Rutgeerts score &lt; i2 for CD patients in the postoperative setting; and (3) Mayo endoscopic score &lt; 2 for UC patients</w:t>
            </w:r>
          </w:p>
        </w:tc>
        <w:tc>
          <w:tcPr>
            <w:tcW w:w="1316"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58/30</w:t>
            </w:r>
          </w:p>
        </w:tc>
        <w:tc>
          <w:tcPr>
            <w:tcW w:w="857"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60%</w:t>
            </w:r>
          </w:p>
        </w:tc>
        <w:tc>
          <w:tcPr>
            <w:tcW w:w="7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60%</w:t>
            </w:r>
          </w:p>
        </w:tc>
        <w:tc>
          <w:tcPr>
            <w:tcW w:w="8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73%</w:t>
            </w:r>
          </w:p>
        </w:tc>
        <w:tc>
          <w:tcPr>
            <w:tcW w:w="750"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42%</w:t>
            </w:r>
          </w:p>
        </w:tc>
        <w:tc>
          <w:tcPr>
            <w:tcW w:w="85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0.63</w:t>
            </w:r>
          </w:p>
        </w:tc>
      </w:tr>
      <w:tr>
        <w:tblPrEx>
          <w:tblCellMar>
            <w:top w:w="0" w:type="dxa"/>
            <w:left w:w="108" w:type="dxa"/>
            <w:bottom w:w="0" w:type="dxa"/>
            <w:right w:w="108" w:type="dxa"/>
          </w:tblCellMar>
        </w:tblPrEx>
        <w:trPr>
          <w:trHeight w:val="330" w:hRule="atLeast"/>
        </w:trPr>
        <w:tc>
          <w:tcPr>
            <w:tcW w:w="2939" w:type="dxa"/>
            <w:vMerge w:val="restart"/>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A multicenter, randomized, double-blind, controlled trial in Europe</w:t>
            </w:r>
          </w:p>
        </w:tc>
        <w:tc>
          <w:tcPr>
            <w:tcW w:w="2913"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 xml:space="preserve">23.10 mg/L at week 2 </w:t>
            </w:r>
          </w:p>
        </w:tc>
        <w:tc>
          <w:tcPr>
            <w:tcW w:w="6451"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 xml:space="preserve">Endoscopic remission (CDEIS &lt; 3) at week 12 </w:t>
            </w:r>
          </w:p>
        </w:tc>
        <w:tc>
          <w:tcPr>
            <w:tcW w:w="1316"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54/52</w:t>
            </w:r>
          </w:p>
        </w:tc>
        <w:tc>
          <w:tcPr>
            <w:tcW w:w="857"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56%</w:t>
            </w:r>
          </w:p>
        </w:tc>
        <w:tc>
          <w:tcPr>
            <w:tcW w:w="7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80%</w:t>
            </w:r>
          </w:p>
        </w:tc>
        <w:tc>
          <w:tcPr>
            <w:tcW w:w="8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72%</w:t>
            </w:r>
          </w:p>
        </w:tc>
        <w:tc>
          <w:tcPr>
            <w:tcW w:w="750"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65%</w:t>
            </w:r>
          </w:p>
        </w:tc>
        <w:tc>
          <w:tcPr>
            <w:tcW w:w="85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0.67</w:t>
            </w:r>
          </w:p>
        </w:tc>
      </w:tr>
      <w:tr>
        <w:tblPrEx>
          <w:tblCellMar>
            <w:top w:w="0" w:type="dxa"/>
            <w:left w:w="108" w:type="dxa"/>
            <w:bottom w:w="0" w:type="dxa"/>
            <w:right w:w="108" w:type="dxa"/>
          </w:tblCellMar>
        </w:tblPrEx>
        <w:trPr>
          <w:trHeight w:val="530" w:hRule="atLeast"/>
        </w:trPr>
        <w:tc>
          <w:tcPr>
            <w:tcW w:w="2939" w:type="dxa"/>
            <w:vMerge w:val="continue"/>
            <w:tcBorders>
              <w:top w:val="nil"/>
              <w:left w:val="nil"/>
              <w:bottom w:val="nil"/>
              <w:right w:val="nil"/>
            </w:tcBorders>
            <w:vAlign w:val="center"/>
          </w:tcPr>
          <w:p>
            <w:pPr>
              <w:spacing w:line="360" w:lineRule="auto"/>
              <w:rPr>
                <w:rFonts w:ascii="Book Antiqua" w:hAnsi="Book Antiqua" w:eastAsia="宋体" w:cs="宋体"/>
              </w:rPr>
            </w:pPr>
          </w:p>
        </w:tc>
        <w:tc>
          <w:tcPr>
            <w:tcW w:w="2913"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10.00 mg/L at week 6</w:t>
            </w:r>
          </w:p>
        </w:tc>
        <w:tc>
          <w:tcPr>
            <w:tcW w:w="6451"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 xml:space="preserve">Endoscopic remission (CDEIS &lt; 3) at week 12 </w:t>
            </w:r>
          </w:p>
        </w:tc>
        <w:tc>
          <w:tcPr>
            <w:tcW w:w="1316"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54/52</w:t>
            </w:r>
          </w:p>
        </w:tc>
        <w:tc>
          <w:tcPr>
            <w:tcW w:w="857"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37%</w:t>
            </w:r>
          </w:p>
        </w:tc>
        <w:tc>
          <w:tcPr>
            <w:tcW w:w="7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89%</w:t>
            </w:r>
          </w:p>
        </w:tc>
        <w:tc>
          <w:tcPr>
            <w:tcW w:w="8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76%</w:t>
            </w:r>
          </w:p>
        </w:tc>
        <w:tc>
          <w:tcPr>
            <w:tcW w:w="750"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59%</w:t>
            </w:r>
          </w:p>
        </w:tc>
        <w:tc>
          <w:tcPr>
            <w:tcW w:w="85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0.64</w:t>
            </w:r>
          </w:p>
        </w:tc>
      </w:tr>
      <w:tr>
        <w:tblPrEx>
          <w:tblCellMar>
            <w:top w:w="0" w:type="dxa"/>
            <w:left w:w="108" w:type="dxa"/>
            <w:bottom w:w="0" w:type="dxa"/>
            <w:right w:w="108" w:type="dxa"/>
          </w:tblCellMar>
        </w:tblPrEx>
        <w:trPr>
          <w:trHeight w:val="690" w:hRule="atLeast"/>
        </w:trPr>
        <w:tc>
          <w:tcPr>
            <w:tcW w:w="2939" w:type="dxa"/>
            <w:vMerge w:val="continue"/>
            <w:tcBorders>
              <w:top w:val="nil"/>
              <w:left w:val="nil"/>
              <w:bottom w:val="nil"/>
              <w:right w:val="nil"/>
            </w:tcBorders>
            <w:vAlign w:val="center"/>
          </w:tcPr>
          <w:p>
            <w:pPr>
              <w:spacing w:line="360" w:lineRule="auto"/>
              <w:rPr>
                <w:rFonts w:ascii="Book Antiqua" w:hAnsi="Book Antiqua" w:eastAsia="宋体" w:cs="宋体"/>
              </w:rPr>
            </w:pPr>
          </w:p>
        </w:tc>
        <w:tc>
          <w:tcPr>
            <w:tcW w:w="2913"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10.60 mg/L (dose escalation to 10 mg/kg)</w:t>
            </w:r>
          </w:p>
        </w:tc>
        <w:tc>
          <w:tcPr>
            <w:tcW w:w="6451"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The absence of ulcers at week 54</w:t>
            </w:r>
          </w:p>
        </w:tc>
        <w:tc>
          <w:tcPr>
            <w:tcW w:w="1316"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85/51</w:t>
            </w:r>
          </w:p>
        </w:tc>
        <w:tc>
          <w:tcPr>
            <w:tcW w:w="857"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94%</w:t>
            </w:r>
          </w:p>
        </w:tc>
        <w:tc>
          <w:tcPr>
            <w:tcW w:w="7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42%</w:t>
            </w:r>
          </w:p>
        </w:tc>
        <w:tc>
          <w:tcPr>
            <w:tcW w:w="8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49%</w:t>
            </w:r>
          </w:p>
        </w:tc>
        <w:tc>
          <w:tcPr>
            <w:tcW w:w="750"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92%</w:t>
            </w:r>
          </w:p>
        </w:tc>
        <w:tc>
          <w:tcPr>
            <w:tcW w:w="85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0.71</w:t>
            </w:r>
          </w:p>
        </w:tc>
      </w:tr>
      <w:tr>
        <w:tblPrEx>
          <w:tblCellMar>
            <w:top w:w="0" w:type="dxa"/>
            <w:left w:w="108" w:type="dxa"/>
            <w:bottom w:w="0" w:type="dxa"/>
            <w:right w:w="108" w:type="dxa"/>
          </w:tblCellMar>
        </w:tblPrEx>
        <w:trPr>
          <w:trHeight w:val="630" w:hRule="atLeast"/>
        </w:trPr>
        <w:tc>
          <w:tcPr>
            <w:tcW w:w="2939" w:type="dxa"/>
            <w:vMerge w:val="restart"/>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A retrospective multicenter study in United States</w:t>
            </w:r>
          </w:p>
        </w:tc>
        <w:tc>
          <w:tcPr>
            <w:tcW w:w="2913"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9.70 μg/m</w:t>
            </w:r>
            <w:r>
              <w:rPr>
                <w:rFonts w:ascii="Book Antiqua" w:hAnsi="Book Antiqua" w:eastAsia="宋体" w:cs="宋体"/>
                <w:caps/>
              </w:rPr>
              <w:t>l</w:t>
            </w:r>
          </w:p>
        </w:tc>
        <w:tc>
          <w:tcPr>
            <w:tcW w:w="6451"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Endoscopic remission (absence of any mucosal break (ulceration or erosion)/Rutgeerts score of ≤ i1)</w:t>
            </w:r>
          </w:p>
        </w:tc>
        <w:tc>
          <w:tcPr>
            <w:tcW w:w="1316"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62/34</w:t>
            </w:r>
          </w:p>
        </w:tc>
        <w:tc>
          <w:tcPr>
            <w:tcW w:w="857"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57%</w:t>
            </w:r>
          </w:p>
        </w:tc>
        <w:tc>
          <w:tcPr>
            <w:tcW w:w="7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73%</w:t>
            </w:r>
          </w:p>
        </w:tc>
        <w:tc>
          <w:tcPr>
            <w:tcW w:w="8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80%</w:t>
            </w:r>
          </w:p>
        </w:tc>
        <w:tc>
          <w:tcPr>
            <w:tcW w:w="750"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48%</w:t>
            </w:r>
          </w:p>
        </w:tc>
        <w:tc>
          <w:tcPr>
            <w:tcW w:w="85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0.65</w:t>
            </w:r>
          </w:p>
        </w:tc>
      </w:tr>
      <w:tr>
        <w:tblPrEx>
          <w:tblCellMar>
            <w:top w:w="0" w:type="dxa"/>
            <w:left w:w="108" w:type="dxa"/>
            <w:bottom w:w="0" w:type="dxa"/>
            <w:right w:w="108" w:type="dxa"/>
          </w:tblCellMar>
        </w:tblPrEx>
        <w:trPr>
          <w:trHeight w:val="360" w:hRule="atLeast"/>
        </w:trPr>
        <w:tc>
          <w:tcPr>
            <w:tcW w:w="2939" w:type="dxa"/>
            <w:vMerge w:val="continue"/>
            <w:tcBorders>
              <w:top w:val="nil"/>
              <w:left w:val="nil"/>
              <w:bottom w:val="nil"/>
              <w:right w:val="nil"/>
            </w:tcBorders>
            <w:vAlign w:val="center"/>
          </w:tcPr>
          <w:p>
            <w:pPr>
              <w:spacing w:line="360" w:lineRule="auto"/>
              <w:rPr>
                <w:rFonts w:ascii="Book Antiqua" w:hAnsi="Book Antiqua" w:eastAsia="宋体" w:cs="宋体"/>
              </w:rPr>
            </w:pPr>
          </w:p>
        </w:tc>
        <w:tc>
          <w:tcPr>
            <w:tcW w:w="2913"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9.80 μg/m</w:t>
            </w:r>
            <w:r>
              <w:rPr>
                <w:rFonts w:ascii="Book Antiqua" w:hAnsi="Book Antiqua" w:eastAsia="宋体" w:cs="宋体"/>
                <w:caps/>
              </w:rPr>
              <w:t>l</w:t>
            </w:r>
          </w:p>
        </w:tc>
        <w:tc>
          <w:tcPr>
            <w:tcW w:w="6451"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Histologic remissions (absence of active inflammation)</w:t>
            </w:r>
          </w:p>
        </w:tc>
        <w:tc>
          <w:tcPr>
            <w:tcW w:w="1316"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43/44</w:t>
            </w:r>
          </w:p>
        </w:tc>
        <w:tc>
          <w:tcPr>
            <w:tcW w:w="857"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63%</w:t>
            </w:r>
          </w:p>
        </w:tc>
        <w:tc>
          <w:tcPr>
            <w:tcW w:w="7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66%</w:t>
            </w:r>
          </w:p>
        </w:tc>
        <w:tc>
          <w:tcPr>
            <w:tcW w:w="8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64%</w:t>
            </w:r>
          </w:p>
        </w:tc>
        <w:tc>
          <w:tcPr>
            <w:tcW w:w="750"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64%</w:t>
            </w:r>
          </w:p>
        </w:tc>
        <w:tc>
          <w:tcPr>
            <w:tcW w:w="85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0.62</w:t>
            </w:r>
          </w:p>
        </w:tc>
      </w:tr>
      <w:tr>
        <w:tblPrEx>
          <w:tblCellMar>
            <w:top w:w="0" w:type="dxa"/>
            <w:left w:w="108" w:type="dxa"/>
            <w:bottom w:w="0" w:type="dxa"/>
            <w:right w:w="108" w:type="dxa"/>
          </w:tblCellMar>
        </w:tblPrEx>
        <w:trPr>
          <w:trHeight w:val="320" w:hRule="atLeast"/>
        </w:trPr>
        <w:tc>
          <w:tcPr>
            <w:tcW w:w="2939" w:type="dxa"/>
            <w:vMerge w:val="continue"/>
            <w:tcBorders>
              <w:top w:val="nil"/>
              <w:left w:val="nil"/>
              <w:bottom w:val="nil"/>
              <w:right w:val="nil"/>
            </w:tcBorders>
            <w:vAlign w:val="center"/>
          </w:tcPr>
          <w:p>
            <w:pPr>
              <w:spacing w:line="360" w:lineRule="auto"/>
              <w:rPr>
                <w:rFonts w:ascii="Book Antiqua" w:hAnsi="Book Antiqua" w:eastAsia="宋体" w:cs="宋体"/>
              </w:rPr>
            </w:pPr>
          </w:p>
        </w:tc>
        <w:tc>
          <w:tcPr>
            <w:tcW w:w="2913"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2.20 μg/m</w:t>
            </w:r>
            <w:r>
              <w:rPr>
                <w:rFonts w:ascii="Book Antiqua" w:hAnsi="Book Antiqua" w:eastAsia="宋体" w:cs="宋体"/>
                <w:caps/>
              </w:rPr>
              <w:t>l</w:t>
            </w:r>
          </w:p>
        </w:tc>
        <w:tc>
          <w:tcPr>
            <w:tcW w:w="6451"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Biochemical remission (CRP ≤ 5 mg/dL)</w:t>
            </w:r>
          </w:p>
        </w:tc>
        <w:tc>
          <w:tcPr>
            <w:tcW w:w="1316"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48/23</w:t>
            </w:r>
          </w:p>
        </w:tc>
        <w:tc>
          <w:tcPr>
            <w:tcW w:w="857"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92%</w:t>
            </w:r>
          </w:p>
        </w:tc>
        <w:tc>
          <w:tcPr>
            <w:tcW w:w="7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35%</w:t>
            </w:r>
          </w:p>
        </w:tc>
        <w:tc>
          <w:tcPr>
            <w:tcW w:w="8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75%</w:t>
            </w:r>
          </w:p>
        </w:tc>
        <w:tc>
          <w:tcPr>
            <w:tcW w:w="750"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67%</w:t>
            </w:r>
          </w:p>
        </w:tc>
        <w:tc>
          <w:tcPr>
            <w:tcW w:w="85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0.64</w:t>
            </w:r>
          </w:p>
        </w:tc>
      </w:tr>
      <w:tr>
        <w:tblPrEx>
          <w:tblCellMar>
            <w:top w:w="0" w:type="dxa"/>
            <w:left w:w="108" w:type="dxa"/>
            <w:bottom w:w="0" w:type="dxa"/>
            <w:right w:w="108" w:type="dxa"/>
          </w:tblCellMar>
        </w:tblPrEx>
        <w:trPr>
          <w:trHeight w:val="640" w:hRule="atLeast"/>
        </w:trPr>
        <w:tc>
          <w:tcPr>
            <w:tcW w:w="2939" w:type="dxa"/>
            <w:vMerge w:val="restart"/>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A retrospective observational single-center study in Japan</w:t>
            </w:r>
          </w:p>
        </w:tc>
        <w:tc>
          <w:tcPr>
            <w:tcW w:w="2913"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4.00 μg/m</w:t>
            </w:r>
            <w:r>
              <w:rPr>
                <w:rFonts w:ascii="Book Antiqua" w:hAnsi="Book Antiqua" w:eastAsia="宋体" w:cs="宋体"/>
                <w:caps/>
              </w:rPr>
              <w:t>l</w:t>
            </w:r>
          </w:p>
        </w:tc>
        <w:tc>
          <w:tcPr>
            <w:tcW w:w="6451"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Mucosal healing (modified Rutgeerts scoring system:</w:t>
            </w:r>
            <w:r>
              <w:rPr>
                <w:rFonts w:hint="eastAsia" w:ascii="Book Antiqua" w:hAnsi="Book Antiqua" w:eastAsia="宋体" w:cs="宋体"/>
                <w:lang w:val="en-US" w:eastAsia="zh-CN"/>
              </w:rPr>
              <w:t xml:space="preserve"> </w:t>
            </w:r>
            <w:r>
              <w:rPr>
                <w:rFonts w:ascii="Book Antiqua" w:hAnsi="Book Antiqua" w:eastAsia="宋体" w:cs="宋体"/>
              </w:rPr>
              <w:t>0 or 1) after 30 days</w:t>
            </w:r>
          </w:p>
        </w:tc>
        <w:tc>
          <w:tcPr>
            <w:tcW w:w="1316"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20/58</w:t>
            </w:r>
          </w:p>
        </w:tc>
        <w:tc>
          <w:tcPr>
            <w:tcW w:w="857"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71%</w:t>
            </w:r>
          </w:p>
        </w:tc>
        <w:tc>
          <w:tcPr>
            <w:tcW w:w="7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70%</w:t>
            </w:r>
          </w:p>
        </w:tc>
        <w:tc>
          <w:tcPr>
            <w:tcW w:w="878" w:type="dxa"/>
            <w:tcBorders>
              <w:top w:val="nil"/>
              <w:left w:val="nil"/>
              <w:bottom w:val="nil"/>
              <w:right w:val="nil"/>
            </w:tcBorders>
            <w:shd w:val="clear" w:color="000000" w:fill="FFFFFF"/>
          </w:tcPr>
          <w:p>
            <w:pPr>
              <w:spacing w:line="360" w:lineRule="auto"/>
              <w:rPr>
                <w:rFonts w:hint="eastAsia" w:ascii="Book Antiqua" w:hAnsi="Book Antiqua" w:eastAsia="宋体" w:cs="宋体"/>
                <w:lang w:eastAsia="zh-CN"/>
              </w:rPr>
            </w:pPr>
          </w:p>
        </w:tc>
        <w:tc>
          <w:tcPr>
            <w:tcW w:w="750" w:type="dxa"/>
            <w:tcBorders>
              <w:top w:val="nil"/>
              <w:left w:val="nil"/>
              <w:bottom w:val="nil"/>
              <w:right w:val="nil"/>
            </w:tcBorders>
            <w:shd w:val="clear" w:color="000000" w:fill="FFFFFF"/>
          </w:tcPr>
          <w:p>
            <w:pPr>
              <w:spacing w:line="360" w:lineRule="auto"/>
              <w:rPr>
                <w:rFonts w:hint="eastAsia" w:ascii="Book Antiqua" w:hAnsi="Book Antiqua" w:eastAsia="宋体" w:cs="宋体"/>
                <w:lang w:eastAsia="zh-CN"/>
              </w:rPr>
            </w:pPr>
          </w:p>
        </w:tc>
        <w:tc>
          <w:tcPr>
            <w:tcW w:w="85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0.63</w:t>
            </w:r>
          </w:p>
        </w:tc>
      </w:tr>
      <w:tr>
        <w:tblPrEx>
          <w:tblCellMar>
            <w:top w:w="0" w:type="dxa"/>
            <w:left w:w="108" w:type="dxa"/>
            <w:bottom w:w="0" w:type="dxa"/>
            <w:right w:w="108" w:type="dxa"/>
          </w:tblCellMar>
        </w:tblPrEx>
        <w:trPr>
          <w:trHeight w:val="330" w:hRule="atLeast"/>
        </w:trPr>
        <w:tc>
          <w:tcPr>
            <w:tcW w:w="2939" w:type="dxa"/>
            <w:vMerge w:val="continue"/>
            <w:tcBorders>
              <w:top w:val="nil"/>
              <w:left w:val="nil"/>
              <w:bottom w:val="nil"/>
              <w:right w:val="nil"/>
            </w:tcBorders>
            <w:vAlign w:val="center"/>
          </w:tcPr>
          <w:p>
            <w:pPr>
              <w:spacing w:line="360" w:lineRule="auto"/>
              <w:rPr>
                <w:rFonts w:ascii="Book Antiqua" w:hAnsi="Book Antiqua" w:eastAsia="宋体" w:cs="宋体"/>
              </w:rPr>
            </w:pPr>
          </w:p>
        </w:tc>
        <w:tc>
          <w:tcPr>
            <w:tcW w:w="2913"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0.60 μg/m</w:t>
            </w:r>
            <w:r>
              <w:rPr>
                <w:rFonts w:ascii="Book Antiqua" w:hAnsi="Book Antiqua" w:eastAsia="宋体" w:cs="宋体"/>
                <w:caps/>
              </w:rPr>
              <w:t>l</w:t>
            </w:r>
          </w:p>
        </w:tc>
        <w:tc>
          <w:tcPr>
            <w:tcW w:w="6451"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CRP normalization (≤ 0.3 mg/dL)</w:t>
            </w:r>
          </w:p>
        </w:tc>
        <w:tc>
          <w:tcPr>
            <w:tcW w:w="1316"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28/22</w:t>
            </w:r>
          </w:p>
        </w:tc>
        <w:tc>
          <w:tcPr>
            <w:tcW w:w="857"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73%</w:t>
            </w:r>
          </w:p>
        </w:tc>
        <w:tc>
          <w:tcPr>
            <w:tcW w:w="7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62%</w:t>
            </w:r>
          </w:p>
        </w:tc>
        <w:tc>
          <w:tcPr>
            <w:tcW w:w="878" w:type="dxa"/>
            <w:tcBorders>
              <w:top w:val="nil"/>
              <w:left w:val="nil"/>
              <w:bottom w:val="nil"/>
              <w:right w:val="nil"/>
            </w:tcBorders>
            <w:shd w:val="clear" w:color="000000" w:fill="FFFFFF"/>
          </w:tcPr>
          <w:p>
            <w:pPr>
              <w:spacing w:line="360" w:lineRule="auto"/>
              <w:rPr>
                <w:rFonts w:hint="eastAsia" w:ascii="Book Antiqua" w:hAnsi="Book Antiqua" w:eastAsia="宋体" w:cs="宋体"/>
                <w:lang w:eastAsia="zh-CN"/>
              </w:rPr>
            </w:pPr>
          </w:p>
        </w:tc>
        <w:tc>
          <w:tcPr>
            <w:tcW w:w="750" w:type="dxa"/>
            <w:tcBorders>
              <w:top w:val="nil"/>
              <w:left w:val="nil"/>
              <w:bottom w:val="nil"/>
              <w:right w:val="nil"/>
            </w:tcBorders>
            <w:shd w:val="clear" w:color="000000" w:fill="FFFFFF"/>
          </w:tcPr>
          <w:p>
            <w:pPr>
              <w:spacing w:line="360" w:lineRule="auto"/>
              <w:rPr>
                <w:rFonts w:hint="eastAsia" w:ascii="Book Antiqua" w:hAnsi="Book Antiqua" w:eastAsia="宋体" w:cs="宋体"/>
                <w:lang w:eastAsia="zh-CN"/>
              </w:rPr>
            </w:pPr>
          </w:p>
        </w:tc>
        <w:tc>
          <w:tcPr>
            <w:tcW w:w="85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0.67</w:t>
            </w:r>
          </w:p>
        </w:tc>
      </w:tr>
      <w:tr>
        <w:tblPrEx>
          <w:tblCellMar>
            <w:top w:w="0" w:type="dxa"/>
            <w:left w:w="108" w:type="dxa"/>
            <w:bottom w:w="0" w:type="dxa"/>
            <w:right w:w="108" w:type="dxa"/>
          </w:tblCellMar>
        </w:tblPrEx>
        <w:trPr>
          <w:trHeight w:val="380" w:hRule="atLeast"/>
        </w:trPr>
        <w:tc>
          <w:tcPr>
            <w:tcW w:w="2939" w:type="dxa"/>
            <w:vMerge w:val="continue"/>
            <w:tcBorders>
              <w:top w:val="nil"/>
              <w:left w:val="nil"/>
              <w:bottom w:val="nil"/>
              <w:right w:val="nil"/>
            </w:tcBorders>
            <w:vAlign w:val="center"/>
          </w:tcPr>
          <w:p>
            <w:pPr>
              <w:spacing w:line="360" w:lineRule="auto"/>
              <w:rPr>
                <w:rFonts w:ascii="Book Antiqua" w:hAnsi="Book Antiqua" w:eastAsia="宋体" w:cs="宋体"/>
              </w:rPr>
            </w:pPr>
          </w:p>
        </w:tc>
        <w:tc>
          <w:tcPr>
            <w:tcW w:w="2913"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1.00 μg/m</w:t>
            </w:r>
            <w:r>
              <w:rPr>
                <w:rFonts w:ascii="Book Antiqua" w:hAnsi="Book Antiqua" w:eastAsia="宋体" w:cs="宋体"/>
                <w:caps/>
              </w:rPr>
              <w:t>l</w:t>
            </w:r>
          </w:p>
        </w:tc>
        <w:tc>
          <w:tcPr>
            <w:tcW w:w="6451"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Serum albumin normalization (≥ 4.0 mg/dL)</w:t>
            </w:r>
          </w:p>
        </w:tc>
        <w:tc>
          <w:tcPr>
            <w:tcW w:w="1316"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17/33</w:t>
            </w:r>
          </w:p>
        </w:tc>
        <w:tc>
          <w:tcPr>
            <w:tcW w:w="857"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67%</w:t>
            </w:r>
          </w:p>
        </w:tc>
        <w:tc>
          <w:tcPr>
            <w:tcW w:w="7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71%</w:t>
            </w:r>
          </w:p>
        </w:tc>
        <w:tc>
          <w:tcPr>
            <w:tcW w:w="878" w:type="dxa"/>
            <w:tcBorders>
              <w:top w:val="nil"/>
              <w:left w:val="nil"/>
              <w:bottom w:val="nil"/>
              <w:right w:val="nil"/>
            </w:tcBorders>
            <w:shd w:val="clear" w:color="000000" w:fill="FFFFFF"/>
          </w:tcPr>
          <w:p>
            <w:pPr>
              <w:spacing w:line="360" w:lineRule="auto"/>
              <w:rPr>
                <w:rFonts w:hint="eastAsia" w:ascii="Book Antiqua" w:hAnsi="Book Antiqua" w:eastAsia="宋体" w:cs="宋体"/>
                <w:lang w:eastAsia="zh-CN"/>
              </w:rPr>
            </w:pPr>
          </w:p>
        </w:tc>
        <w:tc>
          <w:tcPr>
            <w:tcW w:w="750" w:type="dxa"/>
            <w:tcBorders>
              <w:top w:val="nil"/>
              <w:left w:val="nil"/>
              <w:bottom w:val="nil"/>
              <w:right w:val="nil"/>
            </w:tcBorders>
            <w:shd w:val="clear" w:color="000000" w:fill="FFFFFF"/>
          </w:tcPr>
          <w:p>
            <w:pPr>
              <w:spacing w:line="360" w:lineRule="auto"/>
              <w:rPr>
                <w:rFonts w:hint="eastAsia" w:ascii="Book Antiqua" w:hAnsi="Book Antiqua" w:eastAsia="宋体" w:cs="宋体"/>
                <w:lang w:eastAsia="zh-CN"/>
              </w:rPr>
            </w:pPr>
          </w:p>
        </w:tc>
        <w:tc>
          <w:tcPr>
            <w:tcW w:w="85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0.72</w:t>
            </w:r>
          </w:p>
        </w:tc>
      </w:tr>
      <w:tr>
        <w:tblPrEx>
          <w:tblCellMar>
            <w:top w:w="0" w:type="dxa"/>
            <w:left w:w="108" w:type="dxa"/>
            <w:bottom w:w="0" w:type="dxa"/>
            <w:right w:w="108" w:type="dxa"/>
          </w:tblCellMar>
        </w:tblPrEx>
        <w:trPr>
          <w:trHeight w:val="410" w:hRule="atLeast"/>
        </w:trPr>
        <w:tc>
          <w:tcPr>
            <w:tcW w:w="2939" w:type="dxa"/>
            <w:vMerge w:val="continue"/>
            <w:tcBorders>
              <w:top w:val="nil"/>
              <w:left w:val="nil"/>
              <w:bottom w:val="nil"/>
              <w:right w:val="nil"/>
            </w:tcBorders>
            <w:vAlign w:val="center"/>
          </w:tcPr>
          <w:p>
            <w:pPr>
              <w:spacing w:line="360" w:lineRule="auto"/>
              <w:rPr>
                <w:rFonts w:ascii="Book Antiqua" w:hAnsi="Book Antiqua" w:eastAsia="宋体" w:cs="宋体"/>
              </w:rPr>
            </w:pPr>
          </w:p>
        </w:tc>
        <w:tc>
          <w:tcPr>
            <w:tcW w:w="2913"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1.10 μg/m</w:t>
            </w:r>
            <w:r>
              <w:rPr>
                <w:rFonts w:ascii="Book Antiqua" w:hAnsi="Book Antiqua" w:eastAsia="宋体" w:cs="宋体"/>
                <w:caps/>
              </w:rPr>
              <w:t>l</w:t>
            </w:r>
          </w:p>
        </w:tc>
        <w:tc>
          <w:tcPr>
            <w:tcW w:w="6451"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Fecal calprotectin (≥ 300 μg/g)</w:t>
            </w:r>
          </w:p>
        </w:tc>
        <w:tc>
          <w:tcPr>
            <w:tcW w:w="1316"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13/25</w:t>
            </w:r>
          </w:p>
        </w:tc>
        <w:tc>
          <w:tcPr>
            <w:tcW w:w="857"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72%</w:t>
            </w:r>
          </w:p>
        </w:tc>
        <w:tc>
          <w:tcPr>
            <w:tcW w:w="7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56%</w:t>
            </w:r>
          </w:p>
        </w:tc>
        <w:tc>
          <w:tcPr>
            <w:tcW w:w="878" w:type="dxa"/>
            <w:tcBorders>
              <w:top w:val="nil"/>
              <w:left w:val="nil"/>
              <w:bottom w:val="nil"/>
              <w:right w:val="nil"/>
            </w:tcBorders>
            <w:shd w:val="clear" w:color="000000" w:fill="FFFFFF"/>
          </w:tcPr>
          <w:p>
            <w:pPr>
              <w:spacing w:line="360" w:lineRule="auto"/>
              <w:rPr>
                <w:rFonts w:hint="eastAsia" w:ascii="Book Antiqua" w:hAnsi="Book Antiqua" w:eastAsia="宋体" w:cs="宋体"/>
                <w:lang w:eastAsia="zh-CN"/>
              </w:rPr>
            </w:pPr>
          </w:p>
        </w:tc>
        <w:tc>
          <w:tcPr>
            <w:tcW w:w="750" w:type="dxa"/>
            <w:tcBorders>
              <w:top w:val="nil"/>
              <w:left w:val="nil"/>
              <w:bottom w:val="nil"/>
              <w:right w:val="nil"/>
            </w:tcBorders>
            <w:shd w:val="clear" w:color="000000" w:fill="FFFFFF"/>
          </w:tcPr>
          <w:p>
            <w:pPr>
              <w:spacing w:line="360" w:lineRule="auto"/>
              <w:rPr>
                <w:rFonts w:hint="eastAsia" w:ascii="Book Antiqua" w:hAnsi="Book Antiqua" w:eastAsia="宋体" w:cs="宋体"/>
                <w:lang w:eastAsia="zh-CN"/>
              </w:rPr>
            </w:pPr>
          </w:p>
        </w:tc>
        <w:tc>
          <w:tcPr>
            <w:tcW w:w="85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0.63</w:t>
            </w:r>
          </w:p>
        </w:tc>
      </w:tr>
      <w:tr>
        <w:tblPrEx>
          <w:tblCellMar>
            <w:top w:w="0" w:type="dxa"/>
            <w:left w:w="108" w:type="dxa"/>
            <w:bottom w:w="0" w:type="dxa"/>
            <w:right w:w="108" w:type="dxa"/>
          </w:tblCellMar>
        </w:tblPrEx>
        <w:trPr>
          <w:trHeight w:val="400" w:hRule="atLeast"/>
        </w:trPr>
        <w:tc>
          <w:tcPr>
            <w:tcW w:w="2939" w:type="dxa"/>
            <w:vMerge w:val="restart"/>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A retrospective cross-sectional multicenter study in South Korea</w:t>
            </w:r>
          </w:p>
        </w:tc>
        <w:tc>
          <w:tcPr>
            <w:tcW w:w="2913"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4.20 μg/m</w:t>
            </w:r>
            <w:r>
              <w:rPr>
                <w:rFonts w:ascii="Book Antiqua" w:hAnsi="Book Antiqua" w:eastAsia="宋体" w:cs="宋体"/>
                <w:caps/>
              </w:rPr>
              <w:t>l</w:t>
            </w:r>
            <w:r>
              <w:rPr>
                <w:rFonts w:ascii="Book Antiqua" w:hAnsi="Book Antiqua" w:eastAsia="宋体" w:cs="宋体"/>
              </w:rPr>
              <w:t> </w:t>
            </w:r>
          </w:p>
        </w:tc>
        <w:tc>
          <w:tcPr>
            <w:tcW w:w="6451"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Mucosal healing (SES-CD = 0)</w:t>
            </w:r>
          </w:p>
        </w:tc>
        <w:tc>
          <w:tcPr>
            <w:tcW w:w="1316"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51/54</w:t>
            </w:r>
          </w:p>
        </w:tc>
        <w:tc>
          <w:tcPr>
            <w:tcW w:w="857"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65%</w:t>
            </w:r>
          </w:p>
        </w:tc>
        <w:tc>
          <w:tcPr>
            <w:tcW w:w="7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70%</w:t>
            </w:r>
          </w:p>
        </w:tc>
        <w:tc>
          <w:tcPr>
            <w:tcW w:w="8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67%</w:t>
            </w:r>
          </w:p>
        </w:tc>
        <w:tc>
          <w:tcPr>
            <w:tcW w:w="750"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68%</w:t>
            </w:r>
          </w:p>
        </w:tc>
        <w:tc>
          <w:tcPr>
            <w:tcW w:w="85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0.68</w:t>
            </w:r>
          </w:p>
        </w:tc>
      </w:tr>
      <w:tr>
        <w:tblPrEx>
          <w:tblCellMar>
            <w:top w:w="0" w:type="dxa"/>
            <w:left w:w="108" w:type="dxa"/>
            <w:bottom w:w="0" w:type="dxa"/>
            <w:right w:w="108" w:type="dxa"/>
          </w:tblCellMar>
        </w:tblPrEx>
        <w:trPr>
          <w:trHeight w:val="400" w:hRule="atLeast"/>
        </w:trPr>
        <w:tc>
          <w:tcPr>
            <w:tcW w:w="2939" w:type="dxa"/>
            <w:vMerge w:val="continue"/>
            <w:tcBorders>
              <w:top w:val="nil"/>
              <w:left w:val="nil"/>
              <w:bottom w:val="nil"/>
              <w:right w:val="nil"/>
            </w:tcBorders>
            <w:vAlign w:val="center"/>
          </w:tcPr>
          <w:p>
            <w:pPr>
              <w:spacing w:line="360" w:lineRule="auto"/>
              <w:rPr>
                <w:rFonts w:ascii="Book Antiqua" w:hAnsi="Book Antiqua" w:eastAsia="宋体" w:cs="宋体"/>
              </w:rPr>
            </w:pPr>
          </w:p>
        </w:tc>
        <w:tc>
          <w:tcPr>
            <w:tcW w:w="2913"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3.71 μg/m</w:t>
            </w:r>
            <w:r>
              <w:rPr>
                <w:rFonts w:ascii="Book Antiqua" w:hAnsi="Book Antiqua" w:eastAsia="宋体" w:cs="宋体"/>
                <w:caps/>
              </w:rPr>
              <w:t>l</w:t>
            </w:r>
          </w:p>
        </w:tc>
        <w:tc>
          <w:tcPr>
            <w:tcW w:w="6451"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Partial mucosal healing (SES-CD &lt; 3)</w:t>
            </w:r>
          </w:p>
        </w:tc>
        <w:tc>
          <w:tcPr>
            <w:tcW w:w="1316"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63/42</w:t>
            </w:r>
          </w:p>
        </w:tc>
        <w:tc>
          <w:tcPr>
            <w:tcW w:w="857"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70%</w:t>
            </w:r>
          </w:p>
        </w:tc>
        <w:tc>
          <w:tcPr>
            <w:tcW w:w="7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71%</w:t>
            </w:r>
          </w:p>
        </w:tc>
        <w:tc>
          <w:tcPr>
            <w:tcW w:w="8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79%</w:t>
            </w:r>
          </w:p>
        </w:tc>
        <w:tc>
          <w:tcPr>
            <w:tcW w:w="750"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61%</w:t>
            </w:r>
          </w:p>
        </w:tc>
        <w:tc>
          <w:tcPr>
            <w:tcW w:w="85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0.73</w:t>
            </w:r>
          </w:p>
        </w:tc>
      </w:tr>
      <w:tr>
        <w:tblPrEx>
          <w:tblCellMar>
            <w:top w:w="0" w:type="dxa"/>
            <w:left w:w="108" w:type="dxa"/>
            <w:bottom w:w="0" w:type="dxa"/>
            <w:right w:w="108" w:type="dxa"/>
          </w:tblCellMar>
        </w:tblPrEx>
        <w:trPr>
          <w:trHeight w:val="340" w:hRule="atLeast"/>
        </w:trPr>
        <w:tc>
          <w:tcPr>
            <w:tcW w:w="2939" w:type="dxa"/>
            <w:vMerge w:val="continue"/>
            <w:tcBorders>
              <w:top w:val="nil"/>
              <w:left w:val="nil"/>
              <w:bottom w:val="nil"/>
              <w:right w:val="nil"/>
            </w:tcBorders>
            <w:vAlign w:val="center"/>
          </w:tcPr>
          <w:p>
            <w:pPr>
              <w:spacing w:line="360" w:lineRule="auto"/>
              <w:rPr>
                <w:rFonts w:ascii="Book Antiqua" w:hAnsi="Book Antiqua" w:eastAsia="宋体" w:cs="宋体"/>
              </w:rPr>
            </w:pPr>
          </w:p>
        </w:tc>
        <w:tc>
          <w:tcPr>
            <w:tcW w:w="2913"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3.26 μg/m</w:t>
            </w:r>
            <w:r>
              <w:rPr>
                <w:rFonts w:ascii="Book Antiqua" w:hAnsi="Book Antiqua" w:eastAsia="宋体" w:cs="宋体"/>
                <w:caps/>
              </w:rPr>
              <w:t>l</w:t>
            </w:r>
          </w:p>
        </w:tc>
        <w:tc>
          <w:tcPr>
            <w:tcW w:w="6451"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Clinical remission (PCDAI &lt; 10)</w:t>
            </w:r>
          </w:p>
        </w:tc>
        <w:tc>
          <w:tcPr>
            <w:tcW w:w="1316"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95/10</w:t>
            </w:r>
          </w:p>
        </w:tc>
        <w:tc>
          <w:tcPr>
            <w:tcW w:w="857"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71%</w:t>
            </w:r>
          </w:p>
        </w:tc>
        <w:tc>
          <w:tcPr>
            <w:tcW w:w="7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100%</w:t>
            </w:r>
          </w:p>
        </w:tc>
        <w:tc>
          <w:tcPr>
            <w:tcW w:w="8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100%</w:t>
            </w:r>
          </w:p>
        </w:tc>
        <w:tc>
          <w:tcPr>
            <w:tcW w:w="750"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73%</w:t>
            </w:r>
          </w:p>
        </w:tc>
        <w:tc>
          <w:tcPr>
            <w:tcW w:w="85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0.90</w:t>
            </w:r>
          </w:p>
        </w:tc>
      </w:tr>
      <w:tr>
        <w:tblPrEx>
          <w:tblCellMar>
            <w:top w:w="0" w:type="dxa"/>
            <w:left w:w="108" w:type="dxa"/>
            <w:bottom w:w="0" w:type="dxa"/>
            <w:right w:w="108" w:type="dxa"/>
          </w:tblCellMar>
        </w:tblPrEx>
        <w:trPr>
          <w:trHeight w:val="350" w:hRule="atLeast"/>
        </w:trPr>
        <w:tc>
          <w:tcPr>
            <w:tcW w:w="2939" w:type="dxa"/>
            <w:vMerge w:val="continue"/>
            <w:tcBorders>
              <w:top w:val="nil"/>
              <w:left w:val="nil"/>
              <w:bottom w:val="nil"/>
              <w:right w:val="nil"/>
            </w:tcBorders>
            <w:vAlign w:val="center"/>
          </w:tcPr>
          <w:p>
            <w:pPr>
              <w:spacing w:line="360" w:lineRule="auto"/>
              <w:rPr>
                <w:rFonts w:ascii="Book Antiqua" w:hAnsi="Book Antiqua" w:eastAsia="宋体" w:cs="宋体"/>
              </w:rPr>
            </w:pPr>
          </w:p>
        </w:tc>
        <w:tc>
          <w:tcPr>
            <w:tcW w:w="2913"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2.52 μg/m</w:t>
            </w:r>
            <w:r>
              <w:rPr>
                <w:rFonts w:ascii="Book Antiqua" w:hAnsi="Book Antiqua" w:eastAsia="宋体" w:cs="宋体"/>
                <w:caps/>
              </w:rPr>
              <w:t>l</w:t>
            </w:r>
          </w:p>
        </w:tc>
        <w:tc>
          <w:tcPr>
            <w:tcW w:w="6451"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Biochemical remission (CRP &lt; 0.3 mg/dL)</w:t>
            </w:r>
          </w:p>
        </w:tc>
        <w:tc>
          <w:tcPr>
            <w:tcW w:w="1316"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87/18</w:t>
            </w:r>
          </w:p>
        </w:tc>
        <w:tc>
          <w:tcPr>
            <w:tcW w:w="857"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86%</w:t>
            </w:r>
          </w:p>
        </w:tc>
        <w:tc>
          <w:tcPr>
            <w:tcW w:w="7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56%</w:t>
            </w:r>
          </w:p>
        </w:tc>
        <w:tc>
          <w:tcPr>
            <w:tcW w:w="8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90%</w:t>
            </w:r>
          </w:p>
        </w:tc>
        <w:tc>
          <w:tcPr>
            <w:tcW w:w="750"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46%</w:t>
            </w:r>
          </w:p>
        </w:tc>
        <w:tc>
          <w:tcPr>
            <w:tcW w:w="85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0.71</w:t>
            </w:r>
          </w:p>
        </w:tc>
      </w:tr>
      <w:tr>
        <w:tblPrEx>
          <w:tblCellMar>
            <w:top w:w="0" w:type="dxa"/>
            <w:left w:w="108" w:type="dxa"/>
            <w:bottom w:w="0" w:type="dxa"/>
            <w:right w:w="108" w:type="dxa"/>
          </w:tblCellMar>
        </w:tblPrEx>
        <w:trPr>
          <w:trHeight w:val="660" w:hRule="atLeast"/>
        </w:trPr>
        <w:tc>
          <w:tcPr>
            <w:tcW w:w="2939" w:type="dxa"/>
            <w:vMerge w:val="restart"/>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A prospective cohort multicenter study in Canada</w:t>
            </w:r>
          </w:p>
        </w:tc>
        <w:tc>
          <w:tcPr>
            <w:tcW w:w="2913"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8.02 μg/m</w:t>
            </w:r>
            <w:r>
              <w:rPr>
                <w:rFonts w:ascii="Book Antiqua" w:hAnsi="Book Antiqua" w:eastAsia="宋体" w:cs="宋体"/>
                <w:caps/>
              </w:rPr>
              <w:t>l</w:t>
            </w:r>
          </w:p>
        </w:tc>
        <w:tc>
          <w:tcPr>
            <w:tcW w:w="6451"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 xml:space="preserve">Histologic remission (an absence of active chronic inflammation) </w:t>
            </w:r>
          </w:p>
        </w:tc>
        <w:tc>
          <w:tcPr>
            <w:tcW w:w="1316"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56/48</w:t>
            </w:r>
          </w:p>
        </w:tc>
        <w:tc>
          <w:tcPr>
            <w:tcW w:w="857"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79%</w:t>
            </w:r>
          </w:p>
        </w:tc>
        <w:tc>
          <w:tcPr>
            <w:tcW w:w="7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68%</w:t>
            </w:r>
          </w:p>
        </w:tc>
        <w:tc>
          <w:tcPr>
            <w:tcW w:w="878" w:type="dxa"/>
            <w:tcBorders>
              <w:top w:val="nil"/>
              <w:left w:val="nil"/>
              <w:bottom w:val="nil"/>
              <w:right w:val="nil"/>
            </w:tcBorders>
            <w:shd w:val="clear" w:color="000000" w:fill="FFFFFF"/>
          </w:tcPr>
          <w:p>
            <w:pPr>
              <w:spacing w:line="360" w:lineRule="auto"/>
              <w:rPr>
                <w:rFonts w:hint="eastAsia" w:ascii="Book Antiqua" w:hAnsi="Book Antiqua" w:eastAsia="宋体" w:cs="宋体"/>
                <w:lang w:eastAsia="zh-CN"/>
              </w:rPr>
            </w:pPr>
          </w:p>
        </w:tc>
        <w:tc>
          <w:tcPr>
            <w:tcW w:w="750" w:type="dxa"/>
            <w:tcBorders>
              <w:top w:val="nil"/>
              <w:left w:val="nil"/>
              <w:bottom w:val="nil"/>
              <w:right w:val="nil"/>
            </w:tcBorders>
            <w:shd w:val="clear" w:color="000000" w:fill="FFFFFF"/>
          </w:tcPr>
          <w:p>
            <w:pPr>
              <w:spacing w:line="360" w:lineRule="auto"/>
              <w:rPr>
                <w:rFonts w:hint="eastAsia" w:ascii="Book Antiqua" w:hAnsi="Book Antiqua" w:eastAsia="宋体" w:cs="宋体"/>
                <w:lang w:eastAsia="zh-CN"/>
              </w:rPr>
            </w:pPr>
          </w:p>
        </w:tc>
        <w:tc>
          <w:tcPr>
            <w:tcW w:w="85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0.72</w:t>
            </w:r>
          </w:p>
        </w:tc>
      </w:tr>
      <w:tr>
        <w:tblPrEx>
          <w:tblCellMar>
            <w:top w:w="0" w:type="dxa"/>
            <w:left w:w="108" w:type="dxa"/>
            <w:bottom w:w="0" w:type="dxa"/>
            <w:right w:w="108" w:type="dxa"/>
          </w:tblCellMar>
        </w:tblPrEx>
        <w:trPr>
          <w:trHeight w:val="970" w:hRule="atLeast"/>
        </w:trPr>
        <w:tc>
          <w:tcPr>
            <w:tcW w:w="2939" w:type="dxa"/>
            <w:vMerge w:val="continue"/>
            <w:tcBorders>
              <w:top w:val="nil"/>
              <w:left w:val="nil"/>
              <w:bottom w:val="nil"/>
              <w:right w:val="nil"/>
            </w:tcBorders>
            <w:vAlign w:val="center"/>
          </w:tcPr>
          <w:p>
            <w:pPr>
              <w:spacing w:line="360" w:lineRule="auto"/>
              <w:rPr>
                <w:rFonts w:ascii="Book Antiqua" w:hAnsi="Book Antiqua" w:eastAsia="宋体" w:cs="宋体"/>
              </w:rPr>
            </w:pPr>
          </w:p>
        </w:tc>
        <w:tc>
          <w:tcPr>
            <w:tcW w:w="2913"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8.27 μg/m</w:t>
            </w:r>
            <w:r>
              <w:rPr>
                <w:rFonts w:ascii="Book Antiqua" w:hAnsi="Book Antiqua" w:eastAsia="宋体" w:cs="宋体"/>
                <w:caps/>
              </w:rPr>
              <w:t>l</w:t>
            </w:r>
          </w:p>
        </w:tc>
        <w:tc>
          <w:tcPr>
            <w:tcW w:w="6451"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Sustained histologic remission (histologic remission documented at both the baseline and follow-up colonoscopies)</w:t>
            </w:r>
          </w:p>
        </w:tc>
        <w:tc>
          <w:tcPr>
            <w:tcW w:w="1316"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36/16</w:t>
            </w:r>
          </w:p>
        </w:tc>
        <w:tc>
          <w:tcPr>
            <w:tcW w:w="857"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88%</w:t>
            </w:r>
          </w:p>
        </w:tc>
        <w:tc>
          <w:tcPr>
            <w:tcW w:w="7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72%</w:t>
            </w:r>
          </w:p>
        </w:tc>
        <w:tc>
          <w:tcPr>
            <w:tcW w:w="878" w:type="dxa"/>
            <w:tcBorders>
              <w:top w:val="nil"/>
              <w:left w:val="nil"/>
              <w:bottom w:val="nil"/>
              <w:right w:val="nil"/>
            </w:tcBorders>
            <w:shd w:val="clear" w:color="000000" w:fill="FFFFFF"/>
          </w:tcPr>
          <w:p>
            <w:pPr>
              <w:spacing w:line="360" w:lineRule="auto"/>
              <w:rPr>
                <w:rFonts w:hint="eastAsia" w:ascii="Book Antiqua" w:hAnsi="Book Antiqua" w:eastAsia="宋体" w:cs="宋体"/>
                <w:lang w:eastAsia="zh-CN"/>
              </w:rPr>
            </w:pPr>
          </w:p>
        </w:tc>
        <w:tc>
          <w:tcPr>
            <w:tcW w:w="750" w:type="dxa"/>
            <w:tcBorders>
              <w:top w:val="nil"/>
              <w:left w:val="nil"/>
              <w:bottom w:val="nil"/>
              <w:right w:val="nil"/>
            </w:tcBorders>
            <w:shd w:val="clear" w:color="000000" w:fill="FFFFFF"/>
          </w:tcPr>
          <w:p>
            <w:pPr>
              <w:spacing w:line="360" w:lineRule="auto"/>
              <w:rPr>
                <w:rFonts w:hint="eastAsia" w:ascii="Book Antiqua" w:hAnsi="Book Antiqua" w:eastAsia="宋体" w:cs="宋体"/>
                <w:lang w:eastAsia="zh-CN"/>
              </w:rPr>
            </w:pPr>
          </w:p>
        </w:tc>
        <w:tc>
          <w:tcPr>
            <w:tcW w:w="85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0.77</w:t>
            </w:r>
          </w:p>
        </w:tc>
      </w:tr>
      <w:tr>
        <w:tblPrEx>
          <w:tblCellMar>
            <w:top w:w="0" w:type="dxa"/>
            <w:left w:w="108" w:type="dxa"/>
            <w:bottom w:w="0" w:type="dxa"/>
            <w:right w:w="108" w:type="dxa"/>
          </w:tblCellMar>
        </w:tblPrEx>
        <w:trPr>
          <w:trHeight w:val="740" w:hRule="atLeast"/>
        </w:trPr>
        <w:tc>
          <w:tcPr>
            <w:tcW w:w="2939" w:type="dxa"/>
            <w:vMerge w:val="restart"/>
            <w:tcBorders>
              <w:top w:val="nil"/>
              <w:left w:val="nil"/>
              <w:bottom w:val="single" w:color="000000" w:sz="8" w:space="0"/>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A retrospective cross-sectional study in United Kingdom</w:t>
            </w:r>
          </w:p>
        </w:tc>
        <w:tc>
          <w:tcPr>
            <w:tcW w:w="2913"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7.10 μg/m</w:t>
            </w:r>
            <w:r>
              <w:rPr>
                <w:rFonts w:ascii="Book Antiqua" w:hAnsi="Book Antiqua" w:eastAsia="宋体" w:cs="宋体"/>
                <w:caps/>
              </w:rPr>
              <w:t>l</w:t>
            </w:r>
          </w:p>
        </w:tc>
        <w:tc>
          <w:tcPr>
            <w:tcW w:w="6451"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Fistula healing (no spontaneous discharge or no discharge on palpation in the absence of seton drainage)</w:t>
            </w:r>
          </w:p>
        </w:tc>
        <w:tc>
          <w:tcPr>
            <w:tcW w:w="1316"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18/11</w:t>
            </w:r>
          </w:p>
        </w:tc>
        <w:tc>
          <w:tcPr>
            <w:tcW w:w="857"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78%</w:t>
            </w:r>
          </w:p>
        </w:tc>
        <w:tc>
          <w:tcPr>
            <w:tcW w:w="77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100%</w:t>
            </w:r>
          </w:p>
        </w:tc>
        <w:tc>
          <w:tcPr>
            <w:tcW w:w="878" w:type="dxa"/>
            <w:tcBorders>
              <w:top w:val="nil"/>
              <w:left w:val="nil"/>
              <w:bottom w:val="nil"/>
              <w:right w:val="nil"/>
            </w:tcBorders>
            <w:shd w:val="clear" w:color="000000" w:fill="FFFFFF"/>
          </w:tcPr>
          <w:p>
            <w:pPr>
              <w:spacing w:line="360" w:lineRule="auto"/>
              <w:rPr>
                <w:rFonts w:hint="eastAsia" w:ascii="Book Antiqua" w:hAnsi="Book Antiqua" w:eastAsia="宋体" w:cs="宋体"/>
                <w:lang w:eastAsia="zh-CN"/>
              </w:rPr>
            </w:pPr>
          </w:p>
        </w:tc>
        <w:tc>
          <w:tcPr>
            <w:tcW w:w="750" w:type="dxa"/>
            <w:tcBorders>
              <w:top w:val="nil"/>
              <w:left w:val="nil"/>
              <w:bottom w:val="nil"/>
              <w:right w:val="nil"/>
            </w:tcBorders>
            <w:shd w:val="clear" w:color="000000" w:fill="FFFFFF"/>
          </w:tcPr>
          <w:p>
            <w:pPr>
              <w:spacing w:line="360" w:lineRule="auto"/>
              <w:rPr>
                <w:rFonts w:hint="eastAsia" w:ascii="Book Antiqua" w:hAnsi="Book Antiqua" w:eastAsia="宋体" w:cs="宋体"/>
                <w:lang w:eastAsia="zh-CN"/>
              </w:rPr>
            </w:pPr>
          </w:p>
        </w:tc>
        <w:tc>
          <w:tcPr>
            <w:tcW w:w="858" w:type="dxa"/>
            <w:tcBorders>
              <w:top w:val="nil"/>
              <w:left w:val="nil"/>
              <w:bottom w:val="nil"/>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0.93</w:t>
            </w:r>
          </w:p>
        </w:tc>
      </w:tr>
      <w:tr>
        <w:tblPrEx>
          <w:tblCellMar>
            <w:top w:w="0" w:type="dxa"/>
            <w:left w:w="108" w:type="dxa"/>
            <w:bottom w:w="0" w:type="dxa"/>
            <w:right w:w="108" w:type="dxa"/>
          </w:tblCellMar>
        </w:tblPrEx>
        <w:trPr>
          <w:trHeight w:val="580" w:hRule="atLeast"/>
        </w:trPr>
        <w:tc>
          <w:tcPr>
            <w:tcW w:w="2939" w:type="dxa"/>
            <w:vMerge w:val="continue"/>
            <w:tcBorders>
              <w:top w:val="nil"/>
              <w:left w:val="nil"/>
              <w:bottom w:val="single" w:color="000000" w:sz="8" w:space="0"/>
              <w:right w:val="nil"/>
            </w:tcBorders>
            <w:vAlign w:val="center"/>
          </w:tcPr>
          <w:p>
            <w:pPr>
              <w:spacing w:line="360" w:lineRule="auto"/>
              <w:rPr>
                <w:rFonts w:ascii="Book Antiqua" w:hAnsi="Book Antiqua" w:eastAsia="宋体" w:cs="宋体"/>
              </w:rPr>
            </w:pPr>
          </w:p>
        </w:tc>
        <w:tc>
          <w:tcPr>
            <w:tcW w:w="2913" w:type="dxa"/>
            <w:tcBorders>
              <w:top w:val="nil"/>
              <w:left w:val="nil"/>
              <w:bottom w:val="single" w:color="000000" w:sz="8" w:space="0"/>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7.10 μg/m</w:t>
            </w:r>
            <w:r>
              <w:rPr>
                <w:rFonts w:ascii="Book Antiqua" w:hAnsi="Book Antiqua" w:eastAsia="宋体" w:cs="宋体"/>
                <w:caps/>
              </w:rPr>
              <w:t>l</w:t>
            </w:r>
          </w:p>
        </w:tc>
        <w:tc>
          <w:tcPr>
            <w:tcW w:w="6451" w:type="dxa"/>
            <w:tcBorders>
              <w:top w:val="nil"/>
              <w:left w:val="nil"/>
              <w:bottom w:val="single" w:color="000000" w:sz="8" w:space="0"/>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Fistula closure (the absence of an external skin opening)</w:t>
            </w:r>
          </w:p>
        </w:tc>
        <w:tc>
          <w:tcPr>
            <w:tcW w:w="1316" w:type="dxa"/>
            <w:tcBorders>
              <w:top w:val="nil"/>
              <w:left w:val="nil"/>
              <w:bottom w:val="single" w:color="000000" w:sz="8" w:space="0"/>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13/16</w:t>
            </w:r>
          </w:p>
        </w:tc>
        <w:tc>
          <w:tcPr>
            <w:tcW w:w="857" w:type="dxa"/>
            <w:tcBorders>
              <w:top w:val="nil"/>
              <w:left w:val="nil"/>
              <w:bottom w:val="single" w:color="000000" w:sz="8" w:space="0"/>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64%</w:t>
            </w:r>
          </w:p>
        </w:tc>
        <w:tc>
          <w:tcPr>
            <w:tcW w:w="778" w:type="dxa"/>
            <w:tcBorders>
              <w:top w:val="nil"/>
              <w:left w:val="nil"/>
              <w:bottom w:val="single" w:color="000000" w:sz="8" w:space="0"/>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100%</w:t>
            </w:r>
          </w:p>
        </w:tc>
        <w:tc>
          <w:tcPr>
            <w:tcW w:w="878" w:type="dxa"/>
            <w:tcBorders>
              <w:top w:val="nil"/>
              <w:left w:val="nil"/>
              <w:bottom w:val="single" w:color="000000" w:sz="8" w:space="0"/>
              <w:right w:val="nil"/>
            </w:tcBorders>
            <w:shd w:val="clear" w:color="000000" w:fill="FFFFFF"/>
          </w:tcPr>
          <w:p>
            <w:pPr>
              <w:spacing w:line="360" w:lineRule="auto"/>
              <w:rPr>
                <w:rFonts w:hint="eastAsia" w:ascii="Book Antiqua" w:hAnsi="Book Antiqua" w:eastAsia="宋体" w:cs="宋体"/>
                <w:lang w:eastAsia="zh-CN"/>
              </w:rPr>
            </w:pPr>
          </w:p>
        </w:tc>
        <w:tc>
          <w:tcPr>
            <w:tcW w:w="750" w:type="dxa"/>
            <w:tcBorders>
              <w:top w:val="nil"/>
              <w:left w:val="nil"/>
              <w:bottom w:val="single" w:color="000000" w:sz="8" w:space="0"/>
              <w:right w:val="nil"/>
            </w:tcBorders>
            <w:shd w:val="clear" w:color="000000" w:fill="FFFFFF"/>
          </w:tcPr>
          <w:p>
            <w:pPr>
              <w:spacing w:line="360" w:lineRule="auto"/>
              <w:rPr>
                <w:rFonts w:hint="eastAsia" w:ascii="Book Antiqua" w:hAnsi="Book Antiqua" w:eastAsia="宋体" w:cs="宋体"/>
                <w:lang w:eastAsia="zh-CN"/>
              </w:rPr>
            </w:pPr>
          </w:p>
        </w:tc>
        <w:tc>
          <w:tcPr>
            <w:tcW w:w="858" w:type="dxa"/>
            <w:tcBorders>
              <w:top w:val="nil"/>
              <w:left w:val="nil"/>
              <w:bottom w:val="single" w:color="000000" w:sz="8" w:space="0"/>
              <w:right w:val="nil"/>
            </w:tcBorders>
            <w:shd w:val="clear" w:color="000000" w:fill="FFFFFF"/>
          </w:tcPr>
          <w:p>
            <w:pPr>
              <w:spacing w:line="360" w:lineRule="auto"/>
              <w:rPr>
                <w:rFonts w:ascii="Book Antiqua" w:hAnsi="Book Antiqua" w:eastAsia="宋体" w:cs="宋体"/>
              </w:rPr>
            </w:pPr>
            <w:r>
              <w:rPr>
                <w:rFonts w:ascii="Book Antiqua" w:hAnsi="Book Antiqua" w:eastAsia="宋体" w:cs="宋体"/>
              </w:rPr>
              <w:t>0.97</w:t>
            </w:r>
          </w:p>
        </w:tc>
      </w:tr>
    </w:tbl>
    <w:p>
      <w:pPr>
        <w:spacing w:line="360" w:lineRule="auto"/>
        <w:jc w:val="both"/>
        <w:rPr>
          <w:rFonts w:ascii="Book Antiqua" w:hAnsi="Book Antiqua"/>
          <w:color w:val="000000" w:themeColor="text1"/>
          <w:lang w:eastAsia="zh-CN"/>
          <w14:textFill>
            <w14:solidFill>
              <w14:schemeClr w14:val="tx1"/>
            </w14:solidFill>
          </w14:textFill>
        </w:rPr>
        <w:sectPr>
          <w:pgSz w:w="19845" w:h="15842" w:orient="landscape"/>
          <w:pgMar w:top="1440" w:right="1440" w:bottom="1440" w:left="1440" w:header="720" w:footer="720" w:gutter="0"/>
          <w:cols w:space="720" w:num="1"/>
          <w:docGrid w:linePitch="360" w:charSpace="0"/>
        </w:sectPr>
      </w:pPr>
      <w:r>
        <w:rPr>
          <w:rFonts w:ascii="Book Antiqua" w:hAnsi="Book Antiqua"/>
          <w:color w:val="000000" w:themeColor="text1"/>
          <w:lang w:eastAsia="zh-CN"/>
          <w14:textFill>
            <w14:solidFill>
              <w14:schemeClr w14:val="tx1"/>
            </w14:solidFill>
          </w14:textFill>
        </w:rPr>
        <w:t>SE</w:t>
      </w:r>
      <w:r>
        <w:rPr>
          <w:rFonts w:hint="eastAsia" w:ascii="Book Antiqua" w:hAnsi="Book Antiqua"/>
          <w:color w:val="000000" w:themeColor="text1"/>
          <w:lang w:eastAsia="zh-CN"/>
          <w14:textFill>
            <w14:solidFill>
              <w14:schemeClr w14:val="tx1"/>
            </w14:solidFill>
          </w14:textFill>
        </w:rPr>
        <w:t>:</w:t>
      </w:r>
      <w:r>
        <w:rPr>
          <w:rFonts w:ascii="Book Antiqua" w:hAnsi="Book Antiqua"/>
          <w:color w:val="000000" w:themeColor="text1"/>
          <w:lang w:eastAsia="zh-CN"/>
          <w14:textFill>
            <w14:solidFill>
              <w14:schemeClr w14:val="tx1"/>
            </w14:solidFill>
          </w14:textFill>
        </w:rPr>
        <w:t xml:space="preserve"> Sensitivity; SP</w:t>
      </w:r>
      <w:r>
        <w:rPr>
          <w:rFonts w:hint="eastAsia" w:ascii="Book Antiqua" w:hAnsi="Book Antiqua"/>
          <w:color w:val="000000" w:themeColor="text1"/>
          <w:lang w:eastAsia="zh-CN"/>
          <w14:textFill>
            <w14:solidFill>
              <w14:schemeClr w14:val="tx1"/>
            </w14:solidFill>
          </w14:textFill>
        </w:rPr>
        <w:t>:</w:t>
      </w:r>
      <w:r>
        <w:rPr>
          <w:rFonts w:ascii="Book Antiqua" w:hAnsi="Book Antiqua"/>
          <w:color w:val="000000" w:themeColor="text1"/>
          <w:lang w:eastAsia="zh-CN"/>
          <w14:textFill>
            <w14:solidFill>
              <w14:schemeClr w14:val="tx1"/>
            </w14:solidFill>
          </w14:textFill>
        </w:rPr>
        <w:t xml:space="preserve"> Specificity; PPV</w:t>
      </w:r>
      <w:r>
        <w:rPr>
          <w:rFonts w:hint="eastAsia" w:ascii="Book Antiqua" w:hAnsi="Book Antiqua"/>
          <w:color w:val="000000" w:themeColor="text1"/>
          <w:lang w:eastAsia="zh-CN"/>
          <w14:textFill>
            <w14:solidFill>
              <w14:schemeClr w14:val="tx1"/>
            </w14:solidFill>
          </w14:textFill>
        </w:rPr>
        <w:t>:</w:t>
      </w:r>
      <w:r>
        <w:rPr>
          <w:rFonts w:ascii="Book Antiqua" w:hAnsi="Book Antiqua"/>
          <w:color w:val="000000" w:themeColor="text1"/>
          <w:lang w:eastAsia="zh-CN"/>
          <w14:textFill>
            <w14:solidFill>
              <w14:schemeClr w14:val="tx1"/>
            </w14:solidFill>
          </w14:textFill>
        </w:rPr>
        <w:t xml:space="preserve"> Positive predictive value; NPV</w:t>
      </w:r>
      <w:r>
        <w:rPr>
          <w:rFonts w:hint="eastAsia" w:ascii="Book Antiqua" w:hAnsi="Book Antiqua"/>
          <w:color w:val="000000" w:themeColor="text1"/>
          <w:lang w:eastAsia="zh-CN"/>
          <w14:textFill>
            <w14:solidFill>
              <w14:schemeClr w14:val="tx1"/>
            </w14:solidFill>
          </w14:textFill>
        </w:rPr>
        <w:t>:</w:t>
      </w:r>
      <w:r>
        <w:rPr>
          <w:rFonts w:ascii="Book Antiqua" w:hAnsi="Book Antiqua"/>
          <w:color w:val="000000" w:themeColor="text1"/>
          <w:lang w:eastAsia="zh-CN"/>
          <w14:textFill>
            <w14:solidFill>
              <w14:schemeClr w14:val="tx1"/>
            </w14:solidFill>
          </w14:textFill>
        </w:rPr>
        <w:tab/>
      </w:r>
      <w:r>
        <w:rPr>
          <w:rFonts w:ascii="Book Antiqua" w:hAnsi="Book Antiqua"/>
          <w:color w:val="000000" w:themeColor="text1"/>
          <w:lang w:eastAsia="zh-CN"/>
          <w14:textFill>
            <w14:solidFill>
              <w14:schemeClr w14:val="tx1"/>
            </w14:solidFill>
          </w14:textFill>
        </w:rPr>
        <w:t>Negative predictive value; AUC: Areas under the curve</w:t>
      </w:r>
      <w:r>
        <w:rPr>
          <w:rFonts w:hint="eastAsia" w:ascii="Book Antiqua" w:hAnsi="Book Antiqua"/>
          <w:color w:val="000000" w:themeColor="text1"/>
          <w:lang w:eastAsia="zh-CN"/>
          <w14:textFill>
            <w14:solidFill>
              <w14:schemeClr w14:val="tx1"/>
            </w14:solidFill>
          </w14:textFill>
        </w:rPr>
        <w:t xml:space="preserve">; </w:t>
      </w:r>
      <w:r>
        <w:rPr>
          <w:rFonts w:ascii="Book Antiqua" w:hAnsi="Book Antiqua"/>
          <w:color w:val="000000" w:themeColor="text1"/>
          <w:lang w:eastAsia="zh-CN"/>
          <w14:textFill>
            <w14:solidFill>
              <w14:schemeClr w14:val="tx1"/>
            </w14:solidFill>
          </w14:textFill>
        </w:rPr>
        <w:t>CDEIS</w:t>
      </w:r>
      <w:r>
        <w:rPr>
          <w:rFonts w:hint="eastAsia" w:ascii="Book Antiqua" w:hAnsi="Book Antiqua"/>
          <w:color w:val="000000" w:themeColor="text1"/>
          <w:lang w:eastAsia="zh-CN"/>
          <w14:textFill>
            <w14:solidFill>
              <w14:schemeClr w14:val="tx1"/>
            </w14:solidFill>
          </w14:textFill>
        </w:rPr>
        <w:t xml:space="preserve">: </w:t>
      </w:r>
      <w:r>
        <w:rPr>
          <w:rFonts w:ascii="Book Antiqua" w:hAnsi="Book Antiqua"/>
          <w:color w:val="000000" w:themeColor="text1"/>
          <w:lang w:eastAsia="zh-CN"/>
          <w14:textFill>
            <w14:solidFill>
              <w14:schemeClr w14:val="tx1"/>
            </w14:solidFill>
          </w14:textFill>
        </w:rPr>
        <w:t>Crohn’s disease endoscopic index of severity; SES-CD</w:t>
      </w:r>
      <w:r>
        <w:rPr>
          <w:rFonts w:hint="eastAsia" w:ascii="Book Antiqua" w:hAnsi="Book Antiqua"/>
          <w:color w:val="000000" w:themeColor="text1"/>
          <w:lang w:eastAsia="zh-CN"/>
          <w14:textFill>
            <w14:solidFill>
              <w14:schemeClr w14:val="tx1"/>
            </w14:solidFill>
          </w14:textFill>
        </w:rPr>
        <w:t>:</w:t>
      </w:r>
      <w:r>
        <w:rPr>
          <w:rFonts w:ascii="Book Antiqua" w:hAnsi="Book Antiqua"/>
          <w:color w:val="000000" w:themeColor="text1"/>
          <w:lang w:eastAsia="zh-CN"/>
          <w14:textFill>
            <w14:solidFill>
              <w14:schemeClr w14:val="tx1"/>
            </w14:solidFill>
          </w14:textFill>
        </w:rPr>
        <w:t xml:space="preserve"> Simplified endoscopic score for Crohn’s disease; CD</w:t>
      </w:r>
      <w:r>
        <w:rPr>
          <w:rFonts w:hint="eastAsia" w:ascii="Book Antiqua" w:hAnsi="Book Antiqua"/>
          <w:color w:val="000000" w:themeColor="text1"/>
          <w:lang w:eastAsia="zh-CN"/>
          <w14:textFill>
            <w14:solidFill>
              <w14:schemeClr w14:val="tx1"/>
            </w14:solidFill>
          </w14:textFill>
        </w:rPr>
        <w:t xml:space="preserve">: </w:t>
      </w:r>
      <w:r>
        <w:rPr>
          <w:rFonts w:ascii="Book Antiqua" w:hAnsi="Book Antiqua"/>
          <w:color w:val="000000" w:themeColor="text1"/>
          <w:lang w:eastAsia="zh-CN"/>
          <w14:textFill>
            <w14:solidFill>
              <w14:schemeClr w14:val="tx1"/>
            </w14:solidFill>
          </w14:textFill>
        </w:rPr>
        <w:t>Crohn’s disease; UC</w:t>
      </w:r>
      <w:r>
        <w:rPr>
          <w:rFonts w:hint="eastAsia" w:ascii="Book Antiqua" w:hAnsi="Book Antiqua"/>
          <w:color w:val="000000" w:themeColor="text1"/>
          <w:lang w:eastAsia="zh-CN"/>
          <w14:textFill>
            <w14:solidFill>
              <w14:schemeClr w14:val="tx1"/>
            </w14:solidFill>
          </w14:textFill>
        </w:rPr>
        <w:t>:</w:t>
      </w:r>
      <w:r>
        <w:rPr>
          <w:rFonts w:ascii="Book Antiqua" w:hAnsi="Book Antiqua"/>
          <w:color w:val="000000" w:themeColor="text1"/>
          <w:lang w:eastAsia="zh-CN"/>
          <w14:textFill>
            <w14:solidFill>
              <w14:schemeClr w14:val="tx1"/>
            </w14:solidFill>
          </w14:textFill>
        </w:rPr>
        <w:t xml:space="preserve"> Ulcerative colitis;</w:t>
      </w:r>
      <w:r>
        <w:rPr>
          <w:rFonts w:hint="eastAsia" w:ascii="Book Antiqua" w:hAnsi="Book Antiqua"/>
          <w:color w:val="000000" w:themeColor="text1"/>
          <w:lang w:eastAsia="zh-CN"/>
          <w14:textFill>
            <w14:solidFill>
              <w14:schemeClr w14:val="tx1"/>
            </w14:solidFill>
          </w14:textFill>
        </w:rPr>
        <w:t xml:space="preserve"> </w:t>
      </w:r>
      <w:r>
        <w:rPr>
          <w:rFonts w:ascii="Book Antiqua" w:hAnsi="Book Antiqua"/>
          <w:color w:val="000000" w:themeColor="text1"/>
          <w:lang w:eastAsia="zh-CN"/>
          <w14:textFill>
            <w14:solidFill>
              <w14:schemeClr w14:val="tx1"/>
            </w14:solidFill>
          </w14:textFill>
        </w:rPr>
        <w:t>CRP</w:t>
      </w:r>
      <w:r>
        <w:rPr>
          <w:rFonts w:hint="eastAsia" w:ascii="Book Antiqua" w:hAnsi="Book Antiqua"/>
          <w:color w:val="000000" w:themeColor="text1"/>
          <w:lang w:eastAsia="zh-CN"/>
          <w14:textFill>
            <w14:solidFill>
              <w14:schemeClr w14:val="tx1"/>
            </w14:solidFill>
          </w14:textFill>
        </w:rPr>
        <w:t xml:space="preserve">: </w:t>
      </w:r>
      <w:r>
        <w:rPr>
          <w:rFonts w:ascii="Book Antiqua" w:hAnsi="Book Antiqua"/>
          <w:color w:val="000000" w:themeColor="text1"/>
          <w:lang w:eastAsia="zh-CN"/>
          <w14:textFill>
            <w14:solidFill>
              <w14:schemeClr w14:val="tx1"/>
            </w14:solidFill>
          </w14:textFill>
        </w:rPr>
        <w:t>C-reactive protein; PCDAI: Pediatric Crohn’s disease activity index.</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color w:val="000000" w:themeColor="text1"/>
          <w:lang w:eastAsia="zh-CN"/>
          <w14:textFill>
            <w14:solidFill>
              <w14:schemeClr w14:val="tx1"/>
            </w14:solidFill>
          </w14:textFill>
        </w:rPr>
      </w:pPr>
    </w:p>
    <w:sectPr>
      <w:pgSz w:w="15842" w:h="19845"/>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9529058"/>
      <w:docPartObj>
        <w:docPartGallery w:val="autotext"/>
      </w:docPartObj>
    </w:sdtPr>
    <w:sdtContent>
      <w:sdt>
        <w:sdtPr>
          <w:id w:val="98381352"/>
          <w:docPartObj>
            <w:docPartGallery w:val="autotext"/>
          </w:docPartObj>
        </w:sdtPr>
        <w:sdtContent>
          <w:p>
            <w:pPr>
              <w:pStyle w:val="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37</w:t>
            </w:r>
            <w:r>
              <w:rPr>
                <w:rFonts w:ascii="Book Antiqua" w:hAnsi="Book Antiqua"/>
                <w:b/>
                <w:bCs/>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1425C"/>
    <w:rsid w:val="00051139"/>
    <w:rsid w:val="000633EE"/>
    <w:rsid w:val="00066E3A"/>
    <w:rsid w:val="000A7B5C"/>
    <w:rsid w:val="00126C6F"/>
    <w:rsid w:val="0013474E"/>
    <w:rsid w:val="0018321B"/>
    <w:rsid w:val="001C0C2F"/>
    <w:rsid w:val="001D53CC"/>
    <w:rsid w:val="001E2A57"/>
    <w:rsid w:val="0021515C"/>
    <w:rsid w:val="00216E78"/>
    <w:rsid w:val="00270DDA"/>
    <w:rsid w:val="0028660B"/>
    <w:rsid w:val="00294BC3"/>
    <w:rsid w:val="002A0B10"/>
    <w:rsid w:val="002B2702"/>
    <w:rsid w:val="002B561E"/>
    <w:rsid w:val="002B7D23"/>
    <w:rsid w:val="002D1B70"/>
    <w:rsid w:val="002E61CA"/>
    <w:rsid w:val="00302A0A"/>
    <w:rsid w:val="00334BAE"/>
    <w:rsid w:val="00380E61"/>
    <w:rsid w:val="003966BD"/>
    <w:rsid w:val="003E2830"/>
    <w:rsid w:val="004037CE"/>
    <w:rsid w:val="004052E0"/>
    <w:rsid w:val="00430848"/>
    <w:rsid w:val="00475B06"/>
    <w:rsid w:val="004F7995"/>
    <w:rsid w:val="00505535"/>
    <w:rsid w:val="00551F5F"/>
    <w:rsid w:val="005701E6"/>
    <w:rsid w:val="005E158D"/>
    <w:rsid w:val="005E1BC5"/>
    <w:rsid w:val="005F779F"/>
    <w:rsid w:val="00670048"/>
    <w:rsid w:val="00675E35"/>
    <w:rsid w:val="0073759F"/>
    <w:rsid w:val="00741A62"/>
    <w:rsid w:val="007555AE"/>
    <w:rsid w:val="00767C58"/>
    <w:rsid w:val="00780B3D"/>
    <w:rsid w:val="007832B9"/>
    <w:rsid w:val="00783D49"/>
    <w:rsid w:val="007B3949"/>
    <w:rsid w:val="00803DF3"/>
    <w:rsid w:val="008A14DE"/>
    <w:rsid w:val="008B6ADB"/>
    <w:rsid w:val="008E4170"/>
    <w:rsid w:val="008F1655"/>
    <w:rsid w:val="0090023F"/>
    <w:rsid w:val="00904090"/>
    <w:rsid w:val="0092134F"/>
    <w:rsid w:val="00952DF5"/>
    <w:rsid w:val="00975536"/>
    <w:rsid w:val="00976558"/>
    <w:rsid w:val="009826FD"/>
    <w:rsid w:val="009C5777"/>
    <w:rsid w:val="009F0E1D"/>
    <w:rsid w:val="00A06597"/>
    <w:rsid w:val="00A06B55"/>
    <w:rsid w:val="00A12B7B"/>
    <w:rsid w:val="00A314AE"/>
    <w:rsid w:val="00A63154"/>
    <w:rsid w:val="00A77B3E"/>
    <w:rsid w:val="00A77F31"/>
    <w:rsid w:val="00AA4936"/>
    <w:rsid w:val="00AA5A43"/>
    <w:rsid w:val="00B34B4B"/>
    <w:rsid w:val="00B428C0"/>
    <w:rsid w:val="00B9377D"/>
    <w:rsid w:val="00BA7F37"/>
    <w:rsid w:val="00BD0709"/>
    <w:rsid w:val="00BE245E"/>
    <w:rsid w:val="00C05EFC"/>
    <w:rsid w:val="00C125A7"/>
    <w:rsid w:val="00C22DC3"/>
    <w:rsid w:val="00C621D1"/>
    <w:rsid w:val="00C7737E"/>
    <w:rsid w:val="00C85C77"/>
    <w:rsid w:val="00CA2A55"/>
    <w:rsid w:val="00CB672E"/>
    <w:rsid w:val="00CE0C12"/>
    <w:rsid w:val="00D317D1"/>
    <w:rsid w:val="00D462DF"/>
    <w:rsid w:val="00D92B2A"/>
    <w:rsid w:val="00DB6D33"/>
    <w:rsid w:val="00E21719"/>
    <w:rsid w:val="00E57898"/>
    <w:rsid w:val="00E622F3"/>
    <w:rsid w:val="00EE19B0"/>
    <w:rsid w:val="00EE6EB6"/>
    <w:rsid w:val="00EF4182"/>
    <w:rsid w:val="00F0685E"/>
    <w:rsid w:val="00F1564E"/>
    <w:rsid w:val="00F726F7"/>
    <w:rsid w:val="00FD34F9"/>
    <w:rsid w:val="00FF4D00"/>
    <w:rsid w:val="02101D45"/>
    <w:rsid w:val="081B1FD1"/>
    <w:rsid w:val="09D95AE9"/>
    <w:rsid w:val="105F6591"/>
    <w:rsid w:val="1EA920F8"/>
    <w:rsid w:val="20D16CDE"/>
    <w:rsid w:val="23402EAF"/>
    <w:rsid w:val="23917735"/>
    <w:rsid w:val="2D6354FB"/>
    <w:rsid w:val="354D2E45"/>
    <w:rsid w:val="35B84FF1"/>
    <w:rsid w:val="37C56EE4"/>
    <w:rsid w:val="513700E5"/>
    <w:rsid w:val="551C4A27"/>
    <w:rsid w:val="56F97E3E"/>
    <w:rsid w:val="5771277B"/>
    <w:rsid w:val="5A143499"/>
    <w:rsid w:val="673C41E1"/>
    <w:rsid w:val="68D578B1"/>
    <w:rsid w:val="6D6A50B2"/>
    <w:rsid w:val="6E004D91"/>
    <w:rsid w:val="72A66C3D"/>
    <w:rsid w:val="77077CF3"/>
    <w:rsid w:val="7968545B"/>
    <w:rsid w:val="7CF975DD"/>
    <w:rsid w:val="7FF06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99"/>
  </w:style>
  <w:style w:type="paragraph" w:styleId="3">
    <w:name w:val="Plain Text"/>
    <w:basedOn w:val="1"/>
    <w:link w:val="17"/>
    <w:qFormat/>
    <w:uiPriority w:val="0"/>
    <w:pPr>
      <w:widowControl w:val="0"/>
      <w:jc w:val="both"/>
    </w:pPr>
    <w:rPr>
      <w:rFonts w:ascii="宋体" w:hAnsi="Courier New" w:eastAsia="宋体" w:cs="Courier New"/>
      <w:kern w:val="2"/>
      <w:sz w:val="21"/>
      <w:szCs w:val="21"/>
      <w:lang w:eastAsia="zh-CN"/>
    </w:rPr>
  </w:style>
  <w:style w:type="paragraph" w:styleId="4">
    <w:name w:val="Balloon Text"/>
    <w:basedOn w:val="1"/>
    <w:link w:val="16"/>
    <w:qFormat/>
    <w:uiPriority w:val="0"/>
    <w:rPr>
      <w:sz w:val="18"/>
      <w:szCs w:val="18"/>
    </w:rPr>
  </w:style>
  <w:style w:type="paragraph" w:styleId="5">
    <w:name w:val="footer"/>
    <w:basedOn w:val="1"/>
    <w:link w:val="13"/>
    <w:qFormat/>
    <w:uiPriority w:val="99"/>
    <w:pPr>
      <w:tabs>
        <w:tab w:val="center" w:pos="4153"/>
        <w:tab w:val="right" w:pos="8306"/>
      </w:tabs>
      <w:snapToGrid w:val="0"/>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pPr>
    <w:rPr>
      <w:rFonts w:ascii="宋体" w:hAnsi="宋体" w:eastAsia="宋体" w:cs="宋体"/>
      <w:lang w:eastAsia="zh-CN"/>
    </w:rPr>
  </w:style>
  <w:style w:type="paragraph" w:styleId="8">
    <w:name w:val="annotation subject"/>
    <w:basedOn w:val="2"/>
    <w:next w:val="2"/>
    <w:link w:val="15"/>
    <w:qFormat/>
    <w:uiPriority w:val="0"/>
    <w:rPr>
      <w:b/>
      <w:bCs/>
    </w:rPr>
  </w:style>
  <w:style w:type="character" w:styleId="11">
    <w:name w:val="annotation reference"/>
    <w:basedOn w:val="10"/>
    <w:qFormat/>
    <w:uiPriority w:val="99"/>
    <w:rPr>
      <w:sz w:val="21"/>
      <w:szCs w:val="21"/>
    </w:rPr>
  </w:style>
  <w:style w:type="character" w:customStyle="1" w:styleId="12">
    <w:name w:val="页眉 字符"/>
    <w:basedOn w:val="10"/>
    <w:link w:val="6"/>
    <w:qFormat/>
    <w:uiPriority w:val="0"/>
    <w:rPr>
      <w:sz w:val="18"/>
      <w:szCs w:val="18"/>
    </w:rPr>
  </w:style>
  <w:style w:type="character" w:customStyle="1" w:styleId="13">
    <w:name w:val="页脚 字符"/>
    <w:basedOn w:val="10"/>
    <w:link w:val="5"/>
    <w:qFormat/>
    <w:uiPriority w:val="99"/>
    <w:rPr>
      <w:sz w:val="18"/>
      <w:szCs w:val="18"/>
    </w:rPr>
  </w:style>
  <w:style w:type="character" w:customStyle="1" w:styleId="14">
    <w:name w:val="批注文字 字符"/>
    <w:basedOn w:val="10"/>
    <w:link w:val="2"/>
    <w:qFormat/>
    <w:uiPriority w:val="99"/>
    <w:rPr>
      <w:sz w:val="24"/>
      <w:szCs w:val="24"/>
    </w:rPr>
  </w:style>
  <w:style w:type="character" w:customStyle="1" w:styleId="15">
    <w:name w:val="批注主题 字符"/>
    <w:basedOn w:val="14"/>
    <w:link w:val="8"/>
    <w:qFormat/>
    <w:uiPriority w:val="0"/>
    <w:rPr>
      <w:b/>
      <w:bCs/>
      <w:sz w:val="24"/>
      <w:szCs w:val="24"/>
    </w:rPr>
  </w:style>
  <w:style w:type="character" w:customStyle="1" w:styleId="16">
    <w:name w:val="批注框文本 字符"/>
    <w:basedOn w:val="10"/>
    <w:link w:val="4"/>
    <w:qFormat/>
    <w:uiPriority w:val="0"/>
    <w:rPr>
      <w:sz w:val="18"/>
      <w:szCs w:val="18"/>
    </w:rPr>
  </w:style>
  <w:style w:type="character" w:customStyle="1" w:styleId="17">
    <w:name w:val="纯文本 字符"/>
    <w:basedOn w:val="10"/>
    <w:link w:val="3"/>
    <w:qFormat/>
    <w:uiPriority w:val="0"/>
    <w:rPr>
      <w:rFonts w:ascii="宋体" w:hAnsi="Courier New" w:eastAsia="宋体" w:cs="Courier New"/>
      <w:kern w:val="2"/>
      <w:sz w:val="21"/>
      <w:szCs w:val="21"/>
      <w:lang w:eastAsia="zh-CN"/>
    </w:rPr>
  </w:style>
  <w:style w:type="paragraph" w:customStyle="1" w:styleId="18">
    <w:name w:val="EndNote Bibliography"/>
    <w:basedOn w:val="1"/>
    <w:link w:val="19"/>
    <w:qFormat/>
    <w:uiPriority w:val="0"/>
    <w:pPr>
      <w:adjustRightInd w:val="0"/>
      <w:snapToGrid w:val="0"/>
      <w:spacing w:after="200"/>
      <w:jc w:val="center"/>
    </w:pPr>
    <w:rPr>
      <w:rFonts w:ascii="Tahoma" w:hAnsi="Tahoma" w:eastAsia="微软雅黑" w:cs="Tahoma"/>
      <w:sz w:val="22"/>
      <w:szCs w:val="22"/>
      <w:lang w:eastAsia="zh-CN"/>
    </w:rPr>
  </w:style>
  <w:style w:type="character" w:customStyle="1" w:styleId="19">
    <w:name w:val="EndNote Bibliography Char"/>
    <w:link w:val="18"/>
    <w:qFormat/>
    <w:uiPriority w:val="0"/>
    <w:rPr>
      <w:rFonts w:ascii="Tahoma" w:hAnsi="Tahoma" w:eastAsia="微软雅黑" w:cs="Tahoma"/>
      <w:sz w:val="22"/>
      <w:szCs w:val="22"/>
      <w:lang w:eastAsia="zh-CN"/>
    </w:rPr>
  </w:style>
  <w:style w:type="paragraph" w:customStyle="1" w:styleId="20">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9116</Words>
  <Characters>49227</Characters>
  <Lines>415</Lines>
  <Paragraphs>116</Paragraphs>
  <TotalTime>87</TotalTime>
  <ScaleCrop>false</ScaleCrop>
  <LinksUpToDate>false</LinksUpToDate>
  <CharactersWithSpaces>57585</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2022-05-06T20:33:00Z</dcterms:created>
  <dc:creator>Jennifer Benavides</dc:creator>
  <cp:lastModifiedBy>千</cp:lastModifiedBy>
  <dcterms:modified xsi:type="dcterms:W3CDTF">2022-06-16T10:24:25Z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660AA379240B492E825217A6F9F73AD0</vt:lpwstr>
  </property>
</Properties>
</file>