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FF36"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Name of Journal: </w:t>
      </w:r>
      <w:r w:rsidRPr="00370873">
        <w:rPr>
          <w:rFonts w:ascii="Book Antiqua" w:eastAsia="Book Antiqua" w:hAnsi="Book Antiqua" w:cs="Book Antiqua"/>
          <w:i/>
          <w:color w:val="000000"/>
        </w:rPr>
        <w:t>World Journal of Clinical Cases</w:t>
      </w:r>
    </w:p>
    <w:p w14:paraId="269FC5FC"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Manuscript NO: </w:t>
      </w:r>
      <w:r w:rsidRPr="00370873">
        <w:rPr>
          <w:rFonts w:ascii="Book Antiqua" w:eastAsia="Book Antiqua" w:hAnsi="Book Antiqua" w:cs="Book Antiqua"/>
          <w:color w:val="000000"/>
        </w:rPr>
        <w:t>69670</w:t>
      </w:r>
    </w:p>
    <w:p w14:paraId="5A7B28B1"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Manuscript Type: </w:t>
      </w:r>
      <w:r w:rsidRPr="00370873">
        <w:rPr>
          <w:rFonts w:ascii="Book Antiqua" w:eastAsia="Book Antiqua" w:hAnsi="Book Antiqua" w:cs="Book Antiqua"/>
          <w:color w:val="000000"/>
        </w:rPr>
        <w:t>CASE REPORT</w:t>
      </w:r>
    </w:p>
    <w:p w14:paraId="41D4E777" w14:textId="77777777" w:rsidR="00A77B3E" w:rsidRPr="00370873" w:rsidRDefault="00A77B3E" w:rsidP="00370873">
      <w:pPr>
        <w:spacing w:line="360" w:lineRule="auto"/>
        <w:jc w:val="both"/>
        <w:rPr>
          <w:rFonts w:ascii="Book Antiqua" w:hAnsi="Book Antiqua"/>
        </w:rPr>
      </w:pPr>
    </w:p>
    <w:p w14:paraId="1FC09FEB" w14:textId="15781EAB" w:rsidR="00A77B3E" w:rsidRPr="00370873" w:rsidRDefault="005C2F75" w:rsidP="00370873">
      <w:pPr>
        <w:spacing w:line="360" w:lineRule="auto"/>
        <w:jc w:val="both"/>
        <w:rPr>
          <w:rFonts w:ascii="Book Antiqua" w:hAnsi="Book Antiqua"/>
        </w:rPr>
      </w:pPr>
      <w:bookmarkStart w:id="0" w:name="OLE_LINK40"/>
      <w:r w:rsidRPr="00370873">
        <w:rPr>
          <w:rFonts w:ascii="Book Antiqua" w:eastAsia="Book Antiqua" w:hAnsi="Book Antiqua" w:cs="Book Antiqua"/>
          <w:b/>
          <w:color w:val="000000"/>
        </w:rPr>
        <w:t>Individualized treatment of breast cancer with chronic renal failure: A case report</w:t>
      </w:r>
      <w:r w:rsidR="00AF136F" w:rsidRPr="00370873">
        <w:rPr>
          <w:rFonts w:ascii="Book Antiqua" w:eastAsia="Book Antiqua" w:hAnsi="Book Antiqua" w:cs="Book Antiqua"/>
          <w:b/>
          <w:color w:val="000000"/>
        </w:rPr>
        <w:t xml:space="preserve"> and review of literature</w:t>
      </w:r>
    </w:p>
    <w:bookmarkEnd w:id="0"/>
    <w:p w14:paraId="3BC3AC20" w14:textId="77777777" w:rsidR="00A77B3E" w:rsidRPr="00370873" w:rsidRDefault="00A77B3E" w:rsidP="00370873">
      <w:pPr>
        <w:spacing w:line="360" w:lineRule="auto"/>
        <w:jc w:val="both"/>
        <w:rPr>
          <w:rFonts w:ascii="Book Antiqua" w:hAnsi="Book Antiqua"/>
        </w:rPr>
      </w:pPr>
    </w:p>
    <w:p w14:paraId="5CAF127A" w14:textId="50D461D7" w:rsidR="00A77B3E" w:rsidRPr="00370873" w:rsidRDefault="00AF136F" w:rsidP="00370873">
      <w:pPr>
        <w:spacing w:line="360" w:lineRule="auto"/>
        <w:jc w:val="both"/>
        <w:rPr>
          <w:rFonts w:ascii="Book Antiqua" w:hAnsi="Book Antiqua"/>
        </w:rPr>
      </w:pPr>
      <w:r w:rsidRPr="00370873">
        <w:rPr>
          <w:rFonts w:ascii="Book Antiqua" w:eastAsia="Book Antiqua" w:hAnsi="Book Antiqua" w:cs="Book Antiqua"/>
          <w:color w:val="000000"/>
        </w:rPr>
        <w:t xml:space="preserve">Cai JH </w:t>
      </w:r>
      <w:r w:rsidRPr="00370873">
        <w:rPr>
          <w:rFonts w:ascii="Book Antiqua" w:eastAsia="Book Antiqua" w:hAnsi="Book Antiqua" w:cs="Book Antiqua"/>
          <w:i/>
          <w:iCs/>
          <w:color w:val="000000"/>
        </w:rPr>
        <w:t>et al</w:t>
      </w:r>
      <w:r w:rsidRPr="00370873">
        <w:rPr>
          <w:rFonts w:ascii="Book Antiqua" w:eastAsia="Book Antiqua" w:hAnsi="Book Antiqua" w:cs="Book Antiqua"/>
          <w:color w:val="000000"/>
        </w:rPr>
        <w:t xml:space="preserve">. </w:t>
      </w:r>
      <w:bookmarkStart w:id="1" w:name="OLE_LINK41"/>
      <w:r w:rsidR="005C2F75" w:rsidRPr="00370873">
        <w:rPr>
          <w:rFonts w:ascii="Book Antiqua" w:eastAsia="Book Antiqua" w:hAnsi="Book Antiqua" w:cs="Book Antiqua"/>
          <w:color w:val="000000"/>
        </w:rPr>
        <w:t>Treatment of breast cancer with CRF</w:t>
      </w:r>
      <w:bookmarkEnd w:id="1"/>
    </w:p>
    <w:p w14:paraId="4364BDC5" w14:textId="77777777" w:rsidR="00A77B3E" w:rsidRPr="00370873" w:rsidRDefault="00A77B3E" w:rsidP="00370873">
      <w:pPr>
        <w:spacing w:line="360" w:lineRule="auto"/>
        <w:jc w:val="both"/>
        <w:rPr>
          <w:rFonts w:ascii="Book Antiqua" w:hAnsi="Book Antiqua"/>
        </w:rPr>
      </w:pPr>
    </w:p>
    <w:p w14:paraId="0AD0F42E" w14:textId="3FF40B55" w:rsidR="00A77B3E" w:rsidRPr="00370873" w:rsidRDefault="005C2F75" w:rsidP="00370873">
      <w:pPr>
        <w:spacing w:line="360" w:lineRule="auto"/>
        <w:jc w:val="both"/>
        <w:rPr>
          <w:rFonts w:ascii="Book Antiqua" w:hAnsi="Book Antiqua"/>
        </w:rPr>
      </w:pPr>
      <w:proofErr w:type="spellStart"/>
      <w:r w:rsidRPr="00370873">
        <w:rPr>
          <w:rFonts w:ascii="Book Antiqua" w:eastAsia="Book Antiqua" w:hAnsi="Book Antiqua" w:cs="Book Antiqua"/>
          <w:color w:val="000000"/>
        </w:rPr>
        <w:t>Jie</w:t>
      </w:r>
      <w:proofErr w:type="spellEnd"/>
      <w:r w:rsidR="00AF136F" w:rsidRPr="00370873">
        <w:rPr>
          <w:rFonts w:ascii="Book Antiqua" w:eastAsia="Book Antiqua" w:hAnsi="Book Antiqua" w:cs="Book Antiqua"/>
          <w:color w:val="000000"/>
        </w:rPr>
        <w:t>-H</w:t>
      </w:r>
      <w:r w:rsidRPr="00370873">
        <w:rPr>
          <w:rFonts w:ascii="Book Antiqua" w:eastAsia="Book Antiqua" w:hAnsi="Book Antiqua" w:cs="Book Antiqua"/>
          <w:color w:val="000000"/>
        </w:rPr>
        <w:t xml:space="preserve">ui Cai, </w:t>
      </w:r>
      <w:bookmarkStart w:id="2" w:name="OLE_LINK33"/>
      <w:proofErr w:type="spellStart"/>
      <w:r w:rsidRPr="00370873">
        <w:rPr>
          <w:rFonts w:ascii="Book Antiqua" w:eastAsia="Book Antiqua" w:hAnsi="Book Antiqua" w:cs="Book Antiqua"/>
          <w:color w:val="000000"/>
        </w:rPr>
        <w:t>Jie</w:t>
      </w:r>
      <w:proofErr w:type="spellEnd"/>
      <w:r w:rsidR="00AF136F" w:rsidRPr="00370873">
        <w:rPr>
          <w:rFonts w:ascii="Book Antiqua" w:eastAsia="Book Antiqua" w:hAnsi="Book Antiqua" w:cs="Book Antiqua"/>
          <w:color w:val="000000"/>
        </w:rPr>
        <w:t>-H</w:t>
      </w:r>
      <w:r w:rsidRPr="00370873">
        <w:rPr>
          <w:rFonts w:ascii="Book Antiqua" w:eastAsia="Book Antiqua" w:hAnsi="Book Antiqua" w:cs="Book Antiqua"/>
          <w:color w:val="000000"/>
        </w:rPr>
        <w:t>ua</w:t>
      </w:r>
      <w:bookmarkEnd w:id="2"/>
      <w:r w:rsidRPr="00370873">
        <w:rPr>
          <w:rFonts w:ascii="Book Antiqua" w:eastAsia="Book Antiqua" w:hAnsi="Book Antiqua" w:cs="Book Antiqua"/>
          <w:color w:val="000000"/>
        </w:rPr>
        <w:t xml:space="preserve"> Zheng, </w:t>
      </w:r>
      <w:bookmarkStart w:id="3" w:name="OLE_LINK34"/>
      <w:r w:rsidRPr="00370873">
        <w:rPr>
          <w:rFonts w:ascii="Book Antiqua" w:eastAsia="Book Antiqua" w:hAnsi="Book Antiqua" w:cs="Book Antiqua"/>
          <w:color w:val="000000"/>
        </w:rPr>
        <w:t>Xiao</w:t>
      </w:r>
      <w:r w:rsidR="00AF136F" w:rsidRPr="00370873">
        <w:rPr>
          <w:rFonts w:ascii="Book Antiqua" w:eastAsia="Book Antiqua" w:hAnsi="Book Antiqua" w:cs="Book Antiqua"/>
          <w:color w:val="000000"/>
        </w:rPr>
        <w:t>-Q</w:t>
      </w:r>
      <w:r w:rsidRPr="00370873">
        <w:rPr>
          <w:rFonts w:ascii="Book Antiqua" w:eastAsia="Book Antiqua" w:hAnsi="Book Antiqua" w:cs="Book Antiqua"/>
          <w:color w:val="000000"/>
        </w:rPr>
        <w:t>i</w:t>
      </w:r>
      <w:bookmarkEnd w:id="3"/>
      <w:r w:rsidRPr="00370873">
        <w:rPr>
          <w:rFonts w:ascii="Book Antiqua" w:eastAsia="Book Antiqua" w:hAnsi="Book Antiqua" w:cs="Book Antiqua"/>
          <w:color w:val="000000"/>
        </w:rPr>
        <w:t xml:space="preserve"> Lin, </w:t>
      </w:r>
      <w:bookmarkStart w:id="4" w:name="OLE_LINK35"/>
      <w:r w:rsidRPr="00370873">
        <w:rPr>
          <w:rFonts w:ascii="Book Antiqua" w:eastAsia="Book Antiqua" w:hAnsi="Book Antiqua" w:cs="Book Antiqua"/>
          <w:color w:val="000000"/>
        </w:rPr>
        <w:t>Wei</w:t>
      </w:r>
      <w:r w:rsidR="00AF136F" w:rsidRPr="00370873">
        <w:rPr>
          <w:rFonts w:ascii="Book Antiqua" w:eastAsia="Book Antiqua" w:hAnsi="Book Antiqua" w:cs="Book Antiqua"/>
          <w:color w:val="000000"/>
        </w:rPr>
        <w:t>-</w:t>
      </w:r>
      <w:proofErr w:type="spellStart"/>
      <w:r w:rsidR="00AF136F" w:rsidRPr="00370873">
        <w:rPr>
          <w:rFonts w:ascii="Book Antiqua" w:eastAsia="Book Antiqua" w:hAnsi="Book Antiqua" w:cs="Book Antiqua"/>
          <w:color w:val="000000"/>
        </w:rPr>
        <w:t>X</w:t>
      </w:r>
      <w:r w:rsidRPr="00370873">
        <w:rPr>
          <w:rFonts w:ascii="Book Antiqua" w:eastAsia="Book Antiqua" w:hAnsi="Book Antiqua" w:cs="Book Antiqua"/>
          <w:color w:val="000000"/>
        </w:rPr>
        <w:t>un</w:t>
      </w:r>
      <w:bookmarkEnd w:id="4"/>
      <w:proofErr w:type="spellEnd"/>
      <w:r w:rsidRPr="00370873">
        <w:rPr>
          <w:rFonts w:ascii="Book Antiqua" w:eastAsia="Book Antiqua" w:hAnsi="Book Antiqua" w:cs="Book Antiqua"/>
          <w:color w:val="000000"/>
        </w:rPr>
        <w:t xml:space="preserve"> Lin, Juan Zou, </w:t>
      </w:r>
      <w:bookmarkStart w:id="5" w:name="OLE_LINK36"/>
      <w:r w:rsidRPr="00370873">
        <w:rPr>
          <w:rFonts w:ascii="Book Antiqua" w:eastAsia="Book Antiqua" w:hAnsi="Book Antiqua" w:cs="Book Antiqua"/>
          <w:color w:val="000000"/>
        </w:rPr>
        <w:t>Yao</w:t>
      </w:r>
      <w:r w:rsidR="00AF136F" w:rsidRPr="00370873">
        <w:rPr>
          <w:rFonts w:ascii="Book Antiqua" w:eastAsia="Book Antiqua" w:hAnsi="Book Antiqua" w:cs="Book Antiqua"/>
          <w:color w:val="000000"/>
        </w:rPr>
        <w:t>-</w:t>
      </w:r>
      <w:proofErr w:type="spellStart"/>
      <w:r w:rsidR="00AF136F" w:rsidRPr="00370873">
        <w:rPr>
          <w:rFonts w:ascii="Book Antiqua" w:eastAsia="Book Antiqua" w:hAnsi="Book Antiqua" w:cs="Book Antiqua"/>
          <w:color w:val="000000"/>
        </w:rPr>
        <w:t>K</w:t>
      </w:r>
      <w:r w:rsidRPr="00370873">
        <w:rPr>
          <w:rFonts w:ascii="Book Antiqua" w:eastAsia="Book Antiqua" w:hAnsi="Book Antiqua" w:cs="Book Antiqua"/>
          <w:color w:val="000000"/>
        </w:rPr>
        <w:t>un</w:t>
      </w:r>
      <w:bookmarkEnd w:id="5"/>
      <w:proofErr w:type="spellEnd"/>
      <w:r w:rsidRPr="00370873">
        <w:rPr>
          <w:rFonts w:ascii="Book Antiqua" w:eastAsia="Book Antiqua" w:hAnsi="Book Antiqua" w:cs="Book Antiqua"/>
          <w:color w:val="000000"/>
        </w:rPr>
        <w:t xml:space="preserve"> Chen, </w:t>
      </w:r>
      <w:bookmarkStart w:id="6" w:name="OLE_LINK37"/>
      <w:proofErr w:type="spellStart"/>
      <w:r w:rsidRPr="00370873">
        <w:rPr>
          <w:rFonts w:ascii="Book Antiqua" w:eastAsia="Book Antiqua" w:hAnsi="Book Antiqua" w:cs="Book Antiqua"/>
          <w:color w:val="000000"/>
        </w:rPr>
        <w:t>Zhi</w:t>
      </w:r>
      <w:proofErr w:type="spellEnd"/>
      <w:r w:rsidR="00AF136F" w:rsidRPr="00370873">
        <w:rPr>
          <w:rFonts w:ascii="Book Antiqua" w:eastAsia="Book Antiqua" w:hAnsi="Book Antiqua" w:cs="Book Antiqua"/>
          <w:color w:val="000000"/>
        </w:rPr>
        <w:t>-Y</w:t>
      </w:r>
      <w:r w:rsidRPr="00370873">
        <w:rPr>
          <w:rFonts w:ascii="Book Antiqua" w:eastAsia="Book Antiqua" w:hAnsi="Book Antiqua" w:cs="Book Antiqua"/>
          <w:color w:val="000000"/>
        </w:rPr>
        <w:t>ang</w:t>
      </w:r>
      <w:bookmarkEnd w:id="6"/>
      <w:r w:rsidRPr="00370873">
        <w:rPr>
          <w:rFonts w:ascii="Book Antiqua" w:eastAsia="Book Antiqua" w:hAnsi="Book Antiqua" w:cs="Book Antiqua"/>
          <w:color w:val="000000"/>
        </w:rPr>
        <w:t xml:space="preserve"> Li, </w:t>
      </w:r>
      <w:bookmarkStart w:id="7" w:name="OLE_LINK38"/>
      <w:r w:rsidRPr="00370873">
        <w:rPr>
          <w:rFonts w:ascii="Book Antiqua" w:eastAsia="Book Antiqua" w:hAnsi="Book Antiqua" w:cs="Book Antiqua"/>
          <w:color w:val="000000"/>
        </w:rPr>
        <w:t>Ye</w:t>
      </w:r>
      <w:r w:rsidR="00AF136F" w:rsidRPr="00370873">
        <w:rPr>
          <w:rFonts w:ascii="Book Antiqua" w:eastAsia="Book Antiqua" w:hAnsi="Book Antiqua" w:cs="Book Antiqua"/>
          <w:color w:val="000000"/>
        </w:rPr>
        <w:t>-X</w:t>
      </w:r>
      <w:r w:rsidRPr="00370873">
        <w:rPr>
          <w:rFonts w:ascii="Book Antiqua" w:eastAsia="Book Antiqua" w:hAnsi="Book Antiqua" w:cs="Book Antiqua"/>
          <w:color w:val="000000"/>
        </w:rPr>
        <w:t>i</w:t>
      </w:r>
      <w:bookmarkEnd w:id="7"/>
      <w:r w:rsidRPr="00370873">
        <w:rPr>
          <w:rFonts w:ascii="Book Antiqua" w:eastAsia="Book Antiqua" w:hAnsi="Book Antiqua" w:cs="Book Antiqua"/>
          <w:color w:val="000000"/>
        </w:rPr>
        <w:t xml:space="preserve"> Chen</w:t>
      </w:r>
    </w:p>
    <w:p w14:paraId="0D343260" w14:textId="77777777" w:rsidR="00A77B3E" w:rsidRPr="00370873" w:rsidRDefault="00A77B3E" w:rsidP="00370873">
      <w:pPr>
        <w:spacing w:line="360" w:lineRule="auto"/>
        <w:jc w:val="both"/>
        <w:rPr>
          <w:rFonts w:ascii="Book Antiqua" w:hAnsi="Book Antiqua"/>
        </w:rPr>
      </w:pPr>
    </w:p>
    <w:p w14:paraId="267D400E" w14:textId="1BD116AC" w:rsidR="00A77B3E" w:rsidRPr="00370873" w:rsidRDefault="005C2F75" w:rsidP="00370873">
      <w:pPr>
        <w:spacing w:line="360" w:lineRule="auto"/>
        <w:jc w:val="both"/>
        <w:rPr>
          <w:rFonts w:ascii="Book Antiqua" w:hAnsi="Book Antiqua"/>
        </w:rPr>
      </w:pPr>
      <w:bookmarkStart w:id="8" w:name="OLE_LINK30"/>
      <w:proofErr w:type="spellStart"/>
      <w:r w:rsidRPr="00370873">
        <w:rPr>
          <w:rFonts w:ascii="Book Antiqua" w:eastAsia="Book Antiqua" w:hAnsi="Book Antiqua" w:cs="Book Antiqua"/>
          <w:b/>
          <w:bCs/>
          <w:color w:val="000000"/>
        </w:rPr>
        <w:t>Jie</w:t>
      </w:r>
      <w:proofErr w:type="spellEnd"/>
      <w:r w:rsidR="00AF136F" w:rsidRPr="00370873">
        <w:rPr>
          <w:rFonts w:ascii="Book Antiqua" w:eastAsia="Book Antiqua" w:hAnsi="Book Antiqua" w:cs="Book Antiqua"/>
          <w:b/>
          <w:bCs/>
          <w:color w:val="000000"/>
        </w:rPr>
        <w:t>-H</w:t>
      </w:r>
      <w:r w:rsidRPr="00370873">
        <w:rPr>
          <w:rFonts w:ascii="Book Antiqua" w:eastAsia="Book Antiqua" w:hAnsi="Book Antiqua" w:cs="Book Antiqua"/>
          <w:b/>
          <w:bCs/>
          <w:color w:val="000000"/>
        </w:rPr>
        <w:t>ui</w:t>
      </w:r>
      <w:bookmarkEnd w:id="8"/>
      <w:r w:rsidRPr="00370873">
        <w:rPr>
          <w:rFonts w:ascii="Book Antiqua" w:eastAsia="Book Antiqua" w:hAnsi="Book Antiqua" w:cs="Book Antiqua"/>
          <w:b/>
          <w:bCs/>
          <w:color w:val="000000"/>
        </w:rPr>
        <w:t xml:space="preserve"> Cai, </w:t>
      </w:r>
      <w:proofErr w:type="spellStart"/>
      <w:r w:rsidRPr="00370873">
        <w:rPr>
          <w:rFonts w:ascii="Book Antiqua" w:eastAsia="Book Antiqua" w:hAnsi="Book Antiqua" w:cs="Book Antiqua"/>
          <w:b/>
          <w:bCs/>
          <w:color w:val="000000"/>
        </w:rPr>
        <w:t>Jie</w:t>
      </w:r>
      <w:proofErr w:type="spellEnd"/>
      <w:r w:rsidR="00AF136F" w:rsidRPr="00370873">
        <w:rPr>
          <w:rFonts w:ascii="Book Antiqua" w:eastAsia="Book Antiqua" w:hAnsi="Book Antiqua" w:cs="Book Antiqua"/>
          <w:b/>
          <w:bCs/>
          <w:color w:val="000000"/>
        </w:rPr>
        <w:t>-H</w:t>
      </w:r>
      <w:r w:rsidRPr="00370873">
        <w:rPr>
          <w:rFonts w:ascii="Book Antiqua" w:eastAsia="Book Antiqua" w:hAnsi="Book Antiqua" w:cs="Book Antiqua"/>
          <w:b/>
          <w:bCs/>
          <w:color w:val="000000"/>
        </w:rPr>
        <w:t>ua Zheng, Xiao</w:t>
      </w:r>
      <w:r w:rsidR="00AF136F" w:rsidRPr="00370873">
        <w:rPr>
          <w:rFonts w:ascii="Book Antiqua" w:eastAsia="Book Antiqua" w:hAnsi="Book Antiqua" w:cs="Book Antiqua"/>
          <w:b/>
          <w:bCs/>
          <w:color w:val="000000"/>
        </w:rPr>
        <w:t>-Q</w:t>
      </w:r>
      <w:r w:rsidRPr="00370873">
        <w:rPr>
          <w:rFonts w:ascii="Book Antiqua" w:eastAsia="Book Antiqua" w:hAnsi="Book Antiqua" w:cs="Book Antiqua"/>
          <w:b/>
          <w:bCs/>
          <w:color w:val="000000"/>
        </w:rPr>
        <w:t>i Lin, Wei</w:t>
      </w:r>
      <w:r w:rsidR="00AF136F" w:rsidRPr="00370873">
        <w:rPr>
          <w:rFonts w:ascii="Book Antiqua" w:eastAsia="Book Antiqua" w:hAnsi="Book Antiqua" w:cs="Book Antiqua"/>
          <w:b/>
          <w:bCs/>
          <w:color w:val="000000"/>
        </w:rPr>
        <w:t>-</w:t>
      </w:r>
      <w:proofErr w:type="spellStart"/>
      <w:r w:rsidR="00AF136F" w:rsidRPr="00370873">
        <w:rPr>
          <w:rFonts w:ascii="Book Antiqua" w:eastAsia="Book Antiqua" w:hAnsi="Book Antiqua" w:cs="Book Antiqua"/>
          <w:b/>
          <w:bCs/>
          <w:color w:val="000000"/>
        </w:rPr>
        <w:t>X</w:t>
      </w:r>
      <w:r w:rsidRPr="00370873">
        <w:rPr>
          <w:rFonts w:ascii="Book Antiqua" w:eastAsia="Book Antiqua" w:hAnsi="Book Antiqua" w:cs="Book Antiqua"/>
          <w:b/>
          <w:bCs/>
          <w:color w:val="000000"/>
        </w:rPr>
        <w:t>un</w:t>
      </w:r>
      <w:proofErr w:type="spellEnd"/>
      <w:r w:rsidRPr="00370873">
        <w:rPr>
          <w:rFonts w:ascii="Book Antiqua" w:eastAsia="Book Antiqua" w:hAnsi="Book Antiqua" w:cs="Book Antiqua"/>
          <w:b/>
          <w:bCs/>
          <w:color w:val="000000"/>
        </w:rPr>
        <w:t xml:space="preserve"> Lin, Juan Zou, Yao</w:t>
      </w:r>
      <w:r w:rsidR="00AF136F" w:rsidRPr="00370873">
        <w:rPr>
          <w:rFonts w:ascii="Book Antiqua" w:eastAsia="Book Antiqua" w:hAnsi="Book Antiqua" w:cs="Book Antiqua"/>
          <w:b/>
          <w:bCs/>
          <w:color w:val="000000"/>
        </w:rPr>
        <w:t>-</w:t>
      </w:r>
      <w:proofErr w:type="spellStart"/>
      <w:r w:rsidR="00AF136F" w:rsidRPr="00370873">
        <w:rPr>
          <w:rFonts w:ascii="Book Antiqua" w:eastAsia="Book Antiqua" w:hAnsi="Book Antiqua" w:cs="Book Antiqua"/>
          <w:b/>
          <w:bCs/>
          <w:color w:val="000000"/>
        </w:rPr>
        <w:t>K</w:t>
      </w:r>
      <w:r w:rsidRPr="00370873">
        <w:rPr>
          <w:rFonts w:ascii="Book Antiqua" w:eastAsia="Book Antiqua" w:hAnsi="Book Antiqua" w:cs="Book Antiqua"/>
          <w:b/>
          <w:bCs/>
          <w:color w:val="000000"/>
        </w:rPr>
        <w:t>un</w:t>
      </w:r>
      <w:proofErr w:type="spellEnd"/>
      <w:r w:rsidRPr="00370873">
        <w:rPr>
          <w:rFonts w:ascii="Book Antiqua" w:eastAsia="Book Antiqua" w:hAnsi="Book Antiqua" w:cs="Book Antiqua"/>
          <w:b/>
          <w:bCs/>
          <w:color w:val="000000"/>
        </w:rPr>
        <w:t xml:space="preserve"> Chen, </w:t>
      </w:r>
      <w:proofErr w:type="spellStart"/>
      <w:r w:rsidRPr="00370873">
        <w:rPr>
          <w:rFonts w:ascii="Book Antiqua" w:eastAsia="Book Antiqua" w:hAnsi="Book Antiqua" w:cs="Book Antiqua"/>
          <w:b/>
          <w:bCs/>
          <w:color w:val="000000"/>
        </w:rPr>
        <w:t>Zhi</w:t>
      </w:r>
      <w:proofErr w:type="spellEnd"/>
      <w:r w:rsidR="00AF136F" w:rsidRPr="00370873">
        <w:rPr>
          <w:rFonts w:ascii="Book Antiqua" w:eastAsia="Book Antiqua" w:hAnsi="Book Antiqua" w:cs="Book Antiqua"/>
          <w:b/>
          <w:bCs/>
          <w:color w:val="000000"/>
        </w:rPr>
        <w:t>-Y</w:t>
      </w:r>
      <w:r w:rsidRPr="00370873">
        <w:rPr>
          <w:rFonts w:ascii="Book Antiqua" w:eastAsia="Book Antiqua" w:hAnsi="Book Antiqua" w:cs="Book Antiqua"/>
          <w:b/>
          <w:bCs/>
          <w:color w:val="000000"/>
        </w:rPr>
        <w:t>ang Li, Ye</w:t>
      </w:r>
      <w:r w:rsidR="00AF136F" w:rsidRPr="00370873">
        <w:rPr>
          <w:rFonts w:ascii="Book Antiqua" w:eastAsia="Book Antiqua" w:hAnsi="Book Antiqua" w:cs="Book Antiqua"/>
          <w:b/>
          <w:bCs/>
          <w:color w:val="000000"/>
        </w:rPr>
        <w:t>-X</w:t>
      </w:r>
      <w:r w:rsidRPr="00370873">
        <w:rPr>
          <w:rFonts w:ascii="Book Antiqua" w:eastAsia="Book Antiqua" w:hAnsi="Book Antiqua" w:cs="Book Antiqua"/>
          <w:b/>
          <w:bCs/>
          <w:color w:val="000000"/>
        </w:rPr>
        <w:t xml:space="preserve">i Chen, </w:t>
      </w:r>
      <w:bookmarkStart w:id="9" w:name="OLE_LINK31"/>
      <w:r w:rsidR="00AF136F" w:rsidRPr="00370873">
        <w:rPr>
          <w:rFonts w:ascii="Book Antiqua" w:eastAsia="Book Antiqua" w:hAnsi="Book Antiqua" w:cs="Book Antiqua"/>
          <w:color w:val="000000"/>
        </w:rPr>
        <w:t>Department of</w:t>
      </w:r>
      <w:r w:rsidR="00AF136F" w:rsidRPr="00370873">
        <w:rPr>
          <w:rFonts w:ascii="Book Antiqua" w:eastAsia="Book Antiqua" w:hAnsi="Book Antiqua" w:cs="Book Antiqua"/>
          <w:b/>
          <w:bCs/>
          <w:color w:val="000000"/>
        </w:rPr>
        <w:t xml:space="preserve"> </w:t>
      </w:r>
      <w:r w:rsidRPr="00370873">
        <w:rPr>
          <w:rFonts w:ascii="Book Antiqua" w:eastAsia="Book Antiqua" w:hAnsi="Book Antiqua" w:cs="Book Antiqua"/>
          <w:color w:val="000000"/>
        </w:rPr>
        <w:t>General Surgery</w:t>
      </w:r>
      <w:bookmarkEnd w:id="9"/>
      <w:r w:rsidRPr="00370873">
        <w:rPr>
          <w:rFonts w:ascii="Book Antiqua" w:eastAsia="Book Antiqua" w:hAnsi="Book Antiqua" w:cs="Book Antiqua"/>
          <w:color w:val="000000"/>
        </w:rPr>
        <w:t xml:space="preserve">, </w:t>
      </w:r>
      <w:bookmarkStart w:id="10" w:name="OLE_LINK32"/>
      <w:r w:rsidRPr="00370873">
        <w:rPr>
          <w:rFonts w:ascii="Book Antiqua" w:eastAsia="Book Antiqua" w:hAnsi="Book Antiqua" w:cs="Book Antiqua"/>
          <w:color w:val="000000"/>
        </w:rPr>
        <w:t>The Second Affiliated Hospital of Shantou University Medical College</w:t>
      </w:r>
      <w:bookmarkEnd w:id="10"/>
      <w:r w:rsidRPr="00370873">
        <w:rPr>
          <w:rFonts w:ascii="Book Antiqua" w:eastAsia="Book Antiqua" w:hAnsi="Book Antiqua" w:cs="Book Antiqua"/>
          <w:color w:val="000000"/>
        </w:rPr>
        <w:t xml:space="preserve">, Shantou 515041, </w:t>
      </w:r>
      <w:r w:rsidR="00AF136F" w:rsidRPr="00370873">
        <w:rPr>
          <w:rFonts w:ascii="Book Antiqua" w:eastAsia="Book Antiqua" w:hAnsi="Book Antiqua" w:cs="Book Antiqua"/>
          <w:color w:val="000000"/>
        </w:rPr>
        <w:t xml:space="preserve">Guangdong Province, </w:t>
      </w:r>
      <w:r w:rsidRPr="00370873">
        <w:rPr>
          <w:rFonts w:ascii="Book Antiqua" w:eastAsia="Book Antiqua" w:hAnsi="Book Antiqua" w:cs="Book Antiqua"/>
          <w:color w:val="000000"/>
        </w:rPr>
        <w:t>China</w:t>
      </w:r>
    </w:p>
    <w:p w14:paraId="2E0F0EE3" w14:textId="77777777" w:rsidR="00A77B3E" w:rsidRPr="00370873" w:rsidRDefault="00A77B3E" w:rsidP="00370873">
      <w:pPr>
        <w:spacing w:line="360" w:lineRule="auto"/>
        <w:jc w:val="both"/>
        <w:rPr>
          <w:rFonts w:ascii="Book Antiqua" w:hAnsi="Book Antiqua"/>
        </w:rPr>
      </w:pPr>
    </w:p>
    <w:p w14:paraId="12BADDFA" w14:textId="313B7B26"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Xiao</w:t>
      </w:r>
      <w:r w:rsidR="00AF136F" w:rsidRPr="00370873">
        <w:rPr>
          <w:rFonts w:ascii="Book Antiqua" w:eastAsia="Book Antiqua" w:hAnsi="Book Antiqua" w:cs="Book Antiqua"/>
          <w:b/>
          <w:bCs/>
          <w:color w:val="000000"/>
        </w:rPr>
        <w:t>-Q</w:t>
      </w:r>
      <w:r w:rsidRPr="00370873">
        <w:rPr>
          <w:rFonts w:ascii="Book Antiqua" w:eastAsia="Book Antiqua" w:hAnsi="Book Antiqua" w:cs="Book Antiqua"/>
          <w:b/>
          <w:bCs/>
          <w:color w:val="000000"/>
        </w:rPr>
        <w:t>i Lin, Wei</w:t>
      </w:r>
      <w:r w:rsidR="00AF136F" w:rsidRPr="00370873">
        <w:rPr>
          <w:rFonts w:ascii="Book Antiqua" w:eastAsia="Book Antiqua" w:hAnsi="Book Antiqua" w:cs="Book Antiqua"/>
          <w:b/>
          <w:bCs/>
          <w:color w:val="000000"/>
        </w:rPr>
        <w:t>-</w:t>
      </w:r>
      <w:proofErr w:type="spellStart"/>
      <w:r w:rsidR="00AF136F" w:rsidRPr="00370873">
        <w:rPr>
          <w:rFonts w:ascii="Book Antiqua" w:eastAsia="Book Antiqua" w:hAnsi="Book Antiqua" w:cs="Book Antiqua"/>
          <w:b/>
          <w:bCs/>
          <w:color w:val="000000"/>
        </w:rPr>
        <w:t>X</w:t>
      </w:r>
      <w:r w:rsidRPr="00370873">
        <w:rPr>
          <w:rFonts w:ascii="Book Antiqua" w:eastAsia="Book Antiqua" w:hAnsi="Book Antiqua" w:cs="Book Antiqua"/>
          <w:b/>
          <w:bCs/>
          <w:color w:val="000000"/>
        </w:rPr>
        <w:t>un</w:t>
      </w:r>
      <w:proofErr w:type="spellEnd"/>
      <w:r w:rsidRPr="00370873">
        <w:rPr>
          <w:rFonts w:ascii="Book Antiqua" w:eastAsia="Book Antiqua" w:hAnsi="Book Antiqua" w:cs="Book Antiqua"/>
          <w:b/>
          <w:bCs/>
          <w:color w:val="000000"/>
        </w:rPr>
        <w:t xml:space="preserve"> Lin, Juan Zou, Yao</w:t>
      </w:r>
      <w:r w:rsidR="00AF136F" w:rsidRPr="00370873">
        <w:rPr>
          <w:rFonts w:ascii="Book Antiqua" w:eastAsia="Book Antiqua" w:hAnsi="Book Antiqua" w:cs="Book Antiqua"/>
          <w:b/>
          <w:bCs/>
          <w:color w:val="000000"/>
        </w:rPr>
        <w:t>-</w:t>
      </w:r>
      <w:proofErr w:type="spellStart"/>
      <w:r w:rsidR="00AF136F" w:rsidRPr="00370873">
        <w:rPr>
          <w:rFonts w:ascii="Book Antiqua" w:eastAsia="Book Antiqua" w:hAnsi="Book Antiqua" w:cs="Book Antiqua"/>
          <w:b/>
          <w:bCs/>
          <w:color w:val="000000"/>
        </w:rPr>
        <w:t>K</w:t>
      </w:r>
      <w:r w:rsidRPr="00370873">
        <w:rPr>
          <w:rFonts w:ascii="Book Antiqua" w:eastAsia="Book Antiqua" w:hAnsi="Book Antiqua" w:cs="Book Antiqua"/>
          <w:b/>
          <w:bCs/>
          <w:color w:val="000000"/>
        </w:rPr>
        <w:t>un</w:t>
      </w:r>
      <w:proofErr w:type="spellEnd"/>
      <w:r w:rsidRPr="00370873">
        <w:rPr>
          <w:rFonts w:ascii="Book Antiqua" w:eastAsia="Book Antiqua" w:hAnsi="Book Antiqua" w:cs="Book Antiqua"/>
          <w:b/>
          <w:bCs/>
          <w:color w:val="000000"/>
        </w:rPr>
        <w:t xml:space="preserve"> Chen, </w:t>
      </w:r>
      <w:r w:rsidRPr="00370873">
        <w:rPr>
          <w:rFonts w:ascii="Book Antiqua" w:eastAsia="Book Antiqua" w:hAnsi="Book Antiqua" w:cs="Book Antiqua"/>
          <w:color w:val="000000"/>
        </w:rPr>
        <w:t xml:space="preserve">Breast Disease Research Center, The Medical Research Institute of Shantou Doctoral Association, Shantou 515041, </w:t>
      </w:r>
      <w:r w:rsidR="00AF136F" w:rsidRPr="00370873">
        <w:rPr>
          <w:rFonts w:ascii="Book Antiqua" w:eastAsia="Book Antiqua" w:hAnsi="Book Antiqua" w:cs="Book Antiqua"/>
          <w:color w:val="000000"/>
        </w:rPr>
        <w:t xml:space="preserve">Guangdong Province, </w:t>
      </w:r>
      <w:r w:rsidRPr="00370873">
        <w:rPr>
          <w:rFonts w:ascii="Book Antiqua" w:eastAsia="Book Antiqua" w:hAnsi="Book Antiqua" w:cs="Book Antiqua"/>
          <w:color w:val="000000"/>
        </w:rPr>
        <w:t>China</w:t>
      </w:r>
    </w:p>
    <w:p w14:paraId="25E28C8C" w14:textId="77777777" w:rsidR="00A77B3E" w:rsidRPr="00370873" w:rsidRDefault="00A77B3E" w:rsidP="00370873">
      <w:pPr>
        <w:spacing w:line="360" w:lineRule="auto"/>
        <w:jc w:val="both"/>
        <w:rPr>
          <w:rFonts w:ascii="Book Antiqua" w:hAnsi="Book Antiqua"/>
        </w:rPr>
      </w:pPr>
    </w:p>
    <w:p w14:paraId="7F36B0B2" w14:textId="0276116B"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Author contributions: </w:t>
      </w:r>
      <w:bookmarkStart w:id="11" w:name="OLE_LINK42"/>
      <w:r w:rsidRPr="00370873">
        <w:rPr>
          <w:rFonts w:ascii="Book Antiqua" w:eastAsia="Book Antiqua" w:hAnsi="Book Antiqua" w:cs="Book Antiqua"/>
          <w:color w:val="000000"/>
        </w:rPr>
        <w:t xml:space="preserve">Cai </w:t>
      </w:r>
      <w:r w:rsidR="00AF136F" w:rsidRPr="00370873">
        <w:rPr>
          <w:rFonts w:ascii="Book Antiqua" w:eastAsia="Book Antiqua" w:hAnsi="Book Antiqua" w:cs="Book Antiqua"/>
          <w:color w:val="000000"/>
        </w:rPr>
        <w:t xml:space="preserve">JH </w:t>
      </w:r>
      <w:r w:rsidRPr="00370873">
        <w:rPr>
          <w:rFonts w:ascii="Book Antiqua" w:eastAsia="Book Antiqua" w:hAnsi="Book Antiqua" w:cs="Book Antiqua"/>
          <w:color w:val="000000"/>
        </w:rPr>
        <w:t xml:space="preserve">and Zheng </w:t>
      </w:r>
      <w:r w:rsidR="00AF136F" w:rsidRPr="00370873">
        <w:rPr>
          <w:rFonts w:ascii="Book Antiqua" w:eastAsia="Book Antiqua" w:hAnsi="Book Antiqua" w:cs="Book Antiqua"/>
          <w:color w:val="000000"/>
        </w:rPr>
        <w:t xml:space="preserve">JH </w:t>
      </w:r>
      <w:r w:rsidRPr="00370873">
        <w:rPr>
          <w:rFonts w:ascii="Book Antiqua" w:eastAsia="Book Antiqua" w:hAnsi="Book Antiqua" w:cs="Book Antiqua"/>
          <w:color w:val="000000"/>
        </w:rPr>
        <w:t>are the patient’s doctors</w:t>
      </w:r>
      <w:r w:rsidR="00AF136F" w:rsidRPr="00370873">
        <w:rPr>
          <w:rFonts w:ascii="Book Antiqua" w:eastAsia="Book Antiqua" w:hAnsi="Book Antiqua" w:cs="Book Antiqua"/>
          <w:color w:val="000000"/>
        </w:rPr>
        <w:t>, and</w:t>
      </w:r>
      <w:r w:rsidRPr="00370873">
        <w:rPr>
          <w:rFonts w:ascii="Book Antiqua" w:eastAsia="Book Antiqua" w:hAnsi="Book Antiqua" w:cs="Book Antiqua"/>
          <w:color w:val="000000"/>
        </w:rPr>
        <w:t xml:space="preserve"> </w:t>
      </w:r>
      <w:r w:rsidR="00AF136F" w:rsidRPr="00370873">
        <w:rPr>
          <w:rFonts w:ascii="Book Antiqua" w:eastAsia="Book Antiqua" w:hAnsi="Book Antiqua" w:cs="Book Antiqua"/>
          <w:color w:val="000000"/>
        </w:rPr>
        <w:t>t</w:t>
      </w:r>
      <w:r w:rsidRPr="00370873">
        <w:rPr>
          <w:rFonts w:ascii="Book Antiqua" w:eastAsia="Book Antiqua" w:hAnsi="Book Antiqua" w:cs="Book Antiqua"/>
          <w:color w:val="000000"/>
        </w:rPr>
        <w:t>hey reviewed the literature and contributed to manuscript drafting; Lin</w:t>
      </w:r>
      <w:r w:rsidR="00AF136F" w:rsidRPr="00370873">
        <w:rPr>
          <w:rFonts w:ascii="Book Antiqua" w:eastAsia="Book Antiqua" w:hAnsi="Book Antiqua" w:cs="Book Antiqua"/>
          <w:color w:val="000000"/>
        </w:rPr>
        <w:t xml:space="preserve"> WX</w:t>
      </w:r>
      <w:r w:rsidRPr="00370873">
        <w:rPr>
          <w:rFonts w:ascii="Book Antiqua" w:eastAsia="Book Antiqua" w:hAnsi="Book Antiqua" w:cs="Book Antiqua"/>
          <w:color w:val="000000"/>
        </w:rPr>
        <w:t>, Zou</w:t>
      </w:r>
      <w:r w:rsidR="00AF136F" w:rsidRPr="00370873">
        <w:rPr>
          <w:rFonts w:ascii="Book Antiqua" w:eastAsia="Book Antiqua" w:hAnsi="Book Antiqua" w:cs="Book Antiqua"/>
          <w:color w:val="000000"/>
        </w:rPr>
        <w:t xml:space="preserve"> J</w:t>
      </w:r>
      <w:r w:rsidRPr="00370873">
        <w:rPr>
          <w:rFonts w:ascii="Book Antiqua" w:eastAsia="Book Antiqua" w:hAnsi="Book Antiqua" w:cs="Book Antiqua"/>
          <w:color w:val="000000"/>
        </w:rPr>
        <w:t xml:space="preserve">, and Li </w:t>
      </w:r>
      <w:r w:rsidR="00AF136F" w:rsidRPr="00370873">
        <w:rPr>
          <w:rFonts w:ascii="Book Antiqua" w:eastAsia="Book Antiqua" w:hAnsi="Book Antiqua" w:cs="Book Antiqua"/>
          <w:color w:val="000000"/>
        </w:rPr>
        <w:t xml:space="preserve">ZY </w:t>
      </w:r>
      <w:r w:rsidRPr="00370873">
        <w:rPr>
          <w:rFonts w:ascii="Book Antiqua" w:eastAsia="Book Antiqua" w:hAnsi="Book Antiqua" w:cs="Book Antiqua"/>
          <w:color w:val="000000"/>
        </w:rPr>
        <w:t xml:space="preserve">reviewed the literature, analyzed and explained the results of laboratory examinations, imaging examinations and pathological examinations; Lin </w:t>
      </w:r>
      <w:r w:rsidR="00AF136F" w:rsidRPr="00370873">
        <w:rPr>
          <w:rFonts w:ascii="Book Antiqua" w:eastAsia="Book Antiqua" w:hAnsi="Book Antiqua" w:cs="Book Antiqua"/>
          <w:color w:val="000000"/>
        </w:rPr>
        <w:t xml:space="preserve">XQ </w:t>
      </w:r>
      <w:r w:rsidRPr="00370873">
        <w:rPr>
          <w:rFonts w:ascii="Book Antiqua" w:eastAsia="Book Antiqua" w:hAnsi="Book Antiqua" w:cs="Book Antiqua"/>
          <w:color w:val="000000"/>
        </w:rPr>
        <w:t xml:space="preserve">and Chen </w:t>
      </w:r>
      <w:r w:rsidR="00AF136F" w:rsidRPr="00370873">
        <w:rPr>
          <w:rFonts w:ascii="Book Antiqua" w:eastAsia="Book Antiqua" w:hAnsi="Book Antiqua" w:cs="Book Antiqua"/>
          <w:color w:val="000000"/>
        </w:rPr>
        <w:t xml:space="preserve">YK </w:t>
      </w:r>
      <w:r w:rsidRPr="00370873">
        <w:rPr>
          <w:rFonts w:ascii="Book Antiqua" w:eastAsia="Book Antiqua" w:hAnsi="Book Antiqua" w:cs="Book Antiqua"/>
          <w:color w:val="000000"/>
        </w:rPr>
        <w:t xml:space="preserve">collected patient information and examination data, designed and produced the figures and tables; Chen </w:t>
      </w:r>
      <w:r w:rsidR="00AF136F" w:rsidRPr="00370873">
        <w:rPr>
          <w:rFonts w:ascii="Book Antiqua" w:eastAsia="Book Antiqua" w:hAnsi="Book Antiqua" w:cs="Book Antiqua"/>
          <w:color w:val="000000"/>
        </w:rPr>
        <w:t xml:space="preserve">YX </w:t>
      </w:r>
      <w:r w:rsidRPr="00370873">
        <w:rPr>
          <w:rFonts w:ascii="Book Antiqua" w:eastAsia="Book Antiqua" w:hAnsi="Book Antiqua" w:cs="Book Antiqua"/>
          <w:color w:val="000000"/>
        </w:rPr>
        <w:t>reviewed the literature, contributed to manuscript drafting and revised the manuscript</w:t>
      </w:r>
      <w:r w:rsidR="00AF136F" w:rsidRPr="00370873">
        <w:rPr>
          <w:rFonts w:ascii="Book Antiqua" w:eastAsia="Book Antiqua" w:hAnsi="Book Antiqua" w:cs="Book Antiqua"/>
          <w:color w:val="000000"/>
        </w:rPr>
        <w:t>;</w:t>
      </w:r>
      <w:r w:rsidRPr="00370873">
        <w:rPr>
          <w:rFonts w:ascii="Book Antiqua" w:eastAsia="Book Antiqua" w:hAnsi="Book Antiqua" w:cs="Book Antiqua"/>
          <w:color w:val="000000"/>
        </w:rPr>
        <w:t xml:space="preserve"> </w:t>
      </w:r>
      <w:r w:rsidR="00AF136F" w:rsidRPr="00370873">
        <w:rPr>
          <w:rFonts w:ascii="Book Antiqua" w:eastAsia="Book Antiqua" w:hAnsi="Book Antiqua" w:cs="Book Antiqua"/>
          <w:color w:val="000000"/>
        </w:rPr>
        <w:t>a</w:t>
      </w:r>
      <w:r w:rsidRPr="00370873">
        <w:rPr>
          <w:rFonts w:ascii="Book Antiqua" w:eastAsia="Book Antiqua" w:hAnsi="Book Antiqua" w:cs="Book Antiqua"/>
          <w:color w:val="000000"/>
        </w:rPr>
        <w:t>ll authors participated in the discussion and formulation of patient chemotherapy regimens and drug dosage adjustments</w:t>
      </w:r>
      <w:r w:rsidR="00AF136F" w:rsidRPr="00370873">
        <w:rPr>
          <w:rFonts w:ascii="Book Antiqua" w:eastAsia="Book Antiqua" w:hAnsi="Book Antiqua" w:cs="Book Antiqua"/>
          <w:color w:val="000000"/>
        </w:rPr>
        <w:t>, and</w:t>
      </w:r>
      <w:r w:rsidRPr="00370873">
        <w:rPr>
          <w:rFonts w:ascii="Book Antiqua" w:eastAsia="Book Antiqua" w:hAnsi="Book Antiqua" w:cs="Book Antiqua"/>
          <w:color w:val="000000"/>
        </w:rPr>
        <w:t xml:space="preserve"> issued final approval for the version to be submitted.</w:t>
      </w:r>
    </w:p>
    <w:bookmarkEnd w:id="11"/>
    <w:p w14:paraId="702594B2" w14:textId="77777777" w:rsidR="00A77B3E" w:rsidRPr="00370873" w:rsidRDefault="00A77B3E" w:rsidP="00370873">
      <w:pPr>
        <w:spacing w:line="360" w:lineRule="auto"/>
        <w:jc w:val="both"/>
        <w:rPr>
          <w:rFonts w:ascii="Book Antiqua" w:hAnsi="Book Antiqua"/>
        </w:rPr>
      </w:pPr>
    </w:p>
    <w:p w14:paraId="6CC67090" w14:textId="78BA638E"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Corresponding author: Ye</w:t>
      </w:r>
      <w:r w:rsidR="00AF136F" w:rsidRPr="00370873">
        <w:rPr>
          <w:rFonts w:ascii="Book Antiqua" w:eastAsia="Book Antiqua" w:hAnsi="Book Antiqua" w:cs="Book Antiqua"/>
          <w:b/>
          <w:bCs/>
          <w:color w:val="000000"/>
        </w:rPr>
        <w:t>-X</w:t>
      </w:r>
      <w:r w:rsidRPr="00370873">
        <w:rPr>
          <w:rFonts w:ascii="Book Antiqua" w:eastAsia="Book Antiqua" w:hAnsi="Book Antiqua" w:cs="Book Antiqua"/>
          <w:b/>
          <w:bCs/>
          <w:color w:val="000000"/>
        </w:rPr>
        <w:t xml:space="preserve">i Chen, MD, Chief Doctor, Professor, </w:t>
      </w:r>
      <w:r w:rsidR="00AF136F" w:rsidRPr="00370873">
        <w:rPr>
          <w:rFonts w:ascii="Book Antiqua" w:eastAsia="Book Antiqua" w:hAnsi="Book Antiqua" w:cs="Book Antiqua"/>
          <w:color w:val="000000"/>
        </w:rPr>
        <w:t xml:space="preserve">Department of </w:t>
      </w:r>
      <w:r w:rsidRPr="00370873">
        <w:rPr>
          <w:rFonts w:ascii="Book Antiqua" w:eastAsia="Book Antiqua" w:hAnsi="Book Antiqua" w:cs="Book Antiqua"/>
          <w:color w:val="000000"/>
        </w:rPr>
        <w:t xml:space="preserve">General Surgery, The Second Affiliated Hospital of Shantou University Medical College, </w:t>
      </w:r>
      <w:bookmarkStart w:id="12" w:name="OLE_LINK39"/>
      <w:r w:rsidRPr="00370873">
        <w:rPr>
          <w:rFonts w:ascii="Book Antiqua" w:eastAsia="Book Antiqua" w:hAnsi="Book Antiqua" w:cs="Book Antiqua"/>
          <w:color w:val="000000"/>
        </w:rPr>
        <w:t>No.</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 xml:space="preserve">69 North </w:t>
      </w:r>
      <w:proofErr w:type="spellStart"/>
      <w:r w:rsidRPr="00370873">
        <w:rPr>
          <w:rFonts w:ascii="Book Antiqua" w:eastAsia="Book Antiqua" w:hAnsi="Book Antiqua" w:cs="Book Antiqua"/>
          <w:color w:val="000000"/>
        </w:rPr>
        <w:t>Dongxia</w:t>
      </w:r>
      <w:proofErr w:type="spellEnd"/>
      <w:r w:rsidRPr="00370873">
        <w:rPr>
          <w:rFonts w:ascii="Book Antiqua" w:eastAsia="Book Antiqua" w:hAnsi="Book Antiqua" w:cs="Book Antiqua"/>
          <w:color w:val="000000"/>
        </w:rPr>
        <w:t xml:space="preserve"> Road</w:t>
      </w:r>
      <w:bookmarkEnd w:id="12"/>
      <w:r w:rsidRPr="00370873">
        <w:rPr>
          <w:rFonts w:ascii="Book Antiqua" w:eastAsia="Book Antiqua" w:hAnsi="Book Antiqua" w:cs="Book Antiqua"/>
          <w:color w:val="000000"/>
        </w:rPr>
        <w:t>, Shantou 515041,</w:t>
      </w:r>
      <w:r w:rsidR="00AF136F" w:rsidRPr="00370873">
        <w:rPr>
          <w:rFonts w:ascii="Book Antiqua" w:eastAsia="Book Antiqua" w:hAnsi="Book Antiqua" w:cs="Book Antiqua"/>
          <w:color w:val="000000"/>
        </w:rPr>
        <w:t xml:space="preserve"> Guangdong Province,</w:t>
      </w:r>
      <w:r w:rsidRPr="00370873">
        <w:rPr>
          <w:rFonts w:ascii="Book Antiqua" w:eastAsia="Book Antiqua" w:hAnsi="Book Antiqua" w:cs="Book Antiqua"/>
          <w:color w:val="000000"/>
        </w:rPr>
        <w:t xml:space="preserve"> China. yxchen3@stu.edu.cn</w:t>
      </w:r>
    </w:p>
    <w:p w14:paraId="13D946EA" w14:textId="77777777" w:rsidR="00A77B3E" w:rsidRPr="00370873" w:rsidRDefault="00A77B3E" w:rsidP="00370873">
      <w:pPr>
        <w:spacing w:line="360" w:lineRule="auto"/>
        <w:jc w:val="both"/>
        <w:rPr>
          <w:rFonts w:ascii="Book Antiqua" w:hAnsi="Book Antiqua"/>
        </w:rPr>
      </w:pPr>
    </w:p>
    <w:p w14:paraId="11824991"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Received: </w:t>
      </w:r>
      <w:r w:rsidRPr="00370873">
        <w:rPr>
          <w:rFonts w:ascii="Book Antiqua" w:eastAsia="Book Antiqua" w:hAnsi="Book Antiqua" w:cs="Book Antiqua"/>
          <w:color w:val="000000"/>
        </w:rPr>
        <w:t>July 8, 2021</w:t>
      </w:r>
    </w:p>
    <w:p w14:paraId="4E4CE8E3" w14:textId="1E4E3DBD"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Revised: </w:t>
      </w:r>
      <w:r w:rsidR="00AF136F" w:rsidRPr="00370873">
        <w:rPr>
          <w:rFonts w:ascii="Book Antiqua" w:eastAsia="Book Antiqua" w:hAnsi="Book Antiqua" w:cs="Book Antiqua"/>
          <w:color w:val="000000"/>
        </w:rPr>
        <w:t>September 5, 2021</w:t>
      </w:r>
    </w:p>
    <w:p w14:paraId="778F228E" w14:textId="3014E24D"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Accepted: </w:t>
      </w:r>
      <w:r w:rsidR="00696336">
        <w:rPr>
          <w:rFonts w:ascii="Book Antiqua" w:hAnsi="Book Antiqua"/>
          <w:color w:val="000000" w:themeColor="text1"/>
        </w:rPr>
        <w:t>September 22, 2021</w:t>
      </w:r>
    </w:p>
    <w:p w14:paraId="69F5B2A6" w14:textId="77777777" w:rsidR="00AF136F" w:rsidRPr="00370873" w:rsidRDefault="005C2F75" w:rsidP="00370873">
      <w:pPr>
        <w:spacing w:line="360" w:lineRule="auto"/>
        <w:jc w:val="both"/>
        <w:rPr>
          <w:rFonts w:ascii="Book Antiqua" w:eastAsia="Book Antiqua" w:hAnsi="Book Antiqua" w:cs="Book Antiqua"/>
          <w:b/>
          <w:bCs/>
          <w:color w:val="000000"/>
        </w:rPr>
      </w:pPr>
      <w:r w:rsidRPr="00370873">
        <w:rPr>
          <w:rFonts w:ascii="Book Antiqua" w:eastAsia="Book Antiqua" w:hAnsi="Book Antiqua" w:cs="Book Antiqua"/>
          <w:b/>
          <w:bCs/>
          <w:color w:val="000000"/>
        </w:rPr>
        <w:t>Published online:</w:t>
      </w:r>
    </w:p>
    <w:p w14:paraId="7ADD15C0" w14:textId="77777777" w:rsidR="00AF136F" w:rsidRPr="00370873" w:rsidRDefault="00AF136F" w:rsidP="00370873">
      <w:pPr>
        <w:spacing w:line="360" w:lineRule="auto"/>
        <w:jc w:val="both"/>
        <w:rPr>
          <w:rFonts w:ascii="Book Antiqua" w:eastAsia="Book Antiqua" w:hAnsi="Book Antiqua" w:cs="Book Antiqua"/>
          <w:b/>
          <w:bCs/>
          <w:color w:val="000000"/>
        </w:rPr>
      </w:pPr>
    </w:p>
    <w:p w14:paraId="05DDE565" w14:textId="77777777" w:rsidR="00AF136F" w:rsidRPr="00370873" w:rsidRDefault="00AF136F" w:rsidP="00370873">
      <w:pPr>
        <w:spacing w:line="360" w:lineRule="auto"/>
        <w:jc w:val="both"/>
        <w:rPr>
          <w:rFonts w:ascii="Book Antiqua" w:eastAsia="Book Antiqua" w:hAnsi="Book Antiqua" w:cs="Book Antiqua"/>
          <w:b/>
          <w:bCs/>
          <w:color w:val="000000"/>
        </w:rPr>
      </w:pPr>
    </w:p>
    <w:p w14:paraId="611ACD50" w14:textId="77777777" w:rsidR="00AF136F" w:rsidRPr="00370873" w:rsidRDefault="00AF136F" w:rsidP="00370873">
      <w:pPr>
        <w:spacing w:line="360" w:lineRule="auto"/>
        <w:jc w:val="both"/>
        <w:rPr>
          <w:rFonts w:ascii="Book Antiqua" w:eastAsia="Book Antiqua" w:hAnsi="Book Antiqua" w:cs="Book Antiqua"/>
          <w:b/>
          <w:bCs/>
          <w:color w:val="000000"/>
        </w:rPr>
      </w:pPr>
    </w:p>
    <w:p w14:paraId="174840FD" w14:textId="2CB61A46"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Abstract</w:t>
      </w:r>
    </w:p>
    <w:p w14:paraId="49F1E614"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BACKGROUND</w:t>
      </w:r>
    </w:p>
    <w:p w14:paraId="601461A2" w14:textId="77777777" w:rsidR="00A77B3E" w:rsidRPr="00370873" w:rsidRDefault="005C2F75" w:rsidP="00370873">
      <w:pPr>
        <w:spacing w:line="360" w:lineRule="auto"/>
        <w:jc w:val="both"/>
        <w:rPr>
          <w:rFonts w:ascii="Book Antiqua" w:hAnsi="Book Antiqua"/>
        </w:rPr>
      </w:pPr>
      <w:bookmarkStart w:id="13" w:name="OLE_LINK45"/>
      <w:r w:rsidRPr="00370873">
        <w:rPr>
          <w:rFonts w:ascii="Book Antiqua" w:eastAsia="Book Antiqua" w:hAnsi="Book Antiqua" w:cs="Book Antiqua"/>
          <w:color w:val="000000"/>
        </w:rPr>
        <w:t xml:space="preserve">Studies have shown that patients with chronic renal failure (CRF) are more likely to suffer from breast cancer and other malignant tumors. To our knowledge, CRF can reduce drug excretion, thereby increase drug exposure and lead to increased toxicity, which will limit drug treatment and lead to tumor progression. Currently, there are few successful reports on the combination of docetaxel, trastuzumab, and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(THP) as a neoadjuvant treatment regimen for breast cancer patients with CRF.</w:t>
      </w:r>
    </w:p>
    <w:bookmarkEnd w:id="13"/>
    <w:p w14:paraId="08F271ED" w14:textId="77777777" w:rsidR="00A77B3E" w:rsidRPr="00370873" w:rsidRDefault="00A77B3E" w:rsidP="00370873">
      <w:pPr>
        <w:spacing w:line="360" w:lineRule="auto"/>
        <w:jc w:val="both"/>
        <w:rPr>
          <w:rFonts w:ascii="Book Antiqua" w:hAnsi="Book Antiqua"/>
        </w:rPr>
      </w:pPr>
    </w:p>
    <w:p w14:paraId="58093E0E"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CASE SUMMARY</w:t>
      </w:r>
    </w:p>
    <w:p w14:paraId="759E7853" w14:textId="77777777" w:rsidR="00A77B3E" w:rsidRPr="00370873" w:rsidRDefault="005C2F75" w:rsidP="00370873">
      <w:pPr>
        <w:spacing w:line="360" w:lineRule="auto"/>
        <w:jc w:val="both"/>
        <w:rPr>
          <w:rFonts w:ascii="Book Antiqua" w:hAnsi="Book Antiqua"/>
        </w:rPr>
      </w:pPr>
      <w:bookmarkStart w:id="14" w:name="OLE_LINK46"/>
      <w:r w:rsidRPr="00370873">
        <w:rPr>
          <w:rFonts w:ascii="Book Antiqua" w:eastAsia="Book Antiqua" w:hAnsi="Book Antiqua" w:cs="Book Antiqua"/>
          <w:color w:val="000000"/>
        </w:rPr>
        <w:t xml:space="preserve">We report a breast cancer (cT2N2M0, Her-2+/HR-) patient with CRF. It was a clinical stage IIIA tumor on the left breast. The patient had suffered from uremia for 2 years, and her heart function was normal. Based on the pathological type, molecular type, and clinical stage of breast cancer, and the patient’s renal function, the clinician analyzed the pharmacological and pharmacokinetic characteristics of the antitumor drugs after consulting the relevant literature, and prescribed the neoadjuvant regimen of THP </w:t>
      </w:r>
      <w:r w:rsidRPr="00370873">
        <w:rPr>
          <w:rFonts w:ascii="Book Antiqua" w:eastAsia="Book Antiqua" w:hAnsi="Book Antiqua" w:cs="Book Antiqua"/>
          <w:color w:val="000000"/>
        </w:rPr>
        <w:lastRenderedPageBreak/>
        <w:t xml:space="preserve">(docetaxel 80 mg/m², trastuzumab 8 mg/kg for the first dose, and 6 mg/kg for the maintenance dose with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840 mg for the first dose and 420 mg for the maintenance dose), once every 3 </w:t>
      </w:r>
      <w:proofErr w:type="spellStart"/>
      <w:r w:rsidRPr="00370873">
        <w:rPr>
          <w:rFonts w:ascii="Book Antiqua" w:eastAsia="Book Antiqua" w:hAnsi="Book Antiqua" w:cs="Book Antiqua"/>
          <w:color w:val="000000"/>
        </w:rPr>
        <w:t>wk</w:t>
      </w:r>
      <w:proofErr w:type="spellEnd"/>
      <w:r w:rsidRPr="00370873">
        <w:rPr>
          <w:rFonts w:ascii="Book Antiqua" w:eastAsia="Book Antiqua" w:hAnsi="Book Antiqua" w:cs="Book Antiqua"/>
          <w:color w:val="000000"/>
        </w:rPr>
        <w:t>, for a total of 6 courses. The neoadjuvant treatment had a good effect, and the patient then underwent surgery which was uneventful.</w:t>
      </w:r>
    </w:p>
    <w:bookmarkEnd w:id="14"/>
    <w:p w14:paraId="5B7AEECE" w14:textId="77777777" w:rsidR="00A77B3E" w:rsidRPr="00370873" w:rsidRDefault="00A77B3E" w:rsidP="00370873">
      <w:pPr>
        <w:spacing w:line="360" w:lineRule="auto"/>
        <w:jc w:val="both"/>
        <w:rPr>
          <w:rFonts w:ascii="Book Antiqua" w:hAnsi="Book Antiqua"/>
        </w:rPr>
      </w:pPr>
    </w:p>
    <w:p w14:paraId="162828FC"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CONCLUSION</w:t>
      </w:r>
    </w:p>
    <w:p w14:paraId="1DB8FE5A" w14:textId="77777777" w:rsidR="00A77B3E" w:rsidRPr="00370873" w:rsidRDefault="005C2F75" w:rsidP="00370873">
      <w:pPr>
        <w:spacing w:line="360" w:lineRule="auto"/>
        <w:jc w:val="both"/>
        <w:rPr>
          <w:rFonts w:ascii="Book Antiqua" w:hAnsi="Book Antiqua"/>
        </w:rPr>
      </w:pPr>
      <w:bookmarkStart w:id="15" w:name="OLE_LINK47"/>
      <w:r w:rsidRPr="00370873">
        <w:rPr>
          <w:rFonts w:ascii="Book Antiqua" w:eastAsia="Book Antiqua" w:hAnsi="Book Antiqua" w:cs="Book Antiqua"/>
          <w:color w:val="000000"/>
        </w:rPr>
        <w:t>CRF is not a contraindication for systemic treatment and surgery of breast cancer. The THP regimen without dose adjustment may be a safe and effective neoadjuvant treatment for HER-2 positive breast cancer patients with CRF.</w:t>
      </w:r>
    </w:p>
    <w:bookmarkEnd w:id="15"/>
    <w:p w14:paraId="5D027C04" w14:textId="77777777" w:rsidR="00A77B3E" w:rsidRPr="00370873" w:rsidRDefault="00A77B3E" w:rsidP="00370873">
      <w:pPr>
        <w:spacing w:line="360" w:lineRule="auto"/>
        <w:jc w:val="both"/>
        <w:rPr>
          <w:rFonts w:ascii="Book Antiqua" w:hAnsi="Book Antiqua"/>
        </w:rPr>
      </w:pPr>
    </w:p>
    <w:p w14:paraId="435C7D92"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Key Words: </w:t>
      </w:r>
      <w:bookmarkStart w:id="16" w:name="OLE_LINK43"/>
      <w:r w:rsidRPr="00370873">
        <w:rPr>
          <w:rFonts w:ascii="Book Antiqua" w:eastAsia="Book Antiqua" w:hAnsi="Book Antiqua" w:cs="Book Antiqua"/>
          <w:color w:val="000000"/>
        </w:rPr>
        <w:t xml:space="preserve">Breast cancer; Chronic renal failure; Neoadjuvant treatment; Dose adjustment;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Case report</w:t>
      </w:r>
      <w:bookmarkEnd w:id="16"/>
    </w:p>
    <w:p w14:paraId="4E4A14E4" w14:textId="77777777" w:rsidR="00A77B3E" w:rsidRPr="00370873" w:rsidRDefault="00A77B3E" w:rsidP="00370873">
      <w:pPr>
        <w:spacing w:line="360" w:lineRule="auto"/>
        <w:jc w:val="both"/>
        <w:rPr>
          <w:rFonts w:ascii="Book Antiqua" w:hAnsi="Book Antiqua"/>
        </w:rPr>
      </w:pPr>
    </w:p>
    <w:p w14:paraId="0B105A47" w14:textId="106EB006"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Cai J</w:t>
      </w:r>
      <w:r w:rsidR="00AF136F" w:rsidRPr="00370873">
        <w:rPr>
          <w:rFonts w:ascii="Book Antiqua" w:eastAsia="Book Antiqua" w:hAnsi="Book Antiqua" w:cs="Book Antiqua"/>
          <w:color w:val="000000"/>
        </w:rPr>
        <w:t>H</w:t>
      </w:r>
      <w:r w:rsidRPr="00370873">
        <w:rPr>
          <w:rFonts w:ascii="Book Antiqua" w:eastAsia="Book Antiqua" w:hAnsi="Book Antiqua" w:cs="Book Antiqua"/>
          <w:color w:val="000000"/>
        </w:rPr>
        <w:t>, Zheng J</w:t>
      </w:r>
      <w:r w:rsidR="00AF136F" w:rsidRPr="00370873">
        <w:rPr>
          <w:rFonts w:ascii="Book Antiqua" w:eastAsia="Book Antiqua" w:hAnsi="Book Antiqua" w:cs="Book Antiqua"/>
          <w:color w:val="000000"/>
        </w:rPr>
        <w:t>H</w:t>
      </w:r>
      <w:r w:rsidRPr="00370873">
        <w:rPr>
          <w:rFonts w:ascii="Book Antiqua" w:eastAsia="Book Antiqua" w:hAnsi="Book Antiqua" w:cs="Book Antiqua"/>
          <w:color w:val="000000"/>
        </w:rPr>
        <w:t>, Lin X</w:t>
      </w:r>
      <w:r w:rsidR="00AF136F" w:rsidRPr="00370873">
        <w:rPr>
          <w:rFonts w:ascii="Book Antiqua" w:eastAsia="Book Antiqua" w:hAnsi="Book Antiqua" w:cs="Book Antiqua"/>
          <w:color w:val="000000"/>
        </w:rPr>
        <w:t>Q</w:t>
      </w:r>
      <w:r w:rsidRPr="00370873">
        <w:rPr>
          <w:rFonts w:ascii="Book Antiqua" w:eastAsia="Book Antiqua" w:hAnsi="Book Antiqua" w:cs="Book Antiqua"/>
          <w:color w:val="000000"/>
        </w:rPr>
        <w:t>, Lin W</w:t>
      </w:r>
      <w:r w:rsidR="00AF136F" w:rsidRPr="00370873">
        <w:rPr>
          <w:rFonts w:ascii="Book Antiqua" w:eastAsia="Book Antiqua" w:hAnsi="Book Antiqua" w:cs="Book Antiqua"/>
          <w:color w:val="000000"/>
        </w:rPr>
        <w:t>X</w:t>
      </w:r>
      <w:r w:rsidRPr="00370873">
        <w:rPr>
          <w:rFonts w:ascii="Book Antiqua" w:eastAsia="Book Antiqua" w:hAnsi="Book Antiqua" w:cs="Book Antiqua"/>
          <w:color w:val="000000"/>
        </w:rPr>
        <w:t>, Zou J, Chen Y</w:t>
      </w:r>
      <w:r w:rsidR="00AF136F" w:rsidRPr="00370873">
        <w:rPr>
          <w:rFonts w:ascii="Book Antiqua" w:eastAsia="Book Antiqua" w:hAnsi="Book Antiqua" w:cs="Book Antiqua"/>
          <w:color w:val="000000"/>
        </w:rPr>
        <w:t>K</w:t>
      </w:r>
      <w:r w:rsidRPr="00370873">
        <w:rPr>
          <w:rFonts w:ascii="Book Antiqua" w:eastAsia="Book Antiqua" w:hAnsi="Book Antiqua" w:cs="Book Antiqua"/>
          <w:color w:val="000000"/>
        </w:rPr>
        <w:t>, Li Z</w:t>
      </w:r>
      <w:r w:rsidR="00AF136F" w:rsidRPr="00370873">
        <w:rPr>
          <w:rFonts w:ascii="Book Antiqua" w:eastAsia="Book Antiqua" w:hAnsi="Book Antiqua" w:cs="Book Antiqua"/>
          <w:color w:val="000000"/>
        </w:rPr>
        <w:t>Y</w:t>
      </w:r>
      <w:r w:rsidRPr="00370873">
        <w:rPr>
          <w:rFonts w:ascii="Book Antiqua" w:eastAsia="Book Antiqua" w:hAnsi="Book Antiqua" w:cs="Book Antiqua"/>
          <w:color w:val="000000"/>
        </w:rPr>
        <w:t>, Chen Y</w:t>
      </w:r>
      <w:r w:rsidR="00AF136F" w:rsidRPr="00370873">
        <w:rPr>
          <w:rFonts w:ascii="Book Antiqua" w:eastAsia="Book Antiqua" w:hAnsi="Book Antiqua" w:cs="Book Antiqua"/>
          <w:color w:val="000000"/>
        </w:rPr>
        <w:t>X</w:t>
      </w:r>
      <w:r w:rsidRPr="00370873">
        <w:rPr>
          <w:rFonts w:ascii="Book Antiqua" w:eastAsia="Book Antiqua" w:hAnsi="Book Antiqua" w:cs="Book Antiqua"/>
          <w:color w:val="000000"/>
        </w:rPr>
        <w:t xml:space="preserve">. </w:t>
      </w:r>
      <w:r w:rsidR="00AF136F" w:rsidRPr="00370873">
        <w:rPr>
          <w:rFonts w:ascii="Book Antiqua" w:eastAsia="Book Antiqua" w:hAnsi="Book Antiqua" w:cs="Book Antiqua"/>
          <w:color w:val="000000"/>
        </w:rPr>
        <w:t>Individualized treatment of breast cancer with chronic renal failure: A case report and review of literature</w:t>
      </w:r>
      <w:r w:rsidRPr="00370873">
        <w:rPr>
          <w:rFonts w:ascii="Book Antiqua" w:eastAsia="Book Antiqua" w:hAnsi="Book Antiqua" w:cs="Book Antiqua"/>
          <w:color w:val="000000"/>
        </w:rPr>
        <w:t xml:space="preserve">. </w:t>
      </w:r>
      <w:r w:rsidRPr="00370873">
        <w:rPr>
          <w:rFonts w:ascii="Book Antiqua" w:eastAsia="Book Antiqua" w:hAnsi="Book Antiqua" w:cs="Book Antiqua"/>
          <w:i/>
          <w:iCs/>
          <w:color w:val="000000"/>
        </w:rPr>
        <w:t>World J Clin Cases</w:t>
      </w:r>
      <w:r w:rsidRPr="00370873">
        <w:rPr>
          <w:rFonts w:ascii="Book Antiqua" w:eastAsia="Book Antiqua" w:hAnsi="Book Antiqua" w:cs="Book Antiqua"/>
          <w:color w:val="000000"/>
        </w:rPr>
        <w:t xml:space="preserve"> 2021; In press</w:t>
      </w:r>
    </w:p>
    <w:p w14:paraId="0D641B68" w14:textId="77777777" w:rsidR="00A77B3E" w:rsidRPr="00370873" w:rsidRDefault="00A77B3E" w:rsidP="00370873">
      <w:pPr>
        <w:spacing w:line="360" w:lineRule="auto"/>
        <w:jc w:val="both"/>
        <w:rPr>
          <w:rFonts w:ascii="Book Antiqua" w:hAnsi="Book Antiqua"/>
        </w:rPr>
      </w:pPr>
    </w:p>
    <w:p w14:paraId="547C0E71" w14:textId="7762A728"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Core Tip: </w:t>
      </w:r>
      <w:bookmarkStart w:id="17" w:name="OLE_LINK44"/>
      <w:r w:rsidRPr="00370873">
        <w:rPr>
          <w:rFonts w:ascii="Book Antiqua" w:eastAsia="Book Antiqua" w:hAnsi="Book Antiqua" w:cs="Book Antiqua"/>
          <w:color w:val="000000"/>
        </w:rPr>
        <w:t>Renal failure is an important factor limiting the treatment of</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 xml:space="preserve">breast cancer because of the nephrotoxicity of anticancer drugs. There are few successful case reports of the combination of docetaxel, trastuzumab and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(THP), especially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as a preoperative neoadjuvant treatment regimen for breast cancer patients with chronic renal failure (CRF) and few pharmacokinetic studies are available on renal failure in these patients. This report describes a breast cancer patient with CRF, which shows the safety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and effectiveness of the THP preoperative neoadjuvant treatment regimen.</w:t>
      </w:r>
      <w:bookmarkEnd w:id="17"/>
    </w:p>
    <w:p w14:paraId="3642DE97" w14:textId="77777777" w:rsidR="00A77B3E" w:rsidRPr="00370873" w:rsidRDefault="00A77B3E" w:rsidP="00370873">
      <w:pPr>
        <w:spacing w:line="360" w:lineRule="auto"/>
        <w:jc w:val="both"/>
        <w:rPr>
          <w:rFonts w:ascii="Book Antiqua" w:hAnsi="Book Antiqua"/>
        </w:rPr>
      </w:pPr>
    </w:p>
    <w:p w14:paraId="3E622305"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INTRODUCTION</w:t>
      </w:r>
    </w:p>
    <w:p w14:paraId="55E63A53" w14:textId="6E724244" w:rsidR="00A77B3E" w:rsidRPr="00370873" w:rsidRDefault="005C2F75" w:rsidP="00370873">
      <w:pPr>
        <w:spacing w:line="360" w:lineRule="auto"/>
        <w:jc w:val="both"/>
        <w:rPr>
          <w:rFonts w:ascii="Book Antiqua" w:hAnsi="Book Antiqua"/>
        </w:rPr>
      </w:pPr>
      <w:bookmarkStart w:id="18" w:name="OLE_LINK48"/>
      <w:r w:rsidRPr="00370873">
        <w:rPr>
          <w:rFonts w:ascii="Book Antiqua" w:eastAsia="Book Antiqua" w:hAnsi="Book Antiqua" w:cs="Book Antiqua"/>
          <w:color w:val="000000"/>
        </w:rPr>
        <w:t xml:space="preserve">Renal insufficiency is common in cancer patients, and the risk of impaired renal function increases with age and the appearance of comorbid diseases, such as diabetes. </w:t>
      </w:r>
      <w:r w:rsidRPr="00370873">
        <w:rPr>
          <w:rFonts w:ascii="Book Antiqua" w:eastAsia="Book Antiqua" w:hAnsi="Book Antiqua" w:cs="Book Antiqua"/>
          <w:color w:val="000000"/>
        </w:rPr>
        <w:lastRenderedPageBreak/>
        <w:t xml:space="preserve">Breast cancer is the most common cancer in </w:t>
      </w:r>
      <w:proofErr w:type="gramStart"/>
      <w:r w:rsidRPr="00370873">
        <w:rPr>
          <w:rFonts w:ascii="Book Antiqua" w:eastAsia="Book Antiqua" w:hAnsi="Book Antiqua" w:cs="Book Antiqua"/>
          <w:color w:val="000000"/>
        </w:rPr>
        <w:t>women</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w:t>
      </w:r>
      <w:r w:rsidR="00AF136F"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vertAlign w:val="superscript"/>
        </w:rPr>
        <w:t>3]</w:t>
      </w:r>
      <w:r w:rsidRPr="00370873">
        <w:rPr>
          <w:rFonts w:ascii="Book Antiqua" w:eastAsia="Book Antiqua" w:hAnsi="Book Antiqua" w:cs="Book Antiqua"/>
          <w:color w:val="000000"/>
        </w:rPr>
        <w:t>, accounting for 30% of all newly diagnosed cancers</w:t>
      </w:r>
      <w:r w:rsidRPr="00370873">
        <w:rPr>
          <w:rFonts w:ascii="Book Antiqua" w:eastAsia="Book Antiqua" w:hAnsi="Book Antiqua" w:cs="Book Antiqua"/>
          <w:color w:val="000000"/>
          <w:vertAlign w:val="superscript"/>
        </w:rPr>
        <w:t>[1]</w:t>
      </w:r>
      <w:r w:rsidRPr="00370873">
        <w:rPr>
          <w:rFonts w:ascii="Book Antiqua" w:eastAsia="Book Antiqua" w:hAnsi="Book Antiqua" w:cs="Book Antiqua"/>
          <w:color w:val="000000"/>
        </w:rPr>
        <w:t xml:space="preserve">. A large number of studies have confirmed that patients with chronic renal failure (CRF) have a higher incidence of malignant tumors and </w:t>
      </w:r>
      <w:proofErr w:type="gramStart"/>
      <w:r w:rsidRPr="00370873">
        <w:rPr>
          <w:rFonts w:ascii="Book Antiqua" w:eastAsia="Book Antiqua" w:hAnsi="Book Antiqua" w:cs="Book Antiqua"/>
          <w:color w:val="000000"/>
        </w:rPr>
        <w:t>mortality</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4,5]</w:t>
      </w:r>
      <w:r w:rsidRPr="00370873">
        <w:rPr>
          <w:rFonts w:ascii="Book Antiqua" w:eastAsia="Book Antiqua" w:hAnsi="Book Antiqua" w:cs="Book Antiqua"/>
          <w:color w:val="000000"/>
        </w:rPr>
        <w:t>. When the estimated glomerular filtration rate (GFR) drops to 10 mL/min/1.73</w:t>
      </w:r>
      <w:r w:rsidR="00AF136F" w:rsidRPr="00370873">
        <w:rPr>
          <w:rFonts w:ascii="Book Antiqua" w:eastAsia="Book Antiqua" w:hAnsi="Book Antiqua" w:cs="Book Antiqua"/>
          <w:color w:val="000000"/>
        </w:rPr>
        <w:t xml:space="preserve"> m</w:t>
      </w:r>
      <w:r w:rsidR="00AF136F" w:rsidRPr="00370873">
        <w:rPr>
          <w:rFonts w:ascii="Book Antiqua" w:eastAsia="Book Antiqua" w:hAnsi="Book Antiqua" w:cs="Book Antiqua"/>
          <w:color w:val="000000"/>
          <w:vertAlign w:val="superscript"/>
        </w:rPr>
        <w:t>2</w:t>
      </w:r>
      <w:r w:rsidRPr="00370873">
        <w:rPr>
          <w:rFonts w:ascii="Book Antiqua" w:eastAsia="Book Antiqua" w:hAnsi="Book Antiqua" w:cs="Book Antiqua"/>
          <w:color w:val="000000"/>
        </w:rPr>
        <w:t>, the mortality rate of cancer patients increases by 22</w:t>
      </w:r>
      <w:proofErr w:type="gramStart"/>
      <w:r w:rsidRPr="00370873">
        <w:rPr>
          <w:rFonts w:ascii="Book Antiqua" w:eastAsia="Book Antiqua" w:hAnsi="Book Antiqua" w:cs="Book Antiqua"/>
          <w:color w:val="000000"/>
        </w:rPr>
        <w:t>%</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6,7]</w:t>
      </w:r>
      <w:r w:rsidRPr="00370873">
        <w:rPr>
          <w:rFonts w:ascii="Book Antiqua" w:eastAsia="Book Antiqua" w:hAnsi="Book Antiqua" w:cs="Book Antiqua"/>
          <w:color w:val="000000"/>
        </w:rPr>
        <w:t xml:space="preserve">. Therefore, the reduction in GFR will not only lead to serious renal complications, but also limit the treatment of tumors, thereby promoting tumor progression. Renal failure is an important factor limiting the treatment of breast cancer patients as patients with impaired renal function often experience reduced renal excretion or metabolism and changes in absorption and drug distribution, which may lead to increased treatment-related </w:t>
      </w:r>
      <w:proofErr w:type="gramStart"/>
      <w:r w:rsidRPr="00370873">
        <w:rPr>
          <w:rFonts w:ascii="Book Antiqua" w:eastAsia="Book Antiqua" w:hAnsi="Book Antiqua" w:cs="Book Antiqua"/>
          <w:color w:val="000000"/>
        </w:rPr>
        <w:t>toxicity</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8,9]</w:t>
      </w:r>
      <w:r w:rsidRPr="00370873">
        <w:rPr>
          <w:rFonts w:ascii="Book Antiqua" w:eastAsia="Book Antiqua" w:hAnsi="Book Antiqua" w:cs="Book Antiqua"/>
          <w:color w:val="000000"/>
        </w:rPr>
        <w:t xml:space="preserve">. In hemodialysis patients, it is difficult to determine the safe and effective dosage and dosing schedule of anticancer drugs, as well as the best time for hemodialysis, which makes it difficult to develop an appropriate treatment regimen. Also, almost all clinical studies will exclude patients with CRF. Currently, apart from the case report by Modi </w:t>
      </w:r>
      <w:r w:rsidRPr="00370873">
        <w:rPr>
          <w:rFonts w:ascii="Book Antiqua" w:eastAsia="Book Antiqua" w:hAnsi="Book Antiqua" w:cs="Book Antiqua"/>
          <w:i/>
          <w:iCs/>
          <w:color w:val="000000"/>
        </w:rPr>
        <w:t xml:space="preserve">et </w:t>
      </w:r>
      <w:proofErr w:type="gramStart"/>
      <w:r w:rsidRPr="00370873">
        <w:rPr>
          <w:rFonts w:ascii="Book Antiqua" w:eastAsia="Book Antiqua" w:hAnsi="Book Antiqua" w:cs="Book Antiqua"/>
          <w:i/>
          <w:iCs/>
          <w:color w:val="000000"/>
        </w:rPr>
        <w:t>al</w:t>
      </w:r>
      <w:r w:rsidR="00AF136F" w:rsidRPr="00370873">
        <w:rPr>
          <w:rFonts w:ascii="Book Antiqua" w:eastAsia="Book Antiqua" w:hAnsi="Book Antiqua" w:cs="Book Antiqua"/>
          <w:color w:val="000000"/>
          <w:vertAlign w:val="superscript"/>
        </w:rPr>
        <w:t>[</w:t>
      </w:r>
      <w:proofErr w:type="gramEnd"/>
      <w:r w:rsidR="00AF136F" w:rsidRPr="00370873">
        <w:rPr>
          <w:rFonts w:ascii="Book Antiqua" w:eastAsia="Book Antiqua" w:hAnsi="Book Antiqua" w:cs="Book Antiqua"/>
          <w:color w:val="000000"/>
          <w:vertAlign w:val="superscript"/>
        </w:rPr>
        <w:t>10]</w:t>
      </w:r>
      <w:r w:rsidRPr="00370873">
        <w:rPr>
          <w:rFonts w:ascii="Book Antiqua" w:eastAsia="Book Antiqua" w:hAnsi="Book Antiqua" w:cs="Book Antiqua"/>
          <w:color w:val="000000"/>
        </w:rPr>
        <w:t xml:space="preserve">, there are few studies on the treatment of breast cancer in patients with end-stage renal disease, and these patients rarely successfully complete a series of standard regimens of neoadjuvant therapy and surgery. This report describes the case of a breast cancer patient with CRF and the successful use of docetaxel, trastuzumab and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(THP) as the preoperative neoadjuvant treatment regimen.</w:t>
      </w:r>
    </w:p>
    <w:bookmarkEnd w:id="18"/>
    <w:p w14:paraId="7C58753D" w14:textId="77777777" w:rsidR="00A77B3E" w:rsidRPr="00370873" w:rsidRDefault="00A77B3E" w:rsidP="00370873">
      <w:pPr>
        <w:spacing w:line="360" w:lineRule="auto"/>
        <w:jc w:val="both"/>
        <w:rPr>
          <w:rFonts w:ascii="Book Antiqua" w:hAnsi="Book Antiqua"/>
        </w:rPr>
      </w:pPr>
    </w:p>
    <w:p w14:paraId="6896A55C"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CASE PRESENTATION</w:t>
      </w:r>
    </w:p>
    <w:p w14:paraId="7652B287"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Chief complaints</w:t>
      </w:r>
    </w:p>
    <w:p w14:paraId="5D97EBC3" w14:textId="77777777" w:rsidR="00A77B3E" w:rsidRPr="00370873" w:rsidRDefault="005C2F75" w:rsidP="00370873">
      <w:pPr>
        <w:spacing w:line="360" w:lineRule="auto"/>
        <w:jc w:val="both"/>
        <w:rPr>
          <w:rFonts w:ascii="Book Antiqua" w:hAnsi="Book Antiqua"/>
        </w:rPr>
      </w:pPr>
      <w:bookmarkStart w:id="19" w:name="OLE_LINK49"/>
      <w:r w:rsidRPr="00370873">
        <w:rPr>
          <w:rFonts w:ascii="Book Antiqua" w:eastAsia="Book Antiqua" w:hAnsi="Book Antiqua" w:cs="Book Antiqua"/>
          <w:color w:val="000000"/>
        </w:rPr>
        <w:t>A 55-year-old female patient with a left breast mass attended our hospital on September 15, 2020.</w:t>
      </w:r>
    </w:p>
    <w:bookmarkEnd w:id="19"/>
    <w:p w14:paraId="283C8875" w14:textId="77777777" w:rsidR="00A77B3E" w:rsidRPr="00370873" w:rsidRDefault="00A77B3E" w:rsidP="00370873">
      <w:pPr>
        <w:spacing w:line="360" w:lineRule="auto"/>
        <w:jc w:val="both"/>
        <w:rPr>
          <w:rFonts w:ascii="Book Antiqua" w:hAnsi="Book Antiqua"/>
        </w:rPr>
      </w:pPr>
    </w:p>
    <w:p w14:paraId="354BCA92"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History of present illness</w:t>
      </w:r>
    </w:p>
    <w:p w14:paraId="37A70341" w14:textId="2EC49416" w:rsidR="00A77B3E" w:rsidRPr="00370873" w:rsidRDefault="005C2F75" w:rsidP="00370873">
      <w:pPr>
        <w:spacing w:line="360" w:lineRule="auto"/>
        <w:jc w:val="both"/>
        <w:rPr>
          <w:rFonts w:ascii="Book Antiqua" w:hAnsi="Book Antiqua"/>
        </w:rPr>
      </w:pPr>
      <w:bookmarkStart w:id="20" w:name="OLE_LINK50"/>
      <w:r w:rsidRPr="00370873">
        <w:rPr>
          <w:rFonts w:ascii="Book Antiqua" w:eastAsia="Book Antiqua" w:hAnsi="Book Antiqua" w:cs="Book Antiqua"/>
          <w:color w:val="000000"/>
        </w:rPr>
        <w:t xml:space="preserve">The patient found a mass approximately 15 </w:t>
      </w:r>
      <w:r w:rsidR="00AF136F"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xml:space="preserve">× 15 mm in size in the left breast 9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ago without any related symptoms. She did not undergo diagnosis and treatment; </w:t>
      </w:r>
      <w:r w:rsidRPr="00370873">
        <w:rPr>
          <w:rFonts w:ascii="Book Antiqua" w:eastAsia="Book Antiqua" w:hAnsi="Book Antiqua" w:cs="Book Antiqua"/>
          <w:color w:val="000000"/>
        </w:rPr>
        <w:lastRenderedPageBreak/>
        <w:t xml:space="preserve">therefore, the mass has slowly increased over the past 9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and it is now approximately 35 </w:t>
      </w:r>
      <w:r w:rsidR="00AF136F"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30 mm in size. This prompted her visit to our hospital.</w:t>
      </w:r>
    </w:p>
    <w:bookmarkEnd w:id="20"/>
    <w:p w14:paraId="1D34A1A4" w14:textId="77777777" w:rsidR="00A77B3E" w:rsidRPr="00370873" w:rsidRDefault="00A77B3E" w:rsidP="00370873">
      <w:pPr>
        <w:spacing w:line="360" w:lineRule="auto"/>
        <w:jc w:val="both"/>
        <w:rPr>
          <w:rFonts w:ascii="Book Antiqua" w:hAnsi="Book Antiqua"/>
        </w:rPr>
      </w:pPr>
    </w:p>
    <w:p w14:paraId="0729DFEE"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History of past illness</w:t>
      </w:r>
    </w:p>
    <w:p w14:paraId="6C806EA5" w14:textId="4671D05B" w:rsidR="00A77B3E" w:rsidRPr="00370873" w:rsidRDefault="005C2F75" w:rsidP="00370873">
      <w:pPr>
        <w:spacing w:line="360" w:lineRule="auto"/>
        <w:jc w:val="both"/>
        <w:rPr>
          <w:rFonts w:ascii="Book Antiqua" w:hAnsi="Book Antiqua"/>
        </w:rPr>
      </w:pPr>
      <w:bookmarkStart w:id="21" w:name="OLE_LINK51"/>
      <w:r w:rsidRPr="00370873">
        <w:rPr>
          <w:rFonts w:ascii="Book Antiqua" w:eastAsia="Book Antiqua" w:hAnsi="Book Antiqua" w:cs="Book Antiqua"/>
          <w:color w:val="000000"/>
        </w:rPr>
        <w:t>The patient was diagnosed with uremia 2 years ago and started on regular hemodialysis treatment (hemodialysis every 48 h), and she did not produce urine.</w:t>
      </w:r>
    </w:p>
    <w:bookmarkEnd w:id="21"/>
    <w:p w14:paraId="1621B132" w14:textId="77777777" w:rsidR="00A77B3E" w:rsidRPr="00370873" w:rsidRDefault="00A77B3E" w:rsidP="00370873">
      <w:pPr>
        <w:spacing w:line="360" w:lineRule="auto"/>
        <w:jc w:val="both"/>
        <w:rPr>
          <w:rFonts w:ascii="Book Antiqua" w:hAnsi="Book Antiqua"/>
        </w:rPr>
      </w:pPr>
    </w:p>
    <w:p w14:paraId="25978B61"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Personal and family history</w:t>
      </w:r>
    </w:p>
    <w:p w14:paraId="41CAD544" w14:textId="77777777" w:rsidR="00A77B3E" w:rsidRPr="00370873" w:rsidRDefault="005C2F75" w:rsidP="00370873">
      <w:pPr>
        <w:spacing w:line="360" w:lineRule="auto"/>
        <w:jc w:val="both"/>
        <w:rPr>
          <w:rFonts w:ascii="Book Antiqua" w:hAnsi="Book Antiqua"/>
        </w:rPr>
      </w:pPr>
      <w:bookmarkStart w:id="22" w:name="OLE_LINK52"/>
      <w:r w:rsidRPr="00370873">
        <w:rPr>
          <w:rFonts w:ascii="Book Antiqua" w:eastAsia="Book Antiqua" w:hAnsi="Book Antiqua" w:cs="Book Antiqua"/>
          <w:color w:val="000000"/>
        </w:rPr>
        <w:t>She had no history of food or drug allergies and no history of tumors or genetic diseases in her family.</w:t>
      </w:r>
    </w:p>
    <w:bookmarkEnd w:id="22"/>
    <w:p w14:paraId="1D64610E" w14:textId="77777777" w:rsidR="00A77B3E" w:rsidRPr="00370873" w:rsidRDefault="00A77B3E" w:rsidP="00370873">
      <w:pPr>
        <w:spacing w:line="360" w:lineRule="auto"/>
        <w:jc w:val="both"/>
        <w:rPr>
          <w:rFonts w:ascii="Book Antiqua" w:hAnsi="Book Antiqua"/>
        </w:rPr>
      </w:pPr>
    </w:p>
    <w:p w14:paraId="2EEC1746"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Physical examination</w:t>
      </w:r>
    </w:p>
    <w:p w14:paraId="3245B352" w14:textId="47EADF22" w:rsidR="00A77B3E" w:rsidRPr="00370873" w:rsidRDefault="005C2F75" w:rsidP="00370873">
      <w:pPr>
        <w:spacing w:line="360" w:lineRule="auto"/>
        <w:jc w:val="both"/>
        <w:rPr>
          <w:rFonts w:ascii="Book Antiqua" w:hAnsi="Book Antiqua"/>
        </w:rPr>
      </w:pPr>
      <w:bookmarkStart w:id="23" w:name="OLE_LINK53"/>
      <w:r w:rsidRPr="00370873">
        <w:rPr>
          <w:rFonts w:ascii="Book Antiqua" w:eastAsia="Book Antiqua" w:hAnsi="Book Antiqua" w:cs="Book Antiqua"/>
          <w:color w:val="000000"/>
        </w:rPr>
        <w:t>At the time of admission, the patient’s temperature was 36.5</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 xml:space="preserve">°C, heart rate was 85 bpm, respiratory rate was 20 breaths/min, blood pressure was 140/90 mmHg and oxygen saturation in room air was 99%. She was in an anemic state. A mass approximately 35 </w:t>
      </w:r>
      <w:r w:rsidR="00AF136F"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xml:space="preserve">× 30 mm was palpable under the nipple of the left breast, with a hard texture, rough surface, no tenderness, poor mobility, unclear boundaries, and was not adhered to the nipple. No mass was observed on the right breast. In addition, no enlarged lymph nodes were palpable in the bilateral axillary and supraclavicular area. </w:t>
      </w:r>
    </w:p>
    <w:bookmarkEnd w:id="23"/>
    <w:p w14:paraId="36FD10EE" w14:textId="77777777" w:rsidR="00A77B3E" w:rsidRPr="00370873" w:rsidRDefault="00A77B3E" w:rsidP="00370873">
      <w:pPr>
        <w:spacing w:line="360" w:lineRule="auto"/>
        <w:jc w:val="both"/>
        <w:rPr>
          <w:rFonts w:ascii="Book Antiqua" w:hAnsi="Book Antiqua"/>
        </w:rPr>
      </w:pPr>
    </w:p>
    <w:p w14:paraId="257F4085"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Laboratory examinations</w:t>
      </w:r>
    </w:p>
    <w:p w14:paraId="1DDB01CA" w14:textId="6B972C1C" w:rsidR="00A77B3E" w:rsidRPr="00370873" w:rsidRDefault="005C2F75" w:rsidP="00370873">
      <w:pPr>
        <w:spacing w:line="360" w:lineRule="auto"/>
        <w:jc w:val="both"/>
        <w:rPr>
          <w:rFonts w:ascii="Book Antiqua" w:hAnsi="Book Antiqua"/>
        </w:rPr>
      </w:pPr>
      <w:bookmarkStart w:id="24" w:name="OLE_LINK54"/>
      <w:r w:rsidRPr="00370873">
        <w:rPr>
          <w:rFonts w:ascii="Book Antiqua" w:eastAsia="Book Antiqua" w:hAnsi="Book Antiqua" w:cs="Book Antiqua"/>
          <w:color w:val="000000"/>
        </w:rPr>
        <w:t>Laboratory examinations showed that the patient’s leukocyte, neutrophil, platelet, hemoglobin, creatinine, urea, cancer antigen 153 (CA153), and carcinoembryonic antigen (CEA) levels were 6.4</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10</w:t>
      </w:r>
      <w:r w:rsidRPr="00370873">
        <w:rPr>
          <w:rFonts w:ascii="Book Antiqua" w:eastAsia="Book Antiqua" w:hAnsi="Book Antiqua" w:cs="Book Antiqua"/>
          <w:color w:val="000000"/>
          <w:vertAlign w:val="superscript"/>
        </w:rPr>
        <w:t>9</w:t>
      </w:r>
      <w:r w:rsidRPr="00370873">
        <w:rPr>
          <w:rFonts w:ascii="Book Antiqua" w:eastAsia="Book Antiqua" w:hAnsi="Book Antiqua" w:cs="Book Antiqua"/>
          <w:color w:val="000000"/>
        </w:rPr>
        <w:t>/L, 4.61</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10</w:t>
      </w:r>
      <w:r w:rsidRPr="00370873">
        <w:rPr>
          <w:rFonts w:ascii="Book Antiqua" w:eastAsia="Book Antiqua" w:hAnsi="Book Antiqua" w:cs="Book Antiqua"/>
          <w:color w:val="000000"/>
          <w:vertAlign w:val="superscript"/>
        </w:rPr>
        <w:t>9</w:t>
      </w:r>
      <w:r w:rsidRPr="00370873">
        <w:rPr>
          <w:rFonts w:ascii="Book Antiqua" w:eastAsia="Book Antiqua" w:hAnsi="Book Antiqua" w:cs="Book Antiqua"/>
          <w:color w:val="000000"/>
        </w:rPr>
        <w:t>/L, 183</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w:t>
      </w:r>
      <w:r w:rsidR="00AF136F"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10</w:t>
      </w:r>
      <w:r w:rsidRPr="00370873">
        <w:rPr>
          <w:rFonts w:ascii="Book Antiqua" w:eastAsia="Book Antiqua" w:hAnsi="Book Antiqua" w:cs="Book Antiqua"/>
          <w:color w:val="000000"/>
          <w:vertAlign w:val="superscript"/>
        </w:rPr>
        <w:t>9</w:t>
      </w:r>
      <w:r w:rsidRPr="00370873">
        <w:rPr>
          <w:rFonts w:ascii="Book Antiqua" w:eastAsia="Book Antiqua" w:hAnsi="Book Antiqua" w:cs="Book Antiqua"/>
          <w:color w:val="000000"/>
        </w:rPr>
        <w:t xml:space="preserve">/L, 96 g/L, 581.9 </w:t>
      </w:r>
      <w:proofErr w:type="spellStart"/>
      <w:r w:rsidRPr="00370873">
        <w:rPr>
          <w:rFonts w:ascii="Book Antiqua" w:eastAsia="Book Antiqua" w:hAnsi="Book Antiqua" w:cs="Book Antiqua"/>
          <w:color w:val="000000"/>
        </w:rPr>
        <w:t>μmol</w:t>
      </w:r>
      <w:proofErr w:type="spellEnd"/>
      <w:r w:rsidRPr="00370873">
        <w:rPr>
          <w:rFonts w:ascii="Book Antiqua" w:eastAsia="Book Antiqua" w:hAnsi="Book Antiqua" w:cs="Book Antiqua"/>
          <w:color w:val="000000"/>
        </w:rPr>
        <w:t xml:space="preserve">/L, 14.27 mmol/L, 26.20 U/mL, and 6.31 </w:t>
      </w:r>
      <w:proofErr w:type="spellStart"/>
      <w:r w:rsidRPr="00370873">
        <w:rPr>
          <w:rFonts w:ascii="Book Antiqua" w:eastAsia="Book Antiqua" w:hAnsi="Book Antiqua" w:cs="Book Antiqua"/>
          <w:color w:val="000000"/>
        </w:rPr>
        <w:t>μg</w:t>
      </w:r>
      <w:proofErr w:type="spellEnd"/>
      <w:r w:rsidRPr="00370873">
        <w:rPr>
          <w:rFonts w:ascii="Book Antiqua" w:eastAsia="Book Antiqua" w:hAnsi="Book Antiqua" w:cs="Book Antiqua"/>
          <w:color w:val="000000"/>
        </w:rPr>
        <w:t>/L, respectively.</w:t>
      </w:r>
    </w:p>
    <w:bookmarkEnd w:id="24"/>
    <w:p w14:paraId="75E06331" w14:textId="77777777" w:rsidR="00A77B3E" w:rsidRPr="00370873" w:rsidRDefault="00A77B3E" w:rsidP="00370873">
      <w:pPr>
        <w:spacing w:line="360" w:lineRule="auto"/>
        <w:jc w:val="both"/>
        <w:rPr>
          <w:rFonts w:ascii="Book Antiqua" w:hAnsi="Book Antiqua"/>
        </w:rPr>
      </w:pPr>
    </w:p>
    <w:p w14:paraId="3C4A5393"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i/>
          <w:color w:val="000000"/>
        </w:rPr>
        <w:t>Imaging examinations</w:t>
      </w:r>
    </w:p>
    <w:p w14:paraId="0A750326" w14:textId="0172ED87" w:rsidR="00A77B3E" w:rsidRPr="00370873" w:rsidRDefault="005C2F75" w:rsidP="00370873">
      <w:pPr>
        <w:spacing w:line="360" w:lineRule="auto"/>
        <w:jc w:val="both"/>
        <w:rPr>
          <w:rFonts w:ascii="Book Antiqua" w:hAnsi="Book Antiqua"/>
        </w:rPr>
      </w:pPr>
      <w:bookmarkStart w:id="25" w:name="OLE_LINK55"/>
      <w:r w:rsidRPr="00370873">
        <w:rPr>
          <w:rFonts w:ascii="Book Antiqua" w:eastAsia="Book Antiqua" w:hAnsi="Book Antiqua" w:cs="Book Antiqua"/>
          <w:color w:val="000000"/>
        </w:rPr>
        <w:t xml:space="preserve">Breast ultrasound showed a 37 </w:t>
      </w:r>
      <w:r w:rsidR="00AF136F"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31</w:t>
      </w:r>
      <w:r w:rsidR="00AF136F" w:rsidRPr="00370873">
        <w:rPr>
          <w:rFonts w:ascii="Book Antiqua" w:eastAsia="Book Antiqua" w:hAnsi="Book Antiqua" w:cs="Book Antiqua"/>
          <w:color w:val="000000"/>
        </w:rPr>
        <w:t xml:space="preserve"> mm</w:t>
      </w:r>
      <w:r w:rsidRPr="00370873">
        <w:rPr>
          <w:rFonts w:ascii="Book Antiqua" w:eastAsia="Book Antiqua" w:hAnsi="Book Antiqua" w:cs="Book Antiqua"/>
          <w:color w:val="000000"/>
        </w:rPr>
        <w:t xml:space="preserve"> × 30 mm primary lesion under the nipple of the left breast and enlargement of multiple lymph nodes in the left axillary area, the </w:t>
      </w:r>
      <w:r w:rsidRPr="00370873">
        <w:rPr>
          <w:rFonts w:ascii="Book Antiqua" w:eastAsia="Book Antiqua" w:hAnsi="Book Antiqua" w:cs="Book Antiqua"/>
          <w:color w:val="000000"/>
        </w:rPr>
        <w:lastRenderedPageBreak/>
        <w:t xml:space="preserve">largest measuring 16 </w:t>
      </w:r>
      <w:r w:rsidR="00AF136F"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xml:space="preserve">× 10 </w:t>
      </w:r>
      <w:r w:rsidR="00AF136F"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10 mm</w:t>
      </w:r>
      <w:r w:rsidR="00EC1F29" w:rsidRPr="00370873">
        <w:rPr>
          <w:rFonts w:ascii="Book Antiqua" w:eastAsia="Book Antiqua" w:hAnsi="Book Antiqua" w:cs="Book Antiqua"/>
          <w:color w:val="000000"/>
        </w:rPr>
        <w:t xml:space="preserve"> (Figure 1)</w:t>
      </w:r>
      <w:r w:rsidRPr="00370873">
        <w:rPr>
          <w:rFonts w:ascii="Book Antiqua" w:eastAsia="Book Antiqua" w:hAnsi="Book Antiqua" w:cs="Book Antiqua"/>
          <w:color w:val="000000"/>
        </w:rPr>
        <w:t>. Histopathological examination of the left breast showed infiltrating ductal carcinoma (Level II according to the WHO classification)</w:t>
      </w:r>
      <w:r w:rsidR="00EC1F29" w:rsidRPr="00370873">
        <w:rPr>
          <w:rFonts w:ascii="Book Antiqua" w:eastAsia="Book Antiqua" w:hAnsi="Book Antiqua" w:cs="Book Antiqua"/>
          <w:color w:val="000000"/>
        </w:rPr>
        <w:t xml:space="preserve"> (Figure 2)</w:t>
      </w:r>
      <w:r w:rsidRPr="00370873">
        <w:rPr>
          <w:rFonts w:ascii="Book Antiqua" w:eastAsia="Book Antiqua" w:hAnsi="Book Antiqua" w:cs="Book Antiqua"/>
          <w:color w:val="000000"/>
        </w:rPr>
        <w:t xml:space="preserve">. Hormone receptors (HRs), including estrogen receptor (ER) and progesterone receptor (PR), were negative, C-erBb2 was 2+, and Ki-67 was expressed in the nuclei of approximately 40% of tumor cells. The results of fluorescence </w:t>
      </w:r>
      <w:r w:rsidRPr="00370873">
        <w:rPr>
          <w:rFonts w:ascii="Book Antiqua" w:eastAsia="Book Antiqua" w:hAnsi="Book Antiqua" w:cs="Book Antiqua"/>
          <w:i/>
          <w:iCs/>
          <w:color w:val="000000"/>
        </w:rPr>
        <w:t>in situ</w:t>
      </w:r>
      <w:r w:rsidRPr="00370873">
        <w:rPr>
          <w:rFonts w:ascii="Book Antiqua" w:eastAsia="Book Antiqua" w:hAnsi="Book Antiqua" w:cs="Book Antiqua"/>
          <w:color w:val="000000"/>
        </w:rPr>
        <w:t xml:space="preserve"> hybridization revealed that HER-2 was positive. Histopathological examination of the left axillary lymph nodes showed metastatic cancer, which was consistent with the breast source. Magnetic resonance imaging (MRI) showed a 37 </w:t>
      </w:r>
      <w:r w:rsidR="00EC1F29"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xml:space="preserve">× 34 </w:t>
      </w:r>
      <w:r w:rsidR="00EC1F29" w:rsidRPr="00370873">
        <w:rPr>
          <w:rFonts w:ascii="Book Antiqua" w:eastAsia="Book Antiqua" w:hAnsi="Book Antiqua" w:cs="Book Antiqua"/>
          <w:color w:val="000000"/>
        </w:rPr>
        <w:t xml:space="preserve">mm </w:t>
      </w:r>
      <w:r w:rsidRPr="00370873">
        <w:rPr>
          <w:rFonts w:ascii="Book Antiqua" w:eastAsia="Book Antiqua" w:hAnsi="Book Antiqua" w:cs="Book Antiqua"/>
          <w:color w:val="000000"/>
        </w:rPr>
        <w:t>× 31 mm mass below the left nipple and peripheral satellite lesions, which was assessed as Category 6 by the Breast Imaging-Reporting and Data System, with multiple swollen lymph nodes in the left axillary area</w:t>
      </w:r>
      <w:r w:rsidR="00EC1F29" w:rsidRPr="00370873">
        <w:rPr>
          <w:rFonts w:ascii="Book Antiqua" w:eastAsia="Book Antiqua" w:hAnsi="Book Antiqua" w:cs="Book Antiqua"/>
          <w:color w:val="000000"/>
        </w:rPr>
        <w:t xml:space="preserve"> (Figure 3)</w:t>
      </w:r>
      <w:r w:rsidRPr="00370873">
        <w:rPr>
          <w:rFonts w:ascii="Book Antiqua" w:eastAsia="Book Antiqua" w:hAnsi="Book Antiqua" w:cs="Book Antiqua"/>
          <w:color w:val="000000"/>
        </w:rPr>
        <w:t xml:space="preserve">. </w:t>
      </w:r>
    </w:p>
    <w:bookmarkEnd w:id="25"/>
    <w:p w14:paraId="46068CFD" w14:textId="77777777" w:rsidR="00A77B3E" w:rsidRPr="00370873" w:rsidRDefault="00A77B3E" w:rsidP="00370873">
      <w:pPr>
        <w:spacing w:line="360" w:lineRule="auto"/>
        <w:jc w:val="both"/>
        <w:rPr>
          <w:rFonts w:ascii="Book Antiqua" w:hAnsi="Book Antiqua"/>
        </w:rPr>
      </w:pPr>
    </w:p>
    <w:p w14:paraId="045BAAFE"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FINAL DIAGNOSIS</w:t>
      </w:r>
    </w:p>
    <w:p w14:paraId="4BBB8706" w14:textId="77777777" w:rsidR="00A77B3E" w:rsidRPr="00370873" w:rsidRDefault="005C2F75" w:rsidP="00370873">
      <w:pPr>
        <w:spacing w:line="360" w:lineRule="auto"/>
        <w:jc w:val="both"/>
        <w:rPr>
          <w:rFonts w:ascii="Book Antiqua" w:hAnsi="Book Antiqua"/>
        </w:rPr>
      </w:pPr>
      <w:bookmarkStart w:id="26" w:name="OLE_LINK56"/>
      <w:r w:rsidRPr="00370873">
        <w:rPr>
          <w:rFonts w:ascii="Book Antiqua" w:eastAsia="Book Antiqua" w:hAnsi="Book Antiqua" w:cs="Book Antiqua"/>
          <w:color w:val="000000"/>
        </w:rPr>
        <w:t>The patient was diagnosed with infiltrating ductal carcinoma of the left breast and uremia. Clinical stage of her left breast cancer was cT2N2aM0, stage IIIA, and the molecular classification was HER-2 positive (HR negative).</w:t>
      </w:r>
    </w:p>
    <w:bookmarkEnd w:id="26"/>
    <w:p w14:paraId="7437C638" w14:textId="77777777" w:rsidR="00A77B3E" w:rsidRPr="00370873" w:rsidRDefault="00A77B3E" w:rsidP="00370873">
      <w:pPr>
        <w:spacing w:line="360" w:lineRule="auto"/>
        <w:jc w:val="both"/>
        <w:rPr>
          <w:rFonts w:ascii="Book Antiqua" w:hAnsi="Book Antiqua"/>
        </w:rPr>
      </w:pPr>
    </w:p>
    <w:p w14:paraId="1ABC58C5"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TREATMENT</w:t>
      </w:r>
    </w:p>
    <w:p w14:paraId="46A62BF2" w14:textId="77777777" w:rsidR="00A77B3E" w:rsidRPr="00370873" w:rsidRDefault="005C2F75" w:rsidP="00370873">
      <w:pPr>
        <w:spacing w:line="360" w:lineRule="auto"/>
        <w:jc w:val="both"/>
        <w:rPr>
          <w:rFonts w:ascii="Book Antiqua" w:hAnsi="Book Antiqua"/>
        </w:rPr>
      </w:pPr>
      <w:bookmarkStart w:id="27" w:name="OLE_LINK57"/>
      <w:r w:rsidRPr="00370873">
        <w:rPr>
          <w:rFonts w:ascii="Book Antiqua" w:eastAsia="Book Antiqua" w:hAnsi="Book Antiqua" w:cs="Book Antiqua"/>
          <w:color w:val="000000"/>
        </w:rPr>
        <w:t xml:space="preserve">According to the patient’s age, the pathological type of breast cancer, molecular classification, clinical stage, prognostic factors, and renal function, the THP neoadjuvant treatment regimen was formulated and started on September 27, 2020. Docetaxel 80 mg/m², trastuzumab 8 mg/kg for the first dose, and 6 mg/kg for the maintenance dose with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840 mg for the first dose and 420 mg for the maintenance dose were administered. The patient received a total of six cycles of the THP regimen, and hemodialysis was performed more than 12 h after the medication. The patient tolerated the drug treatment well, and no serious drug toxicity was noted.</w:t>
      </w:r>
    </w:p>
    <w:bookmarkEnd w:id="27"/>
    <w:p w14:paraId="6FF0CD76" w14:textId="77777777" w:rsidR="00A77B3E" w:rsidRPr="00370873" w:rsidRDefault="00A77B3E" w:rsidP="00370873">
      <w:pPr>
        <w:spacing w:line="360" w:lineRule="auto"/>
        <w:jc w:val="both"/>
        <w:rPr>
          <w:rFonts w:ascii="Book Antiqua" w:hAnsi="Book Antiqua"/>
        </w:rPr>
      </w:pPr>
    </w:p>
    <w:p w14:paraId="04070CF3"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OUTCOME AND FOLLOW-UP</w:t>
      </w:r>
    </w:p>
    <w:p w14:paraId="1D887B1B" w14:textId="462639EF" w:rsidR="00A77B3E" w:rsidRPr="00370873" w:rsidRDefault="005C2F75" w:rsidP="00370873">
      <w:pPr>
        <w:spacing w:line="360" w:lineRule="auto"/>
        <w:jc w:val="both"/>
        <w:rPr>
          <w:rFonts w:ascii="Book Antiqua" w:hAnsi="Book Antiqua"/>
        </w:rPr>
      </w:pPr>
      <w:bookmarkStart w:id="28" w:name="OLE_LINK58"/>
      <w:r w:rsidRPr="00370873">
        <w:rPr>
          <w:rFonts w:ascii="Book Antiqua" w:eastAsia="Book Antiqua" w:hAnsi="Book Antiqua" w:cs="Book Antiqua"/>
          <w:color w:val="000000"/>
        </w:rPr>
        <w:lastRenderedPageBreak/>
        <w:t>No significant neutropenia or leukopenia, and no significant cytotoxicity were observed by clinical evaluation or cardiac function examination. During subsequent treatment and follow-up, the patient’s serum creatinine and urea levels did not change significantly compared with those pre-chemotherapy, suggesting that dose adjustment of the THP regimen had no significant effect on renal function.</w:t>
      </w:r>
    </w:p>
    <w:p w14:paraId="17E77076" w14:textId="77777777"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Routine blood analysis (Table 1), liver and kidney function, CEA, and CA153 levels (Table 2) were determined before each chemotherapy cycle, and breast ultrasonography and breast MRI were performed approximately every 3 mo. Prior to surgery, the left breast tumor and left axillary lymph nodes had significantly reduced in size (Figure 1). No obvious abnormalities were observed in the right breast, and no abnormal enlarged lymph nodes were observed in the right axillary and bilateral supraclavicular areas.</w:t>
      </w:r>
    </w:p>
    <w:p w14:paraId="24D21471" w14:textId="77777777"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In September 2020, the patient had above-normal levels of CEA and normal levels of CA153, but they remained normal during both neoadjuvant chemotherapy and targeted therapy. Due to the patient’s CRF, her hemoglobin level was significantly lower than normal. Other routine tests showed no obvious abnormalities. During the follow-up period, the patient was in good condition, and no evidence of disease progression or recurrence has been found.</w:t>
      </w:r>
    </w:p>
    <w:bookmarkEnd w:id="28"/>
    <w:p w14:paraId="2A670805" w14:textId="77777777" w:rsidR="00A77B3E" w:rsidRPr="00370873" w:rsidRDefault="00A77B3E" w:rsidP="00370873">
      <w:pPr>
        <w:spacing w:line="360" w:lineRule="auto"/>
        <w:ind w:firstLine="240"/>
        <w:jc w:val="both"/>
        <w:rPr>
          <w:rFonts w:ascii="Book Antiqua" w:hAnsi="Book Antiqua"/>
        </w:rPr>
      </w:pPr>
    </w:p>
    <w:p w14:paraId="4DAB80E8"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DISCUSSION</w:t>
      </w:r>
    </w:p>
    <w:p w14:paraId="477D1CFF" w14:textId="7EEFF568" w:rsidR="00A77B3E" w:rsidRPr="00370873" w:rsidRDefault="005C2F75" w:rsidP="00370873">
      <w:pPr>
        <w:spacing w:line="360" w:lineRule="auto"/>
        <w:jc w:val="both"/>
        <w:rPr>
          <w:rFonts w:ascii="Book Antiqua" w:hAnsi="Book Antiqua"/>
        </w:rPr>
      </w:pPr>
      <w:bookmarkStart w:id="29" w:name="OLE_LINK59"/>
      <w:r w:rsidRPr="00370873">
        <w:rPr>
          <w:rFonts w:ascii="Book Antiqua" w:eastAsia="Book Antiqua" w:hAnsi="Book Antiqua" w:cs="Book Antiqua"/>
          <w:color w:val="000000"/>
        </w:rPr>
        <w:t xml:space="preserve">The National Comprehensive Cancer Network and the Chinese Anti-Cancer Association Clinical Oncology Cooperative Professional Committee guidelines indicate that for cT2N2aM0 stage IIIA and HER-2+/ER-/PR- invasive breast cancer patients, the preoperative neoadjuvant treatment regimen of </w:t>
      </w:r>
      <w:proofErr w:type="spellStart"/>
      <w:r w:rsidRPr="00370873">
        <w:rPr>
          <w:rFonts w:ascii="Book Antiqua" w:eastAsia="Book Antiqua" w:hAnsi="Book Antiqua" w:cs="Book Antiqua"/>
          <w:color w:val="000000"/>
        </w:rPr>
        <w:t>taxanes</w:t>
      </w:r>
      <w:proofErr w:type="spellEnd"/>
      <w:r w:rsidRPr="00370873">
        <w:rPr>
          <w:rFonts w:ascii="Book Antiqua" w:eastAsia="Book Antiqua" w:hAnsi="Book Antiqua" w:cs="Book Antiqua"/>
          <w:color w:val="000000"/>
        </w:rPr>
        <w:t xml:space="preserve"> + trastuzumab +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is </w:t>
      </w:r>
      <w:proofErr w:type="gramStart"/>
      <w:r w:rsidRPr="00370873">
        <w:rPr>
          <w:rFonts w:ascii="Book Antiqua" w:eastAsia="Book Antiqua" w:hAnsi="Book Antiqua" w:cs="Book Antiqua"/>
          <w:color w:val="000000"/>
        </w:rPr>
        <w:t>recommended</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11]</w:t>
      </w:r>
      <w:r w:rsidRPr="00370873">
        <w:rPr>
          <w:rFonts w:ascii="Book Antiqua" w:eastAsia="Book Antiqua" w:hAnsi="Book Antiqua" w:cs="Book Antiqua"/>
          <w:color w:val="000000"/>
        </w:rPr>
        <w:t>.</w:t>
      </w:r>
      <w:r w:rsidRPr="00370873">
        <w:rPr>
          <w:rFonts w:ascii="Book Antiqua" w:eastAsia="Book Antiqua" w:hAnsi="Book Antiqua" w:cs="Book Antiqua"/>
          <w:color w:val="000000"/>
          <w:vertAlign w:val="superscript"/>
        </w:rPr>
        <w:t xml:space="preserve"> </w:t>
      </w:r>
      <w:r w:rsidRPr="00370873">
        <w:rPr>
          <w:rFonts w:ascii="Book Antiqua" w:eastAsia="Book Antiqua" w:hAnsi="Book Antiqua" w:cs="Book Antiqua"/>
          <w:color w:val="000000"/>
        </w:rPr>
        <w:t xml:space="preserve">After six cycles of neoadjuvant therapy, the clinical stage of left breast cancer in this patient was cT1N1aM0, stage </w:t>
      </w:r>
      <w:proofErr w:type="spellStart"/>
      <w:r w:rsidRPr="00370873">
        <w:rPr>
          <w:rFonts w:ascii="Book Antiqua" w:eastAsia="Book Antiqua" w:hAnsi="Book Antiqua" w:cs="Book Antiqua"/>
          <w:color w:val="000000"/>
        </w:rPr>
        <w:t>IIa</w:t>
      </w:r>
      <w:proofErr w:type="spellEnd"/>
      <w:r w:rsidRPr="00370873">
        <w:rPr>
          <w:rFonts w:ascii="Book Antiqua" w:eastAsia="Book Antiqua" w:hAnsi="Book Antiqua" w:cs="Book Antiqua"/>
          <w:color w:val="000000"/>
        </w:rPr>
        <w:t>, and she underwent modified radical mastectomy for left breast cancer and left axillary lymph node dissection with clear surgical margins.</w:t>
      </w:r>
    </w:p>
    <w:p w14:paraId="25CE3EE0" w14:textId="77777777"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lastRenderedPageBreak/>
        <w:t>Based on the patient’s renal function, the pharmacokinetics, pharmacodynamics, and safety of various drugs, we chose the neoadjuvant treatment regimen of THP for this patient.</w:t>
      </w:r>
    </w:p>
    <w:p w14:paraId="744EE1DA" w14:textId="6DE44DB9"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 xml:space="preserve">Docetaxel and paclitaxel are commonly used </w:t>
      </w:r>
      <w:proofErr w:type="spellStart"/>
      <w:r w:rsidRPr="00370873">
        <w:rPr>
          <w:rFonts w:ascii="Book Antiqua" w:eastAsia="Book Antiqua" w:hAnsi="Book Antiqua" w:cs="Book Antiqua"/>
          <w:color w:val="000000"/>
        </w:rPr>
        <w:t>taxane</w:t>
      </w:r>
      <w:proofErr w:type="spellEnd"/>
      <w:r w:rsidRPr="00370873">
        <w:rPr>
          <w:rFonts w:ascii="Book Antiqua" w:eastAsia="Book Antiqua" w:hAnsi="Book Antiqua" w:cs="Book Antiqua"/>
          <w:color w:val="000000"/>
        </w:rPr>
        <w:t xml:space="preserve"> chemotherapeutics. Both are rarely excreted by the kidneys, but the renal excretion rate of paclitaxel is higher than that of docetaxel. It has been reported that paclitaxel causes mild nephrotoxicity, while docetaxel does not cause </w:t>
      </w:r>
      <w:proofErr w:type="gramStart"/>
      <w:r w:rsidRPr="00370873">
        <w:rPr>
          <w:rFonts w:ascii="Book Antiqua" w:eastAsia="Book Antiqua" w:hAnsi="Book Antiqua" w:cs="Book Antiqua"/>
          <w:color w:val="000000"/>
        </w:rPr>
        <w:t>nephrotoxicity</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12]</w:t>
      </w:r>
      <w:r w:rsidRPr="00370873">
        <w:rPr>
          <w:rFonts w:ascii="Book Antiqua" w:eastAsia="Book Antiqua" w:hAnsi="Book Antiqua" w:cs="Book Antiqua"/>
          <w:color w:val="000000"/>
        </w:rPr>
        <w:t>; and the incidence and severity of allergic reactions to docetaxel are lower than those of paclitaxel</w:t>
      </w:r>
      <w:r w:rsidRPr="00370873">
        <w:rPr>
          <w:rFonts w:ascii="Book Antiqua" w:eastAsia="Book Antiqua" w:hAnsi="Book Antiqua" w:cs="Book Antiqua"/>
          <w:color w:val="000000"/>
          <w:vertAlign w:val="superscript"/>
        </w:rPr>
        <w:t>[13]</w:t>
      </w:r>
      <w:r w:rsidRPr="00370873">
        <w:rPr>
          <w:rFonts w:ascii="Book Antiqua" w:eastAsia="Book Antiqua" w:hAnsi="Book Antiqua" w:cs="Book Antiqua"/>
          <w:color w:val="000000"/>
        </w:rPr>
        <w:t xml:space="preserve">. Docetaxel is a new anti-microtubule agent, which can promote the polymerization of tubulin and stabilize the microtubules by preventing their </w:t>
      </w:r>
      <w:proofErr w:type="gramStart"/>
      <w:r w:rsidRPr="00370873">
        <w:rPr>
          <w:rFonts w:ascii="Book Antiqua" w:eastAsia="Book Antiqua" w:hAnsi="Book Antiqua" w:cs="Book Antiqua"/>
          <w:color w:val="000000"/>
        </w:rPr>
        <w:t>disintegration</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14]</w:t>
      </w:r>
      <w:r w:rsidRPr="00370873">
        <w:rPr>
          <w:rFonts w:ascii="Book Antiqua" w:eastAsia="Book Antiqua" w:hAnsi="Book Antiqua" w:cs="Book Antiqua"/>
          <w:color w:val="000000"/>
        </w:rPr>
        <w:t xml:space="preserve">. Docetaxel enters the liver through the blood and binds to proteins under the action of the cytochrome P450 subtype enzyme type 3A4 enzyme (CYP3A4) in the liver. More than 70% of the drugs are transformed into inactive metabolites, which are then excreted in feces through transport by P-glycoprotein in the intestine and bile. Another 10% of the drugs are excreted in the urine, and only a few drugs are excreted as </w:t>
      </w:r>
      <w:proofErr w:type="gramStart"/>
      <w:r w:rsidRPr="00370873">
        <w:rPr>
          <w:rFonts w:ascii="Book Antiqua" w:eastAsia="Book Antiqua" w:hAnsi="Book Antiqua" w:cs="Book Antiqua"/>
          <w:color w:val="000000"/>
        </w:rPr>
        <w:t>prototypes</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15]</w:t>
      </w:r>
      <w:r w:rsidRPr="00370873">
        <w:rPr>
          <w:rFonts w:ascii="Book Antiqua" w:eastAsia="Book Antiqua" w:hAnsi="Book Antiqua" w:cs="Book Antiqua"/>
          <w:color w:val="000000"/>
        </w:rPr>
        <w:t xml:space="preserve">. Studies have shown that the pharmacokinetic parameters of docetaxel in hemodialysis patients are not affected, and its exposure is slightly increased, but no toxic effects have been observed in </w:t>
      </w:r>
      <w:proofErr w:type="gramStart"/>
      <w:r w:rsidRPr="00370873">
        <w:rPr>
          <w:rFonts w:ascii="Book Antiqua" w:eastAsia="Book Antiqua" w:hAnsi="Book Antiqua" w:cs="Book Antiqua"/>
          <w:color w:val="000000"/>
        </w:rPr>
        <w:t>patients</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16]</w:t>
      </w:r>
      <w:r w:rsidRPr="00370873">
        <w:rPr>
          <w:rFonts w:ascii="Book Antiqua" w:eastAsia="Book Antiqua" w:hAnsi="Book Antiqua" w:cs="Book Antiqua"/>
          <w:color w:val="000000"/>
        </w:rPr>
        <w:t xml:space="preserve">. Docetaxel was selected as a chemotherapeutic drug for this patient by comprehensive evaluation. Liu </w:t>
      </w:r>
      <w:r w:rsidRPr="00370873">
        <w:rPr>
          <w:rFonts w:ascii="Book Antiqua" w:eastAsia="Book Antiqua" w:hAnsi="Book Antiqua" w:cs="Book Antiqua"/>
          <w:i/>
          <w:iCs/>
          <w:color w:val="000000"/>
        </w:rPr>
        <w:t xml:space="preserve">et </w:t>
      </w:r>
      <w:proofErr w:type="gramStart"/>
      <w:r w:rsidRPr="00370873">
        <w:rPr>
          <w:rFonts w:ascii="Book Antiqua" w:eastAsia="Book Antiqua" w:hAnsi="Book Antiqua" w:cs="Book Antiqua"/>
          <w:i/>
          <w:iCs/>
          <w:color w:val="000000"/>
        </w:rPr>
        <w:t>al</w:t>
      </w:r>
      <w:r w:rsidR="00EC1F29" w:rsidRPr="00370873">
        <w:rPr>
          <w:rFonts w:ascii="Book Antiqua" w:eastAsia="Book Antiqua" w:hAnsi="Book Antiqua" w:cs="Book Antiqua"/>
          <w:color w:val="000000"/>
          <w:vertAlign w:val="superscript"/>
        </w:rPr>
        <w:t>[</w:t>
      </w:r>
      <w:proofErr w:type="gramEnd"/>
      <w:r w:rsidR="00EC1F29" w:rsidRPr="00370873">
        <w:rPr>
          <w:rFonts w:ascii="Book Antiqua" w:eastAsia="Book Antiqua" w:hAnsi="Book Antiqua" w:cs="Book Antiqua"/>
          <w:color w:val="000000"/>
          <w:vertAlign w:val="superscript"/>
        </w:rPr>
        <w:t>17]</w:t>
      </w:r>
      <w:r w:rsidRPr="00370873">
        <w:rPr>
          <w:rFonts w:ascii="Book Antiqua" w:eastAsia="Book Antiqua" w:hAnsi="Book Antiqua" w:cs="Book Antiqua"/>
          <w:color w:val="000000"/>
        </w:rPr>
        <w:t xml:space="preserve"> administered docetaxel in a patient with the same disease, and no obvious side effects were observed.</w:t>
      </w:r>
    </w:p>
    <w:p w14:paraId="113B572B" w14:textId="548D5511"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Trastuzumab is a recombinant humanized monoclonal antibody directed against HER-2</w:t>
      </w:r>
      <w:r w:rsidRPr="00370873">
        <w:rPr>
          <w:rFonts w:ascii="Book Antiqua" w:eastAsia="Book Antiqua" w:hAnsi="Book Antiqua" w:cs="Book Antiqua"/>
          <w:color w:val="000000"/>
          <w:vertAlign w:val="superscript"/>
        </w:rPr>
        <w:t>[18]</w:t>
      </w:r>
      <w:r w:rsidRPr="00370873">
        <w:rPr>
          <w:rFonts w:ascii="Book Antiqua" w:eastAsia="Book Antiqua" w:hAnsi="Book Antiqua" w:cs="Book Antiqua"/>
          <w:color w:val="000000"/>
        </w:rPr>
        <w:t xml:space="preserve">. After trastuzumab binds to HER-2 on the surface of tumor cells, it can induce antibody-dependent cell-mediated cytotoxicity and has a killing effect on tumor cells overexpressing HER-2. It has been approved for the treatment of </w:t>
      </w:r>
      <w:proofErr w:type="gramStart"/>
      <w:r w:rsidRPr="00370873">
        <w:rPr>
          <w:rFonts w:ascii="Book Antiqua" w:eastAsia="Book Antiqua" w:hAnsi="Book Antiqua" w:cs="Book Antiqua"/>
          <w:color w:val="000000"/>
        </w:rPr>
        <w:t>early</w:t>
      </w:r>
      <w:r w:rsidRPr="00370873">
        <w:rPr>
          <w:rFonts w:ascii="Book Antiqua" w:eastAsia="Book Antiqua" w:hAnsi="Book Antiqua" w:cs="Book Antiqua"/>
          <w:color w:val="000000"/>
          <w:vertAlign w:val="superscript"/>
        </w:rPr>
        <w:t>[</w:t>
      </w:r>
      <w:proofErr w:type="gramEnd"/>
      <w:r w:rsidRPr="00370873">
        <w:rPr>
          <w:rFonts w:ascii="Book Antiqua" w:eastAsia="Book Antiqua" w:hAnsi="Book Antiqua" w:cs="Book Antiqua"/>
          <w:color w:val="000000"/>
          <w:vertAlign w:val="superscript"/>
        </w:rPr>
        <w:t>19,20]</w:t>
      </w:r>
      <w:r w:rsidR="00EC1F29" w:rsidRPr="00370873">
        <w:rPr>
          <w:rFonts w:ascii="Book Antiqua" w:eastAsia="Book Antiqua" w:hAnsi="Book Antiqua" w:cs="Book Antiqua"/>
          <w:color w:val="000000"/>
        </w:rPr>
        <w:t xml:space="preserve"> </w:t>
      </w:r>
      <w:r w:rsidRPr="00370873">
        <w:rPr>
          <w:rFonts w:ascii="Book Antiqua" w:eastAsia="Book Antiqua" w:hAnsi="Book Antiqua" w:cs="Book Antiqua"/>
          <w:color w:val="000000"/>
        </w:rPr>
        <w:t>and metastatic</w:t>
      </w:r>
      <w:r w:rsidRPr="00370873">
        <w:rPr>
          <w:rFonts w:ascii="Book Antiqua" w:eastAsia="Book Antiqua" w:hAnsi="Book Antiqua" w:cs="Book Antiqua"/>
          <w:color w:val="000000"/>
          <w:vertAlign w:val="superscript"/>
        </w:rPr>
        <w:t xml:space="preserve">[20,21] </w:t>
      </w:r>
      <w:r w:rsidRPr="00370873">
        <w:rPr>
          <w:rFonts w:ascii="Book Antiqua" w:eastAsia="Book Antiqua" w:hAnsi="Book Antiqua" w:cs="Book Antiqua"/>
          <w:color w:val="000000"/>
        </w:rPr>
        <w:t xml:space="preserve">breast cancer. In the third phase of the study, the addition of trastuzumab to standard chemotherapy was associated with disease progression time (7.4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w:t>
      </w:r>
      <w:r w:rsidRPr="00370873">
        <w:rPr>
          <w:rFonts w:ascii="Book Antiqua" w:eastAsia="Book Antiqua" w:hAnsi="Book Antiqua" w:cs="Book Antiqua"/>
          <w:i/>
          <w:iCs/>
          <w:color w:val="000000"/>
        </w:rPr>
        <w:t>vs</w:t>
      </w:r>
      <w:r w:rsidRPr="00370873">
        <w:rPr>
          <w:rFonts w:ascii="Book Antiqua" w:eastAsia="Book Antiqua" w:hAnsi="Book Antiqua" w:cs="Book Antiqua"/>
          <w:color w:val="000000"/>
        </w:rPr>
        <w:t xml:space="preserve"> 4.6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effective time (9.1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w:t>
      </w:r>
      <w:r w:rsidRPr="00370873">
        <w:rPr>
          <w:rFonts w:ascii="Book Antiqua" w:eastAsia="Book Antiqua" w:hAnsi="Book Antiqua" w:cs="Book Antiqua"/>
          <w:i/>
          <w:iCs/>
          <w:color w:val="000000"/>
        </w:rPr>
        <w:t>vs</w:t>
      </w:r>
      <w:r w:rsidRPr="00370873">
        <w:rPr>
          <w:rFonts w:ascii="Book Antiqua" w:eastAsia="Book Antiqua" w:hAnsi="Book Antiqua" w:cs="Book Antiqua"/>
          <w:color w:val="000000"/>
        </w:rPr>
        <w:t xml:space="preserve"> 6.1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and overall survival (25.1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w:t>
      </w:r>
      <w:r w:rsidRPr="00370873">
        <w:rPr>
          <w:rFonts w:ascii="Book Antiqua" w:eastAsia="Book Antiqua" w:hAnsi="Book Antiqua" w:cs="Book Antiqua"/>
          <w:i/>
          <w:iCs/>
          <w:color w:val="000000"/>
        </w:rPr>
        <w:t>vs</w:t>
      </w:r>
      <w:r w:rsidRPr="00370873">
        <w:rPr>
          <w:rFonts w:ascii="Book Antiqua" w:eastAsia="Book Antiqua" w:hAnsi="Book Antiqua" w:cs="Book Antiqua"/>
          <w:color w:val="000000"/>
        </w:rPr>
        <w:t xml:space="preserve"> 20.3 </w:t>
      </w:r>
      <w:proofErr w:type="spellStart"/>
      <w:r w:rsidRPr="00370873">
        <w:rPr>
          <w:rFonts w:ascii="Book Antiqua" w:eastAsia="Book Antiqua" w:hAnsi="Book Antiqua" w:cs="Book Antiqua"/>
          <w:color w:val="000000"/>
        </w:rPr>
        <w:t>mo</w:t>
      </w:r>
      <w:proofErr w:type="spellEnd"/>
      <w:r w:rsidRPr="00370873">
        <w:rPr>
          <w:rFonts w:ascii="Book Antiqua" w:eastAsia="Book Antiqua" w:hAnsi="Book Antiqua" w:cs="Book Antiqua"/>
          <w:color w:val="000000"/>
        </w:rPr>
        <w:t xml:space="preserve">). The renal excretion of trastuzumab is very </w:t>
      </w:r>
      <w:proofErr w:type="gramStart"/>
      <w:r w:rsidRPr="00370873">
        <w:rPr>
          <w:rFonts w:ascii="Book Antiqua" w:eastAsia="Book Antiqua" w:hAnsi="Book Antiqua" w:cs="Book Antiqua"/>
          <w:color w:val="000000"/>
        </w:rPr>
        <w:t>low</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22,</w:t>
      </w:r>
      <w:r w:rsidRPr="00370873">
        <w:rPr>
          <w:rFonts w:ascii="Book Antiqua" w:eastAsia="Book Antiqua" w:hAnsi="Book Antiqua" w:cs="Book Antiqua"/>
          <w:color w:val="000000"/>
          <w:vertAlign w:val="superscript"/>
        </w:rPr>
        <w:t>23]</w:t>
      </w:r>
      <w:r w:rsidRPr="00370873">
        <w:rPr>
          <w:rFonts w:ascii="Book Antiqua" w:eastAsia="Book Antiqua" w:hAnsi="Book Antiqua" w:cs="Book Antiqua"/>
          <w:color w:val="000000"/>
        </w:rPr>
        <w:t>, and its main toxicity is cardiotoxicity</w:t>
      </w:r>
      <w:r w:rsidRPr="00370873">
        <w:rPr>
          <w:rFonts w:ascii="Book Antiqua" w:eastAsia="Book Antiqua" w:hAnsi="Book Antiqua" w:cs="Book Antiqua"/>
          <w:color w:val="000000"/>
          <w:vertAlign w:val="superscript"/>
        </w:rPr>
        <w:t>[24]</w:t>
      </w:r>
      <w:r w:rsidRPr="00370873">
        <w:rPr>
          <w:rFonts w:ascii="Book Antiqua" w:eastAsia="Book Antiqua" w:hAnsi="Book Antiqua" w:cs="Book Antiqua"/>
          <w:color w:val="000000"/>
        </w:rPr>
        <w:t xml:space="preserve">, while renal toxicity is low. In a pivotal trial conducted by </w:t>
      </w:r>
      <w:proofErr w:type="spellStart"/>
      <w:r w:rsidR="00204A02" w:rsidRPr="00370873">
        <w:rPr>
          <w:rFonts w:ascii="Book Antiqua" w:eastAsia="Book Antiqua" w:hAnsi="Book Antiqua" w:cs="Book Antiqua"/>
          <w:color w:val="000000"/>
        </w:rPr>
        <w:t>Slamon</w:t>
      </w:r>
      <w:proofErr w:type="spellEnd"/>
      <w:r w:rsidRPr="00370873">
        <w:rPr>
          <w:rFonts w:ascii="Book Antiqua" w:eastAsia="Book Antiqua" w:hAnsi="Book Antiqua" w:cs="Book Antiqua"/>
          <w:color w:val="000000"/>
        </w:rPr>
        <w:t xml:space="preserve"> </w:t>
      </w:r>
      <w:r w:rsidRPr="00370873">
        <w:rPr>
          <w:rFonts w:ascii="Book Antiqua" w:eastAsia="Book Antiqua" w:hAnsi="Book Antiqua" w:cs="Book Antiqua"/>
          <w:i/>
          <w:iCs/>
          <w:color w:val="000000"/>
        </w:rPr>
        <w:t xml:space="preserve">et </w:t>
      </w:r>
      <w:proofErr w:type="gramStart"/>
      <w:r w:rsidRPr="00370873">
        <w:rPr>
          <w:rFonts w:ascii="Book Antiqua" w:eastAsia="Book Antiqua" w:hAnsi="Book Antiqua" w:cs="Book Antiqua"/>
          <w:i/>
          <w:iCs/>
          <w:color w:val="000000"/>
        </w:rPr>
        <w:lastRenderedPageBreak/>
        <w:t>al</w:t>
      </w:r>
      <w:r w:rsidR="00204A02"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19</w:t>
      </w:r>
      <w:r w:rsidR="00204A02"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xml:space="preserve">, 0.3% of patients receiving trastuzumab combined with chemotherapy developed severe (grades 3 and 4) renal damage. Micallef </w:t>
      </w:r>
      <w:r w:rsidRPr="00370873">
        <w:rPr>
          <w:rFonts w:ascii="Book Antiqua" w:eastAsia="Book Antiqua" w:hAnsi="Book Antiqua" w:cs="Book Antiqua"/>
          <w:i/>
          <w:iCs/>
          <w:color w:val="000000"/>
        </w:rPr>
        <w:t xml:space="preserve">et </w:t>
      </w:r>
      <w:proofErr w:type="gramStart"/>
      <w:r w:rsidRPr="00370873">
        <w:rPr>
          <w:rFonts w:ascii="Book Antiqua" w:eastAsia="Book Antiqua" w:hAnsi="Book Antiqua" w:cs="Book Antiqua"/>
          <w:i/>
          <w:iCs/>
          <w:color w:val="000000"/>
        </w:rPr>
        <w:t>al</w:t>
      </w:r>
      <w:r w:rsidR="00204A02"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25</w:t>
      </w:r>
      <w:r w:rsidR="00204A02"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xml:space="preserve"> treated breast cancer in two hemodialysis patients using trastuzumab and achieved good clinical results. </w:t>
      </w:r>
    </w:p>
    <w:p w14:paraId="2C8BC08C" w14:textId="72E2895F" w:rsidR="00A77B3E" w:rsidRPr="00370873" w:rsidRDefault="005C2F75" w:rsidP="00370873">
      <w:pPr>
        <w:spacing w:line="360" w:lineRule="auto"/>
        <w:ind w:firstLineChars="100" w:firstLine="240"/>
        <w:jc w:val="both"/>
        <w:rPr>
          <w:rFonts w:ascii="Book Antiqua" w:hAnsi="Book Antiqua"/>
        </w:rPr>
      </w:pP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is a recombinant humanized monoclonal antibody directed against the extracellular dimerization domain (subregion II) of HER-2, thereby blocking the ligand-dependent heterodimerization reaction between HER-2 and other HER-2 family members, including epidermal growth factor receptor, HER-3, and HER-4</w:t>
      </w:r>
      <w:r w:rsidRPr="00370873">
        <w:rPr>
          <w:rFonts w:ascii="Book Antiqua" w:eastAsia="Book Antiqua" w:hAnsi="Book Antiqua" w:cs="Book Antiqua"/>
          <w:color w:val="000000"/>
          <w:vertAlign w:val="superscript"/>
        </w:rPr>
        <w:t>[</w:t>
      </w:r>
      <w:r w:rsidR="00DD4E9C" w:rsidRPr="00370873">
        <w:rPr>
          <w:rFonts w:ascii="Book Antiqua" w:eastAsia="Book Antiqua" w:hAnsi="Book Antiqua" w:cs="Book Antiqua"/>
          <w:color w:val="000000"/>
          <w:vertAlign w:val="superscript"/>
        </w:rPr>
        <w:t>26</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w:t>
      </w:r>
      <w:r w:rsidRPr="00370873">
        <w:rPr>
          <w:rFonts w:ascii="Book Antiqua" w:eastAsia="Book Antiqua" w:hAnsi="Book Antiqua" w:cs="Book Antiqua"/>
          <w:color w:val="000000"/>
          <w:vertAlign w:val="superscript"/>
        </w:rPr>
        <w:t xml:space="preserve">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has been approved for the neoadjuvant treatment of patients with HER-2-positive, locally advanced, inflammatory or high-risk early breast </w:t>
      </w:r>
      <w:proofErr w:type="gramStart"/>
      <w:r w:rsidRPr="00370873">
        <w:rPr>
          <w:rFonts w:ascii="Book Antiqua" w:eastAsia="Book Antiqua" w:hAnsi="Book Antiqua" w:cs="Book Antiqua"/>
          <w:color w:val="000000"/>
        </w:rPr>
        <w:t>cancer</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27</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or for the first-line treatment in patients with advanced breast cancer overexpressing HER-2 in the European Union</w:t>
      </w:r>
      <w:r w:rsidRPr="00370873">
        <w:rPr>
          <w:rFonts w:ascii="Book Antiqua" w:eastAsia="Book Antiqua" w:hAnsi="Book Antiqua" w:cs="Book Antiqua"/>
          <w:color w:val="000000"/>
          <w:vertAlign w:val="superscript"/>
        </w:rPr>
        <w:t>[</w:t>
      </w:r>
      <w:r w:rsidR="00DD4E9C" w:rsidRPr="00370873">
        <w:rPr>
          <w:rFonts w:ascii="Book Antiqua" w:eastAsia="Book Antiqua" w:hAnsi="Book Antiqua" w:cs="Book Antiqua"/>
          <w:color w:val="000000"/>
          <w:vertAlign w:val="superscript"/>
        </w:rPr>
        <w:t>28</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w:t>
      </w:r>
      <w:r w:rsidRPr="00370873">
        <w:rPr>
          <w:rFonts w:ascii="Book Antiqua" w:eastAsia="Book Antiqua" w:hAnsi="Book Antiqua" w:cs="Book Antiqua"/>
          <w:color w:val="000000"/>
          <w:vertAlign w:val="superscript"/>
        </w:rPr>
        <w:t xml:space="preserve"> </w:t>
      </w:r>
      <w:r w:rsidRPr="00370873">
        <w:rPr>
          <w:rFonts w:ascii="Book Antiqua" w:eastAsia="Book Antiqua" w:hAnsi="Book Antiqua" w:cs="Book Antiqua"/>
          <w:color w:val="000000"/>
        </w:rPr>
        <w:t xml:space="preserve">The NEOSPHERE study confirmed that adding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to TH can further increase the pathological complete response rate of HER-2 positive </w:t>
      </w:r>
      <w:proofErr w:type="gramStart"/>
      <w:r w:rsidRPr="00370873">
        <w:rPr>
          <w:rFonts w:ascii="Book Antiqua" w:eastAsia="Book Antiqua" w:hAnsi="Book Antiqua" w:cs="Book Antiqua"/>
          <w:color w:val="000000"/>
        </w:rPr>
        <w:t>patients</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29</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xml:space="preserve">. The PEONY study verified the effectiveness and safety of the THP regimen in an Asian </w:t>
      </w:r>
      <w:proofErr w:type="gramStart"/>
      <w:r w:rsidRPr="00370873">
        <w:rPr>
          <w:rFonts w:ascii="Book Antiqua" w:eastAsia="Book Antiqua" w:hAnsi="Book Antiqua" w:cs="Book Antiqua"/>
          <w:color w:val="000000"/>
        </w:rPr>
        <w:t>population</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30</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xml:space="preserve">. Studies on the potential effects of trastuzumab or docetaxel on the pharmacokinetics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have been carried out. An analysis showed that there was no evidence that trastuzumab or the combination of docetaxel and trastuzumab had an effect on the metabolism of </w:t>
      </w:r>
      <w:proofErr w:type="spellStart"/>
      <w:proofErr w:type="gram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31</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w:t>
      </w:r>
    </w:p>
    <w:p w14:paraId="08668FFB" w14:textId="28C6BD81"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 xml:space="preserve">To the best of our knowledge, a pharmacokinetic study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has not been conducted in patients with renal impairment, and there are few reports on the application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in breast cancer patients with CRF. However, nephrotoxicity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is uncommon, and the clinical trials CLEOPATRA, NEOSPHERE, TRYPHAENA, and APHINITY have not found any obvious renal adverse reactions. In addition, the monoclonal antibody is mainly cleared through a large-volume, non-specific Fc receptor-mediated immunoglobulin G (IgG) clearance mechanism and a specific targeted-mediated drug disposal pathway. The intact monoclonal antibody cannot be filtered by the glomerulus to be excreted through the kidney due to its large molecular weight. Monoclonal antibodies can be excreted by the kidneys after being broken down into peptide fragments and amino acids by the lysosomal pathway in the corresponding effector cells. At the same time, the peptide fragments and amino acids </w:t>
      </w:r>
      <w:r w:rsidRPr="00370873">
        <w:rPr>
          <w:rFonts w:ascii="Book Antiqua" w:eastAsia="Book Antiqua" w:hAnsi="Book Antiqua" w:cs="Book Antiqua"/>
          <w:color w:val="000000"/>
        </w:rPr>
        <w:lastRenderedPageBreak/>
        <w:t xml:space="preserve">generated by decomposition can also participate in the body’s energy supply and in the synthesis of new </w:t>
      </w:r>
      <w:proofErr w:type="gramStart"/>
      <w:r w:rsidRPr="00370873">
        <w:rPr>
          <w:rFonts w:ascii="Book Antiqua" w:eastAsia="Book Antiqua" w:hAnsi="Book Antiqua" w:cs="Book Antiqua"/>
          <w:color w:val="000000"/>
        </w:rPr>
        <w:t>proteins</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32</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xml:space="preserve">. The metabolism of endogenous IgG occurs in various tissues and plasma in the body. Using a physiologically based pharmacokinetic model, it is estimated that the contribution of skin, muscle, liver, and intestinal tissues to the clearance of endogenous IgG are 33%, 24%, 16%, and 12%, </w:t>
      </w:r>
      <w:proofErr w:type="gramStart"/>
      <w:r w:rsidRPr="00370873">
        <w:rPr>
          <w:rFonts w:ascii="Book Antiqua" w:eastAsia="Book Antiqua" w:hAnsi="Book Antiqua" w:cs="Book Antiqua"/>
          <w:color w:val="000000"/>
        </w:rPr>
        <w:t>respectively</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33</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 xml:space="preserve">. This shows that the kidney’s contribution to the elimination of endogenous IgG is low. In addition, based on a population pharmacokinetic analysis, renal impairment is not expected to affect exposure to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Based on limited clinical studies and reports, we conclude that renal excretion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is very low. The product description also does not regard renal damage as a contraindication to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Therefore, we preferred to use trastuzumab and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dual target therapy. It is worth noting that there are few reports on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in breast cancer patients with CRF, which may be a unique feature of this case.</w:t>
      </w:r>
    </w:p>
    <w:p w14:paraId="61AE50D8" w14:textId="2BE41346"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 xml:space="preserve">In breast cancer patients with CRF, drug metabolism and dosage selection are issues that must be considered in order to avoid aggravation of systemic toxicity caused by renal failure. Considering the clearance of drugs during dialysis, appropriate timing of medication should be selected for hemodialysis patients. Docetaxel is rarely excreted by the kidneys. Limited data have shown that docetaxel can be safely used in patients with renal insufficiency without the need for dose </w:t>
      </w:r>
      <w:proofErr w:type="gramStart"/>
      <w:r w:rsidRPr="00370873">
        <w:rPr>
          <w:rFonts w:ascii="Book Antiqua" w:eastAsia="Book Antiqua" w:hAnsi="Book Antiqua" w:cs="Book Antiqua"/>
          <w:color w:val="000000"/>
        </w:rPr>
        <w:t>adjustment</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34</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w:t>
      </w:r>
      <w:r w:rsidRPr="00370873">
        <w:rPr>
          <w:rFonts w:ascii="Book Antiqua" w:eastAsia="Book Antiqua" w:hAnsi="Book Antiqua" w:cs="Book Antiqua"/>
          <w:b/>
          <w:bCs/>
          <w:color w:val="000000"/>
        </w:rPr>
        <w:t xml:space="preserve"> </w:t>
      </w:r>
      <w:r w:rsidRPr="00370873">
        <w:rPr>
          <w:rFonts w:ascii="Book Antiqua" w:eastAsia="Book Antiqua" w:hAnsi="Book Antiqua" w:cs="Book Antiqua"/>
          <w:color w:val="000000"/>
        </w:rPr>
        <w:t xml:space="preserve">Docetaxel can be safely used in chronic peritoneal or hemodialysis patients at standard </w:t>
      </w:r>
      <w:proofErr w:type="gramStart"/>
      <w:r w:rsidRPr="00370873">
        <w:rPr>
          <w:rFonts w:ascii="Book Antiqua" w:eastAsia="Book Antiqua" w:hAnsi="Book Antiqua" w:cs="Book Antiqua"/>
          <w:color w:val="000000"/>
        </w:rPr>
        <w:t>doses</w:t>
      </w:r>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35</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w:t>
      </w:r>
      <w:r w:rsidRPr="00370873">
        <w:rPr>
          <w:rFonts w:ascii="Book Antiqua" w:eastAsia="Book Antiqua" w:hAnsi="Book Antiqua" w:cs="Book Antiqua"/>
          <w:color w:val="000000"/>
          <w:vertAlign w:val="superscript"/>
        </w:rPr>
        <w:t xml:space="preserve"> </w:t>
      </w:r>
      <w:r w:rsidRPr="00370873">
        <w:rPr>
          <w:rFonts w:ascii="Book Antiqua" w:eastAsia="Book Antiqua" w:hAnsi="Book Antiqua" w:cs="Book Antiqua"/>
          <w:color w:val="000000"/>
        </w:rPr>
        <w:t xml:space="preserve">Trastuzumab does not cause nephrotoxicity as a single agent, and relevant data indicate that treatment with trastuzumab is not affected by age or renal function. The product feature summary does not recommend adjusting the dose of trastuzumab in patients with mild to moderate chronic kidney disease. No information is provided on the dose adjustment of trastuzumab due to hemodialysis in the United States. Docetaxel and trastuzumab were used in this breast cancer patient with renal failure without dose adjustment, which is similar to the case report by Liu </w:t>
      </w:r>
      <w:r w:rsidRPr="00370873">
        <w:rPr>
          <w:rFonts w:ascii="Book Antiqua" w:eastAsia="Book Antiqua" w:hAnsi="Book Antiqua" w:cs="Book Antiqua"/>
          <w:i/>
          <w:iCs/>
          <w:color w:val="000000"/>
        </w:rPr>
        <w:t xml:space="preserve">et </w:t>
      </w:r>
      <w:proofErr w:type="gramStart"/>
      <w:r w:rsidRPr="00370873">
        <w:rPr>
          <w:rFonts w:ascii="Book Antiqua" w:eastAsia="Book Antiqua" w:hAnsi="Book Antiqua" w:cs="Book Antiqua"/>
          <w:i/>
          <w:iCs/>
          <w:color w:val="000000"/>
        </w:rPr>
        <w:t>al</w:t>
      </w:r>
      <w:r w:rsidR="00204A02" w:rsidRPr="00370873">
        <w:rPr>
          <w:rFonts w:ascii="Book Antiqua" w:eastAsia="Book Antiqua" w:hAnsi="Book Antiqua" w:cs="Book Antiqua"/>
          <w:color w:val="000000"/>
          <w:vertAlign w:val="superscript"/>
        </w:rPr>
        <w:t>[</w:t>
      </w:r>
      <w:proofErr w:type="gramEnd"/>
      <w:r w:rsidR="00204A02" w:rsidRPr="00370873">
        <w:rPr>
          <w:rFonts w:ascii="Book Antiqua" w:eastAsia="Book Antiqua" w:hAnsi="Book Antiqua" w:cs="Book Antiqua"/>
          <w:color w:val="000000"/>
          <w:vertAlign w:val="superscript"/>
        </w:rPr>
        <w:t>17]</w:t>
      </w:r>
      <w:r w:rsidRPr="00370873">
        <w:rPr>
          <w:rFonts w:ascii="Book Antiqua" w:eastAsia="Book Antiqua" w:hAnsi="Book Antiqua" w:cs="Book Antiqua"/>
          <w:color w:val="000000"/>
        </w:rPr>
        <w:t xml:space="preserve">. There are similar considerations for these two drugs. There are no data on the use of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for treating dialysis patients. The product feature summary recommends that in patients with mild or </w:t>
      </w:r>
      <w:r w:rsidRPr="00370873">
        <w:rPr>
          <w:rFonts w:ascii="Book Antiqua" w:eastAsia="Book Antiqua" w:hAnsi="Book Antiqua" w:cs="Book Antiqua"/>
          <w:color w:val="000000"/>
        </w:rPr>
        <w:lastRenderedPageBreak/>
        <w:t xml:space="preserve">moderate renal insufficiency, the dose need not be adjusted, and there is no recommended dosage for patients with severe renal insufficiency. In the population pharmacokinetic analysis, renal damage did not affect drug disposal. There are few reports on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nephrotoxicity, and population pharmacokinetic studies have found that covariates, such as renal function (serum creatinine), do not have a statistically significant effect on the pharmacokinetic parameters of </w:t>
      </w:r>
      <w:proofErr w:type="spellStart"/>
      <w:proofErr w:type="gram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vertAlign w:val="superscript"/>
        </w:rPr>
        <w:t>[</w:t>
      </w:r>
      <w:proofErr w:type="gramEnd"/>
      <w:r w:rsidR="00DD4E9C" w:rsidRPr="00370873">
        <w:rPr>
          <w:rFonts w:ascii="Book Antiqua" w:eastAsia="Book Antiqua" w:hAnsi="Book Antiqua" w:cs="Book Antiqua"/>
          <w:color w:val="000000"/>
          <w:vertAlign w:val="superscript"/>
        </w:rPr>
        <w:t>36</w:t>
      </w:r>
      <w:r w:rsidRPr="00370873">
        <w:rPr>
          <w:rFonts w:ascii="Book Antiqua" w:eastAsia="Book Antiqua" w:hAnsi="Book Antiqua" w:cs="Book Antiqua"/>
          <w:color w:val="000000"/>
          <w:vertAlign w:val="superscript"/>
        </w:rPr>
        <w:t>]</w:t>
      </w:r>
      <w:r w:rsidRPr="00370873">
        <w:rPr>
          <w:rFonts w:ascii="Book Antiqua" w:eastAsia="Book Antiqua" w:hAnsi="Book Antiqua" w:cs="Book Antiqua"/>
          <w:color w:val="000000"/>
        </w:rPr>
        <w:t>.</w:t>
      </w:r>
    </w:p>
    <w:p w14:paraId="7760654D" w14:textId="77777777" w:rsidR="00A77B3E" w:rsidRPr="00370873" w:rsidRDefault="005C2F75" w:rsidP="00370873">
      <w:pPr>
        <w:spacing w:line="360" w:lineRule="auto"/>
        <w:ind w:firstLineChars="100" w:firstLine="240"/>
        <w:jc w:val="both"/>
        <w:rPr>
          <w:rFonts w:ascii="Book Antiqua" w:hAnsi="Book Antiqua"/>
        </w:rPr>
      </w:pPr>
      <w:r w:rsidRPr="00370873">
        <w:rPr>
          <w:rFonts w:ascii="Book Antiqua" w:eastAsia="Book Antiqua" w:hAnsi="Book Antiqua" w:cs="Book Antiqua"/>
          <w:color w:val="000000"/>
        </w:rPr>
        <w:t xml:space="preserve">Our patient was clinically diagnosed with CRF stage 5. Considering the rare renal toxicity of trastuzumab and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we did not adjust the drug dosage which consisted of docetaxel 80 mg/m², trastuzumab 8 mg/kg for the first dose, and 6 mg/kg for the maintenance dose with </w:t>
      </w:r>
      <w:proofErr w:type="spellStart"/>
      <w:r w:rsidRPr="00370873">
        <w:rPr>
          <w:rFonts w:ascii="Book Antiqua" w:eastAsia="Book Antiqua" w:hAnsi="Book Antiqua" w:cs="Book Antiqua"/>
          <w:color w:val="000000"/>
        </w:rPr>
        <w:t>pertuzumab</w:t>
      </w:r>
      <w:proofErr w:type="spellEnd"/>
      <w:r w:rsidRPr="00370873">
        <w:rPr>
          <w:rFonts w:ascii="Book Antiqua" w:eastAsia="Book Antiqua" w:hAnsi="Book Antiqua" w:cs="Book Antiqua"/>
          <w:color w:val="000000"/>
        </w:rPr>
        <w:t xml:space="preserve"> 840 mg for the first dose and 420 mg for the maintenance dose, every 3 wk. Hemodialysis was performed more than 12 h after chemotherapy.</w:t>
      </w:r>
    </w:p>
    <w:bookmarkEnd w:id="29"/>
    <w:p w14:paraId="481B3E52" w14:textId="77777777" w:rsidR="00A77B3E" w:rsidRPr="00370873" w:rsidRDefault="00A77B3E" w:rsidP="00370873">
      <w:pPr>
        <w:spacing w:line="360" w:lineRule="auto"/>
        <w:jc w:val="both"/>
        <w:rPr>
          <w:rFonts w:ascii="Book Antiqua" w:hAnsi="Book Antiqua"/>
        </w:rPr>
      </w:pPr>
    </w:p>
    <w:p w14:paraId="5832B9A9"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CONCLUSION</w:t>
      </w:r>
    </w:p>
    <w:p w14:paraId="2D097B7C" w14:textId="77777777" w:rsidR="00A77B3E" w:rsidRPr="00370873" w:rsidRDefault="005C2F75" w:rsidP="00370873">
      <w:pPr>
        <w:spacing w:line="360" w:lineRule="auto"/>
        <w:jc w:val="both"/>
        <w:rPr>
          <w:rFonts w:ascii="Book Antiqua" w:hAnsi="Book Antiqua"/>
        </w:rPr>
      </w:pPr>
      <w:bookmarkStart w:id="30" w:name="OLE_LINK60"/>
      <w:r w:rsidRPr="00370873">
        <w:rPr>
          <w:rFonts w:ascii="Book Antiqua" w:eastAsia="Book Antiqua" w:hAnsi="Book Antiqua" w:cs="Book Antiqua"/>
          <w:color w:val="000000"/>
        </w:rPr>
        <w:t>The THP regimen has a minimal effect on renal failure, and as a neoadjuvant therapy for breast cancer patients with positive HER-2, it has a good effect in downstaging breast cancer. In this case, the drug dose was not adjusted, and the patient had no obvious nephrotoxicity or cardiotoxicity. Therefore, the THP regimen without dose adjustment may be a safe and effective neoadjuvant therapy for HER-2 positive breast cancer patients with CRF. CRF is not a contraindication for systemic treatment and surgery for breast cancer. Individualized treatment of these patients can be achieved by multidisciplinary collaboration and close monitoring of renal function.</w:t>
      </w:r>
    </w:p>
    <w:bookmarkEnd w:id="30"/>
    <w:p w14:paraId="5FD31DE2" w14:textId="77777777" w:rsidR="00A77B3E" w:rsidRPr="00370873" w:rsidRDefault="00A77B3E" w:rsidP="00370873">
      <w:pPr>
        <w:spacing w:line="360" w:lineRule="auto"/>
        <w:jc w:val="both"/>
        <w:rPr>
          <w:rFonts w:ascii="Book Antiqua" w:hAnsi="Book Antiqua"/>
        </w:rPr>
      </w:pPr>
    </w:p>
    <w:p w14:paraId="412E5F23"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aps/>
          <w:color w:val="000000"/>
          <w:u w:val="single"/>
        </w:rPr>
        <w:t>ACKNOWLEDGEMENTS</w:t>
      </w:r>
    </w:p>
    <w:p w14:paraId="2B049B1B" w14:textId="707950D9"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 xml:space="preserve">The authors are very grateful to the data providers in the study. </w:t>
      </w:r>
    </w:p>
    <w:p w14:paraId="6ABF2908" w14:textId="77777777" w:rsidR="00A77B3E" w:rsidRPr="00370873" w:rsidRDefault="00A77B3E" w:rsidP="00370873">
      <w:pPr>
        <w:spacing w:line="360" w:lineRule="auto"/>
        <w:jc w:val="both"/>
        <w:rPr>
          <w:rFonts w:ascii="Book Antiqua" w:hAnsi="Book Antiqua"/>
        </w:rPr>
      </w:pPr>
    </w:p>
    <w:p w14:paraId="42960A06"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REFERENCES</w:t>
      </w:r>
    </w:p>
    <w:p w14:paraId="5E553359" w14:textId="77777777" w:rsidR="002B3C61" w:rsidRPr="00370873" w:rsidRDefault="002B3C61" w:rsidP="00370873">
      <w:pPr>
        <w:spacing w:line="360" w:lineRule="auto"/>
        <w:jc w:val="both"/>
        <w:rPr>
          <w:rFonts w:ascii="Book Antiqua" w:hAnsi="Book Antiqua"/>
        </w:rPr>
      </w:pPr>
      <w:bookmarkStart w:id="31" w:name="OLE_LINK61"/>
      <w:r w:rsidRPr="00370873">
        <w:rPr>
          <w:rFonts w:ascii="Book Antiqua" w:hAnsi="Book Antiqua"/>
        </w:rPr>
        <w:t xml:space="preserve">1 </w:t>
      </w:r>
      <w:r w:rsidRPr="00370873">
        <w:rPr>
          <w:rFonts w:ascii="Book Antiqua" w:hAnsi="Book Antiqua"/>
          <w:b/>
          <w:bCs/>
        </w:rPr>
        <w:t>Siegel RL</w:t>
      </w:r>
      <w:r w:rsidRPr="00370873">
        <w:rPr>
          <w:rFonts w:ascii="Book Antiqua" w:hAnsi="Book Antiqua"/>
        </w:rPr>
        <w:t xml:space="preserve">, Miller KD, Jemal A. Cancer statistics, 2020. </w:t>
      </w:r>
      <w:r w:rsidRPr="00370873">
        <w:rPr>
          <w:rFonts w:ascii="Book Antiqua" w:hAnsi="Book Antiqua"/>
          <w:i/>
          <w:iCs/>
        </w:rPr>
        <w:t>CA Cancer J Clin</w:t>
      </w:r>
      <w:r w:rsidRPr="00370873">
        <w:rPr>
          <w:rFonts w:ascii="Book Antiqua" w:hAnsi="Book Antiqua"/>
        </w:rPr>
        <w:t xml:space="preserve"> 2020; </w:t>
      </w:r>
      <w:r w:rsidRPr="00370873">
        <w:rPr>
          <w:rFonts w:ascii="Book Antiqua" w:hAnsi="Book Antiqua"/>
          <w:b/>
          <w:bCs/>
        </w:rPr>
        <w:t>70</w:t>
      </w:r>
      <w:r w:rsidRPr="00370873">
        <w:rPr>
          <w:rFonts w:ascii="Book Antiqua" w:hAnsi="Book Antiqua"/>
        </w:rPr>
        <w:t>: 7-30 [PMID: 31912902 DOI: 10.3322/caac.21590]</w:t>
      </w:r>
    </w:p>
    <w:p w14:paraId="059FC15D" w14:textId="77777777" w:rsidR="002B3C61" w:rsidRPr="00370873" w:rsidRDefault="002B3C61" w:rsidP="00370873">
      <w:pPr>
        <w:spacing w:line="360" w:lineRule="auto"/>
        <w:jc w:val="both"/>
        <w:rPr>
          <w:rFonts w:ascii="Book Antiqua" w:hAnsi="Book Antiqua"/>
        </w:rPr>
      </w:pPr>
      <w:r w:rsidRPr="00370873">
        <w:rPr>
          <w:rFonts w:ascii="Book Antiqua" w:hAnsi="Book Antiqua"/>
        </w:rPr>
        <w:lastRenderedPageBreak/>
        <w:t xml:space="preserve">2 </w:t>
      </w:r>
      <w:proofErr w:type="spellStart"/>
      <w:r w:rsidRPr="00370873">
        <w:rPr>
          <w:rFonts w:ascii="Book Antiqua" w:hAnsi="Book Antiqua"/>
          <w:b/>
          <w:bCs/>
        </w:rPr>
        <w:t>Mermer</w:t>
      </w:r>
      <w:proofErr w:type="spellEnd"/>
      <w:r w:rsidRPr="00370873">
        <w:rPr>
          <w:rFonts w:ascii="Book Antiqua" w:hAnsi="Book Antiqua"/>
          <w:b/>
          <w:bCs/>
        </w:rPr>
        <w:t xml:space="preserve"> G</w:t>
      </w:r>
      <w:r w:rsidRPr="00370873">
        <w:rPr>
          <w:rFonts w:ascii="Book Antiqua" w:hAnsi="Book Antiqua"/>
        </w:rPr>
        <w:t xml:space="preserve">, Turk M. Assessment of the effects of breast cancer training on women between the ages of 50 and 70 in </w:t>
      </w:r>
      <w:proofErr w:type="spellStart"/>
      <w:r w:rsidRPr="00370873">
        <w:rPr>
          <w:rFonts w:ascii="Book Antiqua" w:hAnsi="Book Antiqua"/>
        </w:rPr>
        <w:t>Kemalpasa</w:t>
      </w:r>
      <w:proofErr w:type="spellEnd"/>
      <w:r w:rsidRPr="00370873">
        <w:rPr>
          <w:rFonts w:ascii="Book Antiqua" w:hAnsi="Book Antiqua"/>
        </w:rPr>
        <w:t xml:space="preserve">, Turkey. </w:t>
      </w:r>
      <w:r w:rsidRPr="00370873">
        <w:rPr>
          <w:rFonts w:ascii="Book Antiqua" w:hAnsi="Book Antiqua"/>
          <w:i/>
          <w:iCs/>
        </w:rPr>
        <w:t xml:space="preserve">Asian Pac J Cancer </w:t>
      </w:r>
      <w:proofErr w:type="spellStart"/>
      <w:r w:rsidRPr="00370873">
        <w:rPr>
          <w:rFonts w:ascii="Book Antiqua" w:hAnsi="Book Antiqua"/>
          <w:i/>
          <w:iCs/>
        </w:rPr>
        <w:t>Prev</w:t>
      </w:r>
      <w:proofErr w:type="spellEnd"/>
      <w:r w:rsidRPr="00370873">
        <w:rPr>
          <w:rFonts w:ascii="Book Antiqua" w:hAnsi="Book Antiqua"/>
        </w:rPr>
        <w:t xml:space="preserve"> 2014; </w:t>
      </w:r>
      <w:r w:rsidRPr="00370873">
        <w:rPr>
          <w:rFonts w:ascii="Book Antiqua" w:hAnsi="Book Antiqua"/>
          <w:b/>
          <w:bCs/>
        </w:rPr>
        <w:t>15</w:t>
      </w:r>
      <w:r w:rsidRPr="00370873">
        <w:rPr>
          <w:rFonts w:ascii="Book Antiqua" w:hAnsi="Book Antiqua"/>
        </w:rPr>
        <w:t>: 10749-10755 [PMID: 25605170 DOI: 10.7314/apjcp.2014.15.24.10749]</w:t>
      </w:r>
    </w:p>
    <w:p w14:paraId="5CC9D311"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3 </w:t>
      </w:r>
      <w:proofErr w:type="spellStart"/>
      <w:r w:rsidRPr="00370873">
        <w:rPr>
          <w:rFonts w:ascii="Book Antiqua" w:hAnsi="Book Antiqua"/>
          <w:b/>
          <w:bCs/>
        </w:rPr>
        <w:t>Leśniczak</w:t>
      </w:r>
      <w:proofErr w:type="spellEnd"/>
      <w:r w:rsidRPr="00370873">
        <w:rPr>
          <w:rFonts w:ascii="Book Antiqua" w:hAnsi="Book Antiqua"/>
          <w:b/>
          <w:bCs/>
        </w:rPr>
        <w:t xml:space="preserve"> B</w:t>
      </w:r>
      <w:r w:rsidRPr="00370873">
        <w:rPr>
          <w:rFonts w:ascii="Book Antiqua" w:hAnsi="Book Antiqua"/>
        </w:rPr>
        <w:t xml:space="preserve">, </w:t>
      </w:r>
      <w:proofErr w:type="spellStart"/>
      <w:r w:rsidRPr="00370873">
        <w:rPr>
          <w:rFonts w:ascii="Book Antiqua" w:hAnsi="Book Antiqua"/>
        </w:rPr>
        <w:t>Krasomski</w:t>
      </w:r>
      <w:proofErr w:type="spellEnd"/>
      <w:r w:rsidRPr="00370873">
        <w:rPr>
          <w:rFonts w:ascii="Book Antiqua" w:hAnsi="Book Antiqua"/>
        </w:rPr>
        <w:t xml:space="preserve"> G, </w:t>
      </w:r>
      <w:proofErr w:type="spellStart"/>
      <w:r w:rsidRPr="00370873">
        <w:rPr>
          <w:rFonts w:ascii="Book Antiqua" w:hAnsi="Book Antiqua"/>
        </w:rPr>
        <w:t>Oszukowski</w:t>
      </w:r>
      <w:proofErr w:type="spellEnd"/>
      <w:r w:rsidRPr="00370873">
        <w:rPr>
          <w:rFonts w:ascii="Book Antiqua" w:hAnsi="Book Antiqua"/>
        </w:rPr>
        <w:t xml:space="preserve"> P, </w:t>
      </w:r>
      <w:proofErr w:type="spellStart"/>
      <w:r w:rsidRPr="00370873">
        <w:rPr>
          <w:rFonts w:ascii="Book Antiqua" w:hAnsi="Book Antiqua"/>
        </w:rPr>
        <w:t>Stetkiewicz</w:t>
      </w:r>
      <w:proofErr w:type="spellEnd"/>
      <w:r w:rsidRPr="00370873">
        <w:rPr>
          <w:rFonts w:ascii="Book Antiqua" w:hAnsi="Book Antiqua"/>
        </w:rPr>
        <w:t xml:space="preserve"> T, </w:t>
      </w:r>
      <w:proofErr w:type="spellStart"/>
      <w:r w:rsidRPr="00370873">
        <w:rPr>
          <w:rFonts w:ascii="Book Antiqua" w:hAnsi="Book Antiqua"/>
        </w:rPr>
        <w:t>Woźniak</w:t>
      </w:r>
      <w:proofErr w:type="spellEnd"/>
      <w:r w:rsidRPr="00370873">
        <w:rPr>
          <w:rFonts w:ascii="Book Antiqua" w:hAnsi="Book Antiqua"/>
        </w:rPr>
        <w:t xml:space="preserve"> P. Incidence of and mortality from breast cancer among women in Poland in the years 2001-2010. </w:t>
      </w:r>
      <w:proofErr w:type="spellStart"/>
      <w:r w:rsidRPr="00370873">
        <w:rPr>
          <w:rFonts w:ascii="Book Antiqua" w:hAnsi="Book Antiqua"/>
          <w:i/>
          <w:iCs/>
        </w:rPr>
        <w:t>Prz</w:t>
      </w:r>
      <w:proofErr w:type="spellEnd"/>
      <w:r w:rsidRPr="00370873">
        <w:rPr>
          <w:rFonts w:ascii="Book Antiqua" w:hAnsi="Book Antiqua"/>
          <w:i/>
          <w:iCs/>
        </w:rPr>
        <w:t xml:space="preserve"> </w:t>
      </w:r>
      <w:proofErr w:type="spellStart"/>
      <w:r w:rsidRPr="00370873">
        <w:rPr>
          <w:rFonts w:ascii="Book Antiqua" w:hAnsi="Book Antiqua"/>
          <w:i/>
          <w:iCs/>
        </w:rPr>
        <w:t>Menopauzalny</w:t>
      </w:r>
      <w:proofErr w:type="spellEnd"/>
      <w:r w:rsidRPr="00370873">
        <w:rPr>
          <w:rFonts w:ascii="Book Antiqua" w:hAnsi="Book Antiqua"/>
        </w:rPr>
        <w:t xml:space="preserve"> 2014; </w:t>
      </w:r>
      <w:r w:rsidRPr="00370873">
        <w:rPr>
          <w:rFonts w:ascii="Book Antiqua" w:hAnsi="Book Antiqua"/>
          <w:b/>
          <w:bCs/>
        </w:rPr>
        <w:t>13</w:t>
      </w:r>
      <w:r w:rsidRPr="00370873">
        <w:rPr>
          <w:rFonts w:ascii="Book Antiqua" w:hAnsi="Book Antiqua"/>
        </w:rPr>
        <w:t>: 344-347 [PMID: 26327877 DOI: 10.5114/pm.2014.47990]</w:t>
      </w:r>
    </w:p>
    <w:p w14:paraId="45B31B8D"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4 </w:t>
      </w:r>
      <w:r w:rsidRPr="00370873">
        <w:rPr>
          <w:rFonts w:ascii="Book Antiqua" w:hAnsi="Book Antiqua"/>
          <w:b/>
          <w:bCs/>
        </w:rPr>
        <w:t>Lowrance WT</w:t>
      </w:r>
      <w:r w:rsidRPr="00370873">
        <w:rPr>
          <w:rFonts w:ascii="Book Antiqua" w:hAnsi="Book Antiqua"/>
        </w:rPr>
        <w:t xml:space="preserve">, </w:t>
      </w:r>
      <w:proofErr w:type="spellStart"/>
      <w:r w:rsidRPr="00370873">
        <w:rPr>
          <w:rFonts w:ascii="Book Antiqua" w:hAnsi="Book Antiqua"/>
        </w:rPr>
        <w:t>Ordoñez</w:t>
      </w:r>
      <w:proofErr w:type="spellEnd"/>
      <w:r w:rsidRPr="00370873">
        <w:rPr>
          <w:rFonts w:ascii="Book Antiqua" w:hAnsi="Book Antiqua"/>
        </w:rPr>
        <w:t xml:space="preserve"> J, </w:t>
      </w:r>
      <w:proofErr w:type="spellStart"/>
      <w:r w:rsidRPr="00370873">
        <w:rPr>
          <w:rFonts w:ascii="Book Antiqua" w:hAnsi="Book Antiqua"/>
        </w:rPr>
        <w:t>Udaltsova</w:t>
      </w:r>
      <w:proofErr w:type="spellEnd"/>
      <w:r w:rsidRPr="00370873">
        <w:rPr>
          <w:rFonts w:ascii="Book Antiqua" w:hAnsi="Book Antiqua"/>
        </w:rPr>
        <w:t xml:space="preserve"> N, Russo P, Go AS. CKD and the risk of incident cancer. </w:t>
      </w:r>
      <w:r w:rsidRPr="00370873">
        <w:rPr>
          <w:rFonts w:ascii="Book Antiqua" w:hAnsi="Book Antiqua"/>
          <w:i/>
          <w:iCs/>
        </w:rPr>
        <w:t>J Am Soc Nephrol</w:t>
      </w:r>
      <w:r w:rsidRPr="00370873">
        <w:rPr>
          <w:rFonts w:ascii="Book Antiqua" w:hAnsi="Book Antiqua"/>
        </w:rPr>
        <w:t xml:space="preserve"> 2014; </w:t>
      </w:r>
      <w:r w:rsidRPr="00370873">
        <w:rPr>
          <w:rFonts w:ascii="Book Antiqua" w:hAnsi="Book Antiqua"/>
          <w:b/>
          <w:bCs/>
        </w:rPr>
        <w:t>25</w:t>
      </w:r>
      <w:r w:rsidRPr="00370873">
        <w:rPr>
          <w:rFonts w:ascii="Book Antiqua" w:hAnsi="Book Antiqua"/>
        </w:rPr>
        <w:t>: 2327-2334 [PMID: 24876115 DOI: 10.1681/ASN.2013060604]</w:t>
      </w:r>
    </w:p>
    <w:p w14:paraId="0334CB0A"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5 </w:t>
      </w:r>
      <w:proofErr w:type="spellStart"/>
      <w:r w:rsidRPr="00370873">
        <w:rPr>
          <w:rFonts w:ascii="Book Antiqua" w:hAnsi="Book Antiqua"/>
          <w:b/>
          <w:bCs/>
        </w:rPr>
        <w:t>Malyszko</w:t>
      </w:r>
      <w:proofErr w:type="spellEnd"/>
      <w:r w:rsidRPr="00370873">
        <w:rPr>
          <w:rFonts w:ascii="Book Antiqua" w:hAnsi="Book Antiqua"/>
          <w:b/>
          <w:bCs/>
        </w:rPr>
        <w:t xml:space="preserve"> J</w:t>
      </w:r>
      <w:r w:rsidRPr="00370873">
        <w:rPr>
          <w:rFonts w:ascii="Book Antiqua" w:hAnsi="Book Antiqua"/>
        </w:rPr>
        <w:t xml:space="preserve">, </w:t>
      </w:r>
      <w:proofErr w:type="spellStart"/>
      <w:r w:rsidRPr="00370873">
        <w:rPr>
          <w:rFonts w:ascii="Book Antiqua" w:hAnsi="Book Antiqua"/>
        </w:rPr>
        <w:t>Tesarova</w:t>
      </w:r>
      <w:proofErr w:type="spellEnd"/>
      <w:r w:rsidRPr="00370873">
        <w:rPr>
          <w:rFonts w:ascii="Book Antiqua" w:hAnsi="Book Antiqua"/>
        </w:rPr>
        <w:t xml:space="preserve"> P, </w:t>
      </w:r>
      <w:proofErr w:type="spellStart"/>
      <w:r w:rsidRPr="00370873">
        <w:rPr>
          <w:rFonts w:ascii="Book Antiqua" w:hAnsi="Book Antiqua"/>
        </w:rPr>
        <w:t>Capasso</w:t>
      </w:r>
      <w:proofErr w:type="spellEnd"/>
      <w:r w:rsidRPr="00370873">
        <w:rPr>
          <w:rFonts w:ascii="Book Antiqua" w:hAnsi="Book Antiqua"/>
        </w:rPr>
        <w:t xml:space="preserve"> G, </w:t>
      </w:r>
      <w:proofErr w:type="spellStart"/>
      <w:r w:rsidRPr="00370873">
        <w:rPr>
          <w:rFonts w:ascii="Book Antiqua" w:hAnsi="Book Antiqua"/>
        </w:rPr>
        <w:t>Capasso</w:t>
      </w:r>
      <w:proofErr w:type="spellEnd"/>
      <w:r w:rsidRPr="00370873">
        <w:rPr>
          <w:rFonts w:ascii="Book Antiqua" w:hAnsi="Book Antiqua"/>
        </w:rPr>
        <w:t xml:space="preserve"> A. The link between kidney disease and cancer: complications and treatment. </w:t>
      </w:r>
      <w:r w:rsidRPr="00370873">
        <w:rPr>
          <w:rFonts w:ascii="Book Antiqua" w:hAnsi="Book Antiqua"/>
          <w:i/>
          <w:iCs/>
        </w:rPr>
        <w:t>Lancet</w:t>
      </w:r>
      <w:r w:rsidRPr="00370873">
        <w:rPr>
          <w:rFonts w:ascii="Book Antiqua" w:hAnsi="Book Antiqua"/>
        </w:rPr>
        <w:t xml:space="preserve"> 2020; </w:t>
      </w:r>
      <w:r w:rsidRPr="00370873">
        <w:rPr>
          <w:rFonts w:ascii="Book Antiqua" w:hAnsi="Book Antiqua"/>
          <w:b/>
          <w:bCs/>
        </w:rPr>
        <w:t>396</w:t>
      </w:r>
      <w:r w:rsidRPr="00370873">
        <w:rPr>
          <w:rFonts w:ascii="Book Antiqua" w:hAnsi="Book Antiqua"/>
        </w:rPr>
        <w:t>: 277-287 [PMID: 32711803 DOI: 10.1016/S0140-6736(20)30540-7]</w:t>
      </w:r>
    </w:p>
    <w:p w14:paraId="1B5DF7CE"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6 </w:t>
      </w:r>
      <w:r w:rsidRPr="00370873">
        <w:rPr>
          <w:rFonts w:ascii="Book Antiqua" w:hAnsi="Book Antiqua"/>
          <w:b/>
          <w:bCs/>
        </w:rPr>
        <w:t>Armstrong AE</w:t>
      </w:r>
      <w:r w:rsidRPr="00370873">
        <w:rPr>
          <w:rFonts w:ascii="Book Antiqua" w:hAnsi="Book Antiqua"/>
        </w:rPr>
        <w:t xml:space="preserve">, </w:t>
      </w:r>
      <w:proofErr w:type="spellStart"/>
      <w:r w:rsidRPr="00370873">
        <w:rPr>
          <w:rFonts w:ascii="Book Antiqua" w:hAnsi="Book Antiqua"/>
        </w:rPr>
        <w:t>Dargart</w:t>
      </w:r>
      <w:proofErr w:type="spellEnd"/>
      <w:r w:rsidRPr="00370873">
        <w:rPr>
          <w:rFonts w:ascii="Book Antiqua" w:hAnsi="Book Antiqua"/>
        </w:rPr>
        <w:t xml:space="preserve"> J, </w:t>
      </w:r>
      <w:proofErr w:type="spellStart"/>
      <w:r w:rsidRPr="00370873">
        <w:rPr>
          <w:rFonts w:ascii="Book Antiqua" w:hAnsi="Book Antiqua"/>
        </w:rPr>
        <w:t>Reichek</w:t>
      </w:r>
      <w:proofErr w:type="spellEnd"/>
      <w:r w:rsidRPr="00370873">
        <w:rPr>
          <w:rFonts w:ascii="Book Antiqua" w:hAnsi="Book Antiqua"/>
        </w:rPr>
        <w:t xml:space="preserve"> J, </w:t>
      </w:r>
      <w:proofErr w:type="spellStart"/>
      <w:r w:rsidRPr="00370873">
        <w:rPr>
          <w:rFonts w:ascii="Book Antiqua" w:hAnsi="Book Antiqua"/>
        </w:rPr>
        <w:t>Walterhouse</w:t>
      </w:r>
      <w:proofErr w:type="spellEnd"/>
      <w:r w:rsidRPr="00370873">
        <w:rPr>
          <w:rFonts w:ascii="Book Antiqua" w:hAnsi="Book Antiqua"/>
        </w:rPr>
        <w:t xml:space="preserve"> DO, </w:t>
      </w:r>
      <w:proofErr w:type="spellStart"/>
      <w:r w:rsidRPr="00370873">
        <w:rPr>
          <w:rFonts w:ascii="Book Antiqua" w:hAnsi="Book Antiqua"/>
        </w:rPr>
        <w:t>Matossian</w:t>
      </w:r>
      <w:proofErr w:type="spellEnd"/>
      <w:r w:rsidRPr="00370873">
        <w:rPr>
          <w:rFonts w:ascii="Book Antiqua" w:hAnsi="Book Antiqua"/>
        </w:rPr>
        <w:t xml:space="preserve"> D, Cohn RA, </w:t>
      </w:r>
      <w:proofErr w:type="spellStart"/>
      <w:r w:rsidRPr="00370873">
        <w:rPr>
          <w:rFonts w:ascii="Book Antiqua" w:hAnsi="Book Antiqua"/>
        </w:rPr>
        <w:t>Gosiengfiao</w:t>
      </w:r>
      <w:proofErr w:type="spellEnd"/>
      <w:r w:rsidRPr="00370873">
        <w:rPr>
          <w:rFonts w:ascii="Book Antiqua" w:hAnsi="Book Antiqua"/>
        </w:rPr>
        <w:t xml:space="preserve"> Y. Irinotecan and temozolomide for treatment of neuroblastoma in a patient with renal failure on hemodialysis. </w:t>
      </w:r>
      <w:proofErr w:type="spellStart"/>
      <w:r w:rsidRPr="00370873">
        <w:rPr>
          <w:rFonts w:ascii="Book Antiqua" w:hAnsi="Book Antiqua"/>
          <w:i/>
          <w:iCs/>
        </w:rPr>
        <w:t>Pediatr</w:t>
      </w:r>
      <w:proofErr w:type="spellEnd"/>
      <w:r w:rsidRPr="00370873">
        <w:rPr>
          <w:rFonts w:ascii="Book Antiqua" w:hAnsi="Book Antiqua"/>
          <w:i/>
          <w:iCs/>
        </w:rPr>
        <w:t xml:space="preserve"> Blood Cancer</w:t>
      </w:r>
      <w:r w:rsidRPr="00370873">
        <w:rPr>
          <w:rFonts w:ascii="Book Antiqua" w:hAnsi="Book Antiqua"/>
        </w:rPr>
        <w:t xml:space="preserve"> 2014; </w:t>
      </w:r>
      <w:r w:rsidRPr="00370873">
        <w:rPr>
          <w:rFonts w:ascii="Book Antiqua" w:hAnsi="Book Antiqua"/>
          <w:b/>
          <w:bCs/>
        </w:rPr>
        <w:t>61</w:t>
      </w:r>
      <w:r w:rsidRPr="00370873">
        <w:rPr>
          <w:rFonts w:ascii="Book Antiqua" w:hAnsi="Book Antiqua"/>
        </w:rPr>
        <w:t>: 949-950 [PMID: 24273036 DOI: 10.1002/pbc.24869]</w:t>
      </w:r>
    </w:p>
    <w:p w14:paraId="7EF86404"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7 </w:t>
      </w:r>
      <w:r w:rsidRPr="00370873">
        <w:rPr>
          <w:rFonts w:ascii="Book Antiqua" w:hAnsi="Book Antiqua"/>
          <w:b/>
          <w:bCs/>
        </w:rPr>
        <w:t>Magee C</w:t>
      </w:r>
      <w:r w:rsidRPr="00370873">
        <w:rPr>
          <w:rFonts w:ascii="Book Antiqua" w:hAnsi="Book Antiqua"/>
        </w:rPr>
        <w:t xml:space="preserve">. Kidney disease and death from cancer. </w:t>
      </w:r>
      <w:r w:rsidRPr="00370873">
        <w:rPr>
          <w:rFonts w:ascii="Book Antiqua" w:hAnsi="Book Antiqua"/>
          <w:i/>
          <w:iCs/>
        </w:rPr>
        <w:t>Am J Kidney Dis</w:t>
      </w:r>
      <w:r w:rsidRPr="00370873">
        <w:rPr>
          <w:rFonts w:ascii="Book Antiqua" w:hAnsi="Book Antiqua"/>
        </w:rPr>
        <w:t xml:space="preserve"> 2014; </w:t>
      </w:r>
      <w:r w:rsidRPr="00370873">
        <w:rPr>
          <w:rFonts w:ascii="Book Antiqua" w:hAnsi="Book Antiqua"/>
          <w:b/>
          <w:bCs/>
        </w:rPr>
        <w:t>63</w:t>
      </w:r>
      <w:r w:rsidRPr="00370873">
        <w:rPr>
          <w:rFonts w:ascii="Book Antiqua" w:hAnsi="Book Antiqua"/>
        </w:rPr>
        <w:t>: 7-9 [PMID: 24360223 DOI: 10.1053/j.ajkd.2013.10.003]</w:t>
      </w:r>
    </w:p>
    <w:p w14:paraId="1A21D78E" w14:textId="77777777" w:rsidR="002B3C61" w:rsidRPr="00370873" w:rsidRDefault="002B3C61" w:rsidP="00370873">
      <w:pPr>
        <w:spacing w:line="360" w:lineRule="auto"/>
        <w:jc w:val="both"/>
        <w:rPr>
          <w:rFonts w:ascii="Book Antiqua" w:hAnsi="Book Antiqua"/>
        </w:rPr>
      </w:pPr>
      <w:r w:rsidRPr="00370873">
        <w:rPr>
          <w:rFonts w:ascii="Book Antiqua" w:hAnsi="Book Antiqua"/>
          <w:highlight w:val="yellow"/>
        </w:rPr>
        <w:t xml:space="preserve">8 </w:t>
      </w:r>
      <w:r w:rsidRPr="00370873">
        <w:rPr>
          <w:rFonts w:ascii="Book Antiqua" w:hAnsi="Book Antiqua"/>
          <w:b/>
          <w:bCs/>
          <w:highlight w:val="yellow"/>
        </w:rPr>
        <w:t>US Food and Drug Administration</w:t>
      </w:r>
      <w:r w:rsidRPr="00370873">
        <w:rPr>
          <w:rFonts w:ascii="Book Antiqua" w:hAnsi="Book Antiqua"/>
          <w:highlight w:val="yellow"/>
        </w:rPr>
        <w:t>. Draft guidance for industry. Pharmacokinetics in patients with impaired renal function—study design, data analysis, and impact on dosing and labeling. 2014. [cited 19 September 2020]. Available from: http://www.fda.gov/downloads/Drugs/Guidances/UCM204959.pdf</w:t>
      </w:r>
    </w:p>
    <w:p w14:paraId="1F571DDB" w14:textId="77777777" w:rsidR="002B3C61" w:rsidRPr="00370873" w:rsidRDefault="002B3C61" w:rsidP="00370873">
      <w:pPr>
        <w:spacing w:line="360" w:lineRule="auto"/>
        <w:jc w:val="both"/>
        <w:rPr>
          <w:rFonts w:ascii="Book Antiqua" w:hAnsi="Book Antiqua"/>
        </w:rPr>
      </w:pPr>
      <w:r w:rsidRPr="00370873">
        <w:rPr>
          <w:rFonts w:ascii="Book Antiqua" w:hAnsi="Book Antiqua"/>
          <w:highlight w:val="yellow"/>
        </w:rPr>
        <w:t xml:space="preserve">9 </w:t>
      </w:r>
      <w:r w:rsidRPr="00370873">
        <w:rPr>
          <w:rFonts w:ascii="Book Antiqua" w:hAnsi="Book Antiqua"/>
          <w:b/>
          <w:bCs/>
          <w:highlight w:val="yellow"/>
        </w:rPr>
        <w:t>US Food and Drug Administration</w:t>
      </w:r>
      <w:r w:rsidRPr="00370873">
        <w:rPr>
          <w:rFonts w:ascii="Book Antiqua" w:hAnsi="Book Antiqua"/>
          <w:highlight w:val="yellow"/>
        </w:rPr>
        <w:t>. Pharmacokinetics in patients with impaired renal function—study design, data analysis, and impact on dosing and labeling. 1998. [cited 19 September 2020]. Available from: http://www.fda.gov/downloads/Drugs/GuidanceComplianceRegulatoryInformation/Guidances/ucm072127.pdf</w:t>
      </w:r>
    </w:p>
    <w:p w14:paraId="6C212808" w14:textId="77777777" w:rsidR="002B3C61" w:rsidRPr="00370873" w:rsidRDefault="002B3C61" w:rsidP="00370873">
      <w:pPr>
        <w:spacing w:line="360" w:lineRule="auto"/>
        <w:jc w:val="both"/>
        <w:rPr>
          <w:rFonts w:ascii="Book Antiqua" w:hAnsi="Book Antiqua"/>
        </w:rPr>
      </w:pPr>
      <w:r w:rsidRPr="00370873">
        <w:rPr>
          <w:rFonts w:ascii="Book Antiqua" w:hAnsi="Book Antiqua"/>
        </w:rPr>
        <w:lastRenderedPageBreak/>
        <w:t xml:space="preserve">10 </w:t>
      </w:r>
      <w:r w:rsidRPr="00370873">
        <w:rPr>
          <w:rFonts w:ascii="Book Antiqua" w:hAnsi="Book Antiqua"/>
          <w:b/>
          <w:bCs/>
        </w:rPr>
        <w:t>Modi G</w:t>
      </w:r>
      <w:r w:rsidRPr="00370873">
        <w:rPr>
          <w:rFonts w:ascii="Book Antiqua" w:hAnsi="Book Antiqua"/>
        </w:rPr>
        <w:t xml:space="preserve">, </w:t>
      </w:r>
      <w:proofErr w:type="spellStart"/>
      <w:r w:rsidRPr="00370873">
        <w:rPr>
          <w:rFonts w:ascii="Book Antiqua" w:hAnsi="Book Antiqua"/>
        </w:rPr>
        <w:t>Madabhavi</w:t>
      </w:r>
      <w:proofErr w:type="spellEnd"/>
      <w:r w:rsidRPr="00370873">
        <w:rPr>
          <w:rFonts w:ascii="Book Antiqua" w:hAnsi="Book Antiqua"/>
        </w:rPr>
        <w:t xml:space="preserve"> I, Patel A, Anand A. Treatment of breast cancer in a patient of Alport syndrome-induced chronic renal failure: A triumph story. </w:t>
      </w:r>
      <w:r w:rsidRPr="00370873">
        <w:rPr>
          <w:rFonts w:ascii="Book Antiqua" w:hAnsi="Book Antiqua"/>
          <w:i/>
          <w:iCs/>
        </w:rPr>
        <w:t xml:space="preserve">J Cancer Res </w:t>
      </w:r>
      <w:proofErr w:type="spellStart"/>
      <w:r w:rsidRPr="00370873">
        <w:rPr>
          <w:rFonts w:ascii="Book Antiqua" w:hAnsi="Book Antiqua"/>
          <w:i/>
          <w:iCs/>
        </w:rPr>
        <w:t>Ther</w:t>
      </w:r>
      <w:proofErr w:type="spellEnd"/>
      <w:r w:rsidRPr="00370873">
        <w:rPr>
          <w:rFonts w:ascii="Book Antiqua" w:hAnsi="Book Antiqua"/>
        </w:rPr>
        <w:t xml:space="preserve"> 2018; </w:t>
      </w:r>
      <w:r w:rsidRPr="00370873">
        <w:rPr>
          <w:rFonts w:ascii="Book Antiqua" w:hAnsi="Book Antiqua"/>
          <w:b/>
          <w:bCs/>
        </w:rPr>
        <w:t>14</w:t>
      </w:r>
      <w:r w:rsidRPr="00370873">
        <w:rPr>
          <w:rFonts w:ascii="Book Antiqua" w:hAnsi="Book Antiqua"/>
        </w:rPr>
        <w:t>: 462-464 [PMID: 29516942 DOI: 10.4103/0973-1482.180680]</w:t>
      </w:r>
    </w:p>
    <w:p w14:paraId="4F09B411"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11 </w:t>
      </w:r>
      <w:proofErr w:type="spellStart"/>
      <w:r w:rsidRPr="00370873">
        <w:rPr>
          <w:rFonts w:ascii="Book Antiqua" w:hAnsi="Book Antiqua"/>
          <w:b/>
          <w:bCs/>
        </w:rPr>
        <w:t>Gradishar</w:t>
      </w:r>
      <w:proofErr w:type="spellEnd"/>
      <w:r w:rsidRPr="00370873">
        <w:rPr>
          <w:rFonts w:ascii="Book Antiqua" w:hAnsi="Book Antiqua"/>
          <w:b/>
          <w:bCs/>
        </w:rPr>
        <w:t xml:space="preserve"> WJ</w:t>
      </w:r>
      <w:r w:rsidRPr="00370873">
        <w:rPr>
          <w:rFonts w:ascii="Book Antiqua" w:hAnsi="Book Antiqua"/>
        </w:rPr>
        <w:t xml:space="preserve">, Anderson BO, Abraham J, Aft R, Agnese D, Allison KH, Blair SL, Burstein HJ, Dang C, Elias AD, Giordano SH, Goetz MP, Goldstein LJ, </w:t>
      </w:r>
      <w:proofErr w:type="spellStart"/>
      <w:r w:rsidRPr="00370873">
        <w:rPr>
          <w:rFonts w:ascii="Book Antiqua" w:hAnsi="Book Antiqua"/>
        </w:rPr>
        <w:t>Isakoff</w:t>
      </w:r>
      <w:proofErr w:type="spellEnd"/>
      <w:r w:rsidRPr="00370873">
        <w:rPr>
          <w:rFonts w:ascii="Book Antiqua" w:hAnsi="Book Antiqua"/>
        </w:rPr>
        <w:t xml:space="preserve"> SJ, Krishnamurthy J, Lyons J, Marcom PK, </w:t>
      </w:r>
      <w:proofErr w:type="spellStart"/>
      <w:r w:rsidRPr="00370873">
        <w:rPr>
          <w:rFonts w:ascii="Book Antiqua" w:hAnsi="Book Antiqua"/>
        </w:rPr>
        <w:t>Matro</w:t>
      </w:r>
      <w:proofErr w:type="spellEnd"/>
      <w:r w:rsidRPr="00370873">
        <w:rPr>
          <w:rFonts w:ascii="Book Antiqua" w:hAnsi="Book Antiqua"/>
        </w:rPr>
        <w:t xml:space="preserve"> J, Mayer IA, Moran MS, Mortimer J, </w:t>
      </w:r>
      <w:proofErr w:type="spellStart"/>
      <w:r w:rsidRPr="00370873">
        <w:rPr>
          <w:rFonts w:ascii="Book Antiqua" w:hAnsi="Book Antiqua"/>
        </w:rPr>
        <w:t>O'Regan</w:t>
      </w:r>
      <w:proofErr w:type="spellEnd"/>
      <w:r w:rsidRPr="00370873">
        <w:rPr>
          <w:rFonts w:ascii="Book Antiqua" w:hAnsi="Book Antiqua"/>
        </w:rPr>
        <w:t xml:space="preserve"> RM, Patel SA, Pierce LJ, </w:t>
      </w:r>
      <w:proofErr w:type="spellStart"/>
      <w:r w:rsidRPr="00370873">
        <w:rPr>
          <w:rFonts w:ascii="Book Antiqua" w:hAnsi="Book Antiqua"/>
        </w:rPr>
        <w:t>Rugo</w:t>
      </w:r>
      <w:proofErr w:type="spellEnd"/>
      <w:r w:rsidRPr="00370873">
        <w:rPr>
          <w:rFonts w:ascii="Book Antiqua" w:hAnsi="Book Antiqua"/>
        </w:rPr>
        <w:t xml:space="preserve"> HS, </w:t>
      </w:r>
      <w:proofErr w:type="spellStart"/>
      <w:r w:rsidRPr="00370873">
        <w:rPr>
          <w:rFonts w:ascii="Book Antiqua" w:hAnsi="Book Antiqua"/>
        </w:rPr>
        <w:t>Sitapati</w:t>
      </w:r>
      <w:proofErr w:type="spellEnd"/>
      <w:r w:rsidRPr="00370873">
        <w:rPr>
          <w:rFonts w:ascii="Book Antiqua" w:hAnsi="Book Antiqua"/>
        </w:rPr>
        <w:t xml:space="preserve"> A, Smith KL, Smith ML, Soliman H, Stringer-</w:t>
      </w:r>
      <w:proofErr w:type="spellStart"/>
      <w:r w:rsidRPr="00370873">
        <w:rPr>
          <w:rFonts w:ascii="Book Antiqua" w:hAnsi="Book Antiqua"/>
        </w:rPr>
        <w:t>Reasor</w:t>
      </w:r>
      <w:proofErr w:type="spellEnd"/>
      <w:r w:rsidRPr="00370873">
        <w:rPr>
          <w:rFonts w:ascii="Book Antiqua" w:hAnsi="Book Antiqua"/>
        </w:rPr>
        <w:t xml:space="preserve"> EM, </w:t>
      </w:r>
      <w:proofErr w:type="spellStart"/>
      <w:r w:rsidRPr="00370873">
        <w:rPr>
          <w:rFonts w:ascii="Book Antiqua" w:hAnsi="Book Antiqua"/>
        </w:rPr>
        <w:t>Telli</w:t>
      </w:r>
      <w:proofErr w:type="spellEnd"/>
      <w:r w:rsidRPr="00370873">
        <w:rPr>
          <w:rFonts w:ascii="Book Antiqua" w:hAnsi="Book Antiqua"/>
        </w:rPr>
        <w:t xml:space="preserve"> ML, Ward JH, Young JS, Burns JL, Kumar R. Breast Cancer, Version 3.2020, NCCN Clinical Practice Guidelines in Oncology. </w:t>
      </w:r>
      <w:r w:rsidRPr="00370873">
        <w:rPr>
          <w:rFonts w:ascii="Book Antiqua" w:hAnsi="Book Antiqua"/>
          <w:i/>
          <w:iCs/>
        </w:rPr>
        <w:t xml:space="preserve">J Natl </w:t>
      </w:r>
      <w:proofErr w:type="spellStart"/>
      <w:r w:rsidRPr="00370873">
        <w:rPr>
          <w:rFonts w:ascii="Book Antiqua" w:hAnsi="Book Antiqua"/>
          <w:i/>
          <w:iCs/>
        </w:rPr>
        <w:t>Compr</w:t>
      </w:r>
      <w:proofErr w:type="spellEnd"/>
      <w:r w:rsidRPr="00370873">
        <w:rPr>
          <w:rFonts w:ascii="Book Antiqua" w:hAnsi="Book Antiqua"/>
          <w:i/>
          <w:iCs/>
        </w:rPr>
        <w:t xml:space="preserve"> </w:t>
      </w:r>
      <w:proofErr w:type="spellStart"/>
      <w:r w:rsidRPr="00370873">
        <w:rPr>
          <w:rFonts w:ascii="Book Antiqua" w:hAnsi="Book Antiqua"/>
          <w:i/>
          <w:iCs/>
        </w:rPr>
        <w:t>Canc</w:t>
      </w:r>
      <w:proofErr w:type="spellEnd"/>
      <w:r w:rsidRPr="00370873">
        <w:rPr>
          <w:rFonts w:ascii="Book Antiqua" w:hAnsi="Book Antiqua"/>
          <w:i/>
          <w:iCs/>
        </w:rPr>
        <w:t xml:space="preserve"> </w:t>
      </w:r>
      <w:proofErr w:type="spellStart"/>
      <w:r w:rsidRPr="00370873">
        <w:rPr>
          <w:rFonts w:ascii="Book Antiqua" w:hAnsi="Book Antiqua"/>
          <w:i/>
          <w:iCs/>
        </w:rPr>
        <w:t>Netw</w:t>
      </w:r>
      <w:proofErr w:type="spellEnd"/>
      <w:r w:rsidRPr="00370873">
        <w:rPr>
          <w:rFonts w:ascii="Book Antiqua" w:hAnsi="Book Antiqua"/>
        </w:rPr>
        <w:t xml:space="preserve"> 2020; </w:t>
      </w:r>
      <w:r w:rsidRPr="00370873">
        <w:rPr>
          <w:rFonts w:ascii="Book Antiqua" w:hAnsi="Book Antiqua"/>
          <w:b/>
          <w:bCs/>
        </w:rPr>
        <w:t>18</w:t>
      </w:r>
      <w:r w:rsidRPr="00370873">
        <w:rPr>
          <w:rFonts w:ascii="Book Antiqua" w:hAnsi="Book Antiqua"/>
        </w:rPr>
        <w:t>: 452-478 [PMID: 32259783 DOI: 10.6004/jnccn.2020.0016]</w:t>
      </w:r>
    </w:p>
    <w:p w14:paraId="424DBF13"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12 </w:t>
      </w:r>
      <w:r w:rsidRPr="00370873">
        <w:rPr>
          <w:rFonts w:ascii="Book Antiqua" w:hAnsi="Book Antiqua"/>
          <w:b/>
          <w:bCs/>
        </w:rPr>
        <w:t>Li YF</w:t>
      </w:r>
      <w:r w:rsidRPr="00370873">
        <w:rPr>
          <w:rFonts w:ascii="Book Antiqua" w:hAnsi="Book Antiqua"/>
        </w:rPr>
        <w:t xml:space="preserve">, Fu S, Hu W, Liu JH, Finkel KW, </w:t>
      </w:r>
      <w:proofErr w:type="spellStart"/>
      <w:r w:rsidRPr="00370873">
        <w:rPr>
          <w:rFonts w:ascii="Book Antiqua" w:hAnsi="Book Antiqua"/>
        </w:rPr>
        <w:t>Gershenson</w:t>
      </w:r>
      <w:proofErr w:type="spellEnd"/>
      <w:r w:rsidRPr="00370873">
        <w:rPr>
          <w:rFonts w:ascii="Book Antiqua" w:hAnsi="Book Antiqua"/>
        </w:rPr>
        <w:t xml:space="preserve"> DM, Kavanagh JJ. Systemic anticancer therapy in gynecological cancer patients with renal dysfunction. </w:t>
      </w:r>
      <w:r w:rsidRPr="00370873">
        <w:rPr>
          <w:rFonts w:ascii="Book Antiqua" w:hAnsi="Book Antiqua"/>
          <w:i/>
          <w:iCs/>
        </w:rPr>
        <w:t xml:space="preserve">Int J </w:t>
      </w:r>
      <w:proofErr w:type="spellStart"/>
      <w:r w:rsidRPr="00370873">
        <w:rPr>
          <w:rFonts w:ascii="Book Antiqua" w:hAnsi="Book Antiqua"/>
          <w:i/>
          <w:iCs/>
        </w:rPr>
        <w:t>Gynecol</w:t>
      </w:r>
      <w:proofErr w:type="spellEnd"/>
      <w:r w:rsidRPr="00370873">
        <w:rPr>
          <w:rFonts w:ascii="Book Antiqua" w:hAnsi="Book Antiqua"/>
          <w:i/>
          <w:iCs/>
        </w:rPr>
        <w:t xml:space="preserve"> Cancer</w:t>
      </w:r>
      <w:r w:rsidRPr="00370873">
        <w:rPr>
          <w:rFonts w:ascii="Book Antiqua" w:hAnsi="Book Antiqua"/>
        </w:rPr>
        <w:t xml:space="preserve"> 2007; </w:t>
      </w:r>
      <w:r w:rsidRPr="00370873">
        <w:rPr>
          <w:rFonts w:ascii="Book Antiqua" w:hAnsi="Book Antiqua"/>
          <w:b/>
          <w:bCs/>
        </w:rPr>
        <w:t>17</w:t>
      </w:r>
      <w:r w:rsidRPr="00370873">
        <w:rPr>
          <w:rFonts w:ascii="Book Antiqua" w:hAnsi="Book Antiqua"/>
        </w:rPr>
        <w:t>: 739-763 [PMID: 17309673 DOI: 10.1111/j.1525-1438.</w:t>
      </w:r>
      <w:proofErr w:type="gramStart"/>
      <w:r w:rsidRPr="00370873">
        <w:rPr>
          <w:rFonts w:ascii="Book Antiqua" w:hAnsi="Book Antiqua"/>
        </w:rPr>
        <w:t>2007.00847.x</w:t>
      </w:r>
      <w:proofErr w:type="gramEnd"/>
      <w:r w:rsidRPr="00370873">
        <w:rPr>
          <w:rFonts w:ascii="Book Antiqua" w:hAnsi="Book Antiqua"/>
        </w:rPr>
        <w:t>]</w:t>
      </w:r>
    </w:p>
    <w:p w14:paraId="3BA82002"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13 </w:t>
      </w:r>
      <w:proofErr w:type="spellStart"/>
      <w:r w:rsidRPr="00370873">
        <w:rPr>
          <w:rFonts w:ascii="Book Antiqua" w:hAnsi="Book Antiqua"/>
          <w:b/>
          <w:bCs/>
        </w:rPr>
        <w:t>Kadari</w:t>
      </w:r>
      <w:proofErr w:type="spellEnd"/>
      <w:r w:rsidRPr="00370873">
        <w:rPr>
          <w:rFonts w:ascii="Book Antiqua" w:hAnsi="Book Antiqua"/>
          <w:b/>
          <w:bCs/>
        </w:rPr>
        <w:t xml:space="preserve"> A</w:t>
      </w:r>
      <w:r w:rsidRPr="00370873">
        <w:rPr>
          <w:rFonts w:ascii="Book Antiqua" w:hAnsi="Book Antiqua"/>
        </w:rPr>
        <w:t xml:space="preserve">, Pooja D, Gora RH, </w:t>
      </w:r>
      <w:proofErr w:type="spellStart"/>
      <w:r w:rsidRPr="00370873">
        <w:rPr>
          <w:rFonts w:ascii="Book Antiqua" w:hAnsi="Book Antiqua"/>
        </w:rPr>
        <w:t>Gudem</w:t>
      </w:r>
      <w:proofErr w:type="spellEnd"/>
      <w:r w:rsidRPr="00370873">
        <w:rPr>
          <w:rFonts w:ascii="Book Antiqua" w:hAnsi="Book Antiqua"/>
        </w:rPr>
        <w:t xml:space="preserve"> S, </w:t>
      </w:r>
      <w:proofErr w:type="spellStart"/>
      <w:r w:rsidRPr="00370873">
        <w:rPr>
          <w:rFonts w:ascii="Book Antiqua" w:hAnsi="Book Antiqua"/>
        </w:rPr>
        <w:t>Kolapalli</w:t>
      </w:r>
      <w:proofErr w:type="spellEnd"/>
      <w:r w:rsidRPr="00370873">
        <w:rPr>
          <w:rFonts w:ascii="Book Antiqua" w:hAnsi="Book Antiqua"/>
        </w:rPr>
        <w:t xml:space="preserve"> VRM, </w:t>
      </w:r>
      <w:proofErr w:type="spellStart"/>
      <w:r w:rsidRPr="00370873">
        <w:rPr>
          <w:rFonts w:ascii="Book Antiqua" w:hAnsi="Book Antiqua"/>
        </w:rPr>
        <w:t>Kulhari</w:t>
      </w:r>
      <w:proofErr w:type="spellEnd"/>
      <w:r w:rsidRPr="00370873">
        <w:rPr>
          <w:rFonts w:ascii="Book Antiqua" w:hAnsi="Book Antiqua"/>
        </w:rPr>
        <w:t xml:space="preserve"> H, </w:t>
      </w:r>
      <w:proofErr w:type="spellStart"/>
      <w:r w:rsidRPr="00370873">
        <w:rPr>
          <w:rFonts w:ascii="Book Antiqua" w:hAnsi="Book Antiqua"/>
        </w:rPr>
        <w:t>Sistla</w:t>
      </w:r>
      <w:proofErr w:type="spellEnd"/>
      <w:r w:rsidRPr="00370873">
        <w:rPr>
          <w:rFonts w:ascii="Book Antiqua" w:hAnsi="Book Antiqua"/>
        </w:rPr>
        <w:t xml:space="preserve"> R. Design of multifunctional peptide collaborated and docetaxel loaded lipid nanoparticles for </w:t>
      </w:r>
      <w:proofErr w:type="spellStart"/>
      <w:r w:rsidRPr="00370873">
        <w:rPr>
          <w:rFonts w:ascii="Book Antiqua" w:hAnsi="Book Antiqua"/>
        </w:rPr>
        <w:t>antiglioma</w:t>
      </w:r>
      <w:proofErr w:type="spellEnd"/>
      <w:r w:rsidRPr="00370873">
        <w:rPr>
          <w:rFonts w:ascii="Book Antiqua" w:hAnsi="Book Antiqua"/>
        </w:rPr>
        <w:t xml:space="preserve"> therapy. </w:t>
      </w:r>
      <w:r w:rsidRPr="00370873">
        <w:rPr>
          <w:rFonts w:ascii="Book Antiqua" w:hAnsi="Book Antiqua"/>
          <w:i/>
          <w:iCs/>
        </w:rPr>
        <w:t xml:space="preserve">Eur J Pharm </w:t>
      </w:r>
      <w:proofErr w:type="spellStart"/>
      <w:r w:rsidRPr="00370873">
        <w:rPr>
          <w:rFonts w:ascii="Book Antiqua" w:hAnsi="Book Antiqua"/>
          <w:i/>
          <w:iCs/>
        </w:rPr>
        <w:t>Biopharm</w:t>
      </w:r>
      <w:proofErr w:type="spellEnd"/>
      <w:r w:rsidRPr="00370873">
        <w:rPr>
          <w:rFonts w:ascii="Book Antiqua" w:hAnsi="Book Antiqua"/>
        </w:rPr>
        <w:t xml:space="preserve"> 2018; </w:t>
      </w:r>
      <w:r w:rsidRPr="00370873">
        <w:rPr>
          <w:rFonts w:ascii="Book Antiqua" w:hAnsi="Book Antiqua"/>
          <w:b/>
          <w:bCs/>
        </w:rPr>
        <w:t>132</w:t>
      </w:r>
      <w:r w:rsidRPr="00370873">
        <w:rPr>
          <w:rFonts w:ascii="Book Antiqua" w:hAnsi="Book Antiqua"/>
        </w:rPr>
        <w:t>: 168-179 [PMID: 30244167 DOI: 10.1016/j.ejpb.2018.09.012]</w:t>
      </w:r>
    </w:p>
    <w:p w14:paraId="3BE0B9FA"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14 </w:t>
      </w:r>
      <w:r w:rsidRPr="00370873">
        <w:rPr>
          <w:rFonts w:ascii="Book Antiqua" w:hAnsi="Book Antiqua"/>
          <w:b/>
          <w:bCs/>
        </w:rPr>
        <w:t>Kosmas C</w:t>
      </w:r>
      <w:r w:rsidRPr="00370873">
        <w:rPr>
          <w:rFonts w:ascii="Book Antiqua" w:hAnsi="Book Antiqua"/>
        </w:rPr>
        <w:t xml:space="preserve">, </w:t>
      </w:r>
      <w:proofErr w:type="spellStart"/>
      <w:r w:rsidRPr="00370873">
        <w:rPr>
          <w:rFonts w:ascii="Book Antiqua" w:hAnsi="Book Antiqua"/>
        </w:rPr>
        <w:t>Tsavaris</w:t>
      </w:r>
      <w:proofErr w:type="spellEnd"/>
      <w:r w:rsidRPr="00370873">
        <w:rPr>
          <w:rFonts w:ascii="Book Antiqua" w:hAnsi="Book Antiqua"/>
        </w:rPr>
        <w:t xml:space="preserve"> N, </w:t>
      </w:r>
      <w:proofErr w:type="spellStart"/>
      <w:r w:rsidRPr="00370873">
        <w:rPr>
          <w:rFonts w:ascii="Book Antiqua" w:hAnsi="Book Antiqua"/>
        </w:rPr>
        <w:t>Malamos</w:t>
      </w:r>
      <w:proofErr w:type="spellEnd"/>
      <w:r w:rsidRPr="00370873">
        <w:rPr>
          <w:rFonts w:ascii="Book Antiqua" w:hAnsi="Book Antiqua"/>
        </w:rPr>
        <w:t xml:space="preserve"> N, </w:t>
      </w:r>
      <w:proofErr w:type="spellStart"/>
      <w:r w:rsidRPr="00370873">
        <w:rPr>
          <w:rFonts w:ascii="Book Antiqua" w:hAnsi="Book Antiqua"/>
        </w:rPr>
        <w:t>Stavroyianni</w:t>
      </w:r>
      <w:proofErr w:type="spellEnd"/>
      <w:r w:rsidRPr="00370873">
        <w:rPr>
          <w:rFonts w:ascii="Book Antiqua" w:hAnsi="Book Antiqua"/>
        </w:rPr>
        <w:t xml:space="preserve"> N, </w:t>
      </w:r>
      <w:proofErr w:type="spellStart"/>
      <w:r w:rsidRPr="00370873">
        <w:rPr>
          <w:rFonts w:ascii="Book Antiqua" w:hAnsi="Book Antiqua"/>
        </w:rPr>
        <w:t>Gregoriou</w:t>
      </w:r>
      <w:proofErr w:type="spellEnd"/>
      <w:r w:rsidRPr="00370873">
        <w:rPr>
          <w:rFonts w:ascii="Book Antiqua" w:hAnsi="Book Antiqua"/>
        </w:rPr>
        <w:t xml:space="preserve"> A, </w:t>
      </w:r>
      <w:proofErr w:type="spellStart"/>
      <w:r w:rsidRPr="00370873">
        <w:rPr>
          <w:rFonts w:ascii="Book Antiqua" w:hAnsi="Book Antiqua"/>
        </w:rPr>
        <w:t>Rokana</w:t>
      </w:r>
      <w:proofErr w:type="spellEnd"/>
      <w:r w:rsidRPr="00370873">
        <w:rPr>
          <w:rFonts w:ascii="Book Antiqua" w:hAnsi="Book Antiqua"/>
        </w:rPr>
        <w:t xml:space="preserve"> S, </w:t>
      </w:r>
      <w:proofErr w:type="spellStart"/>
      <w:r w:rsidRPr="00370873">
        <w:rPr>
          <w:rFonts w:ascii="Book Antiqua" w:hAnsi="Book Antiqua"/>
        </w:rPr>
        <w:t>Polyzos</w:t>
      </w:r>
      <w:proofErr w:type="spellEnd"/>
      <w:r w:rsidRPr="00370873">
        <w:rPr>
          <w:rFonts w:ascii="Book Antiqua" w:hAnsi="Book Antiqua"/>
        </w:rPr>
        <w:t xml:space="preserve"> A. Phase I-II study of docetaxel and </w:t>
      </w:r>
      <w:proofErr w:type="spellStart"/>
      <w:r w:rsidRPr="00370873">
        <w:rPr>
          <w:rFonts w:ascii="Book Antiqua" w:hAnsi="Book Antiqua"/>
        </w:rPr>
        <w:t>ifosfamide</w:t>
      </w:r>
      <w:proofErr w:type="spellEnd"/>
      <w:r w:rsidRPr="00370873">
        <w:rPr>
          <w:rFonts w:ascii="Book Antiqua" w:hAnsi="Book Antiqua"/>
        </w:rPr>
        <w:t xml:space="preserve"> combination in patients with anthracycline pretreated advanced breast cancer. </w:t>
      </w:r>
      <w:r w:rsidRPr="00370873">
        <w:rPr>
          <w:rFonts w:ascii="Book Antiqua" w:hAnsi="Book Antiqua"/>
          <w:i/>
          <w:iCs/>
        </w:rPr>
        <w:t>Br J Cancer</w:t>
      </w:r>
      <w:r w:rsidRPr="00370873">
        <w:rPr>
          <w:rFonts w:ascii="Book Antiqua" w:hAnsi="Book Antiqua"/>
        </w:rPr>
        <w:t xml:space="preserve"> 2003; </w:t>
      </w:r>
      <w:r w:rsidRPr="00370873">
        <w:rPr>
          <w:rFonts w:ascii="Book Antiqua" w:hAnsi="Book Antiqua"/>
          <w:b/>
          <w:bCs/>
        </w:rPr>
        <w:t>88</w:t>
      </w:r>
      <w:r w:rsidRPr="00370873">
        <w:rPr>
          <w:rFonts w:ascii="Book Antiqua" w:hAnsi="Book Antiqua"/>
        </w:rPr>
        <w:t>: 1168-1174 [PMID: 12698179 DOI: 10.1038/sj.bjc.6600887]</w:t>
      </w:r>
    </w:p>
    <w:p w14:paraId="374B9013"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15 </w:t>
      </w:r>
      <w:proofErr w:type="spellStart"/>
      <w:r w:rsidRPr="00370873">
        <w:rPr>
          <w:rFonts w:ascii="Book Antiqua" w:hAnsi="Book Antiqua"/>
          <w:b/>
          <w:bCs/>
        </w:rPr>
        <w:t>Kenmotsu</w:t>
      </w:r>
      <w:proofErr w:type="spellEnd"/>
      <w:r w:rsidRPr="00370873">
        <w:rPr>
          <w:rFonts w:ascii="Book Antiqua" w:hAnsi="Book Antiqua"/>
          <w:b/>
          <w:bCs/>
        </w:rPr>
        <w:t xml:space="preserve"> H</w:t>
      </w:r>
      <w:r w:rsidRPr="00370873">
        <w:rPr>
          <w:rFonts w:ascii="Book Antiqua" w:hAnsi="Book Antiqua"/>
        </w:rPr>
        <w:t xml:space="preserve">, </w:t>
      </w:r>
      <w:proofErr w:type="spellStart"/>
      <w:r w:rsidRPr="00370873">
        <w:rPr>
          <w:rFonts w:ascii="Book Antiqua" w:hAnsi="Book Antiqua"/>
        </w:rPr>
        <w:t>Tanigawara</w:t>
      </w:r>
      <w:proofErr w:type="spellEnd"/>
      <w:r w:rsidRPr="00370873">
        <w:rPr>
          <w:rFonts w:ascii="Book Antiqua" w:hAnsi="Book Antiqua"/>
        </w:rPr>
        <w:t xml:space="preserve"> Y. Pharmacokinetics, dynamics and toxicity of docetaxel: Why the Japanese dose differs from the Western dose. </w:t>
      </w:r>
      <w:r w:rsidRPr="00370873">
        <w:rPr>
          <w:rFonts w:ascii="Book Antiqua" w:hAnsi="Book Antiqua"/>
          <w:i/>
          <w:iCs/>
        </w:rPr>
        <w:t>Cancer Sci</w:t>
      </w:r>
      <w:r w:rsidRPr="00370873">
        <w:rPr>
          <w:rFonts w:ascii="Book Antiqua" w:hAnsi="Book Antiqua"/>
        </w:rPr>
        <w:t xml:space="preserve"> 2015; </w:t>
      </w:r>
      <w:r w:rsidRPr="00370873">
        <w:rPr>
          <w:rFonts w:ascii="Book Antiqua" w:hAnsi="Book Antiqua"/>
          <w:b/>
          <w:bCs/>
        </w:rPr>
        <w:t>106</w:t>
      </w:r>
      <w:r w:rsidRPr="00370873">
        <w:rPr>
          <w:rFonts w:ascii="Book Antiqua" w:hAnsi="Book Antiqua"/>
        </w:rPr>
        <w:t>: 497-504 [PMID: 25728850 DOI: 10.1111/cas.12647]</w:t>
      </w:r>
    </w:p>
    <w:p w14:paraId="68E30417"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16 </w:t>
      </w:r>
      <w:r w:rsidRPr="00370873">
        <w:rPr>
          <w:rFonts w:ascii="Book Antiqua" w:hAnsi="Book Antiqua"/>
          <w:b/>
          <w:bCs/>
        </w:rPr>
        <w:t>Yang L</w:t>
      </w:r>
      <w:r w:rsidRPr="00370873">
        <w:rPr>
          <w:rFonts w:ascii="Book Antiqua" w:hAnsi="Book Antiqua"/>
        </w:rPr>
        <w:t xml:space="preserve">, Zhang XC, Yu SF, Zhu HQ, Hu AP, Chen J, Shen P. Pharmacokinetics and safety of cyclophosphamide and docetaxel in a hemodialysis patient with </w:t>
      </w:r>
      <w:proofErr w:type="gramStart"/>
      <w:r w:rsidRPr="00370873">
        <w:rPr>
          <w:rFonts w:ascii="Book Antiqua" w:hAnsi="Book Antiqua"/>
        </w:rPr>
        <w:t>early stage</w:t>
      </w:r>
      <w:proofErr w:type="gramEnd"/>
      <w:r w:rsidRPr="00370873">
        <w:rPr>
          <w:rFonts w:ascii="Book Antiqua" w:hAnsi="Book Antiqua"/>
        </w:rPr>
        <w:t xml:space="preserve"> breast cancer: a case report. </w:t>
      </w:r>
      <w:r w:rsidRPr="00370873">
        <w:rPr>
          <w:rFonts w:ascii="Book Antiqua" w:hAnsi="Book Antiqua"/>
          <w:i/>
          <w:iCs/>
        </w:rPr>
        <w:t>BMC Cancer</w:t>
      </w:r>
      <w:r w:rsidRPr="00370873">
        <w:rPr>
          <w:rFonts w:ascii="Book Antiqua" w:hAnsi="Book Antiqua"/>
        </w:rPr>
        <w:t xml:space="preserve"> 2015; </w:t>
      </w:r>
      <w:r w:rsidRPr="00370873">
        <w:rPr>
          <w:rFonts w:ascii="Book Antiqua" w:hAnsi="Book Antiqua"/>
          <w:b/>
          <w:bCs/>
        </w:rPr>
        <w:t>15</w:t>
      </w:r>
      <w:r w:rsidRPr="00370873">
        <w:rPr>
          <w:rFonts w:ascii="Book Antiqua" w:hAnsi="Book Antiqua"/>
        </w:rPr>
        <w:t>: 917 [PMID: 26582454 DOI: 10.1186/s12885-015-1932-3]</w:t>
      </w:r>
    </w:p>
    <w:p w14:paraId="6820C25E" w14:textId="77777777" w:rsidR="002B3C61" w:rsidRPr="00370873" w:rsidRDefault="002B3C61" w:rsidP="00370873">
      <w:pPr>
        <w:spacing w:line="360" w:lineRule="auto"/>
        <w:jc w:val="both"/>
        <w:rPr>
          <w:rFonts w:ascii="Book Antiqua" w:hAnsi="Book Antiqua"/>
        </w:rPr>
      </w:pPr>
      <w:r w:rsidRPr="00370873">
        <w:rPr>
          <w:rFonts w:ascii="Book Antiqua" w:hAnsi="Book Antiqua"/>
        </w:rPr>
        <w:lastRenderedPageBreak/>
        <w:t xml:space="preserve">17 </w:t>
      </w:r>
      <w:r w:rsidRPr="00370873">
        <w:rPr>
          <w:rFonts w:ascii="Book Antiqua" w:hAnsi="Book Antiqua"/>
          <w:b/>
          <w:bCs/>
        </w:rPr>
        <w:t>Liu W</w:t>
      </w:r>
      <w:r w:rsidRPr="00370873">
        <w:rPr>
          <w:rFonts w:ascii="Book Antiqua" w:hAnsi="Book Antiqua"/>
        </w:rPr>
        <w:t xml:space="preserve">, Peng JF, Tang MJ. Individualized Treatment Analysis </w:t>
      </w:r>
      <w:proofErr w:type="gramStart"/>
      <w:r w:rsidRPr="00370873">
        <w:rPr>
          <w:rFonts w:ascii="Book Antiqua" w:hAnsi="Book Antiqua"/>
        </w:rPr>
        <w:t>Of</w:t>
      </w:r>
      <w:proofErr w:type="gramEnd"/>
      <w:r w:rsidRPr="00370873">
        <w:rPr>
          <w:rFonts w:ascii="Book Antiqua" w:hAnsi="Book Antiqua"/>
        </w:rPr>
        <w:t xml:space="preserve"> Breast Cancer With Chronic Renal Failure. </w:t>
      </w:r>
      <w:proofErr w:type="spellStart"/>
      <w:r w:rsidRPr="00370873">
        <w:rPr>
          <w:rFonts w:ascii="Book Antiqua" w:hAnsi="Book Antiqua"/>
          <w:i/>
          <w:iCs/>
        </w:rPr>
        <w:t>Onco</w:t>
      </w:r>
      <w:proofErr w:type="spellEnd"/>
      <w:r w:rsidRPr="00370873">
        <w:rPr>
          <w:rFonts w:ascii="Book Antiqua" w:hAnsi="Book Antiqua"/>
          <w:i/>
          <w:iCs/>
        </w:rPr>
        <w:t xml:space="preserve"> Targets </w:t>
      </w:r>
      <w:proofErr w:type="spellStart"/>
      <w:r w:rsidRPr="00370873">
        <w:rPr>
          <w:rFonts w:ascii="Book Antiqua" w:hAnsi="Book Antiqua"/>
          <w:i/>
          <w:iCs/>
        </w:rPr>
        <w:t>Ther</w:t>
      </w:r>
      <w:proofErr w:type="spellEnd"/>
      <w:r w:rsidRPr="00370873">
        <w:rPr>
          <w:rFonts w:ascii="Book Antiqua" w:hAnsi="Book Antiqua"/>
        </w:rPr>
        <w:t xml:space="preserve"> 2019; </w:t>
      </w:r>
      <w:r w:rsidRPr="00370873">
        <w:rPr>
          <w:rFonts w:ascii="Book Antiqua" w:hAnsi="Book Antiqua"/>
          <w:b/>
          <w:bCs/>
        </w:rPr>
        <w:t>12</w:t>
      </w:r>
      <w:r w:rsidRPr="00370873">
        <w:rPr>
          <w:rFonts w:ascii="Book Antiqua" w:hAnsi="Book Antiqua"/>
        </w:rPr>
        <w:t>: 7767-7772 [PMID: 31571926 DOI: 10.2147/OTT.S223729]</w:t>
      </w:r>
    </w:p>
    <w:p w14:paraId="4BCD6C16"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18 </w:t>
      </w:r>
      <w:r w:rsidRPr="00370873">
        <w:rPr>
          <w:rFonts w:ascii="Book Antiqua" w:hAnsi="Book Antiqua"/>
          <w:b/>
          <w:bCs/>
        </w:rPr>
        <w:t>Goldenberg MM</w:t>
      </w:r>
      <w:r w:rsidRPr="00370873">
        <w:rPr>
          <w:rFonts w:ascii="Book Antiqua" w:hAnsi="Book Antiqua"/>
        </w:rPr>
        <w:t xml:space="preserve">. Trastuzumab, a recombinant DNA-derived humanized monoclonal antibody, a novel agent for the treatment of metastatic breast cancer. </w:t>
      </w:r>
      <w:r w:rsidRPr="00370873">
        <w:rPr>
          <w:rFonts w:ascii="Book Antiqua" w:hAnsi="Book Antiqua"/>
          <w:i/>
          <w:iCs/>
        </w:rPr>
        <w:t xml:space="preserve">Clin </w:t>
      </w:r>
      <w:proofErr w:type="spellStart"/>
      <w:r w:rsidRPr="00370873">
        <w:rPr>
          <w:rFonts w:ascii="Book Antiqua" w:hAnsi="Book Antiqua"/>
          <w:i/>
          <w:iCs/>
        </w:rPr>
        <w:t>Ther</w:t>
      </w:r>
      <w:proofErr w:type="spellEnd"/>
      <w:r w:rsidRPr="00370873">
        <w:rPr>
          <w:rFonts w:ascii="Book Antiqua" w:hAnsi="Book Antiqua"/>
        </w:rPr>
        <w:t xml:space="preserve"> 1999; </w:t>
      </w:r>
      <w:r w:rsidRPr="00370873">
        <w:rPr>
          <w:rFonts w:ascii="Book Antiqua" w:hAnsi="Book Antiqua"/>
          <w:b/>
          <w:bCs/>
        </w:rPr>
        <w:t>21</w:t>
      </w:r>
      <w:r w:rsidRPr="00370873">
        <w:rPr>
          <w:rFonts w:ascii="Book Antiqua" w:hAnsi="Book Antiqua"/>
        </w:rPr>
        <w:t>: 309-318 [PMID: 10211534 DOI: 10.1016/S0149-2918(00)88288-0]</w:t>
      </w:r>
    </w:p>
    <w:p w14:paraId="22B85CF7"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19 </w:t>
      </w:r>
      <w:proofErr w:type="spellStart"/>
      <w:r w:rsidRPr="00370873">
        <w:rPr>
          <w:rFonts w:ascii="Book Antiqua" w:hAnsi="Book Antiqua"/>
          <w:b/>
          <w:bCs/>
        </w:rPr>
        <w:t>Slamon</w:t>
      </w:r>
      <w:proofErr w:type="spellEnd"/>
      <w:r w:rsidRPr="00370873">
        <w:rPr>
          <w:rFonts w:ascii="Book Antiqua" w:hAnsi="Book Antiqua"/>
          <w:b/>
          <w:bCs/>
        </w:rPr>
        <w:t xml:space="preserve"> D</w:t>
      </w:r>
      <w:r w:rsidRPr="00370873">
        <w:rPr>
          <w:rFonts w:ascii="Book Antiqua" w:hAnsi="Book Antiqua"/>
        </w:rPr>
        <w:t xml:space="preserve">, Eiermann W, Robert N, Pienkowski T, Martin M, Press M, Mackey J, </w:t>
      </w:r>
      <w:proofErr w:type="spellStart"/>
      <w:r w:rsidRPr="00370873">
        <w:rPr>
          <w:rFonts w:ascii="Book Antiqua" w:hAnsi="Book Antiqua"/>
        </w:rPr>
        <w:t>Glaspy</w:t>
      </w:r>
      <w:proofErr w:type="spellEnd"/>
      <w:r w:rsidRPr="00370873">
        <w:rPr>
          <w:rFonts w:ascii="Book Antiqua" w:hAnsi="Book Antiqua"/>
        </w:rPr>
        <w:t xml:space="preserve"> J, Chan A, </w:t>
      </w:r>
      <w:proofErr w:type="spellStart"/>
      <w:r w:rsidRPr="00370873">
        <w:rPr>
          <w:rFonts w:ascii="Book Antiqua" w:hAnsi="Book Antiqua"/>
        </w:rPr>
        <w:t>Pawlicki</w:t>
      </w:r>
      <w:proofErr w:type="spellEnd"/>
      <w:r w:rsidRPr="00370873">
        <w:rPr>
          <w:rFonts w:ascii="Book Antiqua" w:hAnsi="Book Antiqua"/>
        </w:rPr>
        <w:t xml:space="preserve"> M, Pinter T, Valero V, Liu MC, Sauter G, von </w:t>
      </w:r>
      <w:proofErr w:type="spellStart"/>
      <w:r w:rsidRPr="00370873">
        <w:rPr>
          <w:rFonts w:ascii="Book Antiqua" w:hAnsi="Book Antiqua"/>
        </w:rPr>
        <w:t>Minckwitz</w:t>
      </w:r>
      <w:proofErr w:type="spellEnd"/>
      <w:r w:rsidRPr="00370873">
        <w:rPr>
          <w:rFonts w:ascii="Book Antiqua" w:hAnsi="Book Antiqua"/>
        </w:rPr>
        <w:t xml:space="preserve"> G, </w:t>
      </w:r>
      <w:proofErr w:type="spellStart"/>
      <w:r w:rsidRPr="00370873">
        <w:rPr>
          <w:rFonts w:ascii="Book Antiqua" w:hAnsi="Book Antiqua"/>
        </w:rPr>
        <w:t>Visco</w:t>
      </w:r>
      <w:proofErr w:type="spellEnd"/>
      <w:r w:rsidRPr="00370873">
        <w:rPr>
          <w:rFonts w:ascii="Book Antiqua" w:hAnsi="Book Antiqua"/>
        </w:rPr>
        <w:t xml:space="preserve"> F, Bee V, </w:t>
      </w:r>
      <w:proofErr w:type="spellStart"/>
      <w:r w:rsidRPr="00370873">
        <w:rPr>
          <w:rFonts w:ascii="Book Antiqua" w:hAnsi="Book Antiqua"/>
        </w:rPr>
        <w:t>Buyse</w:t>
      </w:r>
      <w:proofErr w:type="spellEnd"/>
      <w:r w:rsidRPr="00370873">
        <w:rPr>
          <w:rFonts w:ascii="Book Antiqua" w:hAnsi="Book Antiqua"/>
        </w:rPr>
        <w:t xml:space="preserve"> M, </w:t>
      </w:r>
      <w:proofErr w:type="spellStart"/>
      <w:r w:rsidRPr="00370873">
        <w:rPr>
          <w:rFonts w:ascii="Book Antiqua" w:hAnsi="Book Antiqua"/>
        </w:rPr>
        <w:t>Bendahmane</w:t>
      </w:r>
      <w:proofErr w:type="spellEnd"/>
      <w:r w:rsidRPr="00370873">
        <w:rPr>
          <w:rFonts w:ascii="Book Antiqua" w:hAnsi="Book Antiqua"/>
        </w:rPr>
        <w:t xml:space="preserve"> B, </w:t>
      </w:r>
      <w:proofErr w:type="spellStart"/>
      <w:r w:rsidRPr="00370873">
        <w:rPr>
          <w:rFonts w:ascii="Book Antiqua" w:hAnsi="Book Antiqua"/>
        </w:rPr>
        <w:t>Tabah</w:t>
      </w:r>
      <w:proofErr w:type="spellEnd"/>
      <w:r w:rsidRPr="00370873">
        <w:rPr>
          <w:rFonts w:ascii="Book Antiqua" w:hAnsi="Book Antiqua"/>
        </w:rPr>
        <w:t xml:space="preserve">-Fisch I, Lindsay MA, Riva A, Crown J; Breast Cancer International Research Group. Adjuvant trastuzumab in HER2-positive breast cancer. </w:t>
      </w:r>
      <w:r w:rsidRPr="00370873">
        <w:rPr>
          <w:rFonts w:ascii="Book Antiqua" w:hAnsi="Book Antiqua"/>
          <w:i/>
          <w:iCs/>
        </w:rPr>
        <w:t xml:space="preserve">N </w:t>
      </w:r>
      <w:proofErr w:type="spellStart"/>
      <w:r w:rsidRPr="00370873">
        <w:rPr>
          <w:rFonts w:ascii="Book Antiqua" w:hAnsi="Book Antiqua"/>
          <w:i/>
          <w:iCs/>
        </w:rPr>
        <w:t>Engl</w:t>
      </w:r>
      <w:proofErr w:type="spellEnd"/>
      <w:r w:rsidRPr="00370873">
        <w:rPr>
          <w:rFonts w:ascii="Book Antiqua" w:hAnsi="Book Antiqua"/>
          <w:i/>
          <w:iCs/>
        </w:rPr>
        <w:t xml:space="preserve"> J Med</w:t>
      </w:r>
      <w:r w:rsidRPr="00370873">
        <w:rPr>
          <w:rFonts w:ascii="Book Antiqua" w:hAnsi="Book Antiqua"/>
        </w:rPr>
        <w:t xml:space="preserve"> 2011; </w:t>
      </w:r>
      <w:r w:rsidRPr="00370873">
        <w:rPr>
          <w:rFonts w:ascii="Book Antiqua" w:hAnsi="Book Antiqua"/>
          <w:b/>
          <w:bCs/>
        </w:rPr>
        <w:t>365</w:t>
      </w:r>
      <w:r w:rsidRPr="00370873">
        <w:rPr>
          <w:rFonts w:ascii="Book Antiqua" w:hAnsi="Book Antiqua"/>
        </w:rPr>
        <w:t>: 1273-1283 [PMID: 21991949 DOI: 10.1056/NEJMoa0910383]</w:t>
      </w:r>
    </w:p>
    <w:p w14:paraId="15D32276"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20 </w:t>
      </w:r>
      <w:r w:rsidRPr="00370873">
        <w:rPr>
          <w:rFonts w:ascii="Book Antiqua" w:hAnsi="Book Antiqua"/>
          <w:b/>
          <w:bCs/>
        </w:rPr>
        <w:t>Gianni L</w:t>
      </w:r>
      <w:r w:rsidRPr="00370873">
        <w:rPr>
          <w:rFonts w:ascii="Book Antiqua" w:hAnsi="Book Antiqua"/>
        </w:rPr>
        <w:t xml:space="preserve">, Eiermann W, </w:t>
      </w:r>
      <w:proofErr w:type="spellStart"/>
      <w:r w:rsidRPr="00370873">
        <w:rPr>
          <w:rFonts w:ascii="Book Antiqua" w:hAnsi="Book Antiqua"/>
        </w:rPr>
        <w:t>Semiglazov</w:t>
      </w:r>
      <w:proofErr w:type="spellEnd"/>
      <w:r w:rsidRPr="00370873">
        <w:rPr>
          <w:rFonts w:ascii="Book Antiqua" w:hAnsi="Book Antiqua"/>
        </w:rPr>
        <w:t xml:space="preserve"> V, </w:t>
      </w:r>
      <w:proofErr w:type="spellStart"/>
      <w:r w:rsidRPr="00370873">
        <w:rPr>
          <w:rFonts w:ascii="Book Antiqua" w:hAnsi="Book Antiqua"/>
        </w:rPr>
        <w:t>Manikhas</w:t>
      </w:r>
      <w:proofErr w:type="spellEnd"/>
      <w:r w:rsidRPr="00370873">
        <w:rPr>
          <w:rFonts w:ascii="Book Antiqua" w:hAnsi="Book Antiqua"/>
        </w:rPr>
        <w:t xml:space="preserve"> A, </w:t>
      </w:r>
      <w:proofErr w:type="spellStart"/>
      <w:r w:rsidRPr="00370873">
        <w:rPr>
          <w:rFonts w:ascii="Book Antiqua" w:hAnsi="Book Antiqua"/>
        </w:rPr>
        <w:t>Lluch</w:t>
      </w:r>
      <w:proofErr w:type="spellEnd"/>
      <w:r w:rsidRPr="00370873">
        <w:rPr>
          <w:rFonts w:ascii="Book Antiqua" w:hAnsi="Book Antiqua"/>
        </w:rPr>
        <w:t xml:space="preserve"> A, </w:t>
      </w:r>
      <w:proofErr w:type="spellStart"/>
      <w:r w:rsidRPr="00370873">
        <w:rPr>
          <w:rFonts w:ascii="Book Antiqua" w:hAnsi="Book Antiqua"/>
        </w:rPr>
        <w:t>Tjulandin</w:t>
      </w:r>
      <w:proofErr w:type="spellEnd"/>
      <w:r w:rsidRPr="00370873">
        <w:rPr>
          <w:rFonts w:ascii="Book Antiqua" w:hAnsi="Book Antiqua"/>
        </w:rPr>
        <w:t xml:space="preserve"> S, Zambetti M, Vazquez F, </w:t>
      </w:r>
      <w:proofErr w:type="spellStart"/>
      <w:r w:rsidRPr="00370873">
        <w:rPr>
          <w:rFonts w:ascii="Book Antiqua" w:hAnsi="Book Antiqua"/>
        </w:rPr>
        <w:t>Byakhow</w:t>
      </w:r>
      <w:proofErr w:type="spellEnd"/>
      <w:r w:rsidRPr="00370873">
        <w:rPr>
          <w:rFonts w:ascii="Book Antiqua" w:hAnsi="Book Antiqua"/>
        </w:rPr>
        <w:t xml:space="preserve"> M, </w:t>
      </w:r>
      <w:proofErr w:type="spellStart"/>
      <w:r w:rsidRPr="00370873">
        <w:rPr>
          <w:rFonts w:ascii="Book Antiqua" w:hAnsi="Book Antiqua"/>
        </w:rPr>
        <w:t>Lichinitser</w:t>
      </w:r>
      <w:proofErr w:type="spellEnd"/>
      <w:r w:rsidRPr="00370873">
        <w:rPr>
          <w:rFonts w:ascii="Book Antiqua" w:hAnsi="Book Antiqua"/>
        </w:rPr>
        <w:t xml:space="preserve"> M, </w:t>
      </w:r>
      <w:proofErr w:type="spellStart"/>
      <w:r w:rsidRPr="00370873">
        <w:rPr>
          <w:rFonts w:ascii="Book Antiqua" w:hAnsi="Book Antiqua"/>
        </w:rPr>
        <w:t>Climent</w:t>
      </w:r>
      <w:proofErr w:type="spellEnd"/>
      <w:r w:rsidRPr="00370873">
        <w:rPr>
          <w:rFonts w:ascii="Book Antiqua" w:hAnsi="Book Antiqua"/>
        </w:rPr>
        <w:t xml:space="preserve"> MA, </w:t>
      </w:r>
      <w:proofErr w:type="spellStart"/>
      <w:r w:rsidRPr="00370873">
        <w:rPr>
          <w:rFonts w:ascii="Book Antiqua" w:hAnsi="Book Antiqua"/>
        </w:rPr>
        <w:t>Ciruelos</w:t>
      </w:r>
      <w:proofErr w:type="spellEnd"/>
      <w:r w:rsidRPr="00370873">
        <w:rPr>
          <w:rFonts w:ascii="Book Antiqua" w:hAnsi="Book Antiqua"/>
        </w:rPr>
        <w:t xml:space="preserve"> E, Ojeda B, </w:t>
      </w:r>
      <w:proofErr w:type="spellStart"/>
      <w:r w:rsidRPr="00370873">
        <w:rPr>
          <w:rFonts w:ascii="Book Antiqua" w:hAnsi="Book Antiqua"/>
        </w:rPr>
        <w:t>Mansutti</w:t>
      </w:r>
      <w:proofErr w:type="spellEnd"/>
      <w:r w:rsidRPr="00370873">
        <w:rPr>
          <w:rFonts w:ascii="Book Antiqua" w:hAnsi="Book Antiqua"/>
        </w:rPr>
        <w:t xml:space="preserve"> M, </w:t>
      </w:r>
      <w:proofErr w:type="spellStart"/>
      <w:r w:rsidRPr="00370873">
        <w:rPr>
          <w:rFonts w:ascii="Book Antiqua" w:hAnsi="Book Antiqua"/>
        </w:rPr>
        <w:t>Bozhok</w:t>
      </w:r>
      <w:proofErr w:type="spellEnd"/>
      <w:r w:rsidRPr="00370873">
        <w:rPr>
          <w:rFonts w:ascii="Book Antiqua" w:hAnsi="Book Antiqua"/>
        </w:rPr>
        <w:t xml:space="preserve"> A, </w:t>
      </w:r>
      <w:proofErr w:type="spellStart"/>
      <w:r w:rsidRPr="00370873">
        <w:rPr>
          <w:rFonts w:ascii="Book Antiqua" w:hAnsi="Book Antiqua"/>
        </w:rPr>
        <w:t>Baronio</w:t>
      </w:r>
      <w:proofErr w:type="spellEnd"/>
      <w:r w:rsidRPr="00370873">
        <w:rPr>
          <w:rFonts w:ascii="Book Antiqua" w:hAnsi="Book Antiqua"/>
        </w:rPr>
        <w:t xml:space="preserve"> R, </w:t>
      </w:r>
      <w:proofErr w:type="spellStart"/>
      <w:r w:rsidRPr="00370873">
        <w:rPr>
          <w:rFonts w:ascii="Book Antiqua" w:hAnsi="Book Antiqua"/>
        </w:rPr>
        <w:t>Feyereislova</w:t>
      </w:r>
      <w:proofErr w:type="spellEnd"/>
      <w:r w:rsidRPr="00370873">
        <w:rPr>
          <w:rFonts w:ascii="Book Antiqua" w:hAnsi="Book Antiqua"/>
        </w:rPr>
        <w:t xml:space="preserve"> A, Barton C, </w:t>
      </w:r>
      <w:proofErr w:type="spellStart"/>
      <w:r w:rsidRPr="00370873">
        <w:rPr>
          <w:rFonts w:ascii="Book Antiqua" w:hAnsi="Book Antiqua"/>
        </w:rPr>
        <w:t>Valagussa</w:t>
      </w:r>
      <w:proofErr w:type="spellEnd"/>
      <w:r w:rsidRPr="00370873">
        <w:rPr>
          <w:rFonts w:ascii="Book Antiqua" w:hAnsi="Book Antiqua"/>
        </w:rPr>
        <w:t xml:space="preserve"> P, </w:t>
      </w:r>
      <w:proofErr w:type="spellStart"/>
      <w:r w:rsidRPr="00370873">
        <w:rPr>
          <w:rFonts w:ascii="Book Antiqua" w:hAnsi="Book Antiqua"/>
        </w:rPr>
        <w:t>Baselga</w:t>
      </w:r>
      <w:proofErr w:type="spellEnd"/>
      <w:r w:rsidRPr="00370873">
        <w:rPr>
          <w:rFonts w:ascii="Book Antiqua" w:hAnsi="Book Antiqua"/>
        </w:rPr>
        <w:t xml:space="preserve"> J. Neoadjuvant chemotherapy with trastuzumab followed by adjuvant trastuzumab versus neoadjuvant chemotherapy alone, in patients with HER2-positive locally advanced breast cancer (the NOAH trial): a </w:t>
      </w:r>
      <w:proofErr w:type="spellStart"/>
      <w:r w:rsidRPr="00370873">
        <w:rPr>
          <w:rFonts w:ascii="Book Antiqua" w:hAnsi="Book Antiqua"/>
        </w:rPr>
        <w:t>randomised</w:t>
      </w:r>
      <w:proofErr w:type="spellEnd"/>
      <w:r w:rsidRPr="00370873">
        <w:rPr>
          <w:rFonts w:ascii="Book Antiqua" w:hAnsi="Book Antiqua"/>
        </w:rPr>
        <w:t xml:space="preserve"> controlled superiority trial with a parallel HER2-negative cohort. </w:t>
      </w:r>
      <w:r w:rsidRPr="00370873">
        <w:rPr>
          <w:rFonts w:ascii="Book Antiqua" w:hAnsi="Book Antiqua"/>
          <w:i/>
          <w:iCs/>
        </w:rPr>
        <w:t>Lancet</w:t>
      </w:r>
      <w:r w:rsidRPr="00370873">
        <w:rPr>
          <w:rFonts w:ascii="Book Antiqua" w:hAnsi="Book Antiqua"/>
        </w:rPr>
        <w:t xml:space="preserve"> 2010; </w:t>
      </w:r>
      <w:r w:rsidRPr="00370873">
        <w:rPr>
          <w:rFonts w:ascii="Book Antiqua" w:hAnsi="Book Antiqua"/>
          <w:b/>
          <w:bCs/>
        </w:rPr>
        <w:t>375</w:t>
      </w:r>
      <w:r w:rsidRPr="00370873">
        <w:rPr>
          <w:rFonts w:ascii="Book Antiqua" w:hAnsi="Book Antiqua"/>
        </w:rPr>
        <w:t>: 377-384 [PMID: 20113825 DOI: 10.1016/S0140-6736(09)61964-4]</w:t>
      </w:r>
    </w:p>
    <w:p w14:paraId="5FDDBB38"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21 </w:t>
      </w:r>
      <w:r w:rsidRPr="00370873">
        <w:rPr>
          <w:rFonts w:ascii="Book Antiqua" w:hAnsi="Book Antiqua"/>
          <w:b/>
          <w:bCs/>
        </w:rPr>
        <w:t>Marty M</w:t>
      </w:r>
      <w:r w:rsidRPr="00370873">
        <w:rPr>
          <w:rFonts w:ascii="Book Antiqua" w:hAnsi="Book Antiqua"/>
        </w:rPr>
        <w:t xml:space="preserve">, </w:t>
      </w:r>
      <w:proofErr w:type="spellStart"/>
      <w:r w:rsidRPr="00370873">
        <w:rPr>
          <w:rFonts w:ascii="Book Antiqua" w:hAnsi="Book Antiqua"/>
        </w:rPr>
        <w:t>Cognetti</w:t>
      </w:r>
      <w:proofErr w:type="spellEnd"/>
      <w:r w:rsidRPr="00370873">
        <w:rPr>
          <w:rFonts w:ascii="Book Antiqua" w:hAnsi="Book Antiqua"/>
        </w:rPr>
        <w:t xml:space="preserve"> F, </w:t>
      </w:r>
      <w:proofErr w:type="spellStart"/>
      <w:r w:rsidRPr="00370873">
        <w:rPr>
          <w:rFonts w:ascii="Book Antiqua" w:hAnsi="Book Antiqua"/>
        </w:rPr>
        <w:t>Maraninchi</w:t>
      </w:r>
      <w:proofErr w:type="spellEnd"/>
      <w:r w:rsidRPr="00370873">
        <w:rPr>
          <w:rFonts w:ascii="Book Antiqua" w:hAnsi="Book Antiqua"/>
        </w:rPr>
        <w:t xml:space="preserve"> D, Snyder R, Mauriac L, </w:t>
      </w:r>
      <w:proofErr w:type="spellStart"/>
      <w:r w:rsidRPr="00370873">
        <w:rPr>
          <w:rFonts w:ascii="Book Antiqua" w:hAnsi="Book Antiqua"/>
        </w:rPr>
        <w:t>Tubiana</w:t>
      </w:r>
      <w:proofErr w:type="spellEnd"/>
      <w:r w:rsidRPr="00370873">
        <w:rPr>
          <w:rFonts w:ascii="Book Antiqua" w:hAnsi="Book Antiqua"/>
        </w:rPr>
        <w:t xml:space="preserve">-Hulin M, Chan S, Grimes D, Antón A, </w:t>
      </w:r>
      <w:proofErr w:type="spellStart"/>
      <w:r w:rsidRPr="00370873">
        <w:rPr>
          <w:rFonts w:ascii="Book Antiqua" w:hAnsi="Book Antiqua"/>
        </w:rPr>
        <w:t>Lluch</w:t>
      </w:r>
      <w:proofErr w:type="spellEnd"/>
      <w:r w:rsidRPr="00370873">
        <w:rPr>
          <w:rFonts w:ascii="Book Antiqua" w:hAnsi="Book Antiqua"/>
        </w:rPr>
        <w:t xml:space="preserve"> A, Kennedy J, O'Byrne K, Conte P, Green M, Ward C, Mayne K, Extra JM. Randomized phase II trial of the efficacy and safety of trastuzumab combined with docetaxel in patients with human epidermal growth factor receptor 2-positive metastatic breast cancer administered as first-line treatment: the M77001 study group. </w:t>
      </w:r>
      <w:r w:rsidRPr="00370873">
        <w:rPr>
          <w:rFonts w:ascii="Book Antiqua" w:hAnsi="Book Antiqua"/>
          <w:i/>
          <w:iCs/>
        </w:rPr>
        <w:t>J Clin Oncol</w:t>
      </w:r>
      <w:r w:rsidRPr="00370873">
        <w:rPr>
          <w:rFonts w:ascii="Book Antiqua" w:hAnsi="Book Antiqua"/>
        </w:rPr>
        <w:t xml:space="preserve"> 2005; </w:t>
      </w:r>
      <w:r w:rsidRPr="00370873">
        <w:rPr>
          <w:rFonts w:ascii="Book Antiqua" w:hAnsi="Book Antiqua"/>
          <w:b/>
          <w:bCs/>
        </w:rPr>
        <w:t>23</w:t>
      </w:r>
      <w:r w:rsidRPr="00370873">
        <w:rPr>
          <w:rFonts w:ascii="Book Antiqua" w:hAnsi="Book Antiqua"/>
        </w:rPr>
        <w:t>: 4265-4274 [PMID: 15911866 DOI: 10.1200/JCO.2005.04.173]</w:t>
      </w:r>
    </w:p>
    <w:p w14:paraId="58642F94"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22 </w:t>
      </w:r>
      <w:r w:rsidRPr="00370873">
        <w:rPr>
          <w:rFonts w:ascii="Book Antiqua" w:hAnsi="Book Antiqua"/>
          <w:b/>
          <w:bCs/>
        </w:rPr>
        <w:t>Kaufman B</w:t>
      </w:r>
      <w:r w:rsidRPr="00370873">
        <w:rPr>
          <w:rFonts w:ascii="Book Antiqua" w:hAnsi="Book Antiqua"/>
        </w:rPr>
        <w:t xml:space="preserve">, Mackey JR, Clemens MR, </w:t>
      </w:r>
      <w:proofErr w:type="spellStart"/>
      <w:r w:rsidRPr="00370873">
        <w:rPr>
          <w:rFonts w:ascii="Book Antiqua" w:hAnsi="Book Antiqua"/>
        </w:rPr>
        <w:t>Bapsy</w:t>
      </w:r>
      <w:proofErr w:type="spellEnd"/>
      <w:r w:rsidRPr="00370873">
        <w:rPr>
          <w:rFonts w:ascii="Book Antiqua" w:hAnsi="Book Antiqua"/>
        </w:rPr>
        <w:t xml:space="preserve"> PP, </w:t>
      </w:r>
      <w:proofErr w:type="spellStart"/>
      <w:r w:rsidRPr="00370873">
        <w:rPr>
          <w:rFonts w:ascii="Book Antiqua" w:hAnsi="Book Antiqua"/>
        </w:rPr>
        <w:t>Vaid</w:t>
      </w:r>
      <w:proofErr w:type="spellEnd"/>
      <w:r w:rsidRPr="00370873">
        <w:rPr>
          <w:rFonts w:ascii="Book Antiqua" w:hAnsi="Book Antiqua"/>
        </w:rPr>
        <w:t xml:space="preserve"> A, </w:t>
      </w:r>
      <w:proofErr w:type="spellStart"/>
      <w:r w:rsidRPr="00370873">
        <w:rPr>
          <w:rFonts w:ascii="Book Antiqua" w:hAnsi="Book Antiqua"/>
        </w:rPr>
        <w:t>Wardley</w:t>
      </w:r>
      <w:proofErr w:type="spellEnd"/>
      <w:r w:rsidRPr="00370873">
        <w:rPr>
          <w:rFonts w:ascii="Book Antiqua" w:hAnsi="Book Antiqua"/>
        </w:rPr>
        <w:t xml:space="preserve"> A, </w:t>
      </w:r>
      <w:proofErr w:type="spellStart"/>
      <w:r w:rsidRPr="00370873">
        <w:rPr>
          <w:rFonts w:ascii="Book Antiqua" w:hAnsi="Book Antiqua"/>
        </w:rPr>
        <w:t>Tjulandin</w:t>
      </w:r>
      <w:proofErr w:type="spellEnd"/>
      <w:r w:rsidRPr="00370873">
        <w:rPr>
          <w:rFonts w:ascii="Book Antiqua" w:hAnsi="Book Antiqua"/>
        </w:rPr>
        <w:t xml:space="preserve"> S, Jahn M, </w:t>
      </w:r>
      <w:proofErr w:type="spellStart"/>
      <w:r w:rsidRPr="00370873">
        <w:rPr>
          <w:rFonts w:ascii="Book Antiqua" w:hAnsi="Book Antiqua"/>
        </w:rPr>
        <w:t>Lehle</w:t>
      </w:r>
      <w:proofErr w:type="spellEnd"/>
      <w:r w:rsidRPr="00370873">
        <w:rPr>
          <w:rFonts w:ascii="Book Antiqua" w:hAnsi="Book Antiqua"/>
        </w:rPr>
        <w:t xml:space="preserve"> M, </w:t>
      </w:r>
      <w:proofErr w:type="spellStart"/>
      <w:r w:rsidRPr="00370873">
        <w:rPr>
          <w:rFonts w:ascii="Book Antiqua" w:hAnsi="Book Antiqua"/>
        </w:rPr>
        <w:t>Feyereislova</w:t>
      </w:r>
      <w:proofErr w:type="spellEnd"/>
      <w:r w:rsidRPr="00370873">
        <w:rPr>
          <w:rFonts w:ascii="Book Antiqua" w:hAnsi="Book Antiqua"/>
        </w:rPr>
        <w:t xml:space="preserve"> A, </w:t>
      </w:r>
      <w:proofErr w:type="spellStart"/>
      <w:r w:rsidRPr="00370873">
        <w:rPr>
          <w:rFonts w:ascii="Book Antiqua" w:hAnsi="Book Antiqua"/>
        </w:rPr>
        <w:t>Révil</w:t>
      </w:r>
      <w:proofErr w:type="spellEnd"/>
      <w:r w:rsidRPr="00370873">
        <w:rPr>
          <w:rFonts w:ascii="Book Antiqua" w:hAnsi="Book Antiqua"/>
        </w:rPr>
        <w:t xml:space="preserve"> C, Jones A. Trastuzumab plus anastrozole versus anastrozole alone for the treatment of postmenopausal women with human </w:t>
      </w:r>
      <w:r w:rsidRPr="00370873">
        <w:rPr>
          <w:rFonts w:ascii="Book Antiqua" w:hAnsi="Book Antiqua"/>
        </w:rPr>
        <w:lastRenderedPageBreak/>
        <w:t xml:space="preserve">epidermal growth factor receptor 2-positive, hormone receptor-positive metastatic breast cancer: results from the randomized phase III </w:t>
      </w:r>
      <w:proofErr w:type="spellStart"/>
      <w:r w:rsidRPr="00370873">
        <w:rPr>
          <w:rFonts w:ascii="Book Antiqua" w:hAnsi="Book Antiqua"/>
        </w:rPr>
        <w:t>TAnDEM</w:t>
      </w:r>
      <w:proofErr w:type="spellEnd"/>
      <w:r w:rsidRPr="00370873">
        <w:rPr>
          <w:rFonts w:ascii="Book Antiqua" w:hAnsi="Book Antiqua"/>
        </w:rPr>
        <w:t xml:space="preserve"> study. </w:t>
      </w:r>
      <w:r w:rsidRPr="00370873">
        <w:rPr>
          <w:rFonts w:ascii="Book Antiqua" w:hAnsi="Book Antiqua"/>
          <w:i/>
          <w:iCs/>
        </w:rPr>
        <w:t>J Clin Oncol</w:t>
      </w:r>
      <w:r w:rsidRPr="00370873">
        <w:rPr>
          <w:rFonts w:ascii="Book Antiqua" w:hAnsi="Book Antiqua"/>
        </w:rPr>
        <w:t xml:space="preserve"> 2009; </w:t>
      </w:r>
      <w:r w:rsidRPr="00370873">
        <w:rPr>
          <w:rFonts w:ascii="Book Antiqua" w:hAnsi="Book Antiqua"/>
          <w:b/>
          <w:bCs/>
        </w:rPr>
        <w:t>27</w:t>
      </w:r>
      <w:r w:rsidRPr="00370873">
        <w:rPr>
          <w:rFonts w:ascii="Book Antiqua" w:hAnsi="Book Antiqua"/>
        </w:rPr>
        <w:t>: 5529-5537 [PMID: 19786670 DOI: 10.1200/JCO.2008.20.6847]</w:t>
      </w:r>
    </w:p>
    <w:p w14:paraId="1682319C"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23 </w:t>
      </w:r>
      <w:proofErr w:type="spellStart"/>
      <w:r w:rsidRPr="00370873">
        <w:rPr>
          <w:rFonts w:ascii="Book Antiqua" w:hAnsi="Book Antiqua"/>
          <w:b/>
          <w:bCs/>
        </w:rPr>
        <w:t>Boekhout</w:t>
      </w:r>
      <w:proofErr w:type="spellEnd"/>
      <w:r w:rsidRPr="00370873">
        <w:rPr>
          <w:rFonts w:ascii="Book Antiqua" w:hAnsi="Book Antiqua"/>
          <w:b/>
          <w:bCs/>
        </w:rPr>
        <w:t xml:space="preserve"> AH</w:t>
      </w:r>
      <w:r w:rsidRPr="00370873">
        <w:rPr>
          <w:rFonts w:ascii="Book Antiqua" w:hAnsi="Book Antiqua"/>
        </w:rPr>
        <w:t xml:space="preserve">, </w:t>
      </w:r>
      <w:proofErr w:type="spellStart"/>
      <w:r w:rsidRPr="00370873">
        <w:rPr>
          <w:rFonts w:ascii="Book Antiqua" w:hAnsi="Book Antiqua"/>
        </w:rPr>
        <w:t>Beijnen</w:t>
      </w:r>
      <w:proofErr w:type="spellEnd"/>
      <w:r w:rsidRPr="00370873">
        <w:rPr>
          <w:rFonts w:ascii="Book Antiqua" w:hAnsi="Book Antiqua"/>
        </w:rPr>
        <w:t xml:space="preserve"> JH, </w:t>
      </w:r>
      <w:proofErr w:type="spellStart"/>
      <w:r w:rsidRPr="00370873">
        <w:rPr>
          <w:rFonts w:ascii="Book Antiqua" w:hAnsi="Book Antiqua"/>
        </w:rPr>
        <w:t>Schellens</w:t>
      </w:r>
      <w:proofErr w:type="spellEnd"/>
      <w:r w:rsidRPr="00370873">
        <w:rPr>
          <w:rFonts w:ascii="Book Antiqua" w:hAnsi="Book Antiqua"/>
        </w:rPr>
        <w:t xml:space="preserve"> JH. Trastuzumab. </w:t>
      </w:r>
      <w:r w:rsidRPr="00370873">
        <w:rPr>
          <w:rFonts w:ascii="Book Antiqua" w:hAnsi="Book Antiqua"/>
          <w:i/>
          <w:iCs/>
        </w:rPr>
        <w:t>Oncologist</w:t>
      </w:r>
      <w:r w:rsidRPr="00370873">
        <w:rPr>
          <w:rFonts w:ascii="Book Antiqua" w:hAnsi="Book Antiqua"/>
        </w:rPr>
        <w:t xml:space="preserve"> 2011; </w:t>
      </w:r>
      <w:r w:rsidRPr="00370873">
        <w:rPr>
          <w:rFonts w:ascii="Book Antiqua" w:hAnsi="Book Antiqua"/>
          <w:b/>
          <w:bCs/>
        </w:rPr>
        <w:t>16</w:t>
      </w:r>
      <w:r w:rsidRPr="00370873">
        <w:rPr>
          <w:rFonts w:ascii="Book Antiqua" w:hAnsi="Book Antiqua"/>
        </w:rPr>
        <w:t>: 800-810 [PMID: 21632460 DOI: 10.1634/theoncologist.2010-0035]</w:t>
      </w:r>
    </w:p>
    <w:p w14:paraId="1BB5F648"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24 </w:t>
      </w:r>
      <w:r w:rsidRPr="00370873">
        <w:rPr>
          <w:rFonts w:ascii="Book Antiqua" w:hAnsi="Book Antiqua"/>
          <w:b/>
          <w:bCs/>
        </w:rPr>
        <w:t>Babar T</w:t>
      </w:r>
      <w:r w:rsidRPr="00370873">
        <w:rPr>
          <w:rFonts w:ascii="Book Antiqua" w:hAnsi="Book Antiqua"/>
        </w:rPr>
        <w:t xml:space="preserve">, Blomberg C, </w:t>
      </w:r>
      <w:proofErr w:type="spellStart"/>
      <w:r w:rsidRPr="00370873">
        <w:rPr>
          <w:rFonts w:ascii="Book Antiqua" w:hAnsi="Book Antiqua"/>
        </w:rPr>
        <w:t>Hoffner</w:t>
      </w:r>
      <w:proofErr w:type="spellEnd"/>
      <w:r w:rsidRPr="00370873">
        <w:rPr>
          <w:rFonts w:ascii="Book Antiqua" w:hAnsi="Book Antiqua"/>
        </w:rPr>
        <w:t xml:space="preserve"> E, Yan X. Anti-HER2 cancer therapy and cardiotoxicity. </w:t>
      </w:r>
      <w:proofErr w:type="spellStart"/>
      <w:r w:rsidRPr="00370873">
        <w:rPr>
          <w:rFonts w:ascii="Book Antiqua" w:hAnsi="Book Antiqua"/>
          <w:i/>
          <w:iCs/>
        </w:rPr>
        <w:t>Curr</w:t>
      </w:r>
      <w:proofErr w:type="spellEnd"/>
      <w:r w:rsidRPr="00370873">
        <w:rPr>
          <w:rFonts w:ascii="Book Antiqua" w:hAnsi="Book Antiqua"/>
          <w:i/>
          <w:iCs/>
        </w:rPr>
        <w:t xml:space="preserve"> Pharm Des</w:t>
      </w:r>
      <w:r w:rsidRPr="00370873">
        <w:rPr>
          <w:rFonts w:ascii="Book Antiqua" w:hAnsi="Book Antiqua"/>
        </w:rPr>
        <w:t xml:space="preserve"> 2014; </w:t>
      </w:r>
      <w:r w:rsidRPr="00370873">
        <w:rPr>
          <w:rFonts w:ascii="Book Antiqua" w:hAnsi="Book Antiqua"/>
          <w:b/>
          <w:bCs/>
        </w:rPr>
        <w:t>20</w:t>
      </w:r>
      <w:r w:rsidRPr="00370873">
        <w:rPr>
          <w:rFonts w:ascii="Book Antiqua" w:hAnsi="Book Antiqua"/>
        </w:rPr>
        <w:t>: 4911-4919 [PMID: 24898245 DOI: 10.2174/1381612820666140604145037]</w:t>
      </w:r>
    </w:p>
    <w:p w14:paraId="2EB5DC02"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25 </w:t>
      </w:r>
      <w:r w:rsidRPr="00370873">
        <w:rPr>
          <w:rFonts w:ascii="Book Antiqua" w:hAnsi="Book Antiqua"/>
          <w:b/>
          <w:bCs/>
        </w:rPr>
        <w:t>Micallef RA</w:t>
      </w:r>
      <w:r w:rsidRPr="00370873">
        <w:rPr>
          <w:rFonts w:ascii="Book Antiqua" w:hAnsi="Book Antiqua"/>
        </w:rPr>
        <w:t xml:space="preserve">, Barrett-Lee PJ, Donovan K, Ashraf M, Williams L. Trastuzumab in patients on </w:t>
      </w:r>
      <w:proofErr w:type="spellStart"/>
      <w:r w:rsidRPr="00370873">
        <w:rPr>
          <w:rFonts w:ascii="Book Antiqua" w:hAnsi="Book Antiqua"/>
        </w:rPr>
        <w:t>haemodialysis</w:t>
      </w:r>
      <w:proofErr w:type="spellEnd"/>
      <w:r w:rsidRPr="00370873">
        <w:rPr>
          <w:rFonts w:ascii="Book Antiqua" w:hAnsi="Book Antiqua"/>
        </w:rPr>
        <w:t xml:space="preserve"> for renal failure. </w:t>
      </w:r>
      <w:r w:rsidRPr="00370873">
        <w:rPr>
          <w:rFonts w:ascii="Book Antiqua" w:hAnsi="Book Antiqua"/>
          <w:i/>
          <w:iCs/>
        </w:rPr>
        <w:t xml:space="preserve">Clin Oncol (R Coll </w:t>
      </w:r>
      <w:proofErr w:type="spellStart"/>
      <w:r w:rsidRPr="00370873">
        <w:rPr>
          <w:rFonts w:ascii="Book Antiqua" w:hAnsi="Book Antiqua"/>
          <w:i/>
          <w:iCs/>
        </w:rPr>
        <w:t>Radiol</w:t>
      </w:r>
      <w:proofErr w:type="spellEnd"/>
      <w:r w:rsidRPr="00370873">
        <w:rPr>
          <w:rFonts w:ascii="Book Antiqua" w:hAnsi="Book Antiqua"/>
          <w:i/>
          <w:iCs/>
        </w:rPr>
        <w:t>)</w:t>
      </w:r>
      <w:r w:rsidRPr="00370873">
        <w:rPr>
          <w:rFonts w:ascii="Book Antiqua" w:hAnsi="Book Antiqua"/>
        </w:rPr>
        <w:t xml:space="preserve"> 2007; </w:t>
      </w:r>
      <w:r w:rsidRPr="00370873">
        <w:rPr>
          <w:rFonts w:ascii="Book Antiqua" w:hAnsi="Book Antiqua"/>
          <w:b/>
          <w:bCs/>
        </w:rPr>
        <w:t>19</w:t>
      </w:r>
      <w:r w:rsidRPr="00370873">
        <w:rPr>
          <w:rFonts w:ascii="Book Antiqua" w:hAnsi="Book Antiqua"/>
        </w:rPr>
        <w:t>: 559 [PMID: 17566724 DOI: 10.1016/j.clon.2007.04.008]</w:t>
      </w:r>
    </w:p>
    <w:p w14:paraId="11C606E1"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26 </w:t>
      </w:r>
      <w:proofErr w:type="spellStart"/>
      <w:r w:rsidRPr="00370873">
        <w:rPr>
          <w:rFonts w:ascii="Book Antiqua" w:hAnsi="Book Antiqua"/>
          <w:b/>
          <w:bCs/>
        </w:rPr>
        <w:t>Harbeck</w:t>
      </w:r>
      <w:proofErr w:type="spellEnd"/>
      <w:r w:rsidRPr="00370873">
        <w:rPr>
          <w:rFonts w:ascii="Book Antiqua" w:hAnsi="Book Antiqua"/>
          <w:b/>
          <w:bCs/>
        </w:rPr>
        <w:t xml:space="preserve"> N</w:t>
      </w:r>
      <w:r w:rsidRPr="00370873">
        <w:rPr>
          <w:rFonts w:ascii="Book Antiqua" w:hAnsi="Book Antiqua"/>
        </w:rPr>
        <w:t xml:space="preserve">, Beckmann MW, </w:t>
      </w:r>
      <w:proofErr w:type="spellStart"/>
      <w:r w:rsidRPr="00370873">
        <w:rPr>
          <w:rFonts w:ascii="Book Antiqua" w:hAnsi="Book Antiqua"/>
        </w:rPr>
        <w:t>Rody</w:t>
      </w:r>
      <w:proofErr w:type="spellEnd"/>
      <w:r w:rsidRPr="00370873">
        <w:rPr>
          <w:rFonts w:ascii="Book Antiqua" w:hAnsi="Book Antiqua"/>
        </w:rPr>
        <w:t xml:space="preserve"> A, </w:t>
      </w:r>
      <w:proofErr w:type="spellStart"/>
      <w:r w:rsidRPr="00370873">
        <w:rPr>
          <w:rFonts w:ascii="Book Antiqua" w:hAnsi="Book Antiqua"/>
        </w:rPr>
        <w:t>Schneeweiss</w:t>
      </w:r>
      <w:proofErr w:type="spellEnd"/>
      <w:r w:rsidRPr="00370873">
        <w:rPr>
          <w:rFonts w:ascii="Book Antiqua" w:hAnsi="Book Antiqua"/>
        </w:rPr>
        <w:t xml:space="preserve"> A, Müller V, </w:t>
      </w:r>
      <w:proofErr w:type="spellStart"/>
      <w:r w:rsidRPr="00370873">
        <w:rPr>
          <w:rFonts w:ascii="Book Antiqua" w:hAnsi="Book Antiqua"/>
        </w:rPr>
        <w:t>Fehm</w:t>
      </w:r>
      <w:proofErr w:type="spellEnd"/>
      <w:r w:rsidRPr="00370873">
        <w:rPr>
          <w:rFonts w:ascii="Book Antiqua" w:hAnsi="Book Antiqua"/>
        </w:rPr>
        <w:t xml:space="preserve"> T, </w:t>
      </w:r>
      <w:proofErr w:type="spellStart"/>
      <w:r w:rsidRPr="00370873">
        <w:rPr>
          <w:rFonts w:ascii="Book Antiqua" w:hAnsi="Book Antiqua"/>
        </w:rPr>
        <w:t>Marschner</w:t>
      </w:r>
      <w:proofErr w:type="spellEnd"/>
      <w:r w:rsidRPr="00370873">
        <w:rPr>
          <w:rFonts w:ascii="Book Antiqua" w:hAnsi="Book Antiqua"/>
        </w:rPr>
        <w:t xml:space="preserve"> N, </w:t>
      </w:r>
      <w:proofErr w:type="spellStart"/>
      <w:r w:rsidRPr="00370873">
        <w:rPr>
          <w:rFonts w:ascii="Book Antiqua" w:hAnsi="Book Antiqua"/>
        </w:rPr>
        <w:t>Gluz</w:t>
      </w:r>
      <w:proofErr w:type="spellEnd"/>
      <w:r w:rsidRPr="00370873">
        <w:rPr>
          <w:rFonts w:ascii="Book Antiqua" w:hAnsi="Book Antiqua"/>
        </w:rPr>
        <w:t xml:space="preserve"> O, Schrader I, Heinrich G, </w:t>
      </w:r>
      <w:proofErr w:type="spellStart"/>
      <w:r w:rsidRPr="00370873">
        <w:rPr>
          <w:rFonts w:ascii="Book Antiqua" w:hAnsi="Book Antiqua"/>
        </w:rPr>
        <w:t>Untch</w:t>
      </w:r>
      <w:proofErr w:type="spellEnd"/>
      <w:r w:rsidRPr="00370873">
        <w:rPr>
          <w:rFonts w:ascii="Book Antiqua" w:hAnsi="Book Antiqua"/>
        </w:rPr>
        <w:t xml:space="preserve"> M, </w:t>
      </w:r>
      <w:proofErr w:type="spellStart"/>
      <w:r w:rsidRPr="00370873">
        <w:rPr>
          <w:rFonts w:ascii="Book Antiqua" w:hAnsi="Book Antiqua"/>
        </w:rPr>
        <w:t>Jackisch</w:t>
      </w:r>
      <w:proofErr w:type="spellEnd"/>
      <w:r w:rsidRPr="00370873">
        <w:rPr>
          <w:rFonts w:ascii="Book Antiqua" w:hAnsi="Book Antiqua"/>
        </w:rPr>
        <w:t xml:space="preserve"> C. HER2 Dimerization Inhibitor </w:t>
      </w:r>
      <w:proofErr w:type="spellStart"/>
      <w:r w:rsidRPr="00370873">
        <w:rPr>
          <w:rFonts w:ascii="Book Antiqua" w:hAnsi="Book Antiqua"/>
        </w:rPr>
        <w:t>Pertuzumab</w:t>
      </w:r>
      <w:proofErr w:type="spellEnd"/>
      <w:r w:rsidRPr="00370873">
        <w:rPr>
          <w:rFonts w:ascii="Book Antiqua" w:hAnsi="Book Antiqua"/>
        </w:rPr>
        <w:t xml:space="preserve"> - Mode of Action and Clinical Data in Breast Cancer. </w:t>
      </w:r>
      <w:r w:rsidRPr="00370873">
        <w:rPr>
          <w:rFonts w:ascii="Book Antiqua" w:hAnsi="Book Antiqua"/>
          <w:i/>
          <w:iCs/>
        </w:rPr>
        <w:t>Breast Care (Basel)</w:t>
      </w:r>
      <w:r w:rsidRPr="00370873">
        <w:rPr>
          <w:rFonts w:ascii="Book Antiqua" w:hAnsi="Book Antiqua"/>
        </w:rPr>
        <w:t xml:space="preserve"> 2013; </w:t>
      </w:r>
      <w:r w:rsidRPr="00370873">
        <w:rPr>
          <w:rFonts w:ascii="Book Antiqua" w:hAnsi="Book Antiqua"/>
          <w:b/>
          <w:bCs/>
        </w:rPr>
        <w:t>8</w:t>
      </w:r>
      <w:r w:rsidRPr="00370873">
        <w:rPr>
          <w:rFonts w:ascii="Book Antiqua" w:hAnsi="Book Antiqua"/>
        </w:rPr>
        <w:t>: 49-55 [PMID: 24715843 DOI: 10.1159/000346837]</w:t>
      </w:r>
    </w:p>
    <w:p w14:paraId="7502AA85"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27 </w:t>
      </w:r>
      <w:r w:rsidRPr="00370873">
        <w:rPr>
          <w:rFonts w:ascii="Book Antiqua" w:hAnsi="Book Antiqua"/>
          <w:b/>
          <w:bCs/>
        </w:rPr>
        <w:t>Gianni L</w:t>
      </w:r>
      <w:r w:rsidRPr="00370873">
        <w:rPr>
          <w:rFonts w:ascii="Book Antiqua" w:hAnsi="Book Antiqua"/>
        </w:rPr>
        <w:t xml:space="preserve">, Pienkowski T, </w:t>
      </w:r>
      <w:proofErr w:type="spellStart"/>
      <w:r w:rsidRPr="00370873">
        <w:rPr>
          <w:rFonts w:ascii="Book Antiqua" w:hAnsi="Book Antiqua"/>
        </w:rPr>
        <w:t>Im</w:t>
      </w:r>
      <w:proofErr w:type="spellEnd"/>
      <w:r w:rsidRPr="00370873">
        <w:rPr>
          <w:rFonts w:ascii="Book Antiqua" w:hAnsi="Book Antiqua"/>
        </w:rPr>
        <w:t xml:space="preserve"> YH, Roman L, Tseng LM, Liu MC, </w:t>
      </w:r>
      <w:proofErr w:type="spellStart"/>
      <w:r w:rsidRPr="00370873">
        <w:rPr>
          <w:rFonts w:ascii="Book Antiqua" w:hAnsi="Book Antiqua"/>
        </w:rPr>
        <w:t>Lluch</w:t>
      </w:r>
      <w:proofErr w:type="spellEnd"/>
      <w:r w:rsidRPr="00370873">
        <w:rPr>
          <w:rFonts w:ascii="Book Antiqua" w:hAnsi="Book Antiqua"/>
        </w:rPr>
        <w:t xml:space="preserve"> A, </w:t>
      </w:r>
      <w:proofErr w:type="spellStart"/>
      <w:r w:rsidRPr="00370873">
        <w:rPr>
          <w:rFonts w:ascii="Book Antiqua" w:hAnsi="Book Antiqua"/>
        </w:rPr>
        <w:t>Staroslawska</w:t>
      </w:r>
      <w:proofErr w:type="spellEnd"/>
      <w:r w:rsidRPr="00370873">
        <w:rPr>
          <w:rFonts w:ascii="Book Antiqua" w:hAnsi="Book Antiqua"/>
        </w:rPr>
        <w:t xml:space="preserve"> E, de la </w:t>
      </w:r>
      <w:proofErr w:type="spellStart"/>
      <w:r w:rsidRPr="00370873">
        <w:rPr>
          <w:rFonts w:ascii="Book Antiqua" w:hAnsi="Book Antiqua"/>
        </w:rPr>
        <w:t>Haba</w:t>
      </w:r>
      <w:proofErr w:type="spellEnd"/>
      <w:r w:rsidRPr="00370873">
        <w:rPr>
          <w:rFonts w:ascii="Book Antiqua" w:hAnsi="Book Antiqua"/>
        </w:rPr>
        <w:t xml:space="preserve">-Rodriguez J, </w:t>
      </w:r>
      <w:proofErr w:type="spellStart"/>
      <w:r w:rsidRPr="00370873">
        <w:rPr>
          <w:rFonts w:ascii="Book Antiqua" w:hAnsi="Book Antiqua"/>
        </w:rPr>
        <w:t>Im</w:t>
      </w:r>
      <w:proofErr w:type="spellEnd"/>
      <w:r w:rsidRPr="00370873">
        <w:rPr>
          <w:rFonts w:ascii="Book Antiqua" w:hAnsi="Book Antiqua"/>
        </w:rPr>
        <w:t xml:space="preserve"> SA, </w:t>
      </w:r>
      <w:proofErr w:type="spellStart"/>
      <w:r w:rsidRPr="00370873">
        <w:rPr>
          <w:rFonts w:ascii="Book Antiqua" w:hAnsi="Book Antiqua"/>
        </w:rPr>
        <w:t>Pedrini</w:t>
      </w:r>
      <w:proofErr w:type="spellEnd"/>
      <w:r w:rsidRPr="00370873">
        <w:rPr>
          <w:rFonts w:ascii="Book Antiqua" w:hAnsi="Book Antiqua"/>
        </w:rPr>
        <w:t xml:space="preserve"> JL, Poirier B, </w:t>
      </w:r>
      <w:proofErr w:type="spellStart"/>
      <w:r w:rsidRPr="00370873">
        <w:rPr>
          <w:rFonts w:ascii="Book Antiqua" w:hAnsi="Book Antiqua"/>
        </w:rPr>
        <w:t>Morandi</w:t>
      </w:r>
      <w:proofErr w:type="spellEnd"/>
      <w:r w:rsidRPr="00370873">
        <w:rPr>
          <w:rFonts w:ascii="Book Antiqua" w:hAnsi="Book Antiqua"/>
        </w:rPr>
        <w:t xml:space="preserve"> P, </w:t>
      </w:r>
      <w:proofErr w:type="spellStart"/>
      <w:r w:rsidRPr="00370873">
        <w:rPr>
          <w:rFonts w:ascii="Book Antiqua" w:hAnsi="Book Antiqua"/>
        </w:rPr>
        <w:t>Semiglazov</w:t>
      </w:r>
      <w:proofErr w:type="spellEnd"/>
      <w:r w:rsidRPr="00370873">
        <w:rPr>
          <w:rFonts w:ascii="Book Antiqua" w:hAnsi="Book Antiqua"/>
        </w:rPr>
        <w:t xml:space="preserve"> V, </w:t>
      </w:r>
      <w:proofErr w:type="spellStart"/>
      <w:r w:rsidRPr="00370873">
        <w:rPr>
          <w:rFonts w:ascii="Book Antiqua" w:hAnsi="Book Antiqua"/>
        </w:rPr>
        <w:t>Srimuninnimit</w:t>
      </w:r>
      <w:proofErr w:type="spellEnd"/>
      <w:r w:rsidRPr="00370873">
        <w:rPr>
          <w:rFonts w:ascii="Book Antiqua" w:hAnsi="Book Antiqua"/>
        </w:rPr>
        <w:t xml:space="preserve"> V, Bianchi G, </w:t>
      </w:r>
      <w:proofErr w:type="spellStart"/>
      <w:r w:rsidRPr="00370873">
        <w:rPr>
          <w:rFonts w:ascii="Book Antiqua" w:hAnsi="Book Antiqua"/>
        </w:rPr>
        <w:t>Szado</w:t>
      </w:r>
      <w:proofErr w:type="spellEnd"/>
      <w:r w:rsidRPr="00370873">
        <w:rPr>
          <w:rFonts w:ascii="Book Antiqua" w:hAnsi="Book Antiqua"/>
        </w:rPr>
        <w:t xml:space="preserve"> T, Ratnayake J, Ross G, </w:t>
      </w:r>
      <w:proofErr w:type="spellStart"/>
      <w:r w:rsidRPr="00370873">
        <w:rPr>
          <w:rFonts w:ascii="Book Antiqua" w:hAnsi="Book Antiqua"/>
        </w:rPr>
        <w:t>Valagussa</w:t>
      </w:r>
      <w:proofErr w:type="spellEnd"/>
      <w:r w:rsidRPr="00370873">
        <w:rPr>
          <w:rFonts w:ascii="Book Antiqua" w:hAnsi="Book Antiqua"/>
        </w:rPr>
        <w:t xml:space="preserve"> P. Efficacy and safety of neoadjuvant </w:t>
      </w:r>
      <w:proofErr w:type="spellStart"/>
      <w:r w:rsidRPr="00370873">
        <w:rPr>
          <w:rFonts w:ascii="Book Antiqua" w:hAnsi="Book Antiqua"/>
        </w:rPr>
        <w:t>pertuzumab</w:t>
      </w:r>
      <w:proofErr w:type="spellEnd"/>
      <w:r w:rsidRPr="00370873">
        <w:rPr>
          <w:rFonts w:ascii="Book Antiqua" w:hAnsi="Book Antiqua"/>
        </w:rPr>
        <w:t xml:space="preserve"> and trastuzumab in women with locally advanced, inflammatory, or early HER2-positive breast cancer (</w:t>
      </w:r>
      <w:proofErr w:type="spellStart"/>
      <w:r w:rsidRPr="00370873">
        <w:rPr>
          <w:rFonts w:ascii="Book Antiqua" w:hAnsi="Book Antiqua"/>
        </w:rPr>
        <w:t>NeoSphere</w:t>
      </w:r>
      <w:proofErr w:type="spellEnd"/>
      <w:r w:rsidRPr="00370873">
        <w:rPr>
          <w:rFonts w:ascii="Book Antiqua" w:hAnsi="Book Antiqua"/>
        </w:rPr>
        <w:t xml:space="preserve">): a </w:t>
      </w:r>
      <w:proofErr w:type="spellStart"/>
      <w:r w:rsidRPr="00370873">
        <w:rPr>
          <w:rFonts w:ascii="Book Antiqua" w:hAnsi="Book Antiqua"/>
        </w:rPr>
        <w:t>randomised</w:t>
      </w:r>
      <w:proofErr w:type="spellEnd"/>
      <w:r w:rsidRPr="00370873">
        <w:rPr>
          <w:rFonts w:ascii="Book Antiqua" w:hAnsi="Book Antiqua"/>
        </w:rPr>
        <w:t xml:space="preserve"> </w:t>
      </w:r>
      <w:proofErr w:type="spellStart"/>
      <w:r w:rsidRPr="00370873">
        <w:rPr>
          <w:rFonts w:ascii="Book Antiqua" w:hAnsi="Book Antiqua"/>
        </w:rPr>
        <w:t>multicentre</w:t>
      </w:r>
      <w:proofErr w:type="spellEnd"/>
      <w:r w:rsidRPr="00370873">
        <w:rPr>
          <w:rFonts w:ascii="Book Antiqua" w:hAnsi="Book Antiqua"/>
        </w:rPr>
        <w:t xml:space="preserve">, open-label, phase 2 trial. </w:t>
      </w:r>
      <w:r w:rsidRPr="00370873">
        <w:rPr>
          <w:rFonts w:ascii="Book Antiqua" w:hAnsi="Book Antiqua"/>
          <w:i/>
          <w:iCs/>
        </w:rPr>
        <w:t>Lancet Oncol</w:t>
      </w:r>
      <w:r w:rsidRPr="00370873">
        <w:rPr>
          <w:rFonts w:ascii="Book Antiqua" w:hAnsi="Book Antiqua"/>
        </w:rPr>
        <w:t xml:space="preserve"> 2012; </w:t>
      </w:r>
      <w:r w:rsidRPr="00370873">
        <w:rPr>
          <w:rFonts w:ascii="Book Antiqua" w:hAnsi="Book Antiqua"/>
          <w:b/>
          <w:bCs/>
        </w:rPr>
        <w:t>13</w:t>
      </w:r>
      <w:r w:rsidRPr="00370873">
        <w:rPr>
          <w:rFonts w:ascii="Book Antiqua" w:hAnsi="Book Antiqua"/>
        </w:rPr>
        <w:t>: 25-32 [PMID: 22153890 DOI: 10.1016/S1470-2045(11)70336-9]</w:t>
      </w:r>
    </w:p>
    <w:p w14:paraId="0254A6C8"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28 </w:t>
      </w:r>
      <w:proofErr w:type="spellStart"/>
      <w:r w:rsidRPr="00370873">
        <w:rPr>
          <w:rFonts w:ascii="Book Antiqua" w:hAnsi="Book Antiqua"/>
          <w:b/>
          <w:bCs/>
        </w:rPr>
        <w:t>Baselga</w:t>
      </w:r>
      <w:proofErr w:type="spellEnd"/>
      <w:r w:rsidRPr="00370873">
        <w:rPr>
          <w:rFonts w:ascii="Book Antiqua" w:hAnsi="Book Antiqua"/>
          <w:b/>
          <w:bCs/>
        </w:rPr>
        <w:t xml:space="preserve"> J</w:t>
      </w:r>
      <w:r w:rsidRPr="00370873">
        <w:rPr>
          <w:rFonts w:ascii="Book Antiqua" w:hAnsi="Book Antiqua"/>
        </w:rPr>
        <w:t xml:space="preserve">, Cortés J, Kim SB, </w:t>
      </w:r>
      <w:proofErr w:type="spellStart"/>
      <w:r w:rsidRPr="00370873">
        <w:rPr>
          <w:rFonts w:ascii="Book Antiqua" w:hAnsi="Book Antiqua"/>
        </w:rPr>
        <w:t>Im</w:t>
      </w:r>
      <w:proofErr w:type="spellEnd"/>
      <w:r w:rsidRPr="00370873">
        <w:rPr>
          <w:rFonts w:ascii="Book Antiqua" w:hAnsi="Book Antiqua"/>
        </w:rPr>
        <w:t xml:space="preserve"> SA, </w:t>
      </w:r>
      <w:proofErr w:type="spellStart"/>
      <w:r w:rsidRPr="00370873">
        <w:rPr>
          <w:rFonts w:ascii="Book Antiqua" w:hAnsi="Book Antiqua"/>
        </w:rPr>
        <w:t>Hegg</w:t>
      </w:r>
      <w:proofErr w:type="spellEnd"/>
      <w:r w:rsidRPr="00370873">
        <w:rPr>
          <w:rFonts w:ascii="Book Antiqua" w:hAnsi="Book Antiqua"/>
        </w:rPr>
        <w:t xml:space="preserve"> R, </w:t>
      </w:r>
      <w:proofErr w:type="spellStart"/>
      <w:r w:rsidRPr="00370873">
        <w:rPr>
          <w:rFonts w:ascii="Book Antiqua" w:hAnsi="Book Antiqua"/>
        </w:rPr>
        <w:t>Im</w:t>
      </w:r>
      <w:proofErr w:type="spellEnd"/>
      <w:r w:rsidRPr="00370873">
        <w:rPr>
          <w:rFonts w:ascii="Book Antiqua" w:hAnsi="Book Antiqua"/>
        </w:rPr>
        <w:t xml:space="preserve"> YH, Roman L, </w:t>
      </w:r>
      <w:proofErr w:type="spellStart"/>
      <w:r w:rsidRPr="00370873">
        <w:rPr>
          <w:rFonts w:ascii="Book Antiqua" w:hAnsi="Book Antiqua"/>
        </w:rPr>
        <w:t>Pedrini</w:t>
      </w:r>
      <w:proofErr w:type="spellEnd"/>
      <w:r w:rsidRPr="00370873">
        <w:rPr>
          <w:rFonts w:ascii="Book Antiqua" w:hAnsi="Book Antiqua"/>
        </w:rPr>
        <w:t xml:space="preserve"> JL, Pienkowski T, Knott A, Clark E, </w:t>
      </w:r>
      <w:proofErr w:type="spellStart"/>
      <w:r w:rsidRPr="00370873">
        <w:rPr>
          <w:rFonts w:ascii="Book Antiqua" w:hAnsi="Book Antiqua"/>
        </w:rPr>
        <w:t>Benyunes</w:t>
      </w:r>
      <w:proofErr w:type="spellEnd"/>
      <w:r w:rsidRPr="00370873">
        <w:rPr>
          <w:rFonts w:ascii="Book Antiqua" w:hAnsi="Book Antiqua"/>
        </w:rPr>
        <w:t xml:space="preserve"> MC, Ross G, Swain SM; CLEOPATRA Study Group. </w:t>
      </w:r>
      <w:proofErr w:type="spellStart"/>
      <w:r w:rsidRPr="00370873">
        <w:rPr>
          <w:rFonts w:ascii="Book Antiqua" w:hAnsi="Book Antiqua"/>
        </w:rPr>
        <w:t>Pertuzumab</w:t>
      </w:r>
      <w:proofErr w:type="spellEnd"/>
      <w:r w:rsidRPr="00370873">
        <w:rPr>
          <w:rFonts w:ascii="Book Antiqua" w:hAnsi="Book Antiqua"/>
        </w:rPr>
        <w:t xml:space="preserve"> plus trastuzumab plus docetaxel for metastatic breast cancer. </w:t>
      </w:r>
      <w:r w:rsidRPr="00370873">
        <w:rPr>
          <w:rFonts w:ascii="Book Antiqua" w:hAnsi="Book Antiqua"/>
          <w:i/>
          <w:iCs/>
        </w:rPr>
        <w:t xml:space="preserve">N </w:t>
      </w:r>
      <w:proofErr w:type="spellStart"/>
      <w:r w:rsidRPr="00370873">
        <w:rPr>
          <w:rFonts w:ascii="Book Antiqua" w:hAnsi="Book Antiqua"/>
          <w:i/>
          <w:iCs/>
        </w:rPr>
        <w:t>Engl</w:t>
      </w:r>
      <w:proofErr w:type="spellEnd"/>
      <w:r w:rsidRPr="00370873">
        <w:rPr>
          <w:rFonts w:ascii="Book Antiqua" w:hAnsi="Book Antiqua"/>
          <w:i/>
          <w:iCs/>
        </w:rPr>
        <w:t xml:space="preserve"> J Med</w:t>
      </w:r>
      <w:r w:rsidRPr="00370873">
        <w:rPr>
          <w:rFonts w:ascii="Book Antiqua" w:hAnsi="Book Antiqua"/>
        </w:rPr>
        <w:t xml:space="preserve"> 2012; </w:t>
      </w:r>
      <w:r w:rsidRPr="00370873">
        <w:rPr>
          <w:rFonts w:ascii="Book Antiqua" w:hAnsi="Book Antiqua"/>
          <w:b/>
          <w:bCs/>
        </w:rPr>
        <w:t>366</w:t>
      </w:r>
      <w:r w:rsidRPr="00370873">
        <w:rPr>
          <w:rFonts w:ascii="Book Antiqua" w:hAnsi="Book Antiqua"/>
        </w:rPr>
        <w:t>: 109-119 [PMID: 22149875 DOI: 10.1056/NEJMoa1113216]</w:t>
      </w:r>
    </w:p>
    <w:p w14:paraId="048F00E1"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29 </w:t>
      </w:r>
      <w:r w:rsidRPr="00370873">
        <w:rPr>
          <w:rFonts w:ascii="Book Antiqua" w:hAnsi="Book Antiqua"/>
          <w:b/>
          <w:bCs/>
        </w:rPr>
        <w:t>Gianni L</w:t>
      </w:r>
      <w:r w:rsidRPr="00370873">
        <w:rPr>
          <w:rFonts w:ascii="Book Antiqua" w:hAnsi="Book Antiqua"/>
        </w:rPr>
        <w:t xml:space="preserve">, Pienkowski T, </w:t>
      </w:r>
      <w:proofErr w:type="spellStart"/>
      <w:r w:rsidRPr="00370873">
        <w:rPr>
          <w:rFonts w:ascii="Book Antiqua" w:hAnsi="Book Antiqua"/>
        </w:rPr>
        <w:t>Im</w:t>
      </w:r>
      <w:proofErr w:type="spellEnd"/>
      <w:r w:rsidRPr="00370873">
        <w:rPr>
          <w:rFonts w:ascii="Book Antiqua" w:hAnsi="Book Antiqua"/>
        </w:rPr>
        <w:t xml:space="preserve"> YH, Tseng LM, Liu MC, </w:t>
      </w:r>
      <w:proofErr w:type="spellStart"/>
      <w:r w:rsidRPr="00370873">
        <w:rPr>
          <w:rFonts w:ascii="Book Antiqua" w:hAnsi="Book Antiqua"/>
        </w:rPr>
        <w:t>Lluch</w:t>
      </w:r>
      <w:proofErr w:type="spellEnd"/>
      <w:r w:rsidRPr="00370873">
        <w:rPr>
          <w:rFonts w:ascii="Book Antiqua" w:hAnsi="Book Antiqua"/>
        </w:rPr>
        <w:t xml:space="preserve"> A, </w:t>
      </w:r>
      <w:proofErr w:type="spellStart"/>
      <w:r w:rsidRPr="00370873">
        <w:rPr>
          <w:rFonts w:ascii="Book Antiqua" w:hAnsi="Book Antiqua"/>
        </w:rPr>
        <w:t>Starosławska</w:t>
      </w:r>
      <w:proofErr w:type="spellEnd"/>
      <w:r w:rsidRPr="00370873">
        <w:rPr>
          <w:rFonts w:ascii="Book Antiqua" w:hAnsi="Book Antiqua"/>
        </w:rPr>
        <w:t xml:space="preserve"> E, de la </w:t>
      </w:r>
      <w:proofErr w:type="spellStart"/>
      <w:r w:rsidRPr="00370873">
        <w:rPr>
          <w:rFonts w:ascii="Book Antiqua" w:hAnsi="Book Antiqua"/>
        </w:rPr>
        <w:t>Haba</w:t>
      </w:r>
      <w:proofErr w:type="spellEnd"/>
      <w:r w:rsidRPr="00370873">
        <w:rPr>
          <w:rFonts w:ascii="Book Antiqua" w:hAnsi="Book Antiqua"/>
        </w:rPr>
        <w:t xml:space="preserve">-Rodriguez J, </w:t>
      </w:r>
      <w:proofErr w:type="spellStart"/>
      <w:r w:rsidRPr="00370873">
        <w:rPr>
          <w:rFonts w:ascii="Book Antiqua" w:hAnsi="Book Antiqua"/>
        </w:rPr>
        <w:t>Im</w:t>
      </w:r>
      <w:proofErr w:type="spellEnd"/>
      <w:r w:rsidRPr="00370873">
        <w:rPr>
          <w:rFonts w:ascii="Book Antiqua" w:hAnsi="Book Antiqua"/>
        </w:rPr>
        <w:t xml:space="preserve"> SA, </w:t>
      </w:r>
      <w:proofErr w:type="spellStart"/>
      <w:r w:rsidRPr="00370873">
        <w:rPr>
          <w:rFonts w:ascii="Book Antiqua" w:hAnsi="Book Antiqua"/>
        </w:rPr>
        <w:t>Pedrini</w:t>
      </w:r>
      <w:proofErr w:type="spellEnd"/>
      <w:r w:rsidRPr="00370873">
        <w:rPr>
          <w:rFonts w:ascii="Book Antiqua" w:hAnsi="Book Antiqua"/>
        </w:rPr>
        <w:t xml:space="preserve"> JL, Poirier B, </w:t>
      </w:r>
      <w:proofErr w:type="spellStart"/>
      <w:r w:rsidRPr="00370873">
        <w:rPr>
          <w:rFonts w:ascii="Book Antiqua" w:hAnsi="Book Antiqua"/>
        </w:rPr>
        <w:t>Morandi</w:t>
      </w:r>
      <w:proofErr w:type="spellEnd"/>
      <w:r w:rsidRPr="00370873">
        <w:rPr>
          <w:rFonts w:ascii="Book Antiqua" w:hAnsi="Book Antiqua"/>
        </w:rPr>
        <w:t xml:space="preserve"> P, </w:t>
      </w:r>
      <w:proofErr w:type="spellStart"/>
      <w:r w:rsidRPr="00370873">
        <w:rPr>
          <w:rFonts w:ascii="Book Antiqua" w:hAnsi="Book Antiqua"/>
        </w:rPr>
        <w:t>Semiglazov</w:t>
      </w:r>
      <w:proofErr w:type="spellEnd"/>
      <w:r w:rsidRPr="00370873">
        <w:rPr>
          <w:rFonts w:ascii="Book Antiqua" w:hAnsi="Book Antiqua"/>
        </w:rPr>
        <w:t xml:space="preserve"> V, </w:t>
      </w:r>
      <w:proofErr w:type="spellStart"/>
      <w:r w:rsidRPr="00370873">
        <w:rPr>
          <w:rFonts w:ascii="Book Antiqua" w:hAnsi="Book Antiqua"/>
        </w:rPr>
        <w:t>Srimuninnimit</w:t>
      </w:r>
      <w:proofErr w:type="spellEnd"/>
      <w:r w:rsidRPr="00370873">
        <w:rPr>
          <w:rFonts w:ascii="Book Antiqua" w:hAnsi="Book Antiqua"/>
        </w:rPr>
        <w:t xml:space="preserve"> V, Bianchi GV, </w:t>
      </w:r>
      <w:proofErr w:type="spellStart"/>
      <w:r w:rsidRPr="00370873">
        <w:rPr>
          <w:rFonts w:ascii="Book Antiqua" w:hAnsi="Book Antiqua"/>
        </w:rPr>
        <w:t>Magazzù</w:t>
      </w:r>
      <w:proofErr w:type="spellEnd"/>
      <w:r w:rsidRPr="00370873">
        <w:rPr>
          <w:rFonts w:ascii="Book Antiqua" w:hAnsi="Book Antiqua"/>
        </w:rPr>
        <w:t xml:space="preserve"> D, McNally V, Douthwaite H, Ross G, </w:t>
      </w:r>
      <w:proofErr w:type="spellStart"/>
      <w:r w:rsidRPr="00370873">
        <w:rPr>
          <w:rFonts w:ascii="Book Antiqua" w:hAnsi="Book Antiqua"/>
        </w:rPr>
        <w:lastRenderedPageBreak/>
        <w:t>Valagussa</w:t>
      </w:r>
      <w:proofErr w:type="spellEnd"/>
      <w:r w:rsidRPr="00370873">
        <w:rPr>
          <w:rFonts w:ascii="Book Antiqua" w:hAnsi="Book Antiqua"/>
        </w:rPr>
        <w:t xml:space="preserve"> P. 5-year analysis of neoadjuvant </w:t>
      </w:r>
      <w:proofErr w:type="spellStart"/>
      <w:r w:rsidRPr="00370873">
        <w:rPr>
          <w:rFonts w:ascii="Book Antiqua" w:hAnsi="Book Antiqua"/>
        </w:rPr>
        <w:t>pertuzumab</w:t>
      </w:r>
      <w:proofErr w:type="spellEnd"/>
      <w:r w:rsidRPr="00370873">
        <w:rPr>
          <w:rFonts w:ascii="Book Antiqua" w:hAnsi="Book Antiqua"/>
        </w:rPr>
        <w:t xml:space="preserve"> and trastuzumab in patients with locally advanced, inflammatory, or early-stage HER2-positive breast cancer (</w:t>
      </w:r>
      <w:proofErr w:type="spellStart"/>
      <w:r w:rsidRPr="00370873">
        <w:rPr>
          <w:rFonts w:ascii="Book Antiqua" w:hAnsi="Book Antiqua"/>
        </w:rPr>
        <w:t>NeoSphere</w:t>
      </w:r>
      <w:proofErr w:type="spellEnd"/>
      <w:r w:rsidRPr="00370873">
        <w:rPr>
          <w:rFonts w:ascii="Book Antiqua" w:hAnsi="Book Antiqua"/>
        </w:rPr>
        <w:t xml:space="preserve">): a </w:t>
      </w:r>
      <w:proofErr w:type="spellStart"/>
      <w:r w:rsidRPr="00370873">
        <w:rPr>
          <w:rFonts w:ascii="Book Antiqua" w:hAnsi="Book Antiqua"/>
        </w:rPr>
        <w:t>multicentre</w:t>
      </w:r>
      <w:proofErr w:type="spellEnd"/>
      <w:r w:rsidRPr="00370873">
        <w:rPr>
          <w:rFonts w:ascii="Book Antiqua" w:hAnsi="Book Antiqua"/>
        </w:rPr>
        <w:t xml:space="preserve">, open-label, phase 2 </w:t>
      </w:r>
      <w:proofErr w:type="spellStart"/>
      <w:r w:rsidRPr="00370873">
        <w:rPr>
          <w:rFonts w:ascii="Book Antiqua" w:hAnsi="Book Antiqua"/>
        </w:rPr>
        <w:t>randomised</w:t>
      </w:r>
      <w:proofErr w:type="spellEnd"/>
      <w:r w:rsidRPr="00370873">
        <w:rPr>
          <w:rFonts w:ascii="Book Antiqua" w:hAnsi="Book Antiqua"/>
        </w:rPr>
        <w:t xml:space="preserve"> trial. </w:t>
      </w:r>
      <w:r w:rsidRPr="00370873">
        <w:rPr>
          <w:rFonts w:ascii="Book Antiqua" w:hAnsi="Book Antiqua"/>
          <w:i/>
          <w:iCs/>
        </w:rPr>
        <w:t>Lancet Oncol</w:t>
      </w:r>
      <w:r w:rsidRPr="00370873">
        <w:rPr>
          <w:rFonts w:ascii="Book Antiqua" w:hAnsi="Book Antiqua"/>
        </w:rPr>
        <w:t xml:space="preserve"> 2016; </w:t>
      </w:r>
      <w:r w:rsidRPr="00370873">
        <w:rPr>
          <w:rFonts w:ascii="Book Antiqua" w:hAnsi="Book Antiqua"/>
          <w:b/>
          <w:bCs/>
        </w:rPr>
        <w:t>17</w:t>
      </w:r>
      <w:r w:rsidRPr="00370873">
        <w:rPr>
          <w:rFonts w:ascii="Book Antiqua" w:hAnsi="Book Antiqua"/>
        </w:rPr>
        <w:t>: 791-800 [PMID: 27179402 DOI: 10.1016/S1470-2045(16)00163-7]</w:t>
      </w:r>
    </w:p>
    <w:p w14:paraId="7D217062"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30 </w:t>
      </w:r>
      <w:r w:rsidRPr="00370873">
        <w:rPr>
          <w:rFonts w:ascii="Book Antiqua" w:hAnsi="Book Antiqua"/>
          <w:b/>
          <w:bCs/>
        </w:rPr>
        <w:t>Shao Z</w:t>
      </w:r>
      <w:r w:rsidRPr="00370873">
        <w:rPr>
          <w:rFonts w:ascii="Book Antiqua" w:hAnsi="Book Antiqua"/>
        </w:rPr>
        <w:t xml:space="preserve">, Pang D, Yang H, Li W, Wang S, Cui S, Liao N, Wang Y, Wang C, Chang YC, Wang H, Kang SY, </w:t>
      </w:r>
      <w:proofErr w:type="spellStart"/>
      <w:r w:rsidRPr="00370873">
        <w:rPr>
          <w:rFonts w:ascii="Book Antiqua" w:hAnsi="Book Antiqua"/>
        </w:rPr>
        <w:t>Seo</w:t>
      </w:r>
      <w:proofErr w:type="spellEnd"/>
      <w:r w:rsidRPr="00370873">
        <w:rPr>
          <w:rFonts w:ascii="Book Antiqua" w:hAnsi="Book Antiqua"/>
        </w:rPr>
        <w:t xml:space="preserve"> JH, Shen K, </w:t>
      </w:r>
      <w:proofErr w:type="spellStart"/>
      <w:r w:rsidRPr="00370873">
        <w:rPr>
          <w:rFonts w:ascii="Book Antiqua" w:hAnsi="Book Antiqua"/>
        </w:rPr>
        <w:t>Laohawiriyakamol</w:t>
      </w:r>
      <w:proofErr w:type="spellEnd"/>
      <w:r w:rsidRPr="00370873">
        <w:rPr>
          <w:rFonts w:ascii="Book Antiqua" w:hAnsi="Book Antiqua"/>
        </w:rPr>
        <w:t xml:space="preserve"> S, Jiang Z, Li J, Zhou J, Althaus B, Mao Y, </w:t>
      </w:r>
      <w:proofErr w:type="spellStart"/>
      <w:r w:rsidRPr="00370873">
        <w:rPr>
          <w:rFonts w:ascii="Book Antiqua" w:hAnsi="Book Antiqua"/>
        </w:rPr>
        <w:t>Eng</w:t>
      </w:r>
      <w:proofErr w:type="spellEnd"/>
      <w:r w:rsidRPr="00370873">
        <w:rPr>
          <w:rFonts w:ascii="Book Antiqua" w:hAnsi="Book Antiqua"/>
        </w:rPr>
        <w:t xml:space="preserve">-Wong J. Efficacy, Safety, and Tolerability of </w:t>
      </w:r>
      <w:proofErr w:type="spellStart"/>
      <w:r w:rsidRPr="00370873">
        <w:rPr>
          <w:rFonts w:ascii="Book Antiqua" w:hAnsi="Book Antiqua"/>
        </w:rPr>
        <w:t>Pertuzumab</w:t>
      </w:r>
      <w:proofErr w:type="spellEnd"/>
      <w:r w:rsidRPr="00370873">
        <w:rPr>
          <w:rFonts w:ascii="Book Antiqua" w:hAnsi="Book Antiqua"/>
        </w:rPr>
        <w:t xml:space="preserve">, Trastuzumab, and Docetaxel for Patients </w:t>
      </w:r>
      <w:proofErr w:type="gramStart"/>
      <w:r w:rsidRPr="00370873">
        <w:rPr>
          <w:rFonts w:ascii="Book Antiqua" w:hAnsi="Book Antiqua"/>
        </w:rPr>
        <w:t>With</w:t>
      </w:r>
      <w:proofErr w:type="gramEnd"/>
      <w:r w:rsidRPr="00370873">
        <w:rPr>
          <w:rFonts w:ascii="Book Antiqua" w:hAnsi="Book Antiqua"/>
        </w:rPr>
        <w:t xml:space="preserve"> Early or Locally Advanced ERBB2-Positive Breast Cancer in Asia: The PEONY Phase 3 Randomized Clinical Trial. </w:t>
      </w:r>
      <w:r w:rsidRPr="00370873">
        <w:rPr>
          <w:rFonts w:ascii="Book Antiqua" w:hAnsi="Book Antiqua"/>
          <w:i/>
          <w:iCs/>
        </w:rPr>
        <w:t>JAMA Oncol</w:t>
      </w:r>
      <w:r w:rsidRPr="00370873">
        <w:rPr>
          <w:rFonts w:ascii="Book Antiqua" w:hAnsi="Book Antiqua"/>
        </w:rPr>
        <w:t xml:space="preserve"> 2020; </w:t>
      </w:r>
      <w:r w:rsidRPr="00370873">
        <w:rPr>
          <w:rFonts w:ascii="Book Antiqua" w:hAnsi="Book Antiqua"/>
          <w:b/>
          <w:bCs/>
        </w:rPr>
        <w:t>6</w:t>
      </w:r>
      <w:r w:rsidRPr="00370873">
        <w:rPr>
          <w:rFonts w:ascii="Book Antiqua" w:hAnsi="Book Antiqua"/>
        </w:rPr>
        <w:t>: e193692 [PMID: 31647503 DOI: 10.1001/jamaoncol.2019.3692]</w:t>
      </w:r>
    </w:p>
    <w:p w14:paraId="06E15CBA"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31 </w:t>
      </w:r>
      <w:r w:rsidRPr="00370873">
        <w:rPr>
          <w:rFonts w:ascii="Book Antiqua" w:hAnsi="Book Antiqua"/>
          <w:b/>
          <w:bCs/>
        </w:rPr>
        <w:t>Quartino AL</w:t>
      </w:r>
      <w:r w:rsidRPr="00370873">
        <w:rPr>
          <w:rFonts w:ascii="Book Antiqua" w:hAnsi="Book Antiqua"/>
        </w:rPr>
        <w:t xml:space="preserve">, Li H, </w:t>
      </w:r>
      <w:proofErr w:type="spellStart"/>
      <w:r w:rsidRPr="00370873">
        <w:rPr>
          <w:rFonts w:ascii="Book Antiqua" w:hAnsi="Book Antiqua"/>
        </w:rPr>
        <w:t>Jin</w:t>
      </w:r>
      <w:proofErr w:type="spellEnd"/>
      <w:r w:rsidRPr="00370873">
        <w:rPr>
          <w:rFonts w:ascii="Book Antiqua" w:hAnsi="Book Antiqua"/>
        </w:rPr>
        <w:t xml:space="preserve"> JY, Wada DR, </w:t>
      </w:r>
      <w:proofErr w:type="spellStart"/>
      <w:r w:rsidRPr="00370873">
        <w:rPr>
          <w:rFonts w:ascii="Book Antiqua" w:hAnsi="Book Antiqua"/>
        </w:rPr>
        <w:t>Benyunes</w:t>
      </w:r>
      <w:proofErr w:type="spellEnd"/>
      <w:r w:rsidRPr="00370873">
        <w:rPr>
          <w:rFonts w:ascii="Book Antiqua" w:hAnsi="Book Antiqua"/>
        </w:rPr>
        <w:t xml:space="preserve"> MC, McNally V, </w:t>
      </w:r>
      <w:proofErr w:type="spellStart"/>
      <w:r w:rsidRPr="00370873">
        <w:rPr>
          <w:rFonts w:ascii="Book Antiqua" w:hAnsi="Book Antiqua"/>
        </w:rPr>
        <w:t>Viganò</w:t>
      </w:r>
      <w:proofErr w:type="spellEnd"/>
      <w:r w:rsidRPr="00370873">
        <w:rPr>
          <w:rFonts w:ascii="Book Antiqua" w:hAnsi="Book Antiqua"/>
        </w:rPr>
        <w:t xml:space="preserve"> L, </w:t>
      </w:r>
      <w:proofErr w:type="spellStart"/>
      <w:r w:rsidRPr="00370873">
        <w:rPr>
          <w:rFonts w:ascii="Book Antiqua" w:hAnsi="Book Antiqua"/>
        </w:rPr>
        <w:t>Nijem</w:t>
      </w:r>
      <w:proofErr w:type="spellEnd"/>
      <w:r w:rsidRPr="00370873">
        <w:rPr>
          <w:rFonts w:ascii="Book Antiqua" w:hAnsi="Book Antiqua"/>
        </w:rPr>
        <w:t xml:space="preserve"> I, Lum BL, Garg A. Pharmacokinetic and exposure-response analyses of </w:t>
      </w:r>
      <w:proofErr w:type="spellStart"/>
      <w:r w:rsidRPr="00370873">
        <w:rPr>
          <w:rFonts w:ascii="Book Antiqua" w:hAnsi="Book Antiqua"/>
        </w:rPr>
        <w:t>pertuzumab</w:t>
      </w:r>
      <w:proofErr w:type="spellEnd"/>
      <w:r w:rsidRPr="00370873">
        <w:rPr>
          <w:rFonts w:ascii="Book Antiqua" w:hAnsi="Book Antiqua"/>
        </w:rPr>
        <w:t xml:space="preserve"> in combination with trastuzumab and docetaxel during neoadjuvant treatment of HER2+ early breast cancer. </w:t>
      </w:r>
      <w:r w:rsidRPr="00370873">
        <w:rPr>
          <w:rFonts w:ascii="Book Antiqua" w:hAnsi="Book Antiqua"/>
          <w:i/>
          <w:iCs/>
        </w:rPr>
        <w:t xml:space="preserve">Cancer Chemother </w:t>
      </w:r>
      <w:proofErr w:type="spellStart"/>
      <w:r w:rsidRPr="00370873">
        <w:rPr>
          <w:rFonts w:ascii="Book Antiqua" w:hAnsi="Book Antiqua"/>
          <w:i/>
          <w:iCs/>
        </w:rPr>
        <w:t>Pharmacol</w:t>
      </w:r>
      <w:proofErr w:type="spellEnd"/>
      <w:r w:rsidRPr="00370873">
        <w:rPr>
          <w:rFonts w:ascii="Book Antiqua" w:hAnsi="Book Antiqua"/>
        </w:rPr>
        <w:t xml:space="preserve"> 2017; </w:t>
      </w:r>
      <w:r w:rsidRPr="00370873">
        <w:rPr>
          <w:rFonts w:ascii="Book Antiqua" w:hAnsi="Book Antiqua"/>
          <w:b/>
          <w:bCs/>
        </w:rPr>
        <w:t>79</w:t>
      </w:r>
      <w:r w:rsidRPr="00370873">
        <w:rPr>
          <w:rFonts w:ascii="Book Antiqua" w:hAnsi="Book Antiqua"/>
        </w:rPr>
        <w:t>: 353-361 [PMID: 28074265 DOI: 10.1007/s00280-016-3218-0]</w:t>
      </w:r>
    </w:p>
    <w:p w14:paraId="0EAEFCF4"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32 </w:t>
      </w:r>
      <w:r w:rsidRPr="00370873">
        <w:rPr>
          <w:rFonts w:ascii="Book Antiqua" w:hAnsi="Book Antiqua"/>
          <w:b/>
          <w:bCs/>
        </w:rPr>
        <w:t>Keizer RJ</w:t>
      </w:r>
      <w:r w:rsidRPr="00370873">
        <w:rPr>
          <w:rFonts w:ascii="Book Antiqua" w:hAnsi="Book Antiqua"/>
        </w:rPr>
        <w:t xml:space="preserve">, Huitema AD, </w:t>
      </w:r>
      <w:proofErr w:type="spellStart"/>
      <w:r w:rsidRPr="00370873">
        <w:rPr>
          <w:rFonts w:ascii="Book Antiqua" w:hAnsi="Book Antiqua"/>
        </w:rPr>
        <w:t>Schellens</w:t>
      </w:r>
      <w:proofErr w:type="spellEnd"/>
      <w:r w:rsidRPr="00370873">
        <w:rPr>
          <w:rFonts w:ascii="Book Antiqua" w:hAnsi="Book Antiqua"/>
        </w:rPr>
        <w:t xml:space="preserve"> JH, </w:t>
      </w:r>
      <w:proofErr w:type="spellStart"/>
      <w:r w:rsidRPr="00370873">
        <w:rPr>
          <w:rFonts w:ascii="Book Antiqua" w:hAnsi="Book Antiqua"/>
        </w:rPr>
        <w:t>Beijnen</w:t>
      </w:r>
      <w:proofErr w:type="spellEnd"/>
      <w:r w:rsidRPr="00370873">
        <w:rPr>
          <w:rFonts w:ascii="Book Antiqua" w:hAnsi="Book Antiqua"/>
        </w:rPr>
        <w:t xml:space="preserve"> JH. Clinical pharmacokinetics of therapeutic monoclonal antibodies. </w:t>
      </w:r>
      <w:r w:rsidRPr="00370873">
        <w:rPr>
          <w:rFonts w:ascii="Book Antiqua" w:hAnsi="Book Antiqua"/>
          <w:i/>
          <w:iCs/>
        </w:rPr>
        <w:t xml:space="preserve">Clin </w:t>
      </w:r>
      <w:proofErr w:type="spellStart"/>
      <w:r w:rsidRPr="00370873">
        <w:rPr>
          <w:rFonts w:ascii="Book Antiqua" w:hAnsi="Book Antiqua"/>
          <w:i/>
          <w:iCs/>
        </w:rPr>
        <w:t>Pharmacokinet</w:t>
      </w:r>
      <w:proofErr w:type="spellEnd"/>
      <w:r w:rsidRPr="00370873">
        <w:rPr>
          <w:rFonts w:ascii="Book Antiqua" w:hAnsi="Book Antiqua"/>
        </w:rPr>
        <w:t xml:space="preserve"> 2010; </w:t>
      </w:r>
      <w:r w:rsidRPr="00370873">
        <w:rPr>
          <w:rFonts w:ascii="Book Antiqua" w:hAnsi="Book Antiqua"/>
          <w:b/>
          <w:bCs/>
        </w:rPr>
        <w:t>49</w:t>
      </w:r>
      <w:r w:rsidRPr="00370873">
        <w:rPr>
          <w:rFonts w:ascii="Book Antiqua" w:hAnsi="Book Antiqua"/>
        </w:rPr>
        <w:t>: 493-507 [PMID: 20608753 DOI: 10.2165/11531280-000000000-00000]</w:t>
      </w:r>
    </w:p>
    <w:p w14:paraId="6A2AC4A6"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33 </w:t>
      </w:r>
      <w:r w:rsidRPr="00370873">
        <w:rPr>
          <w:rFonts w:ascii="Book Antiqua" w:hAnsi="Book Antiqua"/>
          <w:b/>
          <w:bCs/>
        </w:rPr>
        <w:t>Garg A</w:t>
      </w:r>
      <w:r w:rsidRPr="00370873">
        <w:rPr>
          <w:rFonts w:ascii="Book Antiqua" w:hAnsi="Book Antiqua"/>
        </w:rPr>
        <w:t xml:space="preserve">, Balthasar JP. Physiologically-based pharmacokinetic (PBPK) model to predict IgG tissue kinetics in wild-type and </w:t>
      </w:r>
      <w:proofErr w:type="spellStart"/>
      <w:r w:rsidRPr="00370873">
        <w:rPr>
          <w:rFonts w:ascii="Book Antiqua" w:hAnsi="Book Antiqua"/>
        </w:rPr>
        <w:t>FcRn</w:t>
      </w:r>
      <w:proofErr w:type="spellEnd"/>
      <w:r w:rsidRPr="00370873">
        <w:rPr>
          <w:rFonts w:ascii="Book Antiqua" w:hAnsi="Book Antiqua"/>
        </w:rPr>
        <w:t xml:space="preserve">-knockout mice. </w:t>
      </w:r>
      <w:r w:rsidRPr="00370873">
        <w:rPr>
          <w:rFonts w:ascii="Book Antiqua" w:hAnsi="Book Antiqua"/>
          <w:i/>
          <w:iCs/>
        </w:rPr>
        <w:t xml:space="preserve">J </w:t>
      </w:r>
      <w:proofErr w:type="spellStart"/>
      <w:r w:rsidRPr="00370873">
        <w:rPr>
          <w:rFonts w:ascii="Book Antiqua" w:hAnsi="Book Antiqua"/>
          <w:i/>
          <w:iCs/>
        </w:rPr>
        <w:t>Pharmacokinet</w:t>
      </w:r>
      <w:proofErr w:type="spellEnd"/>
      <w:r w:rsidRPr="00370873">
        <w:rPr>
          <w:rFonts w:ascii="Book Antiqua" w:hAnsi="Book Antiqua"/>
          <w:i/>
          <w:iCs/>
        </w:rPr>
        <w:t xml:space="preserve"> </w:t>
      </w:r>
      <w:proofErr w:type="spellStart"/>
      <w:r w:rsidRPr="00370873">
        <w:rPr>
          <w:rFonts w:ascii="Book Antiqua" w:hAnsi="Book Antiqua"/>
          <w:i/>
          <w:iCs/>
        </w:rPr>
        <w:t>Pharmacodyn</w:t>
      </w:r>
      <w:proofErr w:type="spellEnd"/>
      <w:r w:rsidRPr="00370873">
        <w:rPr>
          <w:rFonts w:ascii="Book Antiqua" w:hAnsi="Book Antiqua"/>
        </w:rPr>
        <w:t xml:space="preserve"> 2007; </w:t>
      </w:r>
      <w:r w:rsidRPr="00370873">
        <w:rPr>
          <w:rFonts w:ascii="Book Antiqua" w:hAnsi="Book Antiqua"/>
          <w:b/>
          <w:bCs/>
        </w:rPr>
        <w:t>34</w:t>
      </w:r>
      <w:r w:rsidRPr="00370873">
        <w:rPr>
          <w:rFonts w:ascii="Book Antiqua" w:hAnsi="Book Antiqua"/>
        </w:rPr>
        <w:t>: 687-709 [PMID: 17636457 DOI: 10.1007/s10928-007-9065-1]</w:t>
      </w:r>
    </w:p>
    <w:p w14:paraId="05C7145C" w14:textId="77777777" w:rsidR="002B3C61" w:rsidRPr="00370873" w:rsidRDefault="002B3C61" w:rsidP="00370873">
      <w:pPr>
        <w:spacing w:line="360" w:lineRule="auto"/>
        <w:jc w:val="both"/>
        <w:rPr>
          <w:rFonts w:ascii="Book Antiqua" w:hAnsi="Book Antiqua"/>
        </w:rPr>
      </w:pPr>
      <w:r w:rsidRPr="00370873">
        <w:rPr>
          <w:rFonts w:ascii="Book Antiqua" w:hAnsi="Book Antiqua"/>
          <w:highlight w:val="yellow"/>
        </w:rPr>
        <w:t xml:space="preserve">34 </w:t>
      </w:r>
      <w:proofErr w:type="spellStart"/>
      <w:r w:rsidRPr="00370873">
        <w:rPr>
          <w:rFonts w:ascii="Book Antiqua" w:hAnsi="Book Antiqua"/>
          <w:b/>
          <w:bCs/>
          <w:highlight w:val="yellow"/>
        </w:rPr>
        <w:t>Aronoff</w:t>
      </w:r>
      <w:proofErr w:type="spellEnd"/>
      <w:r w:rsidRPr="00370873">
        <w:rPr>
          <w:rFonts w:ascii="Book Antiqua" w:hAnsi="Book Antiqua"/>
          <w:b/>
          <w:bCs/>
          <w:highlight w:val="yellow"/>
        </w:rPr>
        <w:t xml:space="preserve"> GR</w:t>
      </w:r>
      <w:r w:rsidRPr="00370873">
        <w:rPr>
          <w:rFonts w:ascii="Book Antiqua" w:hAnsi="Book Antiqua"/>
          <w:highlight w:val="yellow"/>
        </w:rPr>
        <w:t xml:space="preserve">, Bennett WM, </w:t>
      </w:r>
      <w:proofErr w:type="spellStart"/>
      <w:r w:rsidRPr="00370873">
        <w:rPr>
          <w:rFonts w:ascii="Book Antiqua" w:hAnsi="Book Antiqua"/>
          <w:highlight w:val="yellow"/>
        </w:rPr>
        <w:t>Berns</w:t>
      </w:r>
      <w:proofErr w:type="spellEnd"/>
      <w:r w:rsidRPr="00370873">
        <w:rPr>
          <w:rFonts w:ascii="Book Antiqua" w:hAnsi="Book Antiqua"/>
          <w:highlight w:val="yellow"/>
        </w:rPr>
        <w:t xml:space="preserve"> JS. Drug Prescribing in Renal Failure: Dosing Guidelines for Adults and Children. 5</w:t>
      </w:r>
      <w:r w:rsidRPr="00370873">
        <w:rPr>
          <w:rFonts w:ascii="Book Antiqua" w:hAnsi="Book Antiqua"/>
          <w:highlight w:val="yellow"/>
          <w:vertAlign w:val="superscript"/>
        </w:rPr>
        <w:t>th</w:t>
      </w:r>
      <w:r w:rsidRPr="00370873">
        <w:rPr>
          <w:rFonts w:ascii="Book Antiqua" w:hAnsi="Book Antiqua"/>
          <w:highlight w:val="yellow"/>
        </w:rPr>
        <w:t>. Philadelphia, PA: American College of Physicians–American Society of Internal Medicine, 2007</w:t>
      </w:r>
    </w:p>
    <w:p w14:paraId="4164D128" w14:textId="77777777" w:rsidR="002B3C61" w:rsidRPr="00370873" w:rsidRDefault="002B3C61" w:rsidP="00370873">
      <w:pPr>
        <w:spacing w:line="360" w:lineRule="auto"/>
        <w:jc w:val="both"/>
        <w:rPr>
          <w:rFonts w:ascii="Book Antiqua" w:hAnsi="Book Antiqua"/>
        </w:rPr>
      </w:pPr>
      <w:r w:rsidRPr="00370873">
        <w:rPr>
          <w:rFonts w:ascii="Book Antiqua" w:hAnsi="Book Antiqua"/>
        </w:rPr>
        <w:t xml:space="preserve">35 </w:t>
      </w:r>
      <w:proofErr w:type="spellStart"/>
      <w:r w:rsidRPr="00370873">
        <w:rPr>
          <w:rFonts w:ascii="Book Antiqua" w:hAnsi="Book Antiqua"/>
          <w:b/>
          <w:bCs/>
        </w:rPr>
        <w:t>Heijns</w:t>
      </w:r>
      <w:proofErr w:type="spellEnd"/>
      <w:r w:rsidRPr="00370873">
        <w:rPr>
          <w:rFonts w:ascii="Book Antiqua" w:hAnsi="Book Antiqua"/>
          <w:b/>
          <w:bCs/>
        </w:rPr>
        <w:t xml:space="preserve"> JB</w:t>
      </w:r>
      <w:r w:rsidRPr="00370873">
        <w:rPr>
          <w:rFonts w:ascii="Book Antiqua" w:hAnsi="Book Antiqua"/>
        </w:rPr>
        <w:t xml:space="preserve">, van der Burg ME, van Gelder T, </w:t>
      </w:r>
      <w:proofErr w:type="spellStart"/>
      <w:r w:rsidRPr="00370873">
        <w:rPr>
          <w:rFonts w:ascii="Book Antiqua" w:hAnsi="Book Antiqua"/>
        </w:rPr>
        <w:t>Fieren</w:t>
      </w:r>
      <w:proofErr w:type="spellEnd"/>
      <w:r w:rsidRPr="00370873">
        <w:rPr>
          <w:rFonts w:ascii="Book Antiqua" w:hAnsi="Book Antiqua"/>
        </w:rPr>
        <w:t xml:space="preserve"> MW, de Bruijn P, van der </w:t>
      </w:r>
      <w:proofErr w:type="spellStart"/>
      <w:r w:rsidRPr="00370873">
        <w:rPr>
          <w:rFonts w:ascii="Book Antiqua" w:hAnsi="Book Antiqua"/>
        </w:rPr>
        <w:t>Gaast</w:t>
      </w:r>
      <w:proofErr w:type="spellEnd"/>
      <w:r w:rsidRPr="00370873">
        <w:rPr>
          <w:rFonts w:ascii="Book Antiqua" w:hAnsi="Book Antiqua"/>
        </w:rPr>
        <w:t xml:space="preserve"> A, Loos WJ. Continuous ambulatory peritoneal dialysis: pharmacokinetics and clinical outcome of paclitaxel and carboplatin treatment. </w:t>
      </w:r>
      <w:r w:rsidRPr="00370873">
        <w:rPr>
          <w:rFonts w:ascii="Book Antiqua" w:hAnsi="Book Antiqua"/>
          <w:i/>
          <w:iCs/>
        </w:rPr>
        <w:t xml:space="preserve">Cancer Chemother </w:t>
      </w:r>
      <w:proofErr w:type="spellStart"/>
      <w:r w:rsidRPr="00370873">
        <w:rPr>
          <w:rFonts w:ascii="Book Antiqua" w:hAnsi="Book Antiqua"/>
          <w:i/>
          <w:iCs/>
        </w:rPr>
        <w:t>Pharmacol</w:t>
      </w:r>
      <w:proofErr w:type="spellEnd"/>
      <w:r w:rsidRPr="00370873">
        <w:rPr>
          <w:rFonts w:ascii="Book Antiqua" w:hAnsi="Book Antiqua"/>
        </w:rPr>
        <w:t xml:space="preserve"> 2008; </w:t>
      </w:r>
      <w:r w:rsidRPr="00370873">
        <w:rPr>
          <w:rFonts w:ascii="Book Antiqua" w:hAnsi="Book Antiqua"/>
          <w:b/>
          <w:bCs/>
        </w:rPr>
        <w:t>62</w:t>
      </w:r>
      <w:r w:rsidRPr="00370873">
        <w:rPr>
          <w:rFonts w:ascii="Book Antiqua" w:hAnsi="Book Antiqua"/>
        </w:rPr>
        <w:t>: 841-847 [PMID: 18204842 DOI: 10.1007/s00280-007-0671-9]</w:t>
      </w:r>
    </w:p>
    <w:p w14:paraId="53B8CD29" w14:textId="77777777" w:rsidR="002B3C61" w:rsidRPr="00370873" w:rsidRDefault="002B3C61" w:rsidP="00370873">
      <w:pPr>
        <w:spacing w:line="360" w:lineRule="auto"/>
        <w:jc w:val="both"/>
        <w:rPr>
          <w:rFonts w:ascii="Book Antiqua" w:hAnsi="Book Antiqua"/>
        </w:rPr>
      </w:pPr>
      <w:r w:rsidRPr="00370873">
        <w:rPr>
          <w:rFonts w:ascii="Book Antiqua" w:hAnsi="Book Antiqua"/>
        </w:rPr>
        <w:lastRenderedPageBreak/>
        <w:t xml:space="preserve">36 </w:t>
      </w:r>
      <w:r w:rsidRPr="00370873">
        <w:rPr>
          <w:rFonts w:ascii="Book Antiqua" w:hAnsi="Book Antiqua"/>
          <w:b/>
          <w:bCs/>
        </w:rPr>
        <w:t>Garg A</w:t>
      </w:r>
      <w:r w:rsidRPr="00370873">
        <w:rPr>
          <w:rFonts w:ascii="Book Antiqua" w:hAnsi="Book Antiqua"/>
        </w:rPr>
        <w:t xml:space="preserve">, Quartino A, Li J, </w:t>
      </w:r>
      <w:proofErr w:type="spellStart"/>
      <w:r w:rsidRPr="00370873">
        <w:rPr>
          <w:rFonts w:ascii="Book Antiqua" w:hAnsi="Book Antiqua"/>
        </w:rPr>
        <w:t>Jin</w:t>
      </w:r>
      <w:proofErr w:type="spellEnd"/>
      <w:r w:rsidRPr="00370873">
        <w:rPr>
          <w:rFonts w:ascii="Book Antiqua" w:hAnsi="Book Antiqua"/>
        </w:rPr>
        <w:t xml:space="preserve"> J, Wada DR, Li H, Cortés J, McNally V, Ross G, </w:t>
      </w:r>
      <w:proofErr w:type="spellStart"/>
      <w:r w:rsidRPr="00370873">
        <w:rPr>
          <w:rFonts w:ascii="Book Antiqua" w:hAnsi="Book Antiqua"/>
        </w:rPr>
        <w:t>Visich</w:t>
      </w:r>
      <w:proofErr w:type="spellEnd"/>
      <w:r w:rsidRPr="00370873">
        <w:rPr>
          <w:rFonts w:ascii="Book Antiqua" w:hAnsi="Book Antiqua"/>
        </w:rPr>
        <w:t xml:space="preserve"> J, Lum B. Population pharmacokinetic and covariate analysis of </w:t>
      </w:r>
      <w:proofErr w:type="spellStart"/>
      <w:r w:rsidRPr="00370873">
        <w:rPr>
          <w:rFonts w:ascii="Book Antiqua" w:hAnsi="Book Antiqua"/>
        </w:rPr>
        <w:t>pertuzumab</w:t>
      </w:r>
      <w:proofErr w:type="spellEnd"/>
      <w:r w:rsidRPr="00370873">
        <w:rPr>
          <w:rFonts w:ascii="Book Antiqua" w:hAnsi="Book Antiqua"/>
        </w:rPr>
        <w:t xml:space="preserve">, a HER2-targeted monoclonal antibody, and evaluation of a fixed, non-weight-based dose in patients with a variety of solid tumors. </w:t>
      </w:r>
      <w:r w:rsidRPr="00370873">
        <w:rPr>
          <w:rFonts w:ascii="Book Antiqua" w:hAnsi="Book Antiqua"/>
          <w:i/>
          <w:iCs/>
        </w:rPr>
        <w:t xml:space="preserve">Cancer Chemother </w:t>
      </w:r>
      <w:proofErr w:type="spellStart"/>
      <w:r w:rsidRPr="00370873">
        <w:rPr>
          <w:rFonts w:ascii="Book Antiqua" w:hAnsi="Book Antiqua"/>
          <w:i/>
          <w:iCs/>
        </w:rPr>
        <w:t>Pharmacol</w:t>
      </w:r>
      <w:proofErr w:type="spellEnd"/>
      <w:r w:rsidRPr="00370873">
        <w:rPr>
          <w:rFonts w:ascii="Book Antiqua" w:hAnsi="Book Antiqua"/>
        </w:rPr>
        <w:t xml:space="preserve"> 2014; </w:t>
      </w:r>
      <w:r w:rsidRPr="00370873">
        <w:rPr>
          <w:rFonts w:ascii="Book Antiqua" w:hAnsi="Book Antiqua"/>
          <w:b/>
          <w:bCs/>
        </w:rPr>
        <w:t>74</w:t>
      </w:r>
      <w:r w:rsidRPr="00370873">
        <w:rPr>
          <w:rFonts w:ascii="Book Antiqua" w:hAnsi="Book Antiqua"/>
        </w:rPr>
        <w:t>: 819-829 [PMID: 25119184 DOI: 10.1007/s00280-014-2560-3]</w:t>
      </w:r>
    </w:p>
    <w:bookmarkEnd w:id="31"/>
    <w:p w14:paraId="32BFACCB" w14:textId="77777777" w:rsidR="00A77B3E" w:rsidRPr="00370873" w:rsidRDefault="00A77B3E" w:rsidP="00370873">
      <w:pPr>
        <w:spacing w:line="360" w:lineRule="auto"/>
        <w:jc w:val="both"/>
        <w:rPr>
          <w:rFonts w:ascii="Book Antiqua" w:eastAsia="Book Antiqua" w:hAnsi="Book Antiqua" w:cs="Book Antiqua"/>
          <w:color w:val="000000"/>
        </w:rPr>
      </w:pPr>
    </w:p>
    <w:p w14:paraId="7D0B488A" w14:textId="0CEB1CE1" w:rsidR="005C206A" w:rsidRPr="00370873" w:rsidRDefault="005C206A" w:rsidP="00370873">
      <w:pPr>
        <w:spacing w:line="360" w:lineRule="auto"/>
        <w:jc w:val="both"/>
        <w:rPr>
          <w:rFonts w:ascii="Book Antiqua" w:hAnsi="Book Antiqua"/>
        </w:rPr>
        <w:sectPr w:rsidR="005C206A" w:rsidRPr="00370873">
          <w:footerReference w:type="default" r:id="rId6"/>
          <w:pgSz w:w="12240" w:h="15840"/>
          <w:pgMar w:top="1440" w:right="1440" w:bottom="1440" w:left="1440" w:header="720" w:footer="720" w:gutter="0"/>
          <w:cols w:space="720"/>
          <w:docGrid w:linePitch="360"/>
        </w:sectPr>
      </w:pPr>
    </w:p>
    <w:p w14:paraId="34EAC69A"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lastRenderedPageBreak/>
        <w:t>Footnotes</w:t>
      </w:r>
    </w:p>
    <w:p w14:paraId="2DD1CE26"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Informed consent statement: </w:t>
      </w:r>
      <w:bookmarkStart w:id="32" w:name="OLE_LINK62"/>
      <w:r w:rsidRPr="00370873">
        <w:rPr>
          <w:rFonts w:ascii="Book Antiqua" w:eastAsia="Book Antiqua" w:hAnsi="Book Antiqua" w:cs="Book Antiqua"/>
          <w:color w:val="000000"/>
        </w:rPr>
        <w:t>Written informed consent was obtained from the patient for publication of this case report. A copy of the written consent is available for review by the editor of this journal.</w:t>
      </w:r>
    </w:p>
    <w:bookmarkEnd w:id="32"/>
    <w:p w14:paraId="64DE573A" w14:textId="77777777" w:rsidR="00A77B3E" w:rsidRPr="00370873" w:rsidRDefault="00A77B3E" w:rsidP="00370873">
      <w:pPr>
        <w:spacing w:line="360" w:lineRule="auto"/>
        <w:jc w:val="both"/>
        <w:rPr>
          <w:rFonts w:ascii="Book Antiqua" w:hAnsi="Book Antiqua"/>
        </w:rPr>
      </w:pPr>
    </w:p>
    <w:p w14:paraId="40C53A97"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Conflict-of-interest statement: </w:t>
      </w:r>
      <w:bookmarkStart w:id="33" w:name="OLE_LINK63"/>
      <w:r w:rsidRPr="00370873">
        <w:rPr>
          <w:rFonts w:ascii="Book Antiqua" w:eastAsia="Book Antiqua" w:hAnsi="Book Antiqua" w:cs="Book Antiqua"/>
          <w:color w:val="000000"/>
        </w:rPr>
        <w:t>The authors report no conflicts of interest in this work.</w:t>
      </w:r>
      <w:bookmarkEnd w:id="33"/>
    </w:p>
    <w:p w14:paraId="6965899F" w14:textId="77777777" w:rsidR="00A77B3E" w:rsidRPr="00370873" w:rsidRDefault="00A77B3E" w:rsidP="00370873">
      <w:pPr>
        <w:spacing w:line="360" w:lineRule="auto"/>
        <w:jc w:val="both"/>
        <w:rPr>
          <w:rFonts w:ascii="Book Antiqua" w:hAnsi="Book Antiqua"/>
        </w:rPr>
      </w:pPr>
    </w:p>
    <w:p w14:paraId="775D7FA3"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CARE Checklist (2016) statement: </w:t>
      </w:r>
      <w:bookmarkStart w:id="34" w:name="OLE_LINK64"/>
      <w:r w:rsidRPr="00370873">
        <w:rPr>
          <w:rFonts w:ascii="Book Antiqua" w:eastAsia="Book Antiqua" w:hAnsi="Book Antiqua" w:cs="Book Antiqua"/>
          <w:color w:val="000000"/>
        </w:rPr>
        <w:t>The authors have read the CARE Checklist (2016), and the manuscript was prepared and revised according to the CARE Checklist (2016).</w:t>
      </w:r>
      <w:bookmarkEnd w:id="34"/>
    </w:p>
    <w:p w14:paraId="58F6791D" w14:textId="77777777" w:rsidR="00A77B3E" w:rsidRPr="00370873" w:rsidRDefault="00A77B3E" w:rsidP="00370873">
      <w:pPr>
        <w:spacing w:line="360" w:lineRule="auto"/>
        <w:jc w:val="both"/>
        <w:rPr>
          <w:rFonts w:ascii="Book Antiqua" w:hAnsi="Book Antiqua"/>
        </w:rPr>
      </w:pPr>
    </w:p>
    <w:p w14:paraId="029132C4"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bCs/>
          <w:color w:val="000000"/>
        </w:rPr>
        <w:t xml:space="preserve">Open-Access: </w:t>
      </w:r>
      <w:r w:rsidRPr="003708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0873">
        <w:rPr>
          <w:rFonts w:ascii="Book Antiqua" w:eastAsia="Book Antiqua" w:hAnsi="Book Antiqua" w:cs="Book Antiqua"/>
          <w:color w:val="000000"/>
        </w:rPr>
        <w:t>NonCommercial</w:t>
      </w:r>
      <w:proofErr w:type="spellEnd"/>
      <w:r w:rsidRPr="003708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554BE4" w14:textId="77777777" w:rsidR="00A77B3E" w:rsidRPr="00370873" w:rsidRDefault="00A77B3E" w:rsidP="00370873">
      <w:pPr>
        <w:spacing w:line="360" w:lineRule="auto"/>
        <w:jc w:val="both"/>
        <w:rPr>
          <w:rFonts w:ascii="Book Antiqua" w:hAnsi="Book Antiqua"/>
        </w:rPr>
      </w:pPr>
    </w:p>
    <w:p w14:paraId="3E4D36A2" w14:textId="6E5C3152"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Manuscript source: </w:t>
      </w:r>
      <w:r w:rsidRPr="00370873">
        <w:rPr>
          <w:rFonts w:ascii="Book Antiqua" w:eastAsia="Book Antiqua" w:hAnsi="Book Antiqua" w:cs="Book Antiqua"/>
          <w:color w:val="000000"/>
        </w:rPr>
        <w:t xml:space="preserve">Unsolicited </w:t>
      </w:r>
      <w:r w:rsidR="00FB2E9D" w:rsidRPr="00370873">
        <w:rPr>
          <w:rFonts w:ascii="Book Antiqua" w:eastAsia="Book Antiqua" w:hAnsi="Book Antiqua" w:cs="Book Antiqua"/>
          <w:color w:val="000000"/>
        </w:rPr>
        <w:t>m</w:t>
      </w:r>
      <w:r w:rsidRPr="00370873">
        <w:rPr>
          <w:rFonts w:ascii="Book Antiqua" w:eastAsia="Book Antiqua" w:hAnsi="Book Antiqua" w:cs="Book Antiqua"/>
          <w:color w:val="000000"/>
        </w:rPr>
        <w:t>anuscript</w:t>
      </w:r>
    </w:p>
    <w:p w14:paraId="3335B64D" w14:textId="77777777" w:rsidR="00A77B3E" w:rsidRPr="00370873" w:rsidRDefault="00A77B3E" w:rsidP="00370873">
      <w:pPr>
        <w:spacing w:line="360" w:lineRule="auto"/>
        <w:jc w:val="both"/>
        <w:rPr>
          <w:rFonts w:ascii="Book Antiqua" w:hAnsi="Book Antiqua"/>
        </w:rPr>
      </w:pPr>
    </w:p>
    <w:p w14:paraId="2E9F6C75"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Peer-review started: </w:t>
      </w:r>
      <w:r w:rsidRPr="00370873">
        <w:rPr>
          <w:rFonts w:ascii="Book Antiqua" w:eastAsia="Book Antiqua" w:hAnsi="Book Antiqua" w:cs="Book Antiqua"/>
          <w:color w:val="000000"/>
        </w:rPr>
        <w:t>July 8, 2021</w:t>
      </w:r>
    </w:p>
    <w:p w14:paraId="35109F18"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First decision: </w:t>
      </w:r>
      <w:r w:rsidRPr="00370873">
        <w:rPr>
          <w:rFonts w:ascii="Book Antiqua" w:eastAsia="Book Antiqua" w:hAnsi="Book Antiqua" w:cs="Book Antiqua"/>
          <w:color w:val="000000"/>
        </w:rPr>
        <w:t>August 18, 2021</w:t>
      </w:r>
    </w:p>
    <w:p w14:paraId="59B42659"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Article in press: </w:t>
      </w:r>
    </w:p>
    <w:p w14:paraId="6F2FFADF" w14:textId="77777777" w:rsidR="00A77B3E" w:rsidRPr="00370873" w:rsidRDefault="00A77B3E" w:rsidP="00370873">
      <w:pPr>
        <w:spacing w:line="360" w:lineRule="auto"/>
        <w:jc w:val="both"/>
        <w:rPr>
          <w:rFonts w:ascii="Book Antiqua" w:hAnsi="Book Antiqua"/>
        </w:rPr>
      </w:pPr>
    </w:p>
    <w:p w14:paraId="1EB83559"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Specialty type: </w:t>
      </w:r>
      <w:r w:rsidRPr="00370873">
        <w:rPr>
          <w:rFonts w:ascii="Book Antiqua" w:eastAsia="Book Antiqua" w:hAnsi="Book Antiqua" w:cs="Book Antiqua"/>
          <w:color w:val="000000"/>
        </w:rPr>
        <w:t xml:space="preserve">Oncology </w:t>
      </w:r>
    </w:p>
    <w:p w14:paraId="1BE36662"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 xml:space="preserve">Country/Territory of origin: </w:t>
      </w:r>
      <w:r w:rsidRPr="00370873">
        <w:rPr>
          <w:rFonts w:ascii="Book Antiqua" w:eastAsia="Book Antiqua" w:hAnsi="Book Antiqua" w:cs="Book Antiqua"/>
          <w:color w:val="000000"/>
        </w:rPr>
        <w:t>China</w:t>
      </w:r>
    </w:p>
    <w:p w14:paraId="7DDB8947"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b/>
          <w:color w:val="000000"/>
        </w:rPr>
        <w:t>Peer-review report’s scientific quality classification</w:t>
      </w:r>
    </w:p>
    <w:p w14:paraId="6A2E542A"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Grade A (Excellent): 0</w:t>
      </w:r>
    </w:p>
    <w:p w14:paraId="0E5FB457"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Grade B (Very good): 0</w:t>
      </w:r>
    </w:p>
    <w:p w14:paraId="0896225C"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lastRenderedPageBreak/>
        <w:t>Grade C (Good): C, C, C</w:t>
      </w:r>
    </w:p>
    <w:p w14:paraId="02B0D21B"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Grade D (Fair): 0</w:t>
      </w:r>
    </w:p>
    <w:p w14:paraId="54790F81" w14:textId="77777777" w:rsidR="00A77B3E" w:rsidRPr="00370873" w:rsidRDefault="005C2F75" w:rsidP="00370873">
      <w:pPr>
        <w:spacing w:line="360" w:lineRule="auto"/>
        <w:jc w:val="both"/>
        <w:rPr>
          <w:rFonts w:ascii="Book Antiqua" w:hAnsi="Book Antiqua"/>
        </w:rPr>
      </w:pPr>
      <w:r w:rsidRPr="00370873">
        <w:rPr>
          <w:rFonts w:ascii="Book Antiqua" w:eastAsia="Book Antiqua" w:hAnsi="Book Antiqua" w:cs="Book Antiqua"/>
          <w:color w:val="000000"/>
        </w:rPr>
        <w:t>Grade E (Poor): 0</w:t>
      </w:r>
    </w:p>
    <w:p w14:paraId="43549C76" w14:textId="77777777" w:rsidR="00A77B3E" w:rsidRPr="00370873" w:rsidRDefault="00A77B3E" w:rsidP="00370873">
      <w:pPr>
        <w:spacing w:line="360" w:lineRule="auto"/>
        <w:jc w:val="both"/>
        <w:rPr>
          <w:rFonts w:ascii="Book Antiqua" w:hAnsi="Book Antiqua"/>
        </w:rPr>
      </w:pPr>
    </w:p>
    <w:p w14:paraId="2003281F" w14:textId="288776D4" w:rsidR="00A77B3E" w:rsidRPr="00370873" w:rsidRDefault="005C2F75" w:rsidP="00370873">
      <w:pPr>
        <w:spacing w:line="360" w:lineRule="auto"/>
        <w:jc w:val="both"/>
        <w:rPr>
          <w:rFonts w:ascii="Book Antiqua" w:eastAsia="Book Antiqua" w:hAnsi="Book Antiqua" w:cs="Book Antiqua"/>
          <w:b/>
          <w:color w:val="000000"/>
        </w:rPr>
      </w:pPr>
      <w:r w:rsidRPr="00370873">
        <w:rPr>
          <w:rFonts w:ascii="Book Antiqua" w:eastAsia="Book Antiqua" w:hAnsi="Book Antiqua" w:cs="Book Antiqua"/>
          <w:b/>
          <w:color w:val="000000"/>
        </w:rPr>
        <w:t xml:space="preserve">P-Reviewer: </w:t>
      </w:r>
      <w:r w:rsidRPr="00370873">
        <w:rPr>
          <w:rFonts w:ascii="Book Antiqua" w:eastAsia="Book Antiqua" w:hAnsi="Book Antiqua" w:cs="Book Antiqua"/>
          <w:color w:val="000000"/>
        </w:rPr>
        <w:t>Al-</w:t>
      </w:r>
      <w:proofErr w:type="spellStart"/>
      <w:r w:rsidRPr="00370873">
        <w:rPr>
          <w:rFonts w:ascii="Book Antiqua" w:eastAsia="Book Antiqua" w:hAnsi="Book Antiqua" w:cs="Book Antiqua"/>
          <w:color w:val="000000"/>
        </w:rPr>
        <w:t>Afandi</w:t>
      </w:r>
      <w:proofErr w:type="spellEnd"/>
      <w:r w:rsidRPr="00370873">
        <w:rPr>
          <w:rFonts w:ascii="Book Antiqua" w:eastAsia="Book Antiqua" w:hAnsi="Book Antiqua" w:cs="Book Antiqua"/>
          <w:color w:val="000000"/>
        </w:rPr>
        <w:t xml:space="preserve"> N, </w:t>
      </w:r>
      <w:proofErr w:type="spellStart"/>
      <w:r w:rsidRPr="00370873">
        <w:rPr>
          <w:rFonts w:ascii="Book Antiqua" w:eastAsia="Book Antiqua" w:hAnsi="Book Antiqua" w:cs="Book Antiqua"/>
          <w:color w:val="000000"/>
        </w:rPr>
        <w:t>Kamalabadi</w:t>
      </w:r>
      <w:proofErr w:type="spellEnd"/>
      <w:r w:rsidRPr="00370873">
        <w:rPr>
          <w:rFonts w:ascii="Book Antiqua" w:eastAsia="Book Antiqua" w:hAnsi="Book Antiqua" w:cs="Book Antiqua"/>
          <w:color w:val="000000"/>
        </w:rPr>
        <w:t>-Farahani M, Nath J</w:t>
      </w:r>
      <w:r w:rsidRPr="00370873">
        <w:rPr>
          <w:rFonts w:ascii="Book Antiqua" w:eastAsia="Book Antiqua" w:hAnsi="Book Antiqua" w:cs="Book Antiqua"/>
          <w:b/>
          <w:color w:val="000000"/>
        </w:rPr>
        <w:t xml:space="preserve"> S-Editor: </w:t>
      </w:r>
      <w:r w:rsidR="00FB2E9D" w:rsidRPr="00370873">
        <w:rPr>
          <w:rFonts w:ascii="Book Antiqua" w:eastAsia="Book Antiqua" w:hAnsi="Book Antiqua" w:cs="Book Antiqua"/>
          <w:color w:val="000000"/>
        </w:rPr>
        <w:t>Yan JP</w:t>
      </w:r>
      <w:r w:rsidRPr="00370873">
        <w:rPr>
          <w:rFonts w:ascii="Book Antiqua" w:eastAsia="Book Antiqua" w:hAnsi="Book Antiqua" w:cs="Book Antiqua"/>
          <w:b/>
          <w:color w:val="000000"/>
        </w:rPr>
        <w:t xml:space="preserve"> L-Editor:  P-Editor:</w:t>
      </w:r>
    </w:p>
    <w:p w14:paraId="5BC2EA96" w14:textId="77777777" w:rsidR="00FB2E9D" w:rsidRPr="00370873" w:rsidRDefault="00FB2E9D" w:rsidP="00370873">
      <w:pPr>
        <w:spacing w:line="360" w:lineRule="auto"/>
        <w:jc w:val="both"/>
        <w:rPr>
          <w:rFonts w:ascii="Book Antiqua" w:eastAsia="Book Antiqua" w:hAnsi="Book Antiqua" w:cs="Book Antiqua"/>
          <w:b/>
          <w:color w:val="000000"/>
        </w:rPr>
        <w:sectPr w:rsidR="00FB2E9D" w:rsidRPr="00370873">
          <w:pgSz w:w="12240" w:h="15840"/>
          <w:pgMar w:top="1440" w:right="1440" w:bottom="1440" w:left="1440" w:header="720" w:footer="720" w:gutter="0"/>
          <w:cols w:space="720"/>
          <w:docGrid w:linePitch="360"/>
        </w:sectPr>
      </w:pPr>
    </w:p>
    <w:p w14:paraId="407F7842" w14:textId="54615A37" w:rsidR="00FB2E9D" w:rsidRPr="00370873" w:rsidRDefault="00FB2E9D" w:rsidP="00370873">
      <w:pPr>
        <w:spacing w:line="360" w:lineRule="auto"/>
        <w:jc w:val="both"/>
        <w:rPr>
          <w:rFonts w:ascii="Book Antiqua" w:hAnsi="Book Antiqua" w:cs="Book Antiqua"/>
          <w:b/>
          <w:color w:val="000000"/>
          <w:lang w:eastAsia="zh-CN"/>
        </w:rPr>
      </w:pPr>
      <w:r w:rsidRPr="00370873">
        <w:rPr>
          <w:rFonts w:ascii="Book Antiqua" w:hAnsi="Book Antiqua" w:cs="Book Antiqua"/>
          <w:b/>
          <w:color w:val="000000"/>
          <w:lang w:eastAsia="zh-CN"/>
        </w:rPr>
        <w:lastRenderedPageBreak/>
        <w:t>Figure Legends</w:t>
      </w:r>
    </w:p>
    <w:p w14:paraId="35CEDBCE" w14:textId="42DEDAEE" w:rsidR="00FB2E9D" w:rsidRPr="00370873" w:rsidRDefault="00FB2E9D" w:rsidP="00370873">
      <w:pPr>
        <w:spacing w:line="360" w:lineRule="auto"/>
        <w:jc w:val="both"/>
        <w:rPr>
          <w:rFonts w:ascii="Book Antiqua" w:hAnsi="Book Antiqua" w:cs="Book Antiqua"/>
          <w:b/>
          <w:color w:val="000000"/>
          <w:lang w:eastAsia="zh-CN"/>
        </w:rPr>
      </w:pPr>
      <w:r w:rsidRPr="00370873">
        <w:rPr>
          <w:rFonts w:ascii="Book Antiqua" w:hAnsi="Book Antiqua" w:cs="Book Antiqua"/>
          <w:b/>
          <w:noProof/>
          <w:color w:val="000000"/>
          <w:lang w:eastAsia="zh-CN"/>
        </w:rPr>
        <w:drawing>
          <wp:inline distT="0" distB="0" distL="0" distR="0" wp14:anchorId="354849F9" wp14:editId="4B883179">
            <wp:extent cx="5943600" cy="5643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43245"/>
                    </a:xfrm>
                    <a:prstGeom prst="rect">
                      <a:avLst/>
                    </a:prstGeom>
                    <a:noFill/>
                    <a:ln>
                      <a:noFill/>
                    </a:ln>
                  </pic:spPr>
                </pic:pic>
              </a:graphicData>
            </a:graphic>
          </wp:inline>
        </w:drawing>
      </w:r>
    </w:p>
    <w:p w14:paraId="408AD59E" w14:textId="4FB49B6E" w:rsidR="00370873" w:rsidRPr="00370873" w:rsidRDefault="00FB2E9D" w:rsidP="00370873">
      <w:pPr>
        <w:spacing w:line="360" w:lineRule="auto"/>
        <w:jc w:val="both"/>
        <w:rPr>
          <w:rFonts w:ascii="Book Antiqua" w:hAnsi="Book Antiqua"/>
          <w:lang w:eastAsia="zh-CN"/>
        </w:rPr>
      </w:pPr>
      <w:r w:rsidRPr="00370873">
        <w:rPr>
          <w:rFonts w:ascii="Book Antiqua" w:hAnsi="Book Antiqua"/>
          <w:b/>
          <w:bCs/>
          <w:lang w:eastAsia="zh-CN"/>
        </w:rPr>
        <w:t>Figure 1 Breast ultrasound results of the patient obtained during preoperative neoadjuvant treatment.</w:t>
      </w:r>
      <w:r w:rsidRPr="00370873">
        <w:rPr>
          <w:rFonts w:ascii="Book Antiqua" w:hAnsi="Book Antiqua"/>
          <w:lang w:eastAsia="zh-CN"/>
        </w:rPr>
        <w:t xml:space="preserve"> A and B: September 15, 2020. M: Left breast mass (37 mm × 31 mm × 30 mm) (A)</w:t>
      </w:r>
      <w:r w:rsidR="00370873" w:rsidRPr="00370873">
        <w:rPr>
          <w:rFonts w:ascii="Book Antiqua" w:hAnsi="Book Antiqua"/>
          <w:lang w:eastAsia="zh-CN"/>
        </w:rPr>
        <w:t xml:space="preserve"> and </w:t>
      </w:r>
      <w:r w:rsidRPr="00370873">
        <w:rPr>
          <w:rFonts w:ascii="Book Antiqua" w:hAnsi="Book Antiqua"/>
          <w:lang w:eastAsia="zh-CN"/>
        </w:rPr>
        <w:t xml:space="preserve">LN: Left axillary lymph node (the largest node was 16 mm × 10 mm × 10 mm) (B); C and D: December 21, 2020. </w:t>
      </w:r>
      <w:r w:rsidR="00370873" w:rsidRPr="00370873">
        <w:rPr>
          <w:rFonts w:ascii="Book Antiqua" w:hAnsi="Book Antiqua"/>
          <w:lang w:eastAsia="zh-CN"/>
        </w:rPr>
        <w:t>M-LBR: Left breast mass (16 mm × 13 mm ×12 mm) (C) and LN: Left axillary lymph node (the largest node was 13 mm × 8 mm × 6 mm) (D); E and F: January 26, 2021. MLBR: Left breast mass (12 mm × 9 mm × 8 mm) (E) and LN: Left axillary lymph node (the largest node was 10 mm × 6 mm × 5 mm) (F).</w:t>
      </w:r>
    </w:p>
    <w:p w14:paraId="3E8EC86A" w14:textId="77777777" w:rsidR="00FB2E9D" w:rsidRPr="00370873" w:rsidRDefault="00FB2E9D" w:rsidP="00370873">
      <w:pPr>
        <w:spacing w:line="360" w:lineRule="auto"/>
        <w:jc w:val="both"/>
        <w:rPr>
          <w:rFonts w:ascii="Book Antiqua" w:hAnsi="Book Antiqua"/>
          <w:lang w:eastAsia="zh-CN"/>
        </w:rPr>
        <w:sectPr w:rsidR="00FB2E9D" w:rsidRPr="00370873">
          <w:pgSz w:w="12240" w:h="15840"/>
          <w:pgMar w:top="1440" w:right="1440" w:bottom="1440" w:left="1440" w:header="720" w:footer="720" w:gutter="0"/>
          <w:cols w:space="720"/>
          <w:docGrid w:linePitch="360"/>
        </w:sectPr>
      </w:pPr>
    </w:p>
    <w:p w14:paraId="51C534B4" w14:textId="06AB531E" w:rsidR="00FB2E9D" w:rsidRPr="00370873" w:rsidRDefault="00FB2E9D" w:rsidP="00370873">
      <w:pPr>
        <w:spacing w:line="360" w:lineRule="auto"/>
        <w:jc w:val="both"/>
        <w:rPr>
          <w:rFonts w:ascii="Book Antiqua" w:hAnsi="Book Antiqua"/>
          <w:lang w:eastAsia="zh-CN"/>
        </w:rPr>
      </w:pPr>
    </w:p>
    <w:p w14:paraId="75A059BF" w14:textId="39A3814A" w:rsidR="00FB2E9D" w:rsidRPr="00370873" w:rsidRDefault="00FB2E9D" w:rsidP="00370873">
      <w:pPr>
        <w:spacing w:line="360" w:lineRule="auto"/>
        <w:jc w:val="both"/>
        <w:rPr>
          <w:rFonts w:ascii="Book Antiqua" w:hAnsi="Book Antiqua"/>
          <w:lang w:eastAsia="zh-CN"/>
        </w:rPr>
      </w:pPr>
      <w:r w:rsidRPr="00370873">
        <w:rPr>
          <w:rFonts w:ascii="Book Antiqua" w:hAnsi="Book Antiqua"/>
          <w:noProof/>
          <w:lang w:eastAsia="zh-CN"/>
        </w:rPr>
        <w:drawing>
          <wp:inline distT="0" distB="0" distL="0" distR="0" wp14:anchorId="179D84D0" wp14:editId="5D9BB60A">
            <wp:extent cx="5943600" cy="4824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24730"/>
                    </a:xfrm>
                    <a:prstGeom prst="rect">
                      <a:avLst/>
                    </a:prstGeom>
                    <a:noFill/>
                    <a:ln>
                      <a:noFill/>
                    </a:ln>
                  </pic:spPr>
                </pic:pic>
              </a:graphicData>
            </a:graphic>
          </wp:inline>
        </w:drawing>
      </w:r>
    </w:p>
    <w:p w14:paraId="008C5C3B" w14:textId="38DF79D0" w:rsidR="00FB2E9D" w:rsidRPr="00370873" w:rsidRDefault="00FB2E9D" w:rsidP="00370873">
      <w:pPr>
        <w:spacing w:line="360" w:lineRule="auto"/>
        <w:jc w:val="both"/>
        <w:rPr>
          <w:rFonts w:ascii="Book Antiqua" w:hAnsi="Book Antiqua"/>
          <w:lang w:eastAsia="zh-CN"/>
        </w:rPr>
      </w:pPr>
      <w:r w:rsidRPr="00370873">
        <w:rPr>
          <w:rFonts w:ascii="Book Antiqua" w:hAnsi="Book Antiqua"/>
          <w:b/>
          <w:bCs/>
          <w:lang w:eastAsia="zh-CN"/>
        </w:rPr>
        <w:t xml:space="preserve">Figure 2 Pathological results of left breast tumor and left axillary lymph node biopsies. </w:t>
      </w:r>
      <w:r w:rsidRPr="00370873">
        <w:rPr>
          <w:rFonts w:ascii="Book Antiqua" w:hAnsi="Book Antiqua"/>
          <w:lang w:eastAsia="zh-CN"/>
        </w:rPr>
        <w:t xml:space="preserve">A: Hematoxylin and eosin-stained sections revealed that the tumor cells grew in a solid and patchy infiltrating manner (original magnification: 200 ×); B: Hematoxylin and eosin-stained sections revealed that the left axillary lymph node was metastatic carcinoma, which was consistent with the breast source (original magnification: 200 ×); C: C-erBb2 (2+) was uncertain in neoplastic cells by immunohistochemical analysis (original magnification: 200 ×); D and E: </w:t>
      </w:r>
      <w:r w:rsidR="00370873" w:rsidRPr="00370873">
        <w:rPr>
          <w:rFonts w:ascii="Book Antiqua" w:eastAsia="Book Antiqua" w:hAnsi="Book Antiqua" w:cs="Book Antiqua"/>
          <w:color w:val="000000"/>
        </w:rPr>
        <w:t>Estrogen receptor</w:t>
      </w:r>
      <w:r w:rsidRPr="00370873">
        <w:rPr>
          <w:rFonts w:ascii="Book Antiqua" w:hAnsi="Book Antiqua"/>
          <w:lang w:eastAsia="zh-CN"/>
        </w:rPr>
        <w:t xml:space="preserve"> and </w:t>
      </w:r>
      <w:r w:rsidR="00370873" w:rsidRPr="00370873">
        <w:rPr>
          <w:rFonts w:ascii="Book Antiqua" w:eastAsia="Book Antiqua" w:hAnsi="Book Antiqua" w:cs="Book Antiqua"/>
          <w:color w:val="000000"/>
        </w:rPr>
        <w:t>progesterone receptor</w:t>
      </w:r>
      <w:r w:rsidRPr="00370873">
        <w:rPr>
          <w:rFonts w:ascii="Book Antiqua" w:hAnsi="Book Antiqua"/>
          <w:lang w:eastAsia="zh-CN"/>
        </w:rPr>
        <w:t xml:space="preserve"> were negative in neoplastic cells by immunohistochemical analysis (original magnification: 200 ×); F: Ki-67 was expressed in the nuclei of approximately 40% of tumor cells (original magnification: 200 ×); G: HER-2 was amplified by </w:t>
      </w:r>
      <w:r w:rsidR="00370873" w:rsidRPr="00370873">
        <w:rPr>
          <w:rFonts w:ascii="Book Antiqua" w:hAnsi="Book Antiqua"/>
          <w:lang w:eastAsia="zh-CN"/>
        </w:rPr>
        <w:t xml:space="preserve">fluorescence </w:t>
      </w:r>
      <w:r w:rsidR="00370873" w:rsidRPr="00370873">
        <w:rPr>
          <w:rFonts w:ascii="Book Antiqua" w:hAnsi="Book Antiqua"/>
          <w:i/>
          <w:iCs/>
          <w:lang w:eastAsia="zh-CN"/>
        </w:rPr>
        <w:t>in situ</w:t>
      </w:r>
      <w:r w:rsidR="00370873" w:rsidRPr="00370873">
        <w:rPr>
          <w:rFonts w:ascii="Book Antiqua" w:hAnsi="Book Antiqua"/>
          <w:lang w:eastAsia="zh-CN"/>
        </w:rPr>
        <w:t xml:space="preserve"> hybridization</w:t>
      </w:r>
      <w:r w:rsidRPr="00370873">
        <w:rPr>
          <w:rFonts w:ascii="Book Antiqua" w:hAnsi="Book Antiqua"/>
          <w:lang w:eastAsia="zh-CN"/>
        </w:rPr>
        <w:t xml:space="preserve"> (original magnification: 200 ×).</w:t>
      </w:r>
    </w:p>
    <w:p w14:paraId="5BC8BCD2" w14:textId="716E0D0E" w:rsidR="00FB2E9D" w:rsidRPr="00370873" w:rsidRDefault="00FB2E9D" w:rsidP="00370873">
      <w:pPr>
        <w:spacing w:line="360" w:lineRule="auto"/>
        <w:jc w:val="both"/>
        <w:rPr>
          <w:rFonts w:ascii="Book Antiqua" w:hAnsi="Book Antiqua"/>
          <w:lang w:eastAsia="zh-CN"/>
        </w:rPr>
      </w:pPr>
      <w:r w:rsidRPr="00370873">
        <w:rPr>
          <w:rFonts w:ascii="Book Antiqua" w:hAnsi="Book Antiqua"/>
          <w:noProof/>
          <w:lang w:eastAsia="zh-CN"/>
        </w:rPr>
        <w:lastRenderedPageBreak/>
        <w:drawing>
          <wp:inline distT="0" distB="0" distL="0" distR="0" wp14:anchorId="2A56E050" wp14:editId="7FEAE55D">
            <wp:extent cx="5936615" cy="5936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5936615"/>
                    </a:xfrm>
                    <a:prstGeom prst="rect">
                      <a:avLst/>
                    </a:prstGeom>
                    <a:noFill/>
                    <a:ln>
                      <a:noFill/>
                    </a:ln>
                  </pic:spPr>
                </pic:pic>
              </a:graphicData>
            </a:graphic>
          </wp:inline>
        </w:drawing>
      </w:r>
    </w:p>
    <w:p w14:paraId="64EE4F1A" w14:textId="7050FA19" w:rsidR="00FB2E9D" w:rsidRPr="00370873" w:rsidRDefault="00FB2E9D" w:rsidP="00370873">
      <w:pPr>
        <w:spacing w:line="360" w:lineRule="auto"/>
        <w:jc w:val="both"/>
        <w:rPr>
          <w:rFonts w:ascii="Book Antiqua" w:hAnsi="Book Antiqua"/>
          <w:lang w:eastAsia="zh-CN"/>
        </w:rPr>
      </w:pPr>
      <w:bookmarkStart w:id="35" w:name="OLE_LINK65"/>
      <w:r w:rsidRPr="00370873">
        <w:rPr>
          <w:rFonts w:ascii="Book Antiqua" w:hAnsi="Book Antiqua"/>
          <w:b/>
          <w:bCs/>
          <w:lang w:eastAsia="zh-CN"/>
        </w:rPr>
        <w:t>Figure 3 Magnetic resonance imaging of the patient obtained during preoperative neoadjuvant treatment.</w:t>
      </w:r>
      <w:r w:rsidRPr="00370873">
        <w:rPr>
          <w:rFonts w:ascii="Book Antiqua" w:hAnsi="Book Antiqua"/>
          <w:lang w:eastAsia="zh-CN"/>
        </w:rPr>
        <w:t xml:space="preserve"> A: September 28, 2020: Left breast mass (37 mm × 31 mm × 34 mm); B: November 12, 2020: Left breast mass (22 mm × 21 mm × 25 mm); C: December 21, 2020: Left breast mass (16 mm × 13 mm × 12 mm); D: January 27, 2021: Left breast mass (12 mm × 9 mm × 8 mm). Red arrows indicate localization of masses.</w:t>
      </w:r>
    </w:p>
    <w:bookmarkEnd w:id="35"/>
    <w:p w14:paraId="751C169D" w14:textId="77777777" w:rsidR="00370873" w:rsidRPr="00370873" w:rsidRDefault="00370873" w:rsidP="00370873">
      <w:pPr>
        <w:spacing w:line="360" w:lineRule="auto"/>
        <w:jc w:val="both"/>
        <w:rPr>
          <w:rFonts w:ascii="Book Antiqua" w:hAnsi="Book Antiqua"/>
          <w:lang w:eastAsia="zh-CN"/>
        </w:rPr>
        <w:sectPr w:rsidR="00370873" w:rsidRPr="00370873">
          <w:pgSz w:w="12240" w:h="15840"/>
          <w:pgMar w:top="1440" w:right="1440" w:bottom="1440" w:left="1440" w:header="720" w:footer="720" w:gutter="0"/>
          <w:cols w:space="720"/>
          <w:docGrid w:linePitch="360"/>
        </w:sectPr>
      </w:pPr>
    </w:p>
    <w:p w14:paraId="3145A2B3" w14:textId="77777777" w:rsidR="00370873" w:rsidRPr="00370873" w:rsidRDefault="00370873" w:rsidP="00370873">
      <w:pPr>
        <w:spacing w:line="360" w:lineRule="auto"/>
        <w:jc w:val="both"/>
        <w:rPr>
          <w:rFonts w:ascii="Book Antiqua" w:hAnsi="Book Antiqua" w:cs="Arial"/>
        </w:rPr>
      </w:pPr>
      <w:bookmarkStart w:id="36" w:name="_Hlk80652471"/>
      <w:r w:rsidRPr="00370873">
        <w:rPr>
          <w:rFonts w:ascii="Book Antiqua" w:hAnsi="Book Antiqua" w:cs="Arial"/>
          <w:b/>
          <w:bCs/>
        </w:rPr>
        <w:lastRenderedPageBreak/>
        <w:t>Table 1</w:t>
      </w:r>
      <w:r w:rsidRPr="00370873">
        <w:rPr>
          <w:rFonts w:ascii="Book Antiqua" w:hAnsi="Book Antiqua" w:cs="Arial"/>
        </w:rPr>
        <w:t xml:space="preserve"> </w:t>
      </w:r>
      <w:r w:rsidRPr="00370873">
        <w:rPr>
          <w:rFonts w:ascii="Book Antiqua" w:hAnsi="Book Antiqua" w:cs="Arial"/>
          <w:b/>
        </w:rPr>
        <w:t>Peripheral blood analysis results</w:t>
      </w:r>
    </w:p>
    <w:tbl>
      <w:tblPr>
        <w:tblStyle w:val="ac"/>
        <w:tblW w:w="8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1653"/>
        <w:gridCol w:w="1759"/>
        <w:gridCol w:w="1305"/>
        <w:gridCol w:w="1820"/>
      </w:tblGrid>
      <w:tr w:rsidR="00370873" w:rsidRPr="00370873" w14:paraId="2FCD2294" w14:textId="77777777" w:rsidTr="00370873">
        <w:trPr>
          <w:trHeight w:val="1030"/>
        </w:trPr>
        <w:tc>
          <w:tcPr>
            <w:tcW w:w="2260" w:type="dxa"/>
            <w:tcBorders>
              <w:top w:val="single" w:sz="4" w:space="0" w:color="auto"/>
              <w:bottom w:val="single" w:sz="4" w:space="0" w:color="auto"/>
            </w:tcBorders>
            <w:hideMark/>
          </w:tcPr>
          <w:p w14:paraId="59FD13A8" w14:textId="77777777" w:rsidR="00370873" w:rsidRPr="00370873" w:rsidRDefault="00370873" w:rsidP="00370873">
            <w:pPr>
              <w:spacing w:line="360" w:lineRule="auto"/>
              <w:jc w:val="both"/>
              <w:rPr>
                <w:rFonts w:ascii="Book Antiqua" w:hAnsi="Book Antiqua" w:cs="Arial"/>
                <w:b/>
                <w:bCs/>
              </w:rPr>
            </w:pPr>
            <w:bookmarkStart w:id="37" w:name="RANGE!C7"/>
            <w:r w:rsidRPr="00370873">
              <w:rPr>
                <w:rFonts w:ascii="Book Antiqua" w:hAnsi="Book Antiqua" w:cs="Arial"/>
                <w:b/>
                <w:bCs/>
              </w:rPr>
              <w:t>Date</w:t>
            </w:r>
            <w:bookmarkEnd w:id="37"/>
          </w:p>
        </w:tc>
        <w:tc>
          <w:tcPr>
            <w:tcW w:w="1653" w:type="dxa"/>
            <w:tcBorders>
              <w:top w:val="single" w:sz="4" w:space="0" w:color="auto"/>
              <w:bottom w:val="single" w:sz="4" w:space="0" w:color="auto"/>
            </w:tcBorders>
            <w:hideMark/>
          </w:tcPr>
          <w:p w14:paraId="5CE7F1B1" w14:textId="77777777" w:rsidR="00370873" w:rsidRPr="00370873" w:rsidRDefault="00370873" w:rsidP="00370873">
            <w:pPr>
              <w:spacing w:line="360" w:lineRule="auto"/>
              <w:jc w:val="both"/>
              <w:rPr>
                <w:rFonts w:ascii="Book Antiqua" w:hAnsi="Book Antiqua" w:cs="Arial"/>
                <w:b/>
                <w:bCs/>
              </w:rPr>
            </w:pPr>
            <w:bookmarkStart w:id="38" w:name="RANGE!D7"/>
            <w:r w:rsidRPr="00370873">
              <w:rPr>
                <w:rFonts w:ascii="Book Antiqua" w:hAnsi="Book Antiqua" w:cs="Arial"/>
                <w:b/>
                <w:bCs/>
              </w:rPr>
              <w:t>Leukocytes (10</w:t>
            </w:r>
            <w:r w:rsidRPr="00370873">
              <w:rPr>
                <w:rFonts w:ascii="Book Antiqua" w:hAnsi="Book Antiqua" w:cs="Arial"/>
                <w:b/>
                <w:bCs/>
                <w:vertAlign w:val="superscript"/>
              </w:rPr>
              <w:t>9</w:t>
            </w:r>
            <w:r w:rsidRPr="00370873">
              <w:rPr>
                <w:rFonts w:ascii="Book Antiqua" w:hAnsi="Book Antiqua" w:cs="Arial"/>
                <w:b/>
                <w:bCs/>
              </w:rPr>
              <w:t xml:space="preserve">/L) </w:t>
            </w:r>
            <w:bookmarkEnd w:id="38"/>
          </w:p>
        </w:tc>
        <w:tc>
          <w:tcPr>
            <w:tcW w:w="1759" w:type="dxa"/>
            <w:tcBorders>
              <w:top w:val="single" w:sz="4" w:space="0" w:color="auto"/>
              <w:bottom w:val="single" w:sz="4" w:space="0" w:color="auto"/>
            </w:tcBorders>
            <w:hideMark/>
          </w:tcPr>
          <w:p w14:paraId="492FEF16" w14:textId="77777777" w:rsidR="00370873" w:rsidRPr="00370873" w:rsidRDefault="00370873" w:rsidP="00370873">
            <w:pPr>
              <w:spacing w:line="360" w:lineRule="auto"/>
              <w:jc w:val="both"/>
              <w:rPr>
                <w:rFonts w:ascii="Book Antiqua" w:hAnsi="Book Antiqua" w:cs="Arial"/>
                <w:b/>
                <w:bCs/>
              </w:rPr>
            </w:pPr>
            <w:bookmarkStart w:id="39" w:name="RANGE!E7"/>
            <w:r w:rsidRPr="00370873">
              <w:rPr>
                <w:rFonts w:ascii="Book Antiqua" w:hAnsi="Book Antiqua" w:cs="Arial"/>
                <w:b/>
                <w:bCs/>
              </w:rPr>
              <w:t>Neutrophils (10</w:t>
            </w:r>
            <w:r w:rsidRPr="00370873">
              <w:rPr>
                <w:rFonts w:ascii="Book Antiqua" w:hAnsi="Book Antiqua" w:cs="Arial"/>
                <w:b/>
                <w:bCs/>
                <w:vertAlign w:val="superscript"/>
              </w:rPr>
              <w:t>9</w:t>
            </w:r>
            <w:r w:rsidRPr="00370873">
              <w:rPr>
                <w:rFonts w:ascii="Book Antiqua" w:hAnsi="Book Antiqua" w:cs="Arial"/>
                <w:b/>
                <w:bCs/>
              </w:rPr>
              <w:t xml:space="preserve">/L) </w:t>
            </w:r>
            <w:bookmarkEnd w:id="39"/>
          </w:p>
        </w:tc>
        <w:tc>
          <w:tcPr>
            <w:tcW w:w="1305" w:type="dxa"/>
            <w:tcBorders>
              <w:top w:val="single" w:sz="4" w:space="0" w:color="auto"/>
              <w:bottom w:val="single" w:sz="4" w:space="0" w:color="auto"/>
            </w:tcBorders>
            <w:hideMark/>
          </w:tcPr>
          <w:p w14:paraId="4EF40C63" w14:textId="77777777" w:rsidR="00370873" w:rsidRPr="00370873" w:rsidRDefault="00370873" w:rsidP="00370873">
            <w:pPr>
              <w:spacing w:line="360" w:lineRule="auto"/>
              <w:jc w:val="both"/>
              <w:rPr>
                <w:rFonts w:ascii="Book Antiqua" w:hAnsi="Book Antiqua" w:cs="Arial"/>
                <w:b/>
                <w:bCs/>
              </w:rPr>
            </w:pPr>
            <w:bookmarkStart w:id="40" w:name="RANGE!F7"/>
            <w:r w:rsidRPr="00370873">
              <w:rPr>
                <w:rFonts w:ascii="Book Antiqua" w:hAnsi="Book Antiqua" w:cs="Arial"/>
                <w:b/>
                <w:bCs/>
              </w:rPr>
              <w:t>Platelets (10</w:t>
            </w:r>
            <w:r w:rsidRPr="00370873">
              <w:rPr>
                <w:rFonts w:ascii="Book Antiqua" w:hAnsi="Book Antiqua" w:cs="Arial"/>
                <w:b/>
                <w:bCs/>
                <w:vertAlign w:val="superscript"/>
              </w:rPr>
              <w:t>9</w:t>
            </w:r>
            <w:r w:rsidRPr="00370873">
              <w:rPr>
                <w:rFonts w:ascii="Book Antiqua" w:hAnsi="Book Antiqua" w:cs="Arial"/>
                <w:b/>
                <w:bCs/>
              </w:rPr>
              <w:t xml:space="preserve">/L) </w:t>
            </w:r>
            <w:bookmarkEnd w:id="40"/>
          </w:p>
        </w:tc>
        <w:tc>
          <w:tcPr>
            <w:tcW w:w="1820" w:type="dxa"/>
            <w:tcBorders>
              <w:top w:val="single" w:sz="4" w:space="0" w:color="auto"/>
              <w:bottom w:val="single" w:sz="4" w:space="0" w:color="auto"/>
            </w:tcBorders>
            <w:hideMark/>
          </w:tcPr>
          <w:p w14:paraId="038C134D" w14:textId="77777777" w:rsidR="00370873" w:rsidRPr="00370873" w:rsidRDefault="00370873" w:rsidP="00370873">
            <w:pPr>
              <w:spacing w:line="360" w:lineRule="auto"/>
              <w:jc w:val="both"/>
              <w:rPr>
                <w:rFonts w:ascii="Book Antiqua" w:hAnsi="Book Antiqua" w:cs="Arial"/>
                <w:b/>
                <w:bCs/>
              </w:rPr>
            </w:pPr>
            <w:bookmarkStart w:id="41" w:name="RANGE!G7"/>
            <w:r w:rsidRPr="00370873">
              <w:rPr>
                <w:rFonts w:ascii="Book Antiqua" w:hAnsi="Book Antiqua" w:cs="Arial"/>
                <w:b/>
                <w:bCs/>
              </w:rPr>
              <w:t xml:space="preserve">Hemoglobin (g/L) </w:t>
            </w:r>
            <w:bookmarkEnd w:id="41"/>
          </w:p>
        </w:tc>
      </w:tr>
      <w:tr w:rsidR="00370873" w:rsidRPr="00370873" w14:paraId="0177AD82" w14:textId="77777777" w:rsidTr="00370873">
        <w:trPr>
          <w:trHeight w:val="304"/>
        </w:trPr>
        <w:tc>
          <w:tcPr>
            <w:tcW w:w="2260" w:type="dxa"/>
            <w:tcBorders>
              <w:top w:val="single" w:sz="4" w:space="0" w:color="auto"/>
            </w:tcBorders>
            <w:hideMark/>
          </w:tcPr>
          <w:p w14:paraId="6BB444AE" w14:textId="769E4BD6" w:rsidR="00370873" w:rsidRPr="00370873" w:rsidRDefault="00370873" w:rsidP="00370873">
            <w:pPr>
              <w:spacing w:line="360" w:lineRule="auto"/>
              <w:jc w:val="both"/>
              <w:rPr>
                <w:rFonts w:ascii="Book Antiqua" w:hAnsi="Book Antiqua" w:cs="Arial"/>
              </w:rPr>
            </w:pPr>
            <w:r>
              <w:rPr>
                <w:rFonts w:ascii="Book Antiqua" w:hAnsi="Book Antiqua" w:cs="Arial"/>
              </w:rPr>
              <w:t xml:space="preserve">September 22, </w:t>
            </w:r>
            <w:r w:rsidRPr="00370873">
              <w:rPr>
                <w:rFonts w:ascii="Book Antiqua" w:hAnsi="Book Antiqua" w:cs="Arial"/>
              </w:rPr>
              <w:t>2020</w:t>
            </w:r>
          </w:p>
        </w:tc>
        <w:tc>
          <w:tcPr>
            <w:tcW w:w="1653" w:type="dxa"/>
            <w:tcBorders>
              <w:top w:val="single" w:sz="4" w:space="0" w:color="auto"/>
            </w:tcBorders>
            <w:hideMark/>
          </w:tcPr>
          <w:p w14:paraId="7DBBBAE6"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6.4</w:t>
            </w:r>
          </w:p>
        </w:tc>
        <w:tc>
          <w:tcPr>
            <w:tcW w:w="1759" w:type="dxa"/>
            <w:tcBorders>
              <w:top w:val="single" w:sz="4" w:space="0" w:color="auto"/>
            </w:tcBorders>
            <w:hideMark/>
          </w:tcPr>
          <w:p w14:paraId="25FDF4C7"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4.61</w:t>
            </w:r>
          </w:p>
        </w:tc>
        <w:tc>
          <w:tcPr>
            <w:tcW w:w="1305" w:type="dxa"/>
            <w:tcBorders>
              <w:top w:val="single" w:sz="4" w:space="0" w:color="auto"/>
            </w:tcBorders>
            <w:hideMark/>
          </w:tcPr>
          <w:p w14:paraId="1AA44D70"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183</w:t>
            </w:r>
          </w:p>
        </w:tc>
        <w:tc>
          <w:tcPr>
            <w:tcW w:w="1820" w:type="dxa"/>
            <w:tcBorders>
              <w:top w:val="single" w:sz="4" w:space="0" w:color="auto"/>
            </w:tcBorders>
            <w:hideMark/>
          </w:tcPr>
          <w:p w14:paraId="2C3B7EAE"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96</w:t>
            </w:r>
          </w:p>
        </w:tc>
      </w:tr>
      <w:tr w:rsidR="00370873" w:rsidRPr="00370873" w14:paraId="585B781B" w14:textId="77777777" w:rsidTr="00370873">
        <w:trPr>
          <w:trHeight w:val="304"/>
        </w:trPr>
        <w:tc>
          <w:tcPr>
            <w:tcW w:w="2260" w:type="dxa"/>
            <w:hideMark/>
          </w:tcPr>
          <w:p w14:paraId="674814F6" w14:textId="7E51C098" w:rsidR="00370873" w:rsidRPr="00370873" w:rsidRDefault="00370873" w:rsidP="00370873">
            <w:pPr>
              <w:spacing w:line="360" w:lineRule="auto"/>
              <w:jc w:val="both"/>
              <w:rPr>
                <w:rFonts w:ascii="Book Antiqua" w:hAnsi="Book Antiqua" w:cs="Arial"/>
              </w:rPr>
            </w:pPr>
            <w:r>
              <w:rPr>
                <w:rFonts w:ascii="Book Antiqua" w:hAnsi="Book Antiqua" w:cs="Arial"/>
              </w:rPr>
              <w:t xml:space="preserve">October 17, </w:t>
            </w:r>
            <w:r w:rsidRPr="00370873">
              <w:rPr>
                <w:rFonts w:ascii="Book Antiqua" w:hAnsi="Book Antiqua" w:cs="Arial"/>
              </w:rPr>
              <w:t>2020</w:t>
            </w:r>
          </w:p>
        </w:tc>
        <w:tc>
          <w:tcPr>
            <w:tcW w:w="1653" w:type="dxa"/>
            <w:hideMark/>
          </w:tcPr>
          <w:p w14:paraId="53591F2C"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7.5</w:t>
            </w:r>
          </w:p>
        </w:tc>
        <w:tc>
          <w:tcPr>
            <w:tcW w:w="1759" w:type="dxa"/>
            <w:hideMark/>
          </w:tcPr>
          <w:p w14:paraId="1D0DBF51"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6.23</w:t>
            </w:r>
          </w:p>
        </w:tc>
        <w:tc>
          <w:tcPr>
            <w:tcW w:w="1305" w:type="dxa"/>
            <w:hideMark/>
          </w:tcPr>
          <w:p w14:paraId="33714238"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300</w:t>
            </w:r>
          </w:p>
        </w:tc>
        <w:tc>
          <w:tcPr>
            <w:tcW w:w="1820" w:type="dxa"/>
            <w:hideMark/>
          </w:tcPr>
          <w:p w14:paraId="1B06363D"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81</w:t>
            </w:r>
          </w:p>
        </w:tc>
      </w:tr>
      <w:tr w:rsidR="00370873" w:rsidRPr="00370873" w14:paraId="7BB1BA42" w14:textId="77777777" w:rsidTr="00370873">
        <w:trPr>
          <w:trHeight w:val="304"/>
        </w:trPr>
        <w:tc>
          <w:tcPr>
            <w:tcW w:w="2260" w:type="dxa"/>
            <w:hideMark/>
          </w:tcPr>
          <w:p w14:paraId="481B9B9E" w14:textId="4AA98FC2" w:rsidR="00370873" w:rsidRPr="00370873" w:rsidRDefault="00370873" w:rsidP="00370873">
            <w:pPr>
              <w:spacing w:line="360" w:lineRule="auto"/>
              <w:jc w:val="both"/>
              <w:rPr>
                <w:rFonts w:ascii="Book Antiqua" w:hAnsi="Book Antiqua" w:cs="Arial"/>
              </w:rPr>
            </w:pPr>
            <w:r>
              <w:rPr>
                <w:rFonts w:ascii="Book Antiqua" w:hAnsi="Book Antiqua" w:cs="Arial"/>
              </w:rPr>
              <w:t xml:space="preserve">November 8, </w:t>
            </w:r>
            <w:r w:rsidRPr="00370873">
              <w:rPr>
                <w:rFonts w:ascii="Book Antiqua" w:hAnsi="Book Antiqua" w:cs="Arial"/>
              </w:rPr>
              <w:t>2020</w:t>
            </w:r>
          </w:p>
        </w:tc>
        <w:tc>
          <w:tcPr>
            <w:tcW w:w="1653" w:type="dxa"/>
            <w:hideMark/>
          </w:tcPr>
          <w:p w14:paraId="662DE73F"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8.3</w:t>
            </w:r>
          </w:p>
        </w:tc>
        <w:tc>
          <w:tcPr>
            <w:tcW w:w="1759" w:type="dxa"/>
            <w:hideMark/>
          </w:tcPr>
          <w:p w14:paraId="0A0D367B"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6.4</w:t>
            </w:r>
          </w:p>
        </w:tc>
        <w:tc>
          <w:tcPr>
            <w:tcW w:w="1305" w:type="dxa"/>
            <w:hideMark/>
          </w:tcPr>
          <w:p w14:paraId="37EFB0F3"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206</w:t>
            </w:r>
          </w:p>
        </w:tc>
        <w:tc>
          <w:tcPr>
            <w:tcW w:w="1820" w:type="dxa"/>
            <w:hideMark/>
          </w:tcPr>
          <w:p w14:paraId="016430D3"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65</w:t>
            </w:r>
          </w:p>
        </w:tc>
      </w:tr>
      <w:tr w:rsidR="00370873" w:rsidRPr="00370873" w14:paraId="4E811D8A" w14:textId="77777777" w:rsidTr="00370873">
        <w:trPr>
          <w:trHeight w:val="304"/>
        </w:trPr>
        <w:tc>
          <w:tcPr>
            <w:tcW w:w="2260" w:type="dxa"/>
            <w:hideMark/>
          </w:tcPr>
          <w:p w14:paraId="6C436B3D" w14:textId="6AE0BD59" w:rsidR="00370873" w:rsidRPr="00370873" w:rsidRDefault="00370873" w:rsidP="00370873">
            <w:pPr>
              <w:spacing w:line="360" w:lineRule="auto"/>
              <w:jc w:val="both"/>
              <w:rPr>
                <w:rFonts w:ascii="Book Antiqua" w:hAnsi="Book Antiqua" w:cs="Arial"/>
              </w:rPr>
            </w:pPr>
            <w:r>
              <w:rPr>
                <w:rFonts w:ascii="Book Antiqua" w:hAnsi="Book Antiqua" w:cs="Arial"/>
              </w:rPr>
              <w:t xml:space="preserve">November 29, </w:t>
            </w:r>
            <w:r w:rsidRPr="00370873">
              <w:rPr>
                <w:rFonts w:ascii="Book Antiqua" w:hAnsi="Book Antiqua" w:cs="Arial"/>
              </w:rPr>
              <w:t>2020</w:t>
            </w:r>
          </w:p>
        </w:tc>
        <w:tc>
          <w:tcPr>
            <w:tcW w:w="1653" w:type="dxa"/>
            <w:hideMark/>
          </w:tcPr>
          <w:p w14:paraId="7175F2E0"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9.1</w:t>
            </w:r>
          </w:p>
        </w:tc>
        <w:tc>
          <w:tcPr>
            <w:tcW w:w="1759" w:type="dxa"/>
            <w:hideMark/>
          </w:tcPr>
          <w:p w14:paraId="54F374FC"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7.34</w:t>
            </w:r>
          </w:p>
        </w:tc>
        <w:tc>
          <w:tcPr>
            <w:tcW w:w="1305" w:type="dxa"/>
            <w:hideMark/>
          </w:tcPr>
          <w:p w14:paraId="1ADBB9E5"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234</w:t>
            </w:r>
          </w:p>
        </w:tc>
        <w:tc>
          <w:tcPr>
            <w:tcW w:w="1820" w:type="dxa"/>
            <w:hideMark/>
          </w:tcPr>
          <w:p w14:paraId="7A775191"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60</w:t>
            </w:r>
          </w:p>
        </w:tc>
      </w:tr>
      <w:tr w:rsidR="00370873" w:rsidRPr="00370873" w14:paraId="39F26ACF" w14:textId="77777777" w:rsidTr="00370873">
        <w:trPr>
          <w:trHeight w:val="304"/>
        </w:trPr>
        <w:tc>
          <w:tcPr>
            <w:tcW w:w="2260" w:type="dxa"/>
            <w:hideMark/>
          </w:tcPr>
          <w:p w14:paraId="4A570655" w14:textId="677A3E7F" w:rsidR="00370873" w:rsidRPr="00370873" w:rsidRDefault="00370873" w:rsidP="00370873">
            <w:pPr>
              <w:spacing w:line="360" w:lineRule="auto"/>
              <w:jc w:val="both"/>
              <w:rPr>
                <w:rFonts w:ascii="Book Antiqua" w:hAnsi="Book Antiqua" w:cs="Arial"/>
              </w:rPr>
            </w:pPr>
            <w:r>
              <w:rPr>
                <w:rFonts w:ascii="Book Antiqua" w:hAnsi="Book Antiqua" w:cs="Arial"/>
              </w:rPr>
              <w:t xml:space="preserve">December 20, </w:t>
            </w:r>
            <w:r w:rsidRPr="00370873">
              <w:rPr>
                <w:rFonts w:ascii="Book Antiqua" w:hAnsi="Book Antiqua" w:cs="Arial"/>
              </w:rPr>
              <w:t>2020</w:t>
            </w:r>
          </w:p>
        </w:tc>
        <w:tc>
          <w:tcPr>
            <w:tcW w:w="1653" w:type="dxa"/>
            <w:hideMark/>
          </w:tcPr>
          <w:p w14:paraId="079AC47F"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9.6</w:t>
            </w:r>
          </w:p>
        </w:tc>
        <w:tc>
          <w:tcPr>
            <w:tcW w:w="1759" w:type="dxa"/>
            <w:hideMark/>
          </w:tcPr>
          <w:p w14:paraId="5770F8E7"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7.69</w:t>
            </w:r>
          </w:p>
        </w:tc>
        <w:tc>
          <w:tcPr>
            <w:tcW w:w="1305" w:type="dxa"/>
            <w:hideMark/>
          </w:tcPr>
          <w:p w14:paraId="24099BAC"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220</w:t>
            </w:r>
          </w:p>
        </w:tc>
        <w:tc>
          <w:tcPr>
            <w:tcW w:w="1820" w:type="dxa"/>
            <w:hideMark/>
          </w:tcPr>
          <w:p w14:paraId="1FA5E296"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63</w:t>
            </w:r>
          </w:p>
        </w:tc>
      </w:tr>
      <w:tr w:rsidR="00370873" w:rsidRPr="00370873" w14:paraId="437E9749" w14:textId="77777777" w:rsidTr="00370873">
        <w:trPr>
          <w:trHeight w:val="319"/>
        </w:trPr>
        <w:tc>
          <w:tcPr>
            <w:tcW w:w="2260" w:type="dxa"/>
            <w:tcBorders>
              <w:bottom w:val="single" w:sz="4" w:space="0" w:color="auto"/>
            </w:tcBorders>
            <w:hideMark/>
          </w:tcPr>
          <w:p w14:paraId="23F86AA2" w14:textId="7ED3A488" w:rsidR="00370873" w:rsidRPr="00370873" w:rsidRDefault="00370873" w:rsidP="00370873">
            <w:pPr>
              <w:spacing w:line="360" w:lineRule="auto"/>
              <w:jc w:val="both"/>
              <w:rPr>
                <w:rFonts w:ascii="Book Antiqua" w:hAnsi="Book Antiqua" w:cs="Arial"/>
              </w:rPr>
            </w:pPr>
            <w:r>
              <w:rPr>
                <w:rFonts w:ascii="Book Antiqua" w:hAnsi="Book Antiqua" w:cs="Arial"/>
              </w:rPr>
              <w:t xml:space="preserve">January 11, </w:t>
            </w:r>
            <w:r w:rsidRPr="00370873">
              <w:rPr>
                <w:rFonts w:ascii="Book Antiqua" w:hAnsi="Book Antiqua" w:cs="Arial"/>
              </w:rPr>
              <w:t>2021</w:t>
            </w:r>
          </w:p>
        </w:tc>
        <w:tc>
          <w:tcPr>
            <w:tcW w:w="1653" w:type="dxa"/>
            <w:tcBorders>
              <w:bottom w:val="single" w:sz="4" w:space="0" w:color="auto"/>
            </w:tcBorders>
            <w:hideMark/>
          </w:tcPr>
          <w:p w14:paraId="0C1F7DC1"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7.7</w:t>
            </w:r>
          </w:p>
        </w:tc>
        <w:tc>
          <w:tcPr>
            <w:tcW w:w="1759" w:type="dxa"/>
            <w:tcBorders>
              <w:bottom w:val="single" w:sz="4" w:space="0" w:color="auto"/>
            </w:tcBorders>
            <w:hideMark/>
          </w:tcPr>
          <w:p w14:paraId="2F2811BB"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6.22</w:t>
            </w:r>
          </w:p>
        </w:tc>
        <w:tc>
          <w:tcPr>
            <w:tcW w:w="1305" w:type="dxa"/>
            <w:tcBorders>
              <w:bottom w:val="single" w:sz="4" w:space="0" w:color="auto"/>
            </w:tcBorders>
            <w:hideMark/>
          </w:tcPr>
          <w:p w14:paraId="2F3D0AC0"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329</w:t>
            </w:r>
          </w:p>
        </w:tc>
        <w:tc>
          <w:tcPr>
            <w:tcW w:w="1820" w:type="dxa"/>
            <w:tcBorders>
              <w:bottom w:val="single" w:sz="4" w:space="0" w:color="auto"/>
            </w:tcBorders>
            <w:hideMark/>
          </w:tcPr>
          <w:p w14:paraId="53D23D18"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72</w:t>
            </w:r>
          </w:p>
        </w:tc>
      </w:tr>
    </w:tbl>
    <w:p w14:paraId="3CE29AE3" w14:textId="6A2F8FA8" w:rsidR="00370873" w:rsidRPr="00370873" w:rsidRDefault="00370873" w:rsidP="00370873">
      <w:pPr>
        <w:spacing w:line="360" w:lineRule="auto"/>
        <w:jc w:val="both"/>
        <w:rPr>
          <w:rFonts w:ascii="Book Antiqua" w:hAnsi="Book Antiqua" w:cs="Arial"/>
          <w:b/>
          <w:bCs/>
        </w:rPr>
      </w:pPr>
    </w:p>
    <w:p w14:paraId="4009C768" w14:textId="77777777" w:rsidR="00370873" w:rsidRPr="00370873" w:rsidRDefault="00370873" w:rsidP="00370873">
      <w:pPr>
        <w:spacing w:line="360" w:lineRule="auto"/>
        <w:jc w:val="both"/>
        <w:rPr>
          <w:rFonts w:ascii="Book Antiqua" w:hAnsi="Book Antiqua" w:cs="Arial"/>
          <w:b/>
          <w:bCs/>
        </w:rPr>
      </w:pPr>
    </w:p>
    <w:p w14:paraId="5C5CC4EA" w14:textId="77777777" w:rsidR="00370873" w:rsidRPr="00370873" w:rsidRDefault="00370873" w:rsidP="00370873">
      <w:pPr>
        <w:spacing w:line="360" w:lineRule="auto"/>
        <w:jc w:val="both"/>
        <w:rPr>
          <w:rFonts w:ascii="Book Antiqua" w:hAnsi="Book Antiqua" w:cs="Arial"/>
          <w:b/>
        </w:rPr>
      </w:pPr>
      <w:r w:rsidRPr="00370873">
        <w:rPr>
          <w:rFonts w:ascii="Book Antiqua" w:hAnsi="Book Antiqua" w:cs="Arial"/>
          <w:b/>
          <w:bCs/>
        </w:rPr>
        <w:t>Table 2</w:t>
      </w:r>
      <w:r w:rsidRPr="00370873">
        <w:rPr>
          <w:rFonts w:ascii="Book Antiqua" w:hAnsi="Book Antiqua" w:cs="Arial"/>
        </w:rPr>
        <w:t xml:space="preserve"> </w:t>
      </w:r>
      <w:r w:rsidRPr="00370873">
        <w:rPr>
          <w:rFonts w:ascii="Book Antiqua" w:hAnsi="Book Antiqua" w:cs="Arial"/>
          <w:b/>
        </w:rPr>
        <w:t>Renal function and serum tumor markers</w:t>
      </w:r>
    </w:p>
    <w:tbl>
      <w:tblPr>
        <w:tblStyle w:val="ac"/>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1641"/>
        <w:gridCol w:w="1597"/>
        <w:gridCol w:w="1323"/>
        <w:gridCol w:w="1315"/>
      </w:tblGrid>
      <w:tr w:rsidR="00370873" w:rsidRPr="00370873" w14:paraId="58B87081" w14:textId="77777777" w:rsidTr="00370873">
        <w:trPr>
          <w:trHeight w:val="630"/>
        </w:trPr>
        <w:tc>
          <w:tcPr>
            <w:tcW w:w="3303" w:type="dxa"/>
            <w:vMerge w:val="restart"/>
            <w:tcBorders>
              <w:top w:val="single" w:sz="4" w:space="0" w:color="auto"/>
            </w:tcBorders>
            <w:hideMark/>
          </w:tcPr>
          <w:p w14:paraId="0DAC9C17" w14:textId="77777777" w:rsidR="00370873" w:rsidRPr="00370873" w:rsidRDefault="00370873" w:rsidP="00370873">
            <w:pPr>
              <w:spacing w:line="360" w:lineRule="auto"/>
              <w:jc w:val="both"/>
              <w:rPr>
                <w:rFonts w:ascii="Book Antiqua" w:hAnsi="Book Antiqua" w:cs="Arial"/>
                <w:b/>
                <w:bCs/>
              </w:rPr>
            </w:pPr>
            <w:r w:rsidRPr="00370873">
              <w:rPr>
                <w:rFonts w:ascii="Book Antiqua" w:hAnsi="Book Antiqua" w:cs="Arial"/>
                <w:b/>
                <w:bCs/>
              </w:rPr>
              <w:t>Date</w:t>
            </w:r>
          </w:p>
        </w:tc>
        <w:tc>
          <w:tcPr>
            <w:tcW w:w="1641" w:type="dxa"/>
            <w:tcBorders>
              <w:top w:val="single" w:sz="4" w:space="0" w:color="auto"/>
            </w:tcBorders>
            <w:hideMark/>
          </w:tcPr>
          <w:p w14:paraId="31ECC671" w14:textId="23FBFC32" w:rsidR="00370873" w:rsidRPr="00370873" w:rsidRDefault="00370873" w:rsidP="00370873">
            <w:pPr>
              <w:spacing w:line="360" w:lineRule="auto"/>
              <w:jc w:val="both"/>
              <w:rPr>
                <w:rFonts w:ascii="Book Antiqua" w:hAnsi="Book Antiqua" w:cs="Arial"/>
                <w:b/>
                <w:bCs/>
              </w:rPr>
            </w:pPr>
            <w:bookmarkStart w:id="42" w:name="RANGE!D19"/>
            <w:r w:rsidRPr="00370873">
              <w:rPr>
                <w:rFonts w:ascii="Book Antiqua" w:hAnsi="Book Antiqua" w:cs="Arial"/>
                <w:b/>
                <w:bCs/>
              </w:rPr>
              <w:t>Creatinine</w:t>
            </w:r>
            <w:bookmarkStart w:id="43" w:name="RANGE!D20"/>
            <w:bookmarkEnd w:id="42"/>
            <w:r w:rsidR="000423CA">
              <w:rPr>
                <w:rFonts w:ascii="Book Antiqua" w:hAnsi="Book Antiqua" w:cs="Arial"/>
                <w:b/>
                <w:bCs/>
              </w:rPr>
              <w:t xml:space="preserve"> </w:t>
            </w:r>
            <w:r w:rsidR="000423CA" w:rsidRPr="00370873">
              <w:rPr>
                <w:rFonts w:ascii="Book Antiqua" w:hAnsi="Book Antiqua" w:cs="Arial"/>
                <w:b/>
                <w:bCs/>
              </w:rPr>
              <w:t>(</w:t>
            </w:r>
            <w:proofErr w:type="spellStart"/>
            <w:r w:rsidR="000423CA" w:rsidRPr="00370873">
              <w:rPr>
                <w:rFonts w:ascii="Book Antiqua" w:hAnsi="Book Antiqua" w:cs="Arial"/>
                <w:b/>
                <w:bCs/>
              </w:rPr>
              <w:t>μmol</w:t>
            </w:r>
            <w:proofErr w:type="spellEnd"/>
            <w:r w:rsidR="000423CA" w:rsidRPr="00370873">
              <w:rPr>
                <w:rFonts w:ascii="Book Antiqua" w:hAnsi="Book Antiqua" w:cs="Arial"/>
                <w:b/>
                <w:bCs/>
              </w:rPr>
              <w:t>/L)</w:t>
            </w:r>
            <w:bookmarkEnd w:id="43"/>
          </w:p>
        </w:tc>
        <w:tc>
          <w:tcPr>
            <w:tcW w:w="1597" w:type="dxa"/>
            <w:vMerge w:val="restart"/>
            <w:tcBorders>
              <w:top w:val="single" w:sz="4" w:space="0" w:color="auto"/>
            </w:tcBorders>
            <w:hideMark/>
          </w:tcPr>
          <w:p w14:paraId="6385BDB5" w14:textId="77777777" w:rsidR="00370873" w:rsidRPr="00370873" w:rsidRDefault="00370873" w:rsidP="00370873">
            <w:pPr>
              <w:spacing w:line="360" w:lineRule="auto"/>
              <w:jc w:val="both"/>
              <w:rPr>
                <w:rFonts w:ascii="Book Antiqua" w:hAnsi="Book Antiqua" w:cs="Arial"/>
                <w:b/>
                <w:bCs/>
              </w:rPr>
            </w:pPr>
            <w:bookmarkStart w:id="44" w:name="RANGE!E19"/>
            <w:r w:rsidRPr="00370873">
              <w:rPr>
                <w:rFonts w:ascii="Book Antiqua" w:hAnsi="Book Antiqua" w:cs="Arial"/>
                <w:b/>
                <w:bCs/>
              </w:rPr>
              <w:t>Urea (mmol/L)</w:t>
            </w:r>
            <w:bookmarkEnd w:id="44"/>
          </w:p>
        </w:tc>
        <w:tc>
          <w:tcPr>
            <w:tcW w:w="1323" w:type="dxa"/>
            <w:vMerge w:val="restart"/>
            <w:tcBorders>
              <w:top w:val="single" w:sz="4" w:space="0" w:color="auto"/>
            </w:tcBorders>
            <w:hideMark/>
          </w:tcPr>
          <w:p w14:paraId="1CCBAEBC" w14:textId="77777777" w:rsidR="00370873" w:rsidRPr="00370873" w:rsidRDefault="00370873" w:rsidP="00370873">
            <w:pPr>
              <w:spacing w:line="360" w:lineRule="auto"/>
              <w:jc w:val="both"/>
              <w:rPr>
                <w:rFonts w:ascii="Book Antiqua" w:hAnsi="Book Antiqua" w:cs="Arial"/>
                <w:b/>
                <w:bCs/>
              </w:rPr>
            </w:pPr>
            <w:bookmarkStart w:id="45" w:name="RANGE!F19"/>
            <w:r w:rsidRPr="00370873">
              <w:rPr>
                <w:rFonts w:ascii="Book Antiqua" w:hAnsi="Book Antiqua" w:cs="Arial"/>
                <w:b/>
                <w:bCs/>
              </w:rPr>
              <w:t>CA153 (U/mL)</w:t>
            </w:r>
            <w:bookmarkEnd w:id="45"/>
          </w:p>
        </w:tc>
        <w:tc>
          <w:tcPr>
            <w:tcW w:w="1315" w:type="dxa"/>
            <w:tcBorders>
              <w:top w:val="single" w:sz="4" w:space="0" w:color="auto"/>
            </w:tcBorders>
            <w:hideMark/>
          </w:tcPr>
          <w:p w14:paraId="4CFB1DF0" w14:textId="70F29D2C" w:rsidR="00370873" w:rsidRPr="00370873" w:rsidRDefault="00370873" w:rsidP="00370873">
            <w:pPr>
              <w:spacing w:line="360" w:lineRule="auto"/>
              <w:jc w:val="both"/>
              <w:rPr>
                <w:rFonts w:ascii="Book Antiqua" w:hAnsi="Book Antiqua" w:cs="Arial"/>
                <w:b/>
                <w:bCs/>
              </w:rPr>
            </w:pPr>
            <w:bookmarkStart w:id="46" w:name="RANGE!G19"/>
            <w:r w:rsidRPr="00370873">
              <w:rPr>
                <w:rFonts w:ascii="Book Antiqua" w:hAnsi="Book Antiqua" w:cs="Arial"/>
                <w:b/>
                <w:bCs/>
              </w:rPr>
              <w:t xml:space="preserve">CEA </w:t>
            </w:r>
            <w:bookmarkStart w:id="47" w:name="RANGE!G20"/>
            <w:bookmarkEnd w:id="46"/>
            <w:r w:rsidRPr="00370873">
              <w:rPr>
                <w:rFonts w:ascii="Book Antiqua" w:hAnsi="Book Antiqua" w:cs="Arial"/>
                <w:b/>
                <w:bCs/>
              </w:rPr>
              <w:t>(</w:t>
            </w:r>
            <w:proofErr w:type="spellStart"/>
            <w:r w:rsidRPr="00370873">
              <w:rPr>
                <w:rFonts w:ascii="Book Antiqua" w:hAnsi="Book Antiqua" w:cs="Arial"/>
                <w:b/>
                <w:bCs/>
              </w:rPr>
              <w:t>μg</w:t>
            </w:r>
            <w:proofErr w:type="spellEnd"/>
            <w:r w:rsidRPr="00370873">
              <w:rPr>
                <w:rFonts w:ascii="Book Antiqua" w:hAnsi="Book Antiqua" w:cs="Arial"/>
                <w:b/>
                <w:bCs/>
              </w:rPr>
              <w:t>/L)</w:t>
            </w:r>
            <w:bookmarkEnd w:id="47"/>
          </w:p>
        </w:tc>
      </w:tr>
      <w:tr w:rsidR="00370873" w:rsidRPr="00370873" w14:paraId="34F09136" w14:textId="77777777" w:rsidTr="000423CA">
        <w:trPr>
          <w:trHeight w:val="163"/>
        </w:trPr>
        <w:tc>
          <w:tcPr>
            <w:tcW w:w="3303" w:type="dxa"/>
            <w:vMerge/>
            <w:tcBorders>
              <w:bottom w:val="single" w:sz="4" w:space="0" w:color="auto"/>
            </w:tcBorders>
            <w:hideMark/>
          </w:tcPr>
          <w:p w14:paraId="36C0E96B" w14:textId="77777777" w:rsidR="00370873" w:rsidRPr="00370873" w:rsidRDefault="00370873" w:rsidP="00370873">
            <w:pPr>
              <w:spacing w:line="360" w:lineRule="auto"/>
              <w:jc w:val="both"/>
              <w:rPr>
                <w:rFonts w:ascii="Book Antiqua" w:hAnsi="Book Antiqua" w:cs="Arial"/>
                <w:b/>
                <w:bCs/>
              </w:rPr>
            </w:pPr>
          </w:p>
        </w:tc>
        <w:tc>
          <w:tcPr>
            <w:tcW w:w="1641" w:type="dxa"/>
            <w:tcBorders>
              <w:bottom w:val="single" w:sz="4" w:space="0" w:color="auto"/>
            </w:tcBorders>
            <w:hideMark/>
          </w:tcPr>
          <w:p w14:paraId="21C77E92" w14:textId="30E14A5D" w:rsidR="00370873" w:rsidRPr="00370873" w:rsidRDefault="00370873" w:rsidP="00370873">
            <w:pPr>
              <w:spacing w:line="360" w:lineRule="auto"/>
              <w:jc w:val="both"/>
              <w:rPr>
                <w:rFonts w:ascii="Book Antiqua" w:hAnsi="Book Antiqua" w:cs="Arial"/>
                <w:b/>
                <w:bCs/>
              </w:rPr>
            </w:pPr>
          </w:p>
        </w:tc>
        <w:tc>
          <w:tcPr>
            <w:tcW w:w="1597" w:type="dxa"/>
            <w:vMerge/>
            <w:tcBorders>
              <w:bottom w:val="single" w:sz="4" w:space="0" w:color="auto"/>
            </w:tcBorders>
            <w:hideMark/>
          </w:tcPr>
          <w:p w14:paraId="7D4F7290" w14:textId="77777777" w:rsidR="00370873" w:rsidRPr="00370873" w:rsidRDefault="00370873" w:rsidP="00370873">
            <w:pPr>
              <w:spacing w:line="360" w:lineRule="auto"/>
              <w:jc w:val="both"/>
              <w:rPr>
                <w:rFonts w:ascii="Book Antiqua" w:hAnsi="Book Antiqua" w:cs="Arial"/>
                <w:b/>
                <w:bCs/>
              </w:rPr>
            </w:pPr>
          </w:p>
        </w:tc>
        <w:tc>
          <w:tcPr>
            <w:tcW w:w="1323" w:type="dxa"/>
            <w:vMerge/>
            <w:tcBorders>
              <w:bottom w:val="single" w:sz="4" w:space="0" w:color="auto"/>
            </w:tcBorders>
            <w:hideMark/>
          </w:tcPr>
          <w:p w14:paraId="6BEB021C" w14:textId="77777777" w:rsidR="00370873" w:rsidRPr="00370873" w:rsidRDefault="00370873" w:rsidP="00370873">
            <w:pPr>
              <w:spacing w:line="360" w:lineRule="auto"/>
              <w:jc w:val="both"/>
              <w:rPr>
                <w:rFonts w:ascii="Book Antiqua" w:hAnsi="Book Antiqua" w:cs="Arial"/>
                <w:b/>
                <w:bCs/>
              </w:rPr>
            </w:pPr>
          </w:p>
        </w:tc>
        <w:tc>
          <w:tcPr>
            <w:tcW w:w="1315" w:type="dxa"/>
            <w:tcBorders>
              <w:bottom w:val="single" w:sz="4" w:space="0" w:color="auto"/>
            </w:tcBorders>
            <w:hideMark/>
          </w:tcPr>
          <w:p w14:paraId="31BCD97E" w14:textId="47DFD4C6" w:rsidR="00370873" w:rsidRPr="00370873" w:rsidRDefault="00370873" w:rsidP="00370873">
            <w:pPr>
              <w:spacing w:line="360" w:lineRule="auto"/>
              <w:jc w:val="both"/>
              <w:rPr>
                <w:rFonts w:ascii="Book Antiqua" w:hAnsi="Book Antiqua" w:cs="Arial"/>
                <w:b/>
                <w:bCs/>
              </w:rPr>
            </w:pPr>
          </w:p>
        </w:tc>
      </w:tr>
      <w:tr w:rsidR="00370873" w:rsidRPr="00370873" w14:paraId="630A98C2" w14:textId="77777777" w:rsidTr="00370873">
        <w:trPr>
          <w:trHeight w:val="315"/>
        </w:trPr>
        <w:tc>
          <w:tcPr>
            <w:tcW w:w="3303" w:type="dxa"/>
            <w:tcBorders>
              <w:top w:val="single" w:sz="4" w:space="0" w:color="auto"/>
            </w:tcBorders>
            <w:hideMark/>
          </w:tcPr>
          <w:p w14:paraId="0BFFA7AD" w14:textId="65BDE34E" w:rsidR="00370873" w:rsidRPr="00370873" w:rsidRDefault="00370873" w:rsidP="00370873">
            <w:pPr>
              <w:spacing w:line="360" w:lineRule="auto"/>
              <w:jc w:val="both"/>
              <w:rPr>
                <w:rFonts w:ascii="Book Antiqua" w:hAnsi="Book Antiqua" w:cs="Arial"/>
              </w:rPr>
            </w:pPr>
            <w:r>
              <w:rPr>
                <w:rFonts w:ascii="Book Antiqua" w:hAnsi="Book Antiqua" w:cs="Arial"/>
              </w:rPr>
              <w:t xml:space="preserve">September 22, </w:t>
            </w:r>
            <w:r w:rsidRPr="00370873">
              <w:rPr>
                <w:rFonts w:ascii="Book Antiqua" w:hAnsi="Book Antiqua" w:cs="Arial"/>
              </w:rPr>
              <w:t>2020</w:t>
            </w:r>
          </w:p>
        </w:tc>
        <w:tc>
          <w:tcPr>
            <w:tcW w:w="1641" w:type="dxa"/>
            <w:tcBorders>
              <w:top w:val="single" w:sz="4" w:space="0" w:color="auto"/>
            </w:tcBorders>
            <w:hideMark/>
          </w:tcPr>
          <w:p w14:paraId="69D05044" w14:textId="77777777" w:rsidR="00370873" w:rsidRPr="00370873" w:rsidRDefault="00370873" w:rsidP="00370873">
            <w:pPr>
              <w:spacing w:line="360" w:lineRule="auto"/>
              <w:jc w:val="both"/>
              <w:rPr>
                <w:rFonts w:ascii="Book Antiqua" w:hAnsi="Book Antiqua" w:cs="Arial"/>
              </w:rPr>
            </w:pPr>
            <w:bookmarkStart w:id="48" w:name="RANGE!D21"/>
            <w:r w:rsidRPr="00370873">
              <w:rPr>
                <w:rFonts w:ascii="Book Antiqua" w:hAnsi="Book Antiqua" w:cs="Arial"/>
              </w:rPr>
              <w:t>581.9</w:t>
            </w:r>
            <w:bookmarkEnd w:id="48"/>
          </w:p>
        </w:tc>
        <w:tc>
          <w:tcPr>
            <w:tcW w:w="1597" w:type="dxa"/>
            <w:tcBorders>
              <w:top w:val="single" w:sz="4" w:space="0" w:color="auto"/>
            </w:tcBorders>
            <w:hideMark/>
          </w:tcPr>
          <w:p w14:paraId="77A43849" w14:textId="77777777" w:rsidR="00370873" w:rsidRPr="00370873" w:rsidRDefault="00370873" w:rsidP="00370873">
            <w:pPr>
              <w:spacing w:line="360" w:lineRule="auto"/>
              <w:jc w:val="both"/>
              <w:rPr>
                <w:rFonts w:ascii="Book Antiqua" w:hAnsi="Book Antiqua" w:cs="Arial"/>
              </w:rPr>
            </w:pPr>
            <w:bookmarkStart w:id="49" w:name="RANGE!E21"/>
            <w:r w:rsidRPr="00370873">
              <w:rPr>
                <w:rFonts w:ascii="Book Antiqua" w:hAnsi="Book Antiqua" w:cs="Arial"/>
              </w:rPr>
              <w:t>14.27</w:t>
            </w:r>
            <w:bookmarkEnd w:id="49"/>
          </w:p>
        </w:tc>
        <w:tc>
          <w:tcPr>
            <w:tcW w:w="1323" w:type="dxa"/>
            <w:tcBorders>
              <w:top w:val="single" w:sz="4" w:space="0" w:color="auto"/>
            </w:tcBorders>
            <w:hideMark/>
          </w:tcPr>
          <w:p w14:paraId="721044D3" w14:textId="77777777" w:rsidR="00370873" w:rsidRPr="00370873" w:rsidRDefault="00370873" w:rsidP="00370873">
            <w:pPr>
              <w:spacing w:line="360" w:lineRule="auto"/>
              <w:jc w:val="both"/>
              <w:rPr>
                <w:rFonts w:ascii="Book Antiqua" w:hAnsi="Book Antiqua" w:cs="Arial"/>
              </w:rPr>
            </w:pPr>
            <w:bookmarkStart w:id="50" w:name="RANGE!F21"/>
            <w:r w:rsidRPr="00370873">
              <w:rPr>
                <w:rFonts w:ascii="Book Antiqua" w:hAnsi="Book Antiqua" w:cs="Arial"/>
              </w:rPr>
              <w:t>26.2</w:t>
            </w:r>
            <w:bookmarkEnd w:id="50"/>
          </w:p>
        </w:tc>
        <w:tc>
          <w:tcPr>
            <w:tcW w:w="1315" w:type="dxa"/>
            <w:tcBorders>
              <w:top w:val="single" w:sz="4" w:space="0" w:color="auto"/>
            </w:tcBorders>
            <w:hideMark/>
          </w:tcPr>
          <w:p w14:paraId="752D39AD" w14:textId="77777777" w:rsidR="00370873" w:rsidRPr="00370873" w:rsidRDefault="00370873" w:rsidP="00370873">
            <w:pPr>
              <w:spacing w:line="360" w:lineRule="auto"/>
              <w:jc w:val="both"/>
              <w:rPr>
                <w:rFonts w:ascii="Book Antiqua" w:hAnsi="Book Antiqua" w:cs="Arial"/>
              </w:rPr>
            </w:pPr>
            <w:bookmarkStart w:id="51" w:name="RANGE!G21"/>
            <w:r w:rsidRPr="00370873">
              <w:rPr>
                <w:rFonts w:ascii="Book Antiqua" w:hAnsi="Book Antiqua" w:cs="Arial"/>
              </w:rPr>
              <w:t>6.31</w:t>
            </w:r>
            <w:bookmarkEnd w:id="51"/>
          </w:p>
        </w:tc>
      </w:tr>
      <w:tr w:rsidR="00370873" w:rsidRPr="00370873" w14:paraId="32A19B45" w14:textId="77777777" w:rsidTr="00370873">
        <w:trPr>
          <w:trHeight w:val="315"/>
        </w:trPr>
        <w:tc>
          <w:tcPr>
            <w:tcW w:w="3303" w:type="dxa"/>
            <w:hideMark/>
          </w:tcPr>
          <w:p w14:paraId="28932E82" w14:textId="28B18518" w:rsidR="00370873" w:rsidRPr="00370873" w:rsidRDefault="00370873" w:rsidP="00370873">
            <w:pPr>
              <w:spacing w:line="360" w:lineRule="auto"/>
              <w:jc w:val="both"/>
              <w:rPr>
                <w:rFonts w:ascii="Book Antiqua" w:hAnsi="Book Antiqua" w:cs="Arial"/>
              </w:rPr>
            </w:pPr>
            <w:r>
              <w:rPr>
                <w:rFonts w:ascii="Book Antiqua" w:hAnsi="Book Antiqua" w:cs="Arial"/>
              </w:rPr>
              <w:t xml:space="preserve">October 17, </w:t>
            </w:r>
            <w:r w:rsidRPr="00370873">
              <w:rPr>
                <w:rFonts w:ascii="Book Antiqua" w:hAnsi="Book Antiqua" w:cs="Arial"/>
              </w:rPr>
              <w:t>2020</w:t>
            </w:r>
          </w:p>
        </w:tc>
        <w:tc>
          <w:tcPr>
            <w:tcW w:w="1641" w:type="dxa"/>
            <w:hideMark/>
          </w:tcPr>
          <w:p w14:paraId="316BF783"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384.5</w:t>
            </w:r>
          </w:p>
        </w:tc>
        <w:tc>
          <w:tcPr>
            <w:tcW w:w="1597" w:type="dxa"/>
            <w:hideMark/>
          </w:tcPr>
          <w:p w14:paraId="16031E9B"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8.96</w:t>
            </w:r>
          </w:p>
        </w:tc>
        <w:tc>
          <w:tcPr>
            <w:tcW w:w="1323" w:type="dxa"/>
            <w:hideMark/>
          </w:tcPr>
          <w:p w14:paraId="10B9D4C3"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32</w:t>
            </w:r>
          </w:p>
        </w:tc>
        <w:tc>
          <w:tcPr>
            <w:tcW w:w="1315" w:type="dxa"/>
            <w:hideMark/>
          </w:tcPr>
          <w:p w14:paraId="4423F603"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6.77</w:t>
            </w:r>
          </w:p>
        </w:tc>
      </w:tr>
      <w:tr w:rsidR="00370873" w:rsidRPr="00370873" w14:paraId="7238F8F2" w14:textId="77777777" w:rsidTr="00370873">
        <w:trPr>
          <w:trHeight w:val="315"/>
        </w:trPr>
        <w:tc>
          <w:tcPr>
            <w:tcW w:w="3303" w:type="dxa"/>
            <w:hideMark/>
          </w:tcPr>
          <w:p w14:paraId="7CCE7929" w14:textId="440BC07D" w:rsidR="00370873" w:rsidRPr="00370873" w:rsidRDefault="00370873" w:rsidP="00370873">
            <w:pPr>
              <w:spacing w:line="360" w:lineRule="auto"/>
              <w:jc w:val="both"/>
              <w:rPr>
                <w:rFonts w:ascii="Book Antiqua" w:hAnsi="Book Antiqua" w:cs="Arial"/>
              </w:rPr>
            </w:pPr>
            <w:r>
              <w:rPr>
                <w:rFonts w:ascii="Book Antiqua" w:hAnsi="Book Antiqua" w:cs="Arial"/>
              </w:rPr>
              <w:t xml:space="preserve">November 8, </w:t>
            </w:r>
            <w:r w:rsidRPr="00370873">
              <w:rPr>
                <w:rFonts w:ascii="Book Antiqua" w:hAnsi="Book Antiqua" w:cs="Arial"/>
              </w:rPr>
              <w:t>2020</w:t>
            </w:r>
          </w:p>
        </w:tc>
        <w:tc>
          <w:tcPr>
            <w:tcW w:w="1641" w:type="dxa"/>
            <w:hideMark/>
          </w:tcPr>
          <w:p w14:paraId="180B0498"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575.5</w:t>
            </w:r>
          </w:p>
        </w:tc>
        <w:tc>
          <w:tcPr>
            <w:tcW w:w="1597" w:type="dxa"/>
            <w:hideMark/>
          </w:tcPr>
          <w:p w14:paraId="79BC07DE"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17.07</w:t>
            </w:r>
          </w:p>
        </w:tc>
        <w:tc>
          <w:tcPr>
            <w:tcW w:w="1323" w:type="dxa"/>
            <w:hideMark/>
          </w:tcPr>
          <w:p w14:paraId="3D86C8E2"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28.6</w:t>
            </w:r>
          </w:p>
        </w:tc>
        <w:tc>
          <w:tcPr>
            <w:tcW w:w="1315" w:type="dxa"/>
            <w:hideMark/>
          </w:tcPr>
          <w:p w14:paraId="76D55C0B"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4.64</w:t>
            </w:r>
          </w:p>
        </w:tc>
      </w:tr>
      <w:tr w:rsidR="00370873" w:rsidRPr="00370873" w14:paraId="5BCAA85B" w14:textId="77777777" w:rsidTr="00370873">
        <w:trPr>
          <w:trHeight w:val="315"/>
        </w:trPr>
        <w:tc>
          <w:tcPr>
            <w:tcW w:w="3303" w:type="dxa"/>
            <w:hideMark/>
          </w:tcPr>
          <w:p w14:paraId="0EB34BEF" w14:textId="13DB6923" w:rsidR="00370873" w:rsidRPr="00370873" w:rsidRDefault="00370873" w:rsidP="00370873">
            <w:pPr>
              <w:spacing w:line="360" w:lineRule="auto"/>
              <w:jc w:val="both"/>
              <w:rPr>
                <w:rFonts w:ascii="Book Antiqua" w:hAnsi="Book Antiqua" w:cs="Arial"/>
              </w:rPr>
            </w:pPr>
            <w:r>
              <w:rPr>
                <w:rFonts w:ascii="Book Antiqua" w:hAnsi="Book Antiqua" w:cs="Arial"/>
              </w:rPr>
              <w:t xml:space="preserve">November 29, </w:t>
            </w:r>
            <w:r w:rsidRPr="00370873">
              <w:rPr>
                <w:rFonts w:ascii="Book Antiqua" w:hAnsi="Book Antiqua" w:cs="Arial"/>
              </w:rPr>
              <w:t>2020</w:t>
            </w:r>
          </w:p>
        </w:tc>
        <w:tc>
          <w:tcPr>
            <w:tcW w:w="1641" w:type="dxa"/>
            <w:hideMark/>
          </w:tcPr>
          <w:p w14:paraId="0F74D895"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678.6</w:t>
            </w:r>
          </w:p>
        </w:tc>
        <w:tc>
          <w:tcPr>
            <w:tcW w:w="1597" w:type="dxa"/>
            <w:hideMark/>
          </w:tcPr>
          <w:p w14:paraId="10A58DEB"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21.97</w:t>
            </w:r>
          </w:p>
        </w:tc>
        <w:tc>
          <w:tcPr>
            <w:tcW w:w="1323" w:type="dxa"/>
            <w:hideMark/>
          </w:tcPr>
          <w:p w14:paraId="3A423648"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27.8</w:t>
            </w:r>
          </w:p>
        </w:tc>
        <w:tc>
          <w:tcPr>
            <w:tcW w:w="1315" w:type="dxa"/>
            <w:hideMark/>
          </w:tcPr>
          <w:p w14:paraId="19292DB1"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3.42</w:t>
            </w:r>
          </w:p>
        </w:tc>
      </w:tr>
      <w:tr w:rsidR="00370873" w:rsidRPr="00370873" w14:paraId="06983A51" w14:textId="77777777" w:rsidTr="00370873">
        <w:trPr>
          <w:trHeight w:val="315"/>
        </w:trPr>
        <w:tc>
          <w:tcPr>
            <w:tcW w:w="3303" w:type="dxa"/>
            <w:hideMark/>
          </w:tcPr>
          <w:p w14:paraId="08A988B9" w14:textId="253D634D" w:rsidR="00370873" w:rsidRPr="00370873" w:rsidRDefault="00370873" w:rsidP="00370873">
            <w:pPr>
              <w:spacing w:line="360" w:lineRule="auto"/>
              <w:jc w:val="both"/>
              <w:rPr>
                <w:rFonts w:ascii="Book Antiqua" w:hAnsi="Book Antiqua" w:cs="Arial"/>
              </w:rPr>
            </w:pPr>
            <w:r>
              <w:rPr>
                <w:rFonts w:ascii="Book Antiqua" w:hAnsi="Book Antiqua" w:cs="Arial"/>
              </w:rPr>
              <w:t xml:space="preserve">December 20, </w:t>
            </w:r>
            <w:r w:rsidRPr="00370873">
              <w:rPr>
                <w:rFonts w:ascii="Book Antiqua" w:hAnsi="Book Antiqua" w:cs="Arial"/>
              </w:rPr>
              <w:t>2020</w:t>
            </w:r>
          </w:p>
        </w:tc>
        <w:tc>
          <w:tcPr>
            <w:tcW w:w="1641" w:type="dxa"/>
            <w:hideMark/>
          </w:tcPr>
          <w:p w14:paraId="6AEED6A1"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710.9</w:t>
            </w:r>
          </w:p>
        </w:tc>
        <w:tc>
          <w:tcPr>
            <w:tcW w:w="1597" w:type="dxa"/>
            <w:hideMark/>
          </w:tcPr>
          <w:p w14:paraId="67ACCBE2"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20.46</w:t>
            </w:r>
          </w:p>
        </w:tc>
        <w:tc>
          <w:tcPr>
            <w:tcW w:w="1323" w:type="dxa"/>
            <w:hideMark/>
          </w:tcPr>
          <w:p w14:paraId="6B167E6E"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34.3</w:t>
            </w:r>
          </w:p>
        </w:tc>
        <w:tc>
          <w:tcPr>
            <w:tcW w:w="1315" w:type="dxa"/>
            <w:hideMark/>
          </w:tcPr>
          <w:p w14:paraId="58FD404A"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3.9</w:t>
            </w:r>
          </w:p>
        </w:tc>
      </w:tr>
      <w:tr w:rsidR="00370873" w:rsidRPr="00370873" w14:paraId="3EC32E15" w14:textId="77777777" w:rsidTr="00370873">
        <w:trPr>
          <w:trHeight w:val="330"/>
        </w:trPr>
        <w:tc>
          <w:tcPr>
            <w:tcW w:w="3303" w:type="dxa"/>
            <w:tcBorders>
              <w:bottom w:val="single" w:sz="4" w:space="0" w:color="auto"/>
            </w:tcBorders>
            <w:hideMark/>
          </w:tcPr>
          <w:p w14:paraId="1901EA54" w14:textId="03F2040B" w:rsidR="00370873" w:rsidRPr="00370873" w:rsidRDefault="00370873" w:rsidP="00370873">
            <w:pPr>
              <w:spacing w:line="360" w:lineRule="auto"/>
              <w:jc w:val="both"/>
              <w:rPr>
                <w:rFonts w:ascii="Book Antiqua" w:hAnsi="Book Antiqua" w:cs="Arial"/>
              </w:rPr>
            </w:pPr>
            <w:r>
              <w:rPr>
                <w:rFonts w:ascii="Book Antiqua" w:hAnsi="Book Antiqua" w:cs="Arial"/>
              </w:rPr>
              <w:t xml:space="preserve">January 11, </w:t>
            </w:r>
            <w:r w:rsidRPr="00370873">
              <w:rPr>
                <w:rFonts w:ascii="Book Antiqua" w:hAnsi="Book Antiqua" w:cs="Arial"/>
              </w:rPr>
              <w:t>2021</w:t>
            </w:r>
          </w:p>
        </w:tc>
        <w:tc>
          <w:tcPr>
            <w:tcW w:w="1641" w:type="dxa"/>
            <w:tcBorders>
              <w:bottom w:val="single" w:sz="4" w:space="0" w:color="auto"/>
            </w:tcBorders>
            <w:hideMark/>
          </w:tcPr>
          <w:p w14:paraId="79875521"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331.2</w:t>
            </w:r>
          </w:p>
        </w:tc>
        <w:tc>
          <w:tcPr>
            <w:tcW w:w="1597" w:type="dxa"/>
            <w:tcBorders>
              <w:bottom w:val="single" w:sz="4" w:space="0" w:color="auto"/>
            </w:tcBorders>
            <w:hideMark/>
          </w:tcPr>
          <w:p w14:paraId="57D9D12B"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8.43</w:t>
            </w:r>
          </w:p>
        </w:tc>
        <w:tc>
          <w:tcPr>
            <w:tcW w:w="1323" w:type="dxa"/>
            <w:tcBorders>
              <w:bottom w:val="single" w:sz="4" w:space="0" w:color="auto"/>
            </w:tcBorders>
            <w:hideMark/>
          </w:tcPr>
          <w:p w14:paraId="5A3A33F7"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35.4</w:t>
            </w:r>
          </w:p>
        </w:tc>
        <w:tc>
          <w:tcPr>
            <w:tcW w:w="1315" w:type="dxa"/>
            <w:tcBorders>
              <w:bottom w:val="single" w:sz="4" w:space="0" w:color="auto"/>
            </w:tcBorders>
            <w:hideMark/>
          </w:tcPr>
          <w:p w14:paraId="05E8604D" w14:textId="77777777" w:rsidR="00370873" w:rsidRPr="00370873" w:rsidRDefault="00370873" w:rsidP="00370873">
            <w:pPr>
              <w:spacing w:line="360" w:lineRule="auto"/>
              <w:jc w:val="both"/>
              <w:rPr>
                <w:rFonts w:ascii="Book Antiqua" w:hAnsi="Book Antiqua" w:cs="Arial"/>
              </w:rPr>
            </w:pPr>
            <w:r w:rsidRPr="00370873">
              <w:rPr>
                <w:rFonts w:ascii="Book Antiqua" w:hAnsi="Book Antiqua" w:cs="Arial"/>
              </w:rPr>
              <w:t>3.53</w:t>
            </w:r>
          </w:p>
        </w:tc>
      </w:tr>
    </w:tbl>
    <w:p w14:paraId="6D97939B" w14:textId="0751417C" w:rsidR="00370873" w:rsidRPr="00370873" w:rsidRDefault="00370873" w:rsidP="00370873">
      <w:pPr>
        <w:spacing w:line="360" w:lineRule="auto"/>
        <w:jc w:val="both"/>
        <w:rPr>
          <w:rFonts w:ascii="Book Antiqua" w:hAnsi="Book Antiqua"/>
          <w:b/>
          <w:bCs/>
          <w:lang w:eastAsia="zh-CN"/>
        </w:rPr>
      </w:pPr>
      <w:r w:rsidRPr="00370873">
        <w:rPr>
          <w:rFonts w:ascii="Book Antiqua" w:hAnsi="Book Antiqua" w:cs="Arial"/>
        </w:rPr>
        <w:t xml:space="preserve">CA153: </w:t>
      </w:r>
      <w:bookmarkStart w:id="52" w:name="_Hlk80552449"/>
      <w:r w:rsidRPr="00370873">
        <w:rPr>
          <w:rFonts w:ascii="Book Antiqua" w:hAnsi="Book Antiqua" w:cs="Arial"/>
        </w:rPr>
        <w:t>Cancer antigen 153; CEA: Carcinoembryonic antigen</w:t>
      </w:r>
      <w:bookmarkEnd w:id="36"/>
      <w:bookmarkEnd w:id="52"/>
      <w:r>
        <w:rPr>
          <w:rFonts w:ascii="Book Antiqua" w:hAnsi="Book Antiqua" w:cs="Arial" w:hint="eastAsia"/>
          <w:lang w:eastAsia="zh-CN"/>
        </w:rPr>
        <w:t>.</w:t>
      </w:r>
    </w:p>
    <w:sectPr w:rsidR="00370873" w:rsidRPr="003708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DD2D" w14:textId="77777777" w:rsidR="00DE3ADF" w:rsidRDefault="00DE3ADF" w:rsidP="00AF136F">
      <w:r>
        <w:separator/>
      </w:r>
    </w:p>
  </w:endnote>
  <w:endnote w:type="continuationSeparator" w:id="0">
    <w:p w14:paraId="4B3E8E56" w14:textId="77777777" w:rsidR="00DE3ADF" w:rsidRDefault="00DE3ADF" w:rsidP="00AF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81ED" w14:textId="77777777" w:rsidR="00AF136F" w:rsidRPr="00AF136F" w:rsidRDefault="00AF136F" w:rsidP="00AF136F">
    <w:pPr>
      <w:pStyle w:val="a5"/>
      <w:jc w:val="right"/>
      <w:rPr>
        <w:rFonts w:ascii="Book Antiqua" w:hAnsi="Book Antiqua"/>
        <w:color w:val="000000" w:themeColor="text1"/>
        <w:sz w:val="24"/>
        <w:szCs w:val="24"/>
      </w:rPr>
    </w:pPr>
    <w:r w:rsidRPr="00AF136F">
      <w:rPr>
        <w:rFonts w:ascii="Book Antiqua" w:hAnsi="Book Antiqua"/>
        <w:color w:val="000000" w:themeColor="text1"/>
        <w:sz w:val="24"/>
        <w:szCs w:val="24"/>
        <w:lang w:val="zh-CN" w:eastAsia="zh-CN"/>
      </w:rPr>
      <w:t xml:space="preserve"> </w:t>
    </w:r>
    <w:r w:rsidRPr="00AF136F">
      <w:rPr>
        <w:rFonts w:ascii="Book Antiqua" w:hAnsi="Book Antiqua"/>
        <w:color w:val="000000" w:themeColor="text1"/>
        <w:sz w:val="24"/>
        <w:szCs w:val="24"/>
      </w:rPr>
      <w:fldChar w:fldCharType="begin"/>
    </w:r>
    <w:r w:rsidRPr="00AF136F">
      <w:rPr>
        <w:rFonts w:ascii="Book Antiqua" w:hAnsi="Book Antiqua"/>
        <w:color w:val="000000" w:themeColor="text1"/>
        <w:sz w:val="24"/>
        <w:szCs w:val="24"/>
      </w:rPr>
      <w:instrText>PAGE  \* Arabic  \* MERGEFORMAT</w:instrText>
    </w:r>
    <w:r w:rsidRPr="00AF136F">
      <w:rPr>
        <w:rFonts w:ascii="Book Antiqua" w:hAnsi="Book Antiqua"/>
        <w:color w:val="000000" w:themeColor="text1"/>
        <w:sz w:val="24"/>
        <w:szCs w:val="24"/>
      </w:rPr>
      <w:fldChar w:fldCharType="separate"/>
    </w:r>
    <w:r w:rsidRPr="00AF136F">
      <w:rPr>
        <w:rFonts w:ascii="Book Antiqua" w:hAnsi="Book Antiqua"/>
        <w:color w:val="000000" w:themeColor="text1"/>
        <w:sz w:val="24"/>
        <w:szCs w:val="24"/>
        <w:lang w:val="zh-CN" w:eastAsia="zh-CN"/>
      </w:rPr>
      <w:t>2</w:t>
    </w:r>
    <w:r w:rsidRPr="00AF136F">
      <w:rPr>
        <w:rFonts w:ascii="Book Antiqua" w:hAnsi="Book Antiqua"/>
        <w:color w:val="000000" w:themeColor="text1"/>
        <w:sz w:val="24"/>
        <w:szCs w:val="24"/>
      </w:rPr>
      <w:fldChar w:fldCharType="end"/>
    </w:r>
    <w:r w:rsidRPr="00AF136F">
      <w:rPr>
        <w:rFonts w:ascii="Book Antiqua" w:hAnsi="Book Antiqua"/>
        <w:color w:val="000000" w:themeColor="text1"/>
        <w:sz w:val="24"/>
        <w:szCs w:val="24"/>
        <w:lang w:val="zh-CN" w:eastAsia="zh-CN"/>
      </w:rPr>
      <w:t xml:space="preserve"> / </w:t>
    </w:r>
    <w:r w:rsidRPr="00AF136F">
      <w:rPr>
        <w:rFonts w:ascii="Book Antiqua" w:hAnsi="Book Antiqua"/>
        <w:color w:val="000000" w:themeColor="text1"/>
        <w:sz w:val="24"/>
        <w:szCs w:val="24"/>
      </w:rPr>
      <w:fldChar w:fldCharType="begin"/>
    </w:r>
    <w:r w:rsidRPr="00AF136F">
      <w:rPr>
        <w:rFonts w:ascii="Book Antiqua" w:hAnsi="Book Antiqua"/>
        <w:color w:val="000000" w:themeColor="text1"/>
        <w:sz w:val="24"/>
        <w:szCs w:val="24"/>
      </w:rPr>
      <w:instrText>NUMPAGES  \* Arabic  \* MERGEFORMAT</w:instrText>
    </w:r>
    <w:r w:rsidRPr="00AF136F">
      <w:rPr>
        <w:rFonts w:ascii="Book Antiqua" w:hAnsi="Book Antiqua"/>
        <w:color w:val="000000" w:themeColor="text1"/>
        <w:sz w:val="24"/>
        <w:szCs w:val="24"/>
      </w:rPr>
      <w:fldChar w:fldCharType="separate"/>
    </w:r>
    <w:r w:rsidRPr="00AF136F">
      <w:rPr>
        <w:rFonts w:ascii="Book Antiqua" w:hAnsi="Book Antiqua"/>
        <w:color w:val="000000" w:themeColor="text1"/>
        <w:sz w:val="24"/>
        <w:szCs w:val="24"/>
        <w:lang w:val="zh-CN" w:eastAsia="zh-CN"/>
      </w:rPr>
      <w:t>2</w:t>
    </w:r>
    <w:r w:rsidRPr="00AF136F">
      <w:rPr>
        <w:rFonts w:ascii="Book Antiqua" w:hAnsi="Book Antiqua"/>
        <w:color w:val="000000" w:themeColor="text1"/>
        <w:sz w:val="24"/>
        <w:szCs w:val="24"/>
      </w:rPr>
      <w:fldChar w:fldCharType="end"/>
    </w:r>
  </w:p>
  <w:p w14:paraId="12DAB3C1" w14:textId="77777777" w:rsidR="00AF136F" w:rsidRDefault="00AF1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BBF" w14:textId="77777777" w:rsidR="00DE3ADF" w:rsidRDefault="00DE3ADF" w:rsidP="00AF136F">
      <w:r>
        <w:separator/>
      </w:r>
    </w:p>
  </w:footnote>
  <w:footnote w:type="continuationSeparator" w:id="0">
    <w:p w14:paraId="3D8CCE2E" w14:textId="77777777" w:rsidR="00DE3ADF" w:rsidRDefault="00DE3ADF" w:rsidP="00AF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3CA"/>
    <w:rsid w:val="00080AB5"/>
    <w:rsid w:val="00204A02"/>
    <w:rsid w:val="002B3C61"/>
    <w:rsid w:val="00335C99"/>
    <w:rsid w:val="00370873"/>
    <w:rsid w:val="003E2CA8"/>
    <w:rsid w:val="004C76EE"/>
    <w:rsid w:val="005C206A"/>
    <w:rsid w:val="005C2F75"/>
    <w:rsid w:val="00606B62"/>
    <w:rsid w:val="006428B4"/>
    <w:rsid w:val="00696336"/>
    <w:rsid w:val="0083361F"/>
    <w:rsid w:val="00A77B3E"/>
    <w:rsid w:val="00AD4FED"/>
    <w:rsid w:val="00AF136F"/>
    <w:rsid w:val="00CA2A55"/>
    <w:rsid w:val="00DD4E9C"/>
    <w:rsid w:val="00DE3ADF"/>
    <w:rsid w:val="00EC1F29"/>
    <w:rsid w:val="00F86279"/>
    <w:rsid w:val="00FB2E9D"/>
    <w:rsid w:val="00FC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8125B"/>
  <w15:docId w15:val="{47F4DE92-63B0-49A2-B862-203CEB6A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3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136F"/>
    <w:rPr>
      <w:sz w:val="18"/>
      <w:szCs w:val="18"/>
    </w:rPr>
  </w:style>
  <w:style w:type="paragraph" w:styleId="a5">
    <w:name w:val="footer"/>
    <w:basedOn w:val="a"/>
    <w:link w:val="a6"/>
    <w:uiPriority w:val="99"/>
    <w:unhideWhenUsed/>
    <w:rsid w:val="00AF136F"/>
    <w:pPr>
      <w:tabs>
        <w:tab w:val="center" w:pos="4153"/>
        <w:tab w:val="right" w:pos="8306"/>
      </w:tabs>
      <w:snapToGrid w:val="0"/>
    </w:pPr>
    <w:rPr>
      <w:sz w:val="18"/>
      <w:szCs w:val="18"/>
    </w:rPr>
  </w:style>
  <w:style w:type="character" w:customStyle="1" w:styleId="a6">
    <w:name w:val="页脚 字符"/>
    <w:basedOn w:val="a0"/>
    <w:link w:val="a5"/>
    <w:uiPriority w:val="99"/>
    <w:rsid w:val="00AF136F"/>
    <w:rPr>
      <w:sz w:val="18"/>
      <w:szCs w:val="18"/>
    </w:rPr>
  </w:style>
  <w:style w:type="character" w:styleId="a7">
    <w:name w:val="annotation reference"/>
    <w:basedOn w:val="a0"/>
    <w:semiHidden/>
    <w:unhideWhenUsed/>
    <w:rsid w:val="00204A02"/>
    <w:rPr>
      <w:sz w:val="21"/>
      <w:szCs w:val="21"/>
    </w:rPr>
  </w:style>
  <w:style w:type="paragraph" w:styleId="a8">
    <w:name w:val="annotation text"/>
    <w:basedOn w:val="a"/>
    <w:link w:val="a9"/>
    <w:semiHidden/>
    <w:unhideWhenUsed/>
    <w:rsid w:val="00204A02"/>
  </w:style>
  <w:style w:type="character" w:customStyle="1" w:styleId="a9">
    <w:name w:val="批注文字 字符"/>
    <w:basedOn w:val="a0"/>
    <w:link w:val="a8"/>
    <w:semiHidden/>
    <w:rsid w:val="00204A02"/>
    <w:rPr>
      <w:sz w:val="24"/>
      <w:szCs w:val="24"/>
    </w:rPr>
  </w:style>
  <w:style w:type="paragraph" w:styleId="aa">
    <w:name w:val="annotation subject"/>
    <w:basedOn w:val="a8"/>
    <w:next w:val="a8"/>
    <w:link w:val="ab"/>
    <w:semiHidden/>
    <w:unhideWhenUsed/>
    <w:rsid w:val="00204A02"/>
    <w:rPr>
      <w:b/>
      <w:bCs/>
    </w:rPr>
  </w:style>
  <w:style w:type="character" w:customStyle="1" w:styleId="ab">
    <w:name w:val="批注主题 字符"/>
    <w:basedOn w:val="a9"/>
    <w:link w:val="aa"/>
    <w:semiHidden/>
    <w:rsid w:val="00204A02"/>
    <w:rPr>
      <w:b/>
      <w:bCs/>
      <w:sz w:val="24"/>
      <w:szCs w:val="24"/>
    </w:rPr>
  </w:style>
  <w:style w:type="character" w:customStyle="1" w:styleId="dxebaseoffice2010blue">
    <w:name w:val="dxebase_office2010blue"/>
    <w:basedOn w:val="a0"/>
    <w:rsid w:val="00204A02"/>
  </w:style>
  <w:style w:type="table" w:styleId="ac">
    <w:name w:val="Table Grid"/>
    <w:basedOn w:val="a1"/>
    <w:rsid w:val="0037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0543">
      <w:bodyDiv w:val="1"/>
      <w:marLeft w:val="0"/>
      <w:marRight w:val="0"/>
      <w:marTop w:val="0"/>
      <w:marBottom w:val="0"/>
      <w:divBdr>
        <w:top w:val="none" w:sz="0" w:space="0" w:color="auto"/>
        <w:left w:val="none" w:sz="0" w:space="0" w:color="auto"/>
        <w:bottom w:val="none" w:sz="0" w:space="0" w:color="auto"/>
        <w:right w:val="none" w:sz="0" w:space="0" w:color="auto"/>
      </w:divBdr>
    </w:div>
    <w:div w:id="206787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2021-09-23T06:12:00Z</dcterms:created>
  <dcterms:modified xsi:type="dcterms:W3CDTF">2021-09-23T06:12:00Z</dcterms:modified>
</cp:coreProperties>
</file>