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AAC57"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b/>
          <w:color w:val="000000" w:themeColor="text1"/>
        </w:rPr>
        <w:t xml:space="preserve">Name of Journal: </w:t>
      </w:r>
      <w:r w:rsidRPr="00681D35">
        <w:rPr>
          <w:rFonts w:ascii="Book Antiqua" w:eastAsia="Book Antiqua" w:hAnsi="Book Antiqua" w:cs="Book Antiqua"/>
          <w:i/>
          <w:color w:val="000000" w:themeColor="text1"/>
        </w:rPr>
        <w:t>World Journal of Clinical Cases</w:t>
      </w:r>
    </w:p>
    <w:p w14:paraId="68327612"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b/>
          <w:color w:val="000000" w:themeColor="text1"/>
        </w:rPr>
        <w:t xml:space="preserve">Manuscript NO: </w:t>
      </w:r>
      <w:r w:rsidRPr="00681D35">
        <w:rPr>
          <w:rFonts w:ascii="Book Antiqua" w:eastAsia="Book Antiqua" w:hAnsi="Book Antiqua" w:cs="Book Antiqua"/>
          <w:color w:val="000000" w:themeColor="text1"/>
        </w:rPr>
        <w:t>69699</w:t>
      </w:r>
    </w:p>
    <w:p w14:paraId="72E88307"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b/>
          <w:color w:val="000000" w:themeColor="text1"/>
        </w:rPr>
        <w:t xml:space="preserve">Manuscript Type: </w:t>
      </w:r>
      <w:r w:rsidRPr="00681D35">
        <w:rPr>
          <w:rFonts w:ascii="Book Antiqua" w:eastAsia="Book Antiqua" w:hAnsi="Book Antiqua" w:cs="Book Antiqua"/>
          <w:color w:val="000000" w:themeColor="text1"/>
        </w:rPr>
        <w:t>ORIGINAL ARTICLE</w:t>
      </w:r>
    </w:p>
    <w:p w14:paraId="5CF7925C" w14:textId="77777777" w:rsidR="00347BCA" w:rsidRPr="00681D35" w:rsidRDefault="00347BCA" w:rsidP="003C2906">
      <w:pPr>
        <w:adjustRightInd w:val="0"/>
        <w:snapToGrid w:val="0"/>
        <w:spacing w:line="360" w:lineRule="auto"/>
        <w:jc w:val="both"/>
        <w:rPr>
          <w:rFonts w:ascii="Book Antiqua" w:hAnsi="Book Antiqua"/>
          <w:color w:val="000000" w:themeColor="text1"/>
        </w:rPr>
      </w:pPr>
    </w:p>
    <w:p w14:paraId="20B6C624"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b/>
          <w:i/>
          <w:color w:val="000000" w:themeColor="text1"/>
        </w:rPr>
        <w:t>Prospective Study</w:t>
      </w:r>
    </w:p>
    <w:p w14:paraId="1EDC0A14"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b/>
          <w:color w:val="000000" w:themeColor="text1"/>
        </w:rPr>
        <w:t>Remimazolam benzenesulfonate anesthesia effectiveness in cardiac surgery patients under general anesthesia</w:t>
      </w:r>
    </w:p>
    <w:p w14:paraId="7A7B612D" w14:textId="77777777" w:rsidR="00347BCA" w:rsidRPr="00681D35" w:rsidRDefault="00347BCA" w:rsidP="003C2906">
      <w:pPr>
        <w:adjustRightInd w:val="0"/>
        <w:snapToGrid w:val="0"/>
        <w:spacing w:line="360" w:lineRule="auto"/>
        <w:jc w:val="both"/>
        <w:rPr>
          <w:rFonts w:ascii="Book Antiqua" w:hAnsi="Book Antiqua"/>
          <w:color w:val="000000" w:themeColor="text1"/>
        </w:rPr>
      </w:pPr>
    </w:p>
    <w:p w14:paraId="6A4BF93A"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color w:val="000000" w:themeColor="text1"/>
        </w:rPr>
        <w:t xml:space="preserve">Tang F </w:t>
      </w:r>
      <w:r w:rsidRPr="00681D35">
        <w:rPr>
          <w:rFonts w:ascii="Book Antiqua" w:eastAsia="Book Antiqua" w:hAnsi="Book Antiqua" w:cs="Book Antiqua"/>
          <w:i/>
          <w:iCs/>
          <w:color w:val="000000" w:themeColor="text1"/>
        </w:rPr>
        <w:t>et al</w:t>
      </w:r>
      <w:r w:rsidRPr="00681D35">
        <w:rPr>
          <w:rFonts w:ascii="Book Antiqua" w:eastAsia="Book Antiqua" w:hAnsi="Book Antiqua" w:cs="Book Antiqua"/>
          <w:color w:val="000000" w:themeColor="text1"/>
        </w:rPr>
        <w:t>. Remimazolam effectiveness in cardiac surgery</w:t>
      </w:r>
    </w:p>
    <w:p w14:paraId="7FA505E6" w14:textId="77777777" w:rsidR="00347BCA" w:rsidRPr="00681D35" w:rsidRDefault="00347BCA" w:rsidP="003C2906">
      <w:pPr>
        <w:adjustRightInd w:val="0"/>
        <w:snapToGrid w:val="0"/>
        <w:spacing w:line="360" w:lineRule="auto"/>
        <w:jc w:val="both"/>
        <w:rPr>
          <w:rFonts w:ascii="Book Antiqua" w:hAnsi="Book Antiqua"/>
          <w:color w:val="000000" w:themeColor="text1"/>
        </w:rPr>
      </w:pPr>
    </w:p>
    <w:p w14:paraId="78E054F8"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color w:val="000000" w:themeColor="text1"/>
        </w:rPr>
        <w:t>Fang Tang, Jian-Min Yi, Hong-Yan Gong, Zi-Yun Lu, Jie Chen, Bei Fang, Chen Chen, Zhi-Yi Liu</w:t>
      </w:r>
    </w:p>
    <w:p w14:paraId="51289738" w14:textId="77777777" w:rsidR="00347BCA" w:rsidRPr="00681D35" w:rsidRDefault="00347BCA" w:rsidP="003C2906">
      <w:pPr>
        <w:adjustRightInd w:val="0"/>
        <w:snapToGrid w:val="0"/>
        <w:spacing w:line="360" w:lineRule="auto"/>
        <w:jc w:val="both"/>
        <w:rPr>
          <w:rFonts w:ascii="Book Antiqua" w:hAnsi="Book Antiqua"/>
          <w:color w:val="000000" w:themeColor="text1"/>
        </w:rPr>
      </w:pPr>
    </w:p>
    <w:p w14:paraId="1D3E1331"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b/>
          <w:bCs/>
          <w:color w:val="000000" w:themeColor="text1"/>
        </w:rPr>
        <w:t>Fang Tang, Jian-Min Yi, Hong-Yan Gong, Zi-Yun Lu, Jie Chen, Bei Fang, Chen Chen, Zhi-Yi Liu</w:t>
      </w:r>
      <w:r w:rsidRPr="00681D35">
        <w:rPr>
          <w:rFonts w:ascii="Book Antiqua" w:hAnsi="Book Antiqua"/>
          <w:b/>
          <w:bCs/>
          <w:color w:val="000000" w:themeColor="text1"/>
          <w:lang w:eastAsia="zh-CN"/>
        </w:rPr>
        <w:t>,</w:t>
      </w:r>
      <w:r w:rsidRPr="00681D35">
        <w:rPr>
          <w:rFonts w:ascii="Book Antiqua" w:eastAsia="Book Antiqua" w:hAnsi="Book Antiqua" w:cs="Book Antiqua"/>
          <w:b/>
          <w:bCs/>
          <w:color w:val="000000" w:themeColor="text1"/>
        </w:rPr>
        <w:t xml:space="preserve"> </w:t>
      </w:r>
      <w:r w:rsidRPr="00681D35">
        <w:rPr>
          <w:rFonts w:ascii="Book Antiqua" w:eastAsia="Book Antiqua" w:hAnsi="Book Antiqua" w:cs="Book Antiqua"/>
          <w:color w:val="000000" w:themeColor="text1"/>
        </w:rPr>
        <w:t>Department of Anesthesiology, The First Affiliated Hospital of Nanchang University, Nanchang 330006, Jiangxi Province, China</w:t>
      </w:r>
    </w:p>
    <w:p w14:paraId="7172FC17" w14:textId="77777777" w:rsidR="00347BCA" w:rsidRPr="00681D35" w:rsidRDefault="00347BCA" w:rsidP="003C2906">
      <w:pPr>
        <w:adjustRightInd w:val="0"/>
        <w:snapToGrid w:val="0"/>
        <w:spacing w:line="360" w:lineRule="auto"/>
        <w:jc w:val="both"/>
        <w:rPr>
          <w:rFonts w:ascii="Book Antiqua" w:hAnsi="Book Antiqua"/>
          <w:color w:val="000000" w:themeColor="text1"/>
        </w:rPr>
      </w:pPr>
    </w:p>
    <w:p w14:paraId="633DEE85" w14:textId="47A68F38"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b/>
          <w:bCs/>
          <w:color w:val="000000" w:themeColor="text1"/>
        </w:rPr>
        <w:t xml:space="preserve">Author contributions: </w:t>
      </w:r>
      <w:r w:rsidRPr="00681D35">
        <w:rPr>
          <w:rFonts w:ascii="Book Antiqua" w:eastAsia="Book Antiqua" w:hAnsi="Book Antiqua" w:cs="Book Antiqua"/>
          <w:color w:val="000000" w:themeColor="text1"/>
        </w:rPr>
        <w:t>Tang F and Yi JM design</w:t>
      </w:r>
      <w:r w:rsidR="00130EF4" w:rsidRPr="00681D35">
        <w:rPr>
          <w:rFonts w:ascii="Book Antiqua" w:eastAsia="Book Antiqua" w:hAnsi="Book Antiqua" w:cs="Book Antiqua"/>
          <w:color w:val="000000" w:themeColor="text1"/>
        </w:rPr>
        <w:t>ed</w:t>
      </w:r>
      <w:r w:rsidRPr="00681D35">
        <w:rPr>
          <w:rFonts w:ascii="Book Antiqua" w:eastAsia="Book Antiqua" w:hAnsi="Book Antiqua" w:cs="Book Antiqua"/>
          <w:color w:val="000000" w:themeColor="text1"/>
        </w:rPr>
        <w:t xml:space="preserve"> the experiment; Gong HY drafted the work</w:t>
      </w:r>
      <w:r w:rsidR="00D23885" w:rsidRPr="00681D35">
        <w:rPr>
          <w:rFonts w:ascii="Book Antiqua" w:eastAsia="Book Antiqua" w:hAnsi="Book Antiqua" w:cs="Book Antiqua"/>
          <w:color w:val="000000" w:themeColor="text1"/>
        </w:rPr>
        <w:t>;</w:t>
      </w:r>
      <w:r w:rsidRPr="00681D35">
        <w:rPr>
          <w:rFonts w:ascii="Book Antiqua" w:eastAsia="Book Antiqua" w:hAnsi="Book Antiqua" w:cs="Book Antiqua"/>
          <w:color w:val="000000" w:themeColor="text1"/>
        </w:rPr>
        <w:t xml:space="preserve"> Lu ZY, Chen J and Fang B collected the data; Chen C and Liu ZY analy</w:t>
      </w:r>
      <w:r w:rsidR="00130EF4" w:rsidRPr="00681D35">
        <w:rPr>
          <w:rFonts w:ascii="Book Antiqua" w:eastAsia="Book Antiqua" w:hAnsi="Book Antiqua" w:cs="Book Antiqua"/>
          <w:color w:val="000000" w:themeColor="text1"/>
        </w:rPr>
        <w:t>z</w:t>
      </w:r>
      <w:r w:rsidRPr="00681D35">
        <w:rPr>
          <w:rFonts w:ascii="Book Antiqua" w:eastAsia="Book Antiqua" w:hAnsi="Book Antiqua" w:cs="Book Antiqua"/>
          <w:color w:val="000000" w:themeColor="text1"/>
        </w:rPr>
        <w:t>ed and interpreted data</w:t>
      </w:r>
      <w:r w:rsidR="00D23885" w:rsidRPr="00681D35">
        <w:rPr>
          <w:rFonts w:ascii="Book Antiqua" w:eastAsia="Book Antiqua" w:hAnsi="Book Antiqua" w:cs="Book Antiqua"/>
          <w:color w:val="000000" w:themeColor="text1"/>
        </w:rPr>
        <w:t>;</w:t>
      </w:r>
      <w:r w:rsidRPr="00681D35">
        <w:rPr>
          <w:rFonts w:ascii="Book Antiqua" w:eastAsia="Book Antiqua" w:hAnsi="Book Antiqua" w:cs="Book Antiqua"/>
          <w:color w:val="000000" w:themeColor="text1"/>
        </w:rPr>
        <w:t xml:space="preserve"> Tang F, Yi JM and Liu ZY wrote the article.</w:t>
      </w:r>
    </w:p>
    <w:p w14:paraId="59F4615F" w14:textId="77777777" w:rsidR="00347BCA" w:rsidRPr="00681D35" w:rsidRDefault="00347BCA" w:rsidP="003C2906">
      <w:pPr>
        <w:adjustRightInd w:val="0"/>
        <w:snapToGrid w:val="0"/>
        <w:spacing w:line="360" w:lineRule="auto"/>
        <w:jc w:val="both"/>
        <w:rPr>
          <w:rFonts w:ascii="Book Antiqua" w:hAnsi="Book Antiqua"/>
          <w:color w:val="000000" w:themeColor="text1"/>
        </w:rPr>
      </w:pPr>
    </w:p>
    <w:p w14:paraId="0F48596C"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b/>
          <w:bCs/>
          <w:color w:val="000000" w:themeColor="text1"/>
        </w:rPr>
        <w:t xml:space="preserve">Corresponding author: Zhi-Yi Liu, MD, Associate Chief Physician, </w:t>
      </w:r>
      <w:r w:rsidRPr="00681D35">
        <w:rPr>
          <w:rFonts w:ascii="Book Antiqua" w:eastAsia="Book Antiqua" w:hAnsi="Book Antiqua" w:cs="Book Antiqua"/>
          <w:color w:val="000000" w:themeColor="text1"/>
        </w:rPr>
        <w:t>Department of Anesthesiology, The First Affiliated Hospital of Nanchang University, No. 17 Yongwai Road, Donghu District, Nanchang 330006, Jiangxi Province, China. xiaoniuniu202107@163.com</w:t>
      </w:r>
    </w:p>
    <w:p w14:paraId="659B4AE4" w14:textId="77777777" w:rsidR="00347BCA" w:rsidRPr="00681D35" w:rsidRDefault="00347BCA" w:rsidP="003C2906">
      <w:pPr>
        <w:adjustRightInd w:val="0"/>
        <w:snapToGrid w:val="0"/>
        <w:spacing w:line="360" w:lineRule="auto"/>
        <w:jc w:val="both"/>
        <w:rPr>
          <w:rFonts w:ascii="Book Antiqua" w:hAnsi="Book Antiqua"/>
          <w:color w:val="000000" w:themeColor="text1"/>
        </w:rPr>
      </w:pPr>
    </w:p>
    <w:p w14:paraId="1194F1AF"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b/>
          <w:bCs/>
          <w:color w:val="000000" w:themeColor="text1"/>
        </w:rPr>
        <w:t xml:space="preserve">Received: </w:t>
      </w:r>
      <w:r w:rsidRPr="00681D35">
        <w:rPr>
          <w:rFonts w:ascii="Book Antiqua" w:eastAsia="Book Antiqua" w:hAnsi="Book Antiqua" w:cs="Book Antiqua"/>
          <w:color w:val="000000" w:themeColor="text1"/>
        </w:rPr>
        <w:t>July 28, 2021</w:t>
      </w:r>
    </w:p>
    <w:p w14:paraId="1A088CC9"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b/>
          <w:bCs/>
          <w:color w:val="000000" w:themeColor="text1"/>
        </w:rPr>
        <w:t xml:space="preserve">Revised: </w:t>
      </w:r>
      <w:r w:rsidRPr="00681D35">
        <w:rPr>
          <w:rFonts w:ascii="Book Antiqua" w:eastAsia="Book Antiqua" w:hAnsi="Book Antiqua" w:cs="Book Antiqua"/>
          <w:color w:val="000000" w:themeColor="text1"/>
        </w:rPr>
        <w:t>August 28, 2021</w:t>
      </w:r>
    </w:p>
    <w:p w14:paraId="550DB610" w14:textId="6F1F424D"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b/>
          <w:bCs/>
          <w:color w:val="000000" w:themeColor="text1"/>
        </w:rPr>
        <w:t xml:space="preserve">Accepted: </w:t>
      </w:r>
      <w:r w:rsidR="00B1618C" w:rsidRPr="00681D35">
        <w:rPr>
          <w:rFonts w:ascii="Book Antiqua" w:eastAsia="Book Antiqua" w:hAnsi="Book Antiqua" w:cs="Book Antiqua"/>
          <w:bCs/>
          <w:color w:val="000000" w:themeColor="text1"/>
        </w:rPr>
        <w:t>October 14, 2021</w:t>
      </w:r>
    </w:p>
    <w:p w14:paraId="25611D07" w14:textId="6DE0E710" w:rsidR="00130EF4" w:rsidRPr="00681D35" w:rsidRDefault="006407D4" w:rsidP="00531090">
      <w:pPr>
        <w:adjustRightInd w:val="0"/>
        <w:snapToGrid w:val="0"/>
        <w:spacing w:line="360" w:lineRule="auto"/>
        <w:jc w:val="both"/>
        <w:rPr>
          <w:rFonts w:ascii="Book Antiqua" w:eastAsia="Book Antiqua" w:hAnsi="Book Antiqua" w:cs="Book Antiqua"/>
          <w:b/>
          <w:bCs/>
          <w:color w:val="000000" w:themeColor="text1"/>
        </w:rPr>
      </w:pPr>
      <w:r w:rsidRPr="00681D35">
        <w:rPr>
          <w:rFonts w:ascii="Book Antiqua" w:eastAsia="Book Antiqua" w:hAnsi="Book Antiqua" w:cs="Book Antiqua"/>
          <w:b/>
          <w:bCs/>
          <w:color w:val="000000" w:themeColor="text1"/>
        </w:rPr>
        <w:t xml:space="preserve">Published online: </w:t>
      </w:r>
      <w:r w:rsidR="00EC6A7D" w:rsidRPr="00681D35">
        <w:rPr>
          <w:rFonts w:ascii="Book Antiqua" w:eastAsia="Book Antiqua" w:hAnsi="Book Antiqua" w:cs="Book Antiqua"/>
          <w:bCs/>
          <w:color w:val="000000"/>
        </w:rPr>
        <w:t>December</w:t>
      </w:r>
      <w:r w:rsidR="00EC6A7D" w:rsidRPr="00681D35">
        <w:rPr>
          <w:rFonts w:ascii="Book Antiqua" w:hAnsi="Book Antiqua" w:cs="Book Antiqua" w:hint="eastAsia"/>
          <w:bCs/>
          <w:color w:val="000000"/>
          <w:lang w:eastAsia="zh-CN"/>
        </w:rPr>
        <w:t xml:space="preserve"> </w:t>
      </w:r>
      <w:r w:rsidR="0089322E" w:rsidRPr="00681D35">
        <w:rPr>
          <w:rFonts w:ascii="Book Antiqua" w:eastAsia="Book Antiqua" w:hAnsi="Book Antiqua" w:cs="Book Antiqua"/>
          <w:bCs/>
          <w:color w:val="000000"/>
        </w:rPr>
        <w:t>6</w:t>
      </w:r>
      <w:r w:rsidR="0089322E" w:rsidRPr="00681D35">
        <w:rPr>
          <w:rFonts w:ascii="Book Antiqua" w:hAnsi="Book Antiqua" w:cs="Book Antiqua" w:hint="eastAsia"/>
          <w:bCs/>
          <w:color w:val="000000"/>
        </w:rPr>
        <w:t>, 2021</w:t>
      </w:r>
    </w:p>
    <w:p w14:paraId="5442C310" w14:textId="77777777" w:rsidR="00531090" w:rsidRPr="00681D35" w:rsidRDefault="00531090" w:rsidP="00531090">
      <w:pPr>
        <w:adjustRightInd w:val="0"/>
        <w:snapToGrid w:val="0"/>
        <w:spacing w:line="360" w:lineRule="auto"/>
        <w:jc w:val="both"/>
        <w:rPr>
          <w:rFonts w:ascii="Book Antiqua" w:eastAsia="Book Antiqua" w:hAnsi="Book Antiqua" w:cs="Book Antiqua"/>
          <w:b/>
          <w:color w:val="000000" w:themeColor="text1"/>
        </w:rPr>
      </w:pPr>
    </w:p>
    <w:p w14:paraId="438D808F" w14:textId="4F0246C0"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b/>
          <w:color w:val="000000" w:themeColor="text1"/>
        </w:rPr>
        <w:lastRenderedPageBreak/>
        <w:t>Abstract</w:t>
      </w:r>
    </w:p>
    <w:p w14:paraId="2689D5A7"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color w:val="000000" w:themeColor="text1"/>
        </w:rPr>
        <w:t>BACKGROUND</w:t>
      </w:r>
    </w:p>
    <w:p w14:paraId="10D62A22" w14:textId="08C51A3A"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color w:val="000000" w:themeColor="text1"/>
        </w:rPr>
        <w:t xml:space="preserve">Sedation with propofol injections is associated with a risk of addiction, but remimazolam benzenesulfonate is a comparable anesthetic </w:t>
      </w:r>
      <w:r w:rsidR="006A0DE3" w:rsidRPr="00681D35">
        <w:rPr>
          <w:rFonts w:ascii="Book Antiqua" w:eastAsia="Book Antiqua" w:hAnsi="Book Antiqua" w:cs="Book Antiqua"/>
          <w:color w:val="000000" w:themeColor="text1"/>
        </w:rPr>
        <w:t>with a</w:t>
      </w:r>
      <w:r w:rsidRPr="00681D35">
        <w:rPr>
          <w:rFonts w:ascii="Book Antiqua" w:eastAsia="Book Antiqua" w:hAnsi="Book Antiqua" w:cs="Book Antiqua"/>
          <w:color w:val="000000" w:themeColor="text1"/>
        </w:rPr>
        <w:t xml:space="preserve"> short elimination half-life and independence from cell P450 enzyme metabolism. Compared to remimazolam, remimazolam benzenesulfonate has a faster effect, is more quickly metabolized, produces inactive metabolites and has weak drug interactions. Thus, remimazolam benzenesulfonate has good effectiveness and safety for diagnostic and operational sedation. </w:t>
      </w:r>
    </w:p>
    <w:p w14:paraId="031B1241" w14:textId="77777777" w:rsidR="00347BCA" w:rsidRPr="00681D35" w:rsidRDefault="00347BCA" w:rsidP="003C2906">
      <w:pPr>
        <w:adjustRightInd w:val="0"/>
        <w:snapToGrid w:val="0"/>
        <w:spacing w:line="360" w:lineRule="auto"/>
        <w:jc w:val="both"/>
        <w:rPr>
          <w:rFonts w:ascii="Book Antiqua" w:hAnsi="Book Antiqua"/>
          <w:color w:val="000000" w:themeColor="text1"/>
        </w:rPr>
      </w:pPr>
    </w:p>
    <w:p w14:paraId="4097E80F"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color w:val="000000" w:themeColor="text1"/>
        </w:rPr>
        <w:t>AIM</w:t>
      </w:r>
    </w:p>
    <w:p w14:paraId="1EAE53E1"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color w:val="000000" w:themeColor="text1"/>
        </w:rPr>
        <w:t>To investigate the clinical value of remimazolam benzenesulfonate in cardiac surgery patients under general anesthesia.</w:t>
      </w:r>
    </w:p>
    <w:p w14:paraId="20D4B3B6" w14:textId="77777777" w:rsidR="00347BCA" w:rsidRPr="00681D35" w:rsidRDefault="00347BCA" w:rsidP="003C2906">
      <w:pPr>
        <w:adjustRightInd w:val="0"/>
        <w:snapToGrid w:val="0"/>
        <w:spacing w:line="360" w:lineRule="auto"/>
        <w:jc w:val="both"/>
        <w:rPr>
          <w:rFonts w:ascii="Book Antiqua" w:hAnsi="Book Antiqua"/>
          <w:color w:val="000000" w:themeColor="text1"/>
        </w:rPr>
      </w:pPr>
    </w:p>
    <w:p w14:paraId="1AFEFFD9"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color w:val="000000" w:themeColor="text1"/>
        </w:rPr>
        <w:t>METHODS</w:t>
      </w:r>
    </w:p>
    <w:p w14:paraId="43A9DA2F" w14:textId="6C9B600E" w:rsidR="00347BCA" w:rsidRPr="00681D35" w:rsidRDefault="006A0DE3"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color w:val="000000" w:themeColor="text1"/>
        </w:rPr>
        <w:t>A t</w:t>
      </w:r>
      <w:r w:rsidR="006407D4" w:rsidRPr="00681D35">
        <w:rPr>
          <w:rFonts w:ascii="Book Antiqua" w:eastAsia="Book Antiqua" w:hAnsi="Book Antiqua" w:cs="Book Antiqua"/>
          <w:color w:val="000000" w:themeColor="text1"/>
        </w:rPr>
        <w:t>otal</w:t>
      </w:r>
      <w:r w:rsidRPr="00681D35">
        <w:rPr>
          <w:rFonts w:ascii="Book Antiqua" w:eastAsia="Book Antiqua" w:hAnsi="Book Antiqua" w:cs="Book Antiqua"/>
          <w:color w:val="000000" w:themeColor="text1"/>
        </w:rPr>
        <w:t xml:space="preserve"> of</w:t>
      </w:r>
      <w:r w:rsidR="006407D4" w:rsidRPr="00681D35">
        <w:rPr>
          <w:rFonts w:ascii="Book Antiqua" w:eastAsia="Book Antiqua" w:hAnsi="Book Antiqua" w:cs="Book Antiqua"/>
          <w:color w:val="000000" w:themeColor="text1"/>
        </w:rPr>
        <w:t xml:space="preserve"> 80 patients who underwent surgery in the Department of Cardiothoracic Surgery from August 2020 to April 2021 were included in the study. Using a random number table, patients were divided into two anesthesia induction groups of 40 patients each: remimazolam (0.3 mg/kg remimazolam benzenesulfonate) and propofol (1.5 mg/kg propofol). Hemodynamic parameters, inflammatory stress response indices, respiratory function indices, perioperative indices and adverse reactions in the two groups were monitored over time for comparison.</w:t>
      </w:r>
    </w:p>
    <w:p w14:paraId="6624194F" w14:textId="77777777" w:rsidR="00347BCA" w:rsidRPr="00681D35" w:rsidRDefault="00347BCA" w:rsidP="003C2906">
      <w:pPr>
        <w:adjustRightInd w:val="0"/>
        <w:snapToGrid w:val="0"/>
        <w:spacing w:line="360" w:lineRule="auto"/>
        <w:jc w:val="both"/>
        <w:rPr>
          <w:rFonts w:ascii="Book Antiqua" w:hAnsi="Book Antiqua"/>
          <w:color w:val="000000" w:themeColor="text1"/>
        </w:rPr>
      </w:pPr>
    </w:p>
    <w:p w14:paraId="11EBDC8B"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color w:val="000000" w:themeColor="text1"/>
        </w:rPr>
        <w:t>RESULTS</w:t>
      </w:r>
    </w:p>
    <w:p w14:paraId="2078891B" w14:textId="3C29BA65"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color w:val="000000" w:themeColor="text1"/>
        </w:rPr>
        <w:t xml:space="preserve">At </w:t>
      </w:r>
      <w:r w:rsidR="009B7A92" w:rsidRPr="00681D35">
        <w:rPr>
          <w:rFonts w:ascii="Book Antiqua" w:eastAsia="Book Antiqua" w:hAnsi="Book Antiqua" w:cs="Book Antiqua"/>
          <w:color w:val="000000" w:themeColor="text1"/>
        </w:rPr>
        <w:t>pre-anesthesia induction</w:t>
      </w:r>
      <w:r w:rsidRPr="00681D35">
        <w:rPr>
          <w:rFonts w:ascii="Book Antiqua" w:eastAsia="Book Antiqua" w:hAnsi="Book Antiqua" w:cs="Book Antiqua"/>
          <w:color w:val="000000" w:themeColor="text1"/>
        </w:rPr>
        <w:t xml:space="preserve">, the remimazolam and propofol groups did not differ regarding heart rate, mean arterial pressure, cardiac index or volume per wave index. </w:t>
      </w:r>
      <w:r w:rsidR="00B9369B" w:rsidRPr="00681D35">
        <w:rPr>
          <w:rFonts w:ascii="Book Antiqua" w:eastAsia="Book Antiqua" w:hAnsi="Book Antiqua" w:cs="Book Antiqua"/>
          <w:color w:val="000000" w:themeColor="text1"/>
        </w:rPr>
        <w:t>After endotracheal intubation</w:t>
      </w:r>
      <w:r w:rsidRPr="00681D35">
        <w:rPr>
          <w:rFonts w:ascii="Book Antiqua" w:eastAsia="Book Antiqua" w:hAnsi="Book Antiqua" w:cs="Book Antiqua"/>
          <w:color w:val="000000" w:themeColor="text1"/>
        </w:rPr>
        <w:t xml:space="preserve"> and </w:t>
      </w:r>
      <w:r w:rsidR="00B9369B" w:rsidRPr="00681D35">
        <w:rPr>
          <w:rFonts w:ascii="Book Antiqua" w:eastAsia="Book Antiqua" w:hAnsi="Book Antiqua" w:cs="Book Antiqua"/>
          <w:color w:val="000000" w:themeColor="text1"/>
        </w:rPr>
        <w:t>when the sternum was cut off</w:t>
      </w:r>
      <w:r w:rsidRPr="00681D35">
        <w:rPr>
          <w:rFonts w:ascii="Book Antiqua" w:eastAsia="Book Antiqua" w:hAnsi="Book Antiqua" w:cs="Book Antiqua"/>
          <w:color w:val="000000" w:themeColor="text1"/>
        </w:rPr>
        <w:t xml:space="preserve">, </w:t>
      </w:r>
      <w:r w:rsidR="001F5484" w:rsidRPr="00681D35">
        <w:rPr>
          <w:rFonts w:ascii="Book Antiqua" w:eastAsia="Book Antiqua" w:hAnsi="Book Antiqua" w:cs="Book Antiqua"/>
          <w:color w:val="000000" w:themeColor="text1"/>
        </w:rPr>
        <w:t>mean arterial pressure</w:t>
      </w:r>
      <w:r w:rsidRPr="00681D35">
        <w:rPr>
          <w:rFonts w:ascii="Book Antiqua" w:eastAsia="Book Antiqua" w:hAnsi="Book Antiqua" w:cs="Book Antiqua"/>
          <w:color w:val="000000" w:themeColor="text1"/>
        </w:rPr>
        <w:t xml:space="preserve"> and </w:t>
      </w:r>
      <w:r w:rsidR="001F5484" w:rsidRPr="00681D35">
        <w:rPr>
          <w:rFonts w:ascii="Book Antiqua" w:eastAsia="Book Antiqua" w:hAnsi="Book Antiqua" w:cs="Book Antiqua"/>
          <w:color w:val="000000" w:themeColor="text1"/>
        </w:rPr>
        <w:t>volume per wave index</w:t>
      </w:r>
      <w:r w:rsidRPr="00681D35">
        <w:rPr>
          <w:rFonts w:ascii="Book Antiqua" w:eastAsia="Book Antiqua" w:hAnsi="Book Antiqua" w:cs="Book Antiqua"/>
          <w:color w:val="000000" w:themeColor="text1"/>
        </w:rPr>
        <w:t xml:space="preserve"> were significantly higher in the remimazolam group than in the propofol group (</w:t>
      </w:r>
      <w:r w:rsidRPr="00681D35">
        <w:rPr>
          <w:rFonts w:ascii="Book Antiqua" w:eastAsia="Book Antiqua" w:hAnsi="Book Antiqua" w:cs="Book Antiqua"/>
          <w:i/>
          <w:iCs/>
          <w:color w:val="000000" w:themeColor="text1"/>
        </w:rPr>
        <w:t>P</w:t>
      </w:r>
      <w:r w:rsidRPr="00681D35">
        <w:rPr>
          <w:rFonts w:ascii="Book Antiqua" w:eastAsia="Book Antiqua" w:hAnsi="Book Antiqua" w:cs="Book Antiqua"/>
          <w:color w:val="000000" w:themeColor="text1"/>
        </w:rPr>
        <w:t xml:space="preserve"> &lt; 0.05). </w:t>
      </w:r>
      <w:r w:rsidR="00B9369B" w:rsidRPr="00681D35">
        <w:rPr>
          <w:rFonts w:ascii="Book Antiqua" w:eastAsia="Book Antiqua" w:hAnsi="Book Antiqua" w:cs="Book Antiqua"/>
          <w:color w:val="000000" w:themeColor="text1"/>
        </w:rPr>
        <w:t>After endotracheal intubation</w:t>
      </w:r>
      <w:r w:rsidRPr="00681D35">
        <w:rPr>
          <w:rFonts w:ascii="Book Antiqua" w:eastAsia="Book Antiqua" w:hAnsi="Book Antiqua" w:cs="Book Antiqua"/>
          <w:color w:val="000000" w:themeColor="text1"/>
        </w:rPr>
        <w:t>, the oxygenation index and the respiratory index did not differ between the groups. A</w:t>
      </w:r>
      <w:r w:rsidR="00B9369B" w:rsidRPr="00681D35">
        <w:rPr>
          <w:rFonts w:ascii="Book Antiqua" w:eastAsia="Book Antiqua" w:hAnsi="Book Antiqua" w:cs="Book Antiqua"/>
          <w:color w:val="000000" w:themeColor="text1"/>
        </w:rPr>
        <w:t>fter endotracheal intubation</w:t>
      </w:r>
      <w:r w:rsidRPr="00681D35">
        <w:rPr>
          <w:rFonts w:ascii="Book Antiqua" w:eastAsia="Book Antiqua" w:hAnsi="Book Antiqua" w:cs="Book Antiqua"/>
          <w:color w:val="000000" w:themeColor="text1"/>
        </w:rPr>
        <w:t xml:space="preserve"> and </w:t>
      </w:r>
      <w:r w:rsidR="00B9369B" w:rsidRPr="00681D35">
        <w:rPr>
          <w:rFonts w:ascii="Book Antiqua" w:eastAsia="Book Antiqua" w:hAnsi="Book Antiqua" w:cs="Book Antiqua"/>
          <w:color w:val="000000" w:themeColor="text1"/>
        </w:rPr>
        <w:t>when the sternum was cut off</w:t>
      </w:r>
      <w:r w:rsidRPr="00681D35">
        <w:rPr>
          <w:rFonts w:ascii="Book Antiqua" w:eastAsia="Book Antiqua" w:hAnsi="Book Antiqua" w:cs="Book Antiqua"/>
          <w:color w:val="000000" w:themeColor="text1"/>
        </w:rPr>
        <w:t xml:space="preserve">, the </w:t>
      </w:r>
      <w:r w:rsidR="00F32336" w:rsidRPr="00681D35">
        <w:rPr>
          <w:rFonts w:ascii="Book Antiqua" w:eastAsia="Book Antiqua" w:hAnsi="Book Antiqua" w:cs="Book Antiqua"/>
          <w:color w:val="000000" w:themeColor="text1"/>
        </w:rPr>
        <w:t xml:space="preserve">oxygenation </w:t>
      </w:r>
      <w:r w:rsidR="00F32336" w:rsidRPr="00681D35">
        <w:rPr>
          <w:rFonts w:ascii="Book Antiqua" w:eastAsia="Book Antiqua" w:hAnsi="Book Antiqua" w:cs="Book Antiqua"/>
          <w:color w:val="000000" w:themeColor="text1"/>
        </w:rPr>
        <w:lastRenderedPageBreak/>
        <w:t>index</w:t>
      </w:r>
      <w:r w:rsidRPr="00681D35">
        <w:rPr>
          <w:rFonts w:ascii="Book Antiqua" w:eastAsia="Book Antiqua" w:hAnsi="Book Antiqua" w:cs="Book Antiqua"/>
          <w:color w:val="000000" w:themeColor="text1"/>
        </w:rPr>
        <w:t xml:space="preserve"> values were significantly higher in the remimazolam group than in the propofol group (</w:t>
      </w:r>
      <w:r w:rsidRPr="00681D35">
        <w:rPr>
          <w:rFonts w:ascii="Book Antiqua" w:eastAsia="Book Antiqua" w:hAnsi="Book Antiqua" w:cs="Book Antiqua"/>
          <w:i/>
          <w:iCs/>
          <w:color w:val="000000" w:themeColor="text1"/>
        </w:rPr>
        <w:t>P</w:t>
      </w:r>
      <w:r w:rsidRPr="00681D35">
        <w:rPr>
          <w:rFonts w:ascii="Book Antiqua" w:eastAsia="Book Antiqua" w:hAnsi="Book Antiqua" w:cs="Book Antiqua"/>
          <w:color w:val="000000" w:themeColor="text1"/>
        </w:rPr>
        <w:t xml:space="preserve"> &lt; 0.05). Serum interleukin-6 and tumor necrosis factor-α levels 12 h after surgery were significantly higher than before surgery in both groups (</w:t>
      </w:r>
      <w:r w:rsidRPr="00681D35">
        <w:rPr>
          <w:rFonts w:ascii="Book Antiqua" w:eastAsia="Book Antiqua" w:hAnsi="Book Antiqua" w:cs="Book Antiqua"/>
          <w:i/>
          <w:iCs/>
          <w:color w:val="000000" w:themeColor="text1"/>
        </w:rPr>
        <w:t>P</w:t>
      </w:r>
      <w:r w:rsidRPr="00681D35">
        <w:rPr>
          <w:rFonts w:ascii="Book Antiqua" w:eastAsia="Book Antiqua" w:hAnsi="Book Antiqua" w:cs="Book Antiqua"/>
          <w:color w:val="000000" w:themeColor="text1"/>
        </w:rPr>
        <w:t xml:space="preserve"> &lt; 0.05). The observation indices were re</w:t>
      </w:r>
      <w:r w:rsidR="00F32336" w:rsidRPr="00681D35">
        <w:rPr>
          <w:rFonts w:ascii="Book Antiqua" w:eastAsia="Book Antiqua" w:hAnsi="Book Antiqua" w:cs="Book Antiqua"/>
          <w:color w:val="000000" w:themeColor="text1"/>
        </w:rPr>
        <w:t>-</w:t>
      </w:r>
      <w:r w:rsidRPr="00681D35">
        <w:rPr>
          <w:rFonts w:ascii="Book Antiqua" w:eastAsia="Book Antiqua" w:hAnsi="Book Antiqua" w:cs="Book Antiqua"/>
          <w:color w:val="000000" w:themeColor="text1"/>
        </w:rPr>
        <w:t>examined 2 h after surgery, and the epinephrine, cortisol and blood glucose levels were significantly higher in the remimazolam group than in the propofol group (</w:t>
      </w:r>
      <w:r w:rsidRPr="00681D35">
        <w:rPr>
          <w:rFonts w:ascii="Book Antiqua" w:eastAsia="Book Antiqua" w:hAnsi="Book Antiqua" w:cs="Book Antiqua"/>
          <w:i/>
          <w:iCs/>
          <w:color w:val="000000" w:themeColor="text1"/>
        </w:rPr>
        <w:t>P</w:t>
      </w:r>
      <w:r w:rsidRPr="00681D35">
        <w:rPr>
          <w:rFonts w:ascii="Book Antiqua" w:eastAsia="Book Antiqua" w:hAnsi="Book Antiqua" w:cs="Book Antiqua"/>
          <w:color w:val="000000" w:themeColor="text1"/>
        </w:rPr>
        <w:t xml:space="preserve"> &lt; 0.05). The recovery and extubation times were significantly lower in the remimazolam group than in the propofol group (</w:t>
      </w:r>
      <w:r w:rsidRPr="00681D35">
        <w:rPr>
          <w:rFonts w:ascii="Book Antiqua" w:eastAsia="Book Antiqua" w:hAnsi="Book Antiqua" w:cs="Book Antiqua"/>
          <w:i/>
          <w:iCs/>
          <w:color w:val="000000" w:themeColor="text1"/>
        </w:rPr>
        <w:t>P</w:t>
      </w:r>
      <w:r w:rsidRPr="00681D35">
        <w:rPr>
          <w:rFonts w:ascii="Book Antiqua" w:eastAsia="Book Antiqua" w:hAnsi="Book Antiqua" w:cs="Book Antiqua"/>
          <w:color w:val="000000" w:themeColor="text1"/>
        </w:rPr>
        <w:t xml:space="preserve"> &lt; 0.05); there were significantly fewer adverse reactions in the remimazolam group (10.00%) than in the propofol group (30.00%; </w:t>
      </w:r>
      <w:r w:rsidRPr="00681D35">
        <w:rPr>
          <w:rFonts w:ascii="Book Antiqua" w:eastAsia="Book Antiqua" w:hAnsi="Book Antiqua" w:cs="Book Antiqua"/>
          <w:i/>
          <w:iCs/>
          <w:color w:val="000000" w:themeColor="text1"/>
        </w:rPr>
        <w:t>P</w:t>
      </w:r>
      <w:r w:rsidRPr="00681D35">
        <w:rPr>
          <w:rFonts w:ascii="Book Antiqua" w:eastAsia="Book Antiqua" w:hAnsi="Book Antiqua" w:cs="Book Antiqua"/>
          <w:color w:val="000000" w:themeColor="text1"/>
        </w:rPr>
        <w:t xml:space="preserve"> &lt; 0.05). </w:t>
      </w:r>
    </w:p>
    <w:p w14:paraId="4B3084A9" w14:textId="77777777" w:rsidR="00347BCA" w:rsidRPr="00681D35" w:rsidRDefault="00347BCA" w:rsidP="003C2906">
      <w:pPr>
        <w:adjustRightInd w:val="0"/>
        <w:snapToGrid w:val="0"/>
        <w:spacing w:line="360" w:lineRule="auto"/>
        <w:jc w:val="both"/>
        <w:rPr>
          <w:rFonts w:ascii="Book Antiqua" w:hAnsi="Book Antiqua"/>
          <w:color w:val="000000" w:themeColor="text1"/>
        </w:rPr>
      </w:pPr>
    </w:p>
    <w:p w14:paraId="1F5E158C"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color w:val="000000" w:themeColor="text1"/>
        </w:rPr>
        <w:t>CONCLUSION</w:t>
      </w:r>
    </w:p>
    <w:p w14:paraId="776D60A4"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color w:val="000000" w:themeColor="text1"/>
        </w:rPr>
        <w:t>Compared with propofol, remimazolam benzenesulfonate benefited cardiac surgery patients under general anesthesia by reducing hemodynamic fluctuations. Remimazolam benzenesulfonate influenced the surgical stress response and respiratory function, thereby reducing anesthesia-related adverse reactions.</w:t>
      </w:r>
    </w:p>
    <w:p w14:paraId="3A216A0A" w14:textId="77777777" w:rsidR="00347BCA" w:rsidRPr="00681D35" w:rsidRDefault="00347BCA" w:rsidP="003C2906">
      <w:pPr>
        <w:adjustRightInd w:val="0"/>
        <w:snapToGrid w:val="0"/>
        <w:spacing w:line="360" w:lineRule="auto"/>
        <w:jc w:val="both"/>
        <w:rPr>
          <w:rFonts w:ascii="Book Antiqua" w:hAnsi="Book Antiqua"/>
          <w:color w:val="000000" w:themeColor="text1"/>
        </w:rPr>
      </w:pPr>
    </w:p>
    <w:p w14:paraId="2EEDE237"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b/>
          <w:bCs/>
          <w:color w:val="000000" w:themeColor="text1"/>
        </w:rPr>
        <w:t xml:space="preserve">Key Words: </w:t>
      </w:r>
      <w:r w:rsidRPr="00681D35">
        <w:rPr>
          <w:rFonts w:ascii="Book Antiqua" w:eastAsia="Book Antiqua" w:hAnsi="Book Antiqua" w:cs="Book Antiqua"/>
          <w:color w:val="000000" w:themeColor="text1"/>
        </w:rPr>
        <w:t>Anesthesia; Thoracic surgery; Cardiac surgery; Cardiopulmonary bypass; Hemodynamics; Propofol; Drug-related side effects; Adverse reactions</w:t>
      </w:r>
    </w:p>
    <w:p w14:paraId="106D079A" w14:textId="77777777" w:rsidR="00681D35" w:rsidRPr="00681D35" w:rsidRDefault="00681D35" w:rsidP="00681D35">
      <w:pPr>
        <w:spacing w:line="360" w:lineRule="auto"/>
        <w:rPr>
          <w:rFonts w:ascii="Book Antiqua" w:hAnsi="Book Antiqua" w:cs="Book Antiqua"/>
          <w:b/>
          <w:color w:val="000000"/>
        </w:rPr>
      </w:pPr>
    </w:p>
    <w:p w14:paraId="41C954BE" w14:textId="77777777" w:rsidR="00681D35" w:rsidRPr="00681D35" w:rsidRDefault="00681D35" w:rsidP="00681D35">
      <w:pPr>
        <w:spacing w:line="360" w:lineRule="auto"/>
        <w:rPr>
          <w:rFonts w:ascii="Book Antiqua" w:eastAsia="Book Antiqua" w:hAnsi="Book Antiqua" w:cs="Book Antiqua"/>
          <w:color w:val="000000"/>
        </w:rPr>
      </w:pPr>
      <w:r w:rsidRPr="00681D35">
        <w:rPr>
          <w:rFonts w:ascii="Book Antiqua" w:eastAsia="Book Antiqua" w:hAnsi="Book Antiqua" w:cs="Book Antiqua"/>
          <w:b/>
          <w:color w:val="000000"/>
        </w:rPr>
        <w:t>©The</w:t>
      </w:r>
      <w:r w:rsidRPr="00681D35">
        <w:rPr>
          <w:rFonts w:ascii="Book Antiqua" w:eastAsia="Book Antiqua" w:hAnsi="Book Antiqua" w:cs="Book Antiqua"/>
          <w:color w:val="000000"/>
        </w:rPr>
        <w:t xml:space="preserve"> </w:t>
      </w:r>
      <w:r w:rsidRPr="00681D35">
        <w:rPr>
          <w:rFonts w:ascii="Book Antiqua" w:eastAsia="Book Antiqua" w:hAnsi="Book Antiqua" w:cs="Book Antiqua"/>
          <w:b/>
          <w:color w:val="000000"/>
        </w:rPr>
        <w:t xml:space="preserve">Author(s) 2021. </w:t>
      </w:r>
      <w:r w:rsidRPr="00681D35">
        <w:rPr>
          <w:rFonts w:ascii="Book Antiqua" w:eastAsia="Book Antiqua" w:hAnsi="Book Antiqua" w:cs="Book Antiqua"/>
          <w:color w:val="000000"/>
        </w:rPr>
        <w:t xml:space="preserve">Published by Baishideng Publishing Group Inc. All rights reserved. </w:t>
      </w:r>
    </w:p>
    <w:p w14:paraId="770C36FD" w14:textId="77777777" w:rsidR="00347BCA" w:rsidRPr="00681D35" w:rsidRDefault="00347BCA" w:rsidP="003C2906">
      <w:pPr>
        <w:adjustRightInd w:val="0"/>
        <w:snapToGrid w:val="0"/>
        <w:spacing w:line="360" w:lineRule="auto"/>
        <w:jc w:val="both"/>
        <w:rPr>
          <w:rFonts w:ascii="Book Antiqua" w:hAnsi="Book Antiqua"/>
          <w:color w:val="000000" w:themeColor="text1"/>
        </w:rPr>
      </w:pPr>
    </w:p>
    <w:p w14:paraId="453AC9C7" w14:textId="72352975" w:rsidR="00681D35" w:rsidRPr="00681D35" w:rsidRDefault="00681D35" w:rsidP="003C2906">
      <w:pPr>
        <w:adjustRightInd w:val="0"/>
        <w:snapToGrid w:val="0"/>
        <w:spacing w:line="360" w:lineRule="auto"/>
        <w:jc w:val="both"/>
        <w:rPr>
          <w:rFonts w:ascii="Book Antiqua" w:hAnsi="Book Antiqua" w:hint="eastAsia"/>
          <w:lang w:eastAsia="zh-CN"/>
        </w:rPr>
      </w:pPr>
      <w:r w:rsidRPr="00681D35">
        <w:rPr>
          <w:rFonts w:ascii="Book Antiqua" w:eastAsia="Book Antiqua" w:hAnsi="Book Antiqua" w:cs="Book Antiqua"/>
          <w:b/>
          <w:color w:val="000000"/>
        </w:rPr>
        <w:t xml:space="preserve">Citation: </w:t>
      </w:r>
      <w:r w:rsidR="006407D4" w:rsidRPr="00681D35">
        <w:rPr>
          <w:rFonts w:ascii="Book Antiqua" w:eastAsia="Book Antiqua" w:hAnsi="Book Antiqua" w:cs="Book Antiqua"/>
          <w:color w:val="000000" w:themeColor="text1"/>
        </w:rPr>
        <w:t xml:space="preserve">Tang F, Yi JM, Gong HY, Lu ZY, Chen J, Fang B, Chen C, Liu ZY. Remimazolam benzenesulfonate anesthesia effectiveness in cardiac surgery patients under general anesthesia. </w:t>
      </w:r>
      <w:r w:rsidR="006407D4" w:rsidRPr="00681D35">
        <w:rPr>
          <w:rFonts w:ascii="Book Antiqua" w:eastAsia="Book Antiqua" w:hAnsi="Book Antiqua" w:cs="Book Antiqua"/>
          <w:i/>
          <w:iCs/>
          <w:color w:val="000000" w:themeColor="text1"/>
        </w:rPr>
        <w:t>World J Clin Cases</w:t>
      </w:r>
      <w:r w:rsidR="006407D4" w:rsidRPr="00681D35">
        <w:rPr>
          <w:rFonts w:ascii="Book Antiqua" w:eastAsia="Book Antiqua" w:hAnsi="Book Antiqua" w:cs="Book Antiqua"/>
          <w:color w:val="000000" w:themeColor="text1"/>
        </w:rPr>
        <w:t xml:space="preserve"> </w:t>
      </w:r>
      <w:r w:rsidR="00B04C2A" w:rsidRPr="00681D35">
        <w:rPr>
          <w:rFonts w:ascii="Book Antiqua" w:hAnsi="Book Antiqua"/>
        </w:rPr>
        <w:t>202</w:t>
      </w:r>
      <w:r w:rsidR="00B04C2A" w:rsidRPr="00681D35">
        <w:rPr>
          <w:rFonts w:ascii="Book Antiqua" w:hAnsi="Book Antiqua" w:hint="eastAsia"/>
          <w:lang w:eastAsia="zh-CN"/>
        </w:rPr>
        <w:t>1</w:t>
      </w:r>
      <w:r w:rsidR="00B04C2A" w:rsidRPr="00681D35">
        <w:rPr>
          <w:rFonts w:ascii="Book Antiqua" w:hAnsi="Book Antiqua"/>
        </w:rPr>
        <w:t xml:space="preserve">; </w:t>
      </w:r>
      <w:r w:rsidR="00B04C2A" w:rsidRPr="00681D35">
        <w:rPr>
          <w:rFonts w:ascii="Book Antiqua" w:hAnsi="Book Antiqua" w:hint="eastAsia"/>
          <w:lang w:eastAsia="zh-CN"/>
        </w:rPr>
        <w:t>9</w:t>
      </w:r>
      <w:r w:rsidR="00B04C2A" w:rsidRPr="00681D35">
        <w:rPr>
          <w:rFonts w:ascii="Book Antiqua" w:hAnsi="Book Antiqua"/>
        </w:rPr>
        <w:t>(</w:t>
      </w:r>
      <w:r w:rsidR="00B04C2A" w:rsidRPr="00681D35">
        <w:rPr>
          <w:rFonts w:ascii="Book Antiqua" w:hAnsi="Book Antiqua" w:hint="eastAsia"/>
          <w:lang w:eastAsia="zh-CN"/>
        </w:rPr>
        <w:t>34</w:t>
      </w:r>
      <w:r w:rsidR="00B04C2A" w:rsidRPr="00681D35">
        <w:rPr>
          <w:rFonts w:ascii="Book Antiqua" w:hAnsi="Book Antiqua"/>
        </w:rPr>
        <w:t xml:space="preserve">): </w:t>
      </w:r>
      <w:r w:rsidR="00004024" w:rsidRPr="00681D35">
        <w:rPr>
          <w:rFonts w:ascii="Book Antiqua" w:hAnsi="Book Antiqua" w:hint="eastAsia"/>
          <w:lang w:eastAsia="zh-CN"/>
        </w:rPr>
        <w:t>10595-10603</w:t>
      </w:r>
      <w:r w:rsidR="00B04C2A" w:rsidRPr="00681D35">
        <w:rPr>
          <w:rFonts w:ascii="Book Antiqua" w:hAnsi="Book Antiqua"/>
        </w:rPr>
        <w:t xml:space="preserve"> </w:t>
      </w:r>
    </w:p>
    <w:p w14:paraId="4889626C" w14:textId="7B5BB9AC" w:rsidR="00681D35" w:rsidRPr="00681D35" w:rsidRDefault="00B04C2A" w:rsidP="003C2906">
      <w:pPr>
        <w:adjustRightInd w:val="0"/>
        <w:snapToGrid w:val="0"/>
        <w:spacing w:line="360" w:lineRule="auto"/>
        <w:jc w:val="both"/>
        <w:rPr>
          <w:rFonts w:ascii="Book Antiqua" w:hAnsi="Book Antiqua" w:hint="eastAsia"/>
          <w:lang w:eastAsia="zh-CN"/>
        </w:rPr>
      </w:pPr>
      <w:r w:rsidRPr="00681D35">
        <w:rPr>
          <w:rFonts w:ascii="Book Antiqua" w:hAnsi="Book Antiqua"/>
        </w:rPr>
        <w:t>URL: https://www.wjgnet.com/2307-8960/full/v</w:t>
      </w:r>
      <w:r w:rsidRPr="00681D35">
        <w:rPr>
          <w:rFonts w:ascii="Book Antiqua" w:hAnsi="Book Antiqua" w:hint="eastAsia"/>
          <w:lang w:eastAsia="zh-CN"/>
        </w:rPr>
        <w:t>9</w:t>
      </w:r>
      <w:r w:rsidRPr="00681D35">
        <w:rPr>
          <w:rFonts w:ascii="Book Antiqua" w:hAnsi="Book Antiqua"/>
        </w:rPr>
        <w:t>/i</w:t>
      </w:r>
      <w:r w:rsidRPr="00681D35">
        <w:rPr>
          <w:rFonts w:ascii="Book Antiqua" w:hAnsi="Book Antiqua" w:hint="eastAsia"/>
          <w:lang w:eastAsia="zh-CN"/>
        </w:rPr>
        <w:t>34</w:t>
      </w:r>
      <w:r w:rsidRPr="00681D35">
        <w:rPr>
          <w:rFonts w:ascii="Book Antiqua" w:hAnsi="Book Antiqua"/>
        </w:rPr>
        <w:t>/</w:t>
      </w:r>
      <w:r w:rsidR="00681D35" w:rsidRPr="00681D35">
        <w:rPr>
          <w:rFonts w:ascii="Book Antiqua" w:hAnsi="Book Antiqua"/>
        </w:rPr>
        <w:t>10595</w:t>
      </w:r>
      <w:r w:rsidRPr="00681D35">
        <w:rPr>
          <w:rFonts w:ascii="Book Antiqua" w:hAnsi="Book Antiqua"/>
        </w:rPr>
        <w:t xml:space="preserve">.htm  </w:t>
      </w:r>
    </w:p>
    <w:p w14:paraId="2AA66E0A" w14:textId="5991B0DC" w:rsidR="00347BCA" w:rsidRPr="00681D35" w:rsidRDefault="00B04C2A" w:rsidP="003C2906">
      <w:pPr>
        <w:adjustRightInd w:val="0"/>
        <w:snapToGrid w:val="0"/>
        <w:spacing w:line="360" w:lineRule="auto"/>
        <w:jc w:val="both"/>
        <w:rPr>
          <w:rFonts w:ascii="Book Antiqua" w:hAnsi="Book Antiqua"/>
          <w:color w:val="000000" w:themeColor="text1"/>
        </w:rPr>
      </w:pPr>
      <w:r w:rsidRPr="00681D35">
        <w:rPr>
          <w:rFonts w:ascii="Book Antiqua" w:hAnsi="Book Antiqua"/>
        </w:rPr>
        <w:t>DOI: https://dx.doi.org/10.12998/wjcc.v</w:t>
      </w:r>
      <w:r w:rsidRPr="00681D35">
        <w:rPr>
          <w:rFonts w:ascii="Book Antiqua" w:hAnsi="Book Antiqua" w:hint="eastAsia"/>
          <w:lang w:eastAsia="zh-CN"/>
        </w:rPr>
        <w:t>9</w:t>
      </w:r>
      <w:r w:rsidRPr="00681D35">
        <w:rPr>
          <w:rFonts w:ascii="Book Antiqua" w:hAnsi="Book Antiqua"/>
        </w:rPr>
        <w:t>.i</w:t>
      </w:r>
      <w:r w:rsidRPr="00681D35">
        <w:rPr>
          <w:rFonts w:ascii="Book Antiqua" w:hAnsi="Book Antiqua" w:hint="eastAsia"/>
          <w:lang w:eastAsia="zh-CN"/>
        </w:rPr>
        <w:t>34</w:t>
      </w:r>
      <w:r w:rsidRPr="00681D35">
        <w:rPr>
          <w:rFonts w:ascii="Book Antiqua" w:hAnsi="Book Antiqua"/>
        </w:rPr>
        <w:t>.</w:t>
      </w:r>
      <w:r w:rsidR="00681D35" w:rsidRPr="00681D35">
        <w:rPr>
          <w:rFonts w:ascii="Book Antiqua" w:hAnsi="Book Antiqua"/>
        </w:rPr>
        <w:t>10595</w:t>
      </w:r>
    </w:p>
    <w:p w14:paraId="4DD83F49" w14:textId="77777777" w:rsidR="00347BCA" w:rsidRPr="00681D35" w:rsidRDefault="00347BCA" w:rsidP="003C2906">
      <w:pPr>
        <w:adjustRightInd w:val="0"/>
        <w:snapToGrid w:val="0"/>
        <w:spacing w:line="360" w:lineRule="auto"/>
        <w:jc w:val="both"/>
        <w:rPr>
          <w:rFonts w:ascii="Book Antiqua" w:hAnsi="Book Antiqua"/>
          <w:color w:val="000000" w:themeColor="text1"/>
        </w:rPr>
      </w:pPr>
    </w:p>
    <w:p w14:paraId="19235E04" w14:textId="77777777" w:rsidR="00531090" w:rsidRPr="00681D35" w:rsidRDefault="006407D4" w:rsidP="003C2906">
      <w:pPr>
        <w:adjustRightInd w:val="0"/>
        <w:snapToGrid w:val="0"/>
        <w:spacing w:line="360" w:lineRule="auto"/>
        <w:jc w:val="both"/>
        <w:rPr>
          <w:rFonts w:ascii="Book Antiqua" w:eastAsia="Book Antiqua" w:hAnsi="Book Antiqua" w:cs="Book Antiqua"/>
          <w:color w:val="000000" w:themeColor="text1"/>
        </w:rPr>
      </w:pPr>
      <w:r w:rsidRPr="00681D35">
        <w:rPr>
          <w:rFonts w:ascii="Book Antiqua" w:eastAsia="Book Antiqua" w:hAnsi="Book Antiqua" w:cs="Book Antiqua"/>
          <w:b/>
          <w:bCs/>
          <w:color w:val="000000" w:themeColor="text1"/>
        </w:rPr>
        <w:t xml:space="preserve">Core Tip: </w:t>
      </w:r>
      <w:r w:rsidRPr="00681D35">
        <w:rPr>
          <w:rFonts w:ascii="Book Antiqua" w:eastAsia="Book Antiqua" w:hAnsi="Book Antiqua" w:cs="Book Antiqua"/>
          <w:color w:val="000000" w:themeColor="text1"/>
        </w:rPr>
        <w:t xml:space="preserve">Remimazolam benzenesulfonate anesthesia has good effectiveness and safety for diagnostic and operational sedation but has not been evaluated for cardiac surgery. This study investigated the clinical value of remimazolam benzenesulfonate </w:t>
      </w:r>
      <w:r w:rsidRPr="00681D35">
        <w:rPr>
          <w:rFonts w:ascii="Book Antiqua" w:eastAsia="Book Antiqua" w:hAnsi="Book Antiqua" w:cs="Book Antiqua"/>
          <w:color w:val="000000" w:themeColor="text1"/>
        </w:rPr>
        <w:lastRenderedPageBreak/>
        <w:t>in cardiac surgery patients under general anesthesia. Compared with propofol, remimazolam benzenesulfonate benefitted cardiac surgery patients under general anesthesia by reducing hemodynamic fluctuations and influencing the surgical stress response and respiratory function, thereby reducing anesthesia-related adverse reactions.</w:t>
      </w:r>
    </w:p>
    <w:p w14:paraId="6321AA03" w14:textId="77777777" w:rsidR="00531090" w:rsidRPr="00681D35" w:rsidRDefault="00531090" w:rsidP="003C2906">
      <w:pPr>
        <w:adjustRightInd w:val="0"/>
        <w:snapToGrid w:val="0"/>
        <w:spacing w:line="360" w:lineRule="auto"/>
        <w:jc w:val="both"/>
        <w:rPr>
          <w:rFonts w:ascii="Book Antiqua" w:eastAsia="Book Antiqua" w:hAnsi="Book Antiqua" w:cs="Book Antiqua"/>
          <w:color w:val="000000" w:themeColor="text1"/>
        </w:rPr>
      </w:pPr>
    </w:p>
    <w:p w14:paraId="21D407A7" w14:textId="7CDA70AD"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b/>
          <w:caps/>
          <w:color w:val="000000" w:themeColor="text1"/>
          <w:u w:val="single"/>
        </w:rPr>
        <w:t>INTRODUCTION</w:t>
      </w:r>
    </w:p>
    <w:p w14:paraId="5E365A1F" w14:textId="6E1919F2"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color w:val="000000" w:themeColor="text1"/>
        </w:rPr>
        <w:t>Open heart surgery under cardiopulmonary bypass (CPB) is the most traumatic surgery conducted in the clinic</w:t>
      </w:r>
      <w:r w:rsidRPr="00681D35">
        <w:rPr>
          <w:rFonts w:ascii="Book Antiqua" w:eastAsia="Book Antiqua" w:hAnsi="Book Antiqua" w:cs="Book Antiqua"/>
          <w:color w:val="000000" w:themeColor="text1"/>
          <w:vertAlign w:val="superscript"/>
        </w:rPr>
        <w:t>[1]</w:t>
      </w:r>
      <w:r w:rsidRPr="00681D35">
        <w:rPr>
          <w:rFonts w:ascii="Book Antiqua" w:eastAsia="Book Antiqua" w:hAnsi="Book Antiqua" w:cs="Book Antiqua"/>
          <w:color w:val="000000" w:themeColor="text1"/>
        </w:rPr>
        <w:t>. When CPB begins, the catecholamine concentration decreases due to the change in the blood perfusion pattern and decrease in blood viscosity, increasing the breadth of anesthesia. Consequently, the patient’s blood pressure decreases. As CPB time increases, the patient’s stress response leads to increased catecholamine secretion and blood viscosity, thereby increasing blood pressure</w:t>
      </w:r>
      <w:r w:rsidRPr="00681D35">
        <w:rPr>
          <w:rFonts w:ascii="Book Antiqua" w:eastAsia="Book Antiqua" w:hAnsi="Book Antiqua" w:cs="Book Antiqua"/>
          <w:color w:val="000000" w:themeColor="text1"/>
          <w:vertAlign w:val="superscript"/>
        </w:rPr>
        <w:t>[2,3]</w:t>
      </w:r>
      <w:r w:rsidRPr="00681D35">
        <w:rPr>
          <w:rFonts w:ascii="Book Antiqua" w:eastAsia="Book Antiqua" w:hAnsi="Book Antiqua" w:cs="Book Antiqua"/>
          <w:color w:val="000000" w:themeColor="text1"/>
        </w:rPr>
        <w:t>. There are different levels of cardiac dysfunction and hemodynamic changes in patients undergoing cardiac surgery. Cardiovascular reserve function in these patients is damaged, making it difficult for them to withstand the effects of anesthetics on circulatory function. Meanwhile, endotracheal intubation during surgery causes a stress response, which is not conducive to effective anesthesia induction</w:t>
      </w:r>
      <w:r w:rsidRPr="00681D35">
        <w:rPr>
          <w:rFonts w:ascii="Book Antiqua" w:eastAsia="Book Antiqua" w:hAnsi="Book Antiqua" w:cs="Book Antiqua"/>
          <w:color w:val="000000" w:themeColor="text1"/>
          <w:vertAlign w:val="superscript"/>
        </w:rPr>
        <w:t>[4]</w:t>
      </w:r>
      <w:r w:rsidRPr="00681D35">
        <w:rPr>
          <w:rFonts w:ascii="Book Antiqua" w:eastAsia="Book Antiqua" w:hAnsi="Book Antiqua" w:cs="Book Antiqua"/>
          <w:color w:val="000000" w:themeColor="text1"/>
        </w:rPr>
        <w:t>. Therefore, to maintain a good depth of anesthesia, understanding how to avoid excessive excitation and sympathetic and parasympathetic nerve inhibition while maintaining hemodynamic stability is key. Thus, choosing suitable anesthesia methods and drugs is crucial. Remimazolam benzenesulfonate, a novel benzodiazepine, is an ultra-short-acting sedative and anesthetic drug that acts on the central γ-aminobutyric acid type A receptor to open channels and increase the influx of chloride ions to hyperpolarize nerve membranes and inhibit neuronal activity. Therefore, remimazolam benzenesulfonate is fast-acting and quickly metabolized, making it safe and effective</w:t>
      </w:r>
      <w:r w:rsidRPr="00681D35">
        <w:rPr>
          <w:rFonts w:ascii="Book Antiqua" w:eastAsia="Book Antiqua" w:hAnsi="Book Antiqua" w:cs="Book Antiqua"/>
          <w:color w:val="000000" w:themeColor="text1"/>
          <w:vertAlign w:val="superscript"/>
        </w:rPr>
        <w:t>[5,6]</w:t>
      </w:r>
      <w:r w:rsidRPr="00681D35">
        <w:rPr>
          <w:rFonts w:ascii="Book Antiqua" w:eastAsia="Book Antiqua" w:hAnsi="Book Antiqua" w:cs="Book Antiqua"/>
          <w:color w:val="000000" w:themeColor="text1"/>
        </w:rPr>
        <w:t>. Our study explored the clinical application of remimazolam benzenesulfonate in cardiac surgery patients under general anesthesia.</w:t>
      </w:r>
    </w:p>
    <w:p w14:paraId="662C49E6" w14:textId="77777777" w:rsidR="00347BCA" w:rsidRPr="00681D35" w:rsidRDefault="00347BCA" w:rsidP="003C2906">
      <w:pPr>
        <w:adjustRightInd w:val="0"/>
        <w:snapToGrid w:val="0"/>
        <w:spacing w:line="360" w:lineRule="auto"/>
        <w:jc w:val="both"/>
        <w:rPr>
          <w:rFonts w:ascii="Book Antiqua" w:hAnsi="Book Antiqua"/>
          <w:color w:val="000000" w:themeColor="text1"/>
        </w:rPr>
      </w:pPr>
    </w:p>
    <w:p w14:paraId="4C1BF94F"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b/>
          <w:caps/>
          <w:color w:val="000000" w:themeColor="text1"/>
          <w:u w:val="single"/>
        </w:rPr>
        <w:t>MATERIALS AND METHODS</w:t>
      </w:r>
    </w:p>
    <w:p w14:paraId="68383618" w14:textId="77777777" w:rsidR="00347BCA" w:rsidRPr="00681D35" w:rsidRDefault="006407D4" w:rsidP="003C2906">
      <w:pPr>
        <w:adjustRightInd w:val="0"/>
        <w:snapToGrid w:val="0"/>
        <w:spacing w:line="360" w:lineRule="auto"/>
        <w:jc w:val="both"/>
        <w:rPr>
          <w:rFonts w:ascii="Book Antiqua" w:hAnsi="Book Antiqua"/>
          <w:i/>
          <w:iCs/>
          <w:color w:val="000000" w:themeColor="text1"/>
        </w:rPr>
      </w:pPr>
      <w:r w:rsidRPr="00681D35">
        <w:rPr>
          <w:rFonts w:ascii="Book Antiqua" w:eastAsia="Book Antiqua" w:hAnsi="Book Antiqua" w:cs="Book Antiqua"/>
          <w:b/>
          <w:bCs/>
          <w:i/>
          <w:iCs/>
          <w:color w:val="000000" w:themeColor="text1"/>
        </w:rPr>
        <w:lastRenderedPageBreak/>
        <w:t>Baseline data</w:t>
      </w:r>
    </w:p>
    <w:p w14:paraId="4F803439" w14:textId="0CA530C0"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color w:val="000000" w:themeColor="text1"/>
        </w:rPr>
        <w:t>In total, 80 patients who underwent surgery in the Department of Cardiothoracic Surgery from August 2020 to April 2021 were included. Patients were divided into two anesthesia groups (remimazolam and propofol) of 40 patients each using a random number table. Patients were included if they were between 19 and 75 years of age, required heart valve replacement surgery by the same medical staff at our hospital, were classified as American Society of Anesthesiologists grades I-III, had a total surgery time of less than 7 h and had normal preoperative liver, kidney and circulation functions. Patients were excluded if they had coagulation dysfunction, hypertension, anemia, acute myocardial infarction, viral myocarditis, atrioventricular block, cerebrovascular disease or poor blood glucose control.</w:t>
      </w:r>
    </w:p>
    <w:p w14:paraId="04605211" w14:textId="77777777" w:rsidR="00347BCA" w:rsidRPr="00681D35" w:rsidRDefault="006407D4" w:rsidP="003C2906">
      <w:pPr>
        <w:adjustRightInd w:val="0"/>
        <w:snapToGrid w:val="0"/>
        <w:spacing w:line="360" w:lineRule="auto"/>
        <w:ind w:firstLineChars="100" w:firstLine="240"/>
        <w:jc w:val="both"/>
        <w:rPr>
          <w:rFonts w:ascii="Book Antiqua" w:hAnsi="Book Antiqua"/>
          <w:color w:val="000000" w:themeColor="text1"/>
        </w:rPr>
      </w:pPr>
      <w:r w:rsidRPr="00681D35">
        <w:rPr>
          <w:rFonts w:ascii="Book Antiqua" w:eastAsia="Book Antiqua" w:hAnsi="Book Antiqua" w:cs="Book Antiqua"/>
          <w:color w:val="000000" w:themeColor="text1"/>
        </w:rPr>
        <w:t>Before commencement, the study plan was approved by the Medical Ethics Committee of our hospital, and the patients and their families signed informed consent forms.</w:t>
      </w:r>
    </w:p>
    <w:p w14:paraId="7E39041A" w14:textId="77777777" w:rsidR="00347BCA" w:rsidRPr="00681D35" w:rsidRDefault="00347BCA" w:rsidP="003C2906">
      <w:pPr>
        <w:adjustRightInd w:val="0"/>
        <w:snapToGrid w:val="0"/>
        <w:spacing w:line="360" w:lineRule="auto"/>
        <w:jc w:val="both"/>
        <w:rPr>
          <w:rFonts w:ascii="Book Antiqua" w:hAnsi="Book Antiqua"/>
          <w:color w:val="000000" w:themeColor="text1"/>
        </w:rPr>
      </w:pPr>
    </w:p>
    <w:p w14:paraId="6C5F66E8" w14:textId="77777777" w:rsidR="00347BCA" w:rsidRPr="00681D35" w:rsidRDefault="006407D4" w:rsidP="003C2906">
      <w:pPr>
        <w:adjustRightInd w:val="0"/>
        <w:snapToGrid w:val="0"/>
        <w:spacing w:line="360" w:lineRule="auto"/>
        <w:jc w:val="both"/>
        <w:rPr>
          <w:rFonts w:ascii="Book Antiqua" w:hAnsi="Book Antiqua"/>
          <w:i/>
          <w:iCs/>
          <w:color w:val="000000" w:themeColor="text1"/>
        </w:rPr>
      </w:pPr>
      <w:r w:rsidRPr="00681D35">
        <w:rPr>
          <w:rFonts w:ascii="Book Antiqua" w:eastAsia="Book Antiqua" w:hAnsi="Book Antiqua" w:cs="Book Antiqua"/>
          <w:b/>
          <w:bCs/>
          <w:i/>
          <w:iCs/>
          <w:color w:val="000000" w:themeColor="text1"/>
        </w:rPr>
        <w:t>Anesthesia methods</w:t>
      </w:r>
    </w:p>
    <w:p w14:paraId="22FBD017" w14:textId="384BE601"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color w:val="000000" w:themeColor="text1"/>
        </w:rPr>
        <w:t>The remimazolam group received 0.3 mg/kg of remimazolam benzenesulfonate (Yichang Renfu Pharmaceutical Group Co. Ltd., Yichang, Hubei, China) for anesthesia induction within 30 s. If the bispectral index value was ≤ 60, then 0.2 mg/kg of cisatracurium (Jiangsu Hengrui Pharmaceutical Co. Ltd., Jiangsu Province, China) and 4 μg/kg of fentanyl (Yichang Renfu Pharmaceutical Co. Ltd.) were intravenously injected. Endotracheal intubation was performed after meeting the condition.</w:t>
      </w:r>
    </w:p>
    <w:p w14:paraId="316AB4EF" w14:textId="3310B41E" w:rsidR="00347BCA" w:rsidRPr="00681D35" w:rsidRDefault="006407D4" w:rsidP="003C2906">
      <w:pPr>
        <w:adjustRightInd w:val="0"/>
        <w:snapToGrid w:val="0"/>
        <w:spacing w:line="360" w:lineRule="auto"/>
        <w:ind w:firstLineChars="100" w:firstLine="240"/>
        <w:jc w:val="both"/>
        <w:rPr>
          <w:rFonts w:ascii="Book Antiqua" w:hAnsi="Book Antiqua"/>
          <w:color w:val="000000" w:themeColor="text1"/>
        </w:rPr>
      </w:pPr>
      <w:r w:rsidRPr="00681D35">
        <w:rPr>
          <w:rFonts w:ascii="Book Antiqua" w:eastAsia="Book Antiqua" w:hAnsi="Book Antiqua" w:cs="Book Antiqua"/>
          <w:color w:val="000000" w:themeColor="text1"/>
        </w:rPr>
        <w:t xml:space="preserve">The propofol group received 1.5 mg/kg of propofol (Xi’an Libang Pharmaceutical Co., Ltd., Xi’an, Shaanxi, China) for anesthesia induction within 30 s. If </w:t>
      </w:r>
      <w:r w:rsidR="00DD3DDC" w:rsidRPr="00681D35">
        <w:rPr>
          <w:rFonts w:ascii="Book Antiqua" w:eastAsia="Book Antiqua" w:hAnsi="Book Antiqua" w:cs="Book Antiqua"/>
          <w:color w:val="000000" w:themeColor="text1"/>
        </w:rPr>
        <w:t>bispectral index</w:t>
      </w:r>
      <w:r w:rsidRPr="00681D35">
        <w:rPr>
          <w:rFonts w:ascii="Book Antiqua" w:eastAsia="Book Antiqua" w:hAnsi="Book Antiqua" w:cs="Book Antiqua"/>
          <w:color w:val="000000" w:themeColor="text1"/>
        </w:rPr>
        <w:t xml:space="preserve"> value was ≤ 60, then 0.2 mg/kg of cisatracurium</w:t>
      </w:r>
      <w:r w:rsidR="00BE2FC7" w:rsidRPr="00681D35">
        <w:rPr>
          <w:rFonts w:ascii="Book Antiqua" w:eastAsia="Book Antiqua" w:hAnsi="Book Antiqua" w:cs="Book Antiqua"/>
          <w:color w:val="000000" w:themeColor="text1"/>
        </w:rPr>
        <w:t xml:space="preserve"> and</w:t>
      </w:r>
      <w:r w:rsidRPr="00681D35">
        <w:rPr>
          <w:rFonts w:ascii="Book Antiqua" w:eastAsia="Book Antiqua" w:hAnsi="Book Antiqua" w:cs="Book Antiqua"/>
          <w:color w:val="000000" w:themeColor="text1"/>
        </w:rPr>
        <w:t xml:space="preserve"> then 4 μg/kg of fentanyl were intravenously injected. Endotracheal intubation was performed after meeting the condition.</w:t>
      </w:r>
    </w:p>
    <w:p w14:paraId="65ABFF9A" w14:textId="77777777" w:rsidR="00347BCA" w:rsidRPr="00681D35" w:rsidRDefault="00347BCA" w:rsidP="003C2906">
      <w:pPr>
        <w:adjustRightInd w:val="0"/>
        <w:snapToGrid w:val="0"/>
        <w:spacing w:line="360" w:lineRule="auto"/>
        <w:jc w:val="both"/>
        <w:rPr>
          <w:rFonts w:ascii="Book Antiqua" w:hAnsi="Book Antiqua"/>
          <w:color w:val="000000" w:themeColor="text1"/>
        </w:rPr>
      </w:pPr>
    </w:p>
    <w:p w14:paraId="12799B6D" w14:textId="77777777" w:rsidR="00347BCA" w:rsidRPr="00681D35" w:rsidRDefault="006407D4" w:rsidP="003C2906">
      <w:pPr>
        <w:adjustRightInd w:val="0"/>
        <w:snapToGrid w:val="0"/>
        <w:spacing w:line="360" w:lineRule="auto"/>
        <w:jc w:val="both"/>
        <w:rPr>
          <w:rFonts w:ascii="Book Antiqua" w:hAnsi="Book Antiqua"/>
          <w:i/>
          <w:iCs/>
          <w:color w:val="000000" w:themeColor="text1"/>
        </w:rPr>
      </w:pPr>
      <w:r w:rsidRPr="00681D35">
        <w:rPr>
          <w:rFonts w:ascii="Book Antiqua" w:eastAsia="Book Antiqua" w:hAnsi="Book Antiqua" w:cs="Book Antiqua"/>
          <w:b/>
          <w:bCs/>
          <w:i/>
          <w:iCs/>
          <w:color w:val="000000" w:themeColor="text1"/>
        </w:rPr>
        <w:t>Observation indices and detection methods</w:t>
      </w:r>
    </w:p>
    <w:p w14:paraId="5E4C6E53" w14:textId="6620C898"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color w:val="000000" w:themeColor="text1"/>
        </w:rPr>
        <w:lastRenderedPageBreak/>
        <w:t>Heart rate (HR), mean arterial pressure (MAP), cardiac index, volume per wave index (SVI), respiratory index (RI), oxygenation index (OI), serum interleukin-6 (IL-6) level, tumor necrosis factor alpha (TNF</w:t>
      </w:r>
      <w:r w:rsidRPr="00681D35">
        <w:rPr>
          <w:rFonts w:ascii="Book Antiqua" w:hAnsi="Book Antiqua" w:cs="Book Antiqua"/>
          <w:color w:val="000000" w:themeColor="text1"/>
          <w:lang w:eastAsia="zh-CN"/>
        </w:rPr>
        <w:t>-α</w:t>
      </w:r>
      <w:r w:rsidRPr="00681D35">
        <w:rPr>
          <w:rFonts w:ascii="Book Antiqua" w:eastAsia="Book Antiqua" w:hAnsi="Book Antiqua" w:cs="Book Antiqua"/>
          <w:color w:val="000000" w:themeColor="text1"/>
        </w:rPr>
        <w:t>), norepinephrine (NE) level, epinephrine (E) level, cortisol (COR) level and blood glucose (GLU) level were measured preoperatively and 12 h postoperatively. Perioperative indicators, such as operative time, operative blood loss, intraoperative urine volume, CPB turnaround time, ascending aorta occlusion time, recovery time, extubation time, fluid volume and fentanyl dosage, were also recorded. Adverse reaction incidences were also recorded at different times [pre-anesthesia induction, after endotracheal intubation (T1), when the sternum was cut off (T2</w:t>
      </w:r>
      <w:r w:rsidRPr="00681D35">
        <w:rPr>
          <w:rFonts w:ascii="Book Antiqua" w:eastAsia="宋体" w:hAnsi="Book Antiqua" w:cs="宋体"/>
          <w:color w:val="000000" w:themeColor="text1"/>
          <w:lang w:eastAsia="zh-CN"/>
        </w:rPr>
        <w:t>)</w:t>
      </w:r>
      <w:r w:rsidRPr="00681D35">
        <w:rPr>
          <w:rFonts w:ascii="Book Antiqua" w:eastAsia="Book Antiqua" w:hAnsi="Book Antiqua" w:cs="Book Antiqua"/>
          <w:color w:val="000000" w:themeColor="text1"/>
        </w:rPr>
        <w:t xml:space="preserve"> and when the machine was shut down] to compare the two groups.</w:t>
      </w:r>
    </w:p>
    <w:p w14:paraId="35315C2A" w14:textId="12BC4D8E" w:rsidR="00347BCA" w:rsidRPr="00681D35" w:rsidRDefault="006407D4" w:rsidP="003C2906">
      <w:pPr>
        <w:adjustRightInd w:val="0"/>
        <w:snapToGrid w:val="0"/>
        <w:spacing w:line="360" w:lineRule="auto"/>
        <w:ind w:firstLineChars="100" w:firstLine="240"/>
        <w:jc w:val="both"/>
        <w:rPr>
          <w:rFonts w:ascii="Book Antiqua" w:hAnsi="Book Antiqua"/>
          <w:color w:val="000000" w:themeColor="text1"/>
        </w:rPr>
      </w:pPr>
      <w:r w:rsidRPr="00681D35">
        <w:rPr>
          <w:rFonts w:ascii="Book Antiqua" w:eastAsia="Book Antiqua" w:hAnsi="Book Antiqua" w:cs="Book Antiqua"/>
          <w:color w:val="000000" w:themeColor="text1"/>
        </w:rPr>
        <w:t>Not all patients needed medication before surgery. During the operation, an HP multifunction monitor (Philips Medical Systems, Germany) continuously monitored the patient’s hemodynamic parameters</w:t>
      </w:r>
      <w:r w:rsidR="00D41D48" w:rsidRPr="00681D35">
        <w:rPr>
          <w:rFonts w:ascii="Book Antiqua" w:eastAsia="Book Antiqua" w:hAnsi="Book Antiqua" w:cs="Book Antiqua"/>
          <w:color w:val="000000" w:themeColor="text1"/>
        </w:rPr>
        <w:t>,</w:t>
      </w:r>
      <w:r w:rsidRPr="00681D35">
        <w:rPr>
          <w:rFonts w:ascii="Book Antiqua" w:eastAsia="Book Antiqua" w:hAnsi="Book Antiqua" w:cs="Book Antiqua"/>
          <w:color w:val="000000" w:themeColor="text1"/>
        </w:rPr>
        <w:t xml:space="preserve"> and GLU values were measured by arterial blood gas analysis. At each time point, 4 mL of arterial blood was extracted and centrifuged in a centrifuge with an 18-cm radius at a rotation speed of 2500 r/min for 15 min. The serum was separated and then stored at -20 °C. Serum testing was performed using a </w:t>
      </w:r>
      <w:r w:rsidR="00B94AD0" w:rsidRPr="00681D35">
        <w:rPr>
          <w:rFonts w:ascii="Book Antiqua" w:eastAsia="Book Antiqua" w:hAnsi="Book Antiqua" w:cs="Book Antiqua"/>
          <w:color w:val="000000" w:themeColor="text1"/>
        </w:rPr>
        <w:t>k</w:t>
      </w:r>
      <w:r w:rsidRPr="00681D35">
        <w:rPr>
          <w:rFonts w:ascii="Book Antiqua" w:eastAsia="Book Antiqua" w:hAnsi="Book Antiqua" w:cs="Book Antiqua"/>
          <w:color w:val="000000" w:themeColor="text1"/>
        </w:rPr>
        <w:t>it (Beijing North Institute of Biotechnology), following the manufacturer’s instructions. NE and E plasma concentrations were determined by high-performance liquid chromatography.</w:t>
      </w:r>
      <w:r w:rsidRPr="00681D35">
        <w:rPr>
          <w:rFonts w:ascii="Book Antiqua" w:hAnsi="Book Antiqua"/>
          <w:color w:val="000000" w:themeColor="text1"/>
          <w:lang w:eastAsia="zh-CN"/>
        </w:rPr>
        <w:t xml:space="preserve"> </w:t>
      </w:r>
      <w:r w:rsidRPr="00681D35">
        <w:rPr>
          <w:rFonts w:ascii="Book Antiqua" w:eastAsia="Book Antiqua" w:hAnsi="Book Antiqua" w:cs="Book Antiqua"/>
          <w:color w:val="000000" w:themeColor="text1"/>
        </w:rPr>
        <w:t>The RI and OI were calculated as follows:</w:t>
      </w:r>
      <w:r w:rsidRPr="00681D35">
        <w:rPr>
          <w:rFonts w:ascii="Book Antiqua" w:hAnsi="Book Antiqua"/>
          <w:color w:val="000000" w:themeColor="text1"/>
          <w:lang w:eastAsia="zh-CN"/>
        </w:rPr>
        <w:t xml:space="preserve"> </w:t>
      </w:r>
      <w:r w:rsidRPr="00681D35">
        <w:rPr>
          <w:rFonts w:ascii="Book Antiqua" w:eastAsia="Book Antiqua" w:hAnsi="Book Antiqua" w:cs="Book Antiqua"/>
          <w:color w:val="000000" w:themeColor="text1"/>
        </w:rPr>
        <w:t>OI = PaO</w:t>
      </w:r>
      <w:r w:rsidRPr="00681D35">
        <w:rPr>
          <w:rFonts w:ascii="Book Antiqua" w:eastAsia="Book Antiqua" w:hAnsi="Book Antiqua" w:cs="Book Antiqua"/>
          <w:color w:val="000000" w:themeColor="text1"/>
          <w:vertAlign w:val="subscript"/>
        </w:rPr>
        <w:t>2</w:t>
      </w:r>
      <w:r w:rsidRPr="00681D35">
        <w:rPr>
          <w:rFonts w:ascii="Book Antiqua" w:eastAsia="Book Antiqua" w:hAnsi="Book Antiqua" w:cs="Book Antiqua"/>
          <w:color w:val="000000" w:themeColor="text1"/>
        </w:rPr>
        <w:t>/FiO</w:t>
      </w:r>
      <w:r w:rsidRPr="00681D35">
        <w:rPr>
          <w:rFonts w:ascii="Book Antiqua" w:eastAsia="Book Antiqua" w:hAnsi="Book Antiqua" w:cs="Book Antiqua"/>
          <w:color w:val="000000" w:themeColor="text1"/>
          <w:vertAlign w:val="subscript"/>
        </w:rPr>
        <w:t>2</w:t>
      </w:r>
      <w:r w:rsidRPr="00681D35">
        <w:rPr>
          <w:rFonts w:ascii="Book Antiqua" w:eastAsia="Book Antiqua" w:hAnsi="Book Antiqua" w:cs="Book Antiqua"/>
          <w:color w:val="000000" w:themeColor="text1"/>
        </w:rPr>
        <w:t>; RI = P (A-a) O</w:t>
      </w:r>
      <w:r w:rsidRPr="00681D35">
        <w:rPr>
          <w:rFonts w:ascii="Book Antiqua" w:eastAsia="Book Antiqua" w:hAnsi="Book Antiqua" w:cs="Book Antiqua"/>
          <w:color w:val="000000" w:themeColor="text1"/>
          <w:vertAlign w:val="subscript"/>
        </w:rPr>
        <w:t>2</w:t>
      </w:r>
      <w:r w:rsidRPr="00681D35">
        <w:rPr>
          <w:rFonts w:ascii="Book Antiqua" w:eastAsia="Book Antiqua" w:hAnsi="Book Antiqua" w:cs="Book Antiqua"/>
          <w:color w:val="000000" w:themeColor="text1"/>
        </w:rPr>
        <w:t>/PaO</w:t>
      </w:r>
      <w:r w:rsidRPr="00681D35">
        <w:rPr>
          <w:rFonts w:ascii="Book Antiqua" w:eastAsia="Book Antiqua" w:hAnsi="Book Antiqua" w:cs="Book Antiqua"/>
          <w:color w:val="000000" w:themeColor="text1"/>
          <w:vertAlign w:val="subscript"/>
        </w:rPr>
        <w:t>2</w:t>
      </w:r>
      <w:r w:rsidRPr="00681D35">
        <w:rPr>
          <w:rFonts w:ascii="Book Antiqua" w:eastAsia="Book Antiqua" w:hAnsi="Book Antiqua" w:cs="Book Antiqua"/>
          <w:color w:val="000000" w:themeColor="text1"/>
        </w:rPr>
        <w:t>.</w:t>
      </w:r>
    </w:p>
    <w:p w14:paraId="41A99452" w14:textId="77777777" w:rsidR="00347BCA" w:rsidRPr="00681D35" w:rsidRDefault="00347BCA" w:rsidP="003C2906">
      <w:pPr>
        <w:adjustRightInd w:val="0"/>
        <w:snapToGrid w:val="0"/>
        <w:spacing w:line="360" w:lineRule="auto"/>
        <w:jc w:val="both"/>
        <w:rPr>
          <w:rFonts w:ascii="Book Antiqua" w:hAnsi="Book Antiqua"/>
          <w:color w:val="000000" w:themeColor="text1"/>
        </w:rPr>
      </w:pPr>
    </w:p>
    <w:p w14:paraId="21ABD832" w14:textId="77777777" w:rsidR="00347BCA" w:rsidRPr="00681D35" w:rsidRDefault="006407D4" w:rsidP="003C2906">
      <w:pPr>
        <w:adjustRightInd w:val="0"/>
        <w:snapToGrid w:val="0"/>
        <w:spacing w:line="360" w:lineRule="auto"/>
        <w:jc w:val="both"/>
        <w:rPr>
          <w:rFonts w:ascii="Book Antiqua" w:hAnsi="Book Antiqua"/>
          <w:i/>
          <w:iCs/>
          <w:color w:val="000000" w:themeColor="text1"/>
        </w:rPr>
      </w:pPr>
      <w:r w:rsidRPr="00681D35">
        <w:rPr>
          <w:rFonts w:ascii="Book Antiqua" w:eastAsia="Book Antiqua" w:hAnsi="Book Antiqua" w:cs="Book Antiqua"/>
          <w:b/>
          <w:bCs/>
          <w:i/>
          <w:iCs/>
          <w:color w:val="000000" w:themeColor="text1"/>
        </w:rPr>
        <w:t>Statistical analyses</w:t>
      </w:r>
    </w:p>
    <w:p w14:paraId="5891B7CD" w14:textId="50D0A7EF"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color w:val="000000" w:themeColor="text1"/>
        </w:rPr>
        <w:t xml:space="preserve">The estimated HR, MAP, </w:t>
      </w:r>
      <w:r w:rsidR="004B71CB" w:rsidRPr="00681D35">
        <w:rPr>
          <w:rFonts w:ascii="Book Antiqua" w:eastAsia="Book Antiqua" w:hAnsi="Book Antiqua" w:cs="Book Antiqua"/>
          <w:color w:val="000000" w:themeColor="text1"/>
        </w:rPr>
        <w:t>cardiac index</w:t>
      </w:r>
      <w:r w:rsidRPr="00681D35">
        <w:rPr>
          <w:rFonts w:ascii="Book Antiqua" w:eastAsia="Book Antiqua" w:hAnsi="Book Antiqua" w:cs="Book Antiqua"/>
          <w:color w:val="000000" w:themeColor="text1"/>
        </w:rPr>
        <w:t xml:space="preserve"> and SVI values were tested by normal distribution test, and all were in line with approximately normal distribution or normal distribution, represented by mean ± </w:t>
      </w:r>
      <w:r w:rsidR="00531090" w:rsidRPr="00681D35">
        <w:rPr>
          <w:rFonts w:ascii="Book Antiqua" w:eastAsia="Book Antiqua" w:hAnsi="Book Antiqua" w:cs="Book Antiqua"/>
          <w:color w:val="000000" w:themeColor="text1"/>
        </w:rPr>
        <w:t>SD</w:t>
      </w:r>
      <w:r w:rsidRPr="00681D35">
        <w:rPr>
          <w:rFonts w:ascii="Book Antiqua" w:eastAsia="Book Antiqua" w:hAnsi="Book Antiqua" w:cs="Book Antiqua"/>
          <w:color w:val="000000" w:themeColor="text1"/>
        </w:rPr>
        <w:t xml:space="preserve">; </w:t>
      </w:r>
      <w:r w:rsidRPr="00681D35">
        <w:rPr>
          <w:rFonts w:ascii="Book Antiqua" w:eastAsia="Book Antiqua" w:hAnsi="Book Antiqua" w:cs="Book Antiqua"/>
          <w:i/>
          <w:iCs/>
          <w:color w:val="000000" w:themeColor="text1"/>
        </w:rPr>
        <w:t>t</w:t>
      </w:r>
      <w:r w:rsidRPr="00681D35">
        <w:rPr>
          <w:rFonts w:ascii="Book Antiqua" w:eastAsia="Book Antiqua" w:hAnsi="Book Antiqua" w:cs="Book Antiqua"/>
          <w:color w:val="000000" w:themeColor="text1"/>
        </w:rPr>
        <w:t xml:space="preserve">-tests were performed for comparisons between the groups. Enumeration data are expressed as percentages, and the </w:t>
      </w:r>
      <w:r w:rsidRPr="00681D35">
        <w:rPr>
          <w:rFonts w:ascii="Book Antiqua" w:eastAsia="Book Antiqua" w:hAnsi="Book Antiqua" w:cs="Book Antiqua"/>
          <w:i/>
          <w:iCs/>
          <w:color w:val="000000" w:themeColor="text1"/>
        </w:rPr>
        <w:t>χ</w:t>
      </w:r>
      <w:r w:rsidRPr="00681D35">
        <w:rPr>
          <w:rFonts w:ascii="Book Antiqua" w:eastAsia="Book Antiqua" w:hAnsi="Book Antiqua" w:cs="Book Antiqua"/>
          <w:color w:val="000000" w:themeColor="text1"/>
          <w:vertAlign w:val="superscript"/>
        </w:rPr>
        <w:t>2</w:t>
      </w:r>
      <w:r w:rsidRPr="00681D35">
        <w:rPr>
          <w:rFonts w:ascii="Book Antiqua" w:eastAsia="Book Antiqua" w:hAnsi="Book Antiqua" w:cs="Book Antiqua"/>
          <w:color w:val="000000" w:themeColor="text1"/>
        </w:rPr>
        <w:t xml:space="preserve"> test was performed for comparison. SPSS version 21.0 (BM Corp., Armonk, NY, U</w:t>
      </w:r>
      <w:r w:rsidR="00B94AD0" w:rsidRPr="00681D35">
        <w:rPr>
          <w:rFonts w:ascii="Book Antiqua" w:eastAsia="Book Antiqua" w:hAnsi="Book Antiqua" w:cs="Book Antiqua"/>
          <w:color w:val="000000" w:themeColor="text1"/>
        </w:rPr>
        <w:t xml:space="preserve">nited </w:t>
      </w:r>
      <w:r w:rsidRPr="00681D35">
        <w:rPr>
          <w:rFonts w:ascii="Book Antiqua" w:eastAsia="Book Antiqua" w:hAnsi="Book Antiqua" w:cs="Book Antiqua"/>
          <w:color w:val="000000" w:themeColor="text1"/>
        </w:rPr>
        <w:t>S</w:t>
      </w:r>
      <w:r w:rsidR="00B94AD0" w:rsidRPr="00681D35">
        <w:rPr>
          <w:rFonts w:ascii="Book Antiqua" w:eastAsia="Book Antiqua" w:hAnsi="Book Antiqua" w:cs="Book Antiqua"/>
          <w:color w:val="000000" w:themeColor="text1"/>
        </w:rPr>
        <w:t>tates</w:t>
      </w:r>
      <w:r w:rsidRPr="00681D35">
        <w:rPr>
          <w:rFonts w:ascii="Book Antiqua" w:eastAsia="Book Antiqua" w:hAnsi="Book Antiqua" w:cs="Book Antiqua"/>
          <w:color w:val="000000" w:themeColor="text1"/>
        </w:rPr>
        <w:t>) was used for data processing with a test level of α = 0.05.</w:t>
      </w:r>
    </w:p>
    <w:p w14:paraId="694511CE" w14:textId="77777777" w:rsidR="00347BCA" w:rsidRPr="00681D35" w:rsidRDefault="00347BCA" w:rsidP="003C2906">
      <w:pPr>
        <w:adjustRightInd w:val="0"/>
        <w:snapToGrid w:val="0"/>
        <w:spacing w:line="360" w:lineRule="auto"/>
        <w:jc w:val="both"/>
        <w:rPr>
          <w:rFonts w:ascii="Book Antiqua" w:hAnsi="Book Antiqua"/>
          <w:color w:val="000000" w:themeColor="text1"/>
        </w:rPr>
      </w:pPr>
    </w:p>
    <w:p w14:paraId="19C8FFFA"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b/>
          <w:caps/>
          <w:color w:val="000000" w:themeColor="text1"/>
          <w:u w:val="single"/>
        </w:rPr>
        <w:t>RESULTS</w:t>
      </w:r>
    </w:p>
    <w:p w14:paraId="4F10E220" w14:textId="77777777" w:rsidR="00347BCA" w:rsidRPr="00681D35" w:rsidRDefault="006407D4" w:rsidP="003C2906">
      <w:pPr>
        <w:adjustRightInd w:val="0"/>
        <w:snapToGrid w:val="0"/>
        <w:spacing w:line="360" w:lineRule="auto"/>
        <w:jc w:val="both"/>
        <w:rPr>
          <w:rFonts w:ascii="Book Antiqua" w:hAnsi="Book Antiqua"/>
          <w:i/>
          <w:iCs/>
          <w:color w:val="000000" w:themeColor="text1"/>
        </w:rPr>
      </w:pPr>
      <w:r w:rsidRPr="00681D35">
        <w:rPr>
          <w:rFonts w:ascii="Book Antiqua" w:eastAsia="Book Antiqua" w:hAnsi="Book Antiqua" w:cs="Book Antiqua"/>
          <w:b/>
          <w:bCs/>
          <w:i/>
          <w:iCs/>
          <w:color w:val="000000" w:themeColor="text1"/>
        </w:rPr>
        <w:lastRenderedPageBreak/>
        <w:t>Comparison of baseline conditions</w:t>
      </w:r>
    </w:p>
    <w:p w14:paraId="55BFCA54" w14:textId="3D3D43D9" w:rsidR="00347BCA" w:rsidRPr="00681D35" w:rsidRDefault="006407D4" w:rsidP="003C2906">
      <w:pPr>
        <w:adjustRightInd w:val="0"/>
        <w:snapToGrid w:val="0"/>
        <w:spacing w:line="360" w:lineRule="auto"/>
        <w:jc w:val="both"/>
        <w:rPr>
          <w:rFonts w:ascii="Book Antiqua" w:eastAsia="Book Antiqua" w:hAnsi="Book Antiqua" w:cs="Book Antiqua"/>
          <w:color w:val="000000" w:themeColor="text1"/>
        </w:rPr>
      </w:pPr>
      <w:r w:rsidRPr="00681D35">
        <w:rPr>
          <w:rFonts w:ascii="Book Antiqua" w:eastAsia="Book Antiqua" w:hAnsi="Book Antiqua" w:cs="Book Antiqua"/>
          <w:color w:val="000000" w:themeColor="text1"/>
        </w:rPr>
        <w:t xml:space="preserve">Age, body mass index, blood pressure, HR, GLU, gender and the </w:t>
      </w:r>
      <w:r w:rsidR="00A56FF1" w:rsidRPr="00681D35">
        <w:rPr>
          <w:rFonts w:ascii="Book Antiqua" w:eastAsia="Book Antiqua" w:hAnsi="Book Antiqua" w:cs="Book Antiqua"/>
          <w:color w:val="000000" w:themeColor="text1"/>
        </w:rPr>
        <w:t>American Society of Anesthesiologists</w:t>
      </w:r>
      <w:r w:rsidRPr="00681D35">
        <w:rPr>
          <w:rFonts w:ascii="Book Antiqua" w:eastAsia="Book Antiqua" w:hAnsi="Book Antiqua" w:cs="Book Antiqua"/>
          <w:color w:val="000000" w:themeColor="text1"/>
        </w:rPr>
        <w:t xml:space="preserve"> grade did not differ between the remimazolam and propofol groups (</w:t>
      </w:r>
      <w:r w:rsidRPr="00681D35">
        <w:rPr>
          <w:rFonts w:ascii="Book Antiqua" w:eastAsia="Book Antiqua" w:hAnsi="Book Antiqua" w:cs="Book Antiqua"/>
          <w:i/>
          <w:iCs/>
          <w:color w:val="000000" w:themeColor="text1"/>
        </w:rPr>
        <w:t>P</w:t>
      </w:r>
      <w:r w:rsidRPr="00681D35">
        <w:rPr>
          <w:rFonts w:ascii="Book Antiqua" w:eastAsia="Book Antiqua" w:hAnsi="Book Antiqua" w:cs="Book Antiqua"/>
          <w:color w:val="000000" w:themeColor="text1"/>
        </w:rPr>
        <w:t xml:space="preserve"> &gt; 0.05; Table 1). </w:t>
      </w:r>
    </w:p>
    <w:p w14:paraId="39C1D727" w14:textId="77777777" w:rsidR="00347BCA" w:rsidRPr="00681D35" w:rsidRDefault="00347BCA" w:rsidP="003C2906">
      <w:pPr>
        <w:adjustRightInd w:val="0"/>
        <w:snapToGrid w:val="0"/>
        <w:spacing w:line="360" w:lineRule="auto"/>
        <w:jc w:val="both"/>
        <w:rPr>
          <w:rFonts w:ascii="Book Antiqua" w:hAnsi="Book Antiqua"/>
          <w:color w:val="000000" w:themeColor="text1"/>
        </w:rPr>
      </w:pPr>
    </w:p>
    <w:p w14:paraId="5C67B674" w14:textId="77777777" w:rsidR="00347BCA" w:rsidRPr="00681D35" w:rsidRDefault="006407D4" w:rsidP="003C2906">
      <w:pPr>
        <w:adjustRightInd w:val="0"/>
        <w:snapToGrid w:val="0"/>
        <w:spacing w:line="360" w:lineRule="auto"/>
        <w:jc w:val="both"/>
        <w:rPr>
          <w:rFonts w:ascii="Book Antiqua" w:hAnsi="Book Antiqua"/>
          <w:i/>
          <w:iCs/>
          <w:color w:val="000000" w:themeColor="text1"/>
        </w:rPr>
      </w:pPr>
      <w:r w:rsidRPr="00681D35">
        <w:rPr>
          <w:rFonts w:ascii="Book Antiqua" w:eastAsia="Book Antiqua" w:hAnsi="Book Antiqua" w:cs="Book Antiqua"/>
          <w:b/>
          <w:bCs/>
          <w:i/>
          <w:iCs/>
          <w:color w:val="000000" w:themeColor="text1"/>
        </w:rPr>
        <w:t>Comparison of hemodynamic parameter</w:t>
      </w:r>
    </w:p>
    <w:p w14:paraId="11CF5E54" w14:textId="5378ACE5"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color w:val="000000" w:themeColor="text1"/>
        </w:rPr>
        <w:t xml:space="preserve">At </w:t>
      </w:r>
      <w:r w:rsidR="009B7A92" w:rsidRPr="00681D35">
        <w:rPr>
          <w:rFonts w:ascii="Book Antiqua" w:eastAsia="Book Antiqua" w:hAnsi="Book Antiqua" w:cs="Book Antiqua"/>
          <w:color w:val="000000" w:themeColor="text1"/>
        </w:rPr>
        <w:t>pre-anesthesia induction</w:t>
      </w:r>
      <w:r w:rsidRPr="00681D35">
        <w:rPr>
          <w:rFonts w:ascii="Book Antiqua" w:eastAsia="Book Antiqua" w:hAnsi="Book Antiqua" w:cs="Book Antiqua"/>
          <w:color w:val="000000" w:themeColor="text1"/>
        </w:rPr>
        <w:t xml:space="preserve">, HR, MAP, </w:t>
      </w:r>
      <w:r w:rsidR="004B71CB" w:rsidRPr="00681D35">
        <w:rPr>
          <w:rFonts w:ascii="Book Antiqua" w:eastAsia="Book Antiqua" w:hAnsi="Book Antiqua" w:cs="Book Antiqua"/>
          <w:color w:val="000000" w:themeColor="text1"/>
        </w:rPr>
        <w:t>cardiac index</w:t>
      </w:r>
      <w:r w:rsidRPr="00681D35">
        <w:rPr>
          <w:rFonts w:ascii="Book Antiqua" w:eastAsia="Book Antiqua" w:hAnsi="Book Antiqua" w:cs="Book Antiqua"/>
          <w:color w:val="000000" w:themeColor="text1"/>
        </w:rPr>
        <w:t xml:space="preserve"> and SVI did not differ between the remimazolam and propofol groups (</w:t>
      </w:r>
      <w:r w:rsidRPr="00681D35">
        <w:rPr>
          <w:rFonts w:ascii="Book Antiqua" w:eastAsia="Book Antiqua" w:hAnsi="Book Antiqua" w:cs="Book Antiqua"/>
          <w:i/>
          <w:iCs/>
          <w:color w:val="000000" w:themeColor="text1"/>
        </w:rPr>
        <w:t>P</w:t>
      </w:r>
      <w:r w:rsidRPr="00681D35">
        <w:rPr>
          <w:rFonts w:ascii="Book Antiqua" w:eastAsia="Book Antiqua" w:hAnsi="Book Antiqua" w:cs="Book Antiqua"/>
          <w:color w:val="000000" w:themeColor="text1"/>
        </w:rPr>
        <w:t xml:space="preserve"> &gt; 0.05). At T1 and T2, MAP and SVI were significantly higher in the remimazolam group than in the propofol group (</w:t>
      </w:r>
      <w:r w:rsidRPr="00681D35">
        <w:rPr>
          <w:rFonts w:ascii="Book Antiqua" w:eastAsia="Book Antiqua" w:hAnsi="Book Antiqua" w:cs="Book Antiqua"/>
          <w:i/>
          <w:iCs/>
          <w:color w:val="000000" w:themeColor="text1"/>
        </w:rPr>
        <w:t>P</w:t>
      </w:r>
      <w:r w:rsidRPr="00681D35">
        <w:rPr>
          <w:rFonts w:ascii="Book Antiqua" w:eastAsia="Book Antiqua" w:hAnsi="Book Antiqua" w:cs="Book Antiqua"/>
          <w:color w:val="000000" w:themeColor="text1"/>
        </w:rPr>
        <w:t xml:space="preserve"> &lt; 0.05; Table 2). </w:t>
      </w:r>
    </w:p>
    <w:p w14:paraId="5B627C5A" w14:textId="77777777" w:rsidR="00347BCA" w:rsidRPr="00681D35" w:rsidRDefault="00347BCA" w:rsidP="003C2906">
      <w:pPr>
        <w:adjustRightInd w:val="0"/>
        <w:snapToGrid w:val="0"/>
        <w:spacing w:line="360" w:lineRule="auto"/>
        <w:jc w:val="both"/>
        <w:rPr>
          <w:rFonts w:ascii="Book Antiqua" w:hAnsi="Book Antiqua"/>
          <w:color w:val="000000" w:themeColor="text1"/>
        </w:rPr>
      </w:pPr>
    </w:p>
    <w:p w14:paraId="6C497F9B" w14:textId="77777777" w:rsidR="00347BCA" w:rsidRPr="00681D35" w:rsidRDefault="006407D4" w:rsidP="003C2906">
      <w:pPr>
        <w:adjustRightInd w:val="0"/>
        <w:snapToGrid w:val="0"/>
        <w:spacing w:line="360" w:lineRule="auto"/>
        <w:jc w:val="both"/>
        <w:rPr>
          <w:rFonts w:ascii="Book Antiqua" w:hAnsi="Book Antiqua"/>
          <w:i/>
          <w:iCs/>
          <w:color w:val="000000" w:themeColor="text1"/>
        </w:rPr>
      </w:pPr>
      <w:r w:rsidRPr="00681D35">
        <w:rPr>
          <w:rFonts w:ascii="Book Antiqua" w:eastAsia="Book Antiqua" w:hAnsi="Book Antiqua" w:cs="Book Antiqua"/>
          <w:b/>
          <w:bCs/>
          <w:i/>
          <w:iCs/>
          <w:color w:val="000000" w:themeColor="text1"/>
        </w:rPr>
        <w:t xml:space="preserve">Comparison of OI and RI </w:t>
      </w:r>
    </w:p>
    <w:p w14:paraId="5AB14143"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color w:val="000000" w:themeColor="text1"/>
        </w:rPr>
        <w:t>At T1, OI and RI did not differ between the remimazolam and propofol groups (</w:t>
      </w:r>
      <w:r w:rsidRPr="00681D35">
        <w:rPr>
          <w:rFonts w:ascii="Book Antiqua" w:eastAsia="Book Antiqua" w:hAnsi="Book Antiqua" w:cs="Book Antiqua"/>
          <w:i/>
          <w:iCs/>
          <w:color w:val="000000" w:themeColor="text1"/>
        </w:rPr>
        <w:t>P</w:t>
      </w:r>
      <w:r w:rsidRPr="00681D35">
        <w:rPr>
          <w:rFonts w:ascii="Book Antiqua" w:eastAsia="Book Antiqua" w:hAnsi="Book Antiqua" w:cs="Book Antiqua"/>
          <w:color w:val="000000" w:themeColor="text1"/>
        </w:rPr>
        <w:t xml:space="preserve"> &gt; 0.05). At T1 and T2, OI was significantly higher in the remimazolam group than in the propofol group (</w:t>
      </w:r>
      <w:r w:rsidRPr="00681D35">
        <w:rPr>
          <w:rFonts w:ascii="Book Antiqua" w:eastAsia="Book Antiqua" w:hAnsi="Book Antiqua" w:cs="Book Antiqua"/>
          <w:i/>
          <w:iCs/>
          <w:color w:val="000000" w:themeColor="text1"/>
        </w:rPr>
        <w:t>P</w:t>
      </w:r>
      <w:r w:rsidRPr="00681D35">
        <w:rPr>
          <w:rFonts w:ascii="Book Antiqua" w:eastAsia="Book Antiqua" w:hAnsi="Book Antiqua" w:cs="Book Antiqua"/>
          <w:color w:val="000000" w:themeColor="text1"/>
        </w:rPr>
        <w:t xml:space="preserve"> &lt; 0.05; Table 3). </w:t>
      </w:r>
    </w:p>
    <w:p w14:paraId="5D218D2A" w14:textId="77777777" w:rsidR="00347BCA" w:rsidRPr="00681D35" w:rsidRDefault="00347BCA" w:rsidP="003C2906">
      <w:pPr>
        <w:adjustRightInd w:val="0"/>
        <w:snapToGrid w:val="0"/>
        <w:spacing w:line="360" w:lineRule="auto"/>
        <w:jc w:val="both"/>
        <w:rPr>
          <w:rFonts w:ascii="Book Antiqua" w:hAnsi="Book Antiqua"/>
          <w:color w:val="000000" w:themeColor="text1"/>
        </w:rPr>
      </w:pPr>
    </w:p>
    <w:p w14:paraId="6B317EB0" w14:textId="77777777" w:rsidR="00347BCA" w:rsidRPr="00681D35" w:rsidRDefault="006407D4" w:rsidP="003C2906">
      <w:pPr>
        <w:adjustRightInd w:val="0"/>
        <w:snapToGrid w:val="0"/>
        <w:spacing w:line="360" w:lineRule="auto"/>
        <w:jc w:val="both"/>
        <w:rPr>
          <w:rFonts w:ascii="Book Antiqua" w:hAnsi="Book Antiqua"/>
          <w:i/>
          <w:iCs/>
          <w:color w:val="000000" w:themeColor="text1"/>
        </w:rPr>
      </w:pPr>
      <w:r w:rsidRPr="00681D35">
        <w:rPr>
          <w:rFonts w:ascii="Book Antiqua" w:eastAsia="Book Antiqua" w:hAnsi="Book Antiqua" w:cs="Book Antiqua"/>
          <w:b/>
          <w:bCs/>
          <w:i/>
          <w:iCs/>
          <w:color w:val="000000" w:themeColor="text1"/>
        </w:rPr>
        <w:t>Comparison of inflammatory serum markers</w:t>
      </w:r>
    </w:p>
    <w:p w14:paraId="64D61E7F" w14:textId="6EFD5EB5"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color w:val="000000" w:themeColor="text1"/>
        </w:rPr>
        <w:t>Serum IL-6 and TNF</w:t>
      </w:r>
      <w:r w:rsidRPr="00681D35">
        <w:rPr>
          <w:rFonts w:ascii="Book Antiqua" w:hAnsi="Book Antiqua" w:cs="Book Antiqua"/>
          <w:color w:val="000000" w:themeColor="text1"/>
          <w:lang w:eastAsia="zh-CN"/>
        </w:rPr>
        <w:t xml:space="preserve">-α </w:t>
      </w:r>
      <w:r w:rsidRPr="00681D35">
        <w:rPr>
          <w:rFonts w:ascii="Book Antiqua" w:eastAsia="Book Antiqua" w:hAnsi="Book Antiqua" w:cs="Book Antiqua"/>
          <w:color w:val="000000" w:themeColor="text1"/>
        </w:rPr>
        <w:t>did not differ preoperatively or 2 h postoperatively between the remimazolam and propofol groups (</w:t>
      </w:r>
      <w:r w:rsidRPr="00681D35">
        <w:rPr>
          <w:rFonts w:ascii="Book Antiqua" w:eastAsia="Book Antiqua" w:hAnsi="Book Antiqua" w:cs="Book Antiqua"/>
          <w:i/>
          <w:iCs/>
          <w:color w:val="000000" w:themeColor="text1"/>
        </w:rPr>
        <w:t>P</w:t>
      </w:r>
      <w:r w:rsidRPr="00681D35">
        <w:rPr>
          <w:rFonts w:ascii="Book Antiqua" w:eastAsia="Book Antiqua" w:hAnsi="Book Antiqua" w:cs="Book Antiqua"/>
          <w:color w:val="000000" w:themeColor="text1"/>
        </w:rPr>
        <w:t xml:space="preserve"> &gt; 0.05). However, serum IL-6 and TNF</w:t>
      </w:r>
      <w:r w:rsidRPr="00681D35">
        <w:rPr>
          <w:rFonts w:ascii="Book Antiqua" w:hAnsi="Book Antiqua" w:cs="Book Antiqua"/>
          <w:color w:val="000000" w:themeColor="text1"/>
          <w:lang w:eastAsia="zh-CN"/>
        </w:rPr>
        <w:t>-α</w:t>
      </w:r>
      <w:r w:rsidRPr="00681D35">
        <w:rPr>
          <w:rFonts w:ascii="Book Antiqua" w:eastAsia="Book Antiqua" w:hAnsi="Book Antiqua" w:cs="Book Antiqua"/>
          <w:color w:val="000000" w:themeColor="text1"/>
        </w:rPr>
        <w:t xml:space="preserve"> were significantly higher in two groups 12 h after surgery compared to those before surgery (</w:t>
      </w:r>
      <w:r w:rsidRPr="00681D35">
        <w:rPr>
          <w:rFonts w:ascii="Book Antiqua" w:eastAsia="Book Antiqua" w:hAnsi="Book Antiqua" w:cs="Book Antiqua"/>
          <w:i/>
          <w:iCs/>
          <w:color w:val="000000" w:themeColor="text1"/>
        </w:rPr>
        <w:t>P</w:t>
      </w:r>
      <w:r w:rsidRPr="00681D35">
        <w:rPr>
          <w:rFonts w:ascii="Book Antiqua" w:eastAsia="Book Antiqua" w:hAnsi="Book Antiqua" w:cs="Book Antiqua"/>
          <w:color w:val="000000" w:themeColor="text1"/>
        </w:rPr>
        <w:t xml:space="preserve"> &lt; 0.05). Before surgery, NE, E, COR and GLU levels did not differ between the remimazolam and propofol groups (</w:t>
      </w:r>
      <w:r w:rsidRPr="00681D35">
        <w:rPr>
          <w:rFonts w:ascii="Book Antiqua" w:eastAsia="Book Antiqua" w:hAnsi="Book Antiqua" w:cs="Book Antiqua"/>
          <w:i/>
          <w:iCs/>
          <w:color w:val="000000" w:themeColor="text1"/>
        </w:rPr>
        <w:t>P</w:t>
      </w:r>
      <w:r w:rsidRPr="00681D35">
        <w:rPr>
          <w:rFonts w:ascii="Book Antiqua" w:eastAsia="Book Antiqua" w:hAnsi="Book Antiqua" w:cs="Book Antiqua"/>
          <w:color w:val="000000" w:themeColor="text1"/>
        </w:rPr>
        <w:t xml:space="preserve"> &gt; 0.05); however, 2 h after surgery, the E, COR and GLU levels were significantly higher in the remimazolam group than in propofol group (</w:t>
      </w:r>
      <w:r w:rsidRPr="00681D35">
        <w:rPr>
          <w:rFonts w:ascii="Book Antiqua" w:eastAsia="Book Antiqua" w:hAnsi="Book Antiqua" w:cs="Book Antiqua"/>
          <w:i/>
          <w:iCs/>
          <w:color w:val="000000" w:themeColor="text1"/>
        </w:rPr>
        <w:t>P</w:t>
      </w:r>
      <w:r w:rsidRPr="00681D35">
        <w:rPr>
          <w:rFonts w:ascii="Book Antiqua" w:eastAsia="Book Antiqua" w:hAnsi="Book Antiqua" w:cs="Book Antiqua"/>
          <w:color w:val="000000" w:themeColor="text1"/>
        </w:rPr>
        <w:t xml:space="preserve"> &lt; 0.05; Table 4).</w:t>
      </w:r>
    </w:p>
    <w:p w14:paraId="055CD205" w14:textId="77777777" w:rsidR="00347BCA" w:rsidRPr="00681D35" w:rsidRDefault="00347BCA" w:rsidP="003C2906">
      <w:pPr>
        <w:adjustRightInd w:val="0"/>
        <w:snapToGrid w:val="0"/>
        <w:spacing w:line="360" w:lineRule="auto"/>
        <w:jc w:val="both"/>
        <w:rPr>
          <w:rFonts w:ascii="Book Antiqua" w:hAnsi="Book Antiqua"/>
          <w:color w:val="000000" w:themeColor="text1"/>
        </w:rPr>
      </w:pPr>
    </w:p>
    <w:p w14:paraId="54F1C229" w14:textId="77777777" w:rsidR="00347BCA" w:rsidRPr="00681D35" w:rsidRDefault="006407D4" w:rsidP="003C2906">
      <w:pPr>
        <w:adjustRightInd w:val="0"/>
        <w:snapToGrid w:val="0"/>
        <w:spacing w:line="360" w:lineRule="auto"/>
        <w:jc w:val="both"/>
        <w:rPr>
          <w:rFonts w:ascii="Book Antiqua" w:hAnsi="Book Antiqua"/>
          <w:i/>
          <w:iCs/>
          <w:color w:val="000000" w:themeColor="text1"/>
        </w:rPr>
      </w:pPr>
      <w:r w:rsidRPr="00681D35">
        <w:rPr>
          <w:rFonts w:ascii="Book Antiqua" w:eastAsia="Book Antiqua" w:hAnsi="Book Antiqua" w:cs="Book Antiqua"/>
          <w:b/>
          <w:bCs/>
          <w:i/>
          <w:iCs/>
          <w:color w:val="000000" w:themeColor="text1"/>
        </w:rPr>
        <w:t>Comparison of perioperative indicators</w:t>
      </w:r>
    </w:p>
    <w:p w14:paraId="59B28F83" w14:textId="092734F3"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color w:val="000000" w:themeColor="text1"/>
        </w:rPr>
        <w:t>The operative time, operative blood loss, intraoperative urine volume, CPB transit time, ascending aorta occlusion time, fluid volume and fentanyl dosage did not differ between the two groups (</w:t>
      </w:r>
      <w:r w:rsidRPr="00681D35">
        <w:rPr>
          <w:rFonts w:ascii="Book Antiqua" w:eastAsia="Book Antiqua" w:hAnsi="Book Antiqua" w:cs="Book Antiqua"/>
          <w:i/>
          <w:iCs/>
          <w:color w:val="000000" w:themeColor="text1"/>
        </w:rPr>
        <w:t>P</w:t>
      </w:r>
      <w:r w:rsidRPr="00681D35">
        <w:rPr>
          <w:rFonts w:ascii="Book Antiqua" w:eastAsia="Book Antiqua" w:hAnsi="Book Antiqua" w:cs="Book Antiqua"/>
          <w:color w:val="000000" w:themeColor="text1"/>
        </w:rPr>
        <w:t xml:space="preserve"> &gt; 0.05). The recovery time and extubation time were significantly lower in the remimazolam group than in the propofol group (</w:t>
      </w:r>
      <w:r w:rsidRPr="00681D35">
        <w:rPr>
          <w:rFonts w:ascii="Book Antiqua" w:eastAsia="Book Antiqua" w:hAnsi="Book Antiqua" w:cs="Book Antiqua"/>
          <w:i/>
          <w:iCs/>
          <w:color w:val="000000" w:themeColor="text1"/>
        </w:rPr>
        <w:t>P</w:t>
      </w:r>
      <w:r w:rsidRPr="00681D35">
        <w:rPr>
          <w:rFonts w:ascii="Book Antiqua" w:eastAsia="Book Antiqua" w:hAnsi="Book Antiqua" w:cs="Book Antiqua"/>
          <w:color w:val="000000" w:themeColor="text1"/>
        </w:rPr>
        <w:t xml:space="preserve"> &lt; 0.05; Table 5).</w:t>
      </w:r>
    </w:p>
    <w:p w14:paraId="32386EA8" w14:textId="77777777" w:rsidR="00347BCA" w:rsidRPr="00681D35" w:rsidRDefault="00347BCA" w:rsidP="003C2906">
      <w:pPr>
        <w:adjustRightInd w:val="0"/>
        <w:snapToGrid w:val="0"/>
        <w:spacing w:line="360" w:lineRule="auto"/>
        <w:jc w:val="both"/>
        <w:rPr>
          <w:rFonts w:ascii="Book Antiqua" w:hAnsi="Book Antiqua"/>
          <w:color w:val="000000" w:themeColor="text1"/>
        </w:rPr>
      </w:pPr>
    </w:p>
    <w:p w14:paraId="39F9E33F" w14:textId="77777777" w:rsidR="00347BCA" w:rsidRPr="00681D35" w:rsidRDefault="006407D4" w:rsidP="003C2906">
      <w:pPr>
        <w:adjustRightInd w:val="0"/>
        <w:snapToGrid w:val="0"/>
        <w:spacing w:line="360" w:lineRule="auto"/>
        <w:jc w:val="both"/>
        <w:rPr>
          <w:rFonts w:ascii="Book Antiqua" w:hAnsi="Book Antiqua"/>
          <w:i/>
          <w:iCs/>
          <w:color w:val="000000" w:themeColor="text1"/>
        </w:rPr>
      </w:pPr>
      <w:r w:rsidRPr="00681D35">
        <w:rPr>
          <w:rFonts w:ascii="Book Antiqua" w:eastAsia="Book Antiqua" w:hAnsi="Book Antiqua" w:cs="Book Antiqua"/>
          <w:b/>
          <w:bCs/>
          <w:i/>
          <w:iCs/>
          <w:color w:val="000000" w:themeColor="text1"/>
        </w:rPr>
        <w:t>Comparison of adverse reactions</w:t>
      </w:r>
    </w:p>
    <w:p w14:paraId="428FB4EA"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color w:val="000000" w:themeColor="text1"/>
        </w:rPr>
        <w:t>There were significantly fewer adverse reactions in the remimazolam group (10.00%) than in the propofol group (30.00%) (</w:t>
      </w:r>
      <w:r w:rsidRPr="00681D35">
        <w:rPr>
          <w:rFonts w:ascii="Book Antiqua" w:eastAsia="Book Antiqua" w:hAnsi="Book Antiqua" w:cs="Book Antiqua"/>
          <w:i/>
          <w:iCs/>
          <w:color w:val="000000" w:themeColor="text1"/>
        </w:rPr>
        <w:t>P</w:t>
      </w:r>
      <w:r w:rsidRPr="00681D35">
        <w:rPr>
          <w:rFonts w:ascii="Book Antiqua" w:eastAsia="Book Antiqua" w:hAnsi="Book Antiqua" w:cs="Book Antiqua"/>
          <w:color w:val="000000" w:themeColor="text1"/>
        </w:rPr>
        <w:t xml:space="preserve"> &lt; 0.05; Table 6). </w:t>
      </w:r>
    </w:p>
    <w:p w14:paraId="1E1C445C" w14:textId="77777777" w:rsidR="00347BCA" w:rsidRPr="00681D35" w:rsidRDefault="00347BCA" w:rsidP="003C2906">
      <w:pPr>
        <w:adjustRightInd w:val="0"/>
        <w:snapToGrid w:val="0"/>
        <w:spacing w:line="360" w:lineRule="auto"/>
        <w:jc w:val="both"/>
        <w:rPr>
          <w:rFonts w:ascii="Book Antiqua" w:hAnsi="Book Antiqua"/>
          <w:color w:val="000000" w:themeColor="text1"/>
        </w:rPr>
      </w:pPr>
    </w:p>
    <w:p w14:paraId="3D773E9C"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b/>
          <w:caps/>
          <w:color w:val="000000" w:themeColor="text1"/>
          <w:u w:val="single"/>
        </w:rPr>
        <w:t>DISCUSSION</w:t>
      </w:r>
    </w:p>
    <w:p w14:paraId="22A9C190" w14:textId="36AB760F"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color w:val="000000" w:themeColor="text1"/>
        </w:rPr>
        <w:t>A series of experiments in China and abroad have demonstrated that using anesthetics, such as propofol, during the perioperative period can maintain hemodynamic stability by reducing the release of catecholamines and inflammatory factors</w:t>
      </w:r>
      <w:r w:rsidRPr="00681D35">
        <w:rPr>
          <w:rFonts w:ascii="Book Antiqua" w:eastAsia="Book Antiqua" w:hAnsi="Book Antiqua" w:cs="Book Antiqua"/>
          <w:color w:val="000000" w:themeColor="text1"/>
          <w:vertAlign w:val="superscript"/>
        </w:rPr>
        <w:t>[7-10]</w:t>
      </w:r>
      <w:r w:rsidRPr="00681D35">
        <w:rPr>
          <w:rFonts w:ascii="Book Antiqua" w:eastAsia="Book Antiqua" w:hAnsi="Book Antiqua" w:cs="Book Antiqua"/>
          <w:color w:val="000000" w:themeColor="text1"/>
        </w:rPr>
        <w:t>. In our study, at T1 and T2, MAP and SVI were higher in the remimazolam group than in the propofol group (</w:t>
      </w:r>
      <w:r w:rsidRPr="00681D35">
        <w:rPr>
          <w:rFonts w:ascii="Book Antiqua" w:eastAsia="Book Antiqua" w:hAnsi="Book Antiqua" w:cs="Book Antiqua"/>
          <w:i/>
          <w:iCs/>
          <w:color w:val="000000" w:themeColor="text1"/>
        </w:rPr>
        <w:t>P</w:t>
      </w:r>
      <w:r w:rsidRPr="00681D35">
        <w:rPr>
          <w:rFonts w:ascii="Book Antiqua" w:eastAsia="Book Antiqua" w:hAnsi="Book Antiqua" w:cs="Book Antiqua"/>
          <w:color w:val="000000" w:themeColor="text1"/>
        </w:rPr>
        <w:t xml:space="preserve"> &lt; 0.05), indicating that remimazolam benzenesulfonate had little effect on intraoperative hemodynamics. This may be because remimazolam benzenesulfonate can act on adrenergic receptors, inhibit NE release, reduce the catecholamine level as well as sympathetic nerve excitability, accelerate atrioventricular conduction and enhance myocardial contractility. </w:t>
      </w:r>
    </w:p>
    <w:p w14:paraId="65737173" w14:textId="3CF0510F" w:rsidR="00347BCA" w:rsidRPr="00681D35" w:rsidRDefault="006407D4" w:rsidP="003C2906">
      <w:pPr>
        <w:adjustRightInd w:val="0"/>
        <w:snapToGrid w:val="0"/>
        <w:spacing w:line="360" w:lineRule="auto"/>
        <w:ind w:firstLineChars="100" w:firstLine="240"/>
        <w:jc w:val="both"/>
        <w:rPr>
          <w:rFonts w:ascii="Book Antiqua" w:hAnsi="Book Antiqua"/>
          <w:color w:val="000000" w:themeColor="text1"/>
        </w:rPr>
      </w:pPr>
      <w:r w:rsidRPr="00681D35">
        <w:rPr>
          <w:rFonts w:ascii="Book Antiqua" w:eastAsia="Book Antiqua" w:hAnsi="Book Antiqua" w:cs="Book Antiqua"/>
          <w:color w:val="000000" w:themeColor="text1"/>
        </w:rPr>
        <w:t>OI is a convenient measurement because it correlates well with hypoxia in the body and reflects the blood flow to the lungs. As such, it is currently the most commonly used index for monitoring lung oxygenation</w:t>
      </w:r>
      <w:r w:rsidRPr="00681D35">
        <w:rPr>
          <w:rFonts w:ascii="Book Antiqua" w:eastAsia="Book Antiqua" w:hAnsi="Book Antiqua" w:cs="Book Antiqua"/>
          <w:color w:val="000000" w:themeColor="text1"/>
          <w:vertAlign w:val="superscript"/>
        </w:rPr>
        <w:t>[11]</w:t>
      </w:r>
      <w:r w:rsidRPr="00681D35">
        <w:rPr>
          <w:rFonts w:ascii="Book Antiqua" w:eastAsia="Book Antiqua" w:hAnsi="Book Antiqua" w:cs="Book Antiqua"/>
          <w:color w:val="000000" w:themeColor="text1"/>
        </w:rPr>
        <w:t>. During cardiac surgery, the lung is often damaged, and the lung injury mechanism from cardiopulmonary bypass is complex</w:t>
      </w:r>
      <w:r w:rsidRPr="00681D35">
        <w:rPr>
          <w:rFonts w:ascii="Book Antiqua" w:eastAsia="Book Antiqua" w:hAnsi="Book Antiqua" w:cs="Book Antiqua"/>
          <w:color w:val="000000" w:themeColor="text1"/>
          <w:vertAlign w:val="superscript"/>
        </w:rPr>
        <w:t>[12]</w:t>
      </w:r>
      <w:r w:rsidRPr="00681D35">
        <w:rPr>
          <w:rFonts w:ascii="Book Antiqua" w:eastAsia="Book Antiqua" w:hAnsi="Book Antiqua" w:cs="Book Antiqua"/>
          <w:color w:val="000000" w:themeColor="text1"/>
        </w:rPr>
        <w:t>. In our study, at T2 (when the sternum was cut off) and when the machine was shut down, the OI in the remimazolam group was significantly higher than in the propofol group (</w:t>
      </w:r>
      <w:r w:rsidRPr="00681D35">
        <w:rPr>
          <w:rFonts w:ascii="Book Antiqua" w:eastAsia="Book Antiqua" w:hAnsi="Book Antiqua" w:cs="Book Antiqua"/>
          <w:i/>
          <w:iCs/>
          <w:color w:val="000000" w:themeColor="text1"/>
        </w:rPr>
        <w:t>P</w:t>
      </w:r>
      <w:r w:rsidRPr="00681D35">
        <w:rPr>
          <w:rFonts w:ascii="Book Antiqua" w:eastAsia="Book Antiqua" w:hAnsi="Book Antiqua" w:cs="Book Antiqua"/>
          <w:color w:val="000000" w:themeColor="text1"/>
        </w:rPr>
        <w:t xml:space="preserve"> &lt; 0.05), consistent with the literature</w:t>
      </w:r>
      <w:r w:rsidRPr="00681D35">
        <w:rPr>
          <w:rFonts w:ascii="Book Antiqua" w:eastAsia="Book Antiqua" w:hAnsi="Book Antiqua" w:cs="Book Antiqua"/>
          <w:color w:val="000000" w:themeColor="text1"/>
          <w:vertAlign w:val="superscript"/>
        </w:rPr>
        <w:t>[13,14]</w:t>
      </w:r>
      <w:r w:rsidRPr="00681D35">
        <w:rPr>
          <w:rFonts w:ascii="Book Antiqua" w:eastAsia="Book Antiqua" w:hAnsi="Book Antiqua" w:cs="Book Antiqua"/>
          <w:color w:val="000000" w:themeColor="text1"/>
        </w:rPr>
        <w:t>. This suggests that the intraoperative lung ventilation strategy and remimazolam benzenesulfonate use improve one-lung ventilation oxygenation and lung function, reduce pulmonary complications and have a protective effect on the lungs.</w:t>
      </w:r>
    </w:p>
    <w:p w14:paraId="18D43534" w14:textId="77777777" w:rsidR="00347BCA" w:rsidRPr="00681D35" w:rsidRDefault="006407D4" w:rsidP="003C2906">
      <w:pPr>
        <w:adjustRightInd w:val="0"/>
        <w:snapToGrid w:val="0"/>
        <w:spacing w:line="360" w:lineRule="auto"/>
        <w:ind w:firstLineChars="100" w:firstLine="240"/>
        <w:jc w:val="both"/>
        <w:rPr>
          <w:rFonts w:ascii="Book Antiqua" w:hAnsi="Book Antiqua"/>
          <w:color w:val="000000" w:themeColor="text1"/>
        </w:rPr>
      </w:pPr>
      <w:r w:rsidRPr="00681D35">
        <w:rPr>
          <w:rFonts w:ascii="Book Antiqua" w:eastAsia="Book Antiqua" w:hAnsi="Book Antiqua" w:cs="Book Antiqua"/>
          <w:color w:val="000000" w:themeColor="text1"/>
        </w:rPr>
        <w:t>TNF</w:t>
      </w:r>
      <w:r w:rsidRPr="00681D35">
        <w:rPr>
          <w:rFonts w:ascii="Book Antiqua" w:hAnsi="Book Antiqua" w:cs="Book Antiqua"/>
          <w:color w:val="000000" w:themeColor="text1"/>
          <w:lang w:eastAsia="zh-CN"/>
        </w:rPr>
        <w:t>-α</w:t>
      </w:r>
      <w:r w:rsidRPr="00681D35">
        <w:rPr>
          <w:rFonts w:ascii="Book Antiqua" w:eastAsia="Book Antiqua" w:hAnsi="Book Antiqua" w:cs="Book Antiqua"/>
          <w:color w:val="000000" w:themeColor="text1"/>
        </w:rPr>
        <w:t xml:space="preserve"> is a substance that appears early in lung inflammation and has an important role in the pathological process of lung injury by stimulating the release of inflammatory mediators, such as IL-6 and IL-8</w:t>
      </w:r>
      <w:r w:rsidRPr="00681D35">
        <w:rPr>
          <w:rFonts w:ascii="Book Antiqua" w:eastAsia="Book Antiqua" w:hAnsi="Book Antiqua" w:cs="Book Antiqua"/>
          <w:color w:val="000000" w:themeColor="text1"/>
          <w:vertAlign w:val="superscript"/>
        </w:rPr>
        <w:t>[15]</w:t>
      </w:r>
      <w:r w:rsidRPr="00681D35">
        <w:rPr>
          <w:rFonts w:ascii="Book Antiqua" w:eastAsia="Book Antiqua" w:hAnsi="Book Antiqua" w:cs="Book Antiqua"/>
          <w:color w:val="000000" w:themeColor="text1"/>
        </w:rPr>
        <w:t>. IL-6 is involved in early inflammatory response and tissue damage; its expression level is related to the severity and duration of the inflammatory response</w:t>
      </w:r>
      <w:r w:rsidRPr="00681D35">
        <w:rPr>
          <w:rFonts w:ascii="Book Antiqua" w:eastAsia="Book Antiqua" w:hAnsi="Book Antiqua" w:cs="Book Antiqua"/>
          <w:color w:val="000000" w:themeColor="text1"/>
          <w:vertAlign w:val="superscript"/>
        </w:rPr>
        <w:t>[16]</w:t>
      </w:r>
      <w:r w:rsidRPr="00681D35">
        <w:rPr>
          <w:rFonts w:ascii="Book Antiqua" w:eastAsia="Book Antiqua" w:hAnsi="Book Antiqua" w:cs="Book Antiqua"/>
          <w:color w:val="000000" w:themeColor="text1"/>
        </w:rPr>
        <w:t xml:space="preserve">. Thus, it is an important </w:t>
      </w:r>
      <w:r w:rsidRPr="00681D35">
        <w:rPr>
          <w:rFonts w:ascii="Book Antiqua" w:eastAsia="Book Antiqua" w:hAnsi="Book Antiqua" w:cs="Book Antiqua"/>
          <w:color w:val="000000" w:themeColor="text1"/>
        </w:rPr>
        <w:lastRenderedPageBreak/>
        <w:t>indicator of the body’s overall inflammatory and stress responses. In this study, we demonstrated that remimazolam benzenesulfonate anesthesia induction effectively reduced systemic inflammatory and oxidative stress responses in patients undergoing thoracoscopic cardiac surgery. The possible mechanisms are activated αo adrenergic receptors and inhibited nuclear factor kappa-B. Additionally, remimazolam benzenesulfonate maintained hemodynamic stability, only reducing the release of inflammatory mediators to a certain extent. In this study, the recovery time and extubation time of patients in the remimazolam group were significantly lower than in the propofol group, indicating that remimazolam benzenesulfonate maintained circulation as well as oxygen supply and demand balance. Remimazolam benzenesulfonate had a more stable and better effect on systemic circulation.</w:t>
      </w:r>
    </w:p>
    <w:p w14:paraId="2009B900" w14:textId="6A628A1B" w:rsidR="00347BCA" w:rsidRPr="00681D35" w:rsidRDefault="006407D4" w:rsidP="003C2906">
      <w:pPr>
        <w:adjustRightInd w:val="0"/>
        <w:snapToGrid w:val="0"/>
        <w:spacing w:line="360" w:lineRule="auto"/>
        <w:ind w:firstLineChars="100" w:firstLine="240"/>
        <w:jc w:val="both"/>
        <w:rPr>
          <w:rFonts w:ascii="Book Antiqua" w:hAnsi="Book Antiqua"/>
          <w:color w:val="000000" w:themeColor="text1"/>
        </w:rPr>
      </w:pPr>
      <w:r w:rsidRPr="00681D35">
        <w:rPr>
          <w:rFonts w:ascii="Book Antiqua" w:eastAsia="Book Antiqua" w:hAnsi="Book Antiqua" w:cs="Book Antiqua"/>
          <w:color w:val="000000" w:themeColor="text1"/>
        </w:rPr>
        <w:t>When a stress response occurs, the catecholamines secreted by the hypothalamic-pituitary-adrenal axis are excited to stimulate the locus coeruleus-sympathetic nerve-adrenal medulla system to produce E, NE and other hormones, which are used as indicators of the sensitivity and specificity of the stress response</w:t>
      </w:r>
      <w:r w:rsidRPr="00681D35">
        <w:rPr>
          <w:rFonts w:ascii="Book Antiqua" w:eastAsia="Book Antiqua" w:hAnsi="Book Antiqua" w:cs="Book Antiqua"/>
          <w:color w:val="000000" w:themeColor="text1"/>
          <w:vertAlign w:val="superscript"/>
        </w:rPr>
        <w:t>[17,18]</w:t>
      </w:r>
      <w:r w:rsidRPr="00681D35">
        <w:rPr>
          <w:rFonts w:ascii="Book Antiqua" w:eastAsia="Book Antiqua" w:hAnsi="Book Antiqua" w:cs="Book Antiqua"/>
          <w:color w:val="000000" w:themeColor="text1"/>
        </w:rPr>
        <w:t>. In this study, 2 h after surgery, the increase of E and COR were significantly lower in the remimazolam group than in the propofol group. This indicated that the increase of plasma E and COR concentrations could be inhibited and the stress response of patients could be reduced. Possible reasons for the elevated index were related to the continuous pumping of adrenaline after surgery and tracheal tube stimulation as the patient gradually woke up. There was an increasing trend in the NE concentration in both groups, though it was statistically insignificant and the specific reasons need to be further studied.</w:t>
      </w:r>
    </w:p>
    <w:p w14:paraId="300AF5D0" w14:textId="4F169EEE" w:rsidR="00347BCA" w:rsidRPr="00681D35" w:rsidRDefault="006407D4" w:rsidP="003C2906">
      <w:pPr>
        <w:adjustRightInd w:val="0"/>
        <w:snapToGrid w:val="0"/>
        <w:spacing w:line="360" w:lineRule="auto"/>
        <w:ind w:firstLineChars="100" w:firstLine="240"/>
        <w:jc w:val="both"/>
        <w:rPr>
          <w:rFonts w:ascii="Book Antiqua" w:hAnsi="Book Antiqua"/>
          <w:color w:val="000000" w:themeColor="text1"/>
        </w:rPr>
      </w:pPr>
      <w:r w:rsidRPr="00681D35">
        <w:rPr>
          <w:rFonts w:ascii="Book Antiqua" w:eastAsia="Book Antiqua" w:hAnsi="Book Antiqua" w:cs="Book Antiqua"/>
          <w:color w:val="000000" w:themeColor="text1"/>
        </w:rPr>
        <w:t>GLU is the main source of various tissues and cells in the body. A high GLU concentration during the perioperative period reduces the mitochondrial function in cells, destroys cell structures, affects inflammatory cell movement to the affected area, increases the infection surgical incision rate and affects wound healing</w:t>
      </w:r>
      <w:r w:rsidRPr="00681D35">
        <w:rPr>
          <w:rFonts w:ascii="Book Antiqua" w:eastAsia="Book Antiqua" w:hAnsi="Book Antiqua" w:cs="Book Antiqua"/>
          <w:color w:val="000000" w:themeColor="text1"/>
          <w:vertAlign w:val="superscript"/>
        </w:rPr>
        <w:t>[19]</w:t>
      </w:r>
      <w:r w:rsidRPr="00681D35">
        <w:rPr>
          <w:rFonts w:ascii="Book Antiqua" w:eastAsia="Book Antiqua" w:hAnsi="Book Antiqua" w:cs="Book Antiqua"/>
          <w:color w:val="000000" w:themeColor="text1"/>
        </w:rPr>
        <w:t xml:space="preserve">. When the body is in a stress response state, a large number of stress hormones, cytokines and inflammatory mediators are produced and released, making the tissue less sensitive to insulin, and thus, less insulin is secreted. As a result, glycogen </w:t>
      </w:r>
      <w:r w:rsidRPr="00681D35">
        <w:rPr>
          <w:rFonts w:ascii="Book Antiqua" w:eastAsia="Book Antiqua" w:hAnsi="Book Antiqua" w:cs="Book Antiqua"/>
          <w:color w:val="000000" w:themeColor="text1"/>
        </w:rPr>
        <w:lastRenderedPageBreak/>
        <w:t xml:space="preserve">decomposition and gluconeogenesis are enhanced. This results in a weakened ability to absorb and utilize </w:t>
      </w:r>
      <w:r w:rsidR="001F3821" w:rsidRPr="00681D35">
        <w:rPr>
          <w:rFonts w:ascii="Book Antiqua" w:eastAsia="Book Antiqua" w:hAnsi="Book Antiqua" w:cs="Book Antiqua"/>
          <w:color w:val="000000" w:themeColor="text1"/>
        </w:rPr>
        <w:t>GLU</w:t>
      </w:r>
      <w:r w:rsidRPr="00681D35">
        <w:rPr>
          <w:rFonts w:ascii="Book Antiqua" w:eastAsia="Book Antiqua" w:hAnsi="Book Antiqua" w:cs="Book Antiqua"/>
          <w:color w:val="000000" w:themeColor="text1"/>
        </w:rPr>
        <w:t>, which leads to an increase in GLU</w:t>
      </w:r>
      <w:r w:rsidRPr="00681D35">
        <w:rPr>
          <w:rFonts w:ascii="Book Antiqua" w:eastAsia="Book Antiqua" w:hAnsi="Book Antiqua" w:cs="Book Antiqua"/>
          <w:color w:val="000000" w:themeColor="text1"/>
          <w:vertAlign w:val="superscript"/>
        </w:rPr>
        <w:t>[20]</w:t>
      </w:r>
      <w:r w:rsidRPr="00681D35">
        <w:rPr>
          <w:rFonts w:ascii="Book Antiqua" w:eastAsia="Book Antiqua" w:hAnsi="Book Antiqua" w:cs="Book Antiqua"/>
          <w:color w:val="000000" w:themeColor="text1"/>
        </w:rPr>
        <w:t>. In this study, 2 h after surgery, the increase in GLU was significantly lower in the remimazolam group than in the propofol group (</w:t>
      </w:r>
      <w:r w:rsidRPr="00681D35">
        <w:rPr>
          <w:rFonts w:ascii="Book Antiqua" w:eastAsia="Book Antiqua" w:hAnsi="Book Antiqua" w:cs="Book Antiqua"/>
          <w:i/>
          <w:iCs/>
          <w:color w:val="000000" w:themeColor="text1"/>
        </w:rPr>
        <w:t>P</w:t>
      </w:r>
      <w:r w:rsidRPr="00681D35">
        <w:rPr>
          <w:rFonts w:ascii="Book Antiqua" w:eastAsia="Book Antiqua" w:hAnsi="Book Antiqua" w:cs="Book Antiqua"/>
          <w:color w:val="000000" w:themeColor="text1"/>
        </w:rPr>
        <w:t xml:space="preserve"> &lt; 0.05), verifying that intraoperative anesthesia induced by remimazolam benzenesulfonate maintained GLU stability during the perioperative period. Adverse reaction incidences were also significantly fewer in the remimazolam group than in the propofol group, suggesting that remimazolam benzenesulfonate is safe and can make patients feel at ease, resulting in active cooperation with medical staff during treatment.</w:t>
      </w:r>
    </w:p>
    <w:p w14:paraId="2F850AF9" w14:textId="77777777" w:rsidR="00347BCA" w:rsidRPr="00681D35" w:rsidRDefault="006407D4" w:rsidP="003C2906">
      <w:pPr>
        <w:adjustRightInd w:val="0"/>
        <w:snapToGrid w:val="0"/>
        <w:spacing w:line="360" w:lineRule="auto"/>
        <w:ind w:firstLineChars="100" w:firstLine="240"/>
        <w:jc w:val="both"/>
        <w:rPr>
          <w:rFonts w:ascii="Book Antiqua" w:hAnsi="Book Antiqua"/>
          <w:color w:val="000000" w:themeColor="text1"/>
        </w:rPr>
      </w:pPr>
      <w:r w:rsidRPr="00681D35">
        <w:rPr>
          <w:rFonts w:ascii="Book Antiqua" w:eastAsia="Book Antiqua" w:hAnsi="Book Antiqua" w:cs="Book Antiqua"/>
          <w:color w:val="000000" w:themeColor="text1"/>
        </w:rPr>
        <w:t>Currently, remimazolam benzenesulfonate has not been clinically used to induce anesthesia in cardiac surgery. However, remimazolam benzenesulfonate has a good anesthesia effect and is commonly used for clinical treatments and diagnostic operations. This study explored the anesthetic effect and safety of remimazolam benzenesulfonate-induced anesthesia by comparing it with propofol in patients who underwent cardiac surgery under general anesthesia to provide more information for creating clinical anesthesia plans.</w:t>
      </w:r>
    </w:p>
    <w:p w14:paraId="1E02C734" w14:textId="77777777" w:rsidR="00347BCA" w:rsidRPr="00681D35" w:rsidRDefault="00347BCA" w:rsidP="003C2906">
      <w:pPr>
        <w:adjustRightInd w:val="0"/>
        <w:snapToGrid w:val="0"/>
        <w:spacing w:line="360" w:lineRule="auto"/>
        <w:jc w:val="both"/>
        <w:rPr>
          <w:rFonts w:ascii="Book Antiqua" w:hAnsi="Book Antiqua"/>
          <w:color w:val="000000" w:themeColor="text1"/>
        </w:rPr>
      </w:pPr>
    </w:p>
    <w:p w14:paraId="6BA0DA13"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b/>
          <w:caps/>
          <w:color w:val="000000" w:themeColor="text1"/>
          <w:u w:val="single"/>
        </w:rPr>
        <w:t>CONCLUSION</w:t>
      </w:r>
    </w:p>
    <w:p w14:paraId="14DAEFFC" w14:textId="31DBF3BE"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color w:val="000000" w:themeColor="text1"/>
        </w:rPr>
        <w:t>Compared with propofol, anesthetic induction with remimazolam benzenesulfonate in cardiac surgery patients under general anesthesia was better at reducing hemodynamic fluctuations caused by surgery, surgical stress response and anesthetic influence on respiratory function, thereby reducing anesthetic-related adverse reactions.</w:t>
      </w:r>
    </w:p>
    <w:p w14:paraId="2E354B5F" w14:textId="77777777" w:rsidR="00347BCA" w:rsidRPr="00681D35" w:rsidRDefault="00347BCA" w:rsidP="003C2906">
      <w:pPr>
        <w:adjustRightInd w:val="0"/>
        <w:snapToGrid w:val="0"/>
        <w:spacing w:line="360" w:lineRule="auto"/>
        <w:jc w:val="both"/>
        <w:rPr>
          <w:rFonts w:ascii="Book Antiqua" w:hAnsi="Book Antiqua"/>
          <w:color w:val="000000" w:themeColor="text1"/>
        </w:rPr>
      </w:pPr>
    </w:p>
    <w:p w14:paraId="4D995786"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b/>
          <w:caps/>
          <w:color w:val="000000" w:themeColor="text1"/>
          <w:u w:val="single"/>
        </w:rPr>
        <w:t>ARTICLE HIGHLIGHTS</w:t>
      </w:r>
    </w:p>
    <w:p w14:paraId="0EBF8B9F"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b/>
          <w:i/>
          <w:color w:val="000000" w:themeColor="text1"/>
        </w:rPr>
        <w:t>Research background</w:t>
      </w:r>
    </w:p>
    <w:p w14:paraId="655C015D" w14:textId="6E957A8D"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color w:val="000000" w:themeColor="text1"/>
        </w:rPr>
        <w:t xml:space="preserve">Compared to remimazolam, remimazolam benzenesulfonate has a faster effect, is more quickly metabolized, produces inactive metabolites and has weak drug interactions. </w:t>
      </w:r>
      <w:r w:rsidR="00BE5891" w:rsidRPr="00681D35">
        <w:rPr>
          <w:rFonts w:ascii="Book Antiqua" w:eastAsia="Book Antiqua" w:hAnsi="Book Antiqua" w:cs="Book Antiqua"/>
          <w:color w:val="000000" w:themeColor="text1"/>
        </w:rPr>
        <w:t>R</w:t>
      </w:r>
      <w:r w:rsidRPr="00681D35">
        <w:rPr>
          <w:rFonts w:ascii="Book Antiqua" w:eastAsia="Book Antiqua" w:hAnsi="Book Antiqua" w:cs="Book Antiqua"/>
          <w:color w:val="000000" w:themeColor="text1"/>
        </w:rPr>
        <w:t xml:space="preserve">emimazolam benzenesulfonate has good effectiveness and safety for diagnostic and operational sedation. </w:t>
      </w:r>
    </w:p>
    <w:p w14:paraId="15AD4C3E" w14:textId="77777777" w:rsidR="00347BCA" w:rsidRPr="00681D35" w:rsidRDefault="00347BCA" w:rsidP="003C2906">
      <w:pPr>
        <w:adjustRightInd w:val="0"/>
        <w:snapToGrid w:val="0"/>
        <w:spacing w:line="360" w:lineRule="auto"/>
        <w:jc w:val="both"/>
        <w:rPr>
          <w:rFonts w:ascii="Book Antiqua" w:hAnsi="Book Antiqua"/>
          <w:color w:val="000000" w:themeColor="text1"/>
        </w:rPr>
      </w:pPr>
    </w:p>
    <w:p w14:paraId="345298E0"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b/>
          <w:i/>
          <w:color w:val="000000" w:themeColor="text1"/>
        </w:rPr>
        <w:lastRenderedPageBreak/>
        <w:t>Research motivation</w:t>
      </w:r>
    </w:p>
    <w:p w14:paraId="5FBFA59C"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color w:val="000000" w:themeColor="text1"/>
        </w:rPr>
        <w:t>This study investigated the clinical value of remimazolam benzenesulfonate in cardiac surgery patients under general anesthesia.</w:t>
      </w:r>
    </w:p>
    <w:p w14:paraId="56414283" w14:textId="77777777" w:rsidR="00347BCA" w:rsidRPr="00681D35" w:rsidRDefault="00347BCA" w:rsidP="003C2906">
      <w:pPr>
        <w:adjustRightInd w:val="0"/>
        <w:snapToGrid w:val="0"/>
        <w:spacing w:line="360" w:lineRule="auto"/>
        <w:jc w:val="both"/>
        <w:rPr>
          <w:rFonts w:ascii="Book Antiqua" w:hAnsi="Book Antiqua"/>
          <w:color w:val="000000" w:themeColor="text1"/>
        </w:rPr>
      </w:pPr>
    </w:p>
    <w:p w14:paraId="20A18A90"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b/>
          <w:i/>
          <w:color w:val="000000" w:themeColor="text1"/>
        </w:rPr>
        <w:t>Research objectives</w:t>
      </w:r>
    </w:p>
    <w:p w14:paraId="704D6A29" w14:textId="778B70A6"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color w:val="000000" w:themeColor="text1"/>
        </w:rPr>
        <w:t>In order to explore the clinical value of rem</w:t>
      </w:r>
      <w:r w:rsidR="00BE5891" w:rsidRPr="00681D35">
        <w:rPr>
          <w:rFonts w:ascii="Book Antiqua" w:eastAsia="Book Antiqua" w:hAnsi="Book Antiqua" w:cs="Book Antiqua"/>
          <w:color w:val="000000" w:themeColor="text1"/>
        </w:rPr>
        <w:t>im</w:t>
      </w:r>
      <w:r w:rsidRPr="00681D35">
        <w:rPr>
          <w:rFonts w:ascii="Book Antiqua" w:eastAsia="Book Antiqua" w:hAnsi="Book Antiqua" w:cs="Book Antiqua"/>
          <w:color w:val="000000" w:themeColor="text1"/>
        </w:rPr>
        <w:t>azolam be</w:t>
      </w:r>
      <w:r w:rsidR="00BE5891" w:rsidRPr="00681D35">
        <w:rPr>
          <w:rFonts w:ascii="Book Antiqua" w:eastAsia="Book Antiqua" w:hAnsi="Book Antiqua" w:cs="Book Antiqua"/>
          <w:color w:val="000000" w:themeColor="text1"/>
        </w:rPr>
        <w:t>nzene</w:t>
      </w:r>
      <w:r w:rsidRPr="00681D35">
        <w:rPr>
          <w:rFonts w:ascii="Book Antiqua" w:eastAsia="Book Antiqua" w:hAnsi="Book Antiqua" w:cs="Book Antiqua"/>
          <w:color w:val="000000" w:themeColor="text1"/>
        </w:rPr>
        <w:t>s</w:t>
      </w:r>
      <w:r w:rsidR="00BE5891" w:rsidRPr="00681D35">
        <w:rPr>
          <w:rFonts w:ascii="Book Antiqua" w:eastAsia="Book Antiqua" w:hAnsi="Book Antiqua" w:cs="Book Antiqua"/>
          <w:color w:val="000000" w:themeColor="text1"/>
        </w:rPr>
        <w:t>ulfon</w:t>
      </w:r>
      <w:r w:rsidRPr="00681D35">
        <w:rPr>
          <w:rFonts w:ascii="Book Antiqua" w:eastAsia="Book Antiqua" w:hAnsi="Book Antiqua" w:cs="Book Antiqua"/>
          <w:color w:val="000000" w:themeColor="text1"/>
        </w:rPr>
        <w:t>ate under general anesthesia in patients undergoing cardiac surgery.</w:t>
      </w:r>
    </w:p>
    <w:p w14:paraId="64EE9B68" w14:textId="77777777" w:rsidR="00347BCA" w:rsidRPr="00681D35" w:rsidRDefault="00347BCA" w:rsidP="003C2906">
      <w:pPr>
        <w:adjustRightInd w:val="0"/>
        <w:snapToGrid w:val="0"/>
        <w:spacing w:line="360" w:lineRule="auto"/>
        <w:jc w:val="both"/>
        <w:rPr>
          <w:rFonts w:ascii="Book Antiqua" w:hAnsi="Book Antiqua"/>
          <w:color w:val="000000" w:themeColor="text1"/>
        </w:rPr>
      </w:pPr>
    </w:p>
    <w:p w14:paraId="30CCD001"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b/>
          <w:i/>
          <w:color w:val="000000" w:themeColor="text1"/>
        </w:rPr>
        <w:t>Research methods</w:t>
      </w:r>
    </w:p>
    <w:p w14:paraId="3C548D6E" w14:textId="3B6D9334"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color w:val="000000" w:themeColor="text1"/>
        </w:rPr>
        <w:t>In total, 80 patients who underwent surgery were included in the study. Using a random number table, patients were divided into two anesthesia induction groups of 40 patients each: remimazolam and propofol. Hemodynamic parameters, inflammatory stress response indices, respiratory function indices, perioperative indices and adverse reactions in the two groups were monitored over time for comparison.</w:t>
      </w:r>
    </w:p>
    <w:p w14:paraId="12C2915A" w14:textId="77777777" w:rsidR="00347BCA" w:rsidRPr="00681D35" w:rsidRDefault="00347BCA" w:rsidP="003C2906">
      <w:pPr>
        <w:adjustRightInd w:val="0"/>
        <w:snapToGrid w:val="0"/>
        <w:spacing w:line="360" w:lineRule="auto"/>
        <w:jc w:val="both"/>
        <w:rPr>
          <w:rFonts w:ascii="Book Antiqua" w:hAnsi="Book Antiqua"/>
          <w:color w:val="000000" w:themeColor="text1"/>
        </w:rPr>
      </w:pPr>
    </w:p>
    <w:p w14:paraId="4D4EDBBF"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b/>
          <w:i/>
          <w:color w:val="000000" w:themeColor="text1"/>
        </w:rPr>
        <w:t>Research results</w:t>
      </w:r>
    </w:p>
    <w:p w14:paraId="6551151D" w14:textId="2D04805F" w:rsidR="00347BCA" w:rsidRPr="00681D35" w:rsidRDefault="006407D4" w:rsidP="003C2906">
      <w:pPr>
        <w:adjustRightInd w:val="0"/>
        <w:snapToGrid w:val="0"/>
        <w:spacing w:line="360" w:lineRule="auto"/>
        <w:jc w:val="both"/>
        <w:rPr>
          <w:rFonts w:ascii="Book Antiqua" w:eastAsia="Book Antiqua" w:hAnsi="Book Antiqua" w:cs="Book Antiqua"/>
          <w:color w:val="000000" w:themeColor="text1"/>
        </w:rPr>
      </w:pPr>
      <w:r w:rsidRPr="00681D35">
        <w:rPr>
          <w:rFonts w:ascii="Book Antiqua" w:eastAsia="Book Antiqua" w:hAnsi="Book Antiqua" w:cs="Book Antiqua"/>
          <w:color w:val="000000" w:themeColor="text1"/>
        </w:rPr>
        <w:t xml:space="preserve">At </w:t>
      </w:r>
      <w:r w:rsidR="009B7A92" w:rsidRPr="00681D35">
        <w:rPr>
          <w:rFonts w:ascii="Book Antiqua" w:eastAsia="Book Antiqua" w:hAnsi="Book Antiqua" w:cs="Book Antiqua"/>
          <w:color w:val="000000" w:themeColor="text1"/>
        </w:rPr>
        <w:t>pre-anesthesia induction</w:t>
      </w:r>
      <w:r w:rsidRPr="00681D35">
        <w:rPr>
          <w:rFonts w:ascii="Book Antiqua" w:eastAsia="Book Antiqua" w:hAnsi="Book Antiqua" w:cs="Book Antiqua"/>
          <w:color w:val="000000" w:themeColor="text1"/>
        </w:rPr>
        <w:t>, the remimazolam and propofol groups did not differ regarding heart rate, mean arterial pressure, cardiac index or volume per wave index. A</w:t>
      </w:r>
      <w:r w:rsidR="00C73D6F" w:rsidRPr="00681D35">
        <w:rPr>
          <w:rFonts w:ascii="Book Antiqua" w:eastAsia="Book Antiqua" w:hAnsi="Book Antiqua" w:cs="Book Antiqua"/>
          <w:color w:val="000000" w:themeColor="text1"/>
        </w:rPr>
        <w:t>fter endotracheal intubation and when the sternum was cut off</w:t>
      </w:r>
      <w:r w:rsidRPr="00681D35">
        <w:rPr>
          <w:rFonts w:ascii="Book Antiqua" w:eastAsia="Book Antiqua" w:hAnsi="Book Antiqua" w:cs="Book Antiqua"/>
          <w:color w:val="000000" w:themeColor="text1"/>
        </w:rPr>
        <w:t xml:space="preserve">, </w:t>
      </w:r>
      <w:r w:rsidR="00B91A0A" w:rsidRPr="00681D35">
        <w:rPr>
          <w:rFonts w:ascii="Book Antiqua" w:eastAsia="Book Antiqua" w:hAnsi="Book Antiqua" w:cs="Book Antiqua"/>
          <w:color w:val="000000" w:themeColor="text1"/>
        </w:rPr>
        <w:t>mean arterial pressure</w:t>
      </w:r>
      <w:r w:rsidRPr="00681D35">
        <w:rPr>
          <w:rFonts w:ascii="Book Antiqua" w:eastAsia="Book Antiqua" w:hAnsi="Book Antiqua" w:cs="Book Antiqua"/>
          <w:color w:val="000000" w:themeColor="text1"/>
        </w:rPr>
        <w:t xml:space="preserve"> and </w:t>
      </w:r>
      <w:r w:rsidR="00C73D6F" w:rsidRPr="00681D35">
        <w:rPr>
          <w:rFonts w:ascii="Book Antiqua" w:eastAsia="Book Antiqua" w:hAnsi="Book Antiqua" w:cs="Book Antiqua"/>
          <w:color w:val="000000" w:themeColor="text1"/>
        </w:rPr>
        <w:t>volume per wave index</w:t>
      </w:r>
      <w:r w:rsidRPr="00681D35">
        <w:rPr>
          <w:rFonts w:ascii="Book Antiqua" w:eastAsia="Book Antiqua" w:hAnsi="Book Antiqua" w:cs="Book Antiqua"/>
          <w:color w:val="000000" w:themeColor="text1"/>
        </w:rPr>
        <w:t xml:space="preserve"> were significantly higher in the remimazolam group than in the propofol group. A</w:t>
      </w:r>
      <w:r w:rsidR="00C73D6F" w:rsidRPr="00681D35">
        <w:rPr>
          <w:rFonts w:ascii="Book Antiqua" w:eastAsia="Book Antiqua" w:hAnsi="Book Antiqua" w:cs="Book Antiqua"/>
          <w:color w:val="000000" w:themeColor="text1"/>
        </w:rPr>
        <w:t>fter endotracheal intubation</w:t>
      </w:r>
      <w:r w:rsidRPr="00681D35">
        <w:rPr>
          <w:rFonts w:ascii="Book Antiqua" w:eastAsia="Book Antiqua" w:hAnsi="Book Antiqua" w:cs="Book Antiqua"/>
          <w:color w:val="000000" w:themeColor="text1"/>
        </w:rPr>
        <w:t xml:space="preserve">, the oxygenation index and the respiratory index did not differ between the groups. </w:t>
      </w:r>
      <w:r w:rsidR="00C73D6F" w:rsidRPr="00681D35">
        <w:rPr>
          <w:rFonts w:ascii="Book Antiqua" w:eastAsia="Book Antiqua" w:hAnsi="Book Antiqua" w:cs="Book Antiqua"/>
          <w:color w:val="000000" w:themeColor="text1"/>
        </w:rPr>
        <w:t xml:space="preserve">After endotracheal intubation and when the sternum was cut off, </w:t>
      </w:r>
      <w:r w:rsidRPr="00681D35">
        <w:rPr>
          <w:rFonts w:ascii="Book Antiqua" w:eastAsia="Book Antiqua" w:hAnsi="Book Antiqua" w:cs="Book Antiqua"/>
          <w:color w:val="000000" w:themeColor="text1"/>
        </w:rPr>
        <w:t xml:space="preserve">the </w:t>
      </w:r>
      <w:r w:rsidR="00C73D6F" w:rsidRPr="00681D35">
        <w:rPr>
          <w:rFonts w:ascii="Book Antiqua" w:eastAsia="Book Antiqua" w:hAnsi="Book Antiqua" w:cs="Book Antiqua"/>
          <w:color w:val="000000" w:themeColor="text1"/>
        </w:rPr>
        <w:t>oxygenation index</w:t>
      </w:r>
      <w:r w:rsidRPr="00681D35">
        <w:rPr>
          <w:rFonts w:ascii="Book Antiqua" w:eastAsia="Book Antiqua" w:hAnsi="Book Antiqua" w:cs="Book Antiqua"/>
          <w:color w:val="000000" w:themeColor="text1"/>
        </w:rPr>
        <w:t xml:space="preserve"> values were significantly higher in the remimazolam group than in the propofol group. Serum interleukin-6 and tumor necrosis factor-α levels 12 h after surgery were significantly higher than before surgery in both groups. </w:t>
      </w:r>
    </w:p>
    <w:p w14:paraId="72A3D47F" w14:textId="77777777" w:rsidR="00347BCA" w:rsidRPr="00681D35" w:rsidRDefault="00347BCA" w:rsidP="003C2906">
      <w:pPr>
        <w:adjustRightInd w:val="0"/>
        <w:snapToGrid w:val="0"/>
        <w:spacing w:line="360" w:lineRule="auto"/>
        <w:jc w:val="both"/>
        <w:rPr>
          <w:rFonts w:ascii="Book Antiqua" w:hAnsi="Book Antiqua"/>
          <w:color w:val="000000" w:themeColor="text1"/>
        </w:rPr>
      </w:pPr>
    </w:p>
    <w:p w14:paraId="121BF99C"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b/>
          <w:i/>
          <w:color w:val="000000" w:themeColor="text1"/>
        </w:rPr>
        <w:t>Research conclusions</w:t>
      </w:r>
    </w:p>
    <w:p w14:paraId="564397AF"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color w:val="000000" w:themeColor="text1"/>
        </w:rPr>
        <w:lastRenderedPageBreak/>
        <w:t>The results suggest that compared with propofol, remimazolam benzenesulfonate benefited cardiac surgery patients under general anesthesia by reducing hemodynamic fluctuations.</w:t>
      </w:r>
    </w:p>
    <w:p w14:paraId="7A1EEF62" w14:textId="77777777" w:rsidR="00347BCA" w:rsidRPr="00681D35" w:rsidRDefault="00347BCA" w:rsidP="003C2906">
      <w:pPr>
        <w:adjustRightInd w:val="0"/>
        <w:snapToGrid w:val="0"/>
        <w:spacing w:line="360" w:lineRule="auto"/>
        <w:jc w:val="both"/>
        <w:rPr>
          <w:rFonts w:ascii="Book Antiqua" w:hAnsi="Book Antiqua"/>
          <w:color w:val="000000" w:themeColor="text1"/>
        </w:rPr>
      </w:pPr>
    </w:p>
    <w:p w14:paraId="0FD28880"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b/>
          <w:i/>
          <w:color w:val="000000" w:themeColor="text1"/>
        </w:rPr>
        <w:t>Research perspectives</w:t>
      </w:r>
    </w:p>
    <w:p w14:paraId="1ACB60C2" w14:textId="1F38E62E"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color w:val="000000" w:themeColor="text1"/>
        </w:rPr>
        <w:t>Rem</w:t>
      </w:r>
      <w:r w:rsidR="000061E0" w:rsidRPr="00681D35">
        <w:rPr>
          <w:rFonts w:ascii="Book Antiqua" w:eastAsia="Book Antiqua" w:hAnsi="Book Antiqua" w:cs="Book Antiqua"/>
          <w:color w:val="000000" w:themeColor="text1"/>
        </w:rPr>
        <w:t>im</w:t>
      </w:r>
      <w:r w:rsidRPr="00681D35">
        <w:rPr>
          <w:rFonts w:ascii="Book Antiqua" w:eastAsia="Book Antiqua" w:hAnsi="Book Antiqua" w:cs="Book Antiqua"/>
          <w:color w:val="000000" w:themeColor="text1"/>
        </w:rPr>
        <w:t>azolam be</w:t>
      </w:r>
      <w:r w:rsidR="000061E0" w:rsidRPr="00681D35">
        <w:rPr>
          <w:rFonts w:ascii="Book Antiqua" w:eastAsia="Book Antiqua" w:hAnsi="Book Antiqua" w:cs="Book Antiqua"/>
          <w:color w:val="000000" w:themeColor="text1"/>
        </w:rPr>
        <w:t>nzenesulfonate</w:t>
      </w:r>
      <w:r w:rsidRPr="00681D35">
        <w:rPr>
          <w:rFonts w:ascii="Book Antiqua" w:eastAsia="Book Antiqua" w:hAnsi="Book Antiqua" w:cs="Book Antiqua"/>
          <w:color w:val="000000" w:themeColor="text1"/>
        </w:rPr>
        <w:t xml:space="preserve"> can affect surgical stress response and respiratory function, thereby reducing adverse reactions related to anesthesia and has greater clinical promotion value.</w:t>
      </w:r>
    </w:p>
    <w:p w14:paraId="074BA62E" w14:textId="77777777" w:rsidR="00347BCA" w:rsidRPr="00681D35" w:rsidRDefault="00347BCA" w:rsidP="003C2906">
      <w:pPr>
        <w:adjustRightInd w:val="0"/>
        <w:snapToGrid w:val="0"/>
        <w:spacing w:line="360" w:lineRule="auto"/>
        <w:jc w:val="both"/>
        <w:rPr>
          <w:rFonts w:ascii="Book Antiqua" w:hAnsi="Book Antiqua"/>
          <w:color w:val="000000" w:themeColor="text1"/>
        </w:rPr>
      </w:pPr>
    </w:p>
    <w:p w14:paraId="7C32F2EC"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b/>
          <w:color w:val="000000" w:themeColor="text1"/>
        </w:rPr>
        <w:t>REFERENCES</w:t>
      </w:r>
    </w:p>
    <w:p w14:paraId="499E3B20"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color w:val="000000" w:themeColor="text1"/>
        </w:rPr>
        <w:t xml:space="preserve">1 </w:t>
      </w:r>
      <w:r w:rsidRPr="00681D35">
        <w:rPr>
          <w:rFonts w:ascii="Book Antiqua" w:eastAsia="Book Antiqua" w:hAnsi="Book Antiqua" w:cs="Book Antiqua"/>
          <w:b/>
          <w:bCs/>
          <w:color w:val="000000" w:themeColor="text1"/>
        </w:rPr>
        <w:t>Brown CH 4th</w:t>
      </w:r>
      <w:r w:rsidRPr="00681D35">
        <w:rPr>
          <w:rFonts w:ascii="Book Antiqua" w:eastAsia="Book Antiqua" w:hAnsi="Book Antiqua" w:cs="Book Antiqua"/>
          <w:color w:val="000000" w:themeColor="text1"/>
        </w:rPr>
        <w:t xml:space="preserve">, Neufeld KJ, Tian J, Probert J, LaFlam A, Max L, Hori D, Nomura Y, Mandal K, Brady K, Hogue CW; Cerebral Autoregulation Study Group, Shah A, Zehr K, Cameron D, Conte J, Bienvenu OJ, Gottesman R, Yamaguchi A, Kraut M. Effect of Targeting Mean Arterial Pressure During Cardiopulmonary Bypass by Monitoring Cerebral Autoregulation on Postsurgical Delirium Among Older Patients: A Nested Randomized Clinical Trial. </w:t>
      </w:r>
      <w:r w:rsidRPr="00681D35">
        <w:rPr>
          <w:rFonts w:ascii="Book Antiqua" w:eastAsia="Book Antiqua" w:hAnsi="Book Antiqua" w:cs="Book Antiqua"/>
          <w:i/>
          <w:iCs/>
          <w:color w:val="000000" w:themeColor="text1"/>
        </w:rPr>
        <w:t>JAMA Surg</w:t>
      </w:r>
      <w:r w:rsidRPr="00681D35">
        <w:rPr>
          <w:rFonts w:ascii="Book Antiqua" w:eastAsia="Book Antiqua" w:hAnsi="Book Antiqua" w:cs="Book Antiqua"/>
          <w:color w:val="000000" w:themeColor="text1"/>
        </w:rPr>
        <w:t xml:space="preserve"> 2019; </w:t>
      </w:r>
      <w:r w:rsidRPr="00681D35">
        <w:rPr>
          <w:rFonts w:ascii="Book Antiqua" w:eastAsia="Book Antiqua" w:hAnsi="Book Antiqua" w:cs="Book Antiqua"/>
          <w:b/>
          <w:bCs/>
          <w:color w:val="000000" w:themeColor="text1"/>
        </w:rPr>
        <w:t>154</w:t>
      </w:r>
      <w:r w:rsidRPr="00681D35">
        <w:rPr>
          <w:rFonts w:ascii="Book Antiqua" w:eastAsia="Book Antiqua" w:hAnsi="Book Antiqua" w:cs="Book Antiqua"/>
          <w:color w:val="000000" w:themeColor="text1"/>
        </w:rPr>
        <w:t>: 819-826 [PMID: 31116358 DOI: 10.1001/jamasurg.2019.1163]</w:t>
      </w:r>
    </w:p>
    <w:p w14:paraId="564F09F9"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color w:val="000000" w:themeColor="text1"/>
        </w:rPr>
        <w:t xml:space="preserve">2 </w:t>
      </w:r>
      <w:r w:rsidRPr="00681D35">
        <w:rPr>
          <w:rFonts w:ascii="Book Antiqua" w:eastAsia="Book Antiqua" w:hAnsi="Book Antiqua" w:cs="Book Antiqua"/>
          <w:b/>
          <w:bCs/>
          <w:color w:val="000000" w:themeColor="text1"/>
        </w:rPr>
        <w:t>Hori D</w:t>
      </w:r>
      <w:r w:rsidRPr="00681D35">
        <w:rPr>
          <w:rFonts w:ascii="Book Antiqua" w:eastAsia="Book Antiqua" w:hAnsi="Book Antiqua" w:cs="Book Antiqua"/>
          <w:color w:val="000000" w:themeColor="text1"/>
        </w:rPr>
        <w:t xml:space="preserve">, Nomura Y, Ono M, Joshi B, Mandal K, Cameron D, Kocherginsky M, Hogue CW. Optimal blood pressure during cardiopulmonary bypass defined by cerebral autoregulation monitoring. </w:t>
      </w:r>
      <w:r w:rsidRPr="00681D35">
        <w:rPr>
          <w:rFonts w:ascii="Book Antiqua" w:eastAsia="Book Antiqua" w:hAnsi="Book Antiqua" w:cs="Book Antiqua"/>
          <w:i/>
          <w:iCs/>
          <w:color w:val="000000" w:themeColor="text1"/>
        </w:rPr>
        <w:t>J Thorac Cardiovasc Surg</w:t>
      </w:r>
      <w:r w:rsidRPr="00681D35">
        <w:rPr>
          <w:rFonts w:ascii="Book Antiqua" w:eastAsia="Book Antiqua" w:hAnsi="Book Antiqua" w:cs="Book Antiqua"/>
          <w:color w:val="000000" w:themeColor="text1"/>
        </w:rPr>
        <w:t xml:space="preserve"> 2017; </w:t>
      </w:r>
      <w:r w:rsidRPr="00681D35">
        <w:rPr>
          <w:rFonts w:ascii="Book Antiqua" w:eastAsia="Book Antiqua" w:hAnsi="Book Antiqua" w:cs="Book Antiqua"/>
          <w:b/>
          <w:bCs/>
          <w:color w:val="000000" w:themeColor="text1"/>
        </w:rPr>
        <w:t>154</w:t>
      </w:r>
      <w:r w:rsidRPr="00681D35">
        <w:rPr>
          <w:rFonts w:ascii="Book Antiqua" w:eastAsia="Book Antiqua" w:hAnsi="Book Antiqua" w:cs="Book Antiqua"/>
          <w:color w:val="000000" w:themeColor="text1"/>
        </w:rPr>
        <w:t>: 1590-1598.e2 [PMID: 29042040 DOI: 10.1016/j.jtcvs.2017.04.091]</w:t>
      </w:r>
    </w:p>
    <w:p w14:paraId="313E7D02"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color w:val="000000" w:themeColor="text1"/>
        </w:rPr>
        <w:t xml:space="preserve">3 </w:t>
      </w:r>
      <w:r w:rsidRPr="00681D35">
        <w:rPr>
          <w:rFonts w:ascii="Book Antiqua" w:eastAsia="Book Antiqua" w:hAnsi="Book Antiqua" w:cs="Book Antiqua"/>
          <w:b/>
          <w:bCs/>
          <w:color w:val="000000" w:themeColor="text1"/>
        </w:rPr>
        <w:t>Surman TL</w:t>
      </w:r>
      <w:r w:rsidRPr="00681D35">
        <w:rPr>
          <w:rFonts w:ascii="Book Antiqua" w:eastAsia="Book Antiqua" w:hAnsi="Book Antiqua" w:cs="Book Antiqua"/>
          <w:color w:val="000000" w:themeColor="text1"/>
        </w:rPr>
        <w:t xml:space="preserve">, Worthington MG, Nadal JM. Cardiopulmonary Bypass in Non-Cardiac Surgery. </w:t>
      </w:r>
      <w:r w:rsidRPr="00681D35">
        <w:rPr>
          <w:rFonts w:ascii="Book Antiqua" w:eastAsia="Book Antiqua" w:hAnsi="Book Antiqua" w:cs="Book Antiqua"/>
          <w:i/>
          <w:iCs/>
          <w:color w:val="000000" w:themeColor="text1"/>
        </w:rPr>
        <w:t>Heart Lung Circ</w:t>
      </w:r>
      <w:r w:rsidRPr="00681D35">
        <w:rPr>
          <w:rFonts w:ascii="Book Antiqua" w:eastAsia="Book Antiqua" w:hAnsi="Book Antiqua" w:cs="Book Antiqua"/>
          <w:color w:val="000000" w:themeColor="text1"/>
        </w:rPr>
        <w:t xml:space="preserve"> 2019; </w:t>
      </w:r>
      <w:r w:rsidRPr="00681D35">
        <w:rPr>
          <w:rFonts w:ascii="Book Antiqua" w:eastAsia="Book Antiqua" w:hAnsi="Book Antiqua" w:cs="Book Antiqua"/>
          <w:b/>
          <w:bCs/>
          <w:color w:val="000000" w:themeColor="text1"/>
        </w:rPr>
        <w:t>28</w:t>
      </w:r>
      <w:r w:rsidRPr="00681D35">
        <w:rPr>
          <w:rFonts w:ascii="Book Antiqua" w:eastAsia="Book Antiqua" w:hAnsi="Book Antiqua" w:cs="Book Antiqua"/>
          <w:color w:val="000000" w:themeColor="text1"/>
        </w:rPr>
        <w:t>: 959-969 [PMID: 29753653 DOI: 10.1016/j.hlc.2018.04.284]</w:t>
      </w:r>
    </w:p>
    <w:p w14:paraId="454E909D"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color w:val="000000" w:themeColor="text1"/>
        </w:rPr>
        <w:t xml:space="preserve">4 </w:t>
      </w:r>
      <w:r w:rsidRPr="00681D35">
        <w:rPr>
          <w:rFonts w:ascii="Book Antiqua" w:eastAsia="Book Antiqua" w:hAnsi="Book Antiqua" w:cs="Book Antiqua"/>
          <w:b/>
          <w:bCs/>
          <w:color w:val="000000" w:themeColor="text1"/>
        </w:rPr>
        <w:t>Vedel AG</w:t>
      </w:r>
      <w:r w:rsidRPr="00681D35">
        <w:rPr>
          <w:rFonts w:ascii="Book Antiqua" w:eastAsia="Book Antiqua" w:hAnsi="Book Antiqua" w:cs="Book Antiqua"/>
          <w:color w:val="000000" w:themeColor="text1"/>
        </w:rPr>
        <w:t xml:space="preserve">, Holmgaard F, Rasmussen LS, Langkilde A, Paulson OB, Lange T, Thomsen C, Olsen PS, Ravn HB, Nilsson JC. High-Target Versus Low-Target Blood Pressure Management During Cardiopulmonary Bypass to Prevent Cerebral Injury in Cardiac Surgery Patients: A Randomized Controlled Trial. </w:t>
      </w:r>
      <w:r w:rsidRPr="00681D35">
        <w:rPr>
          <w:rFonts w:ascii="Book Antiqua" w:eastAsia="Book Antiqua" w:hAnsi="Book Antiqua" w:cs="Book Antiqua"/>
          <w:i/>
          <w:iCs/>
          <w:color w:val="000000" w:themeColor="text1"/>
        </w:rPr>
        <w:t>Circulation</w:t>
      </w:r>
      <w:r w:rsidRPr="00681D35">
        <w:rPr>
          <w:rFonts w:ascii="Book Antiqua" w:eastAsia="Book Antiqua" w:hAnsi="Book Antiqua" w:cs="Book Antiqua"/>
          <w:color w:val="000000" w:themeColor="text1"/>
        </w:rPr>
        <w:t xml:space="preserve"> 2018; </w:t>
      </w:r>
      <w:r w:rsidRPr="00681D35">
        <w:rPr>
          <w:rFonts w:ascii="Book Antiqua" w:eastAsia="Book Antiqua" w:hAnsi="Book Antiqua" w:cs="Book Antiqua"/>
          <w:b/>
          <w:bCs/>
          <w:color w:val="000000" w:themeColor="text1"/>
        </w:rPr>
        <w:t>137</w:t>
      </w:r>
      <w:r w:rsidRPr="00681D35">
        <w:rPr>
          <w:rFonts w:ascii="Book Antiqua" w:eastAsia="Book Antiqua" w:hAnsi="Book Antiqua" w:cs="Book Antiqua"/>
          <w:color w:val="000000" w:themeColor="text1"/>
        </w:rPr>
        <w:t>: 1770-1780 [PMID: 29339351 DOI: 10.1161/CIRCULATIONAHA.117.030308]</w:t>
      </w:r>
    </w:p>
    <w:p w14:paraId="720EBD89"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color w:val="000000" w:themeColor="text1"/>
        </w:rPr>
        <w:t xml:space="preserve">5 </w:t>
      </w:r>
      <w:r w:rsidRPr="00681D35">
        <w:rPr>
          <w:rFonts w:ascii="Book Antiqua" w:eastAsia="Book Antiqua" w:hAnsi="Book Antiqua" w:cs="Book Antiqua"/>
          <w:b/>
          <w:bCs/>
          <w:color w:val="000000" w:themeColor="text1"/>
        </w:rPr>
        <w:t>Krispinsky LT</w:t>
      </w:r>
      <w:r w:rsidRPr="00681D35">
        <w:rPr>
          <w:rFonts w:ascii="Book Antiqua" w:eastAsia="Book Antiqua" w:hAnsi="Book Antiqua" w:cs="Book Antiqua"/>
          <w:color w:val="000000" w:themeColor="text1"/>
        </w:rPr>
        <w:t xml:space="preserve">, Stark RJ, Parra DA, Luan L, Bichell DP, Pietsch JB, Lamb FS. Endothelial-Dependent Vasomotor Dysfunction in Infants After Cardiopulmonary </w:t>
      </w:r>
      <w:r w:rsidRPr="00681D35">
        <w:rPr>
          <w:rFonts w:ascii="Book Antiqua" w:eastAsia="Book Antiqua" w:hAnsi="Book Antiqua" w:cs="Book Antiqua"/>
          <w:color w:val="000000" w:themeColor="text1"/>
        </w:rPr>
        <w:lastRenderedPageBreak/>
        <w:t xml:space="preserve">Bypass. </w:t>
      </w:r>
      <w:r w:rsidRPr="00681D35">
        <w:rPr>
          <w:rFonts w:ascii="Book Antiqua" w:eastAsia="Book Antiqua" w:hAnsi="Book Antiqua" w:cs="Book Antiqua"/>
          <w:i/>
          <w:iCs/>
          <w:color w:val="000000" w:themeColor="text1"/>
        </w:rPr>
        <w:t>Pediatr Crit Care Med</w:t>
      </w:r>
      <w:r w:rsidRPr="00681D35">
        <w:rPr>
          <w:rFonts w:ascii="Book Antiqua" w:eastAsia="Book Antiqua" w:hAnsi="Book Antiqua" w:cs="Book Antiqua"/>
          <w:color w:val="000000" w:themeColor="text1"/>
        </w:rPr>
        <w:t xml:space="preserve"> 2020; </w:t>
      </w:r>
      <w:r w:rsidRPr="00681D35">
        <w:rPr>
          <w:rFonts w:ascii="Book Antiqua" w:eastAsia="Book Antiqua" w:hAnsi="Book Antiqua" w:cs="Book Antiqua"/>
          <w:b/>
          <w:bCs/>
          <w:color w:val="000000" w:themeColor="text1"/>
        </w:rPr>
        <w:t>21</w:t>
      </w:r>
      <w:r w:rsidRPr="00681D35">
        <w:rPr>
          <w:rFonts w:ascii="Book Antiqua" w:eastAsia="Book Antiqua" w:hAnsi="Book Antiqua" w:cs="Book Antiqua"/>
          <w:color w:val="000000" w:themeColor="text1"/>
        </w:rPr>
        <w:t>: 42-49 [PMID: 31246738 DOI: 10.1097/PCC.0000000000002049]</w:t>
      </w:r>
    </w:p>
    <w:p w14:paraId="3A8A1D31"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color w:val="000000" w:themeColor="text1"/>
        </w:rPr>
        <w:t xml:space="preserve">6 </w:t>
      </w:r>
      <w:r w:rsidRPr="00681D35">
        <w:rPr>
          <w:rFonts w:ascii="Book Antiqua" w:eastAsia="Book Antiqua" w:hAnsi="Book Antiqua" w:cs="Book Antiqua"/>
          <w:b/>
          <w:bCs/>
          <w:color w:val="000000" w:themeColor="text1"/>
        </w:rPr>
        <w:t>Gokulan R</w:t>
      </w:r>
      <w:r w:rsidRPr="00681D35">
        <w:rPr>
          <w:rFonts w:ascii="Book Antiqua" w:eastAsia="Book Antiqua" w:hAnsi="Book Antiqua" w:cs="Book Antiqua"/>
          <w:color w:val="000000" w:themeColor="text1"/>
        </w:rPr>
        <w:t xml:space="preserve">, Prabhu GG, Jegan J. Remediation of complex remazol effluent using biochar derived from green seaweed biomass. </w:t>
      </w:r>
      <w:r w:rsidRPr="00681D35">
        <w:rPr>
          <w:rFonts w:ascii="Book Antiqua" w:eastAsia="Book Antiqua" w:hAnsi="Book Antiqua" w:cs="Book Antiqua"/>
          <w:i/>
          <w:iCs/>
          <w:color w:val="000000" w:themeColor="text1"/>
        </w:rPr>
        <w:t>Int J Phytoremediation</w:t>
      </w:r>
      <w:r w:rsidRPr="00681D35">
        <w:rPr>
          <w:rFonts w:ascii="Book Antiqua" w:eastAsia="Book Antiqua" w:hAnsi="Book Antiqua" w:cs="Book Antiqua"/>
          <w:color w:val="000000" w:themeColor="text1"/>
        </w:rPr>
        <w:t xml:space="preserve"> 2019; </w:t>
      </w:r>
      <w:r w:rsidRPr="00681D35">
        <w:rPr>
          <w:rFonts w:ascii="Book Antiqua" w:eastAsia="Book Antiqua" w:hAnsi="Book Antiqua" w:cs="Book Antiqua"/>
          <w:b/>
          <w:bCs/>
          <w:color w:val="000000" w:themeColor="text1"/>
        </w:rPr>
        <w:t>21</w:t>
      </w:r>
      <w:r w:rsidRPr="00681D35">
        <w:rPr>
          <w:rFonts w:ascii="Book Antiqua" w:eastAsia="Book Antiqua" w:hAnsi="Book Antiqua" w:cs="Book Antiqua"/>
          <w:color w:val="000000" w:themeColor="text1"/>
        </w:rPr>
        <w:t>: 1179-1189 [PMID: 31111742 DOI: 10.1080/15226514.2019.1612845]</w:t>
      </w:r>
    </w:p>
    <w:p w14:paraId="5F8EB458"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color w:val="000000" w:themeColor="text1"/>
        </w:rPr>
        <w:t xml:space="preserve">7 </w:t>
      </w:r>
      <w:r w:rsidRPr="00681D35">
        <w:rPr>
          <w:rFonts w:ascii="Book Antiqua" w:eastAsia="Book Antiqua" w:hAnsi="Book Antiqua" w:cs="Book Antiqua"/>
          <w:b/>
          <w:bCs/>
          <w:color w:val="000000" w:themeColor="text1"/>
        </w:rPr>
        <w:t>Hino H</w:t>
      </w:r>
      <w:r w:rsidRPr="00681D35">
        <w:rPr>
          <w:rFonts w:ascii="Book Antiqua" w:eastAsia="Book Antiqua" w:hAnsi="Book Antiqua" w:cs="Book Antiqua"/>
          <w:color w:val="000000" w:themeColor="text1"/>
        </w:rPr>
        <w:t xml:space="preserve">, Matsuura T, Kihara Y, Tsujikawa S, Mori T, Nishikawa K. Comparison between hemodynamic effects of propofol and thiopental during general anesthesia induction with remifentanil infusion: a double-blind, age-stratified, randomized study. </w:t>
      </w:r>
      <w:r w:rsidRPr="00681D35">
        <w:rPr>
          <w:rFonts w:ascii="Book Antiqua" w:eastAsia="Book Antiqua" w:hAnsi="Book Antiqua" w:cs="Book Antiqua"/>
          <w:i/>
          <w:iCs/>
          <w:color w:val="000000" w:themeColor="text1"/>
        </w:rPr>
        <w:t>J Anesth</w:t>
      </w:r>
      <w:r w:rsidRPr="00681D35">
        <w:rPr>
          <w:rFonts w:ascii="Book Antiqua" w:eastAsia="Book Antiqua" w:hAnsi="Book Antiqua" w:cs="Book Antiqua"/>
          <w:color w:val="000000" w:themeColor="text1"/>
        </w:rPr>
        <w:t xml:space="preserve"> 2019; </w:t>
      </w:r>
      <w:r w:rsidRPr="00681D35">
        <w:rPr>
          <w:rFonts w:ascii="Book Antiqua" w:eastAsia="Book Antiqua" w:hAnsi="Book Antiqua" w:cs="Book Antiqua"/>
          <w:b/>
          <w:bCs/>
          <w:color w:val="000000" w:themeColor="text1"/>
        </w:rPr>
        <w:t>33</w:t>
      </w:r>
      <w:r w:rsidRPr="00681D35">
        <w:rPr>
          <w:rFonts w:ascii="Book Antiqua" w:eastAsia="Book Antiqua" w:hAnsi="Book Antiqua" w:cs="Book Antiqua"/>
          <w:color w:val="000000" w:themeColor="text1"/>
        </w:rPr>
        <w:t>: 509-515 [PMID: 31228006 DOI: 10.1007/s00540-019-02657-x]</w:t>
      </w:r>
    </w:p>
    <w:p w14:paraId="00A9821E"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color w:val="000000" w:themeColor="text1"/>
        </w:rPr>
        <w:t xml:space="preserve">8 </w:t>
      </w:r>
      <w:r w:rsidRPr="00681D35">
        <w:rPr>
          <w:rFonts w:ascii="Book Antiqua" w:eastAsia="Book Antiqua" w:hAnsi="Book Antiqua" w:cs="Book Antiqua"/>
          <w:b/>
          <w:bCs/>
          <w:color w:val="000000" w:themeColor="text1"/>
        </w:rPr>
        <w:t>Öğüt S</w:t>
      </w:r>
      <w:r w:rsidRPr="00681D35">
        <w:rPr>
          <w:rFonts w:ascii="Book Antiqua" w:eastAsia="Book Antiqua" w:hAnsi="Book Antiqua" w:cs="Book Antiqua"/>
          <w:color w:val="000000" w:themeColor="text1"/>
        </w:rPr>
        <w:t xml:space="preserve">, Sucu Dağ G. Pain Characteristics and Pain Interference Among Patients Undergoing Open Cardiac Surgery. </w:t>
      </w:r>
      <w:r w:rsidRPr="00681D35">
        <w:rPr>
          <w:rFonts w:ascii="Book Antiqua" w:eastAsia="Book Antiqua" w:hAnsi="Book Antiqua" w:cs="Book Antiqua"/>
          <w:i/>
          <w:iCs/>
          <w:color w:val="000000" w:themeColor="text1"/>
        </w:rPr>
        <w:t>J Perianesth Nurs</w:t>
      </w:r>
      <w:r w:rsidRPr="00681D35">
        <w:rPr>
          <w:rFonts w:ascii="Book Antiqua" w:eastAsia="Book Antiqua" w:hAnsi="Book Antiqua" w:cs="Book Antiqua"/>
          <w:color w:val="000000" w:themeColor="text1"/>
        </w:rPr>
        <w:t xml:space="preserve"> 2019; </w:t>
      </w:r>
      <w:r w:rsidRPr="00681D35">
        <w:rPr>
          <w:rFonts w:ascii="Book Antiqua" w:eastAsia="Book Antiqua" w:hAnsi="Book Antiqua" w:cs="Book Antiqua"/>
          <w:b/>
          <w:bCs/>
          <w:color w:val="000000" w:themeColor="text1"/>
        </w:rPr>
        <w:t>34</w:t>
      </w:r>
      <w:r w:rsidRPr="00681D35">
        <w:rPr>
          <w:rFonts w:ascii="Book Antiqua" w:eastAsia="Book Antiqua" w:hAnsi="Book Antiqua" w:cs="Book Antiqua"/>
          <w:color w:val="000000" w:themeColor="text1"/>
        </w:rPr>
        <w:t>: 757-766 [PMID: 30773408 DOI: 10.1016/j.jopan.2018.10.009]</w:t>
      </w:r>
    </w:p>
    <w:p w14:paraId="01F16CD4"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color w:val="000000" w:themeColor="text1"/>
        </w:rPr>
        <w:t xml:space="preserve">9 </w:t>
      </w:r>
      <w:r w:rsidRPr="00681D35">
        <w:rPr>
          <w:rFonts w:ascii="Book Antiqua" w:eastAsia="Book Antiqua" w:hAnsi="Book Antiqua" w:cs="Book Antiqua"/>
          <w:b/>
          <w:bCs/>
          <w:color w:val="000000" w:themeColor="text1"/>
        </w:rPr>
        <w:t>Patel AR</w:t>
      </w:r>
      <w:r w:rsidRPr="00681D35">
        <w:rPr>
          <w:rFonts w:ascii="Book Antiqua" w:eastAsia="Book Antiqua" w:hAnsi="Book Antiqua" w:cs="Book Antiqua"/>
          <w:color w:val="000000" w:themeColor="text1"/>
        </w:rPr>
        <w:t xml:space="preserve">, Patel AR, Singh S, Singh S, Munn NJ. Venovenous Extracorporeal Membrane Oxygenation Therapy in Adults. </w:t>
      </w:r>
      <w:r w:rsidRPr="00681D35">
        <w:rPr>
          <w:rFonts w:ascii="Book Antiqua" w:eastAsia="Book Antiqua" w:hAnsi="Book Antiqua" w:cs="Book Antiqua"/>
          <w:i/>
          <w:iCs/>
          <w:color w:val="000000" w:themeColor="text1"/>
        </w:rPr>
        <w:t>Cureus</w:t>
      </w:r>
      <w:r w:rsidRPr="00681D35">
        <w:rPr>
          <w:rFonts w:ascii="Book Antiqua" w:eastAsia="Book Antiqua" w:hAnsi="Book Antiqua" w:cs="Book Antiqua"/>
          <w:color w:val="000000" w:themeColor="text1"/>
        </w:rPr>
        <w:t xml:space="preserve"> 2019; </w:t>
      </w:r>
      <w:r w:rsidRPr="00681D35">
        <w:rPr>
          <w:rFonts w:ascii="Book Antiqua" w:eastAsia="Book Antiqua" w:hAnsi="Book Antiqua" w:cs="Book Antiqua"/>
          <w:b/>
          <w:bCs/>
          <w:color w:val="000000" w:themeColor="text1"/>
        </w:rPr>
        <w:t>11</w:t>
      </w:r>
      <w:r w:rsidRPr="00681D35">
        <w:rPr>
          <w:rFonts w:ascii="Book Antiqua" w:eastAsia="Book Antiqua" w:hAnsi="Book Antiqua" w:cs="Book Antiqua"/>
          <w:color w:val="000000" w:themeColor="text1"/>
        </w:rPr>
        <w:t>: e5365 [PMID: 31423406 DOI: 10.7759/cureus.5365]</w:t>
      </w:r>
    </w:p>
    <w:p w14:paraId="25E8AFC6"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color w:val="000000" w:themeColor="text1"/>
        </w:rPr>
        <w:t xml:space="preserve">10 </w:t>
      </w:r>
      <w:r w:rsidRPr="00681D35">
        <w:rPr>
          <w:rFonts w:ascii="Book Antiqua" w:eastAsia="Book Antiqua" w:hAnsi="Book Antiqua" w:cs="Book Antiqua"/>
          <w:b/>
          <w:bCs/>
          <w:color w:val="000000" w:themeColor="text1"/>
        </w:rPr>
        <w:t>Barry AE</w:t>
      </w:r>
      <w:r w:rsidRPr="00681D35">
        <w:rPr>
          <w:rFonts w:ascii="Book Antiqua" w:eastAsia="Book Antiqua" w:hAnsi="Book Antiqua" w:cs="Book Antiqua"/>
          <w:color w:val="000000" w:themeColor="text1"/>
        </w:rPr>
        <w:t xml:space="preserve">, Chaney MA, London MJ. Anesthetic management during cardiopulmonary bypass: a systematic review. </w:t>
      </w:r>
      <w:r w:rsidRPr="00681D35">
        <w:rPr>
          <w:rFonts w:ascii="Book Antiqua" w:eastAsia="Book Antiqua" w:hAnsi="Book Antiqua" w:cs="Book Antiqua"/>
          <w:i/>
          <w:iCs/>
          <w:color w:val="000000" w:themeColor="text1"/>
        </w:rPr>
        <w:t>Anesth Analg</w:t>
      </w:r>
      <w:r w:rsidRPr="00681D35">
        <w:rPr>
          <w:rFonts w:ascii="Book Antiqua" w:eastAsia="Book Antiqua" w:hAnsi="Book Antiqua" w:cs="Book Antiqua"/>
          <w:color w:val="000000" w:themeColor="text1"/>
        </w:rPr>
        <w:t xml:space="preserve"> 2015; </w:t>
      </w:r>
      <w:r w:rsidRPr="00681D35">
        <w:rPr>
          <w:rFonts w:ascii="Book Antiqua" w:eastAsia="Book Antiqua" w:hAnsi="Book Antiqua" w:cs="Book Antiqua"/>
          <w:b/>
          <w:bCs/>
          <w:color w:val="000000" w:themeColor="text1"/>
        </w:rPr>
        <w:t>120</w:t>
      </w:r>
      <w:r w:rsidRPr="00681D35">
        <w:rPr>
          <w:rFonts w:ascii="Book Antiqua" w:eastAsia="Book Antiqua" w:hAnsi="Book Antiqua" w:cs="Book Antiqua"/>
          <w:color w:val="000000" w:themeColor="text1"/>
        </w:rPr>
        <w:t>: 749-769 [PMID: 25790208 DOI: 10.1213/ANE.0000000000000612]</w:t>
      </w:r>
    </w:p>
    <w:p w14:paraId="6AAC0B17"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color w:val="000000" w:themeColor="text1"/>
        </w:rPr>
        <w:t xml:space="preserve">11 </w:t>
      </w:r>
      <w:r w:rsidRPr="00681D35">
        <w:rPr>
          <w:rFonts w:ascii="Book Antiqua" w:eastAsia="Book Antiqua" w:hAnsi="Book Antiqua" w:cs="Book Antiqua"/>
          <w:b/>
          <w:bCs/>
          <w:color w:val="000000" w:themeColor="text1"/>
        </w:rPr>
        <w:t>Hou S</w:t>
      </w:r>
      <w:r w:rsidRPr="00681D35">
        <w:rPr>
          <w:rFonts w:ascii="Book Antiqua" w:eastAsia="Book Antiqua" w:hAnsi="Book Antiqua" w:cs="Book Antiqua"/>
          <w:color w:val="000000" w:themeColor="text1"/>
        </w:rPr>
        <w:t xml:space="preserve">, Wu G, Liang J, Cheng H, Chen C. Hyperbaric oxygen on rehabilitation of brain tumors after surgery and effects on TNF-α and IL-6 levels. </w:t>
      </w:r>
      <w:r w:rsidRPr="00681D35">
        <w:rPr>
          <w:rFonts w:ascii="Book Antiqua" w:eastAsia="Book Antiqua" w:hAnsi="Book Antiqua" w:cs="Book Antiqua"/>
          <w:i/>
          <w:iCs/>
          <w:color w:val="000000" w:themeColor="text1"/>
        </w:rPr>
        <w:t>Oncol Lett</w:t>
      </w:r>
      <w:r w:rsidRPr="00681D35">
        <w:rPr>
          <w:rFonts w:ascii="Book Antiqua" w:eastAsia="Book Antiqua" w:hAnsi="Book Antiqua" w:cs="Book Antiqua"/>
          <w:color w:val="000000" w:themeColor="text1"/>
        </w:rPr>
        <w:t xml:space="preserve"> 2019; </w:t>
      </w:r>
      <w:r w:rsidRPr="00681D35">
        <w:rPr>
          <w:rFonts w:ascii="Book Antiqua" w:eastAsia="Book Antiqua" w:hAnsi="Book Antiqua" w:cs="Book Antiqua"/>
          <w:b/>
          <w:bCs/>
          <w:color w:val="000000" w:themeColor="text1"/>
        </w:rPr>
        <w:t>17</w:t>
      </w:r>
      <w:r w:rsidRPr="00681D35">
        <w:rPr>
          <w:rFonts w:ascii="Book Antiqua" w:eastAsia="Book Antiqua" w:hAnsi="Book Antiqua" w:cs="Book Antiqua"/>
          <w:color w:val="000000" w:themeColor="text1"/>
        </w:rPr>
        <w:t>: 3277-3282 [PMID: 30867760 DOI: 10.3892/ol.2019.10000]</w:t>
      </w:r>
    </w:p>
    <w:p w14:paraId="65325FD6"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color w:val="000000" w:themeColor="text1"/>
        </w:rPr>
        <w:t xml:space="preserve">12 </w:t>
      </w:r>
      <w:r w:rsidRPr="00681D35">
        <w:rPr>
          <w:rFonts w:ascii="Book Antiqua" w:eastAsia="Book Antiqua" w:hAnsi="Book Antiqua" w:cs="Book Antiqua"/>
          <w:b/>
          <w:bCs/>
          <w:color w:val="000000" w:themeColor="text1"/>
        </w:rPr>
        <w:t>Machuca TN</w:t>
      </w:r>
      <w:r w:rsidRPr="00681D35">
        <w:rPr>
          <w:rFonts w:ascii="Book Antiqua" w:eastAsia="Book Antiqua" w:hAnsi="Book Antiqua" w:cs="Book Antiqua"/>
          <w:color w:val="000000" w:themeColor="text1"/>
        </w:rPr>
        <w:t>, Collaud S, Mercier O, Cheung M, Cunningham V, Kim SJ, Azad S, Singer L, Yasufuku K, de Perrot M, Pierre A, McRae K, Waddell TK, Keshavjee S, Cypel M. Outcomes of intraoperative extracorporeal membrane oxygenation versus</w:t>
      </w:r>
      <w:r w:rsidRPr="00681D35">
        <w:rPr>
          <w:rFonts w:ascii="Book Antiqua" w:eastAsia="Book Antiqua" w:hAnsi="Book Antiqua" w:cs="Book Antiqua"/>
          <w:i/>
          <w:iCs/>
          <w:color w:val="000000" w:themeColor="text1"/>
        </w:rPr>
        <w:t xml:space="preserve"> </w:t>
      </w:r>
      <w:r w:rsidRPr="00681D35">
        <w:rPr>
          <w:rFonts w:ascii="Book Antiqua" w:eastAsia="Book Antiqua" w:hAnsi="Book Antiqua" w:cs="Book Antiqua"/>
          <w:color w:val="000000" w:themeColor="text1"/>
        </w:rPr>
        <w:t xml:space="preserve">cardiopulmonary bypass for lung transplantation. </w:t>
      </w:r>
      <w:r w:rsidRPr="00681D35">
        <w:rPr>
          <w:rFonts w:ascii="Book Antiqua" w:eastAsia="Book Antiqua" w:hAnsi="Book Antiqua" w:cs="Book Antiqua"/>
          <w:i/>
          <w:iCs/>
          <w:color w:val="000000" w:themeColor="text1"/>
        </w:rPr>
        <w:t>J Thorac Cardiovasc Surg</w:t>
      </w:r>
      <w:r w:rsidRPr="00681D35">
        <w:rPr>
          <w:rFonts w:ascii="Book Antiqua" w:eastAsia="Book Antiqua" w:hAnsi="Book Antiqua" w:cs="Book Antiqua"/>
          <w:color w:val="000000" w:themeColor="text1"/>
        </w:rPr>
        <w:t xml:space="preserve"> 2015; </w:t>
      </w:r>
      <w:r w:rsidRPr="00681D35">
        <w:rPr>
          <w:rFonts w:ascii="Book Antiqua" w:eastAsia="Book Antiqua" w:hAnsi="Book Antiqua" w:cs="Book Antiqua"/>
          <w:b/>
          <w:bCs/>
          <w:color w:val="000000" w:themeColor="text1"/>
        </w:rPr>
        <w:t>149</w:t>
      </w:r>
      <w:r w:rsidRPr="00681D35">
        <w:rPr>
          <w:rFonts w:ascii="Book Antiqua" w:eastAsia="Book Antiqua" w:hAnsi="Book Antiqua" w:cs="Book Antiqua"/>
          <w:color w:val="000000" w:themeColor="text1"/>
        </w:rPr>
        <w:t>: 1152-1157 [PMID: 25583107 DOI: 10.1016/j.jtcvs.2014.11.039]</w:t>
      </w:r>
    </w:p>
    <w:p w14:paraId="58937B3E"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color w:val="000000" w:themeColor="text1"/>
        </w:rPr>
        <w:t xml:space="preserve">13 </w:t>
      </w:r>
      <w:r w:rsidRPr="00681D35">
        <w:rPr>
          <w:rFonts w:ascii="Book Antiqua" w:eastAsia="Book Antiqua" w:hAnsi="Book Antiqua" w:cs="Book Antiqua"/>
          <w:b/>
          <w:bCs/>
          <w:color w:val="000000" w:themeColor="text1"/>
        </w:rPr>
        <w:t>Parthasarathi G</w:t>
      </w:r>
      <w:r w:rsidRPr="00681D35">
        <w:rPr>
          <w:rFonts w:ascii="Book Antiqua" w:eastAsia="Book Antiqua" w:hAnsi="Book Antiqua" w:cs="Book Antiqua"/>
          <w:color w:val="000000" w:themeColor="text1"/>
        </w:rPr>
        <w:t xml:space="preserve">, Raman SP, Sinha PK, Singha SK, Karunakaran J. Ketamine has no effect on oxygenation indices following elective coronary artery bypass grafting under cardiopulmonary bypass. </w:t>
      </w:r>
      <w:r w:rsidRPr="00681D35">
        <w:rPr>
          <w:rFonts w:ascii="Book Antiqua" w:eastAsia="Book Antiqua" w:hAnsi="Book Antiqua" w:cs="Book Antiqua"/>
          <w:i/>
          <w:iCs/>
          <w:color w:val="000000" w:themeColor="text1"/>
        </w:rPr>
        <w:t>Ann Card Anaesth</w:t>
      </w:r>
      <w:r w:rsidRPr="00681D35">
        <w:rPr>
          <w:rFonts w:ascii="Book Antiqua" w:eastAsia="Book Antiqua" w:hAnsi="Book Antiqua" w:cs="Book Antiqua"/>
          <w:color w:val="000000" w:themeColor="text1"/>
        </w:rPr>
        <w:t xml:space="preserve"> 2011; </w:t>
      </w:r>
      <w:r w:rsidRPr="00681D35">
        <w:rPr>
          <w:rFonts w:ascii="Book Antiqua" w:eastAsia="Book Antiqua" w:hAnsi="Book Antiqua" w:cs="Book Antiqua"/>
          <w:b/>
          <w:bCs/>
          <w:color w:val="000000" w:themeColor="text1"/>
        </w:rPr>
        <w:t>14</w:t>
      </w:r>
      <w:r w:rsidRPr="00681D35">
        <w:rPr>
          <w:rFonts w:ascii="Book Antiqua" w:eastAsia="Book Antiqua" w:hAnsi="Book Antiqua" w:cs="Book Antiqua"/>
          <w:color w:val="000000" w:themeColor="text1"/>
        </w:rPr>
        <w:t>: 13-18 [PMID: 21196669]</w:t>
      </w:r>
    </w:p>
    <w:p w14:paraId="2CEBE5F2"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color w:val="000000" w:themeColor="text1"/>
        </w:rPr>
        <w:t xml:space="preserve">14 </w:t>
      </w:r>
      <w:r w:rsidRPr="00681D35">
        <w:rPr>
          <w:rFonts w:ascii="Book Antiqua" w:eastAsia="Book Antiqua" w:hAnsi="Book Antiqua" w:cs="Book Antiqua"/>
          <w:b/>
          <w:bCs/>
          <w:color w:val="000000" w:themeColor="text1"/>
        </w:rPr>
        <w:t>Toikkanen V</w:t>
      </w:r>
      <w:r w:rsidRPr="00681D35">
        <w:rPr>
          <w:rFonts w:ascii="Book Antiqua" w:eastAsia="Book Antiqua" w:hAnsi="Book Antiqua" w:cs="Book Antiqua"/>
          <w:color w:val="000000" w:themeColor="text1"/>
        </w:rPr>
        <w:t xml:space="preserve">, Rinne T, Huhtala H, Laurikka J, Porkkala H, Tarkka M, Mennander A. Cardiopulmonary bypass decreases pulmonary vascular resistance index after </w:t>
      </w:r>
      <w:r w:rsidRPr="00681D35">
        <w:rPr>
          <w:rFonts w:ascii="Book Antiqua" w:eastAsia="Book Antiqua" w:hAnsi="Book Antiqua" w:cs="Book Antiqua"/>
          <w:color w:val="000000" w:themeColor="text1"/>
        </w:rPr>
        <w:lastRenderedPageBreak/>
        <w:t xml:space="preserve">coronary artery bypass surgery. </w:t>
      </w:r>
      <w:r w:rsidRPr="00681D35">
        <w:rPr>
          <w:rFonts w:ascii="Book Antiqua" w:eastAsia="Book Antiqua" w:hAnsi="Book Antiqua" w:cs="Book Antiqua"/>
          <w:i/>
          <w:iCs/>
          <w:color w:val="000000" w:themeColor="text1"/>
        </w:rPr>
        <w:t>Scand J Clin Lab Invest</w:t>
      </w:r>
      <w:r w:rsidRPr="00681D35">
        <w:rPr>
          <w:rFonts w:ascii="Book Antiqua" w:eastAsia="Book Antiqua" w:hAnsi="Book Antiqua" w:cs="Book Antiqua"/>
          <w:color w:val="000000" w:themeColor="text1"/>
        </w:rPr>
        <w:t xml:space="preserve"> 2014; </w:t>
      </w:r>
      <w:r w:rsidRPr="00681D35">
        <w:rPr>
          <w:rFonts w:ascii="Book Antiqua" w:eastAsia="Book Antiqua" w:hAnsi="Book Antiqua" w:cs="Book Antiqua"/>
          <w:b/>
          <w:bCs/>
          <w:color w:val="000000" w:themeColor="text1"/>
        </w:rPr>
        <w:t>74</w:t>
      </w:r>
      <w:r w:rsidRPr="00681D35">
        <w:rPr>
          <w:rFonts w:ascii="Book Antiqua" w:eastAsia="Book Antiqua" w:hAnsi="Book Antiqua" w:cs="Book Antiqua"/>
          <w:color w:val="000000" w:themeColor="text1"/>
        </w:rPr>
        <w:t>: 37-43 [PMID: 24266780 DOI: 10.3109/00365513.2013.856032]</w:t>
      </w:r>
    </w:p>
    <w:p w14:paraId="70E14862"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color w:val="000000" w:themeColor="text1"/>
        </w:rPr>
        <w:t xml:space="preserve">15 </w:t>
      </w:r>
      <w:r w:rsidRPr="00681D35">
        <w:rPr>
          <w:rFonts w:ascii="Book Antiqua" w:eastAsia="Book Antiqua" w:hAnsi="Book Antiqua" w:cs="Book Antiqua"/>
          <w:b/>
          <w:bCs/>
          <w:color w:val="000000" w:themeColor="text1"/>
        </w:rPr>
        <w:t>Pang L</w:t>
      </w:r>
      <w:r w:rsidRPr="00681D35">
        <w:rPr>
          <w:rFonts w:ascii="Book Antiqua" w:eastAsia="Book Antiqua" w:hAnsi="Book Antiqua" w:cs="Book Antiqua"/>
          <w:color w:val="000000" w:themeColor="text1"/>
        </w:rPr>
        <w:t xml:space="preserve">, Ji S, Xing J. Amiloride Alleviates Neurological Deficits Following Transient Global Ischemia and Engagement of Central IL-6 and TNF-α Signal. </w:t>
      </w:r>
      <w:r w:rsidRPr="00681D35">
        <w:rPr>
          <w:rFonts w:ascii="Book Antiqua" w:eastAsia="Book Antiqua" w:hAnsi="Book Antiqua" w:cs="Book Antiqua"/>
          <w:i/>
          <w:iCs/>
          <w:color w:val="000000" w:themeColor="text1"/>
        </w:rPr>
        <w:t>Curr Mol Med</w:t>
      </w:r>
      <w:r w:rsidRPr="00681D35">
        <w:rPr>
          <w:rFonts w:ascii="Book Antiqua" w:eastAsia="Book Antiqua" w:hAnsi="Book Antiqua" w:cs="Book Antiqua"/>
          <w:color w:val="000000" w:themeColor="text1"/>
        </w:rPr>
        <w:t xml:space="preserve"> 2019; </w:t>
      </w:r>
      <w:r w:rsidRPr="00681D35">
        <w:rPr>
          <w:rFonts w:ascii="Book Antiqua" w:eastAsia="Book Antiqua" w:hAnsi="Book Antiqua" w:cs="Book Antiqua"/>
          <w:b/>
          <w:bCs/>
          <w:color w:val="000000" w:themeColor="text1"/>
        </w:rPr>
        <w:t>19</w:t>
      </w:r>
      <w:r w:rsidRPr="00681D35">
        <w:rPr>
          <w:rFonts w:ascii="Book Antiqua" w:eastAsia="Book Antiqua" w:hAnsi="Book Antiqua" w:cs="Book Antiqua"/>
          <w:color w:val="000000" w:themeColor="text1"/>
        </w:rPr>
        <w:t>: 597-604 [PMID: 31272354 DOI: 10.2174/1566524019666190704100444]</w:t>
      </w:r>
    </w:p>
    <w:p w14:paraId="0DA2BEC8"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color w:val="000000" w:themeColor="text1"/>
        </w:rPr>
        <w:t xml:space="preserve">16 </w:t>
      </w:r>
      <w:r w:rsidRPr="00681D35">
        <w:rPr>
          <w:rFonts w:ascii="Book Antiqua" w:eastAsia="Book Antiqua" w:hAnsi="Book Antiqua" w:cs="Book Antiqua"/>
          <w:b/>
          <w:bCs/>
          <w:color w:val="000000" w:themeColor="text1"/>
        </w:rPr>
        <w:t>Khan HA</w:t>
      </w:r>
      <w:r w:rsidRPr="00681D35">
        <w:rPr>
          <w:rFonts w:ascii="Book Antiqua" w:eastAsia="Book Antiqua" w:hAnsi="Book Antiqua" w:cs="Book Antiqua"/>
          <w:color w:val="000000" w:themeColor="text1"/>
        </w:rPr>
        <w:t xml:space="preserve">, Ibrahim KE, Alrashood ST, Alamery S, Alrokayan SH, Al-Harbi N, Al-Mutary MG, Sobki SH, Khan I. Immunohistochemistry of IL-1β, IL-6 and TNF-α in spleens of mice treated with gold nanoparticles. </w:t>
      </w:r>
      <w:r w:rsidRPr="00681D35">
        <w:rPr>
          <w:rFonts w:ascii="Book Antiqua" w:eastAsia="Book Antiqua" w:hAnsi="Book Antiqua" w:cs="Book Antiqua"/>
          <w:i/>
          <w:iCs/>
          <w:color w:val="000000" w:themeColor="text1"/>
        </w:rPr>
        <w:t>Saudi J Biol Sci</w:t>
      </w:r>
      <w:r w:rsidRPr="00681D35">
        <w:rPr>
          <w:rFonts w:ascii="Book Antiqua" w:eastAsia="Book Antiqua" w:hAnsi="Book Antiqua" w:cs="Book Antiqua"/>
          <w:color w:val="000000" w:themeColor="text1"/>
        </w:rPr>
        <w:t xml:space="preserve"> 2020; </w:t>
      </w:r>
      <w:r w:rsidRPr="00681D35">
        <w:rPr>
          <w:rFonts w:ascii="Book Antiqua" w:eastAsia="Book Antiqua" w:hAnsi="Book Antiqua" w:cs="Book Antiqua"/>
          <w:b/>
          <w:bCs/>
          <w:color w:val="000000" w:themeColor="text1"/>
        </w:rPr>
        <w:t>27</w:t>
      </w:r>
      <w:r w:rsidRPr="00681D35">
        <w:rPr>
          <w:rFonts w:ascii="Book Antiqua" w:eastAsia="Book Antiqua" w:hAnsi="Book Antiqua" w:cs="Book Antiqua"/>
          <w:color w:val="000000" w:themeColor="text1"/>
        </w:rPr>
        <w:t>: 1163-1168 [PMID: 32256179 DOI: 10.1016/j.sjbs.2020.01.025]</w:t>
      </w:r>
    </w:p>
    <w:p w14:paraId="377DB6C7"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color w:val="000000" w:themeColor="text1"/>
        </w:rPr>
        <w:t xml:space="preserve">17 </w:t>
      </w:r>
      <w:r w:rsidRPr="00681D35">
        <w:rPr>
          <w:rFonts w:ascii="Book Antiqua" w:eastAsia="Book Antiqua" w:hAnsi="Book Antiqua" w:cs="Book Antiqua"/>
          <w:b/>
          <w:bCs/>
          <w:color w:val="000000" w:themeColor="text1"/>
        </w:rPr>
        <w:t>Zakkar M</w:t>
      </w:r>
      <w:r w:rsidRPr="00681D35">
        <w:rPr>
          <w:rFonts w:ascii="Book Antiqua" w:eastAsia="Book Antiqua" w:hAnsi="Book Antiqua" w:cs="Book Antiqua"/>
          <w:color w:val="000000" w:themeColor="text1"/>
        </w:rPr>
        <w:t xml:space="preserve">, Guida G, Suleiman MS, Angelini GD. Cardiopulmonary bypass and oxidative stress. </w:t>
      </w:r>
      <w:r w:rsidRPr="00681D35">
        <w:rPr>
          <w:rFonts w:ascii="Book Antiqua" w:eastAsia="Book Antiqua" w:hAnsi="Book Antiqua" w:cs="Book Antiqua"/>
          <w:i/>
          <w:iCs/>
          <w:color w:val="000000" w:themeColor="text1"/>
        </w:rPr>
        <w:t>Oxid Med Cell Longev</w:t>
      </w:r>
      <w:r w:rsidRPr="00681D35">
        <w:rPr>
          <w:rFonts w:ascii="Book Antiqua" w:eastAsia="Book Antiqua" w:hAnsi="Book Antiqua" w:cs="Book Antiqua"/>
          <w:color w:val="000000" w:themeColor="text1"/>
        </w:rPr>
        <w:t xml:space="preserve"> 2015; </w:t>
      </w:r>
      <w:r w:rsidRPr="00681D35">
        <w:rPr>
          <w:rFonts w:ascii="Book Antiqua" w:eastAsia="Book Antiqua" w:hAnsi="Book Antiqua" w:cs="Book Antiqua"/>
          <w:b/>
          <w:bCs/>
          <w:color w:val="000000" w:themeColor="text1"/>
        </w:rPr>
        <w:t>2015</w:t>
      </w:r>
      <w:r w:rsidRPr="00681D35">
        <w:rPr>
          <w:rFonts w:ascii="Book Antiqua" w:eastAsia="Book Antiqua" w:hAnsi="Book Antiqua" w:cs="Book Antiqua"/>
          <w:color w:val="000000" w:themeColor="text1"/>
        </w:rPr>
        <w:t>: 189863 [PMID: 25722792 DOI: 10.1155/2015/189863]</w:t>
      </w:r>
    </w:p>
    <w:p w14:paraId="6CD9CC01"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color w:val="000000" w:themeColor="text1"/>
        </w:rPr>
        <w:t xml:space="preserve">18 </w:t>
      </w:r>
      <w:r w:rsidRPr="00681D35">
        <w:rPr>
          <w:rFonts w:ascii="Book Antiqua" w:eastAsia="Book Antiqua" w:hAnsi="Book Antiqua" w:cs="Book Antiqua"/>
          <w:b/>
          <w:bCs/>
          <w:color w:val="000000" w:themeColor="text1"/>
        </w:rPr>
        <w:t>Thiessen S</w:t>
      </w:r>
      <w:r w:rsidRPr="00681D35">
        <w:rPr>
          <w:rFonts w:ascii="Book Antiqua" w:eastAsia="Book Antiqua" w:hAnsi="Book Antiqua" w:cs="Book Antiqua"/>
          <w:color w:val="000000" w:themeColor="text1"/>
        </w:rPr>
        <w:t xml:space="preserve">, Vanhorebeek I, Van den Berghe G. Glycemic control and outcome related to cardiopulmonary bypass. </w:t>
      </w:r>
      <w:r w:rsidRPr="00681D35">
        <w:rPr>
          <w:rFonts w:ascii="Book Antiqua" w:eastAsia="Book Antiqua" w:hAnsi="Book Antiqua" w:cs="Book Antiqua"/>
          <w:i/>
          <w:iCs/>
          <w:color w:val="000000" w:themeColor="text1"/>
        </w:rPr>
        <w:t>Best Pract Res Clin Anaesthesiol</w:t>
      </w:r>
      <w:r w:rsidRPr="00681D35">
        <w:rPr>
          <w:rFonts w:ascii="Book Antiqua" w:eastAsia="Book Antiqua" w:hAnsi="Book Antiqua" w:cs="Book Antiqua"/>
          <w:color w:val="000000" w:themeColor="text1"/>
        </w:rPr>
        <w:t xml:space="preserve"> 2015; </w:t>
      </w:r>
      <w:r w:rsidRPr="00681D35">
        <w:rPr>
          <w:rFonts w:ascii="Book Antiqua" w:eastAsia="Book Antiqua" w:hAnsi="Book Antiqua" w:cs="Book Antiqua"/>
          <w:b/>
          <w:bCs/>
          <w:color w:val="000000" w:themeColor="text1"/>
        </w:rPr>
        <w:t>29</w:t>
      </w:r>
      <w:r w:rsidRPr="00681D35">
        <w:rPr>
          <w:rFonts w:ascii="Book Antiqua" w:eastAsia="Book Antiqua" w:hAnsi="Book Antiqua" w:cs="Book Antiqua"/>
          <w:color w:val="000000" w:themeColor="text1"/>
        </w:rPr>
        <w:t>: 177-187 [PMID: 26060029 DOI: 10.1016/j.bpa.2015.03.003]</w:t>
      </w:r>
    </w:p>
    <w:p w14:paraId="7A7428C9"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color w:val="000000" w:themeColor="text1"/>
        </w:rPr>
        <w:t xml:space="preserve">19 </w:t>
      </w:r>
      <w:r w:rsidRPr="00681D35">
        <w:rPr>
          <w:rFonts w:ascii="Book Antiqua" w:eastAsia="Book Antiqua" w:hAnsi="Book Antiqua" w:cs="Book Antiqua"/>
          <w:b/>
          <w:bCs/>
          <w:color w:val="000000" w:themeColor="text1"/>
        </w:rPr>
        <w:t>Minakata K</w:t>
      </w:r>
      <w:r w:rsidRPr="00681D35">
        <w:rPr>
          <w:rFonts w:ascii="Book Antiqua" w:eastAsia="Book Antiqua" w:hAnsi="Book Antiqua" w:cs="Book Antiqua"/>
          <w:color w:val="000000" w:themeColor="text1"/>
        </w:rPr>
        <w:t xml:space="preserve">, Sakata R. Perioperative control of blood glucose level in cardiac surgery. </w:t>
      </w:r>
      <w:r w:rsidRPr="00681D35">
        <w:rPr>
          <w:rFonts w:ascii="Book Antiqua" w:eastAsia="Book Antiqua" w:hAnsi="Book Antiqua" w:cs="Book Antiqua"/>
          <w:i/>
          <w:iCs/>
          <w:color w:val="000000" w:themeColor="text1"/>
        </w:rPr>
        <w:t>Gen Thorac Cardiovasc Surg</w:t>
      </w:r>
      <w:r w:rsidRPr="00681D35">
        <w:rPr>
          <w:rFonts w:ascii="Book Antiqua" w:eastAsia="Book Antiqua" w:hAnsi="Book Antiqua" w:cs="Book Antiqua"/>
          <w:color w:val="000000" w:themeColor="text1"/>
        </w:rPr>
        <w:t xml:space="preserve"> 2013; </w:t>
      </w:r>
      <w:r w:rsidRPr="00681D35">
        <w:rPr>
          <w:rFonts w:ascii="Book Antiqua" w:eastAsia="Book Antiqua" w:hAnsi="Book Antiqua" w:cs="Book Antiqua"/>
          <w:b/>
          <w:bCs/>
          <w:color w:val="000000" w:themeColor="text1"/>
        </w:rPr>
        <w:t>61</w:t>
      </w:r>
      <w:r w:rsidRPr="00681D35">
        <w:rPr>
          <w:rFonts w:ascii="Book Antiqua" w:eastAsia="Book Antiqua" w:hAnsi="Book Antiqua" w:cs="Book Antiqua"/>
          <w:color w:val="000000" w:themeColor="text1"/>
        </w:rPr>
        <w:t>: 61-66 [PMID: 23292688 DOI: 10.1007/s11748-012-0198-9]</w:t>
      </w:r>
    </w:p>
    <w:p w14:paraId="554DB2E9" w14:textId="77777777" w:rsidR="00347BCA" w:rsidRPr="00681D35" w:rsidRDefault="006407D4" w:rsidP="003C2906">
      <w:pPr>
        <w:adjustRightInd w:val="0"/>
        <w:snapToGrid w:val="0"/>
        <w:spacing w:line="360" w:lineRule="auto"/>
        <w:jc w:val="both"/>
        <w:rPr>
          <w:rFonts w:ascii="Book Antiqua" w:eastAsia="宋体" w:hAnsi="Book Antiqua" w:cs="宋体"/>
          <w:color w:val="000000" w:themeColor="text1"/>
          <w:lang w:eastAsia="zh-CN"/>
        </w:rPr>
      </w:pPr>
      <w:r w:rsidRPr="00681D35">
        <w:rPr>
          <w:rFonts w:ascii="Book Antiqua" w:eastAsia="Book Antiqua" w:hAnsi="Book Antiqua" w:cs="Book Antiqua"/>
          <w:color w:val="000000" w:themeColor="text1"/>
        </w:rPr>
        <w:t xml:space="preserve">20 </w:t>
      </w:r>
      <w:r w:rsidRPr="00681D35">
        <w:rPr>
          <w:rFonts w:ascii="Book Antiqua" w:eastAsia="Book Antiqua" w:hAnsi="Book Antiqua" w:cs="Book Antiqua"/>
          <w:b/>
          <w:bCs/>
          <w:color w:val="000000" w:themeColor="text1"/>
        </w:rPr>
        <w:t>Zhu M</w:t>
      </w:r>
      <w:r w:rsidRPr="00681D35">
        <w:rPr>
          <w:rFonts w:ascii="Book Antiqua" w:eastAsia="Book Antiqua" w:hAnsi="Book Antiqua" w:cs="Book Antiqua"/>
          <w:color w:val="000000" w:themeColor="text1"/>
        </w:rPr>
        <w:t xml:space="preserve">, Zhao Y, Zheng Y, Su D, Wang X. Relative Higher Hematocrit Attenuates the Cerebral Excitatory Amino Acid Elevation Induced by Deep Hypothermic Circulatory Arrest in Rats. </w:t>
      </w:r>
      <w:r w:rsidRPr="00681D35">
        <w:rPr>
          <w:rFonts w:ascii="Book Antiqua" w:eastAsia="Book Antiqua" w:hAnsi="Book Antiqua" w:cs="Book Antiqua"/>
          <w:i/>
          <w:iCs/>
          <w:color w:val="000000" w:themeColor="text1"/>
        </w:rPr>
        <w:t>Ther Hypothermia Temp Manag</w:t>
      </w:r>
      <w:r w:rsidRPr="00681D35">
        <w:rPr>
          <w:rFonts w:ascii="Book Antiqua" w:eastAsia="Book Antiqua" w:hAnsi="Book Antiqua" w:cs="Book Antiqua"/>
          <w:color w:val="000000" w:themeColor="text1"/>
        </w:rPr>
        <w:t xml:space="preserve"> 2013; </w:t>
      </w:r>
      <w:r w:rsidRPr="00681D35">
        <w:rPr>
          <w:rFonts w:ascii="Book Antiqua" w:eastAsia="Book Antiqua" w:hAnsi="Book Antiqua" w:cs="Book Antiqua"/>
          <w:b/>
          <w:bCs/>
          <w:color w:val="000000" w:themeColor="text1"/>
        </w:rPr>
        <w:t>3</w:t>
      </w:r>
      <w:r w:rsidRPr="00681D35">
        <w:rPr>
          <w:rFonts w:ascii="Book Antiqua" w:eastAsia="Book Antiqua" w:hAnsi="Book Antiqua" w:cs="Book Antiqua"/>
          <w:color w:val="000000" w:themeColor="text1"/>
        </w:rPr>
        <w:t>: 140-142 [PMID: 24066268 DOI: 10.1089/ther.2013.0004]</w:t>
      </w:r>
    </w:p>
    <w:p w14:paraId="20D57348" w14:textId="77777777" w:rsidR="00347BCA" w:rsidRPr="00681D35" w:rsidRDefault="00347BCA" w:rsidP="003C2906">
      <w:pPr>
        <w:adjustRightInd w:val="0"/>
        <w:snapToGrid w:val="0"/>
        <w:spacing w:line="360" w:lineRule="auto"/>
        <w:jc w:val="both"/>
        <w:rPr>
          <w:rFonts w:ascii="Book Antiqua" w:eastAsia="宋体" w:hAnsi="Book Antiqua" w:cs="宋体"/>
          <w:color w:val="000000" w:themeColor="text1"/>
          <w:lang w:eastAsia="zh-CN"/>
        </w:rPr>
      </w:pPr>
    </w:p>
    <w:p w14:paraId="346EBC6C" w14:textId="773EB651" w:rsidR="009E0099" w:rsidRPr="00681D35" w:rsidRDefault="009E0099">
      <w:pPr>
        <w:rPr>
          <w:rFonts w:ascii="Book Antiqua" w:eastAsia="Book Antiqua" w:hAnsi="Book Antiqua" w:cs="Book Antiqua"/>
          <w:b/>
          <w:color w:val="000000" w:themeColor="text1"/>
        </w:rPr>
      </w:pPr>
    </w:p>
    <w:p w14:paraId="1C18513D" w14:textId="0B897C35"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b/>
          <w:color w:val="000000" w:themeColor="text1"/>
        </w:rPr>
        <w:t>Footnotes</w:t>
      </w:r>
    </w:p>
    <w:p w14:paraId="6BF150FF" w14:textId="77777777" w:rsidR="00347BCA" w:rsidRPr="00681D35" w:rsidRDefault="006407D4" w:rsidP="003C2906">
      <w:pPr>
        <w:adjustRightInd w:val="0"/>
        <w:snapToGrid w:val="0"/>
        <w:spacing w:line="360" w:lineRule="auto"/>
        <w:jc w:val="both"/>
        <w:rPr>
          <w:rFonts w:ascii="Book Antiqua" w:eastAsia="Book Antiqua" w:hAnsi="Book Antiqua" w:cs="Book Antiqua"/>
          <w:color w:val="000000" w:themeColor="text1"/>
        </w:rPr>
      </w:pPr>
      <w:r w:rsidRPr="00681D35">
        <w:rPr>
          <w:rFonts w:ascii="Book Antiqua" w:eastAsia="Book Antiqua" w:hAnsi="Book Antiqua" w:cs="Book Antiqua"/>
          <w:b/>
          <w:bCs/>
          <w:color w:val="000000" w:themeColor="text1"/>
        </w:rPr>
        <w:t xml:space="preserve">Institutional review board statement: </w:t>
      </w:r>
      <w:r w:rsidRPr="00681D35">
        <w:rPr>
          <w:rFonts w:ascii="Book Antiqua" w:eastAsia="Book Antiqua" w:hAnsi="Book Antiqua" w:cs="Book Antiqua"/>
          <w:color w:val="000000" w:themeColor="text1"/>
        </w:rPr>
        <w:t>This study was approved by The First Affiliated Hospital of Nanchang University Ethics Committee.</w:t>
      </w:r>
    </w:p>
    <w:p w14:paraId="23BD3D8D" w14:textId="77777777" w:rsidR="00347BCA" w:rsidRPr="00681D35" w:rsidRDefault="00347BCA" w:rsidP="003C2906">
      <w:pPr>
        <w:adjustRightInd w:val="0"/>
        <w:snapToGrid w:val="0"/>
        <w:spacing w:line="360" w:lineRule="auto"/>
        <w:jc w:val="both"/>
        <w:rPr>
          <w:rFonts w:ascii="Book Antiqua" w:hAnsi="Book Antiqua"/>
          <w:color w:val="000000" w:themeColor="text1"/>
        </w:rPr>
      </w:pPr>
    </w:p>
    <w:p w14:paraId="2DEF07E4" w14:textId="77777777" w:rsidR="00347BCA" w:rsidRPr="00681D35" w:rsidRDefault="006407D4" w:rsidP="003C2906">
      <w:pPr>
        <w:adjustRightInd w:val="0"/>
        <w:snapToGrid w:val="0"/>
        <w:spacing w:line="360" w:lineRule="auto"/>
        <w:jc w:val="both"/>
        <w:rPr>
          <w:rFonts w:ascii="Book Antiqua" w:hAnsi="Book Antiqua" w:cs="Arial"/>
          <w:b/>
          <w:color w:val="000000" w:themeColor="text1"/>
          <w:lang w:eastAsia="zh-CN"/>
        </w:rPr>
      </w:pPr>
      <w:r w:rsidRPr="00681D35">
        <w:rPr>
          <w:rFonts w:ascii="Book Antiqua" w:hAnsi="Book Antiqua" w:cs="Arial"/>
          <w:b/>
          <w:color w:val="000000" w:themeColor="text1"/>
          <w:lang w:eastAsia="zh-CN"/>
        </w:rPr>
        <w:t xml:space="preserve">Clinical trial registration statement: </w:t>
      </w:r>
      <w:r w:rsidRPr="00681D35">
        <w:rPr>
          <w:rFonts w:ascii="Book Antiqua" w:hAnsi="Book Antiqua" w:cs="Arial"/>
          <w:bCs/>
          <w:color w:val="000000" w:themeColor="text1"/>
          <w:lang w:eastAsia="zh-CN"/>
        </w:rPr>
        <w:t>This study is registered at clinical hospital center trial registry. The registration identification number is 2020BL-015-10.</w:t>
      </w:r>
    </w:p>
    <w:p w14:paraId="460E7C1C" w14:textId="77777777" w:rsidR="00347BCA" w:rsidRPr="00681D35" w:rsidRDefault="00347BCA" w:rsidP="003C2906">
      <w:pPr>
        <w:adjustRightInd w:val="0"/>
        <w:snapToGrid w:val="0"/>
        <w:spacing w:line="360" w:lineRule="auto"/>
        <w:jc w:val="both"/>
        <w:rPr>
          <w:rFonts w:ascii="Book Antiqua" w:hAnsi="Book Antiqua"/>
          <w:color w:val="000000" w:themeColor="text1"/>
        </w:rPr>
      </w:pPr>
    </w:p>
    <w:p w14:paraId="34BC268C"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b/>
          <w:bCs/>
          <w:color w:val="000000" w:themeColor="text1"/>
        </w:rPr>
        <w:t xml:space="preserve">Informed consent statement: </w:t>
      </w:r>
      <w:r w:rsidRPr="00681D35">
        <w:rPr>
          <w:rFonts w:ascii="Book Antiqua" w:hAnsi="Book Antiqua" w:cs="Arial"/>
          <w:color w:val="000000" w:themeColor="text1"/>
          <w:lang w:eastAsia="zh-CN"/>
        </w:rPr>
        <w:t>All study participants, or their legal guardian, provided written consent prior to study enrollment.</w:t>
      </w:r>
    </w:p>
    <w:p w14:paraId="311FA3AC" w14:textId="77777777" w:rsidR="00347BCA" w:rsidRPr="00681D35" w:rsidRDefault="00347BCA" w:rsidP="003C2906">
      <w:pPr>
        <w:adjustRightInd w:val="0"/>
        <w:snapToGrid w:val="0"/>
        <w:spacing w:line="360" w:lineRule="auto"/>
        <w:jc w:val="both"/>
        <w:rPr>
          <w:rFonts w:ascii="Book Antiqua" w:hAnsi="Book Antiqua"/>
          <w:color w:val="000000" w:themeColor="text1"/>
        </w:rPr>
      </w:pPr>
    </w:p>
    <w:p w14:paraId="25D6DD05"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b/>
          <w:bCs/>
          <w:color w:val="000000" w:themeColor="text1"/>
        </w:rPr>
        <w:t xml:space="preserve">Conflict-of-interest statement: </w:t>
      </w:r>
      <w:r w:rsidRPr="00681D35">
        <w:rPr>
          <w:rFonts w:ascii="Book Antiqua" w:eastAsia="Book Antiqua" w:hAnsi="Book Antiqua" w:cs="Book Antiqua"/>
          <w:color w:val="000000" w:themeColor="text1"/>
        </w:rPr>
        <w:t>The authors declared that there is no conflict of interest.</w:t>
      </w:r>
    </w:p>
    <w:p w14:paraId="3EE9D2FF" w14:textId="77777777" w:rsidR="00347BCA" w:rsidRPr="00681D35" w:rsidRDefault="00347BCA" w:rsidP="003C2906">
      <w:pPr>
        <w:adjustRightInd w:val="0"/>
        <w:snapToGrid w:val="0"/>
        <w:spacing w:line="360" w:lineRule="auto"/>
        <w:jc w:val="both"/>
        <w:rPr>
          <w:rFonts w:ascii="Book Antiqua" w:hAnsi="Book Antiqua"/>
          <w:color w:val="000000" w:themeColor="text1"/>
        </w:rPr>
      </w:pPr>
    </w:p>
    <w:p w14:paraId="2B5053BC" w14:textId="77777777" w:rsidR="00347BCA" w:rsidRPr="00681D35" w:rsidRDefault="006407D4" w:rsidP="003C2906">
      <w:pPr>
        <w:adjustRightInd w:val="0"/>
        <w:snapToGrid w:val="0"/>
        <w:spacing w:line="360" w:lineRule="auto"/>
        <w:jc w:val="both"/>
        <w:rPr>
          <w:rFonts w:ascii="Book Antiqua" w:eastAsia="Book Antiqua" w:hAnsi="Book Antiqua" w:cs="Book Antiqua"/>
          <w:color w:val="000000" w:themeColor="text1"/>
        </w:rPr>
      </w:pPr>
      <w:r w:rsidRPr="00681D35">
        <w:rPr>
          <w:rFonts w:ascii="Book Antiqua" w:eastAsia="Book Antiqua" w:hAnsi="Book Antiqua" w:cs="Book Antiqua"/>
          <w:b/>
          <w:bCs/>
          <w:color w:val="000000" w:themeColor="text1"/>
        </w:rPr>
        <w:t xml:space="preserve">Data sharing statement: </w:t>
      </w:r>
      <w:r w:rsidRPr="00681D35">
        <w:rPr>
          <w:rFonts w:ascii="Book Antiqua" w:eastAsia="Book Antiqua" w:hAnsi="Book Antiqua" w:cs="Book Antiqua"/>
          <w:color w:val="000000" w:themeColor="text1"/>
        </w:rPr>
        <w:t>No additional data are available.</w:t>
      </w:r>
    </w:p>
    <w:p w14:paraId="43A917A2" w14:textId="77777777" w:rsidR="00347BCA" w:rsidRPr="00681D35" w:rsidRDefault="00347BCA" w:rsidP="003C2906">
      <w:pPr>
        <w:adjustRightInd w:val="0"/>
        <w:snapToGrid w:val="0"/>
        <w:spacing w:line="360" w:lineRule="auto"/>
        <w:jc w:val="both"/>
        <w:rPr>
          <w:rFonts w:ascii="Book Antiqua" w:hAnsi="Book Antiqua"/>
          <w:color w:val="000000" w:themeColor="text1"/>
        </w:rPr>
      </w:pPr>
    </w:p>
    <w:p w14:paraId="48FC6E81"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hAnsi="Book Antiqua"/>
          <w:b/>
          <w:bCs/>
          <w:color w:val="000000" w:themeColor="text1"/>
        </w:rPr>
        <w:t xml:space="preserve">CONSORT 2010 statement: </w:t>
      </w:r>
      <w:r w:rsidRPr="00681D35">
        <w:rPr>
          <w:rFonts w:ascii="Book Antiqua" w:hAnsi="Book Antiqua"/>
          <w:color w:val="000000" w:themeColor="text1"/>
        </w:rPr>
        <w:t xml:space="preserve">The manuscript was checked and revised according to the CONSORT 2010. </w:t>
      </w:r>
    </w:p>
    <w:p w14:paraId="17281DBD" w14:textId="77777777" w:rsidR="00347BCA" w:rsidRPr="00681D35" w:rsidRDefault="00347BCA" w:rsidP="003C2906">
      <w:pPr>
        <w:adjustRightInd w:val="0"/>
        <w:snapToGrid w:val="0"/>
        <w:spacing w:line="360" w:lineRule="auto"/>
        <w:jc w:val="both"/>
        <w:rPr>
          <w:rFonts w:ascii="Book Antiqua" w:hAnsi="Book Antiqua"/>
          <w:color w:val="000000" w:themeColor="text1"/>
        </w:rPr>
      </w:pPr>
    </w:p>
    <w:p w14:paraId="79098B16" w14:textId="3BE53291"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b/>
          <w:bCs/>
          <w:color w:val="000000" w:themeColor="text1"/>
        </w:rPr>
        <w:t xml:space="preserve">Open-Access: </w:t>
      </w:r>
      <w:r w:rsidRPr="00681D35">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w:t>
      </w:r>
      <w:r w:rsidR="00134D16" w:rsidRPr="00681D35">
        <w:rPr>
          <w:rFonts w:ascii="Book Antiqua" w:hAnsi="Book Antiqua" w:cs="Book Antiqua"/>
          <w:color w:val="000000" w:themeColor="text1"/>
          <w:lang w:eastAsia="zh-CN"/>
        </w:rPr>
        <w:t>s</w:t>
      </w:r>
      <w:r w:rsidRPr="00681D35">
        <w:rPr>
          <w:rFonts w:ascii="Book Antiqua" w:eastAsia="Book Antiqua" w:hAnsi="Book Antiqua" w:cs="Book Antiqua"/>
          <w:color w:val="000000" w:themeColor="text1"/>
        </w:rPr>
        <w:t>://creativecommons.org/Licenses/by-nc/4.0/</w:t>
      </w:r>
    </w:p>
    <w:p w14:paraId="7E29CA5E" w14:textId="77777777" w:rsidR="00347BCA" w:rsidRPr="00681D35" w:rsidRDefault="00347BCA" w:rsidP="003C2906">
      <w:pPr>
        <w:adjustRightInd w:val="0"/>
        <w:snapToGrid w:val="0"/>
        <w:spacing w:line="360" w:lineRule="auto"/>
        <w:jc w:val="both"/>
        <w:rPr>
          <w:rFonts w:ascii="Book Antiqua" w:hAnsi="Book Antiqua"/>
          <w:color w:val="000000" w:themeColor="text1"/>
        </w:rPr>
      </w:pPr>
    </w:p>
    <w:p w14:paraId="24457043" w14:textId="269AFB8B" w:rsidR="00347BCA" w:rsidRPr="00681D35" w:rsidRDefault="001B200C" w:rsidP="003C2906">
      <w:pPr>
        <w:adjustRightInd w:val="0"/>
        <w:snapToGrid w:val="0"/>
        <w:spacing w:line="360" w:lineRule="auto"/>
        <w:jc w:val="both"/>
        <w:rPr>
          <w:rFonts w:ascii="Book Antiqua" w:hAnsi="Book Antiqua"/>
          <w:color w:val="000000" w:themeColor="text1"/>
        </w:rPr>
      </w:pPr>
      <w:r w:rsidRPr="00681D35">
        <w:rPr>
          <w:rFonts w:ascii="Book Antiqua" w:hAnsi="Book Antiqua" w:cs="Book Antiqua" w:hint="eastAsia"/>
          <w:b/>
          <w:bCs/>
          <w:color w:val="000000"/>
          <w:lang w:eastAsia="zh-CN"/>
        </w:rPr>
        <w:t xml:space="preserve">Provenance and peer review: </w:t>
      </w:r>
      <w:r w:rsidRPr="00681D35">
        <w:rPr>
          <w:rFonts w:ascii="Book Antiqua" w:hAnsi="Book Antiqua" w:cs="Book Antiqua" w:hint="eastAsia"/>
          <w:bCs/>
          <w:color w:val="000000"/>
          <w:lang w:eastAsia="zh-CN"/>
        </w:rPr>
        <w:t>Unsolicited article; Externally peer reviewed</w:t>
      </w:r>
    </w:p>
    <w:p w14:paraId="16F07469" w14:textId="77777777" w:rsidR="00347BCA" w:rsidRPr="00681D35" w:rsidRDefault="00347BCA" w:rsidP="003C2906">
      <w:pPr>
        <w:adjustRightInd w:val="0"/>
        <w:snapToGrid w:val="0"/>
        <w:spacing w:line="360" w:lineRule="auto"/>
        <w:jc w:val="both"/>
        <w:rPr>
          <w:rFonts w:ascii="Book Antiqua" w:hAnsi="Book Antiqua"/>
          <w:color w:val="000000" w:themeColor="text1"/>
        </w:rPr>
      </w:pPr>
    </w:p>
    <w:p w14:paraId="21AEB138"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b/>
          <w:color w:val="000000" w:themeColor="text1"/>
        </w:rPr>
        <w:t xml:space="preserve">Peer-review started: </w:t>
      </w:r>
      <w:r w:rsidRPr="00681D35">
        <w:rPr>
          <w:rFonts w:ascii="Book Antiqua" w:eastAsia="Book Antiqua" w:hAnsi="Book Antiqua" w:cs="Book Antiqua"/>
          <w:color w:val="000000" w:themeColor="text1"/>
        </w:rPr>
        <w:t>July 28, 2021</w:t>
      </w:r>
    </w:p>
    <w:p w14:paraId="45D1795A"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b/>
          <w:color w:val="000000" w:themeColor="text1"/>
        </w:rPr>
        <w:t xml:space="preserve">First decision: </w:t>
      </w:r>
      <w:r w:rsidRPr="00681D35">
        <w:rPr>
          <w:rFonts w:ascii="Book Antiqua" w:eastAsia="Book Antiqua" w:hAnsi="Book Antiqua" w:cs="Book Antiqua"/>
          <w:color w:val="000000" w:themeColor="text1"/>
        </w:rPr>
        <w:t>August 19, 2021</w:t>
      </w:r>
    </w:p>
    <w:p w14:paraId="10293A87" w14:textId="25FE45F8"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b/>
          <w:color w:val="000000" w:themeColor="text1"/>
        </w:rPr>
        <w:t xml:space="preserve">Article in press: </w:t>
      </w:r>
      <w:r w:rsidR="00B872F2" w:rsidRPr="00681D35">
        <w:rPr>
          <w:rFonts w:ascii="Book Antiqua" w:eastAsia="Book Antiqua" w:hAnsi="Book Antiqua" w:cs="Book Antiqua"/>
          <w:bCs/>
          <w:color w:val="000000" w:themeColor="text1"/>
        </w:rPr>
        <w:t>October 14, 2021</w:t>
      </w:r>
    </w:p>
    <w:p w14:paraId="18B715CD" w14:textId="77777777" w:rsidR="00347BCA" w:rsidRPr="00681D35" w:rsidRDefault="00347BCA" w:rsidP="003C2906">
      <w:pPr>
        <w:adjustRightInd w:val="0"/>
        <w:snapToGrid w:val="0"/>
        <w:spacing w:line="360" w:lineRule="auto"/>
        <w:jc w:val="both"/>
        <w:rPr>
          <w:rFonts w:ascii="Book Antiqua" w:hAnsi="Book Antiqua"/>
          <w:color w:val="000000" w:themeColor="text1"/>
        </w:rPr>
      </w:pPr>
    </w:p>
    <w:p w14:paraId="42CC1B43"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b/>
          <w:color w:val="000000" w:themeColor="text1"/>
        </w:rPr>
        <w:t xml:space="preserve">Specialty type: </w:t>
      </w:r>
      <w:r w:rsidRPr="00681D35">
        <w:rPr>
          <w:rFonts w:ascii="Book Antiqua" w:eastAsia="Book Antiqua" w:hAnsi="Book Antiqua" w:cs="Book Antiqua"/>
          <w:color w:val="000000" w:themeColor="text1"/>
        </w:rPr>
        <w:t>Anesthesiology</w:t>
      </w:r>
    </w:p>
    <w:p w14:paraId="2B3E9F40"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b/>
          <w:color w:val="000000" w:themeColor="text1"/>
        </w:rPr>
        <w:t xml:space="preserve">Country/Territory of origin: </w:t>
      </w:r>
      <w:r w:rsidRPr="00681D35">
        <w:rPr>
          <w:rFonts w:ascii="Book Antiqua" w:eastAsia="Book Antiqua" w:hAnsi="Book Antiqua" w:cs="Book Antiqua"/>
          <w:color w:val="000000" w:themeColor="text1"/>
        </w:rPr>
        <w:t>China</w:t>
      </w:r>
    </w:p>
    <w:p w14:paraId="1C701FC9"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b/>
          <w:color w:val="000000" w:themeColor="text1"/>
        </w:rPr>
        <w:t>Peer-review report’s scientific quality classification</w:t>
      </w:r>
    </w:p>
    <w:p w14:paraId="14802B14"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color w:val="000000" w:themeColor="text1"/>
        </w:rPr>
        <w:t>Grade A (Excellent): 0</w:t>
      </w:r>
    </w:p>
    <w:p w14:paraId="14015591"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color w:val="000000" w:themeColor="text1"/>
        </w:rPr>
        <w:t>Grade B (Very good): B</w:t>
      </w:r>
    </w:p>
    <w:p w14:paraId="123C511A"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color w:val="000000" w:themeColor="text1"/>
        </w:rPr>
        <w:lastRenderedPageBreak/>
        <w:t>Grade C (Good): 0</w:t>
      </w:r>
    </w:p>
    <w:p w14:paraId="2F00197B"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color w:val="000000" w:themeColor="text1"/>
        </w:rPr>
        <w:t>Grade D (Fair): 0</w:t>
      </w:r>
    </w:p>
    <w:p w14:paraId="31DE3EA7" w14:textId="77777777" w:rsidR="00347BCA" w:rsidRPr="00681D35" w:rsidRDefault="006407D4" w:rsidP="003C2906">
      <w:pPr>
        <w:adjustRightInd w:val="0"/>
        <w:snapToGrid w:val="0"/>
        <w:spacing w:line="360" w:lineRule="auto"/>
        <w:jc w:val="both"/>
        <w:rPr>
          <w:rFonts w:ascii="Book Antiqua" w:hAnsi="Book Antiqua"/>
          <w:color w:val="000000" w:themeColor="text1"/>
        </w:rPr>
      </w:pPr>
      <w:r w:rsidRPr="00681D35">
        <w:rPr>
          <w:rFonts w:ascii="Book Antiqua" w:eastAsia="Book Antiqua" w:hAnsi="Book Antiqua" w:cs="Book Antiqua"/>
          <w:color w:val="000000" w:themeColor="text1"/>
        </w:rPr>
        <w:t>Grade E (Poor): 0</w:t>
      </w:r>
    </w:p>
    <w:p w14:paraId="361664A2" w14:textId="77777777" w:rsidR="00347BCA" w:rsidRPr="00681D35" w:rsidRDefault="00347BCA" w:rsidP="003C2906">
      <w:pPr>
        <w:adjustRightInd w:val="0"/>
        <w:snapToGrid w:val="0"/>
        <w:spacing w:line="360" w:lineRule="auto"/>
        <w:jc w:val="both"/>
        <w:rPr>
          <w:rFonts w:ascii="Book Antiqua" w:hAnsi="Book Antiqua"/>
          <w:color w:val="000000" w:themeColor="text1"/>
        </w:rPr>
      </w:pPr>
    </w:p>
    <w:p w14:paraId="177B7F91" w14:textId="28F122BC" w:rsidR="00134D16" w:rsidRPr="00681D35" w:rsidRDefault="006407D4" w:rsidP="003C2906">
      <w:pPr>
        <w:adjustRightInd w:val="0"/>
        <w:snapToGrid w:val="0"/>
        <w:spacing w:line="360" w:lineRule="auto"/>
        <w:jc w:val="both"/>
        <w:rPr>
          <w:rFonts w:ascii="Book Antiqua" w:hAnsi="Book Antiqua" w:cs="Book Antiqua"/>
          <w:b/>
          <w:color w:val="000000" w:themeColor="text1"/>
          <w:lang w:eastAsia="zh-CN"/>
        </w:rPr>
      </w:pPr>
      <w:r w:rsidRPr="00681D35">
        <w:rPr>
          <w:rFonts w:ascii="Book Antiqua" w:eastAsia="Book Antiqua" w:hAnsi="Book Antiqua" w:cs="Book Antiqua"/>
          <w:b/>
          <w:color w:val="000000" w:themeColor="text1"/>
        </w:rPr>
        <w:t xml:space="preserve">P-Reviewer: </w:t>
      </w:r>
      <w:r w:rsidRPr="00681D35">
        <w:rPr>
          <w:rFonts w:ascii="Book Antiqua" w:eastAsia="Book Antiqua" w:hAnsi="Book Antiqua" w:cs="Book Antiqua"/>
          <w:color w:val="000000" w:themeColor="text1"/>
        </w:rPr>
        <w:t>Fichtner A</w:t>
      </w:r>
      <w:r w:rsidRPr="00681D35">
        <w:rPr>
          <w:rFonts w:ascii="Book Antiqua" w:eastAsia="Book Antiqua" w:hAnsi="Book Antiqua" w:cs="Book Antiqua"/>
          <w:b/>
          <w:color w:val="000000" w:themeColor="text1"/>
        </w:rPr>
        <w:t xml:space="preserve"> S-Editor: </w:t>
      </w:r>
      <w:r w:rsidRPr="00681D35">
        <w:rPr>
          <w:rFonts w:ascii="Book Antiqua" w:eastAsia="Book Antiqua" w:hAnsi="Book Antiqua" w:cs="Book Antiqua"/>
          <w:color w:val="000000" w:themeColor="text1"/>
        </w:rPr>
        <w:t>Wang JL</w:t>
      </w:r>
      <w:r w:rsidRPr="00681D35">
        <w:rPr>
          <w:rFonts w:ascii="Book Antiqua" w:eastAsia="Book Antiqua" w:hAnsi="Book Antiqua" w:cs="Book Antiqua"/>
          <w:b/>
          <w:color w:val="000000" w:themeColor="text1"/>
        </w:rPr>
        <w:t xml:space="preserve"> L-Editor: </w:t>
      </w:r>
      <w:r w:rsidR="00D23885" w:rsidRPr="00681D35">
        <w:rPr>
          <w:rFonts w:ascii="Book Antiqua" w:eastAsia="Book Antiqua" w:hAnsi="Book Antiqua" w:cs="Book Antiqua"/>
          <w:bCs/>
          <w:color w:val="000000" w:themeColor="text1"/>
        </w:rPr>
        <w:t xml:space="preserve">Filipodia </w:t>
      </w:r>
      <w:r w:rsidRPr="00681D35">
        <w:rPr>
          <w:rFonts w:ascii="Book Antiqua" w:eastAsia="Book Antiqua" w:hAnsi="Book Antiqua" w:cs="Book Antiqua"/>
          <w:b/>
          <w:color w:val="000000" w:themeColor="text1"/>
        </w:rPr>
        <w:t>P-Editor:</w:t>
      </w:r>
      <w:r w:rsidRPr="00681D35">
        <w:rPr>
          <w:rFonts w:ascii="Book Antiqua" w:eastAsia="Book Antiqua" w:hAnsi="Book Antiqua" w:cs="Book Antiqua"/>
          <w:color w:val="000000" w:themeColor="text1"/>
        </w:rPr>
        <w:t xml:space="preserve"> </w:t>
      </w:r>
      <w:r w:rsidR="006D603B" w:rsidRPr="00681D35">
        <w:rPr>
          <w:rFonts w:ascii="Book Antiqua" w:eastAsia="Book Antiqua" w:hAnsi="Book Antiqua" w:cs="Book Antiqua"/>
          <w:color w:val="000000" w:themeColor="text1"/>
        </w:rPr>
        <w:t>Wang JL</w:t>
      </w:r>
    </w:p>
    <w:p w14:paraId="72968056" w14:textId="77777777" w:rsidR="00134D16" w:rsidRPr="00681D35" w:rsidRDefault="00134D16">
      <w:pPr>
        <w:rPr>
          <w:rFonts w:ascii="Book Antiqua" w:eastAsia="宋体" w:hAnsi="Book Antiqua"/>
          <w:b/>
          <w:color w:val="000000" w:themeColor="text1"/>
        </w:rPr>
      </w:pPr>
      <w:r w:rsidRPr="00681D35">
        <w:rPr>
          <w:rFonts w:ascii="Book Antiqua" w:eastAsia="宋体" w:hAnsi="Book Antiqua"/>
          <w:b/>
          <w:color w:val="000000" w:themeColor="text1"/>
        </w:rPr>
        <w:br w:type="page"/>
      </w:r>
    </w:p>
    <w:p w14:paraId="1736ABAE" w14:textId="77D99E30" w:rsidR="00347BCA" w:rsidRPr="00681D35" w:rsidRDefault="006407D4" w:rsidP="003C2906">
      <w:pPr>
        <w:adjustRightInd w:val="0"/>
        <w:snapToGrid w:val="0"/>
        <w:spacing w:line="360" w:lineRule="auto"/>
        <w:jc w:val="both"/>
        <w:rPr>
          <w:rFonts w:ascii="Book Antiqua" w:eastAsia="Book Antiqua" w:hAnsi="Book Antiqua" w:cs="Book Antiqua"/>
          <w:b/>
          <w:color w:val="000000" w:themeColor="text1"/>
        </w:rPr>
      </w:pPr>
      <w:r w:rsidRPr="00681D35">
        <w:rPr>
          <w:rFonts w:ascii="Book Antiqua" w:eastAsia="宋体" w:hAnsi="Book Antiqua"/>
          <w:b/>
          <w:bCs/>
          <w:color w:val="000000" w:themeColor="text1"/>
        </w:rPr>
        <w:lastRenderedPageBreak/>
        <w:t>Table 1 Comparison of the baseline conditions between the two groups</w:t>
      </w:r>
    </w:p>
    <w:tbl>
      <w:tblPr>
        <w:tblW w:w="9012" w:type="dxa"/>
        <w:jc w:val="center"/>
        <w:tblBorders>
          <w:top w:val="single" w:sz="4" w:space="0" w:color="auto"/>
          <w:bottom w:val="single" w:sz="4" w:space="0" w:color="auto"/>
        </w:tblBorders>
        <w:tblLook w:val="04A0" w:firstRow="1" w:lastRow="0" w:firstColumn="1" w:lastColumn="0" w:noHBand="0" w:noVBand="1"/>
      </w:tblPr>
      <w:tblGrid>
        <w:gridCol w:w="2268"/>
        <w:gridCol w:w="2120"/>
        <w:gridCol w:w="2182"/>
        <w:gridCol w:w="1276"/>
        <w:gridCol w:w="1166"/>
      </w:tblGrid>
      <w:tr w:rsidR="00347BCA" w:rsidRPr="00681D35" w14:paraId="58BE7B4F" w14:textId="77777777">
        <w:trPr>
          <w:trHeight w:val="312"/>
          <w:jc w:val="center"/>
        </w:trPr>
        <w:tc>
          <w:tcPr>
            <w:tcW w:w="2268" w:type="dxa"/>
            <w:tcBorders>
              <w:top w:val="single" w:sz="4" w:space="0" w:color="auto"/>
              <w:bottom w:val="single" w:sz="4" w:space="0" w:color="auto"/>
            </w:tcBorders>
            <w:shd w:val="clear" w:color="auto" w:fill="auto"/>
            <w:noWrap/>
            <w:vAlign w:val="center"/>
          </w:tcPr>
          <w:p w14:paraId="2764F712" w14:textId="77777777" w:rsidR="00347BCA" w:rsidRPr="00681D35" w:rsidRDefault="006407D4" w:rsidP="003C2906">
            <w:pPr>
              <w:adjustRightInd w:val="0"/>
              <w:snapToGrid w:val="0"/>
              <w:spacing w:line="360" w:lineRule="auto"/>
              <w:jc w:val="both"/>
              <w:rPr>
                <w:rFonts w:ascii="Book Antiqua" w:eastAsia="宋体" w:hAnsi="Book Antiqua"/>
                <w:b/>
                <w:bCs/>
                <w:color w:val="000000" w:themeColor="text1"/>
              </w:rPr>
            </w:pPr>
            <w:r w:rsidRPr="00681D35">
              <w:rPr>
                <w:rFonts w:ascii="Book Antiqua" w:eastAsia="宋体" w:hAnsi="Book Antiqua"/>
                <w:b/>
                <w:bCs/>
                <w:color w:val="000000" w:themeColor="text1"/>
              </w:rPr>
              <w:t>Baseline</w:t>
            </w:r>
          </w:p>
        </w:tc>
        <w:tc>
          <w:tcPr>
            <w:tcW w:w="2120" w:type="dxa"/>
            <w:tcBorders>
              <w:top w:val="single" w:sz="4" w:space="0" w:color="auto"/>
              <w:bottom w:val="single" w:sz="4" w:space="0" w:color="auto"/>
            </w:tcBorders>
            <w:shd w:val="clear" w:color="auto" w:fill="auto"/>
            <w:noWrap/>
            <w:vAlign w:val="center"/>
          </w:tcPr>
          <w:p w14:paraId="6767449B" w14:textId="52ED554F" w:rsidR="00347BCA" w:rsidRPr="00681D35" w:rsidRDefault="006407D4" w:rsidP="003C2906">
            <w:pPr>
              <w:adjustRightInd w:val="0"/>
              <w:snapToGrid w:val="0"/>
              <w:spacing w:line="360" w:lineRule="auto"/>
              <w:jc w:val="both"/>
              <w:rPr>
                <w:rFonts w:ascii="Book Antiqua" w:eastAsia="宋体" w:hAnsi="Book Antiqua"/>
                <w:b/>
                <w:bCs/>
                <w:color w:val="000000" w:themeColor="text1"/>
              </w:rPr>
            </w:pPr>
            <w:r w:rsidRPr="00681D35">
              <w:rPr>
                <w:rFonts w:ascii="Book Antiqua" w:eastAsia="宋体" w:hAnsi="Book Antiqua"/>
                <w:b/>
                <w:bCs/>
                <w:color w:val="000000" w:themeColor="text1"/>
              </w:rPr>
              <w:t>Rem</w:t>
            </w:r>
            <w:r w:rsidR="00F249D0" w:rsidRPr="00681D35">
              <w:rPr>
                <w:rFonts w:ascii="Book Antiqua" w:eastAsia="宋体" w:hAnsi="Book Antiqua"/>
                <w:b/>
                <w:bCs/>
                <w:color w:val="000000" w:themeColor="text1"/>
              </w:rPr>
              <w:t>im</w:t>
            </w:r>
            <w:r w:rsidRPr="00681D35">
              <w:rPr>
                <w:rFonts w:ascii="Book Antiqua" w:eastAsia="宋体" w:hAnsi="Book Antiqua"/>
                <w:b/>
                <w:bCs/>
                <w:color w:val="000000" w:themeColor="text1"/>
              </w:rPr>
              <w:t>azolam group (</w:t>
            </w:r>
            <w:r w:rsidRPr="00681D35">
              <w:rPr>
                <w:rFonts w:ascii="Book Antiqua" w:eastAsia="宋体" w:hAnsi="Book Antiqua"/>
                <w:b/>
                <w:bCs/>
                <w:i/>
                <w:iCs/>
                <w:color w:val="000000" w:themeColor="text1"/>
              </w:rPr>
              <w:t>n</w:t>
            </w:r>
            <w:r w:rsidRPr="00681D35">
              <w:rPr>
                <w:rFonts w:ascii="Book Antiqua" w:eastAsia="宋体" w:hAnsi="Book Antiqua"/>
                <w:b/>
                <w:bCs/>
                <w:color w:val="000000" w:themeColor="text1"/>
              </w:rPr>
              <w:t xml:space="preserve"> = 40)</w:t>
            </w:r>
          </w:p>
        </w:tc>
        <w:tc>
          <w:tcPr>
            <w:tcW w:w="2182" w:type="dxa"/>
            <w:tcBorders>
              <w:top w:val="single" w:sz="4" w:space="0" w:color="auto"/>
              <w:bottom w:val="single" w:sz="4" w:space="0" w:color="auto"/>
            </w:tcBorders>
            <w:shd w:val="clear" w:color="auto" w:fill="auto"/>
            <w:noWrap/>
            <w:vAlign w:val="center"/>
          </w:tcPr>
          <w:p w14:paraId="7FBFCAB1" w14:textId="77777777" w:rsidR="00347BCA" w:rsidRPr="00681D35" w:rsidRDefault="006407D4" w:rsidP="003C2906">
            <w:pPr>
              <w:adjustRightInd w:val="0"/>
              <w:snapToGrid w:val="0"/>
              <w:spacing w:line="360" w:lineRule="auto"/>
              <w:jc w:val="both"/>
              <w:rPr>
                <w:rFonts w:ascii="Book Antiqua" w:eastAsia="宋体" w:hAnsi="Book Antiqua"/>
                <w:b/>
                <w:bCs/>
                <w:color w:val="000000" w:themeColor="text1"/>
              </w:rPr>
            </w:pPr>
            <w:r w:rsidRPr="00681D35">
              <w:rPr>
                <w:rFonts w:ascii="Book Antiqua" w:eastAsia="宋体" w:hAnsi="Book Antiqua"/>
                <w:b/>
                <w:bCs/>
                <w:color w:val="000000" w:themeColor="text1"/>
              </w:rPr>
              <w:t>Propofol group (</w:t>
            </w:r>
            <w:r w:rsidRPr="00681D35">
              <w:rPr>
                <w:rFonts w:ascii="Book Antiqua" w:eastAsia="宋体" w:hAnsi="Book Antiqua"/>
                <w:b/>
                <w:bCs/>
                <w:i/>
                <w:iCs/>
                <w:color w:val="000000" w:themeColor="text1"/>
              </w:rPr>
              <w:t>n</w:t>
            </w:r>
            <w:r w:rsidRPr="00681D35">
              <w:rPr>
                <w:rFonts w:ascii="Book Antiqua" w:eastAsia="宋体" w:hAnsi="Book Antiqua"/>
                <w:b/>
                <w:bCs/>
                <w:color w:val="000000" w:themeColor="text1"/>
              </w:rPr>
              <w:t xml:space="preserve"> = 40)</w:t>
            </w:r>
          </w:p>
        </w:tc>
        <w:tc>
          <w:tcPr>
            <w:tcW w:w="1276" w:type="dxa"/>
            <w:tcBorders>
              <w:top w:val="single" w:sz="4" w:space="0" w:color="auto"/>
              <w:bottom w:val="single" w:sz="4" w:space="0" w:color="auto"/>
            </w:tcBorders>
            <w:shd w:val="clear" w:color="auto" w:fill="auto"/>
            <w:vAlign w:val="center"/>
          </w:tcPr>
          <w:p w14:paraId="7BCFE713" w14:textId="77777777" w:rsidR="00347BCA" w:rsidRPr="00681D35" w:rsidRDefault="006407D4" w:rsidP="003C2906">
            <w:pPr>
              <w:adjustRightInd w:val="0"/>
              <w:snapToGrid w:val="0"/>
              <w:spacing w:line="360" w:lineRule="auto"/>
              <w:jc w:val="both"/>
              <w:rPr>
                <w:rFonts w:ascii="Book Antiqua" w:eastAsia="宋体" w:hAnsi="Book Antiqua"/>
                <w:b/>
                <w:bCs/>
                <w:color w:val="000000" w:themeColor="text1"/>
              </w:rPr>
            </w:pPr>
            <w:r w:rsidRPr="00681D35">
              <w:rPr>
                <w:rFonts w:ascii="Book Antiqua" w:eastAsia="宋体" w:hAnsi="Book Antiqua"/>
                <w:b/>
                <w:bCs/>
                <w:i/>
                <w:iCs/>
                <w:color w:val="000000" w:themeColor="text1"/>
              </w:rPr>
              <w:t>t</w:t>
            </w:r>
            <w:r w:rsidRPr="00681D35">
              <w:rPr>
                <w:rFonts w:ascii="Book Antiqua" w:eastAsia="宋体" w:hAnsi="Book Antiqua"/>
                <w:b/>
                <w:bCs/>
                <w:color w:val="000000" w:themeColor="text1"/>
              </w:rPr>
              <w:t>/</w:t>
            </w:r>
            <w:r w:rsidRPr="00681D35">
              <w:rPr>
                <w:rFonts w:ascii="Book Antiqua" w:eastAsia="宋体" w:hAnsi="Book Antiqua"/>
                <w:b/>
                <w:bCs/>
                <w:i/>
                <w:iCs/>
                <w:color w:val="000000" w:themeColor="text1"/>
              </w:rPr>
              <w:t>χ</w:t>
            </w:r>
            <w:r w:rsidRPr="00681D35">
              <w:rPr>
                <w:rFonts w:ascii="Book Antiqua" w:eastAsia="宋体" w:hAnsi="Book Antiqua"/>
                <w:b/>
                <w:bCs/>
                <w:color w:val="000000" w:themeColor="text1"/>
                <w:vertAlign w:val="superscript"/>
              </w:rPr>
              <w:t xml:space="preserve">2 </w:t>
            </w:r>
            <w:r w:rsidRPr="00681D35">
              <w:rPr>
                <w:rFonts w:ascii="Book Antiqua" w:eastAsia="宋体" w:hAnsi="Book Antiqua"/>
                <w:b/>
                <w:bCs/>
                <w:color w:val="000000" w:themeColor="text1"/>
              </w:rPr>
              <w:t>value</w:t>
            </w:r>
          </w:p>
        </w:tc>
        <w:tc>
          <w:tcPr>
            <w:tcW w:w="1166" w:type="dxa"/>
            <w:tcBorders>
              <w:top w:val="single" w:sz="4" w:space="0" w:color="auto"/>
              <w:bottom w:val="single" w:sz="4" w:space="0" w:color="auto"/>
            </w:tcBorders>
            <w:shd w:val="clear" w:color="auto" w:fill="auto"/>
            <w:vAlign w:val="center"/>
          </w:tcPr>
          <w:p w14:paraId="71E0D0FD" w14:textId="77777777" w:rsidR="00347BCA" w:rsidRPr="00681D35" w:rsidRDefault="006407D4" w:rsidP="003C2906">
            <w:pPr>
              <w:adjustRightInd w:val="0"/>
              <w:snapToGrid w:val="0"/>
              <w:spacing w:line="360" w:lineRule="auto"/>
              <w:jc w:val="both"/>
              <w:rPr>
                <w:rFonts w:ascii="Book Antiqua" w:eastAsia="宋体" w:hAnsi="Book Antiqua"/>
                <w:b/>
                <w:bCs/>
                <w:color w:val="000000" w:themeColor="text1"/>
              </w:rPr>
            </w:pPr>
            <w:r w:rsidRPr="00681D35">
              <w:rPr>
                <w:rFonts w:ascii="Book Antiqua" w:eastAsia="宋体" w:hAnsi="Book Antiqua"/>
                <w:b/>
                <w:bCs/>
                <w:i/>
                <w:iCs/>
                <w:color w:val="000000" w:themeColor="text1"/>
              </w:rPr>
              <w:t>P</w:t>
            </w:r>
            <w:r w:rsidRPr="00681D35">
              <w:rPr>
                <w:rFonts w:ascii="Book Antiqua" w:eastAsia="宋体" w:hAnsi="Book Antiqua"/>
                <w:b/>
                <w:bCs/>
                <w:color w:val="000000" w:themeColor="text1"/>
              </w:rPr>
              <w:t xml:space="preserve"> value</w:t>
            </w:r>
          </w:p>
        </w:tc>
      </w:tr>
      <w:tr w:rsidR="00347BCA" w:rsidRPr="00681D35" w14:paraId="2067CA75" w14:textId="77777777">
        <w:trPr>
          <w:trHeight w:val="312"/>
          <w:jc w:val="center"/>
        </w:trPr>
        <w:tc>
          <w:tcPr>
            <w:tcW w:w="2268" w:type="dxa"/>
            <w:tcBorders>
              <w:top w:val="single" w:sz="4" w:space="0" w:color="auto"/>
            </w:tcBorders>
            <w:shd w:val="clear" w:color="auto" w:fill="auto"/>
            <w:noWrap/>
            <w:vAlign w:val="center"/>
          </w:tcPr>
          <w:p w14:paraId="1E8D7A37"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Age (yr)</w:t>
            </w:r>
          </w:p>
        </w:tc>
        <w:tc>
          <w:tcPr>
            <w:tcW w:w="2120" w:type="dxa"/>
            <w:tcBorders>
              <w:top w:val="single" w:sz="4" w:space="0" w:color="auto"/>
            </w:tcBorders>
            <w:shd w:val="clear" w:color="auto" w:fill="auto"/>
            <w:noWrap/>
            <w:vAlign w:val="center"/>
          </w:tcPr>
          <w:p w14:paraId="349654C4"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54.9 ± 8.5</w:t>
            </w:r>
          </w:p>
        </w:tc>
        <w:tc>
          <w:tcPr>
            <w:tcW w:w="2182" w:type="dxa"/>
            <w:tcBorders>
              <w:top w:val="single" w:sz="4" w:space="0" w:color="auto"/>
            </w:tcBorders>
            <w:shd w:val="clear" w:color="auto" w:fill="auto"/>
            <w:noWrap/>
            <w:vAlign w:val="center"/>
          </w:tcPr>
          <w:p w14:paraId="063EB34E"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52.7 ± 7.0</w:t>
            </w:r>
          </w:p>
        </w:tc>
        <w:tc>
          <w:tcPr>
            <w:tcW w:w="1276" w:type="dxa"/>
            <w:tcBorders>
              <w:top w:val="single" w:sz="4" w:space="0" w:color="auto"/>
            </w:tcBorders>
            <w:shd w:val="clear" w:color="auto" w:fill="auto"/>
            <w:vAlign w:val="center"/>
          </w:tcPr>
          <w:p w14:paraId="2E71717B"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1.264 </w:t>
            </w:r>
          </w:p>
        </w:tc>
        <w:tc>
          <w:tcPr>
            <w:tcW w:w="1166" w:type="dxa"/>
            <w:tcBorders>
              <w:top w:val="single" w:sz="4" w:space="0" w:color="auto"/>
            </w:tcBorders>
            <w:shd w:val="clear" w:color="auto" w:fill="auto"/>
            <w:vAlign w:val="center"/>
          </w:tcPr>
          <w:p w14:paraId="511B53B9"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0.210 </w:t>
            </w:r>
          </w:p>
        </w:tc>
      </w:tr>
      <w:tr w:rsidR="00347BCA" w:rsidRPr="00681D35" w14:paraId="201A553F" w14:textId="77777777">
        <w:trPr>
          <w:trHeight w:val="336"/>
          <w:jc w:val="center"/>
        </w:trPr>
        <w:tc>
          <w:tcPr>
            <w:tcW w:w="2268" w:type="dxa"/>
            <w:shd w:val="clear" w:color="auto" w:fill="auto"/>
            <w:noWrap/>
            <w:vAlign w:val="center"/>
          </w:tcPr>
          <w:p w14:paraId="48CEB3B5"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BMI (kg/m</w:t>
            </w:r>
            <w:r w:rsidRPr="00681D35">
              <w:rPr>
                <w:rFonts w:ascii="Book Antiqua" w:eastAsia="宋体" w:hAnsi="Book Antiqua"/>
                <w:color w:val="000000" w:themeColor="text1"/>
                <w:vertAlign w:val="superscript"/>
              </w:rPr>
              <w:t>2</w:t>
            </w:r>
            <w:r w:rsidRPr="00681D35">
              <w:rPr>
                <w:rFonts w:ascii="Book Antiqua" w:eastAsia="宋体" w:hAnsi="Book Antiqua"/>
                <w:color w:val="000000" w:themeColor="text1"/>
              </w:rPr>
              <w:t>)</w:t>
            </w:r>
          </w:p>
        </w:tc>
        <w:tc>
          <w:tcPr>
            <w:tcW w:w="2120" w:type="dxa"/>
            <w:shd w:val="clear" w:color="auto" w:fill="auto"/>
            <w:noWrap/>
            <w:vAlign w:val="center"/>
          </w:tcPr>
          <w:p w14:paraId="3CD1125A"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24.1 ± 2.4</w:t>
            </w:r>
          </w:p>
        </w:tc>
        <w:tc>
          <w:tcPr>
            <w:tcW w:w="2182" w:type="dxa"/>
            <w:shd w:val="clear" w:color="auto" w:fill="auto"/>
            <w:noWrap/>
            <w:vAlign w:val="center"/>
          </w:tcPr>
          <w:p w14:paraId="3BB9DA3E"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23.9 ± 2.2</w:t>
            </w:r>
          </w:p>
        </w:tc>
        <w:tc>
          <w:tcPr>
            <w:tcW w:w="1276" w:type="dxa"/>
            <w:shd w:val="clear" w:color="auto" w:fill="auto"/>
            <w:vAlign w:val="center"/>
          </w:tcPr>
          <w:p w14:paraId="63F6444E"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0.389 </w:t>
            </w:r>
          </w:p>
        </w:tc>
        <w:tc>
          <w:tcPr>
            <w:tcW w:w="1166" w:type="dxa"/>
            <w:shd w:val="clear" w:color="auto" w:fill="auto"/>
            <w:vAlign w:val="center"/>
          </w:tcPr>
          <w:p w14:paraId="79A73E9F"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0.699 </w:t>
            </w:r>
          </w:p>
        </w:tc>
      </w:tr>
      <w:tr w:rsidR="00347BCA" w:rsidRPr="00681D35" w14:paraId="7EB637A2" w14:textId="77777777">
        <w:trPr>
          <w:trHeight w:val="312"/>
          <w:jc w:val="center"/>
        </w:trPr>
        <w:tc>
          <w:tcPr>
            <w:tcW w:w="2268" w:type="dxa"/>
            <w:shd w:val="clear" w:color="auto" w:fill="auto"/>
            <w:noWrap/>
            <w:vAlign w:val="center"/>
          </w:tcPr>
          <w:p w14:paraId="2D45128D"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Systolic blood pressure (mmHg)</w:t>
            </w:r>
          </w:p>
        </w:tc>
        <w:tc>
          <w:tcPr>
            <w:tcW w:w="2120" w:type="dxa"/>
            <w:shd w:val="clear" w:color="auto" w:fill="auto"/>
            <w:noWrap/>
            <w:vAlign w:val="center"/>
          </w:tcPr>
          <w:p w14:paraId="4DE57BB2"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126.3 ± 6.3</w:t>
            </w:r>
          </w:p>
        </w:tc>
        <w:tc>
          <w:tcPr>
            <w:tcW w:w="2182" w:type="dxa"/>
            <w:shd w:val="clear" w:color="auto" w:fill="auto"/>
            <w:noWrap/>
            <w:vAlign w:val="center"/>
          </w:tcPr>
          <w:p w14:paraId="77C738A6"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124.8 ± 8.1</w:t>
            </w:r>
          </w:p>
        </w:tc>
        <w:tc>
          <w:tcPr>
            <w:tcW w:w="1276" w:type="dxa"/>
            <w:shd w:val="clear" w:color="auto" w:fill="auto"/>
            <w:vAlign w:val="center"/>
          </w:tcPr>
          <w:p w14:paraId="30D5221B"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0.925 </w:t>
            </w:r>
          </w:p>
        </w:tc>
        <w:tc>
          <w:tcPr>
            <w:tcW w:w="1166" w:type="dxa"/>
            <w:shd w:val="clear" w:color="auto" w:fill="auto"/>
            <w:vAlign w:val="center"/>
          </w:tcPr>
          <w:p w14:paraId="7B8A2B90"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0.358 </w:t>
            </w:r>
          </w:p>
        </w:tc>
      </w:tr>
      <w:tr w:rsidR="00347BCA" w:rsidRPr="00681D35" w14:paraId="11EFF5D1" w14:textId="77777777">
        <w:trPr>
          <w:trHeight w:val="312"/>
          <w:jc w:val="center"/>
        </w:trPr>
        <w:tc>
          <w:tcPr>
            <w:tcW w:w="2268" w:type="dxa"/>
            <w:shd w:val="clear" w:color="auto" w:fill="auto"/>
            <w:noWrap/>
            <w:vAlign w:val="center"/>
          </w:tcPr>
          <w:p w14:paraId="2F8139AA"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Diastolic blood pressure (mmHg)</w:t>
            </w:r>
          </w:p>
        </w:tc>
        <w:tc>
          <w:tcPr>
            <w:tcW w:w="2120" w:type="dxa"/>
            <w:shd w:val="clear" w:color="auto" w:fill="auto"/>
            <w:noWrap/>
            <w:vAlign w:val="center"/>
          </w:tcPr>
          <w:p w14:paraId="0B8DF352"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75.7 ± 6.0</w:t>
            </w:r>
          </w:p>
        </w:tc>
        <w:tc>
          <w:tcPr>
            <w:tcW w:w="2182" w:type="dxa"/>
            <w:shd w:val="clear" w:color="auto" w:fill="auto"/>
            <w:noWrap/>
            <w:vAlign w:val="center"/>
          </w:tcPr>
          <w:p w14:paraId="5FBC4BFB"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76.5 ± 7.3</w:t>
            </w:r>
          </w:p>
        </w:tc>
        <w:tc>
          <w:tcPr>
            <w:tcW w:w="1276" w:type="dxa"/>
            <w:shd w:val="clear" w:color="auto" w:fill="auto"/>
            <w:vAlign w:val="center"/>
          </w:tcPr>
          <w:p w14:paraId="55BBC90E"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-0.535 </w:t>
            </w:r>
          </w:p>
        </w:tc>
        <w:tc>
          <w:tcPr>
            <w:tcW w:w="1166" w:type="dxa"/>
            <w:shd w:val="clear" w:color="auto" w:fill="auto"/>
            <w:vAlign w:val="center"/>
          </w:tcPr>
          <w:p w14:paraId="201CF501"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0.594 </w:t>
            </w:r>
          </w:p>
        </w:tc>
      </w:tr>
      <w:tr w:rsidR="00347BCA" w:rsidRPr="00681D35" w14:paraId="68EF4ED8" w14:textId="77777777">
        <w:trPr>
          <w:trHeight w:val="312"/>
          <w:jc w:val="center"/>
        </w:trPr>
        <w:tc>
          <w:tcPr>
            <w:tcW w:w="2268" w:type="dxa"/>
            <w:shd w:val="clear" w:color="auto" w:fill="auto"/>
            <w:noWrap/>
            <w:vAlign w:val="center"/>
          </w:tcPr>
          <w:p w14:paraId="3DB60D38"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Heart rate (times/min)</w:t>
            </w:r>
          </w:p>
        </w:tc>
        <w:tc>
          <w:tcPr>
            <w:tcW w:w="2120" w:type="dxa"/>
            <w:shd w:val="clear" w:color="auto" w:fill="auto"/>
            <w:noWrap/>
            <w:vAlign w:val="center"/>
          </w:tcPr>
          <w:p w14:paraId="0C260353"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76.7 ± 7.1</w:t>
            </w:r>
          </w:p>
        </w:tc>
        <w:tc>
          <w:tcPr>
            <w:tcW w:w="2182" w:type="dxa"/>
            <w:shd w:val="clear" w:color="auto" w:fill="auto"/>
            <w:noWrap/>
            <w:vAlign w:val="center"/>
          </w:tcPr>
          <w:p w14:paraId="295A42CC"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78.2 ± 7.7</w:t>
            </w:r>
          </w:p>
        </w:tc>
        <w:tc>
          <w:tcPr>
            <w:tcW w:w="1276" w:type="dxa"/>
            <w:shd w:val="clear" w:color="auto" w:fill="auto"/>
            <w:vAlign w:val="center"/>
          </w:tcPr>
          <w:p w14:paraId="06C15611"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-0.906 </w:t>
            </w:r>
          </w:p>
        </w:tc>
        <w:tc>
          <w:tcPr>
            <w:tcW w:w="1166" w:type="dxa"/>
            <w:shd w:val="clear" w:color="auto" w:fill="auto"/>
            <w:vAlign w:val="center"/>
          </w:tcPr>
          <w:p w14:paraId="420F885E"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0.368 </w:t>
            </w:r>
          </w:p>
        </w:tc>
      </w:tr>
      <w:tr w:rsidR="00347BCA" w:rsidRPr="00681D35" w14:paraId="69CA70E3" w14:textId="77777777">
        <w:trPr>
          <w:trHeight w:val="312"/>
          <w:jc w:val="center"/>
        </w:trPr>
        <w:tc>
          <w:tcPr>
            <w:tcW w:w="2268" w:type="dxa"/>
            <w:shd w:val="clear" w:color="auto" w:fill="auto"/>
            <w:noWrap/>
            <w:vAlign w:val="center"/>
          </w:tcPr>
          <w:p w14:paraId="3FB0A65C"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Blood glucose (mmol/L)</w:t>
            </w:r>
          </w:p>
        </w:tc>
        <w:tc>
          <w:tcPr>
            <w:tcW w:w="2120" w:type="dxa"/>
            <w:shd w:val="clear" w:color="auto" w:fill="auto"/>
            <w:noWrap/>
            <w:vAlign w:val="center"/>
          </w:tcPr>
          <w:p w14:paraId="76EAF4DB"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5.39 ± 0.51</w:t>
            </w:r>
          </w:p>
        </w:tc>
        <w:tc>
          <w:tcPr>
            <w:tcW w:w="2182" w:type="dxa"/>
            <w:shd w:val="clear" w:color="auto" w:fill="auto"/>
            <w:noWrap/>
            <w:vAlign w:val="center"/>
          </w:tcPr>
          <w:p w14:paraId="2EC062CE"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5.50 ± 0.48</w:t>
            </w:r>
          </w:p>
        </w:tc>
        <w:tc>
          <w:tcPr>
            <w:tcW w:w="1276" w:type="dxa"/>
            <w:shd w:val="clear" w:color="auto" w:fill="auto"/>
            <w:vAlign w:val="center"/>
          </w:tcPr>
          <w:p w14:paraId="259B4C62"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-0.993 </w:t>
            </w:r>
          </w:p>
        </w:tc>
        <w:tc>
          <w:tcPr>
            <w:tcW w:w="1166" w:type="dxa"/>
            <w:shd w:val="clear" w:color="auto" w:fill="auto"/>
            <w:vAlign w:val="center"/>
          </w:tcPr>
          <w:p w14:paraId="51CE1362"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0.324 </w:t>
            </w:r>
          </w:p>
        </w:tc>
      </w:tr>
      <w:tr w:rsidR="00347BCA" w:rsidRPr="00681D35" w14:paraId="55255435" w14:textId="77777777">
        <w:trPr>
          <w:trHeight w:val="312"/>
          <w:jc w:val="center"/>
        </w:trPr>
        <w:tc>
          <w:tcPr>
            <w:tcW w:w="2268" w:type="dxa"/>
            <w:shd w:val="clear" w:color="auto" w:fill="auto"/>
            <w:noWrap/>
            <w:vAlign w:val="center"/>
          </w:tcPr>
          <w:p w14:paraId="1659AFF3"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Gender, </w:t>
            </w:r>
            <w:r w:rsidRPr="00681D35">
              <w:rPr>
                <w:rFonts w:ascii="Book Antiqua" w:eastAsia="宋体" w:hAnsi="Book Antiqua"/>
                <w:i/>
                <w:iCs/>
                <w:color w:val="000000" w:themeColor="text1"/>
              </w:rPr>
              <w:t>n</w:t>
            </w:r>
            <w:r w:rsidRPr="00681D35">
              <w:rPr>
                <w:rFonts w:ascii="Book Antiqua" w:eastAsia="宋体" w:hAnsi="Book Antiqua"/>
                <w:color w:val="000000" w:themeColor="text1"/>
              </w:rPr>
              <w:t xml:space="preserve"> (%)</w:t>
            </w:r>
          </w:p>
        </w:tc>
        <w:tc>
          <w:tcPr>
            <w:tcW w:w="2120" w:type="dxa"/>
            <w:shd w:val="clear" w:color="auto" w:fill="auto"/>
            <w:noWrap/>
            <w:vAlign w:val="center"/>
          </w:tcPr>
          <w:p w14:paraId="09BFBDF2" w14:textId="77777777" w:rsidR="00347BCA" w:rsidRPr="00681D35" w:rsidRDefault="00347BCA" w:rsidP="003C2906">
            <w:pPr>
              <w:keepNext/>
              <w:keepLines/>
              <w:adjustRightInd w:val="0"/>
              <w:snapToGrid w:val="0"/>
              <w:spacing w:line="360" w:lineRule="auto"/>
              <w:jc w:val="both"/>
              <w:rPr>
                <w:rFonts w:ascii="Book Antiqua" w:eastAsia="宋体" w:hAnsi="Book Antiqua"/>
                <w:color w:val="000000" w:themeColor="text1"/>
              </w:rPr>
            </w:pPr>
          </w:p>
        </w:tc>
        <w:tc>
          <w:tcPr>
            <w:tcW w:w="2182" w:type="dxa"/>
            <w:shd w:val="clear" w:color="auto" w:fill="auto"/>
            <w:noWrap/>
            <w:vAlign w:val="center"/>
          </w:tcPr>
          <w:p w14:paraId="1BE69707" w14:textId="77777777" w:rsidR="00347BCA" w:rsidRPr="00681D35" w:rsidRDefault="00347BCA" w:rsidP="003C2906">
            <w:pPr>
              <w:keepNext/>
              <w:keepLines/>
              <w:adjustRightInd w:val="0"/>
              <w:snapToGrid w:val="0"/>
              <w:spacing w:line="360" w:lineRule="auto"/>
              <w:jc w:val="both"/>
              <w:rPr>
                <w:rFonts w:ascii="Book Antiqua" w:eastAsia="宋体" w:hAnsi="Book Antiqua"/>
                <w:color w:val="000000" w:themeColor="text1"/>
              </w:rPr>
            </w:pPr>
          </w:p>
        </w:tc>
        <w:tc>
          <w:tcPr>
            <w:tcW w:w="1276" w:type="dxa"/>
            <w:shd w:val="clear" w:color="auto" w:fill="auto"/>
            <w:noWrap/>
            <w:vAlign w:val="center"/>
          </w:tcPr>
          <w:p w14:paraId="783C9E2A"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1.270 </w:t>
            </w:r>
          </w:p>
        </w:tc>
        <w:tc>
          <w:tcPr>
            <w:tcW w:w="1166" w:type="dxa"/>
            <w:shd w:val="clear" w:color="auto" w:fill="auto"/>
            <w:noWrap/>
            <w:vAlign w:val="center"/>
          </w:tcPr>
          <w:p w14:paraId="488C9B0E"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0.260 </w:t>
            </w:r>
          </w:p>
        </w:tc>
      </w:tr>
      <w:tr w:rsidR="00347BCA" w:rsidRPr="00681D35" w14:paraId="2DEF2E14" w14:textId="77777777">
        <w:trPr>
          <w:trHeight w:val="312"/>
          <w:jc w:val="center"/>
        </w:trPr>
        <w:tc>
          <w:tcPr>
            <w:tcW w:w="2268" w:type="dxa"/>
            <w:shd w:val="clear" w:color="auto" w:fill="auto"/>
            <w:noWrap/>
            <w:vAlign w:val="center"/>
          </w:tcPr>
          <w:p w14:paraId="141C5338"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Male</w:t>
            </w:r>
          </w:p>
        </w:tc>
        <w:tc>
          <w:tcPr>
            <w:tcW w:w="2120" w:type="dxa"/>
            <w:shd w:val="clear" w:color="auto" w:fill="auto"/>
            <w:noWrap/>
            <w:vAlign w:val="center"/>
          </w:tcPr>
          <w:p w14:paraId="1DB13648"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25 (62.50)</w:t>
            </w:r>
          </w:p>
        </w:tc>
        <w:tc>
          <w:tcPr>
            <w:tcW w:w="2182" w:type="dxa"/>
            <w:shd w:val="clear" w:color="auto" w:fill="auto"/>
            <w:noWrap/>
            <w:vAlign w:val="center"/>
          </w:tcPr>
          <w:p w14:paraId="327C1EB5"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20 (50.00)</w:t>
            </w:r>
          </w:p>
        </w:tc>
        <w:tc>
          <w:tcPr>
            <w:tcW w:w="1276" w:type="dxa"/>
            <w:shd w:val="clear" w:color="auto" w:fill="auto"/>
            <w:noWrap/>
            <w:vAlign w:val="center"/>
          </w:tcPr>
          <w:p w14:paraId="5EB2C238" w14:textId="77777777" w:rsidR="00347BCA" w:rsidRPr="00681D35" w:rsidRDefault="00347BCA" w:rsidP="003C2906">
            <w:pPr>
              <w:keepNext/>
              <w:keepLines/>
              <w:adjustRightInd w:val="0"/>
              <w:snapToGrid w:val="0"/>
              <w:spacing w:line="360" w:lineRule="auto"/>
              <w:jc w:val="both"/>
              <w:rPr>
                <w:rFonts w:ascii="Book Antiqua" w:eastAsia="宋体" w:hAnsi="Book Antiqua"/>
                <w:color w:val="000000" w:themeColor="text1"/>
              </w:rPr>
            </w:pPr>
          </w:p>
        </w:tc>
        <w:tc>
          <w:tcPr>
            <w:tcW w:w="1166" w:type="dxa"/>
            <w:shd w:val="clear" w:color="auto" w:fill="auto"/>
            <w:noWrap/>
            <w:vAlign w:val="center"/>
          </w:tcPr>
          <w:p w14:paraId="0AD1CE97" w14:textId="77777777" w:rsidR="00347BCA" w:rsidRPr="00681D35" w:rsidRDefault="00347BCA" w:rsidP="003C2906">
            <w:pPr>
              <w:keepNext/>
              <w:keepLines/>
              <w:adjustRightInd w:val="0"/>
              <w:snapToGrid w:val="0"/>
              <w:spacing w:line="360" w:lineRule="auto"/>
              <w:jc w:val="both"/>
              <w:rPr>
                <w:rFonts w:ascii="Book Antiqua" w:eastAsia="宋体" w:hAnsi="Book Antiqua"/>
                <w:color w:val="000000" w:themeColor="text1"/>
              </w:rPr>
            </w:pPr>
          </w:p>
        </w:tc>
      </w:tr>
      <w:tr w:rsidR="00347BCA" w:rsidRPr="00681D35" w14:paraId="3EC9C245" w14:textId="77777777">
        <w:trPr>
          <w:trHeight w:val="312"/>
          <w:jc w:val="center"/>
        </w:trPr>
        <w:tc>
          <w:tcPr>
            <w:tcW w:w="2268" w:type="dxa"/>
            <w:shd w:val="clear" w:color="auto" w:fill="auto"/>
            <w:noWrap/>
            <w:vAlign w:val="center"/>
          </w:tcPr>
          <w:p w14:paraId="4BC78A16"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Female</w:t>
            </w:r>
          </w:p>
        </w:tc>
        <w:tc>
          <w:tcPr>
            <w:tcW w:w="2120" w:type="dxa"/>
            <w:shd w:val="clear" w:color="auto" w:fill="auto"/>
            <w:noWrap/>
            <w:vAlign w:val="center"/>
          </w:tcPr>
          <w:p w14:paraId="41093925"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15 (37.50)</w:t>
            </w:r>
          </w:p>
        </w:tc>
        <w:tc>
          <w:tcPr>
            <w:tcW w:w="2182" w:type="dxa"/>
            <w:shd w:val="clear" w:color="auto" w:fill="auto"/>
            <w:noWrap/>
            <w:vAlign w:val="center"/>
          </w:tcPr>
          <w:p w14:paraId="19E22167"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20 (50.00)</w:t>
            </w:r>
          </w:p>
        </w:tc>
        <w:tc>
          <w:tcPr>
            <w:tcW w:w="1276" w:type="dxa"/>
            <w:shd w:val="clear" w:color="auto" w:fill="auto"/>
            <w:noWrap/>
            <w:vAlign w:val="center"/>
          </w:tcPr>
          <w:p w14:paraId="1328218C" w14:textId="77777777" w:rsidR="00347BCA" w:rsidRPr="00681D35" w:rsidRDefault="00347BCA" w:rsidP="003C2906">
            <w:pPr>
              <w:keepNext/>
              <w:keepLines/>
              <w:adjustRightInd w:val="0"/>
              <w:snapToGrid w:val="0"/>
              <w:spacing w:line="360" w:lineRule="auto"/>
              <w:jc w:val="both"/>
              <w:rPr>
                <w:rFonts w:ascii="Book Antiqua" w:eastAsia="宋体" w:hAnsi="Book Antiqua"/>
                <w:color w:val="000000" w:themeColor="text1"/>
              </w:rPr>
            </w:pPr>
          </w:p>
        </w:tc>
        <w:tc>
          <w:tcPr>
            <w:tcW w:w="1166" w:type="dxa"/>
            <w:shd w:val="clear" w:color="auto" w:fill="auto"/>
            <w:noWrap/>
            <w:vAlign w:val="center"/>
          </w:tcPr>
          <w:p w14:paraId="059BA306" w14:textId="77777777" w:rsidR="00347BCA" w:rsidRPr="00681D35" w:rsidRDefault="00347BCA" w:rsidP="003C2906">
            <w:pPr>
              <w:keepNext/>
              <w:keepLines/>
              <w:adjustRightInd w:val="0"/>
              <w:snapToGrid w:val="0"/>
              <w:spacing w:line="360" w:lineRule="auto"/>
              <w:jc w:val="both"/>
              <w:rPr>
                <w:rFonts w:ascii="Book Antiqua" w:eastAsia="宋体" w:hAnsi="Book Antiqua"/>
                <w:color w:val="000000" w:themeColor="text1"/>
              </w:rPr>
            </w:pPr>
          </w:p>
        </w:tc>
      </w:tr>
      <w:tr w:rsidR="00347BCA" w:rsidRPr="00681D35" w14:paraId="3EC8CAFF" w14:textId="77777777">
        <w:trPr>
          <w:trHeight w:val="312"/>
          <w:jc w:val="center"/>
        </w:trPr>
        <w:tc>
          <w:tcPr>
            <w:tcW w:w="2268" w:type="dxa"/>
            <w:shd w:val="clear" w:color="auto" w:fill="auto"/>
            <w:noWrap/>
            <w:vAlign w:val="center"/>
          </w:tcPr>
          <w:p w14:paraId="5D2EA788"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ASA grades, </w:t>
            </w:r>
            <w:r w:rsidRPr="00681D35">
              <w:rPr>
                <w:rFonts w:ascii="Book Antiqua" w:eastAsia="宋体" w:hAnsi="Book Antiqua"/>
                <w:i/>
                <w:iCs/>
                <w:color w:val="000000" w:themeColor="text1"/>
              </w:rPr>
              <w:t>n</w:t>
            </w:r>
            <w:r w:rsidRPr="00681D35">
              <w:rPr>
                <w:rFonts w:ascii="Book Antiqua" w:eastAsia="宋体" w:hAnsi="Book Antiqua"/>
                <w:color w:val="000000" w:themeColor="text1"/>
              </w:rPr>
              <w:t xml:space="preserve"> (%)</w:t>
            </w:r>
          </w:p>
        </w:tc>
        <w:tc>
          <w:tcPr>
            <w:tcW w:w="2120" w:type="dxa"/>
            <w:shd w:val="clear" w:color="auto" w:fill="auto"/>
            <w:noWrap/>
            <w:vAlign w:val="center"/>
          </w:tcPr>
          <w:p w14:paraId="61DDFDC5" w14:textId="77777777" w:rsidR="00347BCA" w:rsidRPr="00681D35" w:rsidRDefault="00347BCA" w:rsidP="003C2906">
            <w:pPr>
              <w:keepNext/>
              <w:keepLines/>
              <w:adjustRightInd w:val="0"/>
              <w:snapToGrid w:val="0"/>
              <w:spacing w:line="360" w:lineRule="auto"/>
              <w:jc w:val="both"/>
              <w:rPr>
                <w:rFonts w:ascii="Book Antiqua" w:eastAsia="宋体" w:hAnsi="Book Antiqua"/>
                <w:color w:val="000000" w:themeColor="text1"/>
              </w:rPr>
            </w:pPr>
          </w:p>
        </w:tc>
        <w:tc>
          <w:tcPr>
            <w:tcW w:w="2182" w:type="dxa"/>
            <w:shd w:val="clear" w:color="auto" w:fill="auto"/>
            <w:noWrap/>
            <w:vAlign w:val="center"/>
          </w:tcPr>
          <w:p w14:paraId="1C5D67F4" w14:textId="77777777" w:rsidR="00347BCA" w:rsidRPr="00681D35" w:rsidRDefault="00347BCA" w:rsidP="003C2906">
            <w:pPr>
              <w:keepNext/>
              <w:keepLines/>
              <w:adjustRightInd w:val="0"/>
              <w:snapToGrid w:val="0"/>
              <w:spacing w:line="360" w:lineRule="auto"/>
              <w:jc w:val="both"/>
              <w:rPr>
                <w:rFonts w:ascii="Book Antiqua" w:eastAsia="宋体" w:hAnsi="Book Antiqua"/>
                <w:color w:val="000000" w:themeColor="text1"/>
              </w:rPr>
            </w:pPr>
          </w:p>
        </w:tc>
        <w:tc>
          <w:tcPr>
            <w:tcW w:w="1276" w:type="dxa"/>
            <w:shd w:val="clear" w:color="auto" w:fill="auto"/>
            <w:noWrap/>
            <w:vAlign w:val="center"/>
          </w:tcPr>
          <w:p w14:paraId="4669B902"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1.868 </w:t>
            </w:r>
          </w:p>
        </w:tc>
        <w:tc>
          <w:tcPr>
            <w:tcW w:w="1166" w:type="dxa"/>
            <w:shd w:val="clear" w:color="auto" w:fill="auto"/>
            <w:noWrap/>
            <w:vAlign w:val="center"/>
          </w:tcPr>
          <w:p w14:paraId="60EB527F"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0.393 </w:t>
            </w:r>
          </w:p>
        </w:tc>
      </w:tr>
      <w:tr w:rsidR="00347BCA" w:rsidRPr="00681D35" w14:paraId="7597B39A" w14:textId="77777777">
        <w:trPr>
          <w:trHeight w:val="312"/>
          <w:jc w:val="center"/>
        </w:trPr>
        <w:tc>
          <w:tcPr>
            <w:tcW w:w="2268" w:type="dxa"/>
            <w:shd w:val="clear" w:color="auto" w:fill="auto"/>
            <w:noWrap/>
            <w:vAlign w:val="center"/>
          </w:tcPr>
          <w:p w14:paraId="382071F4"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lang w:eastAsia="zh-CN"/>
              </w:rPr>
            </w:pPr>
            <w:r w:rsidRPr="00681D35">
              <w:rPr>
                <w:rFonts w:ascii="Book Antiqua" w:eastAsia="宋体" w:hAnsi="Book Antiqua"/>
                <w:color w:val="000000" w:themeColor="text1"/>
              </w:rPr>
              <w:t xml:space="preserve">Grade </w:t>
            </w:r>
            <w:r w:rsidRPr="00681D35">
              <w:rPr>
                <w:rFonts w:ascii="Book Antiqua" w:eastAsia="宋体" w:hAnsi="Book Antiqua" w:cs="宋体"/>
                <w:color w:val="000000" w:themeColor="text1"/>
                <w:lang w:eastAsia="zh-CN"/>
              </w:rPr>
              <w:t>I</w:t>
            </w:r>
          </w:p>
        </w:tc>
        <w:tc>
          <w:tcPr>
            <w:tcW w:w="2120" w:type="dxa"/>
            <w:shd w:val="clear" w:color="auto" w:fill="auto"/>
            <w:noWrap/>
            <w:vAlign w:val="center"/>
          </w:tcPr>
          <w:p w14:paraId="4FC064E6"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8 (20.00)</w:t>
            </w:r>
          </w:p>
        </w:tc>
        <w:tc>
          <w:tcPr>
            <w:tcW w:w="2182" w:type="dxa"/>
            <w:shd w:val="clear" w:color="auto" w:fill="auto"/>
            <w:noWrap/>
            <w:vAlign w:val="center"/>
          </w:tcPr>
          <w:p w14:paraId="22EB9B6E"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6 (15.00)</w:t>
            </w:r>
          </w:p>
        </w:tc>
        <w:tc>
          <w:tcPr>
            <w:tcW w:w="1276" w:type="dxa"/>
            <w:shd w:val="clear" w:color="auto" w:fill="auto"/>
            <w:noWrap/>
            <w:vAlign w:val="center"/>
          </w:tcPr>
          <w:p w14:paraId="43B69690" w14:textId="77777777" w:rsidR="00347BCA" w:rsidRPr="00681D35" w:rsidRDefault="00347BCA" w:rsidP="003C2906">
            <w:pPr>
              <w:keepNext/>
              <w:keepLines/>
              <w:adjustRightInd w:val="0"/>
              <w:snapToGrid w:val="0"/>
              <w:spacing w:line="360" w:lineRule="auto"/>
              <w:jc w:val="both"/>
              <w:rPr>
                <w:rFonts w:ascii="Book Antiqua" w:eastAsia="宋体" w:hAnsi="Book Antiqua"/>
                <w:color w:val="000000" w:themeColor="text1"/>
              </w:rPr>
            </w:pPr>
          </w:p>
        </w:tc>
        <w:tc>
          <w:tcPr>
            <w:tcW w:w="1166" w:type="dxa"/>
            <w:shd w:val="clear" w:color="auto" w:fill="auto"/>
            <w:noWrap/>
            <w:vAlign w:val="center"/>
          </w:tcPr>
          <w:p w14:paraId="4EBAF6B7" w14:textId="77777777" w:rsidR="00347BCA" w:rsidRPr="00681D35" w:rsidRDefault="00347BCA" w:rsidP="003C2906">
            <w:pPr>
              <w:keepNext/>
              <w:keepLines/>
              <w:adjustRightInd w:val="0"/>
              <w:snapToGrid w:val="0"/>
              <w:spacing w:line="360" w:lineRule="auto"/>
              <w:jc w:val="both"/>
              <w:rPr>
                <w:rFonts w:ascii="Book Antiqua" w:eastAsia="宋体" w:hAnsi="Book Antiqua"/>
                <w:color w:val="000000" w:themeColor="text1"/>
              </w:rPr>
            </w:pPr>
          </w:p>
        </w:tc>
      </w:tr>
      <w:tr w:rsidR="00347BCA" w:rsidRPr="00681D35" w14:paraId="35899981" w14:textId="77777777">
        <w:trPr>
          <w:trHeight w:val="312"/>
          <w:jc w:val="center"/>
        </w:trPr>
        <w:tc>
          <w:tcPr>
            <w:tcW w:w="2268" w:type="dxa"/>
            <w:shd w:val="clear" w:color="auto" w:fill="auto"/>
            <w:noWrap/>
            <w:vAlign w:val="center"/>
          </w:tcPr>
          <w:p w14:paraId="57D21514"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lang w:eastAsia="zh-CN"/>
              </w:rPr>
            </w:pPr>
            <w:r w:rsidRPr="00681D35">
              <w:rPr>
                <w:rFonts w:ascii="Book Antiqua" w:eastAsia="宋体" w:hAnsi="Book Antiqua"/>
                <w:color w:val="000000" w:themeColor="text1"/>
              </w:rPr>
              <w:t xml:space="preserve">Grade </w:t>
            </w:r>
            <w:r w:rsidRPr="00681D35">
              <w:rPr>
                <w:rFonts w:ascii="Book Antiqua" w:eastAsia="宋体" w:hAnsi="Book Antiqua" w:cs="宋体"/>
                <w:color w:val="000000" w:themeColor="text1"/>
                <w:lang w:eastAsia="zh-CN"/>
              </w:rPr>
              <w:t>II</w:t>
            </w:r>
          </w:p>
        </w:tc>
        <w:tc>
          <w:tcPr>
            <w:tcW w:w="2120" w:type="dxa"/>
            <w:shd w:val="clear" w:color="auto" w:fill="auto"/>
            <w:noWrap/>
            <w:vAlign w:val="center"/>
          </w:tcPr>
          <w:p w14:paraId="317F7D1A"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20 (50.00)</w:t>
            </w:r>
          </w:p>
        </w:tc>
        <w:tc>
          <w:tcPr>
            <w:tcW w:w="2182" w:type="dxa"/>
            <w:shd w:val="clear" w:color="auto" w:fill="auto"/>
            <w:noWrap/>
            <w:vAlign w:val="center"/>
          </w:tcPr>
          <w:p w14:paraId="02EF2A50"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26 (65.00)</w:t>
            </w:r>
          </w:p>
        </w:tc>
        <w:tc>
          <w:tcPr>
            <w:tcW w:w="1276" w:type="dxa"/>
            <w:shd w:val="clear" w:color="auto" w:fill="auto"/>
            <w:noWrap/>
            <w:vAlign w:val="center"/>
          </w:tcPr>
          <w:p w14:paraId="2C36E6B3" w14:textId="77777777" w:rsidR="00347BCA" w:rsidRPr="00681D35" w:rsidRDefault="00347BCA" w:rsidP="003C2906">
            <w:pPr>
              <w:keepNext/>
              <w:keepLines/>
              <w:adjustRightInd w:val="0"/>
              <w:snapToGrid w:val="0"/>
              <w:spacing w:line="360" w:lineRule="auto"/>
              <w:jc w:val="both"/>
              <w:rPr>
                <w:rFonts w:ascii="Book Antiqua" w:eastAsia="宋体" w:hAnsi="Book Antiqua"/>
                <w:color w:val="000000" w:themeColor="text1"/>
              </w:rPr>
            </w:pPr>
          </w:p>
        </w:tc>
        <w:tc>
          <w:tcPr>
            <w:tcW w:w="1166" w:type="dxa"/>
            <w:shd w:val="clear" w:color="auto" w:fill="auto"/>
            <w:noWrap/>
            <w:vAlign w:val="center"/>
          </w:tcPr>
          <w:p w14:paraId="513D3E3D" w14:textId="77777777" w:rsidR="00347BCA" w:rsidRPr="00681D35" w:rsidRDefault="00347BCA" w:rsidP="003C2906">
            <w:pPr>
              <w:keepNext/>
              <w:keepLines/>
              <w:adjustRightInd w:val="0"/>
              <w:snapToGrid w:val="0"/>
              <w:spacing w:line="360" w:lineRule="auto"/>
              <w:jc w:val="both"/>
              <w:rPr>
                <w:rFonts w:ascii="Book Antiqua" w:eastAsia="宋体" w:hAnsi="Book Antiqua"/>
                <w:color w:val="000000" w:themeColor="text1"/>
              </w:rPr>
            </w:pPr>
          </w:p>
        </w:tc>
      </w:tr>
      <w:tr w:rsidR="00347BCA" w:rsidRPr="00681D35" w14:paraId="3536D0DF" w14:textId="77777777">
        <w:trPr>
          <w:trHeight w:val="312"/>
          <w:jc w:val="center"/>
        </w:trPr>
        <w:tc>
          <w:tcPr>
            <w:tcW w:w="2268" w:type="dxa"/>
            <w:shd w:val="clear" w:color="auto" w:fill="auto"/>
            <w:noWrap/>
            <w:vAlign w:val="center"/>
          </w:tcPr>
          <w:p w14:paraId="7AD2C08D"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lang w:eastAsia="zh-CN"/>
              </w:rPr>
            </w:pPr>
            <w:r w:rsidRPr="00681D35">
              <w:rPr>
                <w:rFonts w:ascii="Book Antiqua" w:eastAsia="宋体" w:hAnsi="Book Antiqua"/>
                <w:color w:val="000000" w:themeColor="text1"/>
              </w:rPr>
              <w:t xml:space="preserve">Grade </w:t>
            </w:r>
            <w:r w:rsidRPr="00681D35">
              <w:rPr>
                <w:rFonts w:ascii="Book Antiqua" w:eastAsia="宋体" w:hAnsi="Book Antiqua" w:cs="宋体"/>
                <w:color w:val="000000" w:themeColor="text1"/>
                <w:lang w:eastAsia="zh-CN"/>
              </w:rPr>
              <w:t>III</w:t>
            </w:r>
          </w:p>
        </w:tc>
        <w:tc>
          <w:tcPr>
            <w:tcW w:w="2120" w:type="dxa"/>
            <w:shd w:val="clear" w:color="auto" w:fill="auto"/>
            <w:noWrap/>
            <w:vAlign w:val="center"/>
          </w:tcPr>
          <w:p w14:paraId="0231E780"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12 (30.00)</w:t>
            </w:r>
          </w:p>
        </w:tc>
        <w:tc>
          <w:tcPr>
            <w:tcW w:w="2182" w:type="dxa"/>
            <w:shd w:val="clear" w:color="auto" w:fill="auto"/>
            <w:noWrap/>
            <w:vAlign w:val="center"/>
          </w:tcPr>
          <w:p w14:paraId="4F8AB9CB"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8 (20.00)</w:t>
            </w:r>
          </w:p>
        </w:tc>
        <w:tc>
          <w:tcPr>
            <w:tcW w:w="1276" w:type="dxa"/>
            <w:shd w:val="clear" w:color="auto" w:fill="auto"/>
            <w:noWrap/>
            <w:vAlign w:val="center"/>
          </w:tcPr>
          <w:p w14:paraId="1806859B" w14:textId="6538564F" w:rsidR="00347BCA" w:rsidRPr="00681D35" w:rsidRDefault="00347BCA" w:rsidP="003C2906">
            <w:pPr>
              <w:adjustRightInd w:val="0"/>
              <w:snapToGrid w:val="0"/>
              <w:spacing w:line="360" w:lineRule="auto"/>
              <w:jc w:val="both"/>
              <w:rPr>
                <w:rFonts w:ascii="Book Antiqua" w:eastAsia="宋体" w:hAnsi="Book Antiqua"/>
                <w:color w:val="000000" w:themeColor="text1"/>
                <w:lang w:eastAsia="zh-CN"/>
              </w:rPr>
            </w:pPr>
          </w:p>
        </w:tc>
        <w:tc>
          <w:tcPr>
            <w:tcW w:w="1166" w:type="dxa"/>
            <w:shd w:val="clear" w:color="auto" w:fill="auto"/>
            <w:noWrap/>
            <w:vAlign w:val="center"/>
          </w:tcPr>
          <w:p w14:paraId="4D404228" w14:textId="3D54011F" w:rsidR="00347BCA" w:rsidRPr="00681D35" w:rsidRDefault="00347BCA" w:rsidP="003C2906">
            <w:pPr>
              <w:adjustRightInd w:val="0"/>
              <w:snapToGrid w:val="0"/>
              <w:spacing w:line="360" w:lineRule="auto"/>
              <w:jc w:val="both"/>
              <w:rPr>
                <w:rFonts w:ascii="Book Antiqua" w:eastAsia="宋体" w:hAnsi="Book Antiqua"/>
                <w:color w:val="000000" w:themeColor="text1"/>
                <w:lang w:eastAsia="zh-CN"/>
              </w:rPr>
            </w:pPr>
          </w:p>
        </w:tc>
      </w:tr>
    </w:tbl>
    <w:p w14:paraId="12F7DAC6" w14:textId="794570B8"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ASA:</w:t>
      </w:r>
      <w:r w:rsidRPr="00681D35">
        <w:rPr>
          <w:rFonts w:ascii="Book Antiqua" w:eastAsia="Book Antiqua" w:hAnsi="Book Antiqua" w:cs="Book Antiqua"/>
          <w:color w:val="000000" w:themeColor="text1"/>
        </w:rPr>
        <w:t xml:space="preserve"> American Society of Anesthesiologists</w:t>
      </w:r>
      <w:r w:rsidR="00060A5A" w:rsidRPr="00681D35">
        <w:rPr>
          <w:rFonts w:ascii="Book Antiqua" w:eastAsia="Book Antiqua" w:hAnsi="Book Antiqua" w:cs="Book Antiqua"/>
          <w:color w:val="000000" w:themeColor="text1"/>
        </w:rPr>
        <w:t>;</w:t>
      </w:r>
      <w:r w:rsidR="00060A5A" w:rsidRPr="00681D35">
        <w:rPr>
          <w:rFonts w:ascii="Book Antiqua" w:eastAsia="宋体" w:hAnsi="Book Antiqua"/>
          <w:color w:val="000000" w:themeColor="text1"/>
        </w:rPr>
        <w:t xml:space="preserve"> BMI: Body mass index</w:t>
      </w:r>
      <w:r w:rsidRPr="00681D35">
        <w:rPr>
          <w:rFonts w:ascii="Book Antiqua" w:eastAsia="Book Antiqua" w:hAnsi="Book Antiqua" w:cs="Book Antiqua"/>
          <w:color w:val="000000" w:themeColor="text1"/>
        </w:rPr>
        <w:t>.</w:t>
      </w:r>
    </w:p>
    <w:p w14:paraId="5C8BAA37" w14:textId="3B93AA29" w:rsidR="00F249D0" w:rsidRPr="00681D35" w:rsidRDefault="00F249D0">
      <w:pPr>
        <w:rPr>
          <w:rFonts w:ascii="Book Antiqua" w:eastAsia="宋体" w:hAnsi="Book Antiqua"/>
          <w:b/>
          <w:bCs/>
          <w:color w:val="000000" w:themeColor="text1"/>
        </w:rPr>
      </w:pPr>
    </w:p>
    <w:p w14:paraId="2AF3A982" w14:textId="77777777" w:rsidR="00912213" w:rsidRPr="00681D35" w:rsidRDefault="00912213">
      <w:pPr>
        <w:rPr>
          <w:rFonts w:ascii="Book Antiqua" w:eastAsia="宋体" w:hAnsi="Book Antiqua"/>
          <w:b/>
          <w:bCs/>
          <w:color w:val="000000" w:themeColor="text1"/>
        </w:rPr>
      </w:pPr>
    </w:p>
    <w:p w14:paraId="4AF04B66" w14:textId="480DC06A" w:rsidR="00347BCA" w:rsidRPr="00681D35" w:rsidRDefault="006407D4" w:rsidP="003C2906">
      <w:pPr>
        <w:adjustRightInd w:val="0"/>
        <w:snapToGrid w:val="0"/>
        <w:spacing w:line="360" w:lineRule="auto"/>
        <w:jc w:val="both"/>
        <w:rPr>
          <w:rFonts w:ascii="Book Antiqua" w:eastAsia="宋体" w:hAnsi="Book Antiqua"/>
          <w:b/>
          <w:bCs/>
          <w:color w:val="000000" w:themeColor="text1"/>
        </w:rPr>
      </w:pPr>
      <w:r w:rsidRPr="00681D35">
        <w:rPr>
          <w:rFonts w:ascii="Book Antiqua" w:eastAsia="宋体" w:hAnsi="Book Antiqua"/>
          <w:b/>
          <w:bCs/>
          <w:color w:val="000000" w:themeColor="text1"/>
        </w:rPr>
        <w:t xml:space="preserve">Table 2 Comparison of the hemodynamic parameter between the two groups (mean </w:t>
      </w:r>
      <w:r w:rsidRPr="00681D35">
        <w:rPr>
          <w:rFonts w:ascii="Book Antiqua" w:eastAsia="宋体" w:hAnsi="Book Antiqua"/>
          <w:b/>
          <w:bCs/>
          <w:color w:val="000000" w:themeColor="text1"/>
          <w:lang w:eastAsia="zh-CN"/>
        </w:rPr>
        <w:t>±</w:t>
      </w:r>
      <w:r w:rsidRPr="00681D35">
        <w:rPr>
          <w:rFonts w:ascii="Book Antiqua" w:eastAsia="宋体" w:hAnsi="Book Antiqua"/>
          <w:b/>
          <w:bCs/>
          <w:color w:val="000000" w:themeColor="text1"/>
        </w:rPr>
        <w:t xml:space="preserve"> </w:t>
      </w:r>
      <w:r w:rsidR="00912213" w:rsidRPr="00681D35">
        <w:rPr>
          <w:rFonts w:ascii="Book Antiqua" w:eastAsia="宋体" w:hAnsi="Book Antiqua"/>
          <w:b/>
          <w:bCs/>
          <w:color w:val="000000" w:themeColor="text1"/>
        </w:rPr>
        <w:t>SD</w:t>
      </w:r>
      <w:r w:rsidRPr="00681D35">
        <w:rPr>
          <w:rFonts w:ascii="Book Antiqua" w:eastAsia="宋体" w:hAnsi="Book Antiqua"/>
          <w:b/>
          <w:bCs/>
          <w:color w:val="000000" w:themeColor="text1"/>
        </w:rPr>
        <w:t>)</w:t>
      </w:r>
    </w:p>
    <w:tbl>
      <w:tblPr>
        <w:tblW w:w="5000" w:type="pct"/>
        <w:jc w:val="center"/>
        <w:tblBorders>
          <w:top w:val="single" w:sz="4" w:space="0" w:color="auto"/>
          <w:bottom w:val="single" w:sz="4" w:space="0" w:color="auto"/>
        </w:tblBorders>
        <w:tblLook w:val="04A0" w:firstRow="1" w:lastRow="0" w:firstColumn="1" w:lastColumn="0" w:noHBand="0" w:noVBand="1"/>
      </w:tblPr>
      <w:tblGrid>
        <w:gridCol w:w="3402"/>
        <w:gridCol w:w="1460"/>
        <w:gridCol w:w="1460"/>
        <w:gridCol w:w="1460"/>
        <w:gridCol w:w="1460"/>
      </w:tblGrid>
      <w:tr w:rsidR="00347BCA" w:rsidRPr="00681D35" w14:paraId="688D1BF5" w14:textId="77777777" w:rsidTr="00060A5A">
        <w:trPr>
          <w:trHeight w:val="312"/>
          <w:jc w:val="center"/>
        </w:trPr>
        <w:tc>
          <w:tcPr>
            <w:tcW w:w="1840" w:type="pct"/>
            <w:tcBorders>
              <w:top w:val="single" w:sz="4" w:space="0" w:color="auto"/>
              <w:bottom w:val="single" w:sz="4" w:space="0" w:color="auto"/>
            </w:tcBorders>
            <w:shd w:val="clear" w:color="auto" w:fill="auto"/>
            <w:noWrap/>
            <w:vAlign w:val="center"/>
          </w:tcPr>
          <w:p w14:paraId="7F8973DF" w14:textId="77777777" w:rsidR="00347BCA" w:rsidRPr="00681D35" w:rsidRDefault="006407D4" w:rsidP="003C2906">
            <w:pPr>
              <w:adjustRightInd w:val="0"/>
              <w:snapToGrid w:val="0"/>
              <w:spacing w:line="360" w:lineRule="auto"/>
              <w:jc w:val="both"/>
              <w:rPr>
                <w:rFonts w:ascii="Book Antiqua" w:eastAsia="宋体" w:hAnsi="Book Antiqua"/>
                <w:b/>
                <w:bCs/>
                <w:color w:val="000000" w:themeColor="text1"/>
              </w:rPr>
            </w:pPr>
            <w:r w:rsidRPr="00681D35">
              <w:rPr>
                <w:rFonts w:ascii="Book Antiqua" w:eastAsia="宋体" w:hAnsi="Book Antiqua"/>
                <w:b/>
                <w:bCs/>
                <w:color w:val="000000" w:themeColor="text1"/>
              </w:rPr>
              <w:t>Indicators</w:t>
            </w:r>
          </w:p>
        </w:tc>
        <w:tc>
          <w:tcPr>
            <w:tcW w:w="790" w:type="pct"/>
            <w:tcBorders>
              <w:top w:val="single" w:sz="4" w:space="0" w:color="auto"/>
              <w:bottom w:val="single" w:sz="4" w:space="0" w:color="auto"/>
            </w:tcBorders>
            <w:shd w:val="clear" w:color="auto" w:fill="auto"/>
            <w:noWrap/>
            <w:vAlign w:val="center"/>
          </w:tcPr>
          <w:p w14:paraId="572F40D3" w14:textId="77777777" w:rsidR="00347BCA" w:rsidRPr="00681D35" w:rsidRDefault="006407D4" w:rsidP="003C2906">
            <w:pPr>
              <w:adjustRightInd w:val="0"/>
              <w:snapToGrid w:val="0"/>
              <w:spacing w:line="360" w:lineRule="auto"/>
              <w:jc w:val="both"/>
              <w:rPr>
                <w:rFonts w:ascii="Book Antiqua" w:eastAsia="宋体" w:hAnsi="Book Antiqua"/>
                <w:b/>
                <w:bCs/>
                <w:color w:val="000000" w:themeColor="text1"/>
              </w:rPr>
            </w:pPr>
            <w:r w:rsidRPr="00681D35">
              <w:rPr>
                <w:rFonts w:ascii="Book Antiqua" w:eastAsia="宋体" w:hAnsi="Book Antiqua"/>
                <w:b/>
                <w:bCs/>
                <w:color w:val="000000" w:themeColor="text1"/>
              </w:rPr>
              <w:t>T0</w:t>
            </w:r>
          </w:p>
        </w:tc>
        <w:tc>
          <w:tcPr>
            <w:tcW w:w="790" w:type="pct"/>
            <w:tcBorders>
              <w:top w:val="single" w:sz="4" w:space="0" w:color="auto"/>
              <w:bottom w:val="single" w:sz="4" w:space="0" w:color="auto"/>
            </w:tcBorders>
            <w:shd w:val="clear" w:color="auto" w:fill="auto"/>
            <w:noWrap/>
            <w:vAlign w:val="center"/>
          </w:tcPr>
          <w:p w14:paraId="4AD6C095" w14:textId="77777777" w:rsidR="00347BCA" w:rsidRPr="00681D35" w:rsidRDefault="006407D4" w:rsidP="003C2906">
            <w:pPr>
              <w:adjustRightInd w:val="0"/>
              <w:snapToGrid w:val="0"/>
              <w:spacing w:line="360" w:lineRule="auto"/>
              <w:jc w:val="both"/>
              <w:rPr>
                <w:rFonts w:ascii="Book Antiqua" w:eastAsia="宋体" w:hAnsi="Book Antiqua"/>
                <w:b/>
                <w:bCs/>
                <w:color w:val="000000" w:themeColor="text1"/>
              </w:rPr>
            </w:pPr>
            <w:r w:rsidRPr="00681D35">
              <w:rPr>
                <w:rFonts w:ascii="Book Antiqua" w:eastAsia="宋体" w:hAnsi="Book Antiqua"/>
                <w:b/>
                <w:bCs/>
                <w:color w:val="000000" w:themeColor="text1"/>
              </w:rPr>
              <w:t>T1</w:t>
            </w:r>
          </w:p>
        </w:tc>
        <w:tc>
          <w:tcPr>
            <w:tcW w:w="790" w:type="pct"/>
            <w:tcBorders>
              <w:top w:val="single" w:sz="4" w:space="0" w:color="auto"/>
              <w:bottom w:val="single" w:sz="4" w:space="0" w:color="auto"/>
            </w:tcBorders>
            <w:shd w:val="clear" w:color="auto" w:fill="auto"/>
            <w:noWrap/>
            <w:vAlign w:val="center"/>
          </w:tcPr>
          <w:p w14:paraId="2BA6FD7B" w14:textId="77777777" w:rsidR="00347BCA" w:rsidRPr="00681D35" w:rsidRDefault="006407D4" w:rsidP="003C2906">
            <w:pPr>
              <w:adjustRightInd w:val="0"/>
              <w:snapToGrid w:val="0"/>
              <w:spacing w:line="360" w:lineRule="auto"/>
              <w:jc w:val="both"/>
              <w:rPr>
                <w:rFonts w:ascii="Book Antiqua" w:eastAsia="宋体" w:hAnsi="Book Antiqua"/>
                <w:b/>
                <w:bCs/>
                <w:color w:val="000000" w:themeColor="text1"/>
              </w:rPr>
            </w:pPr>
            <w:r w:rsidRPr="00681D35">
              <w:rPr>
                <w:rFonts w:ascii="Book Antiqua" w:eastAsia="宋体" w:hAnsi="Book Antiqua"/>
                <w:b/>
                <w:bCs/>
                <w:color w:val="000000" w:themeColor="text1"/>
              </w:rPr>
              <w:t>T2</w:t>
            </w:r>
          </w:p>
        </w:tc>
        <w:tc>
          <w:tcPr>
            <w:tcW w:w="790" w:type="pct"/>
            <w:tcBorders>
              <w:top w:val="single" w:sz="4" w:space="0" w:color="auto"/>
              <w:bottom w:val="single" w:sz="4" w:space="0" w:color="auto"/>
            </w:tcBorders>
            <w:shd w:val="clear" w:color="auto" w:fill="auto"/>
            <w:noWrap/>
            <w:vAlign w:val="center"/>
          </w:tcPr>
          <w:p w14:paraId="405719FF" w14:textId="77777777" w:rsidR="00347BCA" w:rsidRPr="00681D35" w:rsidRDefault="006407D4" w:rsidP="003C2906">
            <w:pPr>
              <w:adjustRightInd w:val="0"/>
              <w:snapToGrid w:val="0"/>
              <w:spacing w:line="360" w:lineRule="auto"/>
              <w:jc w:val="both"/>
              <w:rPr>
                <w:rFonts w:ascii="Book Antiqua" w:eastAsia="宋体" w:hAnsi="Book Antiqua"/>
                <w:b/>
                <w:bCs/>
                <w:color w:val="000000" w:themeColor="text1"/>
              </w:rPr>
            </w:pPr>
            <w:r w:rsidRPr="00681D35">
              <w:rPr>
                <w:rFonts w:ascii="Book Antiqua" w:eastAsia="宋体" w:hAnsi="Book Antiqua"/>
                <w:b/>
                <w:bCs/>
                <w:color w:val="000000" w:themeColor="text1"/>
              </w:rPr>
              <w:t>T3</w:t>
            </w:r>
          </w:p>
        </w:tc>
      </w:tr>
      <w:tr w:rsidR="00347BCA" w:rsidRPr="00681D35" w14:paraId="4469838C" w14:textId="77777777">
        <w:trPr>
          <w:trHeight w:val="312"/>
          <w:jc w:val="center"/>
        </w:trPr>
        <w:tc>
          <w:tcPr>
            <w:tcW w:w="5000" w:type="pct"/>
            <w:gridSpan w:val="5"/>
            <w:tcBorders>
              <w:top w:val="single" w:sz="4" w:space="0" w:color="auto"/>
            </w:tcBorders>
            <w:shd w:val="clear" w:color="auto" w:fill="auto"/>
            <w:noWrap/>
            <w:vAlign w:val="center"/>
          </w:tcPr>
          <w:p w14:paraId="08767B6C"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HR (times/min)</w:t>
            </w:r>
          </w:p>
        </w:tc>
      </w:tr>
      <w:tr w:rsidR="00347BCA" w:rsidRPr="00681D35" w14:paraId="7DC245D3" w14:textId="77777777" w:rsidTr="00060A5A">
        <w:trPr>
          <w:trHeight w:val="312"/>
          <w:jc w:val="center"/>
        </w:trPr>
        <w:tc>
          <w:tcPr>
            <w:tcW w:w="1840" w:type="pct"/>
            <w:shd w:val="clear" w:color="auto" w:fill="auto"/>
            <w:noWrap/>
            <w:vAlign w:val="center"/>
          </w:tcPr>
          <w:p w14:paraId="1EE87D3C" w14:textId="33DE0910"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Rem</w:t>
            </w:r>
            <w:r w:rsidR="00941CED" w:rsidRPr="00681D35">
              <w:rPr>
                <w:rFonts w:ascii="Book Antiqua" w:eastAsia="宋体" w:hAnsi="Book Antiqua"/>
                <w:color w:val="000000" w:themeColor="text1"/>
              </w:rPr>
              <w:t>im</w:t>
            </w:r>
            <w:r w:rsidRPr="00681D35">
              <w:rPr>
                <w:rFonts w:ascii="Book Antiqua" w:eastAsia="宋体" w:hAnsi="Book Antiqua"/>
                <w:color w:val="000000" w:themeColor="text1"/>
              </w:rPr>
              <w:t>azolam group (</w:t>
            </w:r>
            <w:r w:rsidRPr="00681D35">
              <w:rPr>
                <w:rFonts w:ascii="Book Antiqua" w:eastAsia="宋体" w:hAnsi="Book Antiqua"/>
                <w:i/>
                <w:iCs/>
                <w:color w:val="000000" w:themeColor="text1"/>
              </w:rPr>
              <w:t>n</w:t>
            </w:r>
            <w:r w:rsidRPr="00681D35">
              <w:rPr>
                <w:rFonts w:ascii="Book Antiqua" w:eastAsia="宋体" w:hAnsi="Book Antiqua"/>
                <w:color w:val="000000" w:themeColor="text1"/>
              </w:rPr>
              <w:t xml:space="preserve"> = 40)</w:t>
            </w:r>
          </w:p>
        </w:tc>
        <w:tc>
          <w:tcPr>
            <w:tcW w:w="790" w:type="pct"/>
            <w:shd w:val="clear" w:color="auto" w:fill="auto"/>
            <w:noWrap/>
            <w:vAlign w:val="center"/>
          </w:tcPr>
          <w:p w14:paraId="58192570"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76.7 ± 7.1</w:t>
            </w:r>
          </w:p>
        </w:tc>
        <w:tc>
          <w:tcPr>
            <w:tcW w:w="790" w:type="pct"/>
            <w:shd w:val="clear" w:color="auto" w:fill="auto"/>
            <w:noWrap/>
            <w:vAlign w:val="center"/>
          </w:tcPr>
          <w:p w14:paraId="57BE0DD5" w14:textId="07E76B26"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68.3 ± 6.5</w:t>
            </w:r>
          </w:p>
        </w:tc>
        <w:tc>
          <w:tcPr>
            <w:tcW w:w="790" w:type="pct"/>
            <w:shd w:val="clear" w:color="auto" w:fill="auto"/>
            <w:noWrap/>
            <w:vAlign w:val="center"/>
          </w:tcPr>
          <w:p w14:paraId="31257D8B"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66.8 ± 5.9</w:t>
            </w:r>
          </w:p>
        </w:tc>
        <w:tc>
          <w:tcPr>
            <w:tcW w:w="790" w:type="pct"/>
            <w:shd w:val="clear" w:color="auto" w:fill="auto"/>
            <w:noWrap/>
            <w:vAlign w:val="center"/>
          </w:tcPr>
          <w:p w14:paraId="064E1D2F"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78.8 ± 6.6</w:t>
            </w:r>
          </w:p>
        </w:tc>
      </w:tr>
      <w:tr w:rsidR="00347BCA" w:rsidRPr="00681D35" w14:paraId="4DF328D5" w14:textId="77777777" w:rsidTr="00060A5A">
        <w:trPr>
          <w:trHeight w:val="312"/>
          <w:jc w:val="center"/>
        </w:trPr>
        <w:tc>
          <w:tcPr>
            <w:tcW w:w="1840" w:type="pct"/>
            <w:shd w:val="clear" w:color="auto" w:fill="auto"/>
            <w:noWrap/>
            <w:vAlign w:val="center"/>
          </w:tcPr>
          <w:p w14:paraId="20FDA0DF"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Propofol group (</w:t>
            </w:r>
            <w:r w:rsidRPr="00681D35">
              <w:rPr>
                <w:rFonts w:ascii="Book Antiqua" w:eastAsia="宋体" w:hAnsi="Book Antiqua"/>
                <w:i/>
                <w:iCs/>
                <w:color w:val="000000" w:themeColor="text1"/>
              </w:rPr>
              <w:t>n</w:t>
            </w:r>
            <w:r w:rsidRPr="00681D35">
              <w:rPr>
                <w:rFonts w:ascii="Book Antiqua" w:eastAsia="宋体" w:hAnsi="Book Antiqua"/>
                <w:color w:val="000000" w:themeColor="text1"/>
              </w:rPr>
              <w:t xml:space="preserve"> = 40)</w:t>
            </w:r>
          </w:p>
        </w:tc>
        <w:tc>
          <w:tcPr>
            <w:tcW w:w="790" w:type="pct"/>
            <w:shd w:val="clear" w:color="auto" w:fill="auto"/>
            <w:noWrap/>
            <w:vAlign w:val="center"/>
          </w:tcPr>
          <w:p w14:paraId="3D11502C"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78.2 ± 7.7</w:t>
            </w:r>
          </w:p>
        </w:tc>
        <w:tc>
          <w:tcPr>
            <w:tcW w:w="790" w:type="pct"/>
            <w:shd w:val="clear" w:color="auto" w:fill="auto"/>
            <w:noWrap/>
            <w:vAlign w:val="center"/>
          </w:tcPr>
          <w:p w14:paraId="5C3D748F" w14:textId="54065211"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66.7 ± 6.7</w:t>
            </w:r>
          </w:p>
        </w:tc>
        <w:tc>
          <w:tcPr>
            <w:tcW w:w="790" w:type="pct"/>
            <w:shd w:val="clear" w:color="auto" w:fill="auto"/>
            <w:noWrap/>
            <w:vAlign w:val="center"/>
          </w:tcPr>
          <w:p w14:paraId="3CAD8437"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65.1 ± 6.0</w:t>
            </w:r>
          </w:p>
        </w:tc>
        <w:tc>
          <w:tcPr>
            <w:tcW w:w="790" w:type="pct"/>
            <w:shd w:val="clear" w:color="auto" w:fill="auto"/>
            <w:noWrap/>
            <w:vAlign w:val="center"/>
          </w:tcPr>
          <w:p w14:paraId="67B60BE4"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80.5 ± 7.3</w:t>
            </w:r>
          </w:p>
        </w:tc>
      </w:tr>
      <w:tr w:rsidR="00347BCA" w:rsidRPr="00681D35" w14:paraId="5F94A08E" w14:textId="77777777" w:rsidTr="00060A5A">
        <w:trPr>
          <w:trHeight w:val="312"/>
          <w:jc w:val="center"/>
        </w:trPr>
        <w:tc>
          <w:tcPr>
            <w:tcW w:w="1840" w:type="pct"/>
            <w:shd w:val="clear" w:color="auto" w:fill="auto"/>
            <w:vAlign w:val="center"/>
          </w:tcPr>
          <w:p w14:paraId="047248A7"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i/>
                <w:iCs/>
                <w:color w:val="000000" w:themeColor="text1"/>
              </w:rPr>
              <w:t>t</w:t>
            </w:r>
            <w:r w:rsidRPr="00681D35">
              <w:rPr>
                <w:rFonts w:ascii="Book Antiqua" w:eastAsia="宋体" w:hAnsi="Book Antiqua"/>
                <w:color w:val="000000" w:themeColor="text1"/>
              </w:rPr>
              <w:t xml:space="preserve"> value</w:t>
            </w:r>
          </w:p>
        </w:tc>
        <w:tc>
          <w:tcPr>
            <w:tcW w:w="790" w:type="pct"/>
            <w:shd w:val="clear" w:color="auto" w:fill="auto"/>
            <w:noWrap/>
            <w:vAlign w:val="center"/>
          </w:tcPr>
          <w:p w14:paraId="2F59D6E8"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-0.906 </w:t>
            </w:r>
          </w:p>
        </w:tc>
        <w:tc>
          <w:tcPr>
            <w:tcW w:w="790" w:type="pct"/>
            <w:shd w:val="clear" w:color="auto" w:fill="auto"/>
            <w:noWrap/>
            <w:vAlign w:val="center"/>
          </w:tcPr>
          <w:p w14:paraId="24964A84"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1.091 </w:t>
            </w:r>
          </w:p>
        </w:tc>
        <w:tc>
          <w:tcPr>
            <w:tcW w:w="790" w:type="pct"/>
            <w:shd w:val="clear" w:color="auto" w:fill="auto"/>
            <w:noWrap/>
            <w:vAlign w:val="center"/>
          </w:tcPr>
          <w:p w14:paraId="34B56153"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1.278 </w:t>
            </w:r>
          </w:p>
        </w:tc>
        <w:tc>
          <w:tcPr>
            <w:tcW w:w="790" w:type="pct"/>
            <w:shd w:val="clear" w:color="auto" w:fill="auto"/>
            <w:noWrap/>
            <w:vAlign w:val="center"/>
          </w:tcPr>
          <w:p w14:paraId="2D638FE9"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-1.093 </w:t>
            </w:r>
          </w:p>
        </w:tc>
      </w:tr>
      <w:tr w:rsidR="00347BCA" w:rsidRPr="00681D35" w14:paraId="5B0EE3F6" w14:textId="77777777" w:rsidTr="00060A5A">
        <w:trPr>
          <w:trHeight w:val="312"/>
          <w:jc w:val="center"/>
        </w:trPr>
        <w:tc>
          <w:tcPr>
            <w:tcW w:w="1840" w:type="pct"/>
            <w:shd w:val="clear" w:color="auto" w:fill="auto"/>
            <w:vAlign w:val="center"/>
          </w:tcPr>
          <w:p w14:paraId="63E0494A"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i/>
                <w:iCs/>
                <w:color w:val="000000" w:themeColor="text1"/>
              </w:rPr>
              <w:t>P</w:t>
            </w:r>
            <w:r w:rsidRPr="00681D35">
              <w:rPr>
                <w:rFonts w:ascii="Book Antiqua" w:eastAsia="宋体" w:hAnsi="Book Antiqua"/>
                <w:color w:val="000000" w:themeColor="text1"/>
              </w:rPr>
              <w:t xml:space="preserve"> value</w:t>
            </w:r>
          </w:p>
        </w:tc>
        <w:tc>
          <w:tcPr>
            <w:tcW w:w="790" w:type="pct"/>
            <w:shd w:val="clear" w:color="auto" w:fill="auto"/>
            <w:noWrap/>
            <w:vAlign w:val="center"/>
          </w:tcPr>
          <w:p w14:paraId="2E6896B1"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0.368 </w:t>
            </w:r>
          </w:p>
        </w:tc>
        <w:tc>
          <w:tcPr>
            <w:tcW w:w="790" w:type="pct"/>
            <w:shd w:val="clear" w:color="auto" w:fill="auto"/>
            <w:noWrap/>
            <w:vAlign w:val="center"/>
          </w:tcPr>
          <w:p w14:paraId="7D69D2F9"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0.279 </w:t>
            </w:r>
          </w:p>
        </w:tc>
        <w:tc>
          <w:tcPr>
            <w:tcW w:w="790" w:type="pct"/>
            <w:shd w:val="clear" w:color="auto" w:fill="auto"/>
            <w:noWrap/>
            <w:vAlign w:val="center"/>
          </w:tcPr>
          <w:p w14:paraId="5FCF9005"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0.205 </w:t>
            </w:r>
          </w:p>
        </w:tc>
        <w:tc>
          <w:tcPr>
            <w:tcW w:w="790" w:type="pct"/>
            <w:shd w:val="clear" w:color="auto" w:fill="auto"/>
            <w:noWrap/>
            <w:vAlign w:val="center"/>
          </w:tcPr>
          <w:p w14:paraId="38D4E982"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0.278 </w:t>
            </w:r>
          </w:p>
        </w:tc>
      </w:tr>
      <w:tr w:rsidR="00347BCA" w:rsidRPr="00681D35" w14:paraId="37C06B7A" w14:textId="77777777">
        <w:trPr>
          <w:trHeight w:val="312"/>
          <w:jc w:val="center"/>
        </w:trPr>
        <w:tc>
          <w:tcPr>
            <w:tcW w:w="5000" w:type="pct"/>
            <w:gridSpan w:val="5"/>
            <w:shd w:val="clear" w:color="auto" w:fill="auto"/>
            <w:noWrap/>
            <w:vAlign w:val="center"/>
          </w:tcPr>
          <w:p w14:paraId="654C35FF"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lastRenderedPageBreak/>
              <w:t>MAP (mmHg)</w:t>
            </w:r>
          </w:p>
        </w:tc>
      </w:tr>
      <w:tr w:rsidR="00347BCA" w:rsidRPr="00681D35" w14:paraId="415092C2" w14:textId="77777777" w:rsidTr="00060A5A">
        <w:trPr>
          <w:trHeight w:val="312"/>
          <w:jc w:val="center"/>
        </w:trPr>
        <w:tc>
          <w:tcPr>
            <w:tcW w:w="1840" w:type="pct"/>
            <w:shd w:val="clear" w:color="auto" w:fill="auto"/>
            <w:noWrap/>
            <w:vAlign w:val="center"/>
          </w:tcPr>
          <w:p w14:paraId="6BE7FA1D" w14:textId="0DAB075F"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Rem</w:t>
            </w:r>
            <w:r w:rsidR="00941CED" w:rsidRPr="00681D35">
              <w:rPr>
                <w:rFonts w:ascii="Book Antiqua" w:eastAsia="宋体" w:hAnsi="Book Antiqua"/>
                <w:color w:val="000000" w:themeColor="text1"/>
              </w:rPr>
              <w:t>im</w:t>
            </w:r>
            <w:r w:rsidRPr="00681D35">
              <w:rPr>
                <w:rFonts w:ascii="Book Antiqua" w:eastAsia="宋体" w:hAnsi="Book Antiqua"/>
                <w:color w:val="000000" w:themeColor="text1"/>
              </w:rPr>
              <w:t>azolam group (</w:t>
            </w:r>
            <w:r w:rsidRPr="00681D35">
              <w:rPr>
                <w:rFonts w:ascii="Book Antiqua" w:eastAsia="宋体" w:hAnsi="Book Antiqua"/>
                <w:i/>
                <w:iCs/>
                <w:color w:val="000000" w:themeColor="text1"/>
              </w:rPr>
              <w:t>n</w:t>
            </w:r>
            <w:r w:rsidRPr="00681D35">
              <w:rPr>
                <w:rFonts w:ascii="Book Antiqua" w:eastAsia="宋体" w:hAnsi="Book Antiqua"/>
                <w:color w:val="000000" w:themeColor="text1"/>
              </w:rPr>
              <w:t xml:space="preserve"> = 40)</w:t>
            </w:r>
          </w:p>
        </w:tc>
        <w:tc>
          <w:tcPr>
            <w:tcW w:w="790" w:type="pct"/>
            <w:shd w:val="clear" w:color="auto" w:fill="auto"/>
            <w:noWrap/>
            <w:vAlign w:val="center"/>
          </w:tcPr>
          <w:p w14:paraId="3D731FB9"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98.4 ± 5.3</w:t>
            </w:r>
          </w:p>
        </w:tc>
        <w:tc>
          <w:tcPr>
            <w:tcW w:w="790" w:type="pct"/>
            <w:shd w:val="clear" w:color="auto" w:fill="auto"/>
            <w:noWrap/>
            <w:vAlign w:val="center"/>
          </w:tcPr>
          <w:p w14:paraId="0494D959"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88.3 ± 4.7</w:t>
            </w:r>
          </w:p>
        </w:tc>
        <w:tc>
          <w:tcPr>
            <w:tcW w:w="790" w:type="pct"/>
            <w:shd w:val="clear" w:color="auto" w:fill="auto"/>
            <w:noWrap/>
            <w:vAlign w:val="center"/>
          </w:tcPr>
          <w:p w14:paraId="5D62D657"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86.7 ± 4.2</w:t>
            </w:r>
          </w:p>
        </w:tc>
        <w:tc>
          <w:tcPr>
            <w:tcW w:w="790" w:type="pct"/>
            <w:shd w:val="clear" w:color="auto" w:fill="auto"/>
            <w:noWrap/>
            <w:vAlign w:val="center"/>
          </w:tcPr>
          <w:p w14:paraId="33C5AB7C"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102.1 ± 4.8</w:t>
            </w:r>
          </w:p>
        </w:tc>
      </w:tr>
      <w:tr w:rsidR="00347BCA" w:rsidRPr="00681D35" w14:paraId="5B2D1D74" w14:textId="77777777" w:rsidTr="00060A5A">
        <w:trPr>
          <w:trHeight w:val="312"/>
          <w:jc w:val="center"/>
        </w:trPr>
        <w:tc>
          <w:tcPr>
            <w:tcW w:w="1840" w:type="pct"/>
            <w:shd w:val="clear" w:color="auto" w:fill="auto"/>
            <w:noWrap/>
            <w:vAlign w:val="center"/>
          </w:tcPr>
          <w:p w14:paraId="4B1AE6BB"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Propofol group (</w:t>
            </w:r>
            <w:r w:rsidRPr="00681D35">
              <w:rPr>
                <w:rFonts w:ascii="Book Antiqua" w:eastAsia="宋体" w:hAnsi="Book Antiqua"/>
                <w:i/>
                <w:iCs/>
                <w:color w:val="000000" w:themeColor="text1"/>
              </w:rPr>
              <w:t>n</w:t>
            </w:r>
            <w:r w:rsidRPr="00681D35">
              <w:rPr>
                <w:rFonts w:ascii="Book Antiqua" w:eastAsia="宋体" w:hAnsi="Book Antiqua"/>
                <w:color w:val="000000" w:themeColor="text1"/>
              </w:rPr>
              <w:t xml:space="preserve"> = 40)</w:t>
            </w:r>
          </w:p>
        </w:tc>
        <w:tc>
          <w:tcPr>
            <w:tcW w:w="790" w:type="pct"/>
            <w:shd w:val="clear" w:color="auto" w:fill="auto"/>
            <w:noWrap/>
            <w:vAlign w:val="center"/>
          </w:tcPr>
          <w:p w14:paraId="62126DFF"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99.6 ± 4.7</w:t>
            </w:r>
          </w:p>
        </w:tc>
        <w:tc>
          <w:tcPr>
            <w:tcW w:w="790" w:type="pct"/>
            <w:shd w:val="clear" w:color="auto" w:fill="auto"/>
            <w:noWrap/>
            <w:vAlign w:val="center"/>
          </w:tcPr>
          <w:p w14:paraId="7812B636"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86.0 ± 4.4</w:t>
            </w:r>
          </w:p>
        </w:tc>
        <w:tc>
          <w:tcPr>
            <w:tcW w:w="790" w:type="pct"/>
            <w:shd w:val="clear" w:color="auto" w:fill="auto"/>
            <w:noWrap/>
            <w:vAlign w:val="center"/>
          </w:tcPr>
          <w:p w14:paraId="00E52903"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83.8 ± 4.5</w:t>
            </w:r>
          </w:p>
        </w:tc>
        <w:tc>
          <w:tcPr>
            <w:tcW w:w="790" w:type="pct"/>
            <w:shd w:val="clear" w:color="auto" w:fill="auto"/>
            <w:noWrap/>
            <w:vAlign w:val="center"/>
          </w:tcPr>
          <w:p w14:paraId="72630113"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103.8 ± 4.2</w:t>
            </w:r>
          </w:p>
        </w:tc>
      </w:tr>
      <w:tr w:rsidR="00347BCA" w:rsidRPr="00681D35" w14:paraId="43F297F4" w14:textId="77777777" w:rsidTr="00060A5A">
        <w:trPr>
          <w:trHeight w:val="312"/>
          <w:jc w:val="center"/>
        </w:trPr>
        <w:tc>
          <w:tcPr>
            <w:tcW w:w="1840" w:type="pct"/>
            <w:shd w:val="clear" w:color="auto" w:fill="auto"/>
            <w:vAlign w:val="center"/>
          </w:tcPr>
          <w:p w14:paraId="6CCFD191"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i/>
                <w:iCs/>
                <w:color w:val="000000" w:themeColor="text1"/>
              </w:rPr>
              <w:t>t</w:t>
            </w:r>
            <w:r w:rsidRPr="00681D35">
              <w:rPr>
                <w:rFonts w:ascii="Book Antiqua" w:eastAsia="宋体" w:hAnsi="Book Antiqua"/>
                <w:color w:val="000000" w:themeColor="text1"/>
              </w:rPr>
              <w:t xml:space="preserve"> value</w:t>
            </w:r>
          </w:p>
        </w:tc>
        <w:tc>
          <w:tcPr>
            <w:tcW w:w="790" w:type="pct"/>
            <w:shd w:val="clear" w:color="auto" w:fill="auto"/>
            <w:noWrap/>
            <w:vAlign w:val="center"/>
          </w:tcPr>
          <w:p w14:paraId="7BA78D20"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-1.071 </w:t>
            </w:r>
          </w:p>
        </w:tc>
        <w:tc>
          <w:tcPr>
            <w:tcW w:w="790" w:type="pct"/>
            <w:shd w:val="clear" w:color="auto" w:fill="auto"/>
            <w:noWrap/>
            <w:vAlign w:val="center"/>
          </w:tcPr>
          <w:p w14:paraId="65DE02BA"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2.259 </w:t>
            </w:r>
          </w:p>
        </w:tc>
        <w:tc>
          <w:tcPr>
            <w:tcW w:w="790" w:type="pct"/>
            <w:shd w:val="clear" w:color="auto" w:fill="auto"/>
            <w:noWrap/>
            <w:vAlign w:val="center"/>
          </w:tcPr>
          <w:p w14:paraId="111B8E63"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2.980 </w:t>
            </w:r>
          </w:p>
        </w:tc>
        <w:tc>
          <w:tcPr>
            <w:tcW w:w="790" w:type="pct"/>
            <w:shd w:val="clear" w:color="auto" w:fill="auto"/>
            <w:noWrap/>
            <w:vAlign w:val="center"/>
          </w:tcPr>
          <w:p w14:paraId="69322642"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-1.686 </w:t>
            </w:r>
          </w:p>
        </w:tc>
      </w:tr>
      <w:tr w:rsidR="00347BCA" w:rsidRPr="00681D35" w14:paraId="4F5FEC75" w14:textId="77777777" w:rsidTr="00060A5A">
        <w:trPr>
          <w:trHeight w:val="312"/>
          <w:jc w:val="center"/>
        </w:trPr>
        <w:tc>
          <w:tcPr>
            <w:tcW w:w="1840" w:type="pct"/>
            <w:shd w:val="clear" w:color="auto" w:fill="auto"/>
            <w:vAlign w:val="center"/>
          </w:tcPr>
          <w:p w14:paraId="4CBC4DA5"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i/>
                <w:iCs/>
                <w:color w:val="000000" w:themeColor="text1"/>
              </w:rPr>
              <w:t>P</w:t>
            </w:r>
            <w:r w:rsidRPr="00681D35">
              <w:rPr>
                <w:rFonts w:ascii="Book Antiqua" w:eastAsia="宋体" w:hAnsi="Book Antiqua"/>
                <w:color w:val="000000" w:themeColor="text1"/>
              </w:rPr>
              <w:t xml:space="preserve"> value</w:t>
            </w:r>
          </w:p>
        </w:tc>
        <w:tc>
          <w:tcPr>
            <w:tcW w:w="790" w:type="pct"/>
            <w:shd w:val="clear" w:color="auto" w:fill="auto"/>
            <w:noWrap/>
            <w:vAlign w:val="center"/>
          </w:tcPr>
          <w:p w14:paraId="6EFBA342"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0.287 </w:t>
            </w:r>
          </w:p>
        </w:tc>
        <w:tc>
          <w:tcPr>
            <w:tcW w:w="790" w:type="pct"/>
            <w:shd w:val="clear" w:color="auto" w:fill="auto"/>
            <w:noWrap/>
            <w:vAlign w:val="center"/>
          </w:tcPr>
          <w:p w14:paraId="46B2FF88"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0.027 </w:t>
            </w:r>
          </w:p>
        </w:tc>
        <w:tc>
          <w:tcPr>
            <w:tcW w:w="790" w:type="pct"/>
            <w:shd w:val="clear" w:color="auto" w:fill="auto"/>
            <w:noWrap/>
            <w:vAlign w:val="center"/>
          </w:tcPr>
          <w:p w14:paraId="5C01D541"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0.004 </w:t>
            </w:r>
          </w:p>
        </w:tc>
        <w:tc>
          <w:tcPr>
            <w:tcW w:w="790" w:type="pct"/>
            <w:shd w:val="clear" w:color="auto" w:fill="auto"/>
            <w:noWrap/>
            <w:vAlign w:val="center"/>
          </w:tcPr>
          <w:p w14:paraId="4D5EF814"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0.096 </w:t>
            </w:r>
          </w:p>
        </w:tc>
      </w:tr>
      <w:tr w:rsidR="00347BCA" w:rsidRPr="00681D35" w14:paraId="324124DA" w14:textId="77777777">
        <w:trPr>
          <w:trHeight w:val="312"/>
          <w:jc w:val="center"/>
        </w:trPr>
        <w:tc>
          <w:tcPr>
            <w:tcW w:w="5000" w:type="pct"/>
            <w:gridSpan w:val="5"/>
            <w:shd w:val="clear" w:color="auto" w:fill="auto"/>
            <w:noWrap/>
            <w:vAlign w:val="center"/>
          </w:tcPr>
          <w:p w14:paraId="2DFF3280"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CI (L/min·m</w:t>
            </w:r>
            <w:r w:rsidRPr="00681D35">
              <w:rPr>
                <w:rFonts w:ascii="Book Antiqua" w:eastAsia="宋体" w:hAnsi="Book Antiqua"/>
                <w:color w:val="000000" w:themeColor="text1"/>
                <w:vertAlign w:val="superscript"/>
              </w:rPr>
              <w:t>2</w:t>
            </w:r>
            <w:r w:rsidRPr="00681D35">
              <w:rPr>
                <w:rFonts w:ascii="Book Antiqua" w:eastAsia="宋体" w:hAnsi="Book Antiqua"/>
                <w:color w:val="000000" w:themeColor="text1"/>
              </w:rPr>
              <w:t>)</w:t>
            </w:r>
          </w:p>
        </w:tc>
      </w:tr>
      <w:tr w:rsidR="00347BCA" w:rsidRPr="00681D35" w14:paraId="7DB39266" w14:textId="77777777" w:rsidTr="00060A5A">
        <w:trPr>
          <w:trHeight w:val="312"/>
          <w:jc w:val="center"/>
        </w:trPr>
        <w:tc>
          <w:tcPr>
            <w:tcW w:w="1840" w:type="pct"/>
            <w:shd w:val="clear" w:color="auto" w:fill="auto"/>
            <w:noWrap/>
            <w:vAlign w:val="center"/>
          </w:tcPr>
          <w:p w14:paraId="082F9C8F" w14:textId="718BF1F1"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Rem</w:t>
            </w:r>
            <w:r w:rsidR="00014D3D" w:rsidRPr="00681D35">
              <w:rPr>
                <w:rFonts w:ascii="Book Antiqua" w:eastAsia="宋体" w:hAnsi="Book Antiqua"/>
                <w:color w:val="000000" w:themeColor="text1"/>
              </w:rPr>
              <w:t>im</w:t>
            </w:r>
            <w:r w:rsidRPr="00681D35">
              <w:rPr>
                <w:rFonts w:ascii="Book Antiqua" w:eastAsia="宋体" w:hAnsi="Book Antiqua"/>
                <w:color w:val="000000" w:themeColor="text1"/>
              </w:rPr>
              <w:t>azolam group (</w:t>
            </w:r>
            <w:r w:rsidRPr="00681D35">
              <w:rPr>
                <w:rFonts w:ascii="Book Antiqua" w:eastAsia="宋体" w:hAnsi="Book Antiqua"/>
                <w:i/>
                <w:iCs/>
                <w:color w:val="000000" w:themeColor="text1"/>
              </w:rPr>
              <w:t>n</w:t>
            </w:r>
            <w:r w:rsidRPr="00681D35">
              <w:rPr>
                <w:rFonts w:ascii="Book Antiqua" w:eastAsia="宋体" w:hAnsi="Book Antiqua"/>
                <w:color w:val="000000" w:themeColor="text1"/>
              </w:rPr>
              <w:t xml:space="preserve"> = 40)</w:t>
            </w:r>
          </w:p>
        </w:tc>
        <w:tc>
          <w:tcPr>
            <w:tcW w:w="790" w:type="pct"/>
            <w:shd w:val="clear" w:color="auto" w:fill="auto"/>
            <w:noWrap/>
            <w:vAlign w:val="center"/>
          </w:tcPr>
          <w:p w14:paraId="2595D9DD"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3.67 ± 0.62</w:t>
            </w:r>
          </w:p>
        </w:tc>
        <w:tc>
          <w:tcPr>
            <w:tcW w:w="790" w:type="pct"/>
            <w:shd w:val="clear" w:color="auto" w:fill="auto"/>
            <w:noWrap/>
            <w:vAlign w:val="center"/>
          </w:tcPr>
          <w:p w14:paraId="00D3CACE"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3.52 ± 0.52</w:t>
            </w:r>
          </w:p>
        </w:tc>
        <w:tc>
          <w:tcPr>
            <w:tcW w:w="790" w:type="pct"/>
            <w:shd w:val="clear" w:color="auto" w:fill="auto"/>
            <w:noWrap/>
            <w:vAlign w:val="center"/>
          </w:tcPr>
          <w:p w14:paraId="5817FA4E"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3.58 ± 0.48</w:t>
            </w:r>
          </w:p>
        </w:tc>
        <w:tc>
          <w:tcPr>
            <w:tcW w:w="790" w:type="pct"/>
            <w:shd w:val="clear" w:color="auto" w:fill="auto"/>
            <w:noWrap/>
            <w:vAlign w:val="center"/>
          </w:tcPr>
          <w:p w14:paraId="2AEA6864"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3.57 ± 0.53</w:t>
            </w:r>
          </w:p>
        </w:tc>
      </w:tr>
      <w:tr w:rsidR="00347BCA" w:rsidRPr="00681D35" w14:paraId="616AB9C4" w14:textId="77777777" w:rsidTr="00060A5A">
        <w:trPr>
          <w:trHeight w:val="312"/>
          <w:jc w:val="center"/>
        </w:trPr>
        <w:tc>
          <w:tcPr>
            <w:tcW w:w="1840" w:type="pct"/>
            <w:shd w:val="clear" w:color="auto" w:fill="auto"/>
            <w:noWrap/>
            <w:vAlign w:val="center"/>
          </w:tcPr>
          <w:p w14:paraId="6D045D98"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Propofol group (</w:t>
            </w:r>
            <w:r w:rsidRPr="00681D35">
              <w:rPr>
                <w:rFonts w:ascii="Book Antiqua" w:eastAsia="宋体" w:hAnsi="Book Antiqua"/>
                <w:i/>
                <w:iCs/>
                <w:color w:val="000000" w:themeColor="text1"/>
              </w:rPr>
              <w:t>n</w:t>
            </w:r>
            <w:r w:rsidRPr="00681D35">
              <w:rPr>
                <w:rFonts w:ascii="Book Antiqua" w:eastAsia="宋体" w:hAnsi="Book Antiqua"/>
                <w:color w:val="000000" w:themeColor="text1"/>
              </w:rPr>
              <w:t xml:space="preserve"> = 40)</w:t>
            </w:r>
          </w:p>
        </w:tc>
        <w:tc>
          <w:tcPr>
            <w:tcW w:w="790" w:type="pct"/>
            <w:shd w:val="clear" w:color="auto" w:fill="auto"/>
            <w:noWrap/>
            <w:vAlign w:val="center"/>
          </w:tcPr>
          <w:p w14:paraId="5B878AE0"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3.80 ± 0.60</w:t>
            </w:r>
          </w:p>
        </w:tc>
        <w:tc>
          <w:tcPr>
            <w:tcW w:w="790" w:type="pct"/>
            <w:shd w:val="clear" w:color="auto" w:fill="auto"/>
            <w:noWrap/>
            <w:vAlign w:val="center"/>
          </w:tcPr>
          <w:p w14:paraId="79E79A8C"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3.40 ± 0.48</w:t>
            </w:r>
          </w:p>
        </w:tc>
        <w:tc>
          <w:tcPr>
            <w:tcW w:w="790" w:type="pct"/>
            <w:shd w:val="clear" w:color="auto" w:fill="auto"/>
            <w:noWrap/>
            <w:vAlign w:val="center"/>
          </w:tcPr>
          <w:p w14:paraId="4520F1A2"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3.51 ± 0.50</w:t>
            </w:r>
          </w:p>
        </w:tc>
        <w:tc>
          <w:tcPr>
            <w:tcW w:w="790" w:type="pct"/>
            <w:shd w:val="clear" w:color="auto" w:fill="auto"/>
            <w:noWrap/>
            <w:vAlign w:val="center"/>
          </w:tcPr>
          <w:p w14:paraId="1BE2A899"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3.65 ± 0.49</w:t>
            </w:r>
          </w:p>
        </w:tc>
      </w:tr>
      <w:tr w:rsidR="00347BCA" w:rsidRPr="00681D35" w14:paraId="587DDCE5" w14:textId="77777777" w:rsidTr="00060A5A">
        <w:trPr>
          <w:trHeight w:val="312"/>
          <w:jc w:val="center"/>
        </w:trPr>
        <w:tc>
          <w:tcPr>
            <w:tcW w:w="1840" w:type="pct"/>
            <w:shd w:val="clear" w:color="auto" w:fill="auto"/>
            <w:vAlign w:val="center"/>
          </w:tcPr>
          <w:p w14:paraId="56657948"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i/>
                <w:iCs/>
                <w:color w:val="000000" w:themeColor="text1"/>
              </w:rPr>
              <w:t>t</w:t>
            </w:r>
            <w:r w:rsidRPr="00681D35">
              <w:rPr>
                <w:rFonts w:ascii="Book Antiqua" w:eastAsia="宋体" w:hAnsi="Book Antiqua"/>
                <w:color w:val="000000" w:themeColor="text1"/>
              </w:rPr>
              <w:t xml:space="preserve"> value</w:t>
            </w:r>
          </w:p>
        </w:tc>
        <w:tc>
          <w:tcPr>
            <w:tcW w:w="790" w:type="pct"/>
            <w:shd w:val="clear" w:color="auto" w:fill="auto"/>
            <w:noWrap/>
            <w:vAlign w:val="center"/>
          </w:tcPr>
          <w:p w14:paraId="0DEA9A46"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-0.953 </w:t>
            </w:r>
          </w:p>
        </w:tc>
        <w:tc>
          <w:tcPr>
            <w:tcW w:w="790" w:type="pct"/>
            <w:shd w:val="clear" w:color="auto" w:fill="auto"/>
            <w:noWrap/>
            <w:vAlign w:val="center"/>
          </w:tcPr>
          <w:p w14:paraId="7C2D1E1B"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1.072 </w:t>
            </w:r>
          </w:p>
        </w:tc>
        <w:tc>
          <w:tcPr>
            <w:tcW w:w="790" w:type="pct"/>
            <w:shd w:val="clear" w:color="auto" w:fill="auto"/>
            <w:noWrap/>
            <w:vAlign w:val="center"/>
          </w:tcPr>
          <w:p w14:paraId="69E8F83A"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0.639 </w:t>
            </w:r>
          </w:p>
        </w:tc>
        <w:tc>
          <w:tcPr>
            <w:tcW w:w="790" w:type="pct"/>
            <w:shd w:val="clear" w:color="auto" w:fill="auto"/>
            <w:noWrap/>
            <w:vAlign w:val="center"/>
          </w:tcPr>
          <w:p w14:paraId="2987C42E"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-0.701 </w:t>
            </w:r>
          </w:p>
        </w:tc>
      </w:tr>
      <w:tr w:rsidR="00347BCA" w:rsidRPr="00681D35" w14:paraId="12065B61" w14:textId="77777777" w:rsidTr="00060A5A">
        <w:trPr>
          <w:trHeight w:val="312"/>
          <w:jc w:val="center"/>
        </w:trPr>
        <w:tc>
          <w:tcPr>
            <w:tcW w:w="1840" w:type="pct"/>
            <w:shd w:val="clear" w:color="auto" w:fill="auto"/>
            <w:vAlign w:val="center"/>
          </w:tcPr>
          <w:p w14:paraId="6F902244"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i/>
                <w:iCs/>
                <w:color w:val="000000" w:themeColor="text1"/>
              </w:rPr>
              <w:t>P</w:t>
            </w:r>
            <w:r w:rsidRPr="00681D35">
              <w:rPr>
                <w:rFonts w:ascii="Book Antiqua" w:eastAsia="宋体" w:hAnsi="Book Antiqua"/>
                <w:color w:val="000000" w:themeColor="text1"/>
              </w:rPr>
              <w:t xml:space="preserve"> value</w:t>
            </w:r>
          </w:p>
        </w:tc>
        <w:tc>
          <w:tcPr>
            <w:tcW w:w="790" w:type="pct"/>
            <w:shd w:val="clear" w:color="auto" w:fill="auto"/>
            <w:noWrap/>
            <w:vAlign w:val="center"/>
          </w:tcPr>
          <w:p w14:paraId="077F8C2F"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0.344 </w:t>
            </w:r>
          </w:p>
        </w:tc>
        <w:tc>
          <w:tcPr>
            <w:tcW w:w="790" w:type="pct"/>
            <w:shd w:val="clear" w:color="auto" w:fill="auto"/>
            <w:noWrap/>
            <w:vAlign w:val="center"/>
          </w:tcPr>
          <w:p w14:paraId="433195C1"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0.287 </w:t>
            </w:r>
          </w:p>
        </w:tc>
        <w:tc>
          <w:tcPr>
            <w:tcW w:w="790" w:type="pct"/>
            <w:shd w:val="clear" w:color="auto" w:fill="auto"/>
            <w:noWrap/>
            <w:vAlign w:val="center"/>
          </w:tcPr>
          <w:p w14:paraId="604AED2B"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0.525 </w:t>
            </w:r>
          </w:p>
        </w:tc>
        <w:tc>
          <w:tcPr>
            <w:tcW w:w="790" w:type="pct"/>
            <w:shd w:val="clear" w:color="auto" w:fill="auto"/>
            <w:noWrap/>
            <w:vAlign w:val="center"/>
          </w:tcPr>
          <w:p w14:paraId="35798594"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0.485 </w:t>
            </w:r>
          </w:p>
        </w:tc>
      </w:tr>
      <w:tr w:rsidR="00347BCA" w:rsidRPr="00681D35" w14:paraId="3F0CDB87" w14:textId="77777777">
        <w:trPr>
          <w:trHeight w:val="312"/>
          <w:jc w:val="center"/>
        </w:trPr>
        <w:tc>
          <w:tcPr>
            <w:tcW w:w="5000" w:type="pct"/>
            <w:gridSpan w:val="5"/>
            <w:shd w:val="clear" w:color="auto" w:fill="auto"/>
            <w:noWrap/>
            <w:vAlign w:val="center"/>
          </w:tcPr>
          <w:p w14:paraId="18EC5F33"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SVI (mL/m</w:t>
            </w:r>
            <w:r w:rsidRPr="00681D35">
              <w:rPr>
                <w:rFonts w:ascii="Book Antiqua" w:eastAsia="宋体" w:hAnsi="Book Antiqua"/>
                <w:color w:val="000000" w:themeColor="text1"/>
                <w:vertAlign w:val="superscript"/>
              </w:rPr>
              <w:t>2</w:t>
            </w:r>
            <w:r w:rsidRPr="00681D35">
              <w:rPr>
                <w:rFonts w:ascii="Book Antiqua" w:eastAsia="宋体" w:hAnsi="Book Antiqua"/>
                <w:color w:val="000000" w:themeColor="text1"/>
              </w:rPr>
              <w:t>·bpm)</w:t>
            </w:r>
          </w:p>
        </w:tc>
      </w:tr>
      <w:tr w:rsidR="00347BCA" w:rsidRPr="00681D35" w14:paraId="371B7C80" w14:textId="77777777" w:rsidTr="00060A5A">
        <w:trPr>
          <w:trHeight w:val="312"/>
          <w:jc w:val="center"/>
        </w:trPr>
        <w:tc>
          <w:tcPr>
            <w:tcW w:w="1840" w:type="pct"/>
            <w:shd w:val="clear" w:color="auto" w:fill="auto"/>
            <w:noWrap/>
            <w:vAlign w:val="center"/>
          </w:tcPr>
          <w:p w14:paraId="6B4EA621" w14:textId="0A0043C3"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Rem</w:t>
            </w:r>
            <w:r w:rsidR="00014D3D" w:rsidRPr="00681D35">
              <w:rPr>
                <w:rFonts w:ascii="Book Antiqua" w:eastAsia="宋体" w:hAnsi="Book Antiqua"/>
                <w:color w:val="000000" w:themeColor="text1"/>
              </w:rPr>
              <w:t>im</w:t>
            </w:r>
            <w:r w:rsidRPr="00681D35">
              <w:rPr>
                <w:rFonts w:ascii="Book Antiqua" w:eastAsia="宋体" w:hAnsi="Book Antiqua"/>
                <w:color w:val="000000" w:themeColor="text1"/>
              </w:rPr>
              <w:t>azolam group (</w:t>
            </w:r>
            <w:r w:rsidRPr="00681D35">
              <w:rPr>
                <w:rFonts w:ascii="Book Antiqua" w:eastAsia="宋体" w:hAnsi="Book Antiqua"/>
                <w:i/>
                <w:iCs/>
                <w:color w:val="000000" w:themeColor="text1"/>
              </w:rPr>
              <w:t>n</w:t>
            </w:r>
            <w:r w:rsidRPr="00681D35">
              <w:rPr>
                <w:rFonts w:ascii="Book Antiqua" w:eastAsia="宋体" w:hAnsi="Book Antiqua"/>
                <w:color w:val="000000" w:themeColor="text1"/>
              </w:rPr>
              <w:t xml:space="preserve"> = 40)</w:t>
            </w:r>
          </w:p>
        </w:tc>
        <w:tc>
          <w:tcPr>
            <w:tcW w:w="790" w:type="pct"/>
            <w:shd w:val="clear" w:color="auto" w:fill="auto"/>
            <w:noWrap/>
            <w:vAlign w:val="center"/>
          </w:tcPr>
          <w:p w14:paraId="434822E5"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47.83 ± 5.81</w:t>
            </w:r>
          </w:p>
        </w:tc>
        <w:tc>
          <w:tcPr>
            <w:tcW w:w="790" w:type="pct"/>
            <w:shd w:val="clear" w:color="auto" w:fill="auto"/>
            <w:noWrap/>
            <w:vAlign w:val="center"/>
          </w:tcPr>
          <w:p w14:paraId="416F7C0A"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43.80 ± 5.26</w:t>
            </w:r>
          </w:p>
        </w:tc>
        <w:tc>
          <w:tcPr>
            <w:tcW w:w="790" w:type="pct"/>
            <w:shd w:val="clear" w:color="auto" w:fill="auto"/>
            <w:noWrap/>
            <w:vAlign w:val="center"/>
          </w:tcPr>
          <w:p w14:paraId="6CF66518"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41.94 ± 5.57</w:t>
            </w:r>
          </w:p>
        </w:tc>
        <w:tc>
          <w:tcPr>
            <w:tcW w:w="790" w:type="pct"/>
            <w:shd w:val="clear" w:color="auto" w:fill="auto"/>
            <w:noWrap/>
            <w:vAlign w:val="center"/>
          </w:tcPr>
          <w:p w14:paraId="43914547"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45.80 ± 5.16</w:t>
            </w:r>
          </w:p>
        </w:tc>
      </w:tr>
      <w:tr w:rsidR="00347BCA" w:rsidRPr="00681D35" w14:paraId="49F6D08F" w14:textId="77777777" w:rsidTr="00060A5A">
        <w:trPr>
          <w:trHeight w:val="312"/>
          <w:jc w:val="center"/>
        </w:trPr>
        <w:tc>
          <w:tcPr>
            <w:tcW w:w="1840" w:type="pct"/>
            <w:shd w:val="clear" w:color="auto" w:fill="auto"/>
            <w:noWrap/>
            <w:vAlign w:val="center"/>
          </w:tcPr>
          <w:p w14:paraId="34840DD2"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Propofol group (</w:t>
            </w:r>
            <w:r w:rsidRPr="00681D35">
              <w:rPr>
                <w:rFonts w:ascii="Book Antiqua" w:eastAsia="宋体" w:hAnsi="Book Antiqua"/>
                <w:i/>
                <w:iCs/>
                <w:color w:val="000000" w:themeColor="text1"/>
              </w:rPr>
              <w:t>n</w:t>
            </w:r>
            <w:r w:rsidRPr="00681D35">
              <w:rPr>
                <w:rFonts w:ascii="Book Antiqua" w:eastAsia="宋体" w:hAnsi="Book Antiqua"/>
                <w:color w:val="000000" w:themeColor="text1"/>
              </w:rPr>
              <w:t xml:space="preserve"> = 40)</w:t>
            </w:r>
          </w:p>
        </w:tc>
        <w:tc>
          <w:tcPr>
            <w:tcW w:w="790" w:type="pct"/>
            <w:shd w:val="clear" w:color="auto" w:fill="auto"/>
            <w:noWrap/>
            <w:vAlign w:val="center"/>
          </w:tcPr>
          <w:p w14:paraId="49130A87"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49.20 ± 5.63</w:t>
            </w:r>
          </w:p>
        </w:tc>
        <w:tc>
          <w:tcPr>
            <w:tcW w:w="790" w:type="pct"/>
            <w:shd w:val="clear" w:color="auto" w:fill="auto"/>
            <w:noWrap/>
            <w:vAlign w:val="center"/>
          </w:tcPr>
          <w:p w14:paraId="7A87C3B1"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40.38 ± 4.95</w:t>
            </w:r>
          </w:p>
        </w:tc>
        <w:tc>
          <w:tcPr>
            <w:tcW w:w="790" w:type="pct"/>
            <w:shd w:val="clear" w:color="auto" w:fill="auto"/>
            <w:noWrap/>
            <w:vAlign w:val="center"/>
          </w:tcPr>
          <w:p w14:paraId="456B57A9"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38.53 ± 4.86</w:t>
            </w:r>
          </w:p>
        </w:tc>
        <w:tc>
          <w:tcPr>
            <w:tcW w:w="790" w:type="pct"/>
            <w:shd w:val="clear" w:color="auto" w:fill="auto"/>
            <w:noWrap/>
            <w:vAlign w:val="center"/>
          </w:tcPr>
          <w:p w14:paraId="420EB9B3"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43.73 ± 5.57</w:t>
            </w:r>
          </w:p>
        </w:tc>
      </w:tr>
      <w:tr w:rsidR="00347BCA" w:rsidRPr="00681D35" w14:paraId="2D10133F" w14:textId="77777777" w:rsidTr="00060A5A">
        <w:trPr>
          <w:trHeight w:val="312"/>
          <w:jc w:val="center"/>
        </w:trPr>
        <w:tc>
          <w:tcPr>
            <w:tcW w:w="1840" w:type="pct"/>
            <w:shd w:val="clear" w:color="auto" w:fill="auto"/>
            <w:vAlign w:val="center"/>
          </w:tcPr>
          <w:p w14:paraId="1CABD132"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i/>
                <w:iCs/>
                <w:color w:val="000000" w:themeColor="text1"/>
              </w:rPr>
              <w:t>t</w:t>
            </w:r>
            <w:r w:rsidRPr="00681D35">
              <w:rPr>
                <w:rFonts w:ascii="Book Antiqua" w:eastAsia="宋体" w:hAnsi="Book Antiqua"/>
                <w:color w:val="000000" w:themeColor="text1"/>
              </w:rPr>
              <w:t xml:space="preserve"> value</w:t>
            </w:r>
          </w:p>
        </w:tc>
        <w:tc>
          <w:tcPr>
            <w:tcW w:w="790" w:type="pct"/>
            <w:shd w:val="clear" w:color="auto" w:fill="auto"/>
            <w:noWrap/>
            <w:vAlign w:val="center"/>
          </w:tcPr>
          <w:p w14:paraId="06853D70"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-1.071 </w:t>
            </w:r>
          </w:p>
        </w:tc>
        <w:tc>
          <w:tcPr>
            <w:tcW w:w="790" w:type="pct"/>
            <w:shd w:val="clear" w:color="auto" w:fill="auto"/>
            <w:noWrap/>
            <w:vAlign w:val="center"/>
          </w:tcPr>
          <w:p w14:paraId="4092B619"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2.995 </w:t>
            </w:r>
          </w:p>
        </w:tc>
        <w:tc>
          <w:tcPr>
            <w:tcW w:w="790" w:type="pct"/>
            <w:shd w:val="clear" w:color="auto" w:fill="auto"/>
            <w:noWrap/>
            <w:vAlign w:val="center"/>
          </w:tcPr>
          <w:p w14:paraId="5760B0B3"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2.918 </w:t>
            </w:r>
          </w:p>
        </w:tc>
        <w:tc>
          <w:tcPr>
            <w:tcW w:w="790" w:type="pct"/>
            <w:shd w:val="clear" w:color="auto" w:fill="auto"/>
            <w:noWrap/>
            <w:vAlign w:val="center"/>
          </w:tcPr>
          <w:p w14:paraId="3367B824"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1.724 </w:t>
            </w:r>
          </w:p>
        </w:tc>
      </w:tr>
      <w:tr w:rsidR="00347BCA" w:rsidRPr="00681D35" w14:paraId="42226DB4" w14:textId="77777777" w:rsidTr="00060A5A">
        <w:trPr>
          <w:trHeight w:val="312"/>
          <w:jc w:val="center"/>
        </w:trPr>
        <w:tc>
          <w:tcPr>
            <w:tcW w:w="1840" w:type="pct"/>
            <w:shd w:val="clear" w:color="auto" w:fill="auto"/>
            <w:vAlign w:val="center"/>
          </w:tcPr>
          <w:p w14:paraId="5CBF2D61"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i/>
                <w:iCs/>
                <w:color w:val="000000" w:themeColor="text1"/>
              </w:rPr>
              <w:t>P</w:t>
            </w:r>
            <w:r w:rsidRPr="00681D35">
              <w:rPr>
                <w:rFonts w:ascii="Book Antiqua" w:eastAsia="宋体" w:hAnsi="Book Antiqua"/>
                <w:color w:val="000000" w:themeColor="text1"/>
              </w:rPr>
              <w:t xml:space="preserve"> value</w:t>
            </w:r>
          </w:p>
        </w:tc>
        <w:tc>
          <w:tcPr>
            <w:tcW w:w="790" w:type="pct"/>
            <w:shd w:val="clear" w:color="auto" w:fill="auto"/>
            <w:noWrap/>
            <w:vAlign w:val="center"/>
          </w:tcPr>
          <w:p w14:paraId="2D3CC5BF"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0.287 </w:t>
            </w:r>
          </w:p>
        </w:tc>
        <w:tc>
          <w:tcPr>
            <w:tcW w:w="790" w:type="pct"/>
            <w:shd w:val="clear" w:color="auto" w:fill="auto"/>
            <w:noWrap/>
            <w:vAlign w:val="center"/>
          </w:tcPr>
          <w:p w14:paraId="0F7AEC42"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0.004 </w:t>
            </w:r>
          </w:p>
        </w:tc>
        <w:tc>
          <w:tcPr>
            <w:tcW w:w="790" w:type="pct"/>
            <w:shd w:val="clear" w:color="auto" w:fill="auto"/>
            <w:noWrap/>
            <w:vAlign w:val="center"/>
          </w:tcPr>
          <w:p w14:paraId="79C65878"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0.005 </w:t>
            </w:r>
          </w:p>
        </w:tc>
        <w:tc>
          <w:tcPr>
            <w:tcW w:w="790" w:type="pct"/>
            <w:shd w:val="clear" w:color="auto" w:fill="auto"/>
            <w:noWrap/>
            <w:vAlign w:val="center"/>
          </w:tcPr>
          <w:p w14:paraId="493CF226"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0.089 </w:t>
            </w:r>
          </w:p>
        </w:tc>
      </w:tr>
    </w:tbl>
    <w:p w14:paraId="531FF475" w14:textId="0CCBE8D5" w:rsidR="00014D3D" w:rsidRPr="00681D35" w:rsidRDefault="00060A5A" w:rsidP="00DB1137">
      <w:pPr>
        <w:adjustRightInd w:val="0"/>
        <w:snapToGrid w:val="0"/>
        <w:spacing w:line="360" w:lineRule="auto"/>
        <w:jc w:val="both"/>
        <w:rPr>
          <w:rFonts w:ascii="Book Antiqua" w:eastAsia="Book Antiqua" w:hAnsi="Book Antiqua" w:cs="Book Antiqua"/>
          <w:color w:val="000000" w:themeColor="text1"/>
        </w:rPr>
      </w:pPr>
      <w:r w:rsidRPr="00681D35">
        <w:rPr>
          <w:rFonts w:ascii="Book Antiqua" w:eastAsia="宋体" w:hAnsi="Book Antiqua"/>
          <w:color w:val="000000" w:themeColor="text1"/>
        </w:rPr>
        <w:t>CI:</w:t>
      </w:r>
      <w:r w:rsidRPr="00681D35">
        <w:rPr>
          <w:rFonts w:ascii="Book Antiqua" w:eastAsia="Book Antiqua" w:hAnsi="Book Antiqua" w:cs="Book Antiqua"/>
          <w:color w:val="000000" w:themeColor="text1"/>
        </w:rPr>
        <w:t xml:space="preserve"> Cardiac index;</w:t>
      </w:r>
      <w:r w:rsidRPr="00681D35">
        <w:rPr>
          <w:rFonts w:ascii="Book Antiqua" w:hAnsi="Book Antiqua" w:cs="Book Antiqua"/>
          <w:color w:val="000000" w:themeColor="text1"/>
          <w:lang w:eastAsia="zh-CN"/>
        </w:rPr>
        <w:t xml:space="preserve"> </w:t>
      </w:r>
      <w:r w:rsidR="006407D4" w:rsidRPr="00681D35">
        <w:rPr>
          <w:rFonts w:ascii="Book Antiqua" w:eastAsia="宋体" w:hAnsi="Book Antiqua"/>
          <w:color w:val="000000" w:themeColor="text1"/>
        </w:rPr>
        <w:t>HR</w:t>
      </w:r>
      <w:r w:rsidR="006407D4" w:rsidRPr="00681D35">
        <w:rPr>
          <w:rFonts w:ascii="Book Antiqua" w:eastAsia="宋体" w:hAnsi="Book Antiqua"/>
          <w:color w:val="000000" w:themeColor="text1"/>
          <w:lang w:eastAsia="zh-CN"/>
        </w:rPr>
        <w:t>:</w:t>
      </w:r>
      <w:r w:rsidR="006407D4" w:rsidRPr="00681D35">
        <w:rPr>
          <w:rFonts w:ascii="Book Antiqua" w:eastAsia="Book Antiqua" w:hAnsi="Book Antiqua" w:cs="Book Antiqua"/>
          <w:color w:val="000000" w:themeColor="text1"/>
        </w:rPr>
        <w:t xml:space="preserve"> Heart rate; </w:t>
      </w:r>
      <w:r w:rsidR="006407D4" w:rsidRPr="00681D35">
        <w:rPr>
          <w:rFonts w:ascii="Book Antiqua" w:eastAsia="宋体" w:hAnsi="Book Antiqua"/>
          <w:color w:val="000000" w:themeColor="text1"/>
        </w:rPr>
        <w:t>MAP:</w:t>
      </w:r>
      <w:r w:rsidR="006407D4" w:rsidRPr="00681D35">
        <w:rPr>
          <w:rFonts w:ascii="Book Antiqua" w:eastAsia="Book Antiqua" w:hAnsi="Book Antiqua" w:cs="Book Antiqua"/>
          <w:color w:val="000000" w:themeColor="text1"/>
        </w:rPr>
        <w:t xml:space="preserve"> Mean arterial pressure;</w:t>
      </w:r>
      <w:r w:rsidR="006407D4" w:rsidRPr="00681D35">
        <w:rPr>
          <w:rFonts w:ascii="Book Antiqua" w:hAnsi="Book Antiqua" w:cs="Book Antiqua"/>
          <w:color w:val="000000" w:themeColor="text1"/>
          <w:lang w:eastAsia="zh-CN"/>
        </w:rPr>
        <w:t xml:space="preserve"> </w:t>
      </w:r>
      <w:r w:rsidR="006407D4" w:rsidRPr="00681D35">
        <w:rPr>
          <w:rFonts w:ascii="Book Antiqua" w:eastAsia="宋体" w:hAnsi="Book Antiqua"/>
          <w:color w:val="000000" w:themeColor="text1"/>
        </w:rPr>
        <w:t>SVI:</w:t>
      </w:r>
      <w:r w:rsidR="006407D4" w:rsidRPr="00681D35">
        <w:rPr>
          <w:rFonts w:ascii="Book Antiqua" w:eastAsia="Book Antiqua" w:hAnsi="Book Antiqua" w:cs="Book Antiqua"/>
          <w:color w:val="000000" w:themeColor="text1"/>
        </w:rPr>
        <w:t xml:space="preserve"> Volume per wave index;</w:t>
      </w:r>
      <w:r w:rsidR="006407D4" w:rsidRPr="00681D35">
        <w:rPr>
          <w:rFonts w:ascii="Book Antiqua" w:hAnsi="Book Antiqua" w:cs="Book Antiqua"/>
          <w:color w:val="000000" w:themeColor="text1"/>
          <w:lang w:eastAsia="zh-CN"/>
        </w:rPr>
        <w:t xml:space="preserve"> </w:t>
      </w:r>
      <w:r w:rsidR="006407D4" w:rsidRPr="00681D35">
        <w:rPr>
          <w:rFonts w:ascii="Book Antiqua" w:eastAsia="宋体" w:hAnsi="Book Antiqua"/>
          <w:color w:val="000000" w:themeColor="text1"/>
        </w:rPr>
        <w:t>T0:</w:t>
      </w:r>
      <w:r w:rsidR="006407D4" w:rsidRPr="00681D35">
        <w:rPr>
          <w:rFonts w:ascii="Book Antiqua" w:eastAsia="Book Antiqua" w:hAnsi="Book Antiqua" w:cs="Book Antiqua"/>
          <w:color w:val="000000" w:themeColor="text1"/>
        </w:rPr>
        <w:t xml:space="preserve"> Pre-anesthesia induction;</w:t>
      </w:r>
      <w:r w:rsidR="006407D4" w:rsidRPr="00681D35">
        <w:rPr>
          <w:rFonts w:ascii="Book Antiqua" w:hAnsi="Book Antiqua" w:cs="Book Antiqua"/>
          <w:color w:val="000000" w:themeColor="text1"/>
          <w:lang w:eastAsia="zh-CN"/>
        </w:rPr>
        <w:t xml:space="preserve"> </w:t>
      </w:r>
      <w:r w:rsidR="006407D4" w:rsidRPr="00681D35">
        <w:rPr>
          <w:rFonts w:ascii="Book Antiqua" w:eastAsia="宋体" w:hAnsi="Book Antiqua"/>
          <w:color w:val="000000" w:themeColor="text1"/>
        </w:rPr>
        <w:t>T1:</w:t>
      </w:r>
      <w:r w:rsidR="006407D4" w:rsidRPr="00681D35">
        <w:rPr>
          <w:rFonts w:ascii="Book Antiqua" w:eastAsia="Book Antiqua" w:hAnsi="Book Antiqua" w:cs="Book Antiqua"/>
          <w:color w:val="000000" w:themeColor="text1"/>
        </w:rPr>
        <w:t xml:space="preserve"> After endotracheal intubation;</w:t>
      </w:r>
      <w:r w:rsidR="006407D4" w:rsidRPr="00681D35">
        <w:rPr>
          <w:rFonts w:ascii="Book Antiqua" w:hAnsi="Book Antiqua" w:cs="Book Antiqua"/>
          <w:color w:val="000000" w:themeColor="text1"/>
          <w:lang w:eastAsia="zh-CN"/>
        </w:rPr>
        <w:t xml:space="preserve"> </w:t>
      </w:r>
      <w:r w:rsidR="006407D4" w:rsidRPr="00681D35">
        <w:rPr>
          <w:rFonts w:ascii="Book Antiqua" w:eastAsia="宋体" w:hAnsi="Book Antiqua"/>
          <w:color w:val="000000" w:themeColor="text1"/>
        </w:rPr>
        <w:t>T2:</w:t>
      </w:r>
      <w:r w:rsidR="006407D4" w:rsidRPr="00681D35">
        <w:rPr>
          <w:rFonts w:ascii="Book Antiqua" w:eastAsia="Book Antiqua" w:hAnsi="Book Antiqua" w:cs="Book Antiqua"/>
          <w:color w:val="000000" w:themeColor="text1"/>
        </w:rPr>
        <w:t xml:space="preserve"> When the sternum was cut off;</w:t>
      </w:r>
      <w:r w:rsidR="006407D4" w:rsidRPr="00681D35">
        <w:rPr>
          <w:rFonts w:ascii="Book Antiqua" w:hAnsi="Book Antiqua" w:cs="Book Antiqua"/>
          <w:color w:val="000000" w:themeColor="text1"/>
          <w:lang w:eastAsia="zh-CN"/>
        </w:rPr>
        <w:t xml:space="preserve"> </w:t>
      </w:r>
      <w:r w:rsidR="006407D4" w:rsidRPr="00681D35">
        <w:rPr>
          <w:rFonts w:ascii="Book Antiqua" w:eastAsia="宋体" w:hAnsi="Book Antiqua"/>
          <w:color w:val="000000" w:themeColor="text1"/>
        </w:rPr>
        <w:t>T3:</w:t>
      </w:r>
      <w:r w:rsidR="006407D4" w:rsidRPr="00681D35">
        <w:rPr>
          <w:rFonts w:ascii="Book Antiqua" w:eastAsia="Book Antiqua" w:hAnsi="Book Antiqua" w:cs="Book Antiqua"/>
          <w:color w:val="000000" w:themeColor="text1"/>
        </w:rPr>
        <w:t xml:space="preserve"> When the machine was shut down.</w:t>
      </w:r>
    </w:p>
    <w:p w14:paraId="05AFE3B6" w14:textId="47BF76A9" w:rsidR="00DB1137" w:rsidRPr="00681D35" w:rsidRDefault="00DB1137" w:rsidP="00DB1137">
      <w:pPr>
        <w:adjustRightInd w:val="0"/>
        <w:snapToGrid w:val="0"/>
        <w:spacing w:line="360" w:lineRule="auto"/>
        <w:jc w:val="both"/>
        <w:rPr>
          <w:rFonts w:ascii="Book Antiqua" w:eastAsia="Book Antiqua" w:hAnsi="Book Antiqua" w:cs="Book Antiqua"/>
          <w:color w:val="000000" w:themeColor="text1"/>
        </w:rPr>
      </w:pPr>
    </w:p>
    <w:p w14:paraId="17381E6B" w14:textId="77777777" w:rsidR="00DB1137" w:rsidRPr="00681D35" w:rsidRDefault="00DB1137" w:rsidP="00DB1137">
      <w:pPr>
        <w:adjustRightInd w:val="0"/>
        <w:snapToGrid w:val="0"/>
        <w:spacing w:line="360" w:lineRule="auto"/>
        <w:jc w:val="both"/>
        <w:rPr>
          <w:rFonts w:ascii="Book Antiqua" w:eastAsia="宋体" w:hAnsi="Book Antiqua"/>
          <w:b/>
          <w:bCs/>
          <w:color w:val="000000" w:themeColor="text1"/>
        </w:rPr>
      </w:pPr>
    </w:p>
    <w:p w14:paraId="62283A54" w14:textId="71D087AD" w:rsidR="00347BCA" w:rsidRPr="00681D35" w:rsidRDefault="006407D4" w:rsidP="003C2906">
      <w:pPr>
        <w:adjustRightInd w:val="0"/>
        <w:snapToGrid w:val="0"/>
        <w:spacing w:line="360" w:lineRule="auto"/>
        <w:jc w:val="both"/>
        <w:rPr>
          <w:rFonts w:ascii="Book Antiqua" w:eastAsia="宋体" w:hAnsi="Book Antiqua"/>
          <w:b/>
          <w:bCs/>
          <w:color w:val="000000" w:themeColor="text1"/>
        </w:rPr>
      </w:pPr>
      <w:r w:rsidRPr="00681D35">
        <w:rPr>
          <w:rFonts w:ascii="Book Antiqua" w:eastAsia="宋体" w:hAnsi="Book Antiqua"/>
          <w:b/>
          <w:bCs/>
          <w:color w:val="000000" w:themeColor="text1"/>
        </w:rPr>
        <w:t xml:space="preserve">Table 3 Comparison of oxygenation index and respiratory index between the two groups (mean </w:t>
      </w:r>
      <w:r w:rsidRPr="00681D35">
        <w:rPr>
          <w:rFonts w:ascii="Book Antiqua" w:eastAsia="宋体" w:hAnsi="Book Antiqua"/>
          <w:b/>
          <w:bCs/>
          <w:color w:val="000000" w:themeColor="text1"/>
          <w:lang w:eastAsia="zh-CN"/>
        </w:rPr>
        <w:t>±</w:t>
      </w:r>
      <w:r w:rsidRPr="00681D35">
        <w:rPr>
          <w:rFonts w:ascii="Book Antiqua" w:eastAsia="宋体" w:hAnsi="Book Antiqua"/>
          <w:b/>
          <w:bCs/>
          <w:color w:val="000000" w:themeColor="text1"/>
        </w:rPr>
        <w:t xml:space="preserve"> </w:t>
      </w:r>
      <w:r w:rsidR="00DB1137" w:rsidRPr="00681D35">
        <w:rPr>
          <w:rFonts w:ascii="Book Antiqua" w:eastAsia="宋体" w:hAnsi="Book Antiqua"/>
          <w:b/>
          <w:bCs/>
          <w:color w:val="000000" w:themeColor="text1"/>
        </w:rPr>
        <w:t>SD</w:t>
      </w:r>
      <w:r w:rsidRPr="00681D35">
        <w:rPr>
          <w:rFonts w:ascii="Book Antiqua" w:eastAsia="宋体" w:hAnsi="Book Antiqua"/>
          <w:b/>
          <w:bCs/>
          <w:color w:val="000000" w:themeColor="text1"/>
        </w:rPr>
        <w:t>)</w:t>
      </w:r>
    </w:p>
    <w:tbl>
      <w:tblPr>
        <w:tblW w:w="5000" w:type="pct"/>
        <w:tblBorders>
          <w:top w:val="single" w:sz="4" w:space="0" w:color="auto"/>
          <w:bottom w:val="single" w:sz="4" w:space="0" w:color="auto"/>
        </w:tblBorders>
        <w:tblLook w:val="04A0" w:firstRow="1" w:lastRow="0" w:firstColumn="1" w:lastColumn="0" w:noHBand="0" w:noVBand="1"/>
      </w:tblPr>
      <w:tblGrid>
        <w:gridCol w:w="3431"/>
        <w:gridCol w:w="1937"/>
        <w:gridCol w:w="1937"/>
        <w:gridCol w:w="1937"/>
      </w:tblGrid>
      <w:tr w:rsidR="00347BCA" w:rsidRPr="00681D35" w14:paraId="63DFD29F" w14:textId="77777777">
        <w:trPr>
          <w:trHeight w:val="312"/>
        </w:trPr>
        <w:tc>
          <w:tcPr>
            <w:tcW w:w="1856" w:type="pct"/>
            <w:tcBorders>
              <w:top w:val="single" w:sz="4" w:space="0" w:color="auto"/>
              <w:bottom w:val="single" w:sz="4" w:space="0" w:color="auto"/>
            </w:tcBorders>
            <w:shd w:val="clear" w:color="auto" w:fill="auto"/>
            <w:noWrap/>
            <w:vAlign w:val="center"/>
          </w:tcPr>
          <w:p w14:paraId="3C52904B" w14:textId="77777777" w:rsidR="00347BCA" w:rsidRPr="00681D35" w:rsidRDefault="006407D4" w:rsidP="003C2906">
            <w:pPr>
              <w:adjustRightInd w:val="0"/>
              <w:snapToGrid w:val="0"/>
              <w:spacing w:line="360" w:lineRule="auto"/>
              <w:jc w:val="both"/>
              <w:rPr>
                <w:rFonts w:ascii="Book Antiqua" w:eastAsia="宋体" w:hAnsi="Book Antiqua"/>
                <w:b/>
                <w:bCs/>
                <w:color w:val="000000" w:themeColor="text1"/>
              </w:rPr>
            </w:pPr>
            <w:r w:rsidRPr="00681D35">
              <w:rPr>
                <w:rFonts w:ascii="Book Antiqua" w:eastAsia="宋体" w:hAnsi="Book Antiqua"/>
                <w:b/>
                <w:bCs/>
                <w:color w:val="000000" w:themeColor="text1"/>
              </w:rPr>
              <w:t>Indicators</w:t>
            </w:r>
          </w:p>
        </w:tc>
        <w:tc>
          <w:tcPr>
            <w:tcW w:w="1048" w:type="pct"/>
            <w:tcBorders>
              <w:top w:val="single" w:sz="4" w:space="0" w:color="auto"/>
              <w:bottom w:val="single" w:sz="4" w:space="0" w:color="auto"/>
            </w:tcBorders>
            <w:shd w:val="clear" w:color="auto" w:fill="auto"/>
            <w:noWrap/>
            <w:vAlign w:val="center"/>
          </w:tcPr>
          <w:p w14:paraId="467656AD" w14:textId="77777777" w:rsidR="00347BCA" w:rsidRPr="00681D35" w:rsidRDefault="006407D4" w:rsidP="003C2906">
            <w:pPr>
              <w:adjustRightInd w:val="0"/>
              <w:snapToGrid w:val="0"/>
              <w:spacing w:line="360" w:lineRule="auto"/>
              <w:jc w:val="both"/>
              <w:rPr>
                <w:rFonts w:ascii="Book Antiqua" w:eastAsia="宋体" w:hAnsi="Book Antiqua"/>
                <w:b/>
                <w:bCs/>
                <w:color w:val="000000" w:themeColor="text1"/>
              </w:rPr>
            </w:pPr>
            <w:r w:rsidRPr="00681D35">
              <w:rPr>
                <w:rFonts w:ascii="Book Antiqua" w:eastAsia="宋体" w:hAnsi="Book Antiqua"/>
                <w:b/>
                <w:bCs/>
                <w:color w:val="000000" w:themeColor="text1"/>
              </w:rPr>
              <w:t>T1</w:t>
            </w:r>
          </w:p>
        </w:tc>
        <w:tc>
          <w:tcPr>
            <w:tcW w:w="1048" w:type="pct"/>
            <w:tcBorders>
              <w:top w:val="single" w:sz="4" w:space="0" w:color="auto"/>
              <w:bottom w:val="single" w:sz="4" w:space="0" w:color="auto"/>
            </w:tcBorders>
            <w:shd w:val="clear" w:color="auto" w:fill="auto"/>
            <w:noWrap/>
            <w:vAlign w:val="center"/>
          </w:tcPr>
          <w:p w14:paraId="44E804FD" w14:textId="77777777" w:rsidR="00347BCA" w:rsidRPr="00681D35" w:rsidRDefault="006407D4" w:rsidP="003C2906">
            <w:pPr>
              <w:adjustRightInd w:val="0"/>
              <w:snapToGrid w:val="0"/>
              <w:spacing w:line="360" w:lineRule="auto"/>
              <w:jc w:val="both"/>
              <w:rPr>
                <w:rFonts w:ascii="Book Antiqua" w:eastAsia="宋体" w:hAnsi="Book Antiqua"/>
                <w:b/>
                <w:bCs/>
                <w:color w:val="000000" w:themeColor="text1"/>
              </w:rPr>
            </w:pPr>
            <w:r w:rsidRPr="00681D35">
              <w:rPr>
                <w:rFonts w:ascii="Book Antiqua" w:eastAsia="宋体" w:hAnsi="Book Antiqua"/>
                <w:b/>
                <w:bCs/>
                <w:color w:val="000000" w:themeColor="text1"/>
              </w:rPr>
              <w:t>T2</w:t>
            </w:r>
          </w:p>
        </w:tc>
        <w:tc>
          <w:tcPr>
            <w:tcW w:w="1048" w:type="pct"/>
            <w:tcBorders>
              <w:top w:val="single" w:sz="4" w:space="0" w:color="auto"/>
              <w:bottom w:val="single" w:sz="4" w:space="0" w:color="auto"/>
            </w:tcBorders>
            <w:shd w:val="clear" w:color="auto" w:fill="auto"/>
            <w:noWrap/>
            <w:vAlign w:val="center"/>
          </w:tcPr>
          <w:p w14:paraId="14142518" w14:textId="77777777" w:rsidR="00347BCA" w:rsidRPr="00681D35" w:rsidRDefault="006407D4" w:rsidP="003C2906">
            <w:pPr>
              <w:adjustRightInd w:val="0"/>
              <w:snapToGrid w:val="0"/>
              <w:spacing w:line="360" w:lineRule="auto"/>
              <w:jc w:val="both"/>
              <w:rPr>
                <w:rFonts w:ascii="Book Antiqua" w:eastAsia="宋体" w:hAnsi="Book Antiqua"/>
                <w:b/>
                <w:bCs/>
                <w:color w:val="000000" w:themeColor="text1"/>
              </w:rPr>
            </w:pPr>
            <w:r w:rsidRPr="00681D35">
              <w:rPr>
                <w:rFonts w:ascii="Book Antiqua" w:eastAsia="宋体" w:hAnsi="Book Antiqua"/>
                <w:b/>
                <w:bCs/>
                <w:color w:val="000000" w:themeColor="text1"/>
              </w:rPr>
              <w:t>T3</w:t>
            </w:r>
          </w:p>
        </w:tc>
      </w:tr>
      <w:tr w:rsidR="00347BCA" w:rsidRPr="00681D35" w14:paraId="44264FDD" w14:textId="77777777">
        <w:trPr>
          <w:trHeight w:val="312"/>
        </w:trPr>
        <w:tc>
          <w:tcPr>
            <w:tcW w:w="5000" w:type="pct"/>
            <w:gridSpan w:val="4"/>
            <w:tcBorders>
              <w:top w:val="single" w:sz="4" w:space="0" w:color="auto"/>
            </w:tcBorders>
            <w:shd w:val="clear" w:color="auto" w:fill="auto"/>
            <w:noWrap/>
            <w:vAlign w:val="center"/>
          </w:tcPr>
          <w:p w14:paraId="1CA013DA"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OI (mmHg)</w:t>
            </w:r>
          </w:p>
        </w:tc>
      </w:tr>
      <w:tr w:rsidR="00347BCA" w:rsidRPr="00681D35" w14:paraId="0D305085" w14:textId="77777777">
        <w:trPr>
          <w:trHeight w:val="312"/>
        </w:trPr>
        <w:tc>
          <w:tcPr>
            <w:tcW w:w="1856" w:type="pct"/>
            <w:shd w:val="clear" w:color="auto" w:fill="auto"/>
            <w:noWrap/>
            <w:vAlign w:val="center"/>
          </w:tcPr>
          <w:p w14:paraId="0CD29792" w14:textId="2EE91BB8"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Rem</w:t>
            </w:r>
            <w:r w:rsidR="00647B2B" w:rsidRPr="00681D35">
              <w:rPr>
                <w:rFonts w:ascii="Book Antiqua" w:eastAsia="宋体" w:hAnsi="Book Antiqua"/>
                <w:color w:val="000000" w:themeColor="text1"/>
              </w:rPr>
              <w:t>im</w:t>
            </w:r>
            <w:r w:rsidRPr="00681D35">
              <w:rPr>
                <w:rFonts w:ascii="Book Antiqua" w:eastAsia="宋体" w:hAnsi="Book Antiqua"/>
                <w:color w:val="000000" w:themeColor="text1"/>
              </w:rPr>
              <w:t>azolam group (</w:t>
            </w:r>
            <w:r w:rsidRPr="00681D35">
              <w:rPr>
                <w:rFonts w:ascii="Book Antiqua" w:eastAsia="宋体" w:hAnsi="Book Antiqua"/>
                <w:i/>
                <w:iCs/>
                <w:color w:val="000000" w:themeColor="text1"/>
              </w:rPr>
              <w:t>n</w:t>
            </w:r>
            <w:r w:rsidRPr="00681D35">
              <w:rPr>
                <w:rFonts w:ascii="Book Antiqua" w:eastAsia="宋体" w:hAnsi="Book Antiqua"/>
                <w:color w:val="000000" w:themeColor="text1"/>
              </w:rPr>
              <w:t xml:space="preserve"> = 40)</w:t>
            </w:r>
          </w:p>
        </w:tc>
        <w:tc>
          <w:tcPr>
            <w:tcW w:w="1048" w:type="pct"/>
            <w:shd w:val="clear" w:color="auto" w:fill="auto"/>
            <w:noWrap/>
            <w:vAlign w:val="center"/>
          </w:tcPr>
          <w:p w14:paraId="060D7E0E"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398.6 ± 24.7</w:t>
            </w:r>
          </w:p>
        </w:tc>
        <w:tc>
          <w:tcPr>
            <w:tcW w:w="1048" w:type="pct"/>
            <w:shd w:val="clear" w:color="auto" w:fill="auto"/>
            <w:noWrap/>
            <w:vAlign w:val="center"/>
          </w:tcPr>
          <w:p w14:paraId="4EA99389"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357.6 ± 28.0</w:t>
            </w:r>
          </w:p>
        </w:tc>
        <w:tc>
          <w:tcPr>
            <w:tcW w:w="1048" w:type="pct"/>
            <w:shd w:val="clear" w:color="auto" w:fill="auto"/>
            <w:noWrap/>
            <w:vAlign w:val="center"/>
          </w:tcPr>
          <w:p w14:paraId="5A8DCE4D"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381.8 ± 30.0</w:t>
            </w:r>
          </w:p>
        </w:tc>
      </w:tr>
      <w:tr w:rsidR="00347BCA" w:rsidRPr="00681D35" w14:paraId="49DF8239" w14:textId="77777777">
        <w:trPr>
          <w:trHeight w:val="312"/>
        </w:trPr>
        <w:tc>
          <w:tcPr>
            <w:tcW w:w="1856" w:type="pct"/>
            <w:shd w:val="clear" w:color="auto" w:fill="auto"/>
            <w:noWrap/>
            <w:vAlign w:val="center"/>
          </w:tcPr>
          <w:p w14:paraId="118DAB0D"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Propofol group (</w:t>
            </w:r>
            <w:r w:rsidRPr="00681D35">
              <w:rPr>
                <w:rFonts w:ascii="Book Antiqua" w:eastAsia="宋体" w:hAnsi="Book Antiqua"/>
                <w:i/>
                <w:iCs/>
                <w:color w:val="000000" w:themeColor="text1"/>
              </w:rPr>
              <w:t>n</w:t>
            </w:r>
            <w:r w:rsidRPr="00681D35">
              <w:rPr>
                <w:rFonts w:ascii="Book Antiqua" w:eastAsia="宋体" w:hAnsi="Book Antiqua"/>
                <w:color w:val="000000" w:themeColor="text1"/>
              </w:rPr>
              <w:t xml:space="preserve"> = 40)</w:t>
            </w:r>
          </w:p>
        </w:tc>
        <w:tc>
          <w:tcPr>
            <w:tcW w:w="1048" w:type="pct"/>
            <w:shd w:val="clear" w:color="auto" w:fill="auto"/>
            <w:noWrap/>
            <w:vAlign w:val="center"/>
          </w:tcPr>
          <w:p w14:paraId="02E7D610"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390.1 ± 26.3</w:t>
            </w:r>
          </w:p>
        </w:tc>
        <w:tc>
          <w:tcPr>
            <w:tcW w:w="1048" w:type="pct"/>
            <w:shd w:val="clear" w:color="auto" w:fill="auto"/>
            <w:noWrap/>
            <w:vAlign w:val="center"/>
          </w:tcPr>
          <w:p w14:paraId="130BCA1B"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338.1 ± 30.5</w:t>
            </w:r>
          </w:p>
        </w:tc>
        <w:tc>
          <w:tcPr>
            <w:tcW w:w="1048" w:type="pct"/>
            <w:shd w:val="clear" w:color="auto" w:fill="auto"/>
            <w:noWrap/>
            <w:vAlign w:val="center"/>
          </w:tcPr>
          <w:p w14:paraId="46551A51"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359.4 ± 33.8</w:t>
            </w:r>
          </w:p>
        </w:tc>
      </w:tr>
      <w:tr w:rsidR="00347BCA" w:rsidRPr="00681D35" w14:paraId="48340649" w14:textId="77777777">
        <w:trPr>
          <w:trHeight w:val="312"/>
        </w:trPr>
        <w:tc>
          <w:tcPr>
            <w:tcW w:w="1856" w:type="pct"/>
            <w:shd w:val="clear" w:color="auto" w:fill="auto"/>
            <w:vAlign w:val="center"/>
          </w:tcPr>
          <w:p w14:paraId="1E9394A8"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i/>
                <w:iCs/>
                <w:color w:val="000000" w:themeColor="text1"/>
              </w:rPr>
              <w:t>t</w:t>
            </w:r>
            <w:r w:rsidRPr="00681D35">
              <w:rPr>
                <w:rFonts w:ascii="Book Antiqua" w:eastAsia="宋体" w:hAnsi="Book Antiqua"/>
                <w:color w:val="000000" w:themeColor="text1"/>
              </w:rPr>
              <w:t xml:space="preserve"> value</w:t>
            </w:r>
          </w:p>
        </w:tc>
        <w:tc>
          <w:tcPr>
            <w:tcW w:w="1048" w:type="pct"/>
            <w:shd w:val="clear" w:color="auto" w:fill="auto"/>
            <w:noWrap/>
            <w:vAlign w:val="center"/>
          </w:tcPr>
          <w:p w14:paraId="1EBAC39B"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1.490 </w:t>
            </w:r>
          </w:p>
        </w:tc>
        <w:tc>
          <w:tcPr>
            <w:tcW w:w="1048" w:type="pct"/>
            <w:shd w:val="clear" w:color="auto" w:fill="auto"/>
            <w:noWrap/>
            <w:vAlign w:val="center"/>
          </w:tcPr>
          <w:p w14:paraId="7DEECB3A"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2.979 </w:t>
            </w:r>
          </w:p>
        </w:tc>
        <w:tc>
          <w:tcPr>
            <w:tcW w:w="1048" w:type="pct"/>
            <w:shd w:val="clear" w:color="auto" w:fill="auto"/>
            <w:noWrap/>
            <w:vAlign w:val="center"/>
          </w:tcPr>
          <w:p w14:paraId="4CF75992"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3.135 </w:t>
            </w:r>
          </w:p>
        </w:tc>
      </w:tr>
      <w:tr w:rsidR="00347BCA" w:rsidRPr="00681D35" w14:paraId="2A047048" w14:textId="77777777">
        <w:trPr>
          <w:trHeight w:val="312"/>
        </w:trPr>
        <w:tc>
          <w:tcPr>
            <w:tcW w:w="1856" w:type="pct"/>
            <w:shd w:val="clear" w:color="auto" w:fill="auto"/>
            <w:vAlign w:val="center"/>
          </w:tcPr>
          <w:p w14:paraId="0EE20CF8"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i/>
                <w:iCs/>
                <w:color w:val="000000" w:themeColor="text1"/>
              </w:rPr>
              <w:t>P</w:t>
            </w:r>
            <w:r w:rsidRPr="00681D35">
              <w:rPr>
                <w:rFonts w:ascii="Book Antiqua" w:eastAsia="宋体" w:hAnsi="Book Antiqua"/>
                <w:color w:val="000000" w:themeColor="text1"/>
              </w:rPr>
              <w:t xml:space="preserve"> value</w:t>
            </w:r>
          </w:p>
        </w:tc>
        <w:tc>
          <w:tcPr>
            <w:tcW w:w="1048" w:type="pct"/>
            <w:shd w:val="clear" w:color="auto" w:fill="auto"/>
            <w:noWrap/>
            <w:vAlign w:val="center"/>
          </w:tcPr>
          <w:p w14:paraId="11182F88"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0.140 </w:t>
            </w:r>
          </w:p>
        </w:tc>
        <w:tc>
          <w:tcPr>
            <w:tcW w:w="1048" w:type="pct"/>
            <w:shd w:val="clear" w:color="auto" w:fill="auto"/>
            <w:noWrap/>
            <w:vAlign w:val="center"/>
          </w:tcPr>
          <w:p w14:paraId="67E4390A"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0.004 </w:t>
            </w:r>
          </w:p>
        </w:tc>
        <w:tc>
          <w:tcPr>
            <w:tcW w:w="1048" w:type="pct"/>
            <w:shd w:val="clear" w:color="auto" w:fill="auto"/>
            <w:noWrap/>
            <w:vAlign w:val="center"/>
          </w:tcPr>
          <w:p w14:paraId="396D1D29"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0.002 </w:t>
            </w:r>
          </w:p>
        </w:tc>
      </w:tr>
      <w:tr w:rsidR="00347BCA" w:rsidRPr="00681D35" w14:paraId="48C573B5" w14:textId="77777777">
        <w:trPr>
          <w:trHeight w:val="312"/>
        </w:trPr>
        <w:tc>
          <w:tcPr>
            <w:tcW w:w="5000" w:type="pct"/>
            <w:gridSpan w:val="4"/>
            <w:shd w:val="clear" w:color="auto" w:fill="auto"/>
            <w:noWrap/>
            <w:vAlign w:val="center"/>
          </w:tcPr>
          <w:p w14:paraId="07545174"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RI</w:t>
            </w:r>
          </w:p>
        </w:tc>
      </w:tr>
      <w:tr w:rsidR="00347BCA" w:rsidRPr="00681D35" w14:paraId="6607E6E5" w14:textId="77777777">
        <w:trPr>
          <w:trHeight w:val="312"/>
        </w:trPr>
        <w:tc>
          <w:tcPr>
            <w:tcW w:w="1856" w:type="pct"/>
            <w:shd w:val="clear" w:color="auto" w:fill="auto"/>
            <w:noWrap/>
            <w:vAlign w:val="center"/>
          </w:tcPr>
          <w:p w14:paraId="59F4B2CE" w14:textId="0C1B5704"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Rem</w:t>
            </w:r>
            <w:r w:rsidR="00647B2B" w:rsidRPr="00681D35">
              <w:rPr>
                <w:rFonts w:ascii="Book Antiqua" w:eastAsia="宋体" w:hAnsi="Book Antiqua"/>
                <w:color w:val="000000" w:themeColor="text1"/>
              </w:rPr>
              <w:t>im</w:t>
            </w:r>
            <w:r w:rsidRPr="00681D35">
              <w:rPr>
                <w:rFonts w:ascii="Book Antiqua" w:eastAsia="宋体" w:hAnsi="Book Antiqua"/>
                <w:color w:val="000000" w:themeColor="text1"/>
              </w:rPr>
              <w:t>azolam group (</w:t>
            </w:r>
            <w:r w:rsidRPr="00681D35">
              <w:rPr>
                <w:rFonts w:ascii="Book Antiqua" w:eastAsia="宋体" w:hAnsi="Book Antiqua"/>
                <w:i/>
                <w:iCs/>
                <w:color w:val="000000" w:themeColor="text1"/>
              </w:rPr>
              <w:t>n</w:t>
            </w:r>
            <w:r w:rsidRPr="00681D35">
              <w:rPr>
                <w:rFonts w:ascii="Book Antiqua" w:eastAsia="宋体" w:hAnsi="Book Antiqua"/>
                <w:color w:val="000000" w:themeColor="text1"/>
              </w:rPr>
              <w:t xml:space="preserve"> = 40)</w:t>
            </w:r>
          </w:p>
        </w:tc>
        <w:tc>
          <w:tcPr>
            <w:tcW w:w="1048" w:type="pct"/>
            <w:shd w:val="clear" w:color="auto" w:fill="auto"/>
            <w:noWrap/>
            <w:vAlign w:val="center"/>
          </w:tcPr>
          <w:p w14:paraId="1B7C70B0"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0.59 ± 0.17</w:t>
            </w:r>
          </w:p>
        </w:tc>
        <w:tc>
          <w:tcPr>
            <w:tcW w:w="1048" w:type="pct"/>
            <w:shd w:val="clear" w:color="auto" w:fill="auto"/>
            <w:noWrap/>
            <w:vAlign w:val="center"/>
          </w:tcPr>
          <w:p w14:paraId="0FFBE057"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0.90 ± 0.23</w:t>
            </w:r>
          </w:p>
        </w:tc>
        <w:tc>
          <w:tcPr>
            <w:tcW w:w="1048" w:type="pct"/>
            <w:shd w:val="clear" w:color="auto" w:fill="auto"/>
            <w:noWrap/>
            <w:vAlign w:val="center"/>
          </w:tcPr>
          <w:p w14:paraId="4CDA1942"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0.50 ± 0.18</w:t>
            </w:r>
          </w:p>
        </w:tc>
      </w:tr>
      <w:tr w:rsidR="00347BCA" w:rsidRPr="00681D35" w14:paraId="3787A77F" w14:textId="77777777">
        <w:trPr>
          <w:trHeight w:val="312"/>
        </w:trPr>
        <w:tc>
          <w:tcPr>
            <w:tcW w:w="1856" w:type="pct"/>
            <w:shd w:val="clear" w:color="auto" w:fill="auto"/>
            <w:noWrap/>
            <w:vAlign w:val="center"/>
          </w:tcPr>
          <w:p w14:paraId="5831CAF0"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Propofol group (</w:t>
            </w:r>
            <w:r w:rsidRPr="00681D35">
              <w:rPr>
                <w:rFonts w:ascii="Book Antiqua" w:eastAsia="宋体" w:hAnsi="Book Antiqua"/>
                <w:i/>
                <w:iCs/>
                <w:color w:val="000000" w:themeColor="text1"/>
              </w:rPr>
              <w:t>n</w:t>
            </w:r>
            <w:r w:rsidRPr="00681D35">
              <w:rPr>
                <w:rFonts w:ascii="Book Antiqua" w:eastAsia="宋体" w:hAnsi="Book Antiqua"/>
                <w:color w:val="000000" w:themeColor="text1"/>
              </w:rPr>
              <w:t xml:space="preserve"> = 40)</w:t>
            </w:r>
          </w:p>
        </w:tc>
        <w:tc>
          <w:tcPr>
            <w:tcW w:w="1048" w:type="pct"/>
            <w:shd w:val="clear" w:color="auto" w:fill="auto"/>
            <w:noWrap/>
            <w:vAlign w:val="center"/>
          </w:tcPr>
          <w:p w14:paraId="09433AAC"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0.62 ± 0.17</w:t>
            </w:r>
          </w:p>
        </w:tc>
        <w:tc>
          <w:tcPr>
            <w:tcW w:w="1048" w:type="pct"/>
            <w:shd w:val="clear" w:color="auto" w:fill="auto"/>
            <w:noWrap/>
            <w:vAlign w:val="center"/>
          </w:tcPr>
          <w:p w14:paraId="732E9805"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0.94 ± 0.21</w:t>
            </w:r>
          </w:p>
        </w:tc>
        <w:tc>
          <w:tcPr>
            <w:tcW w:w="1048" w:type="pct"/>
            <w:shd w:val="clear" w:color="auto" w:fill="auto"/>
            <w:noWrap/>
            <w:vAlign w:val="center"/>
          </w:tcPr>
          <w:p w14:paraId="5D8AF937"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0.56 ± 0.20</w:t>
            </w:r>
          </w:p>
        </w:tc>
      </w:tr>
      <w:tr w:rsidR="00347BCA" w:rsidRPr="00681D35" w14:paraId="0834961E" w14:textId="77777777">
        <w:trPr>
          <w:trHeight w:val="312"/>
        </w:trPr>
        <w:tc>
          <w:tcPr>
            <w:tcW w:w="1856" w:type="pct"/>
            <w:shd w:val="clear" w:color="auto" w:fill="auto"/>
            <w:vAlign w:val="center"/>
          </w:tcPr>
          <w:p w14:paraId="6A3177EB"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i/>
                <w:iCs/>
                <w:color w:val="000000" w:themeColor="text1"/>
              </w:rPr>
              <w:lastRenderedPageBreak/>
              <w:t>t</w:t>
            </w:r>
            <w:r w:rsidRPr="00681D35">
              <w:rPr>
                <w:rFonts w:ascii="Book Antiqua" w:eastAsia="宋体" w:hAnsi="Book Antiqua"/>
                <w:color w:val="000000" w:themeColor="text1"/>
              </w:rPr>
              <w:t xml:space="preserve"> value</w:t>
            </w:r>
          </w:p>
        </w:tc>
        <w:tc>
          <w:tcPr>
            <w:tcW w:w="1048" w:type="pct"/>
            <w:shd w:val="clear" w:color="auto" w:fill="auto"/>
            <w:noWrap/>
            <w:vAlign w:val="center"/>
          </w:tcPr>
          <w:p w14:paraId="06D268D6"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-0.789 </w:t>
            </w:r>
          </w:p>
        </w:tc>
        <w:tc>
          <w:tcPr>
            <w:tcW w:w="1048" w:type="pct"/>
            <w:shd w:val="clear" w:color="auto" w:fill="auto"/>
            <w:noWrap/>
            <w:vAlign w:val="center"/>
          </w:tcPr>
          <w:p w14:paraId="510C93E3"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-0.812 </w:t>
            </w:r>
          </w:p>
        </w:tc>
        <w:tc>
          <w:tcPr>
            <w:tcW w:w="1048" w:type="pct"/>
            <w:shd w:val="clear" w:color="auto" w:fill="auto"/>
            <w:noWrap/>
            <w:vAlign w:val="center"/>
          </w:tcPr>
          <w:p w14:paraId="6A924381"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-1.410 </w:t>
            </w:r>
          </w:p>
        </w:tc>
      </w:tr>
      <w:tr w:rsidR="00347BCA" w:rsidRPr="00681D35" w14:paraId="0BFF294F" w14:textId="77777777">
        <w:trPr>
          <w:trHeight w:val="312"/>
        </w:trPr>
        <w:tc>
          <w:tcPr>
            <w:tcW w:w="1856" w:type="pct"/>
            <w:shd w:val="clear" w:color="auto" w:fill="auto"/>
            <w:vAlign w:val="center"/>
          </w:tcPr>
          <w:p w14:paraId="646F9FBD"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i/>
                <w:iCs/>
                <w:color w:val="000000" w:themeColor="text1"/>
              </w:rPr>
              <w:t>P</w:t>
            </w:r>
            <w:r w:rsidRPr="00681D35">
              <w:rPr>
                <w:rFonts w:ascii="Book Antiqua" w:eastAsia="宋体" w:hAnsi="Book Antiqua"/>
                <w:color w:val="000000" w:themeColor="text1"/>
              </w:rPr>
              <w:t xml:space="preserve"> value</w:t>
            </w:r>
          </w:p>
        </w:tc>
        <w:tc>
          <w:tcPr>
            <w:tcW w:w="1048" w:type="pct"/>
            <w:shd w:val="clear" w:color="auto" w:fill="auto"/>
            <w:noWrap/>
            <w:vAlign w:val="center"/>
          </w:tcPr>
          <w:p w14:paraId="29500142"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0.432 </w:t>
            </w:r>
          </w:p>
        </w:tc>
        <w:tc>
          <w:tcPr>
            <w:tcW w:w="1048" w:type="pct"/>
            <w:shd w:val="clear" w:color="auto" w:fill="auto"/>
            <w:noWrap/>
            <w:vAlign w:val="center"/>
          </w:tcPr>
          <w:p w14:paraId="7D4D1485"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0.419 </w:t>
            </w:r>
          </w:p>
        </w:tc>
        <w:tc>
          <w:tcPr>
            <w:tcW w:w="1048" w:type="pct"/>
            <w:shd w:val="clear" w:color="auto" w:fill="auto"/>
            <w:noWrap/>
            <w:vAlign w:val="center"/>
          </w:tcPr>
          <w:p w14:paraId="11192077"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0.162 </w:t>
            </w:r>
          </w:p>
        </w:tc>
      </w:tr>
    </w:tbl>
    <w:p w14:paraId="03BCF317" w14:textId="6E6534C5" w:rsidR="00647B2B" w:rsidRPr="00681D35" w:rsidRDefault="006407D4" w:rsidP="00F86FE2">
      <w:pPr>
        <w:adjustRightInd w:val="0"/>
        <w:snapToGrid w:val="0"/>
        <w:spacing w:line="360" w:lineRule="auto"/>
        <w:jc w:val="both"/>
        <w:rPr>
          <w:rFonts w:ascii="Book Antiqua" w:eastAsia="Book Antiqua" w:hAnsi="Book Antiqua" w:cs="Book Antiqua"/>
          <w:color w:val="000000" w:themeColor="text1"/>
        </w:rPr>
      </w:pPr>
      <w:r w:rsidRPr="00681D35">
        <w:rPr>
          <w:rFonts w:ascii="Book Antiqua" w:eastAsia="宋体" w:hAnsi="Book Antiqua"/>
          <w:color w:val="000000" w:themeColor="text1"/>
        </w:rPr>
        <w:t>OI:</w:t>
      </w:r>
      <w:r w:rsidRPr="00681D35">
        <w:rPr>
          <w:rFonts w:ascii="Book Antiqua" w:eastAsia="Book Antiqua" w:hAnsi="Book Antiqua" w:cs="Book Antiqua"/>
          <w:color w:val="000000" w:themeColor="text1"/>
        </w:rPr>
        <w:t xml:space="preserve"> Oxygenation index;</w:t>
      </w:r>
      <w:r w:rsidRPr="00681D35">
        <w:rPr>
          <w:rFonts w:ascii="Book Antiqua" w:hAnsi="Book Antiqua" w:cs="Book Antiqua"/>
          <w:color w:val="000000" w:themeColor="text1"/>
          <w:lang w:eastAsia="zh-CN"/>
        </w:rPr>
        <w:t xml:space="preserve"> </w:t>
      </w:r>
      <w:r w:rsidRPr="00681D35">
        <w:rPr>
          <w:rFonts w:ascii="Book Antiqua" w:eastAsia="宋体" w:hAnsi="Book Antiqua"/>
          <w:color w:val="000000" w:themeColor="text1"/>
        </w:rPr>
        <w:t>RI:</w:t>
      </w:r>
      <w:r w:rsidRPr="00681D35">
        <w:rPr>
          <w:rFonts w:ascii="Book Antiqua" w:eastAsia="Book Antiqua" w:hAnsi="Book Antiqua" w:cs="Book Antiqua"/>
          <w:color w:val="000000" w:themeColor="text1"/>
        </w:rPr>
        <w:t xml:space="preserve"> Respiratory index;</w:t>
      </w:r>
      <w:r w:rsidRPr="00681D35">
        <w:rPr>
          <w:rFonts w:ascii="Book Antiqua" w:hAnsi="Book Antiqua" w:cs="Book Antiqua"/>
          <w:color w:val="000000" w:themeColor="text1"/>
          <w:lang w:eastAsia="zh-CN"/>
        </w:rPr>
        <w:t xml:space="preserve"> </w:t>
      </w:r>
      <w:r w:rsidRPr="00681D35">
        <w:rPr>
          <w:rFonts w:ascii="Book Antiqua" w:eastAsia="宋体" w:hAnsi="Book Antiqua"/>
          <w:color w:val="000000" w:themeColor="text1"/>
        </w:rPr>
        <w:t>T1:</w:t>
      </w:r>
      <w:r w:rsidRPr="00681D35">
        <w:rPr>
          <w:rFonts w:ascii="Book Antiqua" w:eastAsia="Book Antiqua" w:hAnsi="Book Antiqua" w:cs="Book Antiqua"/>
          <w:color w:val="000000" w:themeColor="text1"/>
        </w:rPr>
        <w:t xml:space="preserve"> After endotracheal intubation;</w:t>
      </w:r>
      <w:r w:rsidRPr="00681D35">
        <w:rPr>
          <w:rFonts w:ascii="Book Antiqua" w:hAnsi="Book Antiqua" w:cs="Book Antiqua"/>
          <w:color w:val="000000" w:themeColor="text1"/>
          <w:lang w:eastAsia="zh-CN"/>
        </w:rPr>
        <w:t xml:space="preserve"> </w:t>
      </w:r>
      <w:r w:rsidRPr="00681D35">
        <w:rPr>
          <w:rFonts w:ascii="Book Antiqua" w:eastAsia="宋体" w:hAnsi="Book Antiqua"/>
          <w:color w:val="000000" w:themeColor="text1"/>
        </w:rPr>
        <w:t>T2:</w:t>
      </w:r>
      <w:r w:rsidRPr="00681D35">
        <w:rPr>
          <w:rFonts w:ascii="Book Antiqua" w:eastAsia="Book Antiqua" w:hAnsi="Book Antiqua" w:cs="Book Antiqua"/>
          <w:color w:val="000000" w:themeColor="text1"/>
        </w:rPr>
        <w:t xml:space="preserve"> When the sternum was cut off;</w:t>
      </w:r>
      <w:r w:rsidRPr="00681D35">
        <w:rPr>
          <w:rFonts w:ascii="Book Antiqua" w:hAnsi="Book Antiqua" w:cs="Book Antiqua"/>
          <w:color w:val="000000" w:themeColor="text1"/>
          <w:lang w:eastAsia="zh-CN"/>
        </w:rPr>
        <w:t xml:space="preserve"> </w:t>
      </w:r>
      <w:r w:rsidRPr="00681D35">
        <w:rPr>
          <w:rFonts w:ascii="Book Antiqua" w:eastAsia="宋体" w:hAnsi="Book Antiqua"/>
          <w:color w:val="000000" w:themeColor="text1"/>
        </w:rPr>
        <w:t>T3:</w:t>
      </w:r>
      <w:r w:rsidRPr="00681D35">
        <w:rPr>
          <w:rFonts w:ascii="Book Antiqua" w:eastAsia="Book Antiqua" w:hAnsi="Book Antiqua" w:cs="Book Antiqua"/>
          <w:color w:val="000000" w:themeColor="text1"/>
        </w:rPr>
        <w:t xml:space="preserve"> When the machine was shut down.</w:t>
      </w:r>
    </w:p>
    <w:p w14:paraId="3BA64FFE" w14:textId="7657A8CC" w:rsidR="00F86FE2" w:rsidRPr="00681D35" w:rsidRDefault="00F86FE2" w:rsidP="00F86FE2">
      <w:pPr>
        <w:adjustRightInd w:val="0"/>
        <w:snapToGrid w:val="0"/>
        <w:spacing w:line="360" w:lineRule="auto"/>
        <w:jc w:val="both"/>
        <w:rPr>
          <w:rFonts w:ascii="Book Antiqua" w:eastAsia="Book Antiqua" w:hAnsi="Book Antiqua" w:cs="Book Antiqua"/>
          <w:color w:val="000000" w:themeColor="text1"/>
        </w:rPr>
      </w:pPr>
    </w:p>
    <w:p w14:paraId="1BF39F09" w14:textId="77777777" w:rsidR="00F86FE2" w:rsidRPr="00681D35" w:rsidRDefault="00F86FE2" w:rsidP="00F86FE2">
      <w:pPr>
        <w:adjustRightInd w:val="0"/>
        <w:snapToGrid w:val="0"/>
        <w:spacing w:line="360" w:lineRule="auto"/>
        <w:jc w:val="both"/>
        <w:rPr>
          <w:rFonts w:ascii="Book Antiqua" w:eastAsia="宋体" w:hAnsi="Book Antiqua"/>
          <w:b/>
          <w:bCs/>
          <w:color w:val="000000" w:themeColor="text1"/>
        </w:rPr>
      </w:pPr>
    </w:p>
    <w:p w14:paraId="0D87F0C3" w14:textId="4EC24FDE" w:rsidR="00347BCA" w:rsidRPr="00681D35" w:rsidRDefault="006407D4" w:rsidP="003C2906">
      <w:pPr>
        <w:adjustRightInd w:val="0"/>
        <w:snapToGrid w:val="0"/>
        <w:spacing w:line="360" w:lineRule="auto"/>
        <w:jc w:val="both"/>
        <w:rPr>
          <w:rFonts w:ascii="Book Antiqua" w:eastAsia="宋体" w:hAnsi="Book Antiqua"/>
          <w:b/>
          <w:bCs/>
          <w:color w:val="000000" w:themeColor="text1"/>
        </w:rPr>
      </w:pPr>
      <w:r w:rsidRPr="00681D35">
        <w:rPr>
          <w:rFonts w:ascii="Book Antiqua" w:eastAsia="宋体" w:hAnsi="Book Antiqua"/>
          <w:b/>
          <w:bCs/>
          <w:color w:val="000000" w:themeColor="text1"/>
        </w:rPr>
        <w:t xml:space="preserve">Table 4 Comparison of the serum levels of inflammatory factors between the two groups (mean </w:t>
      </w:r>
      <w:r w:rsidRPr="00681D35">
        <w:rPr>
          <w:rFonts w:ascii="Book Antiqua" w:eastAsia="宋体" w:hAnsi="Book Antiqua"/>
          <w:b/>
          <w:bCs/>
          <w:color w:val="000000" w:themeColor="text1"/>
          <w:lang w:eastAsia="zh-CN"/>
        </w:rPr>
        <w:t>±</w:t>
      </w:r>
      <w:r w:rsidRPr="00681D35">
        <w:rPr>
          <w:rFonts w:ascii="Book Antiqua" w:eastAsia="宋体" w:hAnsi="Book Antiqua"/>
          <w:b/>
          <w:bCs/>
          <w:color w:val="000000" w:themeColor="text1"/>
        </w:rPr>
        <w:t xml:space="preserve"> </w:t>
      </w:r>
      <w:r w:rsidR="00F86FE2" w:rsidRPr="00681D35">
        <w:rPr>
          <w:rFonts w:ascii="Book Antiqua" w:eastAsia="宋体" w:hAnsi="Book Antiqua"/>
          <w:b/>
          <w:bCs/>
          <w:color w:val="000000" w:themeColor="text1"/>
        </w:rPr>
        <w:t>SD</w:t>
      </w:r>
      <w:r w:rsidRPr="00681D35">
        <w:rPr>
          <w:rFonts w:ascii="Book Antiqua" w:eastAsia="宋体" w:hAnsi="Book Antiqua"/>
          <w:b/>
          <w:bCs/>
          <w:color w:val="000000" w:themeColor="text1"/>
        </w:rPr>
        <w:t>)</w:t>
      </w:r>
    </w:p>
    <w:tbl>
      <w:tblPr>
        <w:tblW w:w="5000" w:type="pct"/>
        <w:tblBorders>
          <w:top w:val="single" w:sz="4" w:space="0" w:color="auto"/>
          <w:bottom w:val="single" w:sz="4" w:space="0" w:color="auto"/>
        </w:tblBorders>
        <w:tblLook w:val="04A0" w:firstRow="1" w:lastRow="0" w:firstColumn="1" w:lastColumn="0" w:noHBand="0" w:noVBand="1"/>
      </w:tblPr>
      <w:tblGrid>
        <w:gridCol w:w="1951"/>
        <w:gridCol w:w="3154"/>
        <w:gridCol w:w="2571"/>
        <w:gridCol w:w="792"/>
        <w:gridCol w:w="774"/>
      </w:tblGrid>
      <w:tr w:rsidR="00347BCA" w:rsidRPr="00681D35" w14:paraId="3D4610DC" w14:textId="77777777">
        <w:tc>
          <w:tcPr>
            <w:tcW w:w="1088" w:type="pct"/>
            <w:tcBorders>
              <w:top w:val="single" w:sz="4" w:space="0" w:color="auto"/>
              <w:bottom w:val="single" w:sz="4" w:space="0" w:color="auto"/>
            </w:tcBorders>
            <w:shd w:val="clear" w:color="auto" w:fill="auto"/>
            <w:vAlign w:val="center"/>
          </w:tcPr>
          <w:p w14:paraId="332C186C" w14:textId="77777777" w:rsidR="00347BCA" w:rsidRPr="00681D35" w:rsidRDefault="006407D4" w:rsidP="003C2906">
            <w:pPr>
              <w:adjustRightInd w:val="0"/>
              <w:snapToGrid w:val="0"/>
              <w:spacing w:line="360" w:lineRule="auto"/>
              <w:jc w:val="both"/>
              <w:textAlignment w:val="center"/>
              <w:rPr>
                <w:rFonts w:ascii="Book Antiqua" w:eastAsia="宋体" w:hAnsi="Book Antiqua"/>
                <w:b/>
                <w:bCs/>
                <w:color w:val="000000" w:themeColor="text1"/>
              </w:rPr>
            </w:pPr>
            <w:r w:rsidRPr="00681D35">
              <w:rPr>
                <w:rFonts w:ascii="Book Antiqua" w:eastAsia="宋体" w:hAnsi="Book Antiqua"/>
                <w:b/>
                <w:bCs/>
                <w:color w:val="000000" w:themeColor="text1"/>
              </w:rPr>
              <w:t>Groups</w:t>
            </w:r>
          </w:p>
        </w:tc>
        <w:tc>
          <w:tcPr>
            <w:tcW w:w="1611" w:type="pct"/>
            <w:tcBorders>
              <w:top w:val="single" w:sz="4" w:space="0" w:color="auto"/>
              <w:bottom w:val="single" w:sz="4" w:space="0" w:color="auto"/>
            </w:tcBorders>
            <w:shd w:val="clear" w:color="auto" w:fill="auto"/>
            <w:noWrap/>
            <w:vAlign w:val="center"/>
          </w:tcPr>
          <w:p w14:paraId="3DB1A7D3" w14:textId="465B838A" w:rsidR="00347BCA" w:rsidRPr="00681D35" w:rsidRDefault="006407D4" w:rsidP="003C2906">
            <w:pPr>
              <w:adjustRightInd w:val="0"/>
              <w:snapToGrid w:val="0"/>
              <w:spacing w:line="360" w:lineRule="auto"/>
              <w:jc w:val="both"/>
              <w:textAlignment w:val="center"/>
              <w:rPr>
                <w:rFonts w:ascii="Book Antiqua" w:eastAsia="宋体" w:hAnsi="Book Antiqua"/>
                <w:b/>
                <w:bCs/>
                <w:color w:val="000000" w:themeColor="text1"/>
              </w:rPr>
            </w:pPr>
            <w:r w:rsidRPr="00681D35">
              <w:rPr>
                <w:rFonts w:ascii="Book Antiqua" w:eastAsia="宋体" w:hAnsi="Book Antiqua"/>
                <w:b/>
                <w:bCs/>
                <w:color w:val="000000" w:themeColor="text1"/>
              </w:rPr>
              <w:t>Rem</w:t>
            </w:r>
            <w:r w:rsidR="00647B2B" w:rsidRPr="00681D35">
              <w:rPr>
                <w:rFonts w:ascii="Book Antiqua" w:eastAsia="宋体" w:hAnsi="Book Antiqua"/>
                <w:b/>
                <w:bCs/>
                <w:color w:val="000000" w:themeColor="text1"/>
              </w:rPr>
              <w:t>im</w:t>
            </w:r>
            <w:r w:rsidRPr="00681D35">
              <w:rPr>
                <w:rFonts w:ascii="Book Antiqua" w:eastAsia="宋体" w:hAnsi="Book Antiqua"/>
                <w:b/>
                <w:bCs/>
                <w:color w:val="000000" w:themeColor="text1"/>
              </w:rPr>
              <w:t>azolam group (</w:t>
            </w:r>
            <w:r w:rsidRPr="00681D35">
              <w:rPr>
                <w:rFonts w:ascii="Book Antiqua" w:eastAsia="宋体" w:hAnsi="Book Antiqua"/>
                <w:b/>
                <w:bCs/>
                <w:i/>
                <w:iCs/>
                <w:color w:val="000000" w:themeColor="text1"/>
                <w:lang w:eastAsia="zh-CN"/>
              </w:rPr>
              <w:t>n</w:t>
            </w:r>
            <w:r w:rsidRPr="00681D35">
              <w:rPr>
                <w:rFonts w:ascii="Book Antiqua" w:eastAsia="宋体" w:hAnsi="Book Antiqua"/>
                <w:b/>
                <w:bCs/>
                <w:color w:val="000000" w:themeColor="text1"/>
                <w:lang w:eastAsia="zh-CN"/>
              </w:rPr>
              <w:t xml:space="preserve"> = 40</w:t>
            </w:r>
            <w:r w:rsidRPr="00681D35">
              <w:rPr>
                <w:rFonts w:ascii="Book Antiqua" w:eastAsia="宋体" w:hAnsi="Book Antiqua"/>
                <w:b/>
                <w:bCs/>
                <w:color w:val="000000" w:themeColor="text1"/>
              </w:rPr>
              <w:t>)</w:t>
            </w:r>
          </w:p>
        </w:tc>
        <w:tc>
          <w:tcPr>
            <w:tcW w:w="1437" w:type="pct"/>
            <w:tcBorders>
              <w:top w:val="single" w:sz="4" w:space="0" w:color="auto"/>
              <w:bottom w:val="single" w:sz="4" w:space="0" w:color="auto"/>
            </w:tcBorders>
            <w:shd w:val="clear" w:color="auto" w:fill="auto"/>
            <w:noWrap/>
            <w:vAlign w:val="center"/>
          </w:tcPr>
          <w:p w14:paraId="63801328" w14:textId="77777777" w:rsidR="00347BCA" w:rsidRPr="00681D35" w:rsidRDefault="006407D4" w:rsidP="003C2906">
            <w:pPr>
              <w:adjustRightInd w:val="0"/>
              <w:snapToGrid w:val="0"/>
              <w:spacing w:line="360" w:lineRule="auto"/>
              <w:jc w:val="both"/>
              <w:textAlignment w:val="center"/>
              <w:rPr>
                <w:rFonts w:ascii="Book Antiqua" w:eastAsia="宋体" w:hAnsi="Book Antiqua"/>
                <w:b/>
                <w:bCs/>
                <w:color w:val="000000" w:themeColor="text1"/>
              </w:rPr>
            </w:pPr>
            <w:r w:rsidRPr="00681D35">
              <w:rPr>
                <w:rFonts w:ascii="Book Antiqua" w:eastAsia="宋体" w:hAnsi="Book Antiqua"/>
                <w:b/>
                <w:bCs/>
                <w:color w:val="000000" w:themeColor="text1"/>
              </w:rPr>
              <w:t>Propofol group (</w:t>
            </w:r>
            <w:r w:rsidRPr="00681D35">
              <w:rPr>
                <w:rFonts w:ascii="Book Antiqua" w:eastAsia="宋体" w:hAnsi="Book Antiqua"/>
                <w:b/>
                <w:bCs/>
                <w:i/>
                <w:iCs/>
                <w:color w:val="000000" w:themeColor="text1"/>
                <w:lang w:eastAsia="zh-CN"/>
              </w:rPr>
              <w:t>n</w:t>
            </w:r>
            <w:r w:rsidRPr="00681D35">
              <w:rPr>
                <w:rFonts w:ascii="Book Antiqua" w:eastAsia="宋体" w:hAnsi="Book Antiqua"/>
                <w:b/>
                <w:bCs/>
                <w:color w:val="000000" w:themeColor="text1"/>
                <w:lang w:eastAsia="zh-CN"/>
              </w:rPr>
              <w:t xml:space="preserve"> = 40</w:t>
            </w:r>
            <w:r w:rsidRPr="00681D35">
              <w:rPr>
                <w:rFonts w:ascii="Book Antiqua" w:eastAsia="宋体" w:hAnsi="Book Antiqua"/>
                <w:b/>
                <w:bCs/>
                <w:color w:val="000000" w:themeColor="text1"/>
              </w:rPr>
              <w:t>)</w:t>
            </w:r>
          </w:p>
        </w:tc>
        <w:tc>
          <w:tcPr>
            <w:tcW w:w="437" w:type="pct"/>
            <w:tcBorders>
              <w:top w:val="single" w:sz="4" w:space="0" w:color="auto"/>
              <w:bottom w:val="single" w:sz="4" w:space="0" w:color="auto"/>
            </w:tcBorders>
            <w:shd w:val="clear" w:color="auto" w:fill="auto"/>
            <w:vAlign w:val="center"/>
          </w:tcPr>
          <w:p w14:paraId="436BC6A3" w14:textId="77777777" w:rsidR="00347BCA" w:rsidRPr="00681D35" w:rsidRDefault="006407D4" w:rsidP="003C2906">
            <w:pPr>
              <w:adjustRightInd w:val="0"/>
              <w:snapToGrid w:val="0"/>
              <w:spacing w:line="360" w:lineRule="auto"/>
              <w:jc w:val="both"/>
              <w:textAlignment w:val="center"/>
              <w:rPr>
                <w:rFonts w:ascii="Book Antiqua" w:eastAsia="宋体" w:hAnsi="Book Antiqua"/>
                <w:b/>
                <w:bCs/>
                <w:color w:val="000000" w:themeColor="text1"/>
              </w:rPr>
            </w:pPr>
            <w:r w:rsidRPr="00681D35">
              <w:rPr>
                <w:rFonts w:ascii="Book Antiqua" w:eastAsia="宋体" w:hAnsi="Book Antiqua"/>
                <w:b/>
                <w:bCs/>
                <w:i/>
                <w:iCs/>
                <w:color w:val="000000" w:themeColor="text1"/>
              </w:rPr>
              <w:t xml:space="preserve">t </w:t>
            </w:r>
            <w:r w:rsidRPr="00681D35">
              <w:rPr>
                <w:rFonts w:ascii="Book Antiqua" w:eastAsia="宋体" w:hAnsi="Book Antiqua"/>
                <w:b/>
                <w:bCs/>
                <w:color w:val="000000" w:themeColor="text1"/>
              </w:rPr>
              <w:t>value</w:t>
            </w:r>
          </w:p>
        </w:tc>
        <w:tc>
          <w:tcPr>
            <w:tcW w:w="427" w:type="pct"/>
            <w:tcBorders>
              <w:top w:val="single" w:sz="4" w:space="0" w:color="auto"/>
              <w:bottom w:val="single" w:sz="4" w:space="0" w:color="auto"/>
            </w:tcBorders>
            <w:shd w:val="clear" w:color="auto" w:fill="auto"/>
            <w:vAlign w:val="center"/>
          </w:tcPr>
          <w:p w14:paraId="18B044A4" w14:textId="77777777" w:rsidR="00347BCA" w:rsidRPr="00681D35" w:rsidRDefault="006407D4" w:rsidP="003C2906">
            <w:pPr>
              <w:adjustRightInd w:val="0"/>
              <w:snapToGrid w:val="0"/>
              <w:spacing w:line="360" w:lineRule="auto"/>
              <w:jc w:val="both"/>
              <w:textAlignment w:val="center"/>
              <w:rPr>
                <w:rFonts w:ascii="Book Antiqua" w:eastAsia="宋体" w:hAnsi="Book Antiqua"/>
                <w:b/>
                <w:bCs/>
                <w:color w:val="000000" w:themeColor="text1"/>
              </w:rPr>
            </w:pPr>
            <w:r w:rsidRPr="00681D35">
              <w:rPr>
                <w:rFonts w:ascii="Book Antiqua" w:eastAsia="宋体" w:hAnsi="Book Antiqua"/>
                <w:b/>
                <w:bCs/>
                <w:i/>
                <w:iCs/>
                <w:color w:val="000000" w:themeColor="text1"/>
              </w:rPr>
              <w:t>P</w:t>
            </w:r>
            <w:r w:rsidRPr="00681D35">
              <w:rPr>
                <w:rFonts w:ascii="Book Antiqua" w:eastAsia="宋体" w:hAnsi="Book Antiqua"/>
                <w:b/>
                <w:bCs/>
                <w:color w:val="000000" w:themeColor="text1"/>
              </w:rPr>
              <w:t xml:space="preserve"> value</w:t>
            </w:r>
          </w:p>
        </w:tc>
      </w:tr>
      <w:tr w:rsidR="00347BCA" w:rsidRPr="00681D35" w14:paraId="0B9C5F0D" w14:textId="77777777">
        <w:tc>
          <w:tcPr>
            <w:tcW w:w="5000" w:type="pct"/>
            <w:gridSpan w:val="5"/>
            <w:tcBorders>
              <w:top w:val="single" w:sz="4" w:space="0" w:color="auto"/>
            </w:tcBorders>
            <w:shd w:val="clear" w:color="auto" w:fill="auto"/>
            <w:noWrap/>
            <w:vAlign w:val="center"/>
          </w:tcPr>
          <w:p w14:paraId="44019420" w14:textId="77777777" w:rsidR="00347BCA" w:rsidRPr="00681D35" w:rsidRDefault="006407D4" w:rsidP="003C2906">
            <w:pPr>
              <w:adjustRightInd w:val="0"/>
              <w:snapToGrid w:val="0"/>
              <w:spacing w:line="360" w:lineRule="auto"/>
              <w:jc w:val="both"/>
              <w:textAlignment w:val="center"/>
              <w:rPr>
                <w:rFonts w:ascii="Book Antiqua" w:eastAsia="宋体" w:hAnsi="Book Antiqua"/>
                <w:color w:val="000000" w:themeColor="text1"/>
              </w:rPr>
            </w:pPr>
            <w:r w:rsidRPr="00681D35">
              <w:rPr>
                <w:rFonts w:ascii="Book Antiqua" w:eastAsia="宋体" w:hAnsi="Book Antiqua"/>
                <w:color w:val="000000" w:themeColor="text1"/>
              </w:rPr>
              <w:t>TNF-α (pg/mL)</w:t>
            </w:r>
          </w:p>
        </w:tc>
      </w:tr>
      <w:tr w:rsidR="00347BCA" w:rsidRPr="00681D35" w14:paraId="2E58AF67" w14:textId="77777777">
        <w:tc>
          <w:tcPr>
            <w:tcW w:w="1088" w:type="pct"/>
            <w:shd w:val="clear" w:color="auto" w:fill="auto"/>
            <w:noWrap/>
            <w:vAlign w:val="center"/>
          </w:tcPr>
          <w:p w14:paraId="08F73DE2" w14:textId="77777777" w:rsidR="00347BCA" w:rsidRPr="00681D35" w:rsidRDefault="006407D4" w:rsidP="003C2906">
            <w:pPr>
              <w:adjustRightInd w:val="0"/>
              <w:snapToGrid w:val="0"/>
              <w:spacing w:line="360" w:lineRule="auto"/>
              <w:jc w:val="both"/>
              <w:textAlignment w:val="center"/>
              <w:rPr>
                <w:rFonts w:ascii="Book Antiqua" w:eastAsia="宋体" w:hAnsi="Book Antiqua"/>
                <w:color w:val="000000" w:themeColor="text1"/>
              </w:rPr>
            </w:pPr>
            <w:r w:rsidRPr="00681D35">
              <w:rPr>
                <w:rFonts w:ascii="Book Antiqua" w:eastAsia="宋体" w:hAnsi="Book Antiqua"/>
                <w:color w:val="000000" w:themeColor="text1"/>
              </w:rPr>
              <w:t>Before surgery</w:t>
            </w:r>
          </w:p>
        </w:tc>
        <w:tc>
          <w:tcPr>
            <w:tcW w:w="1611" w:type="pct"/>
            <w:shd w:val="clear" w:color="auto" w:fill="auto"/>
            <w:noWrap/>
            <w:vAlign w:val="center"/>
          </w:tcPr>
          <w:p w14:paraId="100DB782" w14:textId="77777777" w:rsidR="00347BCA" w:rsidRPr="00681D35" w:rsidRDefault="006407D4" w:rsidP="003C2906">
            <w:pPr>
              <w:adjustRightInd w:val="0"/>
              <w:snapToGrid w:val="0"/>
              <w:spacing w:line="360" w:lineRule="auto"/>
              <w:jc w:val="both"/>
              <w:textAlignment w:val="center"/>
              <w:rPr>
                <w:rFonts w:ascii="Book Antiqua" w:eastAsia="宋体" w:hAnsi="Book Antiqua"/>
                <w:color w:val="000000" w:themeColor="text1"/>
              </w:rPr>
            </w:pPr>
            <w:r w:rsidRPr="00681D35">
              <w:rPr>
                <w:rFonts w:ascii="Book Antiqua" w:eastAsia="宋体" w:hAnsi="Book Antiqua"/>
                <w:color w:val="000000" w:themeColor="text1"/>
              </w:rPr>
              <w:t>1.63 ± 0.46</w:t>
            </w:r>
          </w:p>
        </w:tc>
        <w:tc>
          <w:tcPr>
            <w:tcW w:w="1437" w:type="pct"/>
            <w:shd w:val="clear" w:color="auto" w:fill="auto"/>
            <w:noWrap/>
            <w:vAlign w:val="center"/>
          </w:tcPr>
          <w:p w14:paraId="7945B6BD" w14:textId="77777777" w:rsidR="00347BCA" w:rsidRPr="00681D35" w:rsidRDefault="006407D4" w:rsidP="003C2906">
            <w:pPr>
              <w:adjustRightInd w:val="0"/>
              <w:snapToGrid w:val="0"/>
              <w:spacing w:line="360" w:lineRule="auto"/>
              <w:jc w:val="both"/>
              <w:textAlignment w:val="center"/>
              <w:rPr>
                <w:rFonts w:ascii="Book Antiqua" w:eastAsia="宋体" w:hAnsi="Book Antiqua"/>
                <w:color w:val="000000" w:themeColor="text1"/>
              </w:rPr>
            </w:pPr>
            <w:r w:rsidRPr="00681D35">
              <w:rPr>
                <w:rFonts w:ascii="Book Antiqua" w:eastAsia="宋体" w:hAnsi="Book Antiqua"/>
                <w:color w:val="000000" w:themeColor="text1"/>
              </w:rPr>
              <w:t>1.80 ± 0.50</w:t>
            </w:r>
          </w:p>
        </w:tc>
        <w:tc>
          <w:tcPr>
            <w:tcW w:w="437" w:type="pct"/>
            <w:shd w:val="clear" w:color="auto" w:fill="auto"/>
            <w:noWrap/>
            <w:vAlign w:val="center"/>
          </w:tcPr>
          <w:p w14:paraId="02805990" w14:textId="77777777" w:rsidR="00347BCA" w:rsidRPr="00681D35" w:rsidRDefault="006407D4" w:rsidP="003C2906">
            <w:pPr>
              <w:adjustRightInd w:val="0"/>
              <w:snapToGrid w:val="0"/>
              <w:spacing w:line="360" w:lineRule="auto"/>
              <w:jc w:val="both"/>
              <w:textAlignment w:val="center"/>
              <w:rPr>
                <w:rFonts w:ascii="Book Antiqua" w:eastAsia="宋体" w:hAnsi="Book Antiqua"/>
                <w:color w:val="000000" w:themeColor="text1"/>
              </w:rPr>
            </w:pPr>
            <w:r w:rsidRPr="00681D35">
              <w:rPr>
                <w:rFonts w:ascii="Book Antiqua" w:eastAsia="宋体" w:hAnsi="Book Antiqua"/>
                <w:color w:val="000000" w:themeColor="text1"/>
              </w:rPr>
              <w:t>-1.583</w:t>
            </w:r>
          </w:p>
        </w:tc>
        <w:tc>
          <w:tcPr>
            <w:tcW w:w="427" w:type="pct"/>
            <w:shd w:val="clear" w:color="auto" w:fill="auto"/>
            <w:noWrap/>
            <w:vAlign w:val="center"/>
          </w:tcPr>
          <w:p w14:paraId="10F8A82E" w14:textId="77777777" w:rsidR="00347BCA" w:rsidRPr="00681D35" w:rsidRDefault="006407D4" w:rsidP="003C2906">
            <w:pPr>
              <w:adjustRightInd w:val="0"/>
              <w:snapToGrid w:val="0"/>
              <w:spacing w:line="360" w:lineRule="auto"/>
              <w:jc w:val="both"/>
              <w:textAlignment w:val="center"/>
              <w:rPr>
                <w:rFonts w:ascii="Book Antiqua" w:eastAsia="宋体" w:hAnsi="Book Antiqua"/>
                <w:color w:val="000000" w:themeColor="text1"/>
              </w:rPr>
            </w:pPr>
            <w:r w:rsidRPr="00681D35">
              <w:rPr>
                <w:rFonts w:ascii="Book Antiqua" w:eastAsia="宋体" w:hAnsi="Book Antiqua"/>
                <w:color w:val="000000" w:themeColor="text1"/>
              </w:rPr>
              <w:t>0.118</w:t>
            </w:r>
          </w:p>
        </w:tc>
      </w:tr>
      <w:tr w:rsidR="00347BCA" w:rsidRPr="00681D35" w14:paraId="19A84891" w14:textId="77777777">
        <w:tc>
          <w:tcPr>
            <w:tcW w:w="1088" w:type="pct"/>
            <w:shd w:val="clear" w:color="auto" w:fill="auto"/>
            <w:noWrap/>
            <w:vAlign w:val="center"/>
          </w:tcPr>
          <w:p w14:paraId="1B4DBFDD" w14:textId="77777777" w:rsidR="00347BCA" w:rsidRPr="00681D35" w:rsidRDefault="006407D4" w:rsidP="003C2906">
            <w:pPr>
              <w:adjustRightInd w:val="0"/>
              <w:snapToGrid w:val="0"/>
              <w:spacing w:line="360" w:lineRule="auto"/>
              <w:jc w:val="both"/>
              <w:textAlignment w:val="center"/>
              <w:rPr>
                <w:rFonts w:ascii="Book Antiqua" w:eastAsia="宋体" w:hAnsi="Book Antiqua"/>
                <w:color w:val="000000" w:themeColor="text1"/>
              </w:rPr>
            </w:pPr>
            <w:r w:rsidRPr="00681D35">
              <w:rPr>
                <w:rFonts w:ascii="Book Antiqua" w:eastAsia="宋体" w:hAnsi="Book Antiqua"/>
                <w:color w:val="000000" w:themeColor="text1"/>
              </w:rPr>
              <w:t>12 h after surgery</w:t>
            </w:r>
          </w:p>
        </w:tc>
        <w:tc>
          <w:tcPr>
            <w:tcW w:w="1611" w:type="pct"/>
            <w:shd w:val="clear" w:color="auto" w:fill="auto"/>
            <w:noWrap/>
            <w:vAlign w:val="center"/>
          </w:tcPr>
          <w:p w14:paraId="10C632AB" w14:textId="77777777" w:rsidR="00347BCA" w:rsidRPr="00681D35" w:rsidRDefault="006407D4" w:rsidP="003C2906">
            <w:pPr>
              <w:adjustRightInd w:val="0"/>
              <w:snapToGrid w:val="0"/>
              <w:spacing w:line="360" w:lineRule="auto"/>
              <w:jc w:val="both"/>
              <w:textAlignment w:val="center"/>
              <w:rPr>
                <w:rFonts w:ascii="Book Antiqua" w:eastAsia="宋体" w:hAnsi="Book Antiqua"/>
                <w:color w:val="000000" w:themeColor="text1"/>
              </w:rPr>
            </w:pPr>
            <w:r w:rsidRPr="00681D35">
              <w:rPr>
                <w:rFonts w:ascii="Book Antiqua" w:eastAsia="宋体" w:hAnsi="Book Antiqua"/>
                <w:color w:val="000000" w:themeColor="text1"/>
              </w:rPr>
              <w:t>3.74 ± 0.95</w:t>
            </w:r>
          </w:p>
        </w:tc>
        <w:tc>
          <w:tcPr>
            <w:tcW w:w="1437" w:type="pct"/>
            <w:shd w:val="clear" w:color="auto" w:fill="auto"/>
            <w:noWrap/>
            <w:vAlign w:val="center"/>
          </w:tcPr>
          <w:p w14:paraId="1E927223" w14:textId="77777777" w:rsidR="00347BCA" w:rsidRPr="00681D35" w:rsidRDefault="006407D4" w:rsidP="003C2906">
            <w:pPr>
              <w:adjustRightInd w:val="0"/>
              <w:snapToGrid w:val="0"/>
              <w:spacing w:line="360" w:lineRule="auto"/>
              <w:jc w:val="both"/>
              <w:textAlignment w:val="center"/>
              <w:rPr>
                <w:rFonts w:ascii="Book Antiqua" w:eastAsia="宋体" w:hAnsi="Book Antiqua"/>
                <w:color w:val="000000" w:themeColor="text1"/>
              </w:rPr>
            </w:pPr>
            <w:r w:rsidRPr="00681D35">
              <w:rPr>
                <w:rFonts w:ascii="Book Antiqua" w:eastAsia="宋体" w:hAnsi="Book Antiqua"/>
                <w:color w:val="000000" w:themeColor="text1"/>
              </w:rPr>
              <w:t>3.98 ± 1.03</w:t>
            </w:r>
          </w:p>
        </w:tc>
        <w:tc>
          <w:tcPr>
            <w:tcW w:w="437" w:type="pct"/>
            <w:shd w:val="clear" w:color="auto" w:fill="auto"/>
            <w:noWrap/>
            <w:vAlign w:val="center"/>
          </w:tcPr>
          <w:p w14:paraId="73315C0A" w14:textId="77777777" w:rsidR="00347BCA" w:rsidRPr="00681D35" w:rsidRDefault="006407D4" w:rsidP="003C2906">
            <w:pPr>
              <w:adjustRightInd w:val="0"/>
              <w:snapToGrid w:val="0"/>
              <w:spacing w:line="360" w:lineRule="auto"/>
              <w:jc w:val="both"/>
              <w:textAlignment w:val="center"/>
              <w:rPr>
                <w:rFonts w:ascii="Book Antiqua" w:eastAsia="宋体" w:hAnsi="Book Antiqua"/>
                <w:color w:val="000000" w:themeColor="text1"/>
              </w:rPr>
            </w:pPr>
            <w:r w:rsidRPr="00681D35">
              <w:rPr>
                <w:rFonts w:ascii="Book Antiqua" w:eastAsia="宋体" w:hAnsi="Book Antiqua"/>
                <w:color w:val="000000" w:themeColor="text1"/>
              </w:rPr>
              <w:t>-1.083</w:t>
            </w:r>
          </w:p>
        </w:tc>
        <w:tc>
          <w:tcPr>
            <w:tcW w:w="427" w:type="pct"/>
            <w:shd w:val="clear" w:color="auto" w:fill="auto"/>
            <w:noWrap/>
            <w:vAlign w:val="center"/>
          </w:tcPr>
          <w:p w14:paraId="47A4D5BB" w14:textId="77777777" w:rsidR="00347BCA" w:rsidRPr="00681D35" w:rsidRDefault="006407D4" w:rsidP="003C2906">
            <w:pPr>
              <w:adjustRightInd w:val="0"/>
              <w:snapToGrid w:val="0"/>
              <w:spacing w:line="360" w:lineRule="auto"/>
              <w:jc w:val="both"/>
              <w:textAlignment w:val="center"/>
              <w:rPr>
                <w:rFonts w:ascii="Book Antiqua" w:eastAsia="宋体" w:hAnsi="Book Antiqua"/>
                <w:color w:val="000000" w:themeColor="text1"/>
              </w:rPr>
            </w:pPr>
            <w:r w:rsidRPr="00681D35">
              <w:rPr>
                <w:rFonts w:ascii="Book Antiqua" w:eastAsia="宋体" w:hAnsi="Book Antiqua"/>
                <w:color w:val="000000" w:themeColor="text1"/>
              </w:rPr>
              <w:t>0.282</w:t>
            </w:r>
          </w:p>
        </w:tc>
      </w:tr>
      <w:tr w:rsidR="00347BCA" w:rsidRPr="00681D35" w14:paraId="31169AF7" w14:textId="77777777">
        <w:tc>
          <w:tcPr>
            <w:tcW w:w="5000" w:type="pct"/>
            <w:gridSpan w:val="5"/>
            <w:shd w:val="clear" w:color="auto" w:fill="auto"/>
            <w:noWrap/>
            <w:vAlign w:val="center"/>
          </w:tcPr>
          <w:p w14:paraId="67F4B026" w14:textId="77777777" w:rsidR="00347BCA" w:rsidRPr="00681D35" w:rsidRDefault="006407D4" w:rsidP="003C2906">
            <w:pPr>
              <w:adjustRightInd w:val="0"/>
              <w:snapToGrid w:val="0"/>
              <w:spacing w:line="360" w:lineRule="auto"/>
              <w:jc w:val="both"/>
              <w:textAlignment w:val="center"/>
              <w:rPr>
                <w:rFonts w:ascii="Book Antiqua" w:eastAsia="宋体" w:hAnsi="Book Antiqua"/>
                <w:color w:val="000000" w:themeColor="text1"/>
              </w:rPr>
            </w:pPr>
            <w:r w:rsidRPr="00681D35">
              <w:rPr>
                <w:rFonts w:ascii="Book Antiqua" w:eastAsia="宋体" w:hAnsi="Book Antiqua"/>
                <w:color w:val="000000" w:themeColor="text1"/>
              </w:rPr>
              <w:t>IL-6 (pg/mL)</w:t>
            </w:r>
          </w:p>
        </w:tc>
      </w:tr>
      <w:tr w:rsidR="00347BCA" w:rsidRPr="00681D35" w14:paraId="6F886437" w14:textId="77777777">
        <w:tc>
          <w:tcPr>
            <w:tcW w:w="1088" w:type="pct"/>
            <w:shd w:val="clear" w:color="auto" w:fill="auto"/>
            <w:noWrap/>
            <w:vAlign w:val="center"/>
          </w:tcPr>
          <w:p w14:paraId="4B43C48E" w14:textId="77777777" w:rsidR="00347BCA" w:rsidRPr="00681D35" w:rsidRDefault="006407D4" w:rsidP="003C2906">
            <w:pPr>
              <w:adjustRightInd w:val="0"/>
              <w:snapToGrid w:val="0"/>
              <w:spacing w:line="360" w:lineRule="auto"/>
              <w:jc w:val="both"/>
              <w:textAlignment w:val="center"/>
              <w:rPr>
                <w:rFonts w:ascii="Book Antiqua" w:eastAsia="宋体" w:hAnsi="Book Antiqua"/>
                <w:color w:val="000000" w:themeColor="text1"/>
              </w:rPr>
            </w:pPr>
            <w:r w:rsidRPr="00681D35">
              <w:rPr>
                <w:rFonts w:ascii="Book Antiqua" w:eastAsia="宋体" w:hAnsi="Book Antiqua"/>
                <w:color w:val="000000" w:themeColor="text1"/>
              </w:rPr>
              <w:t>Before surgery</w:t>
            </w:r>
          </w:p>
        </w:tc>
        <w:tc>
          <w:tcPr>
            <w:tcW w:w="1611" w:type="pct"/>
            <w:shd w:val="clear" w:color="auto" w:fill="auto"/>
            <w:noWrap/>
            <w:vAlign w:val="center"/>
          </w:tcPr>
          <w:p w14:paraId="01D858BA" w14:textId="77777777" w:rsidR="00347BCA" w:rsidRPr="00681D35" w:rsidRDefault="006407D4" w:rsidP="003C2906">
            <w:pPr>
              <w:adjustRightInd w:val="0"/>
              <w:snapToGrid w:val="0"/>
              <w:spacing w:line="360" w:lineRule="auto"/>
              <w:jc w:val="both"/>
              <w:textAlignment w:val="center"/>
              <w:rPr>
                <w:rFonts w:ascii="Book Antiqua" w:eastAsia="宋体" w:hAnsi="Book Antiqua"/>
                <w:color w:val="000000" w:themeColor="text1"/>
              </w:rPr>
            </w:pPr>
            <w:r w:rsidRPr="00681D35">
              <w:rPr>
                <w:rFonts w:ascii="Book Antiqua" w:eastAsia="宋体" w:hAnsi="Book Antiqua"/>
                <w:color w:val="000000" w:themeColor="text1"/>
              </w:rPr>
              <w:t>54.83 ± 12.30</w:t>
            </w:r>
          </w:p>
        </w:tc>
        <w:tc>
          <w:tcPr>
            <w:tcW w:w="1437" w:type="pct"/>
            <w:shd w:val="clear" w:color="auto" w:fill="auto"/>
            <w:noWrap/>
            <w:vAlign w:val="center"/>
          </w:tcPr>
          <w:p w14:paraId="63D08294" w14:textId="77777777" w:rsidR="00347BCA" w:rsidRPr="00681D35" w:rsidRDefault="006407D4" w:rsidP="003C2906">
            <w:pPr>
              <w:adjustRightInd w:val="0"/>
              <w:snapToGrid w:val="0"/>
              <w:spacing w:line="360" w:lineRule="auto"/>
              <w:jc w:val="both"/>
              <w:textAlignment w:val="center"/>
              <w:rPr>
                <w:rFonts w:ascii="Book Antiqua" w:eastAsia="宋体" w:hAnsi="Book Antiqua"/>
                <w:color w:val="000000" w:themeColor="text1"/>
              </w:rPr>
            </w:pPr>
            <w:r w:rsidRPr="00681D35">
              <w:rPr>
                <w:rFonts w:ascii="Book Antiqua" w:eastAsia="宋体" w:hAnsi="Book Antiqua"/>
                <w:color w:val="000000" w:themeColor="text1"/>
              </w:rPr>
              <w:t>50.11 ± 10.86</w:t>
            </w:r>
          </w:p>
        </w:tc>
        <w:tc>
          <w:tcPr>
            <w:tcW w:w="437" w:type="pct"/>
            <w:shd w:val="clear" w:color="auto" w:fill="auto"/>
            <w:noWrap/>
            <w:vAlign w:val="center"/>
          </w:tcPr>
          <w:p w14:paraId="512E4BA6" w14:textId="77777777" w:rsidR="00347BCA" w:rsidRPr="00681D35" w:rsidRDefault="006407D4" w:rsidP="003C2906">
            <w:pPr>
              <w:adjustRightInd w:val="0"/>
              <w:snapToGrid w:val="0"/>
              <w:spacing w:line="360" w:lineRule="auto"/>
              <w:jc w:val="both"/>
              <w:textAlignment w:val="center"/>
              <w:rPr>
                <w:rFonts w:ascii="Book Antiqua" w:eastAsia="宋体" w:hAnsi="Book Antiqua"/>
                <w:color w:val="000000" w:themeColor="text1"/>
              </w:rPr>
            </w:pPr>
            <w:r w:rsidRPr="00681D35">
              <w:rPr>
                <w:rFonts w:ascii="Book Antiqua" w:eastAsia="宋体" w:hAnsi="Book Antiqua"/>
                <w:color w:val="000000" w:themeColor="text1"/>
              </w:rPr>
              <w:t>1.819</w:t>
            </w:r>
          </w:p>
        </w:tc>
        <w:tc>
          <w:tcPr>
            <w:tcW w:w="427" w:type="pct"/>
            <w:shd w:val="clear" w:color="auto" w:fill="auto"/>
            <w:noWrap/>
            <w:vAlign w:val="center"/>
          </w:tcPr>
          <w:p w14:paraId="7818EEA7" w14:textId="77777777" w:rsidR="00347BCA" w:rsidRPr="00681D35" w:rsidRDefault="006407D4" w:rsidP="003C2906">
            <w:pPr>
              <w:adjustRightInd w:val="0"/>
              <w:snapToGrid w:val="0"/>
              <w:spacing w:line="360" w:lineRule="auto"/>
              <w:jc w:val="both"/>
              <w:textAlignment w:val="center"/>
              <w:rPr>
                <w:rFonts w:ascii="Book Antiqua" w:eastAsia="宋体" w:hAnsi="Book Antiqua"/>
                <w:color w:val="000000" w:themeColor="text1"/>
              </w:rPr>
            </w:pPr>
            <w:r w:rsidRPr="00681D35">
              <w:rPr>
                <w:rFonts w:ascii="Book Antiqua" w:eastAsia="宋体" w:hAnsi="Book Antiqua"/>
                <w:color w:val="000000" w:themeColor="text1"/>
              </w:rPr>
              <w:t>0.073</w:t>
            </w:r>
          </w:p>
        </w:tc>
      </w:tr>
      <w:tr w:rsidR="00347BCA" w:rsidRPr="00681D35" w14:paraId="4FC6A852" w14:textId="77777777">
        <w:tc>
          <w:tcPr>
            <w:tcW w:w="1088" w:type="pct"/>
            <w:shd w:val="clear" w:color="auto" w:fill="auto"/>
            <w:noWrap/>
            <w:vAlign w:val="center"/>
          </w:tcPr>
          <w:p w14:paraId="5E799361" w14:textId="77777777" w:rsidR="00347BCA" w:rsidRPr="00681D35" w:rsidRDefault="006407D4" w:rsidP="003C2906">
            <w:pPr>
              <w:adjustRightInd w:val="0"/>
              <w:snapToGrid w:val="0"/>
              <w:spacing w:line="360" w:lineRule="auto"/>
              <w:jc w:val="both"/>
              <w:textAlignment w:val="center"/>
              <w:rPr>
                <w:rFonts w:ascii="Book Antiqua" w:eastAsia="宋体" w:hAnsi="Book Antiqua"/>
                <w:color w:val="000000" w:themeColor="text1"/>
              </w:rPr>
            </w:pPr>
            <w:r w:rsidRPr="00681D35">
              <w:rPr>
                <w:rFonts w:ascii="Book Antiqua" w:eastAsia="宋体" w:hAnsi="Book Antiqua"/>
                <w:color w:val="000000" w:themeColor="text1"/>
              </w:rPr>
              <w:t>12 h after surgery</w:t>
            </w:r>
          </w:p>
        </w:tc>
        <w:tc>
          <w:tcPr>
            <w:tcW w:w="1611" w:type="pct"/>
            <w:shd w:val="clear" w:color="auto" w:fill="auto"/>
            <w:noWrap/>
            <w:vAlign w:val="center"/>
          </w:tcPr>
          <w:p w14:paraId="7917E4C0" w14:textId="77777777" w:rsidR="00347BCA" w:rsidRPr="00681D35" w:rsidRDefault="006407D4" w:rsidP="003C2906">
            <w:pPr>
              <w:adjustRightInd w:val="0"/>
              <w:snapToGrid w:val="0"/>
              <w:spacing w:line="360" w:lineRule="auto"/>
              <w:jc w:val="both"/>
              <w:textAlignment w:val="center"/>
              <w:rPr>
                <w:rFonts w:ascii="Book Antiqua" w:eastAsia="宋体" w:hAnsi="Book Antiqua"/>
                <w:color w:val="000000" w:themeColor="text1"/>
              </w:rPr>
            </w:pPr>
            <w:r w:rsidRPr="00681D35">
              <w:rPr>
                <w:rFonts w:ascii="Book Antiqua" w:eastAsia="宋体" w:hAnsi="Book Antiqua"/>
                <w:color w:val="000000" w:themeColor="text1"/>
              </w:rPr>
              <w:t>87.55 ± 15.40</w:t>
            </w:r>
          </w:p>
        </w:tc>
        <w:tc>
          <w:tcPr>
            <w:tcW w:w="1437" w:type="pct"/>
            <w:shd w:val="clear" w:color="auto" w:fill="auto"/>
            <w:noWrap/>
            <w:vAlign w:val="center"/>
          </w:tcPr>
          <w:p w14:paraId="24AF84E6" w14:textId="77777777" w:rsidR="00347BCA" w:rsidRPr="00681D35" w:rsidRDefault="006407D4" w:rsidP="003C2906">
            <w:pPr>
              <w:adjustRightInd w:val="0"/>
              <w:snapToGrid w:val="0"/>
              <w:spacing w:line="360" w:lineRule="auto"/>
              <w:jc w:val="both"/>
              <w:textAlignment w:val="center"/>
              <w:rPr>
                <w:rFonts w:ascii="Book Antiqua" w:eastAsia="宋体" w:hAnsi="Book Antiqua"/>
                <w:color w:val="000000" w:themeColor="text1"/>
              </w:rPr>
            </w:pPr>
            <w:r w:rsidRPr="00681D35">
              <w:rPr>
                <w:rFonts w:ascii="Book Antiqua" w:eastAsia="宋体" w:hAnsi="Book Antiqua"/>
                <w:color w:val="000000" w:themeColor="text1"/>
              </w:rPr>
              <w:t>93.28 ± 14.81</w:t>
            </w:r>
          </w:p>
        </w:tc>
        <w:tc>
          <w:tcPr>
            <w:tcW w:w="437" w:type="pct"/>
            <w:shd w:val="clear" w:color="auto" w:fill="auto"/>
            <w:noWrap/>
            <w:vAlign w:val="center"/>
          </w:tcPr>
          <w:p w14:paraId="7C8A3BCD" w14:textId="77777777" w:rsidR="00347BCA" w:rsidRPr="00681D35" w:rsidRDefault="006407D4" w:rsidP="003C2906">
            <w:pPr>
              <w:adjustRightInd w:val="0"/>
              <w:snapToGrid w:val="0"/>
              <w:spacing w:line="360" w:lineRule="auto"/>
              <w:jc w:val="both"/>
              <w:textAlignment w:val="center"/>
              <w:rPr>
                <w:rFonts w:ascii="Book Antiqua" w:eastAsia="宋体" w:hAnsi="Book Antiqua"/>
                <w:color w:val="000000" w:themeColor="text1"/>
              </w:rPr>
            </w:pPr>
            <w:r w:rsidRPr="00681D35">
              <w:rPr>
                <w:rFonts w:ascii="Book Antiqua" w:eastAsia="宋体" w:hAnsi="Book Antiqua"/>
                <w:color w:val="000000" w:themeColor="text1"/>
              </w:rPr>
              <w:t>-1.696</w:t>
            </w:r>
          </w:p>
        </w:tc>
        <w:tc>
          <w:tcPr>
            <w:tcW w:w="427" w:type="pct"/>
            <w:shd w:val="clear" w:color="auto" w:fill="auto"/>
            <w:noWrap/>
            <w:vAlign w:val="center"/>
          </w:tcPr>
          <w:p w14:paraId="5E2515EA" w14:textId="77777777" w:rsidR="00347BCA" w:rsidRPr="00681D35" w:rsidRDefault="006407D4" w:rsidP="003C2906">
            <w:pPr>
              <w:adjustRightInd w:val="0"/>
              <w:snapToGrid w:val="0"/>
              <w:spacing w:line="360" w:lineRule="auto"/>
              <w:jc w:val="both"/>
              <w:textAlignment w:val="center"/>
              <w:rPr>
                <w:rFonts w:ascii="Book Antiqua" w:eastAsia="宋体" w:hAnsi="Book Antiqua"/>
                <w:color w:val="000000" w:themeColor="text1"/>
              </w:rPr>
            </w:pPr>
            <w:r w:rsidRPr="00681D35">
              <w:rPr>
                <w:rFonts w:ascii="Book Antiqua" w:eastAsia="宋体" w:hAnsi="Book Antiqua"/>
                <w:color w:val="000000" w:themeColor="text1"/>
              </w:rPr>
              <w:t>0.094</w:t>
            </w:r>
          </w:p>
        </w:tc>
      </w:tr>
      <w:tr w:rsidR="00347BCA" w:rsidRPr="00681D35" w14:paraId="5263BDB4" w14:textId="77777777">
        <w:tc>
          <w:tcPr>
            <w:tcW w:w="5000" w:type="pct"/>
            <w:gridSpan w:val="5"/>
            <w:shd w:val="clear" w:color="auto" w:fill="auto"/>
            <w:noWrap/>
            <w:vAlign w:val="center"/>
          </w:tcPr>
          <w:p w14:paraId="1334245D" w14:textId="77777777" w:rsidR="00347BCA" w:rsidRPr="00681D35" w:rsidRDefault="006407D4" w:rsidP="003C2906">
            <w:pPr>
              <w:adjustRightInd w:val="0"/>
              <w:snapToGrid w:val="0"/>
              <w:spacing w:line="360" w:lineRule="auto"/>
              <w:jc w:val="both"/>
              <w:textAlignment w:val="center"/>
              <w:rPr>
                <w:rFonts w:ascii="Book Antiqua" w:eastAsia="宋体" w:hAnsi="Book Antiqua"/>
                <w:color w:val="000000" w:themeColor="text1"/>
              </w:rPr>
            </w:pPr>
            <w:r w:rsidRPr="00681D35">
              <w:rPr>
                <w:rFonts w:ascii="Book Antiqua" w:eastAsia="宋体" w:hAnsi="Book Antiqua"/>
                <w:color w:val="000000" w:themeColor="text1"/>
              </w:rPr>
              <w:t>E (pg/μL)</w:t>
            </w:r>
          </w:p>
        </w:tc>
      </w:tr>
      <w:tr w:rsidR="00347BCA" w:rsidRPr="00681D35" w14:paraId="2F3DEB13" w14:textId="77777777">
        <w:tc>
          <w:tcPr>
            <w:tcW w:w="1088" w:type="pct"/>
            <w:shd w:val="clear" w:color="auto" w:fill="auto"/>
            <w:noWrap/>
            <w:vAlign w:val="center"/>
          </w:tcPr>
          <w:p w14:paraId="57718BE3" w14:textId="77777777" w:rsidR="00347BCA" w:rsidRPr="00681D35" w:rsidRDefault="006407D4" w:rsidP="003C2906">
            <w:pPr>
              <w:adjustRightInd w:val="0"/>
              <w:snapToGrid w:val="0"/>
              <w:spacing w:line="360" w:lineRule="auto"/>
              <w:jc w:val="both"/>
              <w:textAlignment w:val="center"/>
              <w:rPr>
                <w:rFonts w:ascii="Book Antiqua" w:eastAsia="宋体" w:hAnsi="Book Antiqua"/>
                <w:color w:val="000000" w:themeColor="text1"/>
              </w:rPr>
            </w:pPr>
            <w:r w:rsidRPr="00681D35">
              <w:rPr>
                <w:rFonts w:ascii="Book Antiqua" w:eastAsia="宋体" w:hAnsi="Book Antiqua"/>
                <w:color w:val="000000" w:themeColor="text1"/>
              </w:rPr>
              <w:t>Before surgery</w:t>
            </w:r>
          </w:p>
        </w:tc>
        <w:tc>
          <w:tcPr>
            <w:tcW w:w="1611" w:type="pct"/>
            <w:shd w:val="clear" w:color="auto" w:fill="auto"/>
            <w:noWrap/>
            <w:vAlign w:val="center"/>
          </w:tcPr>
          <w:p w14:paraId="3A107A14" w14:textId="77777777" w:rsidR="00347BCA" w:rsidRPr="00681D35" w:rsidRDefault="006407D4" w:rsidP="003C2906">
            <w:pPr>
              <w:adjustRightInd w:val="0"/>
              <w:snapToGrid w:val="0"/>
              <w:spacing w:line="360" w:lineRule="auto"/>
              <w:jc w:val="both"/>
              <w:textAlignment w:val="center"/>
              <w:rPr>
                <w:rFonts w:ascii="Book Antiqua" w:eastAsia="宋体" w:hAnsi="Book Antiqua"/>
                <w:color w:val="000000" w:themeColor="text1"/>
              </w:rPr>
            </w:pPr>
            <w:r w:rsidRPr="00681D35">
              <w:rPr>
                <w:rFonts w:ascii="Book Antiqua" w:eastAsia="宋体" w:hAnsi="Book Antiqua"/>
                <w:color w:val="000000" w:themeColor="text1"/>
              </w:rPr>
              <w:t>1.58 ± 0.38</w:t>
            </w:r>
          </w:p>
        </w:tc>
        <w:tc>
          <w:tcPr>
            <w:tcW w:w="1437" w:type="pct"/>
            <w:shd w:val="clear" w:color="auto" w:fill="auto"/>
            <w:noWrap/>
            <w:vAlign w:val="center"/>
          </w:tcPr>
          <w:p w14:paraId="25281959" w14:textId="77777777" w:rsidR="00347BCA" w:rsidRPr="00681D35" w:rsidRDefault="006407D4" w:rsidP="003C2906">
            <w:pPr>
              <w:adjustRightInd w:val="0"/>
              <w:snapToGrid w:val="0"/>
              <w:spacing w:line="360" w:lineRule="auto"/>
              <w:jc w:val="both"/>
              <w:textAlignment w:val="center"/>
              <w:rPr>
                <w:rFonts w:ascii="Book Antiqua" w:eastAsia="宋体" w:hAnsi="Book Antiqua"/>
                <w:color w:val="000000" w:themeColor="text1"/>
              </w:rPr>
            </w:pPr>
            <w:r w:rsidRPr="00681D35">
              <w:rPr>
                <w:rFonts w:ascii="Book Antiqua" w:eastAsia="宋体" w:hAnsi="Book Antiqua"/>
                <w:color w:val="000000" w:themeColor="text1"/>
              </w:rPr>
              <w:t>1.49 ± 0.40</w:t>
            </w:r>
          </w:p>
        </w:tc>
        <w:tc>
          <w:tcPr>
            <w:tcW w:w="437" w:type="pct"/>
            <w:shd w:val="clear" w:color="auto" w:fill="auto"/>
            <w:noWrap/>
            <w:vAlign w:val="center"/>
          </w:tcPr>
          <w:p w14:paraId="0E613B22" w14:textId="77777777" w:rsidR="00347BCA" w:rsidRPr="00681D35" w:rsidRDefault="006407D4" w:rsidP="003C2906">
            <w:pPr>
              <w:adjustRightInd w:val="0"/>
              <w:snapToGrid w:val="0"/>
              <w:spacing w:line="360" w:lineRule="auto"/>
              <w:jc w:val="both"/>
              <w:textAlignment w:val="center"/>
              <w:rPr>
                <w:rFonts w:ascii="Book Antiqua" w:eastAsia="宋体" w:hAnsi="Book Antiqua"/>
                <w:color w:val="000000" w:themeColor="text1"/>
              </w:rPr>
            </w:pPr>
            <w:r w:rsidRPr="00681D35">
              <w:rPr>
                <w:rFonts w:ascii="Book Antiqua" w:eastAsia="宋体" w:hAnsi="Book Antiqua"/>
                <w:color w:val="000000" w:themeColor="text1"/>
              </w:rPr>
              <w:t>1.032</w:t>
            </w:r>
          </w:p>
        </w:tc>
        <w:tc>
          <w:tcPr>
            <w:tcW w:w="427" w:type="pct"/>
            <w:shd w:val="clear" w:color="auto" w:fill="auto"/>
            <w:noWrap/>
            <w:vAlign w:val="center"/>
          </w:tcPr>
          <w:p w14:paraId="43264BFC" w14:textId="77777777" w:rsidR="00347BCA" w:rsidRPr="00681D35" w:rsidRDefault="006407D4" w:rsidP="003C2906">
            <w:pPr>
              <w:adjustRightInd w:val="0"/>
              <w:snapToGrid w:val="0"/>
              <w:spacing w:line="360" w:lineRule="auto"/>
              <w:jc w:val="both"/>
              <w:textAlignment w:val="center"/>
              <w:rPr>
                <w:rFonts w:ascii="Book Antiqua" w:eastAsia="宋体" w:hAnsi="Book Antiqua"/>
                <w:color w:val="000000" w:themeColor="text1"/>
              </w:rPr>
            </w:pPr>
            <w:r w:rsidRPr="00681D35">
              <w:rPr>
                <w:rFonts w:ascii="Book Antiqua" w:eastAsia="宋体" w:hAnsi="Book Antiqua"/>
                <w:color w:val="000000" w:themeColor="text1"/>
              </w:rPr>
              <w:t>0.305</w:t>
            </w:r>
          </w:p>
        </w:tc>
      </w:tr>
      <w:tr w:rsidR="00347BCA" w:rsidRPr="00681D35" w14:paraId="2E8C6C64" w14:textId="77777777">
        <w:tc>
          <w:tcPr>
            <w:tcW w:w="1088" w:type="pct"/>
            <w:shd w:val="clear" w:color="auto" w:fill="auto"/>
            <w:noWrap/>
            <w:vAlign w:val="center"/>
          </w:tcPr>
          <w:p w14:paraId="756FFA49" w14:textId="77777777" w:rsidR="00347BCA" w:rsidRPr="00681D35" w:rsidRDefault="006407D4" w:rsidP="003C2906">
            <w:pPr>
              <w:adjustRightInd w:val="0"/>
              <w:snapToGrid w:val="0"/>
              <w:spacing w:line="360" w:lineRule="auto"/>
              <w:jc w:val="both"/>
              <w:textAlignment w:val="center"/>
              <w:rPr>
                <w:rFonts w:ascii="Book Antiqua" w:eastAsia="宋体" w:hAnsi="Book Antiqua"/>
                <w:color w:val="000000" w:themeColor="text1"/>
              </w:rPr>
            </w:pPr>
            <w:r w:rsidRPr="00681D35">
              <w:rPr>
                <w:rFonts w:ascii="Book Antiqua" w:eastAsia="宋体" w:hAnsi="Book Antiqua"/>
                <w:color w:val="000000" w:themeColor="text1"/>
              </w:rPr>
              <w:t>12 h after surgery</w:t>
            </w:r>
          </w:p>
        </w:tc>
        <w:tc>
          <w:tcPr>
            <w:tcW w:w="1611" w:type="pct"/>
            <w:shd w:val="clear" w:color="auto" w:fill="auto"/>
            <w:noWrap/>
            <w:vAlign w:val="center"/>
          </w:tcPr>
          <w:p w14:paraId="63E1C02C" w14:textId="77777777" w:rsidR="00347BCA" w:rsidRPr="00681D35" w:rsidRDefault="006407D4" w:rsidP="003C2906">
            <w:pPr>
              <w:adjustRightInd w:val="0"/>
              <w:snapToGrid w:val="0"/>
              <w:spacing w:line="360" w:lineRule="auto"/>
              <w:jc w:val="both"/>
              <w:textAlignment w:val="center"/>
              <w:rPr>
                <w:rFonts w:ascii="Book Antiqua" w:eastAsia="宋体" w:hAnsi="Book Antiqua"/>
                <w:color w:val="000000" w:themeColor="text1"/>
              </w:rPr>
            </w:pPr>
            <w:r w:rsidRPr="00681D35">
              <w:rPr>
                <w:rFonts w:ascii="Book Antiqua" w:eastAsia="宋体" w:hAnsi="Book Antiqua"/>
                <w:color w:val="000000" w:themeColor="text1"/>
              </w:rPr>
              <w:t>2.52 ± 0.70</w:t>
            </w:r>
          </w:p>
        </w:tc>
        <w:tc>
          <w:tcPr>
            <w:tcW w:w="1437" w:type="pct"/>
            <w:shd w:val="clear" w:color="auto" w:fill="auto"/>
            <w:noWrap/>
            <w:vAlign w:val="center"/>
          </w:tcPr>
          <w:p w14:paraId="66964959" w14:textId="77777777" w:rsidR="00347BCA" w:rsidRPr="00681D35" w:rsidRDefault="006407D4" w:rsidP="003C2906">
            <w:pPr>
              <w:adjustRightInd w:val="0"/>
              <w:snapToGrid w:val="0"/>
              <w:spacing w:line="360" w:lineRule="auto"/>
              <w:jc w:val="both"/>
              <w:textAlignment w:val="center"/>
              <w:rPr>
                <w:rFonts w:ascii="Book Antiqua" w:eastAsia="宋体" w:hAnsi="Book Antiqua"/>
                <w:color w:val="000000" w:themeColor="text1"/>
              </w:rPr>
            </w:pPr>
            <w:r w:rsidRPr="00681D35">
              <w:rPr>
                <w:rFonts w:ascii="Book Antiqua" w:eastAsia="宋体" w:hAnsi="Book Antiqua"/>
                <w:color w:val="000000" w:themeColor="text1"/>
              </w:rPr>
              <w:t>2.86 ± 0.76</w:t>
            </w:r>
          </w:p>
        </w:tc>
        <w:tc>
          <w:tcPr>
            <w:tcW w:w="437" w:type="pct"/>
            <w:shd w:val="clear" w:color="auto" w:fill="auto"/>
            <w:noWrap/>
            <w:vAlign w:val="center"/>
          </w:tcPr>
          <w:p w14:paraId="2E88D4B8" w14:textId="77777777" w:rsidR="00347BCA" w:rsidRPr="00681D35" w:rsidRDefault="006407D4" w:rsidP="003C2906">
            <w:pPr>
              <w:adjustRightInd w:val="0"/>
              <w:snapToGrid w:val="0"/>
              <w:spacing w:line="360" w:lineRule="auto"/>
              <w:jc w:val="both"/>
              <w:textAlignment w:val="center"/>
              <w:rPr>
                <w:rFonts w:ascii="Book Antiqua" w:eastAsia="宋体" w:hAnsi="Book Antiqua"/>
                <w:color w:val="000000" w:themeColor="text1"/>
              </w:rPr>
            </w:pPr>
            <w:r w:rsidRPr="00681D35">
              <w:rPr>
                <w:rFonts w:ascii="Book Antiqua" w:eastAsia="宋体" w:hAnsi="Book Antiqua"/>
                <w:color w:val="000000" w:themeColor="text1"/>
              </w:rPr>
              <w:t>-2.081</w:t>
            </w:r>
          </w:p>
        </w:tc>
        <w:tc>
          <w:tcPr>
            <w:tcW w:w="427" w:type="pct"/>
            <w:shd w:val="clear" w:color="auto" w:fill="auto"/>
            <w:noWrap/>
            <w:vAlign w:val="center"/>
          </w:tcPr>
          <w:p w14:paraId="52555436" w14:textId="77777777" w:rsidR="00347BCA" w:rsidRPr="00681D35" w:rsidRDefault="006407D4" w:rsidP="003C2906">
            <w:pPr>
              <w:adjustRightInd w:val="0"/>
              <w:snapToGrid w:val="0"/>
              <w:spacing w:line="360" w:lineRule="auto"/>
              <w:jc w:val="both"/>
              <w:textAlignment w:val="center"/>
              <w:rPr>
                <w:rFonts w:ascii="Book Antiqua" w:eastAsia="宋体" w:hAnsi="Book Antiqua"/>
                <w:color w:val="000000" w:themeColor="text1"/>
              </w:rPr>
            </w:pPr>
            <w:r w:rsidRPr="00681D35">
              <w:rPr>
                <w:rFonts w:ascii="Book Antiqua" w:eastAsia="宋体" w:hAnsi="Book Antiqua"/>
                <w:color w:val="000000" w:themeColor="text1"/>
              </w:rPr>
              <w:t>0.041</w:t>
            </w:r>
          </w:p>
        </w:tc>
      </w:tr>
      <w:tr w:rsidR="00347BCA" w:rsidRPr="00681D35" w14:paraId="60D719F7" w14:textId="77777777">
        <w:tc>
          <w:tcPr>
            <w:tcW w:w="5000" w:type="pct"/>
            <w:gridSpan w:val="5"/>
            <w:shd w:val="clear" w:color="auto" w:fill="auto"/>
            <w:noWrap/>
            <w:vAlign w:val="center"/>
          </w:tcPr>
          <w:p w14:paraId="5C270AD3" w14:textId="77777777" w:rsidR="00347BCA" w:rsidRPr="00681D35" w:rsidRDefault="006407D4" w:rsidP="003C2906">
            <w:pPr>
              <w:adjustRightInd w:val="0"/>
              <w:snapToGrid w:val="0"/>
              <w:spacing w:line="360" w:lineRule="auto"/>
              <w:jc w:val="both"/>
              <w:textAlignment w:val="center"/>
              <w:rPr>
                <w:rFonts w:ascii="Book Antiqua" w:eastAsia="宋体" w:hAnsi="Book Antiqua"/>
                <w:color w:val="000000" w:themeColor="text1"/>
              </w:rPr>
            </w:pPr>
            <w:r w:rsidRPr="00681D35">
              <w:rPr>
                <w:rFonts w:ascii="Book Antiqua" w:eastAsia="宋体" w:hAnsi="Book Antiqua"/>
                <w:color w:val="000000" w:themeColor="text1"/>
              </w:rPr>
              <w:t>NE (pg/μL)</w:t>
            </w:r>
          </w:p>
        </w:tc>
      </w:tr>
      <w:tr w:rsidR="00347BCA" w:rsidRPr="00681D35" w14:paraId="343FBD8C" w14:textId="77777777">
        <w:tc>
          <w:tcPr>
            <w:tcW w:w="1088" w:type="pct"/>
            <w:shd w:val="clear" w:color="auto" w:fill="auto"/>
            <w:noWrap/>
            <w:vAlign w:val="center"/>
          </w:tcPr>
          <w:p w14:paraId="370C065A" w14:textId="77777777" w:rsidR="00347BCA" w:rsidRPr="00681D35" w:rsidRDefault="006407D4" w:rsidP="003C2906">
            <w:pPr>
              <w:adjustRightInd w:val="0"/>
              <w:snapToGrid w:val="0"/>
              <w:spacing w:line="360" w:lineRule="auto"/>
              <w:jc w:val="both"/>
              <w:textAlignment w:val="center"/>
              <w:rPr>
                <w:rFonts w:ascii="Book Antiqua" w:eastAsia="宋体" w:hAnsi="Book Antiqua"/>
                <w:color w:val="000000" w:themeColor="text1"/>
              </w:rPr>
            </w:pPr>
            <w:r w:rsidRPr="00681D35">
              <w:rPr>
                <w:rFonts w:ascii="Book Antiqua" w:eastAsia="宋体" w:hAnsi="Book Antiqua"/>
                <w:color w:val="000000" w:themeColor="text1"/>
              </w:rPr>
              <w:t>Before surgery</w:t>
            </w:r>
          </w:p>
        </w:tc>
        <w:tc>
          <w:tcPr>
            <w:tcW w:w="1611" w:type="pct"/>
            <w:shd w:val="clear" w:color="auto" w:fill="auto"/>
            <w:noWrap/>
            <w:vAlign w:val="center"/>
          </w:tcPr>
          <w:p w14:paraId="635C7A91" w14:textId="77777777" w:rsidR="00347BCA" w:rsidRPr="00681D35" w:rsidRDefault="006407D4" w:rsidP="003C2906">
            <w:pPr>
              <w:adjustRightInd w:val="0"/>
              <w:snapToGrid w:val="0"/>
              <w:spacing w:line="360" w:lineRule="auto"/>
              <w:jc w:val="both"/>
              <w:textAlignment w:val="center"/>
              <w:rPr>
                <w:rFonts w:ascii="Book Antiqua" w:eastAsia="宋体" w:hAnsi="Book Antiqua"/>
                <w:color w:val="000000" w:themeColor="text1"/>
              </w:rPr>
            </w:pPr>
            <w:r w:rsidRPr="00681D35">
              <w:rPr>
                <w:rFonts w:ascii="Book Antiqua" w:eastAsia="宋体" w:hAnsi="Book Antiqua"/>
                <w:color w:val="000000" w:themeColor="text1"/>
              </w:rPr>
              <w:t>2.66 ± 0.48</w:t>
            </w:r>
          </w:p>
        </w:tc>
        <w:tc>
          <w:tcPr>
            <w:tcW w:w="1437" w:type="pct"/>
            <w:shd w:val="clear" w:color="auto" w:fill="auto"/>
            <w:noWrap/>
            <w:vAlign w:val="center"/>
          </w:tcPr>
          <w:p w14:paraId="6DD6FEA4" w14:textId="77777777" w:rsidR="00347BCA" w:rsidRPr="00681D35" w:rsidRDefault="006407D4" w:rsidP="003C2906">
            <w:pPr>
              <w:adjustRightInd w:val="0"/>
              <w:snapToGrid w:val="0"/>
              <w:spacing w:line="360" w:lineRule="auto"/>
              <w:jc w:val="both"/>
              <w:textAlignment w:val="center"/>
              <w:rPr>
                <w:rFonts w:ascii="Book Antiqua" w:eastAsia="宋体" w:hAnsi="Book Antiqua"/>
                <w:color w:val="000000" w:themeColor="text1"/>
              </w:rPr>
            </w:pPr>
            <w:r w:rsidRPr="00681D35">
              <w:rPr>
                <w:rFonts w:ascii="Book Antiqua" w:eastAsia="宋体" w:hAnsi="Book Antiqua"/>
                <w:color w:val="000000" w:themeColor="text1"/>
              </w:rPr>
              <w:t>2.48 ± 0.51</w:t>
            </w:r>
          </w:p>
        </w:tc>
        <w:tc>
          <w:tcPr>
            <w:tcW w:w="437" w:type="pct"/>
            <w:shd w:val="clear" w:color="auto" w:fill="auto"/>
            <w:noWrap/>
            <w:vAlign w:val="center"/>
          </w:tcPr>
          <w:p w14:paraId="6BF3BDFB" w14:textId="77777777" w:rsidR="00347BCA" w:rsidRPr="00681D35" w:rsidRDefault="006407D4" w:rsidP="003C2906">
            <w:pPr>
              <w:adjustRightInd w:val="0"/>
              <w:snapToGrid w:val="0"/>
              <w:spacing w:line="360" w:lineRule="auto"/>
              <w:jc w:val="both"/>
              <w:textAlignment w:val="center"/>
              <w:rPr>
                <w:rFonts w:ascii="Book Antiqua" w:eastAsia="宋体" w:hAnsi="Book Antiqua"/>
                <w:color w:val="000000" w:themeColor="text1"/>
              </w:rPr>
            </w:pPr>
            <w:r w:rsidRPr="00681D35">
              <w:rPr>
                <w:rFonts w:ascii="Book Antiqua" w:eastAsia="宋体" w:hAnsi="Book Antiqua"/>
                <w:color w:val="000000" w:themeColor="text1"/>
              </w:rPr>
              <w:t>1.625</w:t>
            </w:r>
          </w:p>
        </w:tc>
        <w:tc>
          <w:tcPr>
            <w:tcW w:w="427" w:type="pct"/>
            <w:shd w:val="clear" w:color="auto" w:fill="auto"/>
            <w:noWrap/>
            <w:vAlign w:val="center"/>
          </w:tcPr>
          <w:p w14:paraId="00CC2F50" w14:textId="77777777" w:rsidR="00347BCA" w:rsidRPr="00681D35" w:rsidRDefault="006407D4" w:rsidP="003C2906">
            <w:pPr>
              <w:adjustRightInd w:val="0"/>
              <w:snapToGrid w:val="0"/>
              <w:spacing w:line="360" w:lineRule="auto"/>
              <w:jc w:val="both"/>
              <w:textAlignment w:val="center"/>
              <w:rPr>
                <w:rFonts w:ascii="Book Antiqua" w:eastAsia="宋体" w:hAnsi="Book Antiqua"/>
                <w:color w:val="000000" w:themeColor="text1"/>
              </w:rPr>
            </w:pPr>
            <w:r w:rsidRPr="00681D35">
              <w:rPr>
                <w:rFonts w:ascii="Book Antiqua" w:eastAsia="宋体" w:hAnsi="Book Antiqua"/>
                <w:color w:val="000000" w:themeColor="text1"/>
              </w:rPr>
              <w:t>0.108</w:t>
            </w:r>
          </w:p>
        </w:tc>
      </w:tr>
      <w:tr w:rsidR="00347BCA" w:rsidRPr="00681D35" w14:paraId="2695C772" w14:textId="77777777">
        <w:tc>
          <w:tcPr>
            <w:tcW w:w="1088" w:type="pct"/>
            <w:shd w:val="clear" w:color="auto" w:fill="auto"/>
            <w:noWrap/>
            <w:vAlign w:val="center"/>
          </w:tcPr>
          <w:p w14:paraId="0C576128" w14:textId="77777777" w:rsidR="00347BCA" w:rsidRPr="00681D35" w:rsidRDefault="006407D4" w:rsidP="003C2906">
            <w:pPr>
              <w:adjustRightInd w:val="0"/>
              <w:snapToGrid w:val="0"/>
              <w:spacing w:line="360" w:lineRule="auto"/>
              <w:jc w:val="both"/>
              <w:textAlignment w:val="center"/>
              <w:rPr>
                <w:rFonts w:ascii="Book Antiqua" w:eastAsia="宋体" w:hAnsi="Book Antiqua"/>
                <w:color w:val="000000" w:themeColor="text1"/>
              </w:rPr>
            </w:pPr>
            <w:r w:rsidRPr="00681D35">
              <w:rPr>
                <w:rFonts w:ascii="Book Antiqua" w:eastAsia="宋体" w:hAnsi="Book Antiqua"/>
                <w:color w:val="000000" w:themeColor="text1"/>
              </w:rPr>
              <w:t>12 h after surgery</w:t>
            </w:r>
          </w:p>
        </w:tc>
        <w:tc>
          <w:tcPr>
            <w:tcW w:w="1611" w:type="pct"/>
            <w:shd w:val="clear" w:color="auto" w:fill="auto"/>
            <w:noWrap/>
            <w:vAlign w:val="center"/>
          </w:tcPr>
          <w:p w14:paraId="0F36EA7A" w14:textId="77777777" w:rsidR="00347BCA" w:rsidRPr="00681D35" w:rsidRDefault="006407D4" w:rsidP="003C2906">
            <w:pPr>
              <w:adjustRightInd w:val="0"/>
              <w:snapToGrid w:val="0"/>
              <w:spacing w:line="360" w:lineRule="auto"/>
              <w:jc w:val="both"/>
              <w:textAlignment w:val="center"/>
              <w:rPr>
                <w:rFonts w:ascii="Book Antiqua" w:eastAsia="宋体" w:hAnsi="Book Antiqua"/>
                <w:color w:val="000000" w:themeColor="text1"/>
              </w:rPr>
            </w:pPr>
            <w:r w:rsidRPr="00681D35">
              <w:rPr>
                <w:rFonts w:ascii="Book Antiqua" w:eastAsia="宋体" w:hAnsi="Book Antiqua"/>
                <w:color w:val="000000" w:themeColor="text1"/>
              </w:rPr>
              <w:t>3.38 ± 0.75</w:t>
            </w:r>
          </w:p>
        </w:tc>
        <w:tc>
          <w:tcPr>
            <w:tcW w:w="1437" w:type="pct"/>
            <w:shd w:val="clear" w:color="auto" w:fill="auto"/>
            <w:noWrap/>
            <w:vAlign w:val="center"/>
          </w:tcPr>
          <w:p w14:paraId="48CE0939" w14:textId="77777777" w:rsidR="00347BCA" w:rsidRPr="00681D35" w:rsidRDefault="006407D4" w:rsidP="003C2906">
            <w:pPr>
              <w:adjustRightInd w:val="0"/>
              <w:snapToGrid w:val="0"/>
              <w:spacing w:line="360" w:lineRule="auto"/>
              <w:jc w:val="both"/>
              <w:textAlignment w:val="center"/>
              <w:rPr>
                <w:rFonts w:ascii="Book Antiqua" w:eastAsia="宋体" w:hAnsi="Book Antiqua"/>
                <w:color w:val="000000" w:themeColor="text1"/>
              </w:rPr>
            </w:pPr>
            <w:r w:rsidRPr="00681D35">
              <w:rPr>
                <w:rFonts w:ascii="Book Antiqua" w:eastAsia="宋体" w:hAnsi="Book Antiqua"/>
                <w:color w:val="000000" w:themeColor="text1"/>
              </w:rPr>
              <w:t>3.73 ± 0.88</w:t>
            </w:r>
          </w:p>
        </w:tc>
        <w:tc>
          <w:tcPr>
            <w:tcW w:w="437" w:type="pct"/>
            <w:shd w:val="clear" w:color="auto" w:fill="auto"/>
            <w:noWrap/>
            <w:vAlign w:val="center"/>
          </w:tcPr>
          <w:p w14:paraId="2344A910" w14:textId="77777777" w:rsidR="00347BCA" w:rsidRPr="00681D35" w:rsidRDefault="006407D4" w:rsidP="003C2906">
            <w:pPr>
              <w:adjustRightInd w:val="0"/>
              <w:snapToGrid w:val="0"/>
              <w:spacing w:line="360" w:lineRule="auto"/>
              <w:jc w:val="both"/>
              <w:textAlignment w:val="center"/>
              <w:rPr>
                <w:rFonts w:ascii="Book Antiqua" w:eastAsia="宋体" w:hAnsi="Book Antiqua"/>
                <w:color w:val="000000" w:themeColor="text1"/>
              </w:rPr>
            </w:pPr>
            <w:r w:rsidRPr="00681D35">
              <w:rPr>
                <w:rFonts w:ascii="Book Antiqua" w:eastAsia="宋体" w:hAnsi="Book Antiqua"/>
                <w:color w:val="000000" w:themeColor="text1"/>
              </w:rPr>
              <w:t>-1.914</w:t>
            </w:r>
          </w:p>
        </w:tc>
        <w:tc>
          <w:tcPr>
            <w:tcW w:w="427" w:type="pct"/>
            <w:shd w:val="clear" w:color="auto" w:fill="auto"/>
            <w:noWrap/>
            <w:vAlign w:val="center"/>
          </w:tcPr>
          <w:p w14:paraId="1C168269" w14:textId="77777777" w:rsidR="00347BCA" w:rsidRPr="00681D35" w:rsidRDefault="006407D4" w:rsidP="003C2906">
            <w:pPr>
              <w:adjustRightInd w:val="0"/>
              <w:snapToGrid w:val="0"/>
              <w:spacing w:line="360" w:lineRule="auto"/>
              <w:jc w:val="both"/>
              <w:textAlignment w:val="center"/>
              <w:rPr>
                <w:rFonts w:ascii="Book Antiqua" w:eastAsia="宋体" w:hAnsi="Book Antiqua"/>
                <w:color w:val="000000" w:themeColor="text1"/>
              </w:rPr>
            </w:pPr>
            <w:r w:rsidRPr="00681D35">
              <w:rPr>
                <w:rFonts w:ascii="Book Antiqua" w:eastAsia="宋体" w:hAnsi="Book Antiqua"/>
                <w:color w:val="000000" w:themeColor="text1"/>
              </w:rPr>
              <w:t>0.059</w:t>
            </w:r>
          </w:p>
        </w:tc>
      </w:tr>
      <w:tr w:rsidR="00347BCA" w:rsidRPr="00681D35" w14:paraId="39AABE33" w14:textId="77777777">
        <w:tc>
          <w:tcPr>
            <w:tcW w:w="5000" w:type="pct"/>
            <w:gridSpan w:val="5"/>
            <w:shd w:val="clear" w:color="auto" w:fill="auto"/>
            <w:noWrap/>
            <w:vAlign w:val="center"/>
          </w:tcPr>
          <w:p w14:paraId="5B1116F6" w14:textId="77777777" w:rsidR="00347BCA" w:rsidRPr="00681D35" w:rsidRDefault="006407D4" w:rsidP="003C2906">
            <w:pPr>
              <w:adjustRightInd w:val="0"/>
              <w:snapToGrid w:val="0"/>
              <w:spacing w:line="360" w:lineRule="auto"/>
              <w:jc w:val="both"/>
              <w:textAlignment w:val="center"/>
              <w:rPr>
                <w:rFonts w:ascii="Book Antiqua" w:eastAsia="宋体" w:hAnsi="Book Antiqua"/>
                <w:color w:val="000000" w:themeColor="text1"/>
              </w:rPr>
            </w:pPr>
            <w:r w:rsidRPr="00681D35">
              <w:rPr>
                <w:rFonts w:ascii="Book Antiqua" w:eastAsia="宋体" w:hAnsi="Book Antiqua"/>
                <w:color w:val="000000" w:themeColor="text1"/>
              </w:rPr>
              <w:t>COR (ng/mL)</w:t>
            </w:r>
          </w:p>
        </w:tc>
      </w:tr>
      <w:tr w:rsidR="00347BCA" w:rsidRPr="00681D35" w14:paraId="12FCDCF6" w14:textId="77777777">
        <w:tc>
          <w:tcPr>
            <w:tcW w:w="1088" w:type="pct"/>
            <w:shd w:val="clear" w:color="auto" w:fill="auto"/>
            <w:noWrap/>
            <w:vAlign w:val="center"/>
          </w:tcPr>
          <w:p w14:paraId="664F7468" w14:textId="77777777" w:rsidR="00347BCA" w:rsidRPr="00681D35" w:rsidRDefault="006407D4" w:rsidP="003C2906">
            <w:pPr>
              <w:adjustRightInd w:val="0"/>
              <w:snapToGrid w:val="0"/>
              <w:spacing w:line="360" w:lineRule="auto"/>
              <w:jc w:val="both"/>
              <w:textAlignment w:val="center"/>
              <w:rPr>
                <w:rFonts w:ascii="Book Antiqua" w:eastAsia="宋体" w:hAnsi="Book Antiqua"/>
                <w:color w:val="000000" w:themeColor="text1"/>
              </w:rPr>
            </w:pPr>
            <w:r w:rsidRPr="00681D35">
              <w:rPr>
                <w:rFonts w:ascii="Book Antiqua" w:eastAsia="宋体" w:hAnsi="Book Antiqua"/>
                <w:color w:val="000000" w:themeColor="text1"/>
              </w:rPr>
              <w:t>Before surgery</w:t>
            </w:r>
          </w:p>
        </w:tc>
        <w:tc>
          <w:tcPr>
            <w:tcW w:w="1611" w:type="pct"/>
            <w:shd w:val="clear" w:color="auto" w:fill="auto"/>
            <w:noWrap/>
            <w:vAlign w:val="center"/>
          </w:tcPr>
          <w:p w14:paraId="1131975F" w14:textId="77777777" w:rsidR="00347BCA" w:rsidRPr="00681D35" w:rsidRDefault="006407D4" w:rsidP="003C2906">
            <w:pPr>
              <w:adjustRightInd w:val="0"/>
              <w:snapToGrid w:val="0"/>
              <w:spacing w:line="360" w:lineRule="auto"/>
              <w:jc w:val="both"/>
              <w:textAlignment w:val="center"/>
              <w:rPr>
                <w:rFonts w:ascii="Book Antiqua" w:eastAsia="宋体" w:hAnsi="Book Antiqua"/>
                <w:color w:val="000000" w:themeColor="text1"/>
              </w:rPr>
            </w:pPr>
            <w:r w:rsidRPr="00681D35">
              <w:rPr>
                <w:rFonts w:ascii="Book Antiqua" w:eastAsia="宋体" w:hAnsi="Book Antiqua"/>
                <w:color w:val="000000" w:themeColor="text1"/>
              </w:rPr>
              <w:t>22.73 ± 4.81</w:t>
            </w:r>
          </w:p>
        </w:tc>
        <w:tc>
          <w:tcPr>
            <w:tcW w:w="1437" w:type="pct"/>
            <w:shd w:val="clear" w:color="auto" w:fill="auto"/>
            <w:noWrap/>
            <w:vAlign w:val="center"/>
          </w:tcPr>
          <w:p w14:paraId="3688C5F8" w14:textId="77777777" w:rsidR="00347BCA" w:rsidRPr="00681D35" w:rsidRDefault="006407D4" w:rsidP="003C2906">
            <w:pPr>
              <w:adjustRightInd w:val="0"/>
              <w:snapToGrid w:val="0"/>
              <w:spacing w:line="360" w:lineRule="auto"/>
              <w:jc w:val="both"/>
              <w:textAlignment w:val="center"/>
              <w:rPr>
                <w:rFonts w:ascii="Book Antiqua" w:eastAsia="宋体" w:hAnsi="Book Antiqua"/>
                <w:color w:val="000000" w:themeColor="text1"/>
              </w:rPr>
            </w:pPr>
            <w:r w:rsidRPr="00681D35">
              <w:rPr>
                <w:rFonts w:ascii="Book Antiqua" w:eastAsia="宋体" w:hAnsi="Book Antiqua"/>
                <w:color w:val="000000" w:themeColor="text1"/>
              </w:rPr>
              <w:t>21.40 ± 4.36</w:t>
            </w:r>
          </w:p>
        </w:tc>
        <w:tc>
          <w:tcPr>
            <w:tcW w:w="437" w:type="pct"/>
            <w:shd w:val="clear" w:color="auto" w:fill="auto"/>
            <w:noWrap/>
            <w:vAlign w:val="center"/>
          </w:tcPr>
          <w:p w14:paraId="381F863F" w14:textId="77777777" w:rsidR="00347BCA" w:rsidRPr="00681D35" w:rsidRDefault="006407D4" w:rsidP="003C2906">
            <w:pPr>
              <w:adjustRightInd w:val="0"/>
              <w:snapToGrid w:val="0"/>
              <w:spacing w:line="360" w:lineRule="auto"/>
              <w:jc w:val="both"/>
              <w:textAlignment w:val="center"/>
              <w:rPr>
                <w:rFonts w:ascii="Book Antiqua" w:eastAsia="宋体" w:hAnsi="Book Antiqua"/>
                <w:color w:val="000000" w:themeColor="text1"/>
              </w:rPr>
            </w:pPr>
            <w:r w:rsidRPr="00681D35">
              <w:rPr>
                <w:rFonts w:ascii="Book Antiqua" w:eastAsia="宋体" w:hAnsi="Book Antiqua"/>
                <w:color w:val="000000" w:themeColor="text1"/>
              </w:rPr>
              <w:t>1.296</w:t>
            </w:r>
          </w:p>
        </w:tc>
        <w:tc>
          <w:tcPr>
            <w:tcW w:w="427" w:type="pct"/>
            <w:shd w:val="clear" w:color="auto" w:fill="auto"/>
            <w:noWrap/>
            <w:vAlign w:val="center"/>
          </w:tcPr>
          <w:p w14:paraId="2C6DFFD8" w14:textId="77777777" w:rsidR="00347BCA" w:rsidRPr="00681D35" w:rsidRDefault="006407D4" w:rsidP="003C2906">
            <w:pPr>
              <w:adjustRightInd w:val="0"/>
              <w:snapToGrid w:val="0"/>
              <w:spacing w:line="360" w:lineRule="auto"/>
              <w:jc w:val="both"/>
              <w:textAlignment w:val="center"/>
              <w:rPr>
                <w:rFonts w:ascii="Book Antiqua" w:eastAsia="宋体" w:hAnsi="Book Antiqua"/>
                <w:color w:val="000000" w:themeColor="text1"/>
              </w:rPr>
            </w:pPr>
            <w:r w:rsidRPr="00681D35">
              <w:rPr>
                <w:rFonts w:ascii="Book Antiqua" w:eastAsia="宋体" w:hAnsi="Book Antiqua"/>
                <w:color w:val="000000" w:themeColor="text1"/>
              </w:rPr>
              <w:t>0.199</w:t>
            </w:r>
          </w:p>
        </w:tc>
      </w:tr>
      <w:tr w:rsidR="00347BCA" w:rsidRPr="00681D35" w14:paraId="708B063A" w14:textId="77777777">
        <w:tc>
          <w:tcPr>
            <w:tcW w:w="1088" w:type="pct"/>
            <w:shd w:val="clear" w:color="auto" w:fill="auto"/>
            <w:noWrap/>
            <w:vAlign w:val="center"/>
          </w:tcPr>
          <w:p w14:paraId="09B57488" w14:textId="77777777" w:rsidR="00347BCA" w:rsidRPr="00681D35" w:rsidRDefault="006407D4" w:rsidP="003C2906">
            <w:pPr>
              <w:adjustRightInd w:val="0"/>
              <w:snapToGrid w:val="0"/>
              <w:spacing w:line="360" w:lineRule="auto"/>
              <w:jc w:val="both"/>
              <w:textAlignment w:val="center"/>
              <w:rPr>
                <w:rFonts w:ascii="Book Antiqua" w:eastAsia="宋体" w:hAnsi="Book Antiqua"/>
                <w:color w:val="000000" w:themeColor="text1"/>
              </w:rPr>
            </w:pPr>
            <w:r w:rsidRPr="00681D35">
              <w:rPr>
                <w:rFonts w:ascii="Book Antiqua" w:eastAsia="宋体" w:hAnsi="Book Antiqua"/>
                <w:color w:val="000000" w:themeColor="text1"/>
              </w:rPr>
              <w:t xml:space="preserve">12 h after </w:t>
            </w:r>
            <w:r w:rsidRPr="00681D35">
              <w:rPr>
                <w:rFonts w:ascii="Book Antiqua" w:eastAsia="宋体" w:hAnsi="Book Antiqua"/>
                <w:color w:val="000000" w:themeColor="text1"/>
              </w:rPr>
              <w:lastRenderedPageBreak/>
              <w:t>surgery</w:t>
            </w:r>
          </w:p>
        </w:tc>
        <w:tc>
          <w:tcPr>
            <w:tcW w:w="1611" w:type="pct"/>
            <w:shd w:val="clear" w:color="auto" w:fill="auto"/>
            <w:noWrap/>
            <w:vAlign w:val="center"/>
          </w:tcPr>
          <w:p w14:paraId="11442A80" w14:textId="77777777" w:rsidR="00347BCA" w:rsidRPr="00681D35" w:rsidRDefault="006407D4" w:rsidP="003C2906">
            <w:pPr>
              <w:adjustRightInd w:val="0"/>
              <w:snapToGrid w:val="0"/>
              <w:spacing w:line="360" w:lineRule="auto"/>
              <w:jc w:val="both"/>
              <w:textAlignment w:val="center"/>
              <w:rPr>
                <w:rFonts w:ascii="Book Antiqua" w:eastAsia="宋体" w:hAnsi="Book Antiqua"/>
                <w:color w:val="000000" w:themeColor="text1"/>
              </w:rPr>
            </w:pPr>
            <w:r w:rsidRPr="00681D35">
              <w:rPr>
                <w:rFonts w:ascii="Book Antiqua" w:eastAsia="宋体" w:hAnsi="Book Antiqua"/>
                <w:color w:val="000000" w:themeColor="text1"/>
              </w:rPr>
              <w:lastRenderedPageBreak/>
              <w:t>34.20 ± 6.85</w:t>
            </w:r>
          </w:p>
        </w:tc>
        <w:tc>
          <w:tcPr>
            <w:tcW w:w="1437" w:type="pct"/>
            <w:shd w:val="clear" w:color="auto" w:fill="auto"/>
            <w:noWrap/>
            <w:vAlign w:val="center"/>
          </w:tcPr>
          <w:p w14:paraId="7F1F209A" w14:textId="77777777" w:rsidR="00347BCA" w:rsidRPr="00681D35" w:rsidRDefault="006407D4" w:rsidP="003C2906">
            <w:pPr>
              <w:adjustRightInd w:val="0"/>
              <w:snapToGrid w:val="0"/>
              <w:spacing w:line="360" w:lineRule="auto"/>
              <w:jc w:val="both"/>
              <w:textAlignment w:val="center"/>
              <w:rPr>
                <w:rFonts w:ascii="Book Antiqua" w:eastAsia="宋体" w:hAnsi="Book Antiqua"/>
                <w:color w:val="000000" w:themeColor="text1"/>
              </w:rPr>
            </w:pPr>
            <w:r w:rsidRPr="00681D35">
              <w:rPr>
                <w:rFonts w:ascii="Book Antiqua" w:eastAsia="宋体" w:hAnsi="Book Antiqua"/>
                <w:color w:val="000000" w:themeColor="text1"/>
              </w:rPr>
              <w:t>31.06 ± 5.72</w:t>
            </w:r>
          </w:p>
        </w:tc>
        <w:tc>
          <w:tcPr>
            <w:tcW w:w="437" w:type="pct"/>
            <w:shd w:val="clear" w:color="auto" w:fill="auto"/>
            <w:noWrap/>
            <w:vAlign w:val="center"/>
          </w:tcPr>
          <w:p w14:paraId="6832A54F" w14:textId="77777777" w:rsidR="00347BCA" w:rsidRPr="00681D35" w:rsidRDefault="006407D4" w:rsidP="003C2906">
            <w:pPr>
              <w:adjustRightInd w:val="0"/>
              <w:snapToGrid w:val="0"/>
              <w:spacing w:line="360" w:lineRule="auto"/>
              <w:jc w:val="both"/>
              <w:textAlignment w:val="center"/>
              <w:rPr>
                <w:rFonts w:ascii="Book Antiqua" w:eastAsia="宋体" w:hAnsi="Book Antiqua"/>
                <w:color w:val="000000" w:themeColor="text1"/>
              </w:rPr>
            </w:pPr>
            <w:r w:rsidRPr="00681D35">
              <w:rPr>
                <w:rFonts w:ascii="Book Antiqua" w:eastAsia="宋体" w:hAnsi="Book Antiqua"/>
                <w:color w:val="000000" w:themeColor="text1"/>
              </w:rPr>
              <w:t>2.225</w:t>
            </w:r>
          </w:p>
        </w:tc>
        <w:tc>
          <w:tcPr>
            <w:tcW w:w="427" w:type="pct"/>
            <w:shd w:val="clear" w:color="auto" w:fill="auto"/>
            <w:noWrap/>
            <w:vAlign w:val="center"/>
          </w:tcPr>
          <w:p w14:paraId="79FCC128" w14:textId="77777777" w:rsidR="00347BCA" w:rsidRPr="00681D35" w:rsidRDefault="006407D4" w:rsidP="003C2906">
            <w:pPr>
              <w:adjustRightInd w:val="0"/>
              <w:snapToGrid w:val="0"/>
              <w:spacing w:line="360" w:lineRule="auto"/>
              <w:jc w:val="both"/>
              <w:textAlignment w:val="center"/>
              <w:rPr>
                <w:rFonts w:ascii="Book Antiqua" w:eastAsia="宋体" w:hAnsi="Book Antiqua"/>
                <w:color w:val="000000" w:themeColor="text1"/>
              </w:rPr>
            </w:pPr>
            <w:r w:rsidRPr="00681D35">
              <w:rPr>
                <w:rFonts w:ascii="Book Antiqua" w:eastAsia="宋体" w:hAnsi="Book Antiqua"/>
                <w:color w:val="000000" w:themeColor="text1"/>
              </w:rPr>
              <w:t>0.029</w:t>
            </w:r>
          </w:p>
        </w:tc>
      </w:tr>
      <w:tr w:rsidR="00347BCA" w:rsidRPr="00681D35" w14:paraId="22DA68F1" w14:textId="77777777">
        <w:tc>
          <w:tcPr>
            <w:tcW w:w="5000" w:type="pct"/>
            <w:gridSpan w:val="5"/>
            <w:shd w:val="clear" w:color="auto" w:fill="auto"/>
            <w:noWrap/>
            <w:vAlign w:val="center"/>
          </w:tcPr>
          <w:p w14:paraId="207AD216" w14:textId="77777777" w:rsidR="00347BCA" w:rsidRPr="00681D35" w:rsidRDefault="006407D4" w:rsidP="003C2906">
            <w:pPr>
              <w:adjustRightInd w:val="0"/>
              <w:snapToGrid w:val="0"/>
              <w:spacing w:line="360" w:lineRule="auto"/>
              <w:jc w:val="both"/>
              <w:textAlignment w:val="center"/>
              <w:rPr>
                <w:rFonts w:ascii="Book Antiqua" w:eastAsia="宋体" w:hAnsi="Book Antiqua"/>
                <w:color w:val="000000" w:themeColor="text1"/>
              </w:rPr>
            </w:pPr>
            <w:r w:rsidRPr="00681D35">
              <w:rPr>
                <w:rFonts w:ascii="Book Antiqua" w:eastAsia="宋体" w:hAnsi="Book Antiqua"/>
                <w:color w:val="000000" w:themeColor="text1"/>
              </w:rPr>
              <w:lastRenderedPageBreak/>
              <w:t>GLU (mmol/L)</w:t>
            </w:r>
          </w:p>
        </w:tc>
      </w:tr>
      <w:tr w:rsidR="00347BCA" w:rsidRPr="00681D35" w14:paraId="2838F5FD" w14:textId="77777777">
        <w:tc>
          <w:tcPr>
            <w:tcW w:w="1088" w:type="pct"/>
            <w:shd w:val="clear" w:color="auto" w:fill="auto"/>
            <w:noWrap/>
            <w:vAlign w:val="center"/>
          </w:tcPr>
          <w:p w14:paraId="2FF89BF3" w14:textId="77777777" w:rsidR="00347BCA" w:rsidRPr="00681D35" w:rsidRDefault="006407D4" w:rsidP="003C2906">
            <w:pPr>
              <w:adjustRightInd w:val="0"/>
              <w:snapToGrid w:val="0"/>
              <w:spacing w:line="360" w:lineRule="auto"/>
              <w:jc w:val="both"/>
              <w:textAlignment w:val="center"/>
              <w:rPr>
                <w:rFonts w:ascii="Book Antiqua" w:eastAsia="宋体" w:hAnsi="Book Antiqua"/>
                <w:color w:val="000000" w:themeColor="text1"/>
              </w:rPr>
            </w:pPr>
            <w:r w:rsidRPr="00681D35">
              <w:rPr>
                <w:rFonts w:ascii="Book Antiqua" w:eastAsia="宋体" w:hAnsi="Book Antiqua"/>
                <w:color w:val="000000" w:themeColor="text1"/>
              </w:rPr>
              <w:t>Before surgery</w:t>
            </w:r>
          </w:p>
        </w:tc>
        <w:tc>
          <w:tcPr>
            <w:tcW w:w="1611" w:type="pct"/>
            <w:shd w:val="clear" w:color="auto" w:fill="auto"/>
            <w:noWrap/>
            <w:vAlign w:val="center"/>
          </w:tcPr>
          <w:p w14:paraId="6F838E2B" w14:textId="77777777" w:rsidR="00347BCA" w:rsidRPr="00681D35" w:rsidRDefault="006407D4" w:rsidP="003C2906">
            <w:pPr>
              <w:adjustRightInd w:val="0"/>
              <w:snapToGrid w:val="0"/>
              <w:spacing w:line="360" w:lineRule="auto"/>
              <w:jc w:val="both"/>
              <w:textAlignment w:val="center"/>
              <w:rPr>
                <w:rFonts w:ascii="Book Antiqua" w:eastAsia="宋体" w:hAnsi="Book Antiqua"/>
                <w:color w:val="000000" w:themeColor="text1"/>
              </w:rPr>
            </w:pPr>
            <w:r w:rsidRPr="00681D35">
              <w:rPr>
                <w:rFonts w:ascii="Book Antiqua" w:eastAsia="宋体" w:hAnsi="Book Antiqua"/>
                <w:color w:val="000000" w:themeColor="text1"/>
              </w:rPr>
              <w:t>5.39 ± 0.51</w:t>
            </w:r>
          </w:p>
        </w:tc>
        <w:tc>
          <w:tcPr>
            <w:tcW w:w="1437" w:type="pct"/>
            <w:shd w:val="clear" w:color="auto" w:fill="auto"/>
            <w:noWrap/>
            <w:vAlign w:val="center"/>
          </w:tcPr>
          <w:p w14:paraId="24F2001C" w14:textId="77777777" w:rsidR="00347BCA" w:rsidRPr="00681D35" w:rsidRDefault="006407D4" w:rsidP="003C2906">
            <w:pPr>
              <w:adjustRightInd w:val="0"/>
              <w:snapToGrid w:val="0"/>
              <w:spacing w:line="360" w:lineRule="auto"/>
              <w:jc w:val="both"/>
              <w:textAlignment w:val="center"/>
              <w:rPr>
                <w:rFonts w:ascii="Book Antiqua" w:eastAsia="宋体" w:hAnsi="Book Antiqua"/>
                <w:color w:val="000000" w:themeColor="text1"/>
              </w:rPr>
            </w:pPr>
            <w:r w:rsidRPr="00681D35">
              <w:rPr>
                <w:rFonts w:ascii="Book Antiqua" w:eastAsia="宋体" w:hAnsi="Book Antiqua"/>
                <w:color w:val="000000" w:themeColor="text1"/>
              </w:rPr>
              <w:t>5.50 ± 0.48</w:t>
            </w:r>
          </w:p>
        </w:tc>
        <w:tc>
          <w:tcPr>
            <w:tcW w:w="437" w:type="pct"/>
            <w:shd w:val="clear" w:color="auto" w:fill="auto"/>
            <w:noWrap/>
            <w:vAlign w:val="center"/>
          </w:tcPr>
          <w:p w14:paraId="72FAE8A4" w14:textId="77777777" w:rsidR="00347BCA" w:rsidRPr="00681D35" w:rsidRDefault="006407D4" w:rsidP="003C2906">
            <w:pPr>
              <w:adjustRightInd w:val="0"/>
              <w:snapToGrid w:val="0"/>
              <w:spacing w:line="360" w:lineRule="auto"/>
              <w:jc w:val="both"/>
              <w:textAlignment w:val="center"/>
              <w:rPr>
                <w:rFonts w:ascii="Book Antiqua" w:eastAsia="宋体" w:hAnsi="Book Antiqua"/>
                <w:color w:val="000000" w:themeColor="text1"/>
              </w:rPr>
            </w:pPr>
            <w:r w:rsidRPr="00681D35">
              <w:rPr>
                <w:rFonts w:ascii="Book Antiqua" w:eastAsia="宋体" w:hAnsi="Book Antiqua"/>
                <w:color w:val="000000" w:themeColor="text1"/>
              </w:rPr>
              <w:t>-0.993</w:t>
            </w:r>
          </w:p>
        </w:tc>
        <w:tc>
          <w:tcPr>
            <w:tcW w:w="427" w:type="pct"/>
            <w:shd w:val="clear" w:color="auto" w:fill="auto"/>
            <w:noWrap/>
            <w:vAlign w:val="center"/>
          </w:tcPr>
          <w:p w14:paraId="1EBBDDCE" w14:textId="77777777" w:rsidR="00347BCA" w:rsidRPr="00681D35" w:rsidRDefault="006407D4" w:rsidP="003C2906">
            <w:pPr>
              <w:adjustRightInd w:val="0"/>
              <w:snapToGrid w:val="0"/>
              <w:spacing w:line="360" w:lineRule="auto"/>
              <w:jc w:val="both"/>
              <w:textAlignment w:val="center"/>
              <w:rPr>
                <w:rFonts w:ascii="Book Antiqua" w:eastAsia="宋体" w:hAnsi="Book Antiqua"/>
                <w:color w:val="000000" w:themeColor="text1"/>
              </w:rPr>
            </w:pPr>
            <w:r w:rsidRPr="00681D35">
              <w:rPr>
                <w:rFonts w:ascii="Book Antiqua" w:eastAsia="宋体" w:hAnsi="Book Antiqua"/>
                <w:color w:val="000000" w:themeColor="text1"/>
              </w:rPr>
              <w:t>0.324</w:t>
            </w:r>
          </w:p>
        </w:tc>
      </w:tr>
      <w:tr w:rsidR="00347BCA" w:rsidRPr="00681D35" w14:paraId="24FCAA0C" w14:textId="77777777">
        <w:tc>
          <w:tcPr>
            <w:tcW w:w="1088" w:type="pct"/>
            <w:shd w:val="clear" w:color="auto" w:fill="auto"/>
            <w:noWrap/>
            <w:vAlign w:val="center"/>
          </w:tcPr>
          <w:p w14:paraId="2C41AFB2" w14:textId="77777777" w:rsidR="00347BCA" w:rsidRPr="00681D35" w:rsidRDefault="006407D4" w:rsidP="003C2906">
            <w:pPr>
              <w:adjustRightInd w:val="0"/>
              <w:snapToGrid w:val="0"/>
              <w:spacing w:line="360" w:lineRule="auto"/>
              <w:jc w:val="both"/>
              <w:textAlignment w:val="center"/>
              <w:rPr>
                <w:rFonts w:ascii="Book Antiqua" w:eastAsia="宋体" w:hAnsi="Book Antiqua"/>
                <w:color w:val="000000" w:themeColor="text1"/>
              </w:rPr>
            </w:pPr>
            <w:r w:rsidRPr="00681D35">
              <w:rPr>
                <w:rFonts w:ascii="Book Antiqua" w:eastAsia="宋体" w:hAnsi="Book Antiqua"/>
                <w:color w:val="000000" w:themeColor="text1"/>
              </w:rPr>
              <w:t>12 h after surgery</w:t>
            </w:r>
          </w:p>
        </w:tc>
        <w:tc>
          <w:tcPr>
            <w:tcW w:w="1611" w:type="pct"/>
            <w:shd w:val="clear" w:color="auto" w:fill="auto"/>
            <w:noWrap/>
            <w:vAlign w:val="center"/>
          </w:tcPr>
          <w:p w14:paraId="6EFE0FC3" w14:textId="77777777" w:rsidR="00347BCA" w:rsidRPr="00681D35" w:rsidRDefault="006407D4" w:rsidP="003C2906">
            <w:pPr>
              <w:adjustRightInd w:val="0"/>
              <w:snapToGrid w:val="0"/>
              <w:spacing w:line="360" w:lineRule="auto"/>
              <w:jc w:val="both"/>
              <w:textAlignment w:val="center"/>
              <w:rPr>
                <w:rFonts w:ascii="Book Antiqua" w:eastAsia="宋体" w:hAnsi="Book Antiqua"/>
                <w:color w:val="000000" w:themeColor="text1"/>
              </w:rPr>
            </w:pPr>
            <w:r w:rsidRPr="00681D35">
              <w:rPr>
                <w:rFonts w:ascii="Book Antiqua" w:eastAsia="宋体" w:hAnsi="Book Antiqua"/>
                <w:color w:val="000000" w:themeColor="text1"/>
              </w:rPr>
              <w:t>6.18 ± 0.62</w:t>
            </w:r>
          </w:p>
        </w:tc>
        <w:tc>
          <w:tcPr>
            <w:tcW w:w="1437" w:type="pct"/>
            <w:shd w:val="clear" w:color="auto" w:fill="auto"/>
            <w:noWrap/>
            <w:vAlign w:val="center"/>
          </w:tcPr>
          <w:p w14:paraId="23AF8C59" w14:textId="77777777" w:rsidR="00347BCA" w:rsidRPr="00681D35" w:rsidRDefault="006407D4" w:rsidP="003C2906">
            <w:pPr>
              <w:adjustRightInd w:val="0"/>
              <w:snapToGrid w:val="0"/>
              <w:spacing w:line="360" w:lineRule="auto"/>
              <w:jc w:val="both"/>
              <w:textAlignment w:val="center"/>
              <w:rPr>
                <w:rFonts w:ascii="Book Antiqua" w:eastAsia="宋体" w:hAnsi="Book Antiqua"/>
                <w:color w:val="000000" w:themeColor="text1"/>
              </w:rPr>
            </w:pPr>
            <w:r w:rsidRPr="00681D35">
              <w:rPr>
                <w:rFonts w:ascii="Book Antiqua" w:eastAsia="宋体" w:hAnsi="Book Antiqua"/>
                <w:color w:val="000000" w:themeColor="text1"/>
              </w:rPr>
              <w:t>6.54 ± 0.75</w:t>
            </w:r>
          </w:p>
        </w:tc>
        <w:tc>
          <w:tcPr>
            <w:tcW w:w="437" w:type="pct"/>
            <w:shd w:val="clear" w:color="auto" w:fill="auto"/>
            <w:noWrap/>
            <w:vAlign w:val="center"/>
          </w:tcPr>
          <w:p w14:paraId="20A80A60" w14:textId="77777777" w:rsidR="00347BCA" w:rsidRPr="00681D35" w:rsidRDefault="006407D4" w:rsidP="003C2906">
            <w:pPr>
              <w:adjustRightInd w:val="0"/>
              <w:snapToGrid w:val="0"/>
              <w:spacing w:line="360" w:lineRule="auto"/>
              <w:jc w:val="both"/>
              <w:textAlignment w:val="center"/>
              <w:rPr>
                <w:rFonts w:ascii="Book Antiqua" w:eastAsia="宋体" w:hAnsi="Book Antiqua"/>
                <w:color w:val="000000" w:themeColor="text1"/>
              </w:rPr>
            </w:pPr>
            <w:r w:rsidRPr="00681D35">
              <w:rPr>
                <w:rFonts w:ascii="Book Antiqua" w:eastAsia="宋体" w:hAnsi="Book Antiqua"/>
                <w:color w:val="000000" w:themeColor="text1"/>
              </w:rPr>
              <w:t>-2.34</w:t>
            </w:r>
          </w:p>
        </w:tc>
        <w:tc>
          <w:tcPr>
            <w:tcW w:w="427" w:type="pct"/>
            <w:shd w:val="clear" w:color="auto" w:fill="auto"/>
            <w:noWrap/>
            <w:vAlign w:val="center"/>
          </w:tcPr>
          <w:p w14:paraId="69A2C8C2" w14:textId="77777777" w:rsidR="00347BCA" w:rsidRPr="00681D35" w:rsidRDefault="006407D4" w:rsidP="003C2906">
            <w:pPr>
              <w:adjustRightInd w:val="0"/>
              <w:snapToGrid w:val="0"/>
              <w:spacing w:line="360" w:lineRule="auto"/>
              <w:jc w:val="both"/>
              <w:textAlignment w:val="center"/>
              <w:rPr>
                <w:rFonts w:ascii="Book Antiqua" w:eastAsia="宋体" w:hAnsi="Book Antiqua"/>
                <w:color w:val="000000" w:themeColor="text1"/>
              </w:rPr>
            </w:pPr>
            <w:r w:rsidRPr="00681D35">
              <w:rPr>
                <w:rFonts w:ascii="Book Antiqua" w:eastAsia="宋体" w:hAnsi="Book Antiqua"/>
                <w:color w:val="000000" w:themeColor="text1"/>
              </w:rPr>
              <w:t>0.022</w:t>
            </w:r>
          </w:p>
        </w:tc>
      </w:tr>
    </w:tbl>
    <w:p w14:paraId="3FDFFDB4" w14:textId="142F29DA" w:rsidR="0010313A" w:rsidRPr="00681D35" w:rsidRDefault="00060A5A" w:rsidP="00EB276A">
      <w:pPr>
        <w:adjustRightInd w:val="0"/>
        <w:snapToGrid w:val="0"/>
        <w:spacing w:line="360" w:lineRule="auto"/>
        <w:jc w:val="both"/>
        <w:rPr>
          <w:rFonts w:ascii="Book Antiqua" w:eastAsia="Book Antiqua" w:hAnsi="Book Antiqua" w:cs="Book Antiqua"/>
          <w:color w:val="000000" w:themeColor="text1"/>
        </w:rPr>
      </w:pPr>
      <w:r w:rsidRPr="00681D35">
        <w:rPr>
          <w:rFonts w:ascii="Book Antiqua" w:eastAsia="宋体" w:hAnsi="Book Antiqua"/>
          <w:color w:val="000000" w:themeColor="text1"/>
        </w:rPr>
        <w:t>COR:</w:t>
      </w:r>
      <w:r w:rsidRPr="00681D35">
        <w:rPr>
          <w:rFonts w:ascii="Book Antiqua" w:eastAsia="Book Antiqua" w:hAnsi="Book Antiqua" w:cs="Book Antiqua"/>
          <w:color w:val="000000" w:themeColor="text1"/>
        </w:rPr>
        <w:t xml:space="preserve"> Cortisol;</w:t>
      </w:r>
      <w:r w:rsidRPr="00681D35">
        <w:rPr>
          <w:rFonts w:ascii="Book Antiqua" w:hAnsi="Book Antiqua" w:cs="Book Antiqua"/>
          <w:color w:val="000000" w:themeColor="text1"/>
          <w:lang w:eastAsia="zh-CN"/>
        </w:rPr>
        <w:t xml:space="preserve"> </w:t>
      </w:r>
      <w:r w:rsidRPr="00681D35">
        <w:rPr>
          <w:rFonts w:ascii="Book Antiqua" w:eastAsia="宋体" w:hAnsi="Book Antiqua"/>
          <w:color w:val="000000" w:themeColor="text1"/>
        </w:rPr>
        <w:t>E:</w:t>
      </w:r>
      <w:r w:rsidRPr="00681D35">
        <w:rPr>
          <w:rFonts w:ascii="Book Antiqua" w:eastAsia="Book Antiqua" w:hAnsi="Book Antiqua" w:cs="Book Antiqua"/>
          <w:color w:val="000000" w:themeColor="text1"/>
        </w:rPr>
        <w:t xml:space="preserve"> Epinephrine;</w:t>
      </w:r>
      <w:r w:rsidRPr="00681D35">
        <w:rPr>
          <w:rFonts w:ascii="Book Antiqua" w:hAnsi="Book Antiqua" w:cs="Book Antiqua"/>
          <w:color w:val="000000" w:themeColor="text1"/>
          <w:lang w:eastAsia="zh-CN"/>
        </w:rPr>
        <w:t xml:space="preserve"> </w:t>
      </w:r>
      <w:r w:rsidRPr="00681D35">
        <w:rPr>
          <w:rFonts w:ascii="Book Antiqua" w:eastAsia="宋体" w:hAnsi="Book Antiqua"/>
          <w:color w:val="000000" w:themeColor="text1"/>
        </w:rPr>
        <w:t>GLU</w:t>
      </w:r>
      <w:r w:rsidRPr="00681D35">
        <w:rPr>
          <w:rFonts w:ascii="Book Antiqua" w:eastAsia="宋体" w:hAnsi="Book Antiqua"/>
          <w:color w:val="000000" w:themeColor="text1"/>
          <w:lang w:eastAsia="zh-CN"/>
        </w:rPr>
        <w:t>:</w:t>
      </w:r>
      <w:r w:rsidRPr="00681D35">
        <w:rPr>
          <w:rFonts w:ascii="Book Antiqua" w:eastAsia="Book Antiqua" w:hAnsi="Book Antiqua" w:cs="Book Antiqua"/>
          <w:color w:val="000000" w:themeColor="text1"/>
        </w:rPr>
        <w:t xml:space="preserve"> Glucose;</w:t>
      </w:r>
      <w:r w:rsidRPr="00681D35">
        <w:rPr>
          <w:rFonts w:ascii="Book Antiqua" w:eastAsia="宋体" w:hAnsi="Book Antiqua"/>
          <w:color w:val="000000" w:themeColor="text1"/>
        </w:rPr>
        <w:t xml:space="preserve"> </w:t>
      </w:r>
      <w:r w:rsidR="006407D4" w:rsidRPr="00681D35">
        <w:rPr>
          <w:rFonts w:ascii="Book Antiqua" w:eastAsia="宋体" w:hAnsi="Book Antiqua"/>
          <w:color w:val="000000" w:themeColor="text1"/>
        </w:rPr>
        <w:t>IL-6:</w:t>
      </w:r>
      <w:r w:rsidR="006407D4" w:rsidRPr="00681D35">
        <w:rPr>
          <w:rFonts w:ascii="Book Antiqua" w:eastAsia="Book Antiqua" w:hAnsi="Book Antiqua" w:cs="Book Antiqua"/>
          <w:color w:val="000000" w:themeColor="text1"/>
        </w:rPr>
        <w:t xml:space="preserve"> Interleukin-6;</w:t>
      </w:r>
      <w:r w:rsidR="006407D4" w:rsidRPr="00681D35">
        <w:rPr>
          <w:rFonts w:ascii="Book Antiqua" w:hAnsi="Book Antiqua" w:cs="Book Antiqua"/>
          <w:color w:val="000000" w:themeColor="text1"/>
          <w:lang w:eastAsia="zh-CN"/>
        </w:rPr>
        <w:t xml:space="preserve"> </w:t>
      </w:r>
      <w:r w:rsidR="006407D4" w:rsidRPr="00681D35">
        <w:rPr>
          <w:rFonts w:ascii="Book Antiqua" w:eastAsia="宋体" w:hAnsi="Book Antiqua"/>
          <w:color w:val="000000" w:themeColor="text1"/>
        </w:rPr>
        <w:t>NE:</w:t>
      </w:r>
      <w:r w:rsidR="006407D4" w:rsidRPr="00681D35">
        <w:rPr>
          <w:rFonts w:ascii="Book Antiqua" w:eastAsia="Book Antiqua" w:hAnsi="Book Antiqua" w:cs="Book Antiqua"/>
          <w:color w:val="000000" w:themeColor="text1"/>
        </w:rPr>
        <w:t xml:space="preserve"> Norepinephrine;</w:t>
      </w:r>
      <w:r w:rsidRPr="00681D35">
        <w:rPr>
          <w:rFonts w:ascii="Book Antiqua" w:eastAsia="宋体" w:hAnsi="Book Antiqua"/>
          <w:color w:val="000000" w:themeColor="text1"/>
        </w:rPr>
        <w:t xml:space="preserve"> TNF-α:</w:t>
      </w:r>
      <w:r w:rsidRPr="00681D35">
        <w:rPr>
          <w:rFonts w:ascii="Book Antiqua" w:eastAsia="Book Antiqua" w:hAnsi="Book Antiqua" w:cs="Book Antiqua"/>
          <w:color w:val="000000" w:themeColor="text1"/>
        </w:rPr>
        <w:t xml:space="preserve"> Tumor necrosis factor alpha.</w:t>
      </w:r>
    </w:p>
    <w:p w14:paraId="706551E8" w14:textId="7A041695" w:rsidR="00EB276A" w:rsidRPr="00681D35" w:rsidRDefault="00EB276A" w:rsidP="00EB276A">
      <w:pPr>
        <w:adjustRightInd w:val="0"/>
        <w:snapToGrid w:val="0"/>
        <w:spacing w:line="360" w:lineRule="auto"/>
        <w:jc w:val="both"/>
        <w:rPr>
          <w:rFonts w:ascii="Book Antiqua" w:eastAsia="Book Antiqua" w:hAnsi="Book Antiqua" w:cs="Book Antiqua"/>
          <w:color w:val="000000" w:themeColor="text1"/>
        </w:rPr>
      </w:pPr>
    </w:p>
    <w:p w14:paraId="09E34226" w14:textId="77777777" w:rsidR="00EB276A" w:rsidRPr="00681D35" w:rsidRDefault="00EB276A" w:rsidP="00EB276A">
      <w:pPr>
        <w:adjustRightInd w:val="0"/>
        <w:snapToGrid w:val="0"/>
        <w:spacing w:line="360" w:lineRule="auto"/>
        <w:jc w:val="both"/>
        <w:rPr>
          <w:rFonts w:ascii="Book Antiqua" w:eastAsia="宋体" w:hAnsi="Book Antiqua"/>
          <w:b/>
          <w:bCs/>
          <w:color w:val="000000" w:themeColor="text1"/>
        </w:rPr>
      </w:pPr>
    </w:p>
    <w:p w14:paraId="2A3143FC" w14:textId="1DE1FD81" w:rsidR="00347BCA" w:rsidRPr="00681D35" w:rsidRDefault="006407D4" w:rsidP="003C2906">
      <w:pPr>
        <w:adjustRightInd w:val="0"/>
        <w:snapToGrid w:val="0"/>
        <w:spacing w:line="360" w:lineRule="auto"/>
        <w:jc w:val="both"/>
        <w:rPr>
          <w:rFonts w:ascii="Book Antiqua" w:eastAsia="宋体" w:hAnsi="Book Antiqua"/>
          <w:b/>
          <w:bCs/>
          <w:color w:val="000000" w:themeColor="text1"/>
        </w:rPr>
      </w:pPr>
      <w:r w:rsidRPr="00681D35">
        <w:rPr>
          <w:rFonts w:ascii="Book Antiqua" w:eastAsia="宋体" w:hAnsi="Book Antiqua"/>
          <w:b/>
          <w:bCs/>
          <w:color w:val="000000" w:themeColor="text1"/>
        </w:rPr>
        <w:t xml:space="preserve">Table 5 Comparison of the perioperative indicators between the two groups (mean </w:t>
      </w:r>
      <w:r w:rsidRPr="00681D35">
        <w:rPr>
          <w:rFonts w:ascii="Book Antiqua" w:eastAsia="宋体" w:hAnsi="Book Antiqua"/>
          <w:b/>
          <w:bCs/>
          <w:color w:val="000000" w:themeColor="text1"/>
          <w:lang w:eastAsia="zh-CN"/>
        </w:rPr>
        <w:t>±</w:t>
      </w:r>
      <w:r w:rsidRPr="00681D35">
        <w:rPr>
          <w:rFonts w:ascii="Book Antiqua" w:eastAsia="宋体" w:hAnsi="Book Antiqua"/>
          <w:b/>
          <w:bCs/>
          <w:color w:val="000000" w:themeColor="text1"/>
        </w:rPr>
        <w:t xml:space="preserve"> </w:t>
      </w:r>
      <w:r w:rsidR="00EB276A" w:rsidRPr="00681D35">
        <w:rPr>
          <w:rFonts w:ascii="Book Antiqua" w:eastAsia="宋体" w:hAnsi="Book Antiqua"/>
          <w:b/>
          <w:bCs/>
          <w:color w:val="000000" w:themeColor="text1"/>
        </w:rPr>
        <w:t>SD</w:t>
      </w:r>
      <w:r w:rsidRPr="00681D35">
        <w:rPr>
          <w:rFonts w:ascii="Book Antiqua" w:eastAsia="宋体" w:hAnsi="Book Antiqua"/>
          <w:b/>
          <w:bCs/>
          <w:color w:val="000000" w:themeColor="text1"/>
        </w:rPr>
        <w:t>)</w:t>
      </w:r>
    </w:p>
    <w:tbl>
      <w:tblPr>
        <w:tblW w:w="9070" w:type="dxa"/>
        <w:jc w:val="center"/>
        <w:tblBorders>
          <w:top w:val="single" w:sz="4" w:space="0" w:color="auto"/>
          <w:bottom w:val="single" w:sz="4" w:space="0" w:color="auto"/>
        </w:tblBorders>
        <w:tblLook w:val="04A0" w:firstRow="1" w:lastRow="0" w:firstColumn="1" w:lastColumn="0" w:noHBand="0" w:noVBand="1"/>
      </w:tblPr>
      <w:tblGrid>
        <w:gridCol w:w="2727"/>
        <w:gridCol w:w="1873"/>
        <w:gridCol w:w="1972"/>
        <w:gridCol w:w="1252"/>
        <w:gridCol w:w="1246"/>
      </w:tblGrid>
      <w:tr w:rsidR="00347BCA" w:rsidRPr="00681D35" w14:paraId="492A9429" w14:textId="77777777">
        <w:trPr>
          <w:trHeight w:val="438"/>
          <w:jc w:val="center"/>
        </w:trPr>
        <w:tc>
          <w:tcPr>
            <w:tcW w:w="2727" w:type="dxa"/>
            <w:tcBorders>
              <w:top w:val="single" w:sz="4" w:space="0" w:color="auto"/>
              <w:bottom w:val="single" w:sz="4" w:space="0" w:color="auto"/>
            </w:tcBorders>
            <w:shd w:val="clear" w:color="auto" w:fill="auto"/>
            <w:noWrap/>
            <w:vAlign w:val="center"/>
          </w:tcPr>
          <w:p w14:paraId="3F09F4D7" w14:textId="77777777" w:rsidR="00347BCA" w:rsidRPr="00681D35" w:rsidRDefault="006407D4" w:rsidP="003C2906">
            <w:pPr>
              <w:adjustRightInd w:val="0"/>
              <w:snapToGrid w:val="0"/>
              <w:spacing w:line="360" w:lineRule="auto"/>
              <w:jc w:val="both"/>
              <w:rPr>
                <w:rFonts w:ascii="Book Antiqua" w:eastAsia="宋体" w:hAnsi="Book Antiqua"/>
                <w:b/>
                <w:bCs/>
                <w:color w:val="000000" w:themeColor="text1"/>
              </w:rPr>
            </w:pPr>
            <w:r w:rsidRPr="00681D35">
              <w:rPr>
                <w:rFonts w:ascii="Book Antiqua" w:eastAsia="宋体" w:hAnsi="Book Antiqua"/>
                <w:b/>
                <w:bCs/>
                <w:color w:val="000000" w:themeColor="text1"/>
              </w:rPr>
              <w:t>Indicators</w:t>
            </w:r>
          </w:p>
        </w:tc>
        <w:tc>
          <w:tcPr>
            <w:tcW w:w="1873" w:type="dxa"/>
            <w:tcBorders>
              <w:top w:val="single" w:sz="4" w:space="0" w:color="auto"/>
              <w:bottom w:val="single" w:sz="4" w:space="0" w:color="auto"/>
            </w:tcBorders>
            <w:shd w:val="clear" w:color="auto" w:fill="auto"/>
            <w:noWrap/>
            <w:vAlign w:val="center"/>
          </w:tcPr>
          <w:p w14:paraId="7C02A1DC" w14:textId="115A50E9" w:rsidR="00347BCA" w:rsidRPr="00681D35" w:rsidRDefault="006407D4" w:rsidP="003C2906">
            <w:pPr>
              <w:adjustRightInd w:val="0"/>
              <w:snapToGrid w:val="0"/>
              <w:spacing w:line="360" w:lineRule="auto"/>
              <w:jc w:val="both"/>
              <w:rPr>
                <w:rFonts w:ascii="Book Antiqua" w:eastAsia="宋体" w:hAnsi="Book Antiqua"/>
                <w:b/>
                <w:bCs/>
                <w:color w:val="000000" w:themeColor="text1"/>
              </w:rPr>
            </w:pPr>
            <w:r w:rsidRPr="00681D35">
              <w:rPr>
                <w:rFonts w:ascii="Book Antiqua" w:eastAsia="宋体" w:hAnsi="Book Antiqua"/>
                <w:b/>
                <w:bCs/>
                <w:color w:val="000000" w:themeColor="text1"/>
              </w:rPr>
              <w:t>Rem</w:t>
            </w:r>
            <w:r w:rsidR="0010313A" w:rsidRPr="00681D35">
              <w:rPr>
                <w:rFonts w:ascii="Book Antiqua" w:eastAsia="宋体" w:hAnsi="Book Antiqua"/>
                <w:b/>
                <w:bCs/>
                <w:color w:val="000000" w:themeColor="text1"/>
              </w:rPr>
              <w:t>im</w:t>
            </w:r>
            <w:r w:rsidRPr="00681D35">
              <w:rPr>
                <w:rFonts w:ascii="Book Antiqua" w:eastAsia="宋体" w:hAnsi="Book Antiqua"/>
                <w:b/>
                <w:bCs/>
                <w:color w:val="000000" w:themeColor="text1"/>
              </w:rPr>
              <w:t>azolam group (</w:t>
            </w:r>
            <w:r w:rsidRPr="00681D35">
              <w:rPr>
                <w:rFonts w:ascii="Book Antiqua" w:eastAsia="宋体" w:hAnsi="Book Antiqua"/>
                <w:b/>
                <w:bCs/>
                <w:i/>
                <w:iCs/>
                <w:color w:val="000000" w:themeColor="text1"/>
              </w:rPr>
              <w:t>n</w:t>
            </w:r>
            <w:r w:rsidRPr="00681D35">
              <w:rPr>
                <w:rFonts w:ascii="Book Antiqua" w:eastAsia="宋体" w:hAnsi="Book Antiqua"/>
                <w:b/>
                <w:bCs/>
                <w:color w:val="000000" w:themeColor="text1"/>
              </w:rPr>
              <w:t xml:space="preserve"> = 40)</w:t>
            </w:r>
          </w:p>
        </w:tc>
        <w:tc>
          <w:tcPr>
            <w:tcW w:w="1972" w:type="dxa"/>
            <w:tcBorders>
              <w:top w:val="single" w:sz="4" w:space="0" w:color="auto"/>
              <w:bottom w:val="single" w:sz="4" w:space="0" w:color="auto"/>
            </w:tcBorders>
            <w:shd w:val="clear" w:color="auto" w:fill="auto"/>
            <w:noWrap/>
            <w:vAlign w:val="center"/>
          </w:tcPr>
          <w:p w14:paraId="0C087940" w14:textId="77777777" w:rsidR="00347BCA" w:rsidRPr="00681D35" w:rsidRDefault="006407D4" w:rsidP="003C2906">
            <w:pPr>
              <w:adjustRightInd w:val="0"/>
              <w:snapToGrid w:val="0"/>
              <w:spacing w:line="360" w:lineRule="auto"/>
              <w:jc w:val="both"/>
              <w:rPr>
                <w:rFonts w:ascii="Book Antiqua" w:eastAsia="宋体" w:hAnsi="Book Antiqua"/>
                <w:b/>
                <w:bCs/>
                <w:color w:val="000000" w:themeColor="text1"/>
              </w:rPr>
            </w:pPr>
            <w:r w:rsidRPr="00681D35">
              <w:rPr>
                <w:rFonts w:ascii="Book Antiqua" w:eastAsia="宋体" w:hAnsi="Book Antiqua"/>
                <w:b/>
                <w:bCs/>
                <w:color w:val="000000" w:themeColor="text1"/>
              </w:rPr>
              <w:t>Propofol group (</w:t>
            </w:r>
            <w:r w:rsidRPr="00681D35">
              <w:rPr>
                <w:rFonts w:ascii="Book Antiqua" w:eastAsia="宋体" w:hAnsi="Book Antiqua"/>
                <w:b/>
                <w:bCs/>
                <w:i/>
                <w:iCs/>
                <w:color w:val="000000" w:themeColor="text1"/>
              </w:rPr>
              <w:t>n</w:t>
            </w:r>
            <w:r w:rsidRPr="00681D35">
              <w:rPr>
                <w:rFonts w:ascii="Book Antiqua" w:eastAsia="宋体" w:hAnsi="Book Antiqua"/>
                <w:b/>
                <w:bCs/>
                <w:color w:val="000000" w:themeColor="text1"/>
              </w:rPr>
              <w:t xml:space="preserve"> = 40)</w:t>
            </w:r>
          </w:p>
        </w:tc>
        <w:tc>
          <w:tcPr>
            <w:tcW w:w="1252" w:type="dxa"/>
            <w:tcBorders>
              <w:top w:val="single" w:sz="4" w:space="0" w:color="auto"/>
              <w:bottom w:val="single" w:sz="4" w:space="0" w:color="auto"/>
            </w:tcBorders>
            <w:shd w:val="clear" w:color="auto" w:fill="auto"/>
            <w:vAlign w:val="center"/>
          </w:tcPr>
          <w:p w14:paraId="3C203756" w14:textId="77777777" w:rsidR="00347BCA" w:rsidRPr="00681D35" w:rsidRDefault="006407D4" w:rsidP="003C2906">
            <w:pPr>
              <w:adjustRightInd w:val="0"/>
              <w:snapToGrid w:val="0"/>
              <w:spacing w:line="360" w:lineRule="auto"/>
              <w:jc w:val="both"/>
              <w:rPr>
                <w:rFonts w:ascii="Book Antiqua" w:eastAsia="宋体" w:hAnsi="Book Antiqua"/>
                <w:b/>
                <w:bCs/>
                <w:color w:val="000000" w:themeColor="text1"/>
              </w:rPr>
            </w:pPr>
            <w:r w:rsidRPr="00681D35">
              <w:rPr>
                <w:rFonts w:ascii="Book Antiqua" w:eastAsia="宋体" w:hAnsi="Book Antiqua"/>
                <w:b/>
                <w:bCs/>
                <w:i/>
                <w:iCs/>
                <w:color w:val="000000" w:themeColor="text1"/>
              </w:rPr>
              <w:t>t</w:t>
            </w:r>
            <w:r w:rsidRPr="00681D35">
              <w:rPr>
                <w:rFonts w:ascii="Book Antiqua" w:eastAsia="宋体" w:hAnsi="Book Antiqua"/>
                <w:b/>
                <w:bCs/>
                <w:color w:val="000000" w:themeColor="text1"/>
              </w:rPr>
              <w:t xml:space="preserve"> value</w:t>
            </w:r>
          </w:p>
        </w:tc>
        <w:tc>
          <w:tcPr>
            <w:tcW w:w="1246" w:type="dxa"/>
            <w:tcBorders>
              <w:top w:val="single" w:sz="4" w:space="0" w:color="auto"/>
              <w:bottom w:val="single" w:sz="4" w:space="0" w:color="auto"/>
            </w:tcBorders>
            <w:shd w:val="clear" w:color="auto" w:fill="auto"/>
            <w:vAlign w:val="center"/>
          </w:tcPr>
          <w:p w14:paraId="3AF7A2BA" w14:textId="77777777" w:rsidR="00347BCA" w:rsidRPr="00681D35" w:rsidRDefault="006407D4" w:rsidP="003C2906">
            <w:pPr>
              <w:adjustRightInd w:val="0"/>
              <w:snapToGrid w:val="0"/>
              <w:spacing w:line="360" w:lineRule="auto"/>
              <w:jc w:val="both"/>
              <w:rPr>
                <w:rFonts w:ascii="Book Antiqua" w:eastAsia="宋体" w:hAnsi="Book Antiqua"/>
                <w:b/>
                <w:bCs/>
                <w:color w:val="000000" w:themeColor="text1"/>
              </w:rPr>
            </w:pPr>
            <w:r w:rsidRPr="00681D35">
              <w:rPr>
                <w:rFonts w:ascii="Book Antiqua" w:eastAsia="宋体" w:hAnsi="Book Antiqua"/>
                <w:b/>
                <w:bCs/>
                <w:i/>
                <w:iCs/>
                <w:color w:val="000000" w:themeColor="text1"/>
              </w:rPr>
              <w:t>P</w:t>
            </w:r>
            <w:r w:rsidRPr="00681D35">
              <w:rPr>
                <w:rFonts w:ascii="Book Antiqua" w:eastAsia="宋体" w:hAnsi="Book Antiqua"/>
                <w:b/>
                <w:bCs/>
                <w:color w:val="000000" w:themeColor="text1"/>
              </w:rPr>
              <w:t xml:space="preserve"> value</w:t>
            </w:r>
          </w:p>
        </w:tc>
      </w:tr>
      <w:tr w:rsidR="00347BCA" w:rsidRPr="00681D35" w14:paraId="1855BD3A" w14:textId="77777777">
        <w:trPr>
          <w:trHeight w:val="438"/>
          <w:jc w:val="center"/>
        </w:trPr>
        <w:tc>
          <w:tcPr>
            <w:tcW w:w="2727" w:type="dxa"/>
            <w:tcBorders>
              <w:top w:val="single" w:sz="4" w:space="0" w:color="auto"/>
            </w:tcBorders>
            <w:shd w:val="clear" w:color="auto" w:fill="auto"/>
            <w:noWrap/>
            <w:vAlign w:val="center"/>
          </w:tcPr>
          <w:p w14:paraId="0182B387"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Operative time (min)</w:t>
            </w:r>
          </w:p>
        </w:tc>
        <w:tc>
          <w:tcPr>
            <w:tcW w:w="1873" w:type="dxa"/>
            <w:tcBorders>
              <w:top w:val="single" w:sz="4" w:space="0" w:color="auto"/>
            </w:tcBorders>
            <w:shd w:val="clear" w:color="auto" w:fill="auto"/>
            <w:noWrap/>
            <w:vAlign w:val="center"/>
          </w:tcPr>
          <w:p w14:paraId="0E2DF23A" w14:textId="77777777" w:rsidR="00347BCA" w:rsidRPr="00681D35"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249.6 ± 18.5</w:t>
            </w:r>
          </w:p>
        </w:tc>
        <w:tc>
          <w:tcPr>
            <w:tcW w:w="1972" w:type="dxa"/>
            <w:tcBorders>
              <w:top w:val="single" w:sz="4" w:space="0" w:color="auto"/>
            </w:tcBorders>
            <w:shd w:val="clear" w:color="auto" w:fill="auto"/>
            <w:noWrap/>
            <w:vAlign w:val="center"/>
          </w:tcPr>
          <w:p w14:paraId="13B246AF" w14:textId="77777777" w:rsidR="00347BCA" w:rsidRPr="00681D35"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245.8 ± 17.0</w:t>
            </w:r>
          </w:p>
        </w:tc>
        <w:tc>
          <w:tcPr>
            <w:tcW w:w="1252" w:type="dxa"/>
            <w:tcBorders>
              <w:top w:val="single" w:sz="4" w:space="0" w:color="auto"/>
            </w:tcBorders>
            <w:shd w:val="clear" w:color="auto" w:fill="auto"/>
            <w:noWrap/>
            <w:vAlign w:val="center"/>
          </w:tcPr>
          <w:p w14:paraId="394E5B9D" w14:textId="77777777" w:rsidR="00347BCA" w:rsidRPr="00681D35"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0.957 </w:t>
            </w:r>
          </w:p>
        </w:tc>
        <w:tc>
          <w:tcPr>
            <w:tcW w:w="1246" w:type="dxa"/>
            <w:tcBorders>
              <w:top w:val="single" w:sz="4" w:space="0" w:color="auto"/>
            </w:tcBorders>
            <w:shd w:val="clear" w:color="auto" w:fill="auto"/>
            <w:noWrap/>
            <w:vAlign w:val="center"/>
          </w:tcPr>
          <w:p w14:paraId="0E1D626E" w14:textId="77777777" w:rsidR="00347BCA" w:rsidRPr="00681D35"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0.342 </w:t>
            </w:r>
          </w:p>
        </w:tc>
      </w:tr>
      <w:tr w:rsidR="00347BCA" w:rsidRPr="00681D35" w14:paraId="48D87202" w14:textId="77777777">
        <w:trPr>
          <w:trHeight w:val="438"/>
          <w:jc w:val="center"/>
        </w:trPr>
        <w:tc>
          <w:tcPr>
            <w:tcW w:w="2727" w:type="dxa"/>
            <w:shd w:val="clear" w:color="auto" w:fill="auto"/>
            <w:noWrap/>
            <w:vAlign w:val="center"/>
          </w:tcPr>
          <w:p w14:paraId="2C491471" w14:textId="77777777" w:rsidR="00347BCA" w:rsidRPr="00681D35"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Operative blood loss (mL)</w:t>
            </w:r>
          </w:p>
        </w:tc>
        <w:tc>
          <w:tcPr>
            <w:tcW w:w="1873" w:type="dxa"/>
            <w:shd w:val="clear" w:color="auto" w:fill="auto"/>
            <w:noWrap/>
            <w:vAlign w:val="center"/>
          </w:tcPr>
          <w:p w14:paraId="0AA1F9A3" w14:textId="77777777" w:rsidR="00347BCA" w:rsidRPr="00681D35"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308.4 ± 20.7</w:t>
            </w:r>
          </w:p>
        </w:tc>
        <w:tc>
          <w:tcPr>
            <w:tcW w:w="1972" w:type="dxa"/>
            <w:shd w:val="clear" w:color="auto" w:fill="auto"/>
            <w:noWrap/>
            <w:vAlign w:val="center"/>
          </w:tcPr>
          <w:p w14:paraId="02F299BE" w14:textId="77777777" w:rsidR="00347BCA" w:rsidRPr="00681D35"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304.1 ± 18.6</w:t>
            </w:r>
          </w:p>
        </w:tc>
        <w:tc>
          <w:tcPr>
            <w:tcW w:w="1252" w:type="dxa"/>
            <w:shd w:val="clear" w:color="auto" w:fill="auto"/>
            <w:noWrap/>
            <w:vAlign w:val="center"/>
          </w:tcPr>
          <w:p w14:paraId="3000B1FE" w14:textId="77777777" w:rsidR="00347BCA" w:rsidRPr="00681D35"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0.977 </w:t>
            </w:r>
          </w:p>
        </w:tc>
        <w:tc>
          <w:tcPr>
            <w:tcW w:w="1246" w:type="dxa"/>
            <w:shd w:val="clear" w:color="auto" w:fill="auto"/>
            <w:noWrap/>
            <w:vAlign w:val="center"/>
          </w:tcPr>
          <w:p w14:paraId="25B917F2" w14:textId="77777777" w:rsidR="00347BCA" w:rsidRPr="00681D35"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0.331 </w:t>
            </w:r>
          </w:p>
        </w:tc>
      </w:tr>
      <w:tr w:rsidR="00347BCA" w:rsidRPr="00681D35" w14:paraId="4A99E91F" w14:textId="77777777">
        <w:trPr>
          <w:trHeight w:val="438"/>
          <w:jc w:val="center"/>
        </w:trPr>
        <w:tc>
          <w:tcPr>
            <w:tcW w:w="2727" w:type="dxa"/>
            <w:shd w:val="clear" w:color="auto" w:fill="auto"/>
            <w:noWrap/>
            <w:vAlign w:val="center"/>
          </w:tcPr>
          <w:p w14:paraId="329AA16D" w14:textId="77777777" w:rsidR="00347BCA" w:rsidRPr="00681D35"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Intraoperative urine volume (mL)</w:t>
            </w:r>
          </w:p>
        </w:tc>
        <w:tc>
          <w:tcPr>
            <w:tcW w:w="1873" w:type="dxa"/>
            <w:shd w:val="clear" w:color="auto" w:fill="auto"/>
            <w:noWrap/>
            <w:vAlign w:val="center"/>
          </w:tcPr>
          <w:p w14:paraId="712F9F3F" w14:textId="77777777" w:rsidR="00347BCA" w:rsidRPr="00681D35"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488.3 ± 81.0</w:t>
            </w:r>
          </w:p>
        </w:tc>
        <w:tc>
          <w:tcPr>
            <w:tcW w:w="1972" w:type="dxa"/>
            <w:shd w:val="clear" w:color="auto" w:fill="auto"/>
            <w:noWrap/>
            <w:vAlign w:val="center"/>
          </w:tcPr>
          <w:p w14:paraId="4AFD2D1F" w14:textId="77777777" w:rsidR="00347BCA" w:rsidRPr="00681D35"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502.7 ± 86.5</w:t>
            </w:r>
          </w:p>
        </w:tc>
        <w:tc>
          <w:tcPr>
            <w:tcW w:w="1252" w:type="dxa"/>
            <w:shd w:val="clear" w:color="auto" w:fill="auto"/>
            <w:noWrap/>
            <w:vAlign w:val="center"/>
          </w:tcPr>
          <w:p w14:paraId="6DB8D434" w14:textId="77777777" w:rsidR="00347BCA" w:rsidRPr="00681D35"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-0.769 </w:t>
            </w:r>
          </w:p>
        </w:tc>
        <w:tc>
          <w:tcPr>
            <w:tcW w:w="1246" w:type="dxa"/>
            <w:shd w:val="clear" w:color="auto" w:fill="auto"/>
            <w:noWrap/>
            <w:vAlign w:val="center"/>
          </w:tcPr>
          <w:p w14:paraId="66B1B5D7" w14:textId="77777777" w:rsidR="00347BCA" w:rsidRPr="00681D35"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0.444 </w:t>
            </w:r>
          </w:p>
        </w:tc>
      </w:tr>
      <w:tr w:rsidR="00347BCA" w:rsidRPr="00681D35" w14:paraId="2FF84F78" w14:textId="77777777">
        <w:trPr>
          <w:trHeight w:val="438"/>
          <w:jc w:val="center"/>
        </w:trPr>
        <w:tc>
          <w:tcPr>
            <w:tcW w:w="2727" w:type="dxa"/>
            <w:shd w:val="clear" w:color="auto" w:fill="auto"/>
            <w:noWrap/>
            <w:vAlign w:val="center"/>
          </w:tcPr>
          <w:p w14:paraId="0D91394F" w14:textId="77777777" w:rsidR="00347BCA" w:rsidRPr="00681D35"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CPB transit time (min)</w:t>
            </w:r>
          </w:p>
        </w:tc>
        <w:tc>
          <w:tcPr>
            <w:tcW w:w="1873" w:type="dxa"/>
            <w:shd w:val="clear" w:color="auto" w:fill="auto"/>
            <w:noWrap/>
            <w:vAlign w:val="center"/>
          </w:tcPr>
          <w:p w14:paraId="17504685" w14:textId="77777777" w:rsidR="00347BCA" w:rsidRPr="00681D35"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115.8 ± 9.8</w:t>
            </w:r>
          </w:p>
        </w:tc>
        <w:tc>
          <w:tcPr>
            <w:tcW w:w="1972" w:type="dxa"/>
            <w:shd w:val="clear" w:color="auto" w:fill="auto"/>
            <w:noWrap/>
            <w:vAlign w:val="center"/>
          </w:tcPr>
          <w:p w14:paraId="7DAE2658" w14:textId="77777777" w:rsidR="00347BCA" w:rsidRPr="00681D35"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113.5 ± 10.6</w:t>
            </w:r>
          </w:p>
        </w:tc>
        <w:tc>
          <w:tcPr>
            <w:tcW w:w="1252" w:type="dxa"/>
            <w:shd w:val="clear" w:color="auto" w:fill="auto"/>
            <w:noWrap/>
            <w:vAlign w:val="center"/>
          </w:tcPr>
          <w:p w14:paraId="1D01E97E" w14:textId="77777777" w:rsidR="00347BCA" w:rsidRPr="00681D35"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1.008 </w:t>
            </w:r>
          </w:p>
        </w:tc>
        <w:tc>
          <w:tcPr>
            <w:tcW w:w="1246" w:type="dxa"/>
            <w:shd w:val="clear" w:color="auto" w:fill="auto"/>
            <w:noWrap/>
            <w:vAlign w:val="center"/>
          </w:tcPr>
          <w:p w14:paraId="6D67536C" w14:textId="77777777" w:rsidR="00347BCA" w:rsidRPr="00681D35"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0.317 </w:t>
            </w:r>
          </w:p>
        </w:tc>
      </w:tr>
      <w:tr w:rsidR="00347BCA" w:rsidRPr="00681D35" w14:paraId="120A7A65" w14:textId="77777777">
        <w:trPr>
          <w:trHeight w:val="438"/>
          <w:jc w:val="center"/>
        </w:trPr>
        <w:tc>
          <w:tcPr>
            <w:tcW w:w="2727" w:type="dxa"/>
            <w:shd w:val="clear" w:color="auto" w:fill="auto"/>
            <w:noWrap/>
            <w:vAlign w:val="center"/>
          </w:tcPr>
          <w:p w14:paraId="640D8489" w14:textId="77777777" w:rsidR="00347BCA" w:rsidRPr="00681D35"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Ascending aorta occlusion time (min)</w:t>
            </w:r>
          </w:p>
        </w:tc>
        <w:tc>
          <w:tcPr>
            <w:tcW w:w="1873" w:type="dxa"/>
            <w:shd w:val="clear" w:color="auto" w:fill="auto"/>
            <w:noWrap/>
            <w:vAlign w:val="center"/>
          </w:tcPr>
          <w:p w14:paraId="75A262B8" w14:textId="77777777" w:rsidR="00347BCA" w:rsidRPr="00681D35"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76.4 ± 5.1</w:t>
            </w:r>
          </w:p>
        </w:tc>
        <w:tc>
          <w:tcPr>
            <w:tcW w:w="1972" w:type="dxa"/>
            <w:shd w:val="clear" w:color="auto" w:fill="auto"/>
            <w:noWrap/>
            <w:vAlign w:val="center"/>
          </w:tcPr>
          <w:p w14:paraId="71B21CB6" w14:textId="77777777" w:rsidR="00347BCA" w:rsidRPr="00681D35"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78.1 ± 6.3</w:t>
            </w:r>
          </w:p>
        </w:tc>
        <w:tc>
          <w:tcPr>
            <w:tcW w:w="1252" w:type="dxa"/>
            <w:shd w:val="clear" w:color="auto" w:fill="auto"/>
            <w:noWrap/>
            <w:vAlign w:val="center"/>
          </w:tcPr>
          <w:p w14:paraId="5904534C" w14:textId="77777777" w:rsidR="00347BCA" w:rsidRPr="00681D35"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-1.326 </w:t>
            </w:r>
          </w:p>
        </w:tc>
        <w:tc>
          <w:tcPr>
            <w:tcW w:w="1246" w:type="dxa"/>
            <w:shd w:val="clear" w:color="auto" w:fill="auto"/>
            <w:noWrap/>
            <w:vAlign w:val="center"/>
          </w:tcPr>
          <w:p w14:paraId="15FC7B14" w14:textId="77777777" w:rsidR="00347BCA" w:rsidRPr="00681D35"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0.189 </w:t>
            </w:r>
          </w:p>
        </w:tc>
      </w:tr>
      <w:tr w:rsidR="00347BCA" w:rsidRPr="00681D35" w14:paraId="3BA1F23B" w14:textId="77777777">
        <w:trPr>
          <w:trHeight w:val="438"/>
          <w:jc w:val="center"/>
        </w:trPr>
        <w:tc>
          <w:tcPr>
            <w:tcW w:w="2727" w:type="dxa"/>
            <w:shd w:val="clear" w:color="auto" w:fill="auto"/>
            <w:noWrap/>
            <w:vAlign w:val="center"/>
          </w:tcPr>
          <w:p w14:paraId="37063D26" w14:textId="77777777" w:rsidR="00347BCA" w:rsidRPr="00681D35"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Recovery time</w:t>
            </w:r>
            <w:r w:rsidRPr="00681D35">
              <w:rPr>
                <w:rFonts w:ascii="Book Antiqua" w:eastAsia="宋体" w:hAnsi="Book Antiqua"/>
                <w:color w:val="000000" w:themeColor="text1"/>
                <w:lang w:eastAsia="zh-CN"/>
              </w:rPr>
              <w:t xml:space="preserve"> </w:t>
            </w:r>
            <w:r w:rsidRPr="00681D35">
              <w:rPr>
                <w:rFonts w:ascii="Book Antiqua" w:eastAsia="宋体" w:hAnsi="Book Antiqua"/>
                <w:color w:val="000000" w:themeColor="text1"/>
              </w:rPr>
              <w:t>(min)</w:t>
            </w:r>
          </w:p>
        </w:tc>
        <w:tc>
          <w:tcPr>
            <w:tcW w:w="1873" w:type="dxa"/>
            <w:shd w:val="clear" w:color="auto" w:fill="auto"/>
            <w:noWrap/>
            <w:vAlign w:val="center"/>
          </w:tcPr>
          <w:p w14:paraId="0564A716" w14:textId="77777777" w:rsidR="00347BCA" w:rsidRPr="00681D35"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121.1 ± 18.0</w:t>
            </w:r>
          </w:p>
        </w:tc>
        <w:tc>
          <w:tcPr>
            <w:tcW w:w="1972" w:type="dxa"/>
            <w:shd w:val="clear" w:color="auto" w:fill="auto"/>
            <w:noWrap/>
            <w:vAlign w:val="center"/>
          </w:tcPr>
          <w:p w14:paraId="016AA706" w14:textId="77777777" w:rsidR="00347BCA" w:rsidRPr="00681D35"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140.2 ± 21.5</w:t>
            </w:r>
          </w:p>
        </w:tc>
        <w:tc>
          <w:tcPr>
            <w:tcW w:w="1252" w:type="dxa"/>
            <w:shd w:val="clear" w:color="auto" w:fill="auto"/>
            <w:noWrap/>
            <w:vAlign w:val="center"/>
          </w:tcPr>
          <w:p w14:paraId="73965536" w14:textId="77777777" w:rsidR="00347BCA" w:rsidRPr="00681D35"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-4.308 </w:t>
            </w:r>
          </w:p>
        </w:tc>
        <w:tc>
          <w:tcPr>
            <w:tcW w:w="1246" w:type="dxa"/>
            <w:shd w:val="clear" w:color="auto" w:fill="auto"/>
            <w:noWrap/>
            <w:vAlign w:val="center"/>
          </w:tcPr>
          <w:p w14:paraId="694FF61F" w14:textId="77777777" w:rsidR="00347BCA" w:rsidRPr="00681D35"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0.000 </w:t>
            </w:r>
          </w:p>
        </w:tc>
      </w:tr>
      <w:tr w:rsidR="00347BCA" w:rsidRPr="00681D35" w14:paraId="2DA46B58" w14:textId="77777777">
        <w:trPr>
          <w:trHeight w:val="438"/>
          <w:jc w:val="center"/>
        </w:trPr>
        <w:tc>
          <w:tcPr>
            <w:tcW w:w="2727" w:type="dxa"/>
            <w:shd w:val="clear" w:color="auto" w:fill="auto"/>
            <w:noWrap/>
            <w:vAlign w:val="center"/>
          </w:tcPr>
          <w:p w14:paraId="4ED69BA6" w14:textId="77777777" w:rsidR="00347BCA" w:rsidRPr="00681D35"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Extubation time (min)</w:t>
            </w:r>
          </w:p>
        </w:tc>
        <w:tc>
          <w:tcPr>
            <w:tcW w:w="1873" w:type="dxa"/>
            <w:shd w:val="clear" w:color="auto" w:fill="auto"/>
            <w:noWrap/>
            <w:vAlign w:val="center"/>
          </w:tcPr>
          <w:p w14:paraId="1A1DFD75" w14:textId="77777777" w:rsidR="00347BCA" w:rsidRPr="00681D35"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158.3 ± 24.7</w:t>
            </w:r>
          </w:p>
        </w:tc>
        <w:tc>
          <w:tcPr>
            <w:tcW w:w="1972" w:type="dxa"/>
            <w:shd w:val="clear" w:color="auto" w:fill="auto"/>
            <w:noWrap/>
            <w:vAlign w:val="center"/>
          </w:tcPr>
          <w:p w14:paraId="0B91364B" w14:textId="77777777" w:rsidR="00347BCA" w:rsidRPr="00681D35"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174.9 ± 28.6</w:t>
            </w:r>
          </w:p>
        </w:tc>
        <w:tc>
          <w:tcPr>
            <w:tcW w:w="1252" w:type="dxa"/>
            <w:shd w:val="clear" w:color="auto" w:fill="auto"/>
            <w:noWrap/>
            <w:vAlign w:val="center"/>
          </w:tcPr>
          <w:p w14:paraId="5CDC84FB" w14:textId="77777777" w:rsidR="00347BCA" w:rsidRPr="00681D35"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-2.778 </w:t>
            </w:r>
          </w:p>
        </w:tc>
        <w:tc>
          <w:tcPr>
            <w:tcW w:w="1246" w:type="dxa"/>
            <w:shd w:val="clear" w:color="auto" w:fill="auto"/>
            <w:noWrap/>
            <w:vAlign w:val="center"/>
          </w:tcPr>
          <w:p w14:paraId="12E671B2" w14:textId="77777777" w:rsidR="00347BCA" w:rsidRPr="00681D35"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0.007 </w:t>
            </w:r>
          </w:p>
        </w:tc>
      </w:tr>
      <w:tr w:rsidR="00347BCA" w:rsidRPr="00681D35" w14:paraId="1350ED0F" w14:textId="77777777">
        <w:trPr>
          <w:trHeight w:val="438"/>
          <w:jc w:val="center"/>
        </w:trPr>
        <w:tc>
          <w:tcPr>
            <w:tcW w:w="2727" w:type="dxa"/>
            <w:shd w:val="clear" w:color="auto" w:fill="auto"/>
            <w:noWrap/>
            <w:vAlign w:val="center"/>
          </w:tcPr>
          <w:p w14:paraId="17B6D2DB" w14:textId="77777777" w:rsidR="00347BCA" w:rsidRPr="00681D35"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Fluid volume (mL)</w:t>
            </w:r>
          </w:p>
        </w:tc>
        <w:tc>
          <w:tcPr>
            <w:tcW w:w="1873" w:type="dxa"/>
            <w:shd w:val="clear" w:color="auto" w:fill="auto"/>
            <w:noWrap/>
            <w:vAlign w:val="center"/>
          </w:tcPr>
          <w:p w14:paraId="5BC3E4C3" w14:textId="77777777" w:rsidR="00347BCA" w:rsidRPr="00681D35"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1985.6 ± 223.1</w:t>
            </w:r>
          </w:p>
        </w:tc>
        <w:tc>
          <w:tcPr>
            <w:tcW w:w="1972" w:type="dxa"/>
            <w:shd w:val="clear" w:color="auto" w:fill="auto"/>
            <w:noWrap/>
            <w:vAlign w:val="center"/>
          </w:tcPr>
          <w:p w14:paraId="052BF871" w14:textId="77777777" w:rsidR="00347BCA" w:rsidRPr="00681D35"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2056.7 ± 245.7</w:t>
            </w:r>
          </w:p>
        </w:tc>
        <w:tc>
          <w:tcPr>
            <w:tcW w:w="1252" w:type="dxa"/>
            <w:shd w:val="clear" w:color="auto" w:fill="auto"/>
            <w:noWrap/>
            <w:vAlign w:val="center"/>
          </w:tcPr>
          <w:p w14:paraId="02E6B43D" w14:textId="77777777" w:rsidR="00347BCA" w:rsidRPr="00681D35"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-1.355 </w:t>
            </w:r>
          </w:p>
        </w:tc>
        <w:tc>
          <w:tcPr>
            <w:tcW w:w="1246" w:type="dxa"/>
            <w:shd w:val="clear" w:color="auto" w:fill="auto"/>
            <w:noWrap/>
            <w:vAlign w:val="center"/>
          </w:tcPr>
          <w:p w14:paraId="679D2993" w14:textId="77777777" w:rsidR="00347BCA" w:rsidRPr="00681D35"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0.179 </w:t>
            </w:r>
          </w:p>
        </w:tc>
      </w:tr>
      <w:tr w:rsidR="00347BCA" w:rsidRPr="00681D35" w14:paraId="749DD0A9" w14:textId="77777777">
        <w:trPr>
          <w:trHeight w:val="438"/>
          <w:jc w:val="center"/>
        </w:trPr>
        <w:tc>
          <w:tcPr>
            <w:tcW w:w="2727" w:type="dxa"/>
            <w:shd w:val="clear" w:color="auto" w:fill="auto"/>
            <w:noWrap/>
            <w:vAlign w:val="center"/>
          </w:tcPr>
          <w:p w14:paraId="22A31E36" w14:textId="77777777" w:rsidR="00347BCA" w:rsidRPr="00681D35"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Fentanyl dosage (mg)</w:t>
            </w:r>
          </w:p>
        </w:tc>
        <w:tc>
          <w:tcPr>
            <w:tcW w:w="1873" w:type="dxa"/>
            <w:shd w:val="clear" w:color="auto" w:fill="auto"/>
            <w:noWrap/>
            <w:vAlign w:val="center"/>
          </w:tcPr>
          <w:p w14:paraId="66CAB536"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122.8 ± 21.6</w:t>
            </w:r>
          </w:p>
        </w:tc>
        <w:tc>
          <w:tcPr>
            <w:tcW w:w="1972" w:type="dxa"/>
            <w:shd w:val="clear" w:color="auto" w:fill="auto"/>
            <w:noWrap/>
            <w:vAlign w:val="center"/>
          </w:tcPr>
          <w:p w14:paraId="0996D048"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126.4 ± 34.2</w:t>
            </w:r>
          </w:p>
        </w:tc>
        <w:tc>
          <w:tcPr>
            <w:tcW w:w="1252" w:type="dxa"/>
            <w:shd w:val="clear" w:color="auto" w:fill="auto"/>
            <w:noWrap/>
            <w:vAlign w:val="center"/>
          </w:tcPr>
          <w:p w14:paraId="79C110B3" w14:textId="77777777" w:rsidR="00347BCA" w:rsidRPr="00681D35"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-0.563 </w:t>
            </w:r>
          </w:p>
        </w:tc>
        <w:tc>
          <w:tcPr>
            <w:tcW w:w="1246" w:type="dxa"/>
            <w:shd w:val="clear" w:color="auto" w:fill="auto"/>
            <w:noWrap/>
            <w:vAlign w:val="center"/>
          </w:tcPr>
          <w:p w14:paraId="7EAAAC38" w14:textId="77777777" w:rsidR="00347BCA" w:rsidRPr="00681D35"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0.575 </w:t>
            </w:r>
          </w:p>
        </w:tc>
      </w:tr>
    </w:tbl>
    <w:p w14:paraId="5356A8E7" w14:textId="77777777" w:rsidR="00EF34A3" w:rsidRPr="00681D35" w:rsidRDefault="006407D4" w:rsidP="003C2906">
      <w:pPr>
        <w:adjustRightInd w:val="0"/>
        <w:snapToGrid w:val="0"/>
        <w:spacing w:line="360" w:lineRule="auto"/>
        <w:jc w:val="both"/>
        <w:rPr>
          <w:rFonts w:ascii="Book Antiqua" w:eastAsia="Book Antiqua" w:hAnsi="Book Antiqua" w:cs="Book Antiqua"/>
          <w:color w:val="000000" w:themeColor="text1"/>
        </w:rPr>
      </w:pPr>
      <w:r w:rsidRPr="00681D35">
        <w:rPr>
          <w:rFonts w:ascii="Book Antiqua" w:eastAsia="Book Antiqua" w:hAnsi="Book Antiqua" w:cs="Book Antiqua"/>
          <w:color w:val="000000" w:themeColor="text1"/>
        </w:rPr>
        <w:t>CPB: Cardiopulmonary bypass.</w:t>
      </w:r>
    </w:p>
    <w:p w14:paraId="4BF83B0C" w14:textId="77777777" w:rsidR="00EF34A3" w:rsidRPr="00681D35" w:rsidRDefault="00EF34A3" w:rsidP="003C2906">
      <w:pPr>
        <w:adjustRightInd w:val="0"/>
        <w:snapToGrid w:val="0"/>
        <w:spacing w:line="360" w:lineRule="auto"/>
        <w:jc w:val="both"/>
        <w:rPr>
          <w:rFonts w:ascii="Book Antiqua" w:eastAsia="宋体" w:hAnsi="Book Antiqua"/>
          <w:color w:val="000000" w:themeColor="text1"/>
        </w:rPr>
      </w:pPr>
    </w:p>
    <w:p w14:paraId="0C8E1F89" w14:textId="77777777" w:rsidR="00EF34A3" w:rsidRPr="00681D35" w:rsidRDefault="00EF34A3">
      <w:pPr>
        <w:rPr>
          <w:rFonts w:ascii="Book Antiqua" w:eastAsia="宋体" w:hAnsi="Book Antiqua"/>
          <w:color w:val="000000" w:themeColor="text1"/>
        </w:rPr>
      </w:pPr>
      <w:r w:rsidRPr="00681D35">
        <w:rPr>
          <w:rFonts w:ascii="Book Antiqua" w:eastAsia="宋体" w:hAnsi="Book Antiqua"/>
          <w:color w:val="000000" w:themeColor="text1"/>
        </w:rPr>
        <w:br w:type="page"/>
      </w:r>
    </w:p>
    <w:p w14:paraId="66B865EB" w14:textId="0CFE22EA" w:rsidR="00347BCA" w:rsidRPr="00681D35" w:rsidRDefault="006407D4" w:rsidP="003C2906">
      <w:pPr>
        <w:adjustRightInd w:val="0"/>
        <w:snapToGrid w:val="0"/>
        <w:spacing w:line="360" w:lineRule="auto"/>
        <w:jc w:val="both"/>
        <w:rPr>
          <w:rFonts w:ascii="Book Antiqua" w:eastAsia="宋体" w:hAnsi="Book Antiqua"/>
          <w:b/>
          <w:bCs/>
          <w:color w:val="000000" w:themeColor="text1"/>
        </w:rPr>
      </w:pPr>
      <w:r w:rsidRPr="00681D35">
        <w:rPr>
          <w:rFonts w:ascii="Book Antiqua" w:eastAsia="宋体" w:hAnsi="Book Antiqua"/>
          <w:b/>
          <w:bCs/>
          <w:color w:val="000000" w:themeColor="text1"/>
        </w:rPr>
        <w:lastRenderedPageBreak/>
        <w:t xml:space="preserve">Table 6 Comparison of the adverse reactions between the two groups, </w:t>
      </w:r>
      <w:r w:rsidRPr="00681D35">
        <w:rPr>
          <w:rFonts w:ascii="Book Antiqua" w:eastAsia="宋体" w:hAnsi="Book Antiqua"/>
          <w:b/>
          <w:bCs/>
          <w:i/>
          <w:iCs/>
          <w:color w:val="000000" w:themeColor="text1"/>
        </w:rPr>
        <w:t>n</w:t>
      </w:r>
      <w:r w:rsidRPr="00681D35">
        <w:rPr>
          <w:rFonts w:ascii="Book Antiqua" w:eastAsia="宋体" w:hAnsi="Book Antiqua"/>
          <w:b/>
          <w:bCs/>
          <w:color w:val="000000" w:themeColor="text1"/>
        </w:rPr>
        <w:t xml:space="preserve"> (%)</w:t>
      </w:r>
    </w:p>
    <w:tbl>
      <w:tblPr>
        <w:tblW w:w="8628" w:type="dxa"/>
        <w:jc w:val="center"/>
        <w:tblBorders>
          <w:top w:val="single" w:sz="4" w:space="0" w:color="auto"/>
          <w:bottom w:val="single" w:sz="4" w:space="0" w:color="auto"/>
        </w:tblBorders>
        <w:tblLook w:val="04A0" w:firstRow="1" w:lastRow="0" w:firstColumn="1" w:lastColumn="0" w:noHBand="0" w:noVBand="1"/>
      </w:tblPr>
      <w:tblGrid>
        <w:gridCol w:w="1537"/>
        <w:gridCol w:w="627"/>
        <w:gridCol w:w="936"/>
        <w:gridCol w:w="936"/>
        <w:gridCol w:w="1439"/>
        <w:gridCol w:w="1324"/>
        <w:gridCol w:w="1233"/>
        <w:gridCol w:w="1210"/>
      </w:tblGrid>
      <w:tr w:rsidR="00347BCA" w:rsidRPr="00681D35" w14:paraId="75B7C419" w14:textId="77777777">
        <w:trPr>
          <w:trHeight w:val="312"/>
          <w:jc w:val="center"/>
        </w:trPr>
        <w:tc>
          <w:tcPr>
            <w:tcW w:w="1276" w:type="dxa"/>
            <w:tcBorders>
              <w:top w:val="single" w:sz="4" w:space="0" w:color="auto"/>
              <w:bottom w:val="single" w:sz="4" w:space="0" w:color="auto"/>
            </w:tcBorders>
            <w:shd w:val="clear" w:color="auto" w:fill="auto"/>
            <w:noWrap/>
            <w:vAlign w:val="center"/>
          </w:tcPr>
          <w:p w14:paraId="4B2ADD1C" w14:textId="77777777" w:rsidR="00347BCA" w:rsidRPr="00681D35" w:rsidRDefault="006407D4" w:rsidP="003C2906">
            <w:pPr>
              <w:adjustRightInd w:val="0"/>
              <w:snapToGrid w:val="0"/>
              <w:spacing w:line="360" w:lineRule="auto"/>
              <w:jc w:val="both"/>
              <w:rPr>
                <w:rFonts w:ascii="Book Antiqua" w:eastAsia="宋体" w:hAnsi="Book Antiqua"/>
                <w:b/>
                <w:bCs/>
                <w:color w:val="000000" w:themeColor="text1"/>
              </w:rPr>
            </w:pPr>
            <w:r w:rsidRPr="00681D35">
              <w:rPr>
                <w:rFonts w:ascii="Book Antiqua" w:eastAsia="宋体" w:hAnsi="Book Antiqua"/>
                <w:b/>
                <w:bCs/>
                <w:color w:val="000000" w:themeColor="text1"/>
              </w:rPr>
              <w:t>Groups</w:t>
            </w:r>
          </w:p>
        </w:tc>
        <w:tc>
          <w:tcPr>
            <w:tcW w:w="696" w:type="dxa"/>
            <w:tcBorders>
              <w:top w:val="single" w:sz="4" w:space="0" w:color="auto"/>
              <w:bottom w:val="single" w:sz="4" w:space="0" w:color="auto"/>
            </w:tcBorders>
            <w:shd w:val="clear" w:color="auto" w:fill="auto"/>
            <w:noWrap/>
            <w:vAlign w:val="center"/>
          </w:tcPr>
          <w:p w14:paraId="467154DC" w14:textId="77777777" w:rsidR="00347BCA" w:rsidRPr="00681D35" w:rsidRDefault="006407D4" w:rsidP="003C2906">
            <w:pPr>
              <w:adjustRightInd w:val="0"/>
              <w:snapToGrid w:val="0"/>
              <w:spacing w:line="360" w:lineRule="auto"/>
              <w:jc w:val="both"/>
              <w:rPr>
                <w:rFonts w:ascii="Book Antiqua" w:eastAsia="宋体" w:hAnsi="Book Antiqua"/>
                <w:b/>
                <w:bCs/>
                <w:i/>
                <w:iCs/>
                <w:color w:val="000000" w:themeColor="text1"/>
              </w:rPr>
            </w:pPr>
            <w:r w:rsidRPr="00681D35">
              <w:rPr>
                <w:rFonts w:ascii="Book Antiqua" w:eastAsia="宋体" w:hAnsi="Book Antiqua"/>
                <w:b/>
                <w:bCs/>
                <w:i/>
                <w:iCs/>
                <w:color w:val="000000" w:themeColor="text1"/>
              </w:rPr>
              <w:t>n</w:t>
            </w:r>
          </w:p>
        </w:tc>
        <w:tc>
          <w:tcPr>
            <w:tcW w:w="1056" w:type="dxa"/>
            <w:tcBorders>
              <w:top w:val="single" w:sz="4" w:space="0" w:color="auto"/>
              <w:bottom w:val="single" w:sz="4" w:space="0" w:color="auto"/>
            </w:tcBorders>
            <w:shd w:val="clear" w:color="auto" w:fill="auto"/>
            <w:noWrap/>
            <w:vAlign w:val="center"/>
          </w:tcPr>
          <w:p w14:paraId="04D16606" w14:textId="77777777" w:rsidR="00347BCA" w:rsidRPr="00681D35" w:rsidRDefault="006407D4" w:rsidP="003C2906">
            <w:pPr>
              <w:adjustRightInd w:val="0"/>
              <w:snapToGrid w:val="0"/>
              <w:spacing w:line="360" w:lineRule="auto"/>
              <w:jc w:val="both"/>
              <w:rPr>
                <w:rFonts w:ascii="Book Antiqua" w:eastAsia="宋体" w:hAnsi="Book Antiqua"/>
                <w:b/>
                <w:bCs/>
                <w:color w:val="000000" w:themeColor="text1"/>
              </w:rPr>
            </w:pPr>
            <w:r w:rsidRPr="00681D35">
              <w:rPr>
                <w:rFonts w:ascii="Book Antiqua" w:eastAsia="宋体" w:hAnsi="Book Antiqua"/>
                <w:b/>
                <w:bCs/>
                <w:color w:val="000000" w:themeColor="text1"/>
              </w:rPr>
              <w:t>Nausea</w:t>
            </w:r>
          </w:p>
        </w:tc>
        <w:tc>
          <w:tcPr>
            <w:tcW w:w="1056" w:type="dxa"/>
            <w:tcBorders>
              <w:top w:val="single" w:sz="4" w:space="0" w:color="auto"/>
              <w:bottom w:val="single" w:sz="4" w:space="0" w:color="auto"/>
            </w:tcBorders>
            <w:shd w:val="clear" w:color="auto" w:fill="auto"/>
            <w:noWrap/>
            <w:vAlign w:val="center"/>
          </w:tcPr>
          <w:p w14:paraId="7043AF72" w14:textId="634DD90D" w:rsidR="00347BCA" w:rsidRPr="00681D35" w:rsidRDefault="006407D4" w:rsidP="003C2906">
            <w:pPr>
              <w:adjustRightInd w:val="0"/>
              <w:snapToGrid w:val="0"/>
              <w:spacing w:line="360" w:lineRule="auto"/>
              <w:jc w:val="both"/>
              <w:rPr>
                <w:rFonts w:ascii="Book Antiqua" w:eastAsia="宋体" w:hAnsi="Book Antiqua"/>
                <w:b/>
                <w:bCs/>
                <w:color w:val="000000" w:themeColor="text1"/>
              </w:rPr>
            </w:pPr>
            <w:r w:rsidRPr="00681D35">
              <w:rPr>
                <w:rFonts w:ascii="Book Antiqua" w:eastAsia="宋体" w:hAnsi="Book Antiqua"/>
                <w:b/>
                <w:bCs/>
                <w:color w:val="000000" w:themeColor="text1"/>
              </w:rPr>
              <w:t>Emesi</w:t>
            </w:r>
            <w:r w:rsidR="00654405" w:rsidRPr="00681D35">
              <w:rPr>
                <w:rFonts w:ascii="Book Antiqua" w:eastAsia="宋体" w:hAnsi="Book Antiqua"/>
                <w:b/>
                <w:bCs/>
                <w:color w:val="000000" w:themeColor="text1"/>
              </w:rPr>
              <w:t>s</w:t>
            </w:r>
          </w:p>
        </w:tc>
        <w:tc>
          <w:tcPr>
            <w:tcW w:w="1056" w:type="dxa"/>
            <w:tcBorders>
              <w:top w:val="single" w:sz="4" w:space="0" w:color="auto"/>
              <w:bottom w:val="single" w:sz="4" w:space="0" w:color="auto"/>
            </w:tcBorders>
            <w:shd w:val="clear" w:color="auto" w:fill="auto"/>
            <w:noWrap/>
            <w:vAlign w:val="center"/>
          </w:tcPr>
          <w:p w14:paraId="6FAE9C40" w14:textId="77777777" w:rsidR="00347BCA" w:rsidRPr="00681D35" w:rsidRDefault="006407D4" w:rsidP="003C2906">
            <w:pPr>
              <w:adjustRightInd w:val="0"/>
              <w:snapToGrid w:val="0"/>
              <w:spacing w:line="360" w:lineRule="auto"/>
              <w:jc w:val="both"/>
              <w:rPr>
                <w:rFonts w:ascii="Book Antiqua" w:eastAsia="宋体" w:hAnsi="Book Antiqua"/>
                <w:b/>
                <w:bCs/>
                <w:color w:val="000000" w:themeColor="text1"/>
              </w:rPr>
            </w:pPr>
            <w:r w:rsidRPr="00681D35">
              <w:rPr>
                <w:rFonts w:ascii="Book Antiqua" w:eastAsia="宋体" w:hAnsi="Book Antiqua"/>
                <w:b/>
                <w:bCs/>
                <w:color w:val="000000" w:themeColor="text1"/>
              </w:rPr>
              <w:t>Hypotension</w:t>
            </w:r>
          </w:p>
        </w:tc>
        <w:tc>
          <w:tcPr>
            <w:tcW w:w="1056" w:type="dxa"/>
            <w:tcBorders>
              <w:top w:val="single" w:sz="4" w:space="0" w:color="auto"/>
              <w:bottom w:val="single" w:sz="4" w:space="0" w:color="auto"/>
            </w:tcBorders>
            <w:shd w:val="clear" w:color="auto" w:fill="auto"/>
            <w:noWrap/>
            <w:vAlign w:val="center"/>
          </w:tcPr>
          <w:p w14:paraId="18AD3C90" w14:textId="77777777" w:rsidR="00347BCA" w:rsidRPr="00681D35" w:rsidRDefault="006407D4" w:rsidP="003C2906">
            <w:pPr>
              <w:adjustRightInd w:val="0"/>
              <w:snapToGrid w:val="0"/>
              <w:spacing w:line="360" w:lineRule="auto"/>
              <w:jc w:val="both"/>
              <w:rPr>
                <w:rFonts w:ascii="Book Antiqua" w:eastAsia="宋体" w:hAnsi="Book Antiqua"/>
                <w:b/>
                <w:bCs/>
                <w:color w:val="000000" w:themeColor="text1"/>
              </w:rPr>
            </w:pPr>
            <w:r w:rsidRPr="00681D35">
              <w:rPr>
                <w:rFonts w:ascii="Book Antiqua" w:eastAsia="宋体" w:hAnsi="Book Antiqua"/>
                <w:b/>
                <w:bCs/>
                <w:color w:val="000000" w:themeColor="text1"/>
              </w:rPr>
              <w:t>Drowsiness</w:t>
            </w:r>
          </w:p>
        </w:tc>
        <w:tc>
          <w:tcPr>
            <w:tcW w:w="1056" w:type="dxa"/>
            <w:tcBorders>
              <w:top w:val="single" w:sz="4" w:space="0" w:color="auto"/>
              <w:bottom w:val="single" w:sz="4" w:space="0" w:color="auto"/>
            </w:tcBorders>
            <w:shd w:val="clear" w:color="auto" w:fill="auto"/>
            <w:noWrap/>
            <w:vAlign w:val="center"/>
          </w:tcPr>
          <w:p w14:paraId="48F916C9" w14:textId="77777777" w:rsidR="00347BCA" w:rsidRPr="00681D35" w:rsidRDefault="006407D4" w:rsidP="003C2906">
            <w:pPr>
              <w:adjustRightInd w:val="0"/>
              <w:snapToGrid w:val="0"/>
              <w:spacing w:line="360" w:lineRule="auto"/>
              <w:jc w:val="both"/>
              <w:rPr>
                <w:rFonts w:ascii="Book Antiqua" w:eastAsia="宋体" w:hAnsi="Book Antiqua"/>
                <w:b/>
                <w:bCs/>
                <w:color w:val="000000" w:themeColor="text1"/>
              </w:rPr>
            </w:pPr>
            <w:r w:rsidRPr="00681D35">
              <w:rPr>
                <w:rFonts w:ascii="Book Antiqua" w:eastAsia="宋体" w:hAnsi="Book Antiqua"/>
                <w:b/>
                <w:bCs/>
                <w:color w:val="000000" w:themeColor="text1"/>
              </w:rPr>
              <w:t>Uroschesis</w:t>
            </w:r>
          </w:p>
        </w:tc>
        <w:tc>
          <w:tcPr>
            <w:tcW w:w="1376" w:type="dxa"/>
            <w:tcBorders>
              <w:top w:val="single" w:sz="4" w:space="0" w:color="auto"/>
              <w:bottom w:val="single" w:sz="4" w:space="0" w:color="auto"/>
            </w:tcBorders>
            <w:shd w:val="clear" w:color="auto" w:fill="auto"/>
            <w:noWrap/>
            <w:vAlign w:val="center"/>
          </w:tcPr>
          <w:p w14:paraId="16EBF8E2" w14:textId="77777777" w:rsidR="00347BCA" w:rsidRPr="00681D35" w:rsidRDefault="006407D4" w:rsidP="003C2906">
            <w:pPr>
              <w:adjustRightInd w:val="0"/>
              <w:snapToGrid w:val="0"/>
              <w:spacing w:line="360" w:lineRule="auto"/>
              <w:jc w:val="both"/>
              <w:rPr>
                <w:rFonts w:ascii="Book Antiqua" w:eastAsia="宋体" w:hAnsi="Book Antiqua"/>
                <w:b/>
                <w:bCs/>
                <w:color w:val="000000" w:themeColor="text1"/>
              </w:rPr>
            </w:pPr>
            <w:r w:rsidRPr="00681D35">
              <w:rPr>
                <w:rFonts w:ascii="Book Antiqua" w:eastAsia="宋体" w:hAnsi="Book Antiqua"/>
                <w:b/>
                <w:bCs/>
                <w:color w:val="000000" w:themeColor="text1"/>
              </w:rPr>
              <w:t>Incidence of adverse reactions</w:t>
            </w:r>
          </w:p>
        </w:tc>
      </w:tr>
      <w:tr w:rsidR="00347BCA" w:rsidRPr="00681D35" w14:paraId="37C8C250" w14:textId="77777777">
        <w:trPr>
          <w:trHeight w:val="312"/>
          <w:jc w:val="center"/>
        </w:trPr>
        <w:tc>
          <w:tcPr>
            <w:tcW w:w="1276" w:type="dxa"/>
            <w:tcBorders>
              <w:top w:val="single" w:sz="4" w:space="0" w:color="auto"/>
            </w:tcBorders>
            <w:shd w:val="clear" w:color="auto" w:fill="auto"/>
            <w:noWrap/>
            <w:vAlign w:val="center"/>
          </w:tcPr>
          <w:p w14:paraId="25EAF6A8" w14:textId="331FFF4D"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Rem</w:t>
            </w:r>
            <w:r w:rsidR="00654405" w:rsidRPr="00681D35">
              <w:rPr>
                <w:rFonts w:ascii="Book Antiqua" w:eastAsia="宋体" w:hAnsi="Book Antiqua"/>
                <w:color w:val="000000" w:themeColor="text1"/>
              </w:rPr>
              <w:t>im</w:t>
            </w:r>
            <w:r w:rsidRPr="00681D35">
              <w:rPr>
                <w:rFonts w:ascii="Book Antiqua" w:eastAsia="宋体" w:hAnsi="Book Antiqua"/>
                <w:color w:val="000000" w:themeColor="text1"/>
              </w:rPr>
              <w:t>azolam group</w:t>
            </w:r>
          </w:p>
        </w:tc>
        <w:tc>
          <w:tcPr>
            <w:tcW w:w="696" w:type="dxa"/>
            <w:tcBorders>
              <w:top w:val="single" w:sz="4" w:space="0" w:color="auto"/>
            </w:tcBorders>
            <w:shd w:val="clear" w:color="auto" w:fill="auto"/>
            <w:noWrap/>
            <w:vAlign w:val="center"/>
          </w:tcPr>
          <w:p w14:paraId="4205635F"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40</w:t>
            </w:r>
          </w:p>
        </w:tc>
        <w:tc>
          <w:tcPr>
            <w:tcW w:w="1056" w:type="dxa"/>
            <w:tcBorders>
              <w:top w:val="single" w:sz="4" w:space="0" w:color="auto"/>
            </w:tcBorders>
            <w:shd w:val="clear" w:color="auto" w:fill="auto"/>
            <w:noWrap/>
            <w:vAlign w:val="center"/>
          </w:tcPr>
          <w:p w14:paraId="63C21345"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1</w:t>
            </w:r>
          </w:p>
        </w:tc>
        <w:tc>
          <w:tcPr>
            <w:tcW w:w="1056" w:type="dxa"/>
            <w:tcBorders>
              <w:top w:val="single" w:sz="4" w:space="0" w:color="auto"/>
            </w:tcBorders>
            <w:shd w:val="clear" w:color="auto" w:fill="auto"/>
            <w:noWrap/>
            <w:vAlign w:val="center"/>
          </w:tcPr>
          <w:p w14:paraId="276A1D27"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0</w:t>
            </w:r>
          </w:p>
        </w:tc>
        <w:tc>
          <w:tcPr>
            <w:tcW w:w="1056" w:type="dxa"/>
            <w:tcBorders>
              <w:top w:val="single" w:sz="4" w:space="0" w:color="auto"/>
            </w:tcBorders>
            <w:shd w:val="clear" w:color="auto" w:fill="auto"/>
            <w:noWrap/>
            <w:vAlign w:val="center"/>
          </w:tcPr>
          <w:p w14:paraId="2CED27E7"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1</w:t>
            </w:r>
          </w:p>
        </w:tc>
        <w:tc>
          <w:tcPr>
            <w:tcW w:w="1056" w:type="dxa"/>
            <w:tcBorders>
              <w:top w:val="single" w:sz="4" w:space="0" w:color="auto"/>
            </w:tcBorders>
            <w:shd w:val="clear" w:color="auto" w:fill="auto"/>
            <w:noWrap/>
            <w:vAlign w:val="center"/>
          </w:tcPr>
          <w:p w14:paraId="21208E61"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1</w:t>
            </w:r>
          </w:p>
        </w:tc>
        <w:tc>
          <w:tcPr>
            <w:tcW w:w="1056" w:type="dxa"/>
            <w:tcBorders>
              <w:top w:val="single" w:sz="4" w:space="0" w:color="auto"/>
            </w:tcBorders>
            <w:shd w:val="clear" w:color="auto" w:fill="auto"/>
            <w:noWrap/>
            <w:vAlign w:val="center"/>
          </w:tcPr>
          <w:p w14:paraId="7902E152"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1</w:t>
            </w:r>
          </w:p>
        </w:tc>
        <w:tc>
          <w:tcPr>
            <w:tcW w:w="1376" w:type="dxa"/>
            <w:tcBorders>
              <w:top w:val="single" w:sz="4" w:space="0" w:color="auto"/>
            </w:tcBorders>
            <w:shd w:val="clear" w:color="auto" w:fill="auto"/>
            <w:noWrap/>
            <w:vAlign w:val="center"/>
          </w:tcPr>
          <w:p w14:paraId="7E8B0EEE"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4 (10.00)</w:t>
            </w:r>
          </w:p>
        </w:tc>
      </w:tr>
      <w:tr w:rsidR="00347BCA" w:rsidRPr="00681D35" w14:paraId="6B97CFF0" w14:textId="77777777">
        <w:trPr>
          <w:trHeight w:val="312"/>
          <w:jc w:val="center"/>
        </w:trPr>
        <w:tc>
          <w:tcPr>
            <w:tcW w:w="1276" w:type="dxa"/>
            <w:shd w:val="clear" w:color="auto" w:fill="auto"/>
            <w:noWrap/>
            <w:vAlign w:val="center"/>
          </w:tcPr>
          <w:p w14:paraId="2BD348A9"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Propofol group</w:t>
            </w:r>
          </w:p>
        </w:tc>
        <w:tc>
          <w:tcPr>
            <w:tcW w:w="696" w:type="dxa"/>
            <w:shd w:val="clear" w:color="auto" w:fill="auto"/>
            <w:noWrap/>
            <w:vAlign w:val="center"/>
          </w:tcPr>
          <w:p w14:paraId="63974DD0"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40</w:t>
            </w:r>
          </w:p>
        </w:tc>
        <w:tc>
          <w:tcPr>
            <w:tcW w:w="1056" w:type="dxa"/>
            <w:shd w:val="clear" w:color="auto" w:fill="auto"/>
            <w:noWrap/>
            <w:vAlign w:val="center"/>
          </w:tcPr>
          <w:p w14:paraId="3E911D46"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3</w:t>
            </w:r>
          </w:p>
        </w:tc>
        <w:tc>
          <w:tcPr>
            <w:tcW w:w="1056" w:type="dxa"/>
            <w:shd w:val="clear" w:color="auto" w:fill="auto"/>
            <w:noWrap/>
            <w:vAlign w:val="center"/>
          </w:tcPr>
          <w:p w14:paraId="601CD1CE"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1</w:t>
            </w:r>
          </w:p>
        </w:tc>
        <w:tc>
          <w:tcPr>
            <w:tcW w:w="1056" w:type="dxa"/>
            <w:shd w:val="clear" w:color="auto" w:fill="auto"/>
            <w:noWrap/>
            <w:vAlign w:val="center"/>
          </w:tcPr>
          <w:p w14:paraId="4CA9C1B3"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3</w:t>
            </w:r>
          </w:p>
        </w:tc>
        <w:tc>
          <w:tcPr>
            <w:tcW w:w="1056" w:type="dxa"/>
            <w:shd w:val="clear" w:color="auto" w:fill="auto"/>
            <w:noWrap/>
            <w:vAlign w:val="center"/>
          </w:tcPr>
          <w:p w14:paraId="2778BF27"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3</w:t>
            </w:r>
          </w:p>
        </w:tc>
        <w:tc>
          <w:tcPr>
            <w:tcW w:w="1056" w:type="dxa"/>
            <w:shd w:val="clear" w:color="auto" w:fill="auto"/>
            <w:noWrap/>
            <w:vAlign w:val="center"/>
          </w:tcPr>
          <w:p w14:paraId="5E4A0DD0"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2</w:t>
            </w:r>
          </w:p>
        </w:tc>
        <w:tc>
          <w:tcPr>
            <w:tcW w:w="1376" w:type="dxa"/>
            <w:shd w:val="clear" w:color="auto" w:fill="auto"/>
            <w:noWrap/>
            <w:vAlign w:val="center"/>
          </w:tcPr>
          <w:p w14:paraId="5A00CBD0"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12 (30.00)</w:t>
            </w:r>
          </w:p>
        </w:tc>
      </w:tr>
      <w:tr w:rsidR="00347BCA" w:rsidRPr="00681D35" w14:paraId="12BC642F" w14:textId="77777777">
        <w:trPr>
          <w:trHeight w:val="312"/>
          <w:jc w:val="center"/>
        </w:trPr>
        <w:tc>
          <w:tcPr>
            <w:tcW w:w="1276" w:type="dxa"/>
            <w:shd w:val="clear" w:color="auto" w:fill="auto"/>
            <w:vAlign w:val="center"/>
          </w:tcPr>
          <w:p w14:paraId="3A11212D"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i/>
                <w:iCs/>
                <w:color w:val="000000" w:themeColor="text1"/>
              </w:rPr>
              <w:t>χ</w:t>
            </w:r>
            <w:r w:rsidRPr="00681D35">
              <w:rPr>
                <w:rFonts w:ascii="Book Antiqua" w:eastAsia="宋体" w:hAnsi="Book Antiqua"/>
                <w:color w:val="000000" w:themeColor="text1"/>
                <w:vertAlign w:val="superscript"/>
              </w:rPr>
              <w:t xml:space="preserve">2 </w:t>
            </w:r>
            <w:r w:rsidRPr="00681D35">
              <w:rPr>
                <w:rFonts w:ascii="Book Antiqua" w:eastAsia="宋体" w:hAnsi="Book Antiqua"/>
                <w:color w:val="000000" w:themeColor="text1"/>
              </w:rPr>
              <w:t>value</w:t>
            </w:r>
          </w:p>
        </w:tc>
        <w:tc>
          <w:tcPr>
            <w:tcW w:w="696" w:type="dxa"/>
            <w:shd w:val="clear" w:color="auto" w:fill="auto"/>
            <w:noWrap/>
            <w:vAlign w:val="center"/>
          </w:tcPr>
          <w:p w14:paraId="3E327FE8" w14:textId="77777777" w:rsidR="00347BCA" w:rsidRPr="00681D35" w:rsidRDefault="00347BCA" w:rsidP="003C2906">
            <w:pPr>
              <w:keepNext/>
              <w:keepLines/>
              <w:adjustRightInd w:val="0"/>
              <w:snapToGrid w:val="0"/>
              <w:spacing w:line="360" w:lineRule="auto"/>
              <w:jc w:val="both"/>
              <w:rPr>
                <w:rFonts w:ascii="Book Antiqua" w:eastAsia="宋体" w:hAnsi="Book Antiqua"/>
                <w:color w:val="000000" w:themeColor="text1"/>
              </w:rPr>
            </w:pPr>
          </w:p>
        </w:tc>
        <w:tc>
          <w:tcPr>
            <w:tcW w:w="1056" w:type="dxa"/>
            <w:shd w:val="clear" w:color="auto" w:fill="auto"/>
            <w:noWrap/>
            <w:vAlign w:val="center"/>
          </w:tcPr>
          <w:p w14:paraId="3261C8D7" w14:textId="77777777" w:rsidR="00347BCA" w:rsidRPr="00681D35" w:rsidRDefault="00347BCA" w:rsidP="003C2906">
            <w:pPr>
              <w:keepNext/>
              <w:keepLines/>
              <w:adjustRightInd w:val="0"/>
              <w:snapToGrid w:val="0"/>
              <w:spacing w:line="360" w:lineRule="auto"/>
              <w:jc w:val="both"/>
              <w:rPr>
                <w:rFonts w:ascii="Book Antiqua" w:eastAsia="宋体" w:hAnsi="Book Antiqua"/>
                <w:color w:val="000000" w:themeColor="text1"/>
              </w:rPr>
            </w:pPr>
          </w:p>
        </w:tc>
        <w:tc>
          <w:tcPr>
            <w:tcW w:w="1056" w:type="dxa"/>
            <w:shd w:val="clear" w:color="auto" w:fill="auto"/>
            <w:noWrap/>
            <w:vAlign w:val="center"/>
          </w:tcPr>
          <w:p w14:paraId="6C62A69C" w14:textId="77777777" w:rsidR="00347BCA" w:rsidRPr="00681D35" w:rsidRDefault="00347BCA" w:rsidP="003C2906">
            <w:pPr>
              <w:keepNext/>
              <w:keepLines/>
              <w:adjustRightInd w:val="0"/>
              <w:snapToGrid w:val="0"/>
              <w:spacing w:line="360" w:lineRule="auto"/>
              <w:jc w:val="both"/>
              <w:rPr>
                <w:rFonts w:ascii="Book Antiqua" w:eastAsia="宋体" w:hAnsi="Book Antiqua"/>
                <w:color w:val="000000" w:themeColor="text1"/>
              </w:rPr>
            </w:pPr>
          </w:p>
        </w:tc>
        <w:tc>
          <w:tcPr>
            <w:tcW w:w="1056" w:type="dxa"/>
            <w:shd w:val="clear" w:color="auto" w:fill="auto"/>
            <w:noWrap/>
            <w:vAlign w:val="center"/>
          </w:tcPr>
          <w:p w14:paraId="1F9EABF4" w14:textId="77777777" w:rsidR="00347BCA" w:rsidRPr="00681D35" w:rsidRDefault="00347BCA" w:rsidP="003C2906">
            <w:pPr>
              <w:keepNext/>
              <w:keepLines/>
              <w:adjustRightInd w:val="0"/>
              <w:snapToGrid w:val="0"/>
              <w:spacing w:line="360" w:lineRule="auto"/>
              <w:jc w:val="both"/>
              <w:rPr>
                <w:rFonts w:ascii="Book Antiqua" w:eastAsia="宋体" w:hAnsi="Book Antiqua"/>
                <w:color w:val="000000" w:themeColor="text1"/>
              </w:rPr>
            </w:pPr>
          </w:p>
        </w:tc>
        <w:tc>
          <w:tcPr>
            <w:tcW w:w="1056" w:type="dxa"/>
            <w:shd w:val="clear" w:color="auto" w:fill="auto"/>
            <w:noWrap/>
            <w:vAlign w:val="center"/>
          </w:tcPr>
          <w:p w14:paraId="25377E18" w14:textId="77777777" w:rsidR="00347BCA" w:rsidRPr="00681D35" w:rsidRDefault="00347BCA" w:rsidP="003C2906">
            <w:pPr>
              <w:keepNext/>
              <w:keepLines/>
              <w:adjustRightInd w:val="0"/>
              <w:snapToGrid w:val="0"/>
              <w:spacing w:line="360" w:lineRule="auto"/>
              <w:jc w:val="both"/>
              <w:rPr>
                <w:rFonts w:ascii="Book Antiqua" w:eastAsia="宋体" w:hAnsi="Book Antiqua"/>
                <w:color w:val="000000" w:themeColor="text1"/>
              </w:rPr>
            </w:pPr>
          </w:p>
        </w:tc>
        <w:tc>
          <w:tcPr>
            <w:tcW w:w="1056" w:type="dxa"/>
            <w:shd w:val="clear" w:color="auto" w:fill="auto"/>
            <w:noWrap/>
            <w:vAlign w:val="center"/>
          </w:tcPr>
          <w:p w14:paraId="5CED1903" w14:textId="77777777" w:rsidR="00347BCA" w:rsidRPr="00681D35" w:rsidRDefault="00347BCA" w:rsidP="003C2906">
            <w:pPr>
              <w:keepNext/>
              <w:keepLines/>
              <w:adjustRightInd w:val="0"/>
              <w:snapToGrid w:val="0"/>
              <w:spacing w:line="360" w:lineRule="auto"/>
              <w:jc w:val="both"/>
              <w:rPr>
                <w:rFonts w:ascii="Book Antiqua" w:eastAsia="宋体" w:hAnsi="Book Antiqua"/>
                <w:color w:val="000000" w:themeColor="text1"/>
              </w:rPr>
            </w:pPr>
          </w:p>
        </w:tc>
        <w:tc>
          <w:tcPr>
            <w:tcW w:w="1376" w:type="dxa"/>
            <w:shd w:val="clear" w:color="auto" w:fill="auto"/>
            <w:noWrap/>
            <w:vAlign w:val="center"/>
          </w:tcPr>
          <w:p w14:paraId="0EE56E12"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5.000 </w:t>
            </w:r>
          </w:p>
        </w:tc>
      </w:tr>
      <w:tr w:rsidR="00347BCA" w:rsidRPr="00681D35" w14:paraId="270B661A" w14:textId="77777777">
        <w:trPr>
          <w:trHeight w:val="312"/>
          <w:jc w:val="center"/>
        </w:trPr>
        <w:tc>
          <w:tcPr>
            <w:tcW w:w="1276" w:type="dxa"/>
            <w:shd w:val="clear" w:color="auto" w:fill="auto"/>
            <w:vAlign w:val="center"/>
          </w:tcPr>
          <w:p w14:paraId="605C2907"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i/>
                <w:iCs/>
                <w:color w:val="000000" w:themeColor="text1"/>
              </w:rPr>
              <w:t>P</w:t>
            </w:r>
            <w:r w:rsidRPr="00681D35">
              <w:rPr>
                <w:rFonts w:ascii="Book Antiqua" w:eastAsia="宋体" w:hAnsi="Book Antiqua"/>
                <w:color w:val="000000" w:themeColor="text1"/>
              </w:rPr>
              <w:t xml:space="preserve"> value</w:t>
            </w:r>
          </w:p>
        </w:tc>
        <w:tc>
          <w:tcPr>
            <w:tcW w:w="696" w:type="dxa"/>
            <w:shd w:val="clear" w:color="auto" w:fill="auto"/>
            <w:noWrap/>
            <w:vAlign w:val="center"/>
          </w:tcPr>
          <w:p w14:paraId="4A9ED619" w14:textId="77777777" w:rsidR="00347BCA" w:rsidRPr="00681D35" w:rsidRDefault="00347BCA" w:rsidP="003C2906">
            <w:pPr>
              <w:adjustRightInd w:val="0"/>
              <w:snapToGrid w:val="0"/>
              <w:spacing w:line="360" w:lineRule="auto"/>
              <w:jc w:val="both"/>
              <w:rPr>
                <w:rFonts w:ascii="Book Antiqua" w:eastAsia="宋体" w:hAnsi="Book Antiqua"/>
                <w:color w:val="000000" w:themeColor="text1"/>
              </w:rPr>
            </w:pPr>
          </w:p>
        </w:tc>
        <w:tc>
          <w:tcPr>
            <w:tcW w:w="1056" w:type="dxa"/>
            <w:shd w:val="clear" w:color="auto" w:fill="auto"/>
            <w:noWrap/>
            <w:vAlign w:val="center"/>
          </w:tcPr>
          <w:p w14:paraId="4A884DC8" w14:textId="77777777" w:rsidR="00347BCA" w:rsidRPr="00681D35" w:rsidRDefault="00347BCA" w:rsidP="003C2906">
            <w:pPr>
              <w:adjustRightInd w:val="0"/>
              <w:snapToGrid w:val="0"/>
              <w:spacing w:line="360" w:lineRule="auto"/>
              <w:jc w:val="both"/>
              <w:rPr>
                <w:rFonts w:ascii="Book Antiqua" w:eastAsia="宋体" w:hAnsi="Book Antiqua"/>
                <w:color w:val="000000" w:themeColor="text1"/>
              </w:rPr>
            </w:pPr>
          </w:p>
        </w:tc>
        <w:tc>
          <w:tcPr>
            <w:tcW w:w="1056" w:type="dxa"/>
            <w:shd w:val="clear" w:color="auto" w:fill="auto"/>
            <w:noWrap/>
            <w:vAlign w:val="center"/>
          </w:tcPr>
          <w:p w14:paraId="6A1CBD2F" w14:textId="77777777" w:rsidR="00347BCA" w:rsidRPr="00681D35" w:rsidRDefault="00347BCA" w:rsidP="003C2906">
            <w:pPr>
              <w:adjustRightInd w:val="0"/>
              <w:snapToGrid w:val="0"/>
              <w:spacing w:line="360" w:lineRule="auto"/>
              <w:jc w:val="both"/>
              <w:rPr>
                <w:rFonts w:ascii="Book Antiqua" w:eastAsia="宋体" w:hAnsi="Book Antiqua"/>
                <w:color w:val="000000" w:themeColor="text1"/>
              </w:rPr>
            </w:pPr>
          </w:p>
        </w:tc>
        <w:tc>
          <w:tcPr>
            <w:tcW w:w="1056" w:type="dxa"/>
            <w:shd w:val="clear" w:color="auto" w:fill="auto"/>
            <w:noWrap/>
            <w:vAlign w:val="center"/>
          </w:tcPr>
          <w:p w14:paraId="6B929182" w14:textId="77777777" w:rsidR="00347BCA" w:rsidRPr="00681D35" w:rsidRDefault="00347BCA" w:rsidP="003C2906">
            <w:pPr>
              <w:adjustRightInd w:val="0"/>
              <w:snapToGrid w:val="0"/>
              <w:spacing w:line="360" w:lineRule="auto"/>
              <w:jc w:val="both"/>
              <w:rPr>
                <w:rFonts w:ascii="Book Antiqua" w:eastAsia="宋体" w:hAnsi="Book Antiqua"/>
                <w:color w:val="000000" w:themeColor="text1"/>
              </w:rPr>
            </w:pPr>
          </w:p>
        </w:tc>
        <w:tc>
          <w:tcPr>
            <w:tcW w:w="1056" w:type="dxa"/>
            <w:shd w:val="clear" w:color="auto" w:fill="auto"/>
            <w:noWrap/>
            <w:vAlign w:val="center"/>
          </w:tcPr>
          <w:p w14:paraId="70E51578" w14:textId="77777777" w:rsidR="00347BCA" w:rsidRPr="00681D35" w:rsidRDefault="00347BCA" w:rsidP="003C2906">
            <w:pPr>
              <w:adjustRightInd w:val="0"/>
              <w:snapToGrid w:val="0"/>
              <w:spacing w:line="360" w:lineRule="auto"/>
              <w:jc w:val="both"/>
              <w:rPr>
                <w:rFonts w:ascii="Book Antiqua" w:eastAsia="宋体" w:hAnsi="Book Antiqua"/>
                <w:color w:val="000000" w:themeColor="text1"/>
              </w:rPr>
            </w:pPr>
          </w:p>
        </w:tc>
        <w:tc>
          <w:tcPr>
            <w:tcW w:w="1056" w:type="dxa"/>
            <w:shd w:val="clear" w:color="auto" w:fill="auto"/>
            <w:noWrap/>
            <w:vAlign w:val="center"/>
          </w:tcPr>
          <w:p w14:paraId="1F759681" w14:textId="77777777" w:rsidR="00347BCA" w:rsidRPr="00681D35" w:rsidRDefault="00347BCA" w:rsidP="003C2906">
            <w:pPr>
              <w:adjustRightInd w:val="0"/>
              <w:snapToGrid w:val="0"/>
              <w:spacing w:line="360" w:lineRule="auto"/>
              <w:jc w:val="both"/>
              <w:rPr>
                <w:rFonts w:ascii="Book Antiqua" w:eastAsia="宋体" w:hAnsi="Book Antiqua"/>
                <w:color w:val="000000" w:themeColor="text1"/>
              </w:rPr>
            </w:pPr>
          </w:p>
        </w:tc>
        <w:tc>
          <w:tcPr>
            <w:tcW w:w="1376" w:type="dxa"/>
            <w:shd w:val="clear" w:color="auto" w:fill="auto"/>
            <w:noWrap/>
            <w:vAlign w:val="center"/>
          </w:tcPr>
          <w:p w14:paraId="7D1B9AB7" w14:textId="77777777" w:rsidR="00347BCA" w:rsidRPr="00681D35" w:rsidRDefault="006407D4" w:rsidP="003C2906">
            <w:pPr>
              <w:adjustRightInd w:val="0"/>
              <w:snapToGrid w:val="0"/>
              <w:spacing w:line="360" w:lineRule="auto"/>
              <w:jc w:val="both"/>
              <w:rPr>
                <w:rFonts w:ascii="Book Antiqua" w:eastAsia="宋体" w:hAnsi="Book Antiqua"/>
                <w:color w:val="000000" w:themeColor="text1"/>
              </w:rPr>
            </w:pPr>
            <w:r w:rsidRPr="00681D35">
              <w:rPr>
                <w:rFonts w:ascii="Book Antiqua" w:eastAsia="宋体" w:hAnsi="Book Antiqua"/>
                <w:color w:val="000000" w:themeColor="text1"/>
              </w:rPr>
              <w:t xml:space="preserve">0.025 </w:t>
            </w:r>
          </w:p>
        </w:tc>
      </w:tr>
    </w:tbl>
    <w:p w14:paraId="7B58C497" w14:textId="4CC1EDFF" w:rsidR="00681D35" w:rsidRPr="00681D35" w:rsidRDefault="00681D35" w:rsidP="003C2906">
      <w:pPr>
        <w:adjustRightInd w:val="0"/>
        <w:snapToGrid w:val="0"/>
        <w:spacing w:line="360" w:lineRule="auto"/>
        <w:jc w:val="both"/>
        <w:rPr>
          <w:rFonts w:ascii="Book Antiqua" w:hAnsi="Book Antiqua"/>
          <w:color w:val="000000" w:themeColor="text1"/>
        </w:rPr>
      </w:pPr>
    </w:p>
    <w:p w14:paraId="46D4214F" w14:textId="77777777" w:rsidR="00681D35" w:rsidRPr="00681D35" w:rsidRDefault="00681D35">
      <w:pPr>
        <w:rPr>
          <w:rFonts w:ascii="Book Antiqua" w:hAnsi="Book Antiqua"/>
          <w:color w:val="000000" w:themeColor="text1"/>
        </w:rPr>
      </w:pPr>
      <w:r w:rsidRPr="00681D35">
        <w:rPr>
          <w:rFonts w:ascii="Book Antiqua" w:hAnsi="Book Antiqua"/>
          <w:color w:val="000000" w:themeColor="text1"/>
        </w:rPr>
        <w:br w:type="page"/>
      </w:r>
    </w:p>
    <w:p w14:paraId="3E50A72C" w14:textId="77777777" w:rsidR="00681D35" w:rsidRPr="00681D35" w:rsidRDefault="00681D35" w:rsidP="00681D35">
      <w:pPr>
        <w:jc w:val="center"/>
        <w:rPr>
          <w:rFonts w:ascii="Book Antiqua" w:hAnsi="Book Antiqua"/>
        </w:rPr>
      </w:pPr>
    </w:p>
    <w:p w14:paraId="372A11A9" w14:textId="77777777" w:rsidR="00681D35" w:rsidRPr="00681D35" w:rsidRDefault="00681D35" w:rsidP="00681D35">
      <w:pPr>
        <w:jc w:val="center"/>
        <w:rPr>
          <w:rFonts w:ascii="Book Antiqua" w:hAnsi="Book Antiqua"/>
        </w:rPr>
      </w:pPr>
    </w:p>
    <w:p w14:paraId="63F44F98" w14:textId="77777777" w:rsidR="00681D35" w:rsidRPr="00681D35" w:rsidRDefault="00681D35" w:rsidP="00681D35">
      <w:pPr>
        <w:jc w:val="center"/>
        <w:rPr>
          <w:rFonts w:ascii="Book Antiqua" w:hAnsi="Book Antiqua"/>
        </w:rPr>
      </w:pPr>
    </w:p>
    <w:p w14:paraId="2E9E53D6" w14:textId="77777777" w:rsidR="00681D35" w:rsidRPr="00681D35" w:rsidRDefault="00681D35" w:rsidP="00681D35">
      <w:pPr>
        <w:jc w:val="center"/>
        <w:rPr>
          <w:rFonts w:ascii="Book Antiqua" w:hAnsi="Book Antiqua"/>
        </w:rPr>
      </w:pPr>
    </w:p>
    <w:p w14:paraId="0B02F583" w14:textId="77777777" w:rsidR="00681D35" w:rsidRPr="00681D35" w:rsidRDefault="00681D35" w:rsidP="00681D35">
      <w:pPr>
        <w:jc w:val="center"/>
        <w:rPr>
          <w:rFonts w:ascii="Book Antiqua" w:hAnsi="Book Antiqua"/>
        </w:rPr>
      </w:pPr>
    </w:p>
    <w:p w14:paraId="0B9161FC" w14:textId="28BEA537" w:rsidR="00681D35" w:rsidRPr="00681D35" w:rsidRDefault="00681D35" w:rsidP="00681D35">
      <w:pPr>
        <w:jc w:val="center"/>
        <w:rPr>
          <w:rFonts w:ascii="Book Antiqua" w:hAnsi="Book Antiqua"/>
        </w:rPr>
      </w:pPr>
      <w:r w:rsidRPr="00681D35">
        <w:rPr>
          <w:rFonts w:ascii="Book Antiqua" w:hAnsi="Book Antiqua"/>
          <w:noProof/>
          <w:lang w:eastAsia="zh-CN"/>
        </w:rPr>
        <w:drawing>
          <wp:inline distT="0" distB="0" distL="0" distR="0" wp14:anchorId="79C9DDC1" wp14:editId="1A2C18C3">
            <wp:extent cx="2499360" cy="1440180"/>
            <wp:effectExtent l="0" t="0" r="0" b="7620"/>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368A748" w14:textId="77777777" w:rsidR="00681D35" w:rsidRPr="00681D35" w:rsidRDefault="00681D35" w:rsidP="00681D35">
      <w:pPr>
        <w:jc w:val="center"/>
        <w:rPr>
          <w:rFonts w:ascii="Book Antiqua" w:hAnsi="Book Antiqua"/>
        </w:rPr>
      </w:pPr>
    </w:p>
    <w:p w14:paraId="40E671D6" w14:textId="77777777" w:rsidR="00681D35" w:rsidRPr="00681D35" w:rsidRDefault="00681D35" w:rsidP="00681D35">
      <w:pPr>
        <w:autoSpaceDE w:val="0"/>
        <w:autoSpaceDN w:val="0"/>
        <w:adjustRightInd w:val="0"/>
        <w:jc w:val="center"/>
        <w:rPr>
          <w:rFonts w:ascii="Book Antiqua" w:eastAsia="Garamond-Bold" w:hAnsi="Book Antiqua" w:cs="Garamond-Bold"/>
          <w:b/>
          <w:bCs/>
          <w:color w:val="000000"/>
          <w:sz w:val="28"/>
          <w:szCs w:val="28"/>
        </w:rPr>
      </w:pPr>
      <w:r w:rsidRPr="00681D35">
        <w:rPr>
          <w:rFonts w:ascii="Book Antiqua" w:eastAsia="TimesNewRomanPSMT" w:hAnsi="Book Antiqua" w:cs="TimesNewRomanPSMT"/>
          <w:color w:val="000000"/>
          <w:sz w:val="28"/>
          <w:szCs w:val="28"/>
        </w:rPr>
        <w:t xml:space="preserve">Published by </w:t>
      </w:r>
      <w:r w:rsidRPr="00681D35">
        <w:rPr>
          <w:rFonts w:ascii="Book Antiqua" w:eastAsia="Garamond-Bold" w:hAnsi="Book Antiqua" w:cs="Garamond-Bold"/>
          <w:b/>
          <w:bCs/>
          <w:color w:val="000000"/>
          <w:sz w:val="28"/>
          <w:szCs w:val="28"/>
        </w:rPr>
        <w:t>Baishideng Publishing Group Inc</w:t>
      </w:r>
    </w:p>
    <w:p w14:paraId="63AA022C" w14:textId="77777777" w:rsidR="00681D35" w:rsidRPr="00681D35" w:rsidRDefault="00681D35" w:rsidP="00681D35">
      <w:pPr>
        <w:autoSpaceDE w:val="0"/>
        <w:autoSpaceDN w:val="0"/>
        <w:adjustRightInd w:val="0"/>
        <w:jc w:val="center"/>
        <w:rPr>
          <w:rFonts w:ascii="Book Antiqua" w:eastAsia="TimesNewRomanPSMT" w:hAnsi="Book Antiqua" w:cs="Garamond"/>
          <w:color w:val="000000"/>
          <w:sz w:val="28"/>
          <w:szCs w:val="28"/>
        </w:rPr>
      </w:pPr>
      <w:r w:rsidRPr="00681D35">
        <w:rPr>
          <w:rFonts w:ascii="Book Antiqua" w:eastAsia="TimesNewRomanPSMT" w:hAnsi="Book Antiqua" w:cs="Garamond"/>
          <w:color w:val="000000"/>
          <w:sz w:val="28"/>
          <w:szCs w:val="28"/>
        </w:rPr>
        <w:t>7041 Koll Center Parkway, Suite 160, Pleasanton, CA 94566, USA</w:t>
      </w:r>
    </w:p>
    <w:p w14:paraId="0C222D40" w14:textId="77777777" w:rsidR="00681D35" w:rsidRPr="00681D35" w:rsidRDefault="00681D35" w:rsidP="00681D35">
      <w:pPr>
        <w:autoSpaceDE w:val="0"/>
        <w:autoSpaceDN w:val="0"/>
        <w:adjustRightInd w:val="0"/>
        <w:jc w:val="center"/>
        <w:rPr>
          <w:rFonts w:ascii="Book Antiqua" w:eastAsia="TimesNewRomanPSMT" w:hAnsi="Book Antiqua" w:cs="Garamond"/>
          <w:color w:val="000000"/>
          <w:sz w:val="28"/>
          <w:szCs w:val="28"/>
        </w:rPr>
      </w:pPr>
      <w:r w:rsidRPr="00681D35">
        <w:rPr>
          <w:rFonts w:ascii="Book Antiqua" w:eastAsia="Garamond-Bold" w:hAnsi="Book Antiqua" w:cs="Garamond-Bold"/>
          <w:b/>
          <w:bCs/>
          <w:color w:val="000000"/>
          <w:sz w:val="28"/>
          <w:szCs w:val="28"/>
        </w:rPr>
        <w:t xml:space="preserve">Telephone: </w:t>
      </w:r>
      <w:r w:rsidRPr="00681D35">
        <w:rPr>
          <w:rFonts w:ascii="Book Antiqua" w:eastAsia="TimesNewRomanPSMT" w:hAnsi="Book Antiqua" w:cs="Garamond"/>
          <w:color w:val="000000"/>
          <w:sz w:val="28"/>
          <w:szCs w:val="28"/>
        </w:rPr>
        <w:t>+1-925-3991568</w:t>
      </w:r>
    </w:p>
    <w:p w14:paraId="162EACDF" w14:textId="77777777" w:rsidR="00681D35" w:rsidRPr="00681D35" w:rsidRDefault="00681D35" w:rsidP="00681D35">
      <w:pPr>
        <w:autoSpaceDE w:val="0"/>
        <w:autoSpaceDN w:val="0"/>
        <w:adjustRightInd w:val="0"/>
        <w:jc w:val="center"/>
        <w:rPr>
          <w:rFonts w:ascii="Book Antiqua" w:eastAsia="TimesNewRomanPSMT" w:hAnsi="Book Antiqua" w:cs="Garamond"/>
          <w:color w:val="D56400"/>
          <w:sz w:val="28"/>
          <w:szCs w:val="28"/>
        </w:rPr>
      </w:pPr>
      <w:r w:rsidRPr="00681D35">
        <w:rPr>
          <w:rFonts w:ascii="Book Antiqua" w:eastAsia="Garamond-Bold" w:hAnsi="Book Antiqua" w:cs="Garamond-Bold"/>
          <w:b/>
          <w:bCs/>
          <w:color w:val="000000"/>
          <w:sz w:val="28"/>
          <w:szCs w:val="28"/>
        </w:rPr>
        <w:t xml:space="preserve">E-mail: </w:t>
      </w:r>
      <w:r w:rsidRPr="00681D35">
        <w:rPr>
          <w:rFonts w:ascii="Book Antiqua" w:eastAsia="TimesNewRomanPSMT" w:hAnsi="Book Antiqua" w:cs="Garamond"/>
          <w:color w:val="D56400"/>
          <w:sz w:val="28"/>
          <w:szCs w:val="28"/>
        </w:rPr>
        <w:t>bpgoffice@wjgnet.com</w:t>
      </w:r>
    </w:p>
    <w:p w14:paraId="17AA9878" w14:textId="77777777" w:rsidR="00681D35" w:rsidRPr="00681D35" w:rsidRDefault="00681D35" w:rsidP="00681D35">
      <w:pPr>
        <w:autoSpaceDE w:val="0"/>
        <w:autoSpaceDN w:val="0"/>
        <w:adjustRightInd w:val="0"/>
        <w:jc w:val="center"/>
        <w:rPr>
          <w:rFonts w:ascii="Book Antiqua" w:eastAsia="TimesNewRomanPSMT" w:hAnsi="Book Antiqua" w:cs="Garamond"/>
          <w:color w:val="D56400"/>
          <w:sz w:val="28"/>
          <w:szCs w:val="28"/>
        </w:rPr>
      </w:pPr>
      <w:r w:rsidRPr="00681D35">
        <w:rPr>
          <w:rFonts w:ascii="Book Antiqua" w:eastAsia="Garamond-Bold" w:hAnsi="Book Antiqua" w:cs="Garamond-Bold"/>
          <w:b/>
          <w:bCs/>
          <w:color w:val="000000"/>
          <w:sz w:val="28"/>
          <w:szCs w:val="28"/>
        </w:rPr>
        <w:t xml:space="preserve">Help Desk: </w:t>
      </w:r>
      <w:r w:rsidRPr="00681D35">
        <w:rPr>
          <w:rFonts w:ascii="Book Antiqua" w:eastAsia="TimesNewRomanPSMT" w:hAnsi="Book Antiqua" w:cs="Garamond"/>
          <w:color w:val="D56400"/>
          <w:sz w:val="28"/>
          <w:szCs w:val="28"/>
        </w:rPr>
        <w:t>https://www.f6publishing.com/helpdesk</w:t>
      </w:r>
    </w:p>
    <w:p w14:paraId="06A7E294" w14:textId="77777777" w:rsidR="00681D35" w:rsidRPr="00681D35" w:rsidRDefault="00681D35" w:rsidP="00681D35">
      <w:pPr>
        <w:jc w:val="center"/>
        <w:rPr>
          <w:rFonts w:ascii="Book Antiqua" w:hAnsi="Book Antiqua"/>
        </w:rPr>
      </w:pPr>
      <w:r w:rsidRPr="00681D35">
        <w:rPr>
          <w:rFonts w:ascii="Book Antiqua" w:eastAsia="TimesNewRomanPSMT" w:hAnsi="Book Antiqua" w:cs="Garamond"/>
          <w:color w:val="D56400"/>
          <w:sz w:val="28"/>
          <w:szCs w:val="28"/>
        </w:rPr>
        <w:t>https://www.wjgnet.com</w:t>
      </w:r>
    </w:p>
    <w:p w14:paraId="71ABF6F8" w14:textId="77777777" w:rsidR="00681D35" w:rsidRPr="00681D35" w:rsidRDefault="00681D35" w:rsidP="00681D35">
      <w:pPr>
        <w:jc w:val="center"/>
        <w:rPr>
          <w:rFonts w:ascii="Book Antiqua" w:hAnsi="Book Antiqua"/>
        </w:rPr>
      </w:pPr>
    </w:p>
    <w:p w14:paraId="6D2E7290" w14:textId="77777777" w:rsidR="00681D35" w:rsidRPr="00681D35" w:rsidRDefault="00681D35" w:rsidP="00681D35">
      <w:pPr>
        <w:jc w:val="center"/>
        <w:rPr>
          <w:rFonts w:ascii="Book Antiqua" w:hAnsi="Book Antiqua"/>
        </w:rPr>
      </w:pPr>
    </w:p>
    <w:p w14:paraId="29EE02DD" w14:textId="77777777" w:rsidR="00681D35" w:rsidRPr="00681D35" w:rsidRDefault="00681D35" w:rsidP="00681D35">
      <w:pPr>
        <w:jc w:val="center"/>
        <w:rPr>
          <w:rFonts w:ascii="Book Antiqua" w:hAnsi="Book Antiqua"/>
        </w:rPr>
      </w:pPr>
    </w:p>
    <w:p w14:paraId="2AF09833" w14:textId="054D329D" w:rsidR="00681D35" w:rsidRPr="00681D35" w:rsidRDefault="00681D35" w:rsidP="00681D35">
      <w:pPr>
        <w:jc w:val="center"/>
        <w:rPr>
          <w:rFonts w:ascii="Book Antiqua" w:hAnsi="Book Antiqua"/>
        </w:rPr>
      </w:pPr>
      <w:r w:rsidRPr="00681D35">
        <w:rPr>
          <w:rFonts w:ascii="Book Antiqua" w:hAnsi="Book Antiqua"/>
          <w:noProof/>
          <w:lang w:eastAsia="zh-CN"/>
        </w:rPr>
        <w:drawing>
          <wp:inline distT="0" distB="0" distL="0" distR="0" wp14:anchorId="504D3E02" wp14:editId="51B76FEA">
            <wp:extent cx="1447800" cy="1440180"/>
            <wp:effectExtent l="0" t="0" r="0" b="7620"/>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二维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B0BB40B" w14:textId="77777777" w:rsidR="00681D35" w:rsidRPr="00681D35" w:rsidRDefault="00681D35" w:rsidP="00681D35">
      <w:pPr>
        <w:jc w:val="center"/>
        <w:rPr>
          <w:rFonts w:ascii="Book Antiqua" w:hAnsi="Book Antiqua"/>
        </w:rPr>
      </w:pPr>
    </w:p>
    <w:p w14:paraId="3B06E9D4" w14:textId="77777777" w:rsidR="00681D35" w:rsidRPr="00681D35" w:rsidRDefault="00681D35" w:rsidP="00681D35">
      <w:pPr>
        <w:jc w:val="center"/>
        <w:rPr>
          <w:rFonts w:ascii="Book Antiqua" w:hAnsi="Book Antiqua"/>
        </w:rPr>
      </w:pPr>
    </w:p>
    <w:p w14:paraId="13455025" w14:textId="77777777" w:rsidR="00681D35" w:rsidRPr="00681D35" w:rsidRDefault="00681D35" w:rsidP="00681D35">
      <w:pPr>
        <w:jc w:val="center"/>
        <w:rPr>
          <w:rFonts w:ascii="Book Antiqua" w:hAnsi="Book Antiqua"/>
        </w:rPr>
      </w:pPr>
    </w:p>
    <w:p w14:paraId="65206505" w14:textId="77777777" w:rsidR="00681D35" w:rsidRPr="00681D35" w:rsidRDefault="00681D35" w:rsidP="00681D35">
      <w:pPr>
        <w:jc w:val="center"/>
        <w:rPr>
          <w:rFonts w:ascii="Book Antiqua" w:hAnsi="Book Antiqua"/>
        </w:rPr>
      </w:pPr>
    </w:p>
    <w:p w14:paraId="26D058E5" w14:textId="77777777" w:rsidR="00681D35" w:rsidRPr="00681D35" w:rsidRDefault="00681D35" w:rsidP="00681D35">
      <w:pPr>
        <w:jc w:val="center"/>
        <w:rPr>
          <w:rFonts w:ascii="Book Antiqua" w:hAnsi="Book Antiqua"/>
        </w:rPr>
      </w:pPr>
    </w:p>
    <w:p w14:paraId="21EF0822" w14:textId="77777777" w:rsidR="00681D35" w:rsidRPr="00681D35" w:rsidRDefault="00681D35" w:rsidP="00681D35">
      <w:pPr>
        <w:jc w:val="center"/>
        <w:rPr>
          <w:rFonts w:ascii="Book Antiqua" w:hAnsi="Book Antiqua"/>
        </w:rPr>
      </w:pPr>
    </w:p>
    <w:p w14:paraId="6A17CA01" w14:textId="77777777" w:rsidR="00681D35" w:rsidRPr="00681D35" w:rsidRDefault="00681D35" w:rsidP="00681D35">
      <w:pPr>
        <w:jc w:val="center"/>
        <w:rPr>
          <w:rFonts w:ascii="Book Antiqua" w:hAnsi="Book Antiqua"/>
        </w:rPr>
      </w:pPr>
    </w:p>
    <w:p w14:paraId="2DAD7769" w14:textId="77777777" w:rsidR="00681D35" w:rsidRPr="00681D35" w:rsidRDefault="00681D35" w:rsidP="00681D35">
      <w:pPr>
        <w:jc w:val="center"/>
        <w:rPr>
          <w:rFonts w:ascii="Book Antiqua" w:hAnsi="Book Antiqua"/>
        </w:rPr>
      </w:pPr>
    </w:p>
    <w:p w14:paraId="72CAB1F6" w14:textId="77777777" w:rsidR="00681D35" w:rsidRPr="00681D35" w:rsidRDefault="00681D35" w:rsidP="00681D35">
      <w:pPr>
        <w:jc w:val="center"/>
        <w:rPr>
          <w:rFonts w:ascii="Book Antiqua" w:hAnsi="Book Antiqua"/>
        </w:rPr>
      </w:pPr>
    </w:p>
    <w:p w14:paraId="651A1AC2" w14:textId="77777777" w:rsidR="00681D35" w:rsidRPr="00681D35" w:rsidRDefault="00681D35" w:rsidP="00681D35">
      <w:pPr>
        <w:jc w:val="right"/>
        <w:rPr>
          <w:rFonts w:ascii="Book Antiqua" w:hAnsi="Book Antiqua"/>
          <w:color w:val="000000" w:themeColor="text1"/>
        </w:rPr>
      </w:pPr>
    </w:p>
    <w:p w14:paraId="35817000" w14:textId="77777777" w:rsidR="00681D35" w:rsidRDefault="00681D35" w:rsidP="00681D35">
      <w:pPr>
        <w:jc w:val="center"/>
        <w:rPr>
          <w:rFonts w:ascii="Book Antiqua" w:hAnsi="Book Antiqua"/>
          <w:color w:val="000000" w:themeColor="text1"/>
        </w:rPr>
      </w:pPr>
      <w:r w:rsidRPr="00681D35">
        <w:rPr>
          <w:rFonts w:ascii="Book Antiqua" w:eastAsia="BookAntiqua-Bold" w:hAnsi="Book Antiqua" w:cs="BookAntiqua-Bold"/>
          <w:b/>
          <w:bCs/>
          <w:color w:val="000000" w:themeColor="text1"/>
        </w:rPr>
        <w:t>© 2021 Baishideng Publishing Group Inc. All rights reserved.</w:t>
      </w:r>
      <w:r w:rsidRPr="00681D35">
        <w:rPr>
          <w:rFonts w:ascii="Book Antiqua" w:hAnsi="Book Antiqua"/>
          <w:color w:val="000000" w:themeColor="text1"/>
        </w:rPr>
        <w:fldChar w:fldCharType="begin"/>
      </w:r>
      <w:r w:rsidRPr="00681D35">
        <w:rPr>
          <w:rFonts w:ascii="Book Antiqua" w:hAnsi="Book Antiqua"/>
          <w:color w:val="000000" w:themeColor="text1"/>
        </w:rPr>
        <w:instrText xml:space="preserve"> ADDIN EN.REFLIST </w:instrText>
      </w:r>
      <w:r w:rsidRPr="00681D35">
        <w:rPr>
          <w:rFonts w:ascii="Book Antiqua" w:hAnsi="Book Antiqua"/>
          <w:color w:val="000000" w:themeColor="text1"/>
        </w:rPr>
        <w:fldChar w:fldCharType="end"/>
      </w:r>
      <w:bookmarkStart w:id="0" w:name="_GoBack"/>
      <w:bookmarkEnd w:id="0"/>
    </w:p>
    <w:p w14:paraId="41B27C94" w14:textId="77777777" w:rsidR="00681D35" w:rsidRDefault="00681D35" w:rsidP="00681D35">
      <w:pPr>
        <w:spacing w:line="360" w:lineRule="auto"/>
        <w:jc w:val="both"/>
      </w:pPr>
    </w:p>
    <w:p w14:paraId="13DAD249" w14:textId="77777777" w:rsidR="00347BCA" w:rsidRPr="003C2906" w:rsidRDefault="00347BCA" w:rsidP="003C2906">
      <w:pPr>
        <w:adjustRightInd w:val="0"/>
        <w:snapToGrid w:val="0"/>
        <w:spacing w:line="360" w:lineRule="auto"/>
        <w:jc w:val="both"/>
        <w:rPr>
          <w:rFonts w:ascii="Book Antiqua" w:hAnsi="Book Antiqua"/>
          <w:color w:val="000000" w:themeColor="text1"/>
        </w:rPr>
      </w:pPr>
    </w:p>
    <w:sectPr w:rsidR="00347BCA" w:rsidRPr="003C2906" w:rsidSect="003C2906">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88C70" w14:textId="77777777" w:rsidR="00CA7F63" w:rsidRDefault="00CA7F63">
      <w:r>
        <w:separator/>
      </w:r>
    </w:p>
  </w:endnote>
  <w:endnote w:type="continuationSeparator" w:id="0">
    <w:p w14:paraId="52D50AB2" w14:textId="77777777" w:rsidR="00CA7F63" w:rsidRDefault="00CA7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946495982"/>
      <w:docPartObj>
        <w:docPartGallery w:val="AutoText"/>
      </w:docPartObj>
    </w:sdtPr>
    <w:sdtContent>
      <w:sdt>
        <w:sdtPr>
          <w:rPr>
            <w:rFonts w:ascii="Book Antiqua" w:hAnsi="Book Antiqua"/>
            <w:sz w:val="24"/>
            <w:szCs w:val="24"/>
          </w:rPr>
          <w:id w:val="-1769616900"/>
          <w:docPartObj>
            <w:docPartGallery w:val="AutoText"/>
          </w:docPartObj>
        </w:sdtPr>
        <w:sdtContent>
          <w:p w14:paraId="02CD5BC4" w14:textId="77777777" w:rsidR="00004024" w:rsidRPr="00613A44" w:rsidRDefault="00004024">
            <w:pPr>
              <w:pStyle w:val="a3"/>
              <w:jc w:val="right"/>
              <w:rPr>
                <w:rFonts w:ascii="Book Antiqua" w:hAnsi="Book Antiqua"/>
                <w:sz w:val="24"/>
                <w:szCs w:val="24"/>
              </w:rPr>
            </w:pPr>
            <w:r w:rsidRPr="00613A44">
              <w:rPr>
                <w:rFonts w:ascii="Book Antiqua" w:hAnsi="Book Antiqua"/>
                <w:sz w:val="24"/>
                <w:szCs w:val="24"/>
                <w:lang w:val="zh-CN" w:eastAsia="zh-CN"/>
              </w:rPr>
              <w:t xml:space="preserve"> </w:t>
            </w:r>
            <w:r w:rsidRPr="00613A44">
              <w:rPr>
                <w:rFonts w:ascii="Book Antiqua" w:hAnsi="Book Antiqua"/>
                <w:sz w:val="24"/>
                <w:szCs w:val="24"/>
              </w:rPr>
              <w:fldChar w:fldCharType="begin"/>
            </w:r>
            <w:r w:rsidRPr="00613A44">
              <w:rPr>
                <w:rFonts w:ascii="Book Antiqua" w:hAnsi="Book Antiqua"/>
                <w:sz w:val="24"/>
                <w:szCs w:val="24"/>
              </w:rPr>
              <w:instrText>PAGE</w:instrText>
            </w:r>
            <w:r w:rsidRPr="00613A44">
              <w:rPr>
                <w:rFonts w:ascii="Book Antiqua" w:hAnsi="Book Antiqua"/>
                <w:sz w:val="24"/>
                <w:szCs w:val="24"/>
              </w:rPr>
              <w:fldChar w:fldCharType="separate"/>
            </w:r>
            <w:r w:rsidR="00681D35">
              <w:rPr>
                <w:rFonts w:ascii="Book Antiqua" w:hAnsi="Book Antiqua"/>
                <w:noProof/>
                <w:sz w:val="24"/>
                <w:szCs w:val="24"/>
              </w:rPr>
              <w:t>21</w:t>
            </w:r>
            <w:r w:rsidRPr="00613A44">
              <w:rPr>
                <w:rFonts w:ascii="Book Antiqua" w:hAnsi="Book Antiqua"/>
                <w:sz w:val="24"/>
                <w:szCs w:val="24"/>
              </w:rPr>
              <w:fldChar w:fldCharType="end"/>
            </w:r>
            <w:r w:rsidRPr="00613A44">
              <w:rPr>
                <w:rFonts w:ascii="Book Antiqua" w:hAnsi="Book Antiqua"/>
                <w:sz w:val="24"/>
                <w:szCs w:val="24"/>
                <w:lang w:val="zh-CN" w:eastAsia="zh-CN"/>
              </w:rPr>
              <w:t xml:space="preserve"> / </w:t>
            </w:r>
            <w:r w:rsidRPr="00613A44">
              <w:rPr>
                <w:rFonts w:ascii="Book Antiqua" w:hAnsi="Book Antiqua"/>
                <w:sz w:val="24"/>
                <w:szCs w:val="24"/>
              </w:rPr>
              <w:fldChar w:fldCharType="begin"/>
            </w:r>
            <w:r w:rsidRPr="00613A44">
              <w:rPr>
                <w:rFonts w:ascii="Book Antiqua" w:hAnsi="Book Antiqua"/>
                <w:sz w:val="24"/>
                <w:szCs w:val="24"/>
              </w:rPr>
              <w:instrText>NUMPAGES</w:instrText>
            </w:r>
            <w:r w:rsidRPr="00613A44">
              <w:rPr>
                <w:rFonts w:ascii="Book Antiqua" w:hAnsi="Book Antiqua"/>
                <w:sz w:val="24"/>
                <w:szCs w:val="24"/>
              </w:rPr>
              <w:fldChar w:fldCharType="separate"/>
            </w:r>
            <w:r w:rsidR="00681D35">
              <w:rPr>
                <w:rFonts w:ascii="Book Antiqua" w:hAnsi="Book Antiqua"/>
                <w:noProof/>
                <w:sz w:val="24"/>
                <w:szCs w:val="24"/>
              </w:rPr>
              <w:t>22</w:t>
            </w:r>
            <w:r w:rsidRPr="00613A44">
              <w:rPr>
                <w:rFonts w:ascii="Book Antiqua" w:hAnsi="Book Antiqua"/>
                <w:sz w:val="24"/>
                <w:szCs w:val="24"/>
              </w:rPr>
              <w:fldChar w:fldCharType="end"/>
            </w:r>
          </w:p>
        </w:sdtContent>
      </w:sdt>
    </w:sdtContent>
  </w:sdt>
  <w:p w14:paraId="1B461372" w14:textId="77777777" w:rsidR="00004024" w:rsidRDefault="0000402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E154D" w14:textId="77777777" w:rsidR="00CA7F63" w:rsidRDefault="00CA7F63">
      <w:r>
        <w:separator/>
      </w:r>
    </w:p>
  </w:footnote>
  <w:footnote w:type="continuationSeparator" w:id="0">
    <w:p w14:paraId="7AC1F5E3" w14:textId="77777777" w:rsidR="00CA7F63" w:rsidRDefault="00CA7F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78042209-7FD1-4D01-BF90-0F85095B32B6}"/>
    <w:docVar w:name="KY_MEDREF_VERSION" w:val="3"/>
  </w:docVars>
  <w:rsids>
    <w:rsidRoot w:val="00A77B3E"/>
    <w:rsid w:val="00000B64"/>
    <w:rsid w:val="00004024"/>
    <w:rsid w:val="000061E0"/>
    <w:rsid w:val="00014D3D"/>
    <w:rsid w:val="00060A5A"/>
    <w:rsid w:val="00060CA5"/>
    <w:rsid w:val="000C631F"/>
    <w:rsid w:val="000E7753"/>
    <w:rsid w:val="0010313A"/>
    <w:rsid w:val="00103571"/>
    <w:rsid w:val="00125DBE"/>
    <w:rsid w:val="00130EF4"/>
    <w:rsid w:val="00134D16"/>
    <w:rsid w:val="001366C7"/>
    <w:rsid w:val="00156A32"/>
    <w:rsid w:val="00192438"/>
    <w:rsid w:val="00197CA0"/>
    <w:rsid w:val="001B200C"/>
    <w:rsid w:val="001E675A"/>
    <w:rsid w:val="001F3821"/>
    <w:rsid w:val="001F5484"/>
    <w:rsid w:val="00221F90"/>
    <w:rsid w:val="00225327"/>
    <w:rsid w:val="002774CC"/>
    <w:rsid w:val="00287C2D"/>
    <w:rsid w:val="002B64CB"/>
    <w:rsid w:val="002D68BE"/>
    <w:rsid w:val="00347BCA"/>
    <w:rsid w:val="003529C8"/>
    <w:rsid w:val="00385F83"/>
    <w:rsid w:val="00391621"/>
    <w:rsid w:val="003B0FFA"/>
    <w:rsid w:val="003C2906"/>
    <w:rsid w:val="003C58DE"/>
    <w:rsid w:val="003D59DB"/>
    <w:rsid w:val="003E6887"/>
    <w:rsid w:val="004105F8"/>
    <w:rsid w:val="00417A0D"/>
    <w:rsid w:val="00425756"/>
    <w:rsid w:val="00463574"/>
    <w:rsid w:val="00463C38"/>
    <w:rsid w:val="00487DA6"/>
    <w:rsid w:val="0049120A"/>
    <w:rsid w:val="004A5EF5"/>
    <w:rsid w:val="004A7F32"/>
    <w:rsid w:val="004B71CB"/>
    <w:rsid w:val="004D32AF"/>
    <w:rsid w:val="004E16FC"/>
    <w:rsid w:val="004E35F1"/>
    <w:rsid w:val="004F6ABA"/>
    <w:rsid w:val="00500C07"/>
    <w:rsid w:val="00521DEC"/>
    <w:rsid w:val="00525ECA"/>
    <w:rsid w:val="00531090"/>
    <w:rsid w:val="00541EC9"/>
    <w:rsid w:val="00543A1A"/>
    <w:rsid w:val="00573DCF"/>
    <w:rsid w:val="005A3E16"/>
    <w:rsid w:val="005D3A30"/>
    <w:rsid w:val="005E1163"/>
    <w:rsid w:val="00613A44"/>
    <w:rsid w:val="006407D4"/>
    <w:rsid w:val="00647B2B"/>
    <w:rsid w:val="00654405"/>
    <w:rsid w:val="00654BB9"/>
    <w:rsid w:val="00681D35"/>
    <w:rsid w:val="00691ECF"/>
    <w:rsid w:val="006A0DE3"/>
    <w:rsid w:val="006A6848"/>
    <w:rsid w:val="006D603B"/>
    <w:rsid w:val="006F758F"/>
    <w:rsid w:val="007430FB"/>
    <w:rsid w:val="007A193A"/>
    <w:rsid w:val="007D0E4F"/>
    <w:rsid w:val="007F6682"/>
    <w:rsid w:val="00802824"/>
    <w:rsid w:val="00803584"/>
    <w:rsid w:val="00804E6B"/>
    <w:rsid w:val="00823FAB"/>
    <w:rsid w:val="00844F5D"/>
    <w:rsid w:val="00854343"/>
    <w:rsid w:val="0086574F"/>
    <w:rsid w:val="0089322E"/>
    <w:rsid w:val="008A4652"/>
    <w:rsid w:val="008B4917"/>
    <w:rsid w:val="008C61CF"/>
    <w:rsid w:val="008E292D"/>
    <w:rsid w:val="008F1144"/>
    <w:rsid w:val="008F7AA2"/>
    <w:rsid w:val="00912213"/>
    <w:rsid w:val="00921445"/>
    <w:rsid w:val="00923E3F"/>
    <w:rsid w:val="00941CED"/>
    <w:rsid w:val="00944D83"/>
    <w:rsid w:val="00945D53"/>
    <w:rsid w:val="0099143F"/>
    <w:rsid w:val="009A6853"/>
    <w:rsid w:val="009B48FC"/>
    <w:rsid w:val="009B7A92"/>
    <w:rsid w:val="009E0099"/>
    <w:rsid w:val="00A01ACF"/>
    <w:rsid w:val="00A05D9F"/>
    <w:rsid w:val="00A06C14"/>
    <w:rsid w:val="00A24C5A"/>
    <w:rsid w:val="00A2643C"/>
    <w:rsid w:val="00A56FF1"/>
    <w:rsid w:val="00A77B3E"/>
    <w:rsid w:val="00AA1524"/>
    <w:rsid w:val="00AC0B70"/>
    <w:rsid w:val="00AD3441"/>
    <w:rsid w:val="00AE6BAE"/>
    <w:rsid w:val="00B04C2A"/>
    <w:rsid w:val="00B14D9D"/>
    <w:rsid w:val="00B1618C"/>
    <w:rsid w:val="00B37BC5"/>
    <w:rsid w:val="00B7342C"/>
    <w:rsid w:val="00B75D5A"/>
    <w:rsid w:val="00B77FDD"/>
    <w:rsid w:val="00B83FDE"/>
    <w:rsid w:val="00B86491"/>
    <w:rsid w:val="00B872F2"/>
    <w:rsid w:val="00B91A0A"/>
    <w:rsid w:val="00B9369B"/>
    <w:rsid w:val="00B94AD0"/>
    <w:rsid w:val="00B94F7D"/>
    <w:rsid w:val="00BE2FC7"/>
    <w:rsid w:val="00BE5891"/>
    <w:rsid w:val="00BF7D11"/>
    <w:rsid w:val="00C15035"/>
    <w:rsid w:val="00C33012"/>
    <w:rsid w:val="00C43BA0"/>
    <w:rsid w:val="00C73D6F"/>
    <w:rsid w:val="00C77867"/>
    <w:rsid w:val="00C86A3B"/>
    <w:rsid w:val="00CA2A55"/>
    <w:rsid w:val="00CA7F63"/>
    <w:rsid w:val="00CB43E5"/>
    <w:rsid w:val="00CF331E"/>
    <w:rsid w:val="00CF46AF"/>
    <w:rsid w:val="00D016CE"/>
    <w:rsid w:val="00D23885"/>
    <w:rsid w:val="00D41D48"/>
    <w:rsid w:val="00D8301F"/>
    <w:rsid w:val="00D95D05"/>
    <w:rsid w:val="00DB1137"/>
    <w:rsid w:val="00DC1460"/>
    <w:rsid w:val="00DC2F6F"/>
    <w:rsid w:val="00DD3DDC"/>
    <w:rsid w:val="00DD7AD8"/>
    <w:rsid w:val="00DE0BF8"/>
    <w:rsid w:val="00E023A8"/>
    <w:rsid w:val="00E04C96"/>
    <w:rsid w:val="00E13B58"/>
    <w:rsid w:val="00E26251"/>
    <w:rsid w:val="00EB276A"/>
    <w:rsid w:val="00EC6A7D"/>
    <w:rsid w:val="00EF09EA"/>
    <w:rsid w:val="00EF34A3"/>
    <w:rsid w:val="00F040C3"/>
    <w:rsid w:val="00F249D0"/>
    <w:rsid w:val="00F32336"/>
    <w:rsid w:val="00F44675"/>
    <w:rsid w:val="00F606FF"/>
    <w:rsid w:val="00F83D7B"/>
    <w:rsid w:val="00F86FE2"/>
    <w:rsid w:val="00FA5F91"/>
    <w:rsid w:val="00FC69C5"/>
    <w:rsid w:val="00FE44E1"/>
    <w:rsid w:val="500C4689"/>
    <w:rsid w:val="74701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F3F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sz w:val="18"/>
      <w:szCs w:val="18"/>
    </w:rPr>
  </w:style>
  <w:style w:type="character" w:customStyle="1" w:styleId="Char">
    <w:name w:val="页脚 Char"/>
    <w:basedOn w:val="a0"/>
    <w:link w:val="a3"/>
    <w:uiPriority w:val="99"/>
    <w:rPr>
      <w:sz w:val="18"/>
      <w:szCs w:val="18"/>
    </w:rPr>
  </w:style>
  <w:style w:type="paragraph" w:styleId="a5">
    <w:name w:val="Revision"/>
    <w:hidden/>
    <w:uiPriority w:val="99"/>
    <w:semiHidden/>
    <w:rsid w:val="005D3A30"/>
    <w:rPr>
      <w:sz w:val="24"/>
      <w:szCs w:val="24"/>
      <w:lang w:eastAsia="en-US"/>
    </w:rPr>
  </w:style>
  <w:style w:type="paragraph" w:styleId="a6">
    <w:name w:val="Balloon Text"/>
    <w:basedOn w:val="a"/>
    <w:link w:val="Char1"/>
    <w:rsid w:val="00130EF4"/>
    <w:rPr>
      <w:sz w:val="18"/>
      <w:szCs w:val="18"/>
    </w:rPr>
  </w:style>
  <w:style w:type="character" w:customStyle="1" w:styleId="Char1">
    <w:name w:val="批注框文本 Char"/>
    <w:basedOn w:val="a0"/>
    <w:link w:val="a6"/>
    <w:rsid w:val="00130EF4"/>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sz w:val="18"/>
      <w:szCs w:val="18"/>
    </w:rPr>
  </w:style>
  <w:style w:type="character" w:customStyle="1" w:styleId="Char">
    <w:name w:val="页脚 Char"/>
    <w:basedOn w:val="a0"/>
    <w:link w:val="a3"/>
    <w:uiPriority w:val="99"/>
    <w:rPr>
      <w:sz w:val="18"/>
      <w:szCs w:val="18"/>
    </w:rPr>
  </w:style>
  <w:style w:type="paragraph" w:styleId="a5">
    <w:name w:val="Revision"/>
    <w:hidden/>
    <w:uiPriority w:val="99"/>
    <w:semiHidden/>
    <w:rsid w:val="005D3A30"/>
    <w:rPr>
      <w:sz w:val="24"/>
      <w:szCs w:val="24"/>
      <w:lang w:eastAsia="en-US"/>
    </w:rPr>
  </w:style>
  <w:style w:type="paragraph" w:styleId="a6">
    <w:name w:val="Balloon Text"/>
    <w:basedOn w:val="a"/>
    <w:link w:val="Char1"/>
    <w:rsid w:val="00130EF4"/>
    <w:rPr>
      <w:sz w:val="18"/>
      <w:szCs w:val="18"/>
    </w:rPr>
  </w:style>
  <w:style w:type="character" w:customStyle="1" w:styleId="Char1">
    <w:name w:val="批注框文本 Char"/>
    <w:basedOn w:val="a0"/>
    <w:link w:val="a6"/>
    <w:rsid w:val="00130EF4"/>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3300">
      <w:bodyDiv w:val="1"/>
      <w:marLeft w:val="0"/>
      <w:marRight w:val="0"/>
      <w:marTop w:val="0"/>
      <w:marBottom w:val="0"/>
      <w:divBdr>
        <w:top w:val="none" w:sz="0" w:space="0" w:color="auto"/>
        <w:left w:val="none" w:sz="0" w:space="0" w:color="auto"/>
        <w:bottom w:val="none" w:sz="0" w:space="0" w:color="auto"/>
        <w:right w:val="none" w:sz="0" w:space="0" w:color="auto"/>
      </w:divBdr>
    </w:div>
    <w:div w:id="817652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4918</Words>
  <Characters>28033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2021-10-14T01:34:00Z</dcterms:created>
  <dcterms:modified xsi:type="dcterms:W3CDTF">2021-11-25T12:33:00Z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1E414A1D4D40475FA83272DC7221BED2</vt:lpwstr>
  </property>
</Properties>
</file>