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62903"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Name of Journal: </w:t>
      </w:r>
      <w:r w:rsidRPr="002D79FB">
        <w:rPr>
          <w:rFonts w:ascii="Book Antiqua" w:eastAsia="Book Antiqua" w:hAnsi="Book Antiqua" w:cs="Book Antiqua"/>
          <w:i/>
          <w:color w:val="000000"/>
        </w:rPr>
        <w:t>World Journal of Clinical Cases</w:t>
      </w:r>
    </w:p>
    <w:p w14:paraId="06F04AF5"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Manuscript NO: </w:t>
      </w:r>
      <w:r w:rsidRPr="002D79FB">
        <w:rPr>
          <w:rFonts w:ascii="Book Antiqua" w:eastAsia="Book Antiqua" w:hAnsi="Book Antiqua" w:cs="Book Antiqua"/>
          <w:color w:val="000000"/>
        </w:rPr>
        <w:t>69713</w:t>
      </w:r>
    </w:p>
    <w:p w14:paraId="4B785DF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Manuscript Type: </w:t>
      </w:r>
      <w:r w:rsidRPr="002D79FB">
        <w:rPr>
          <w:rFonts w:ascii="Book Antiqua" w:eastAsia="Book Antiqua" w:hAnsi="Book Antiqua" w:cs="Book Antiqua"/>
          <w:color w:val="000000"/>
        </w:rPr>
        <w:t>ORIGINAL ARTICLE</w:t>
      </w:r>
    </w:p>
    <w:p w14:paraId="63B89E38" w14:textId="77777777" w:rsidR="00A77B3E" w:rsidRPr="002D79FB" w:rsidRDefault="00A77B3E" w:rsidP="002D79FB">
      <w:pPr>
        <w:spacing w:line="360" w:lineRule="auto"/>
        <w:jc w:val="both"/>
        <w:rPr>
          <w:rFonts w:ascii="Book Antiqua" w:hAnsi="Book Antiqua"/>
        </w:rPr>
      </w:pPr>
    </w:p>
    <w:p w14:paraId="3C9AC8F9"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Observational Study</w:t>
      </w:r>
    </w:p>
    <w:p w14:paraId="191CD140" w14:textId="77777777" w:rsidR="00A77B3E" w:rsidRPr="002D79FB" w:rsidRDefault="00C42C9E" w:rsidP="002D79FB">
      <w:pPr>
        <w:spacing w:line="360" w:lineRule="auto"/>
        <w:jc w:val="both"/>
        <w:rPr>
          <w:rFonts w:ascii="Book Antiqua" w:hAnsi="Book Antiqua"/>
        </w:rPr>
      </w:pPr>
      <w:bookmarkStart w:id="0" w:name="OLE_LINK5"/>
      <w:r w:rsidRPr="002D79FB">
        <w:rPr>
          <w:rFonts w:ascii="Book Antiqua" w:eastAsia="Book Antiqua" w:hAnsi="Book Antiqua" w:cs="Book Antiqua"/>
          <w:b/>
          <w:bCs/>
          <w:color w:val="000000"/>
        </w:rPr>
        <w:t>Impacts of statin and metformin on neuropathy in patients with type 2 diabetes mellitus: Korean Health Insurance data</w:t>
      </w:r>
    </w:p>
    <w:bookmarkEnd w:id="0"/>
    <w:p w14:paraId="01944119" w14:textId="77777777" w:rsidR="00A77B3E" w:rsidRPr="002D79FB" w:rsidRDefault="00A77B3E" w:rsidP="002D79FB">
      <w:pPr>
        <w:spacing w:line="360" w:lineRule="auto"/>
        <w:jc w:val="both"/>
        <w:rPr>
          <w:rFonts w:ascii="Book Antiqua" w:hAnsi="Book Antiqua"/>
        </w:rPr>
      </w:pPr>
    </w:p>
    <w:p w14:paraId="2F91FC14" w14:textId="3B11A920" w:rsidR="00A77B3E" w:rsidRPr="002D79FB" w:rsidRDefault="00FA7048" w:rsidP="002D79FB">
      <w:pPr>
        <w:spacing w:line="360" w:lineRule="auto"/>
        <w:jc w:val="both"/>
        <w:rPr>
          <w:rFonts w:ascii="Book Antiqua" w:hAnsi="Book Antiqua"/>
        </w:rPr>
      </w:pPr>
      <w:r w:rsidRPr="002D79FB">
        <w:rPr>
          <w:rFonts w:ascii="Book Antiqua" w:eastAsia="Book Antiqua" w:hAnsi="Book Antiqua" w:cs="Book Antiqua"/>
          <w:color w:val="000000"/>
        </w:rPr>
        <w:t xml:space="preserve">Min HK </w:t>
      </w:r>
      <w:r w:rsidRPr="002D79FB">
        <w:rPr>
          <w:rFonts w:ascii="Book Antiqua" w:eastAsia="Book Antiqua" w:hAnsi="Book Antiqua" w:cs="Book Antiqua"/>
          <w:i/>
          <w:iCs/>
          <w:color w:val="000000"/>
        </w:rPr>
        <w:t>et al</w:t>
      </w:r>
      <w:r w:rsidRPr="002D79FB">
        <w:rPr>
          <w:rFonts w:ascii="Book Antiqua" w:eastAsia="Book Antiqua" w:hAnsi="Book Antiqua" w:cs="Book Antiqua"/>
          <w:color w:val="000000"/>
        </w:rPr>
        <w:t xml:space="preserve">. </w:t>
      </w:r>
      <w:bookmarkStart w:id="1" w:name="OLE_LINK6"/>
      <w:r w:rsidR="00C42C9E" w:rsidRPr="002D79FB">
        <w:rPr>
          <w:rFonts w:ascii="Book Antiqua" w:eastAsia="Book Antiqua" w:hAnsi="Book Antiqua" w:cs="Book Antiqua"/>
          <w:color w:val="000000"/>
        </w:rPr>
        <w:t>Statin/metformin-induced neuropathy</w:t>
      </w:r>
      <w:bookmarkEnd w:id="1"/>
    </w:p>
    <w:p w14:paraId="0E805440" w14:textId="77777777" w:rsidR="00A77B3E" w:rsidRPr="002D79FB" w:rsidRDefault="00A77B3E" w:rsidP="002D79FB">
      <w:pPr>
        <w:spacing w:line="360" w:lineRule="auto"/>
        <w:jc w:val="both"/>
        <w:rPr>
          <w:rFonts w:ascii="Book Antiqua" w:hAnsi="Book Antiqua"/>
        </w:rPr>
      </w:pPr>
    </w:p>
    <w:p w14:paraId="6C2CD71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Hong Ki Min, Se </w:t>
      </w:r>
      <w:proofErr w:type="spellStart"/>
      <w:r w:rsidRPr="002D79FB">
        <w:rPr>
          <w:rFonts w:ascii="Book Antiqua" w:eastAsia="Book Antiqua" w:hAnsi="Book Antiqua" w:cs="Book Antiqua"/>
          <w:color w:val="000000"/>
        </w:rPr>
        <w:t>Hee</w:t>
      </w:r>
      <w:proofErr w:type="spellEnd"/>
      <w:r w:rsidRPr="002D79FB">
        <w:rPr>
          <w:rFonts w:ascii="Book Antiqua" w:eastAsia="Book Antiqua" w:hAnsi="Book Antiqua" w:cs="Book Antiqua"/>
          <w:color w:val="000000"/>
        </w:rPr>
        <w:t xml:space="preserve"> Lee, Jong Han Choi, </w:t>
      </w:r>
      <w:proofErr w:type="spellStart"/>
      <w:r w:rsidRPr="002D79FB">
        <w:rPr>
          <w:rFonts w:ascii="Book Antiqua" w:eastAsia="Book Antiqua" w:hAnsi="Book Antiqua" w:cs="Book Antiqua"/>
          <w:color w:val="000000"/>
        </w:rPr>
        <w:t>Kyomin</w:t>
      </w:r>
      <w:proofErr w:type="spellEnd"/>
      <w:r w:rsidRPr="002D79FB">
        <w:rPr>
          <w:rFonts w:ascii="Book Antiqua" w:eastAsia="Book Antiqua" w:hAnsi="Book Antiqua" w:cs="Book Antiqua"/>
          <w:color w:val="000000"/>
        </w:rPr>
        <w:t xml:space="preserve"> Choi, </w:t>
      </w:r>
      <w:proofErr w:type="spellStart"/>
      <w:r w:rsidRPr="002D79FB">
        <w:rPr>
          <w:rFonts w:ascii="Book Antiqua" w:eastAsia="Book Antiqua" w:hAnsi="Book Antiqua" w:cs="Book Antiqua"/>
          <w:color w:val="000000"/>
        </w:rPr>
        <w:t>Hae</w:t>
      </w:r>
      <w:proofErr w:type="spellEnd"/>
      <w:r w:rsidRPr="002D79FB">
        <w:rPr>
          <w:rFonts w:ascii="Book Antiqua" w:eastAsia="Book Antiqua" w:hAnsi="Book Antiqua" w:cs="Book Antiqua"/>
          <w:color w:val="000000"/>
        </w:rPr>
        <w:t>-Rim Kim, Sang-</w:t>
      </w:r>
      <w:proofErr w:type="spellStart"/>
      <w:r w:rsidRPr="002D79FB">
        <w:rPr>
          <w:rFonts w:ascii="Book Antiqua" w:eastAsia="Book Antiqua" w:hAnsi="Book Antiqua" w:cs="Book Antiqua"/>
          <w:color w:val="000000"/>
        </w:rPr>
        <w:t>Heon</w:t>
      </w:r>
      <w:proofErr w:type="spellEnd"/>
      <w:r w:rsidRPr="002D79FB">
        <w:rPr>
          <w:rFonts w:ascii="Book Antiqua" w:eastAsia="Book Antiqua" w:hAnsi="Book Antiqua" w:cs="Book Antiqua"/>
          <w:color w:val="000000"/>
        </w:rPr>
        <w:t xml:space="preserve"> Lee</w:t>
      </w:r>
    </w:p>
    <w:p w14:paraId="0F4408D3" w14:textId="77777777" w:rsidR="00A77B3E" w:rsidRPr="002D79FB" w:rsidRDefault="00A77B3E" w:rsidP="002D79FB">
      <w:pPr>
        <w:spacing w:line="360" w:lineRule="auto"/>
        <w:jc w:val="both"/>
        <w:rPr>
          <w:rFonts w:ascii="Book Antiqua" w:hAnsi="Book Antiqua"/>
        </w:rPr>
      </w:pPr>
    </w:p>
    <w:p w14:paraId="40134DC2" w14:textId="45E45D48"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Hong Ki Min, </w:t>
      </w:r>
      <w:r w:rsidR="00FA7048" w:rsidRPr="002D79FB">
        <w:rPr>
          <w:rFonts w:ascii="Book Antiqua" w:eastAsia="Book Antiqua" w:hAnsi="Book Antiqua" w:cs="Book Antiqua"/>
          <w:b/>
          <w:bCs/>
          <w:color w:val="000000"/>
        </w:rPr>
        <w:t xml:space="preserve">Se </w:t>
      </w:r>
      <w:proofErr w:type="spellStart"/>
      <w:r w:rsidR="00FA7048" w:rsidRPr="002D79FB">
        <w:rPr>
          <w:rFonts w:ascii="Book Antiqua" w:eastAsia="Book Antiqua" w:hAnsi="Book Antiqua" w:cs="Book Antiqua"/>
          <w:b/>
          <w:bCs/>
          <w:color w:val="000000"/>
        </w:rPr>
        <w:t>Hee</w:t>
      </w:r>
      <w:proofErr w:type="spellEnd"/>
      <w:r w:rsidR="00FA7048" w:rsidRPr="002D79FB">
        <w:rPr>
          <w:rFonts w:ascii="Book Antiqua" w:eastAsia="Book Antiqua" w:hAnsi="Book Antiqua" w:cs="Book Antiqua"/>
          <w:b/>
          <w:bCs/>
          <w:color w:val="000000"/>
        </w:rPr>
        <w:t xml:space="preserve"> Lee, Jong Han Choi, </w:t>
      </w:r>
      <w:bookmarkStart w:id="2" w:name="OLE_LINK1"/>
      <w:r w:rsidR="00FA7048" w:rsidRPr="002D79FB">
        <w:rPr>
          <w:rFonts w:ascii="Book Antiqua" w:eastAsia="Book Antiqua" w:hAnsi="Book Antiqua" w:cs="Book Antiqua"/>
          <w:color w:val="000000"/>
        </w:rPr>
        <w:t>Department of</w:t>
      </w:r>
      <w:r w:rsidR="00FA7048" w:rsidRPr="002D79FB">
        <w:rPr>
          <w:rFonts w:ascii="Book Antiqua" w:eastAsia="Book Antiqua" w:hAnsi="Book Antiqua" w:cs="Book Antiqua"/>
          <w:b/>
          <w:bCs/>
          <w:color w:val="000000"/>
        </w:rPr>
        <w:t xml:space="preserve"> </w:t>
      </w:r>
      <w:r w:rsidRPr="002D79FB">
        <w:rPr>
          <w:rFonts w:ascii="Book Antiqua" w:eastAsia="Book Antiqua" w:hAnsi="Book Antiqua" w:cs="Book Antiqua"/>
          <w:color w:val="000000"/>
        </w:rPr>
        <w:t>Internal Medicine</w:t>
      </w:r>
      <w:bookmarkEnd w:id="2"/>
      <w:r w:rsidRPr="002D79FB">
        <w:rPr>
          <w:rFonts w:ascii="Book Antiqua" w:eastAsia="Book Antiqua" w:hAnsi="Book Antiqua" w:cs="Book Antiqua"/>
          <w:color w:val="000000"/>
        </w:rPr>
        <w:t xml:space="preserve">,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Seoul KS013, South Korea</w:t>
      </w:r>
    </w:p>
    <w:p w14:paraId="71443B5E" w14:textId="77777777" w:rsidR="00A77B3E" w:rsidRPr="002D79FB" w:rsidRDefault="00A77B3E" w:rsidP="002D79FB">
      <w:pPr>
        <w:spacing w:line="360" w:lineRule="auto"/>
        <w:jc w:val="both"/>
        <w:rPr>
          <w:rFonts w:ascii="Book Antiqua" w:hAnsi="Book Antiqua"/>
        </w:rPr>
      </w:pPr>
    </w:p>
    <w:p w14:paraId="61A67550" w14:textId="041817FD" w:rsidR="00A77B3E" w:rsidRPr="002D79FB" w:rsidRDefault="00C42C9E" w:rsidP="002D79FB">
      <w:pPr>
        <w:spacing w:line="360" w:lineRule="auto"/>
        <w:jc w:val="both"/>
        <w:rPr>
          <w:rFonts w:ascii="Book Antiqua" w:hAnsi="Book Antiqua"/>
        </w:rPr>
      </w:pPr>
      <w:proofErr w:type="spellStart"/>
      <w:r w:rsidRPr="002D79FB">
        <w:rPr>
          <w:rFonts w:ascii="Book Antiqua" w:eastAsia="Book Antiqua" w:hAnsi="Book Antiqua" w:cs="Book Antiqua"/>
          <w:b/>
          <w:bCs/>
          <w:color w:val="000000"/>
        </w:rPr>
        <w:t>Kyomin</w:t>
      </w:r>
      <w:proofErr w:type="spellEnd"/>
      <w:r w:rsidRPr="002D79FB">
        <w:rPr>
          <w:rFonts w:ascii="Book Antiqua" w:eastAsia="Book Antiqua" w:hAnsi="Book Antiqua" w:cs="Book Antiqua"/>
          <w:b/>
          <w:bCs/>
          <w:color w:val="000000"/>
        </w:rPr>
        <w:t xml:space="preserve"> Choi, </w:t>
      </w:r>
      <w:bookmarkStart w:id="3" w:name="OLE_LINK2"/>
      <w:r w:rsidR="00FA7048" w:rsidRPr="002D79FB">
        <w:rPr>
          <w:rFonts w:ascii="Book Antiqua" w:eastAsia="Book Antiqua" w:hAnsi="Book Antiqua" w:cs="Book Antiqua"/>
          <w:color w:val="000000"/>
        </w:rPr>
        <w:t xml:space="preserve">Department of </w:t>
      </w:r>
      <w:r w:rsidRPr="002D79FB">
        <w:rPr>
          <w:rFonts w:ascii="Book Antiqua" w:eastAsia="Book Antiqua" w:hAnsi="Book Antiqua" w:cs="Book Antiqua"/>
          <w:color w:val="000000"/>
        </w:rPr>
        <w:t>Neurology</w:t>
      </w:r>
      <w:bookmarkEnd w:id="3"/>
      <w:r w:rsidRPr="002D79FB">
        <w:rPr>
          <w:rFonts w:ascii="Book Antiqua" w:eastAsia="Book Antiqua" w:hAnsi="Book Antiqua" w:cs="Book Antiqua"/>
          <w:color w:val="000000"/>
        </w:rPr>
        <w:t xml:space="preserve">,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Seoul KS013, South Korea</w:t>
      </w:r>
    </w:p>
    <w:p w14:paraId="49EF7B1E" w14:textId="77777777" w:rsidR="00A77B3E" w:rsidRPr="002D79FB" w:rsidRDefault="00A77B3E" w:rsidP="002D79FB">
      <w:pPr>
        <w:spacing w:line="360" w:lineRule="auto"/>
        <w:jc w:val="both"/>
        <w:rPr>
          <w:rFonts w:ascii="Book Antiqua" w:hAnsi="Book Antiqua"/>
        </w:rPr>
      </w:pPr>
    </w:p>
    <w:p w14:paraId="03530DD0" w14:textId="0DA34946" w:rsidR="00A77B3E" w:rsidRPr="002D79FB" w:rsidRDefault="00C42C9E" w:rsidP="002D79FB">
      <w:pPr>
        <w:spacing w:line="360" w:lineRule="auto"/>
        <w:jc w:val="both"/>
        <w:rPr>
          <w:rFonts w:ascii="Book Antiqua" w:hAnsi="Book Antiqua"/>
        </w:rPr>
      </w:pPr>
      <w:proofErr w:type="spellStart"/>
      <w:r w:rsidRPr="002D79FB">
        <w:rPr>
          <w:rFonts w:ascii="Book Antiqua" w:eastAsia="Book Antiqua" w:hAnsi="Book Antiqua" w:cs="Book Antiqua"/>
          <w:b/>
          <w:bCs/>
          <w:color w:val="000000"/>
        </w:rPr>
        <w:t>Hae</w:t>
      </w:r>
      <w:proofErr w:type="spellEnd"/>
      <w:r w:rsidRPr="002D79FB">
        <w:rPr>
          <w:rFonts w:ascii="Book Antiqua" w:eastAsia="Book Antiqua" w:hAnsi="Book Antiqua" w:cs="Book Antiqua"/>
          <w:b/>
          <w:bCs/>
          <w:color w:val="000000"/>
        </w:rPr>
        <w:t xml:space="preserve">-Rim Kim, </w:t>
      </w:r>
      <w:r w:rsidR="00FA7048" w:rsidRPr="002D79FB">
        <w:rPr>
          <w:rFonts w:ascii="Book Antiqua" w:eastAsia="Book Antiqua" w:hAnsi="Book Antiqua" w:cs="Book Antiqua"/>
          <w:b/>
          <w:bCs/>
          <w:color w:val="000000"/>
        </w:rPr>
        <w:t>Sang-</w:t>
      </w:r>
      <w:proofErr w:type="spellStart"/>
      <w:r w:rsidR="00FA7048" w:rsidRPr="002D79FB">
        <w:rPr>
          <w:rFonts w:ascii="Book Antiqua" w:eastAsia="Book Antiqua" w:hAnsi="Book Antiqua" w:cs="Book Antiqua"/>
          <w:b/>
          <w:bCs/>
          <w:color w:val="000000"/>
        </w:rPr>
        <w:t>Heon</w:t>
      </w:r>
      <w:proofErr w:type="spellEnd"/>
      <w:r w:rsidR="00FA7048" w:rsidRPr="002D79FB">
        <w:rPr>
          <w:rFonts w:ascii="Book Antiqua" w:eastAsia="Book Antiqua" w:hAnsi="Book Antiqua" w:cs="Book Antiqua"/>
          <w:b/>
          <w:bCs/>
          <w:color w:val="000000"/>
        </w:rPr>
        <w:t xml:space="preserve"> Lee, </w:t>
      </w:r>
      <w:bookmarkStart w:id="4" w:name="OLE_LINK3"/>
      <w:r w:rsidR="00FA7048" w:rsidRPr="002D79FB">
        <w:rPr>
          <w:rFonts w:ascii="Book Antiqua" w:eastAsia="Book Antiqua" w:hAnsi="Book Antiqua" w:cs="Book Antiqua"/>
          <w:color w:val="000000"/>
        </w:rPr>
        <w:t xml:space="preserve">Division of Rheumatology, Department of </w:t>
      </w:r>
      <w:r w:rsidRPr="002D79FB">
        <w:rPr>
          <w:rFonts w:ascii="Book Antiqua" w:eastAsia="Book Antiqua" w:hAnsi="Book Antiqua" w:cs="Book Antiqua"/>
          <w:color w:val="000000"/>
        </w:rPr>
        <w:t>Internal Medicine</w:t>
      </w:r>
      <w:bookmarkEnd w:id="4"/>
      <w:r w:rsidRPr="002D79FB">
        <w:rPr>
          <w:rFonts w:ascii="Book Antiqua" w:eastAsia="Book Antiqua" w:hAnsi="Book Antiqua" w:cs="Book Antiqua"/>
          <w:color w:val="000000"/>
        </w:rPr>
        <w:t xml:space="preserve">,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School of Medicine, Seoul KS013, South Korea</w:t>
      </w:r>
    </w:p>
    <w:p w14:paraId="0CC481B9" w14:textId="77777777" w:rsidR="00A77B3E" w:rsidRPr="002D79FB" w:rsidRDefault="00A77B3E" w:rsidP="002D79FB">
      <w:pPr>
        <w:spacing w:line="360" w:lineRule="auto"/>
        <w:jc w:val="both"/>
        <w:rPr>
          <w:rFonts w:ascii="Book Antiqua" w:hAnsi="Book Antiqua"/>
        </w:rPr>
      </w:pPr>
    </w:p>
    <w:p w14:paraId="69B1482F" w14:textId="3A42DC38"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Author contributions: </w:t>
      </w:r>
      <w:bookmarkStart w:id="5" w:name="OLE_LINK7"/>
      <w:r w:rsidRPr="002D79FB">
        <w:rPr>
          <w:rFonts w:ascii="Book Antiqua" w:eastAsia="Book Antiqua" w:hAnsi="Book Antiqua" w:cs="Book Antiqua"/>
          <w:color w:val="000000"/>
          <w:shd w:val="clear" w:color="auto" w:fill="FFFFFF"/>
        </w:rPr>
        <w:t xml:space="preserve">Min HK and Lee SH designed the research study; Min HK, </w:t>
      </w:r>
      <w:r w:rsidR="00FA7048" w:rsidRPr="002D79FB">
        <w:rPr>
          <w:rFonts w:ascii="Book Antiqua" w:eastAsia="Book Antiqua" w:hAnsi="Book Antiqua" w:cs="Book Antiqua"/>
          <w:color w:val="000000"/>
          <w:shd w:val="clear" w:color="auto" w:fill="FFFFFF"/>
        </w:rPr>
        <w:t>Lee</w:t>
      </w:r>
      <w:r w:rsidRPr="002D79FB">
        <w:rPr>
          <w:rFonts w:ascii="Book Antiqua" w:eastAsia="Book Antiqua" w:hAnsi="Book Antiqua" w:cs="Book Antiqua"/>
          <w:color w:val="000000"/>
          <w:shd w:val="clear" w:color="auto" w:fill="FFFFFF"/>
        </w:rPr>
        <w:t xml:space="preserve"> SH, Choi JH, Choi K and Kim HR performed the research; Min HK contributed analytic tools; Min HK</w:t>
      </w:r>
      <w:r w:rsidR="00FA7048" w:rsidRPr="002D79FB">
        <w:rPr>
          <w:rFonts w:ascii="Book Antiqua" w:eastAsia="Book Antiqua" w:hAnsi="Book Antiqua" w:cs="Book Antiqua"/>
          <w:color w:val="000000"/>
          <w:shd w:val="clear" w:color="auto" w:fill="FFFFFF"/>
        </w:rPr>
        <w:t xml:space="preserve"> </w:t>
      </w:r>
      <w:r w:rsidRPr="002D79FB">
        <w:rPr>
          <w:rFonts w:ascii="Book Antiqua" w:eastAsia="Book Antiqua" w:hAnsi="Book Antiqua" w:cs="Book Antiqua"/>
          <w:color w:val="000000"/>
          <w:shd w:val="clear" w:color="auto" w:fill="FFFFFF"/>
        </w:rPr>
        <w:t xml:space="preserve">analyzed the data and wrote the manuscript; </w:t>
      </w:r>
      <w:r w:rsidR="00FA7048" w:rsidRPr="002D79FB">
        <w:rPr>
          <w:rFonts w:ascii="Book Antiqua" w:eastAsia="Book Antiqua" w:hAnsi="Book Antiqua" w:cs="Book Antiqua"/>
          <w:color w:val="000000"/>
          <w:shd w:val="clear" w:color="auto" w:fill="FFFFFF"/>
        </w:rPr>
        <w:t>a</w:t>
      </w:r>
      <w:r w:rsidRPr="002D79FB">
        <w:rPr>
          <w:rFonts w:ascii="Book Antiqua" w:eastAsia="Book Antiqua" w:hAnsi="Book Antiqua" w:cs="Book Antiqua"/>
          <w:color w:val="000000"/>
          <w:shd w:val="clear" w:color="auto" w:fill="FFFFFF"/>
        </w:rPr>
        <w:t>ll authors have read and approve the final manuscript.</w:t>
      </w:r>
    </w:p>
    <w:bookmarkEnd w:id="5"/>
    <w:p w14:paraId="512B12D5" w14:textId="77777777" w:rsidR="00A77B3E" w:rsidRPr="002D79FB" w:rsidRDefault="00A77B3E" w:rsidP="002D79FB">
      <w:pPr>
        <w:spacing w:line="360" w:lineRule="auto"/>
        <w:jc w:val="both"/>
        <w:rPr>
          <w:rFonts w:ascii="Book Antiqua" w:hAnsi="Book Antiqua"/>
        </w:rPr>
      </w:pPr>
    </w:p>
    <w:p w14:paraId="7C7E5476" w14:textId="320728FC"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Supported by </w:t>
      </w:r>
      <w:bookmarkStart w:id="6" w:name="OLE_LINK8"/>
      <w:r w:rsidRPr="002D79FB">
        <w:rPr>
          <w:rFonts w:ascii="Book Antiqua" w:eastAsia="Book Antiqua" w:hAnsi="Book Antiqua" w:cs="Book Antiqua"/>
          <w:color w:val="000000"/>
        </w:rPr>
        <w:t xml:space="preserve">the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Research Grant 2020.</w:t>
      </w:r>
      <w:bookmarkEnd w:id="6"/>
    </w:p>
    <w:p w14:paraId="157B1FF7" w14:textId="77777777" w:rsidR="00A77B3E" w:rsidRPr="002D79FB" w:rsidRDefault="00A77B3E" w:rsidP="002D79FB">
      <w:pPr>
        <w:spacing w:line="360" w:lineRule="auto"/>
        <w:jc w:val="both"/>
        <w:rPr>
          <w:rFonts w:ascii="Book Antiqua" w:hAnsi="Book Antiqua"/>
        </w:rPr>
      </w:pPr>
    </w:p>
    <w:p w14:paraId="2F860C31" w14:textId="1FF4A9A8"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lastRenderedPageBreak/>
        <w:t>Corresponding author: Sang-</w:t>
      </w:r>
      <w:proofErr w:type="spellStart"/>
      <w:r w:rsidRPr="002D79FB">
        <w:rPr>
          <w:rFonts w:ascii="Book Antiqua" w:eastAsia="Book Antiqua" w:hAnsi="Book Antiqua" w:cs="Book Antiqua"/>
          <w:b/>
          <w:bCs/>
          <w:color w:val="000000"/>
        </w:rPr>
        <w:t>Heon</w:t>
      </w:r>
      <w:proofErr w:type="spellEnd"/>
      <w:r w:rsidRPr="002D79FB">
        <w:rPr>
          <w:rFonts w:ascii="Book Antiqua" w:eastAsia="Book Antiqua" w:hAnsi="Book Antiqua" w:cs="Book Antiqua"/>
          <w:b/>
          <w:bCs/>
          <w:color w:val="000000"/>
        </w:rPr>
        <w:t xml:space="preserve"> Lee, MD, Professor, </w:t>
      </w:r>
      <w:r w:rsidR="00FA7048" w:rsidRPr="002D79FB">
        <w:rPr>
          <w:rFonts w:ascii="Book Antiqua" w:eastAsia="Book Antiqua" w:hAnsi="Book Antiqua" w:cs="Book Antiqua"/>
          <w:color w:val="000000"/>
        </w:rPr>
        <w:t xml:space="preserve">Division of Rheumatology, Department of Internal Medicine, </w:t>
      </w:r>
      <w:proofErr w:type="spellStart"/>
      <w:r w:rsidR="00FA7048" w:rsidRPr="002D79FB">
        <w:rPr>
          <w:rFonts w:ascii="Book Antiqua" w:eastAsia="Book Antiqua" w:hAnsi="Book Antiqua" w:cs="Book Antiqua"/>
          <w:color w:val="000000"/>
        </w:rPr>
        <w:t>Konkuk</w:t>
      </w:r>
      <w:proofErr w:type="spellEnd"/>
      <w:r w:rsidR="00FA7048" w:rsidRPr="002D79FB">
        <w:rPr>
          <w:rFonts w:ascii="Book Antiqua" w:eastAsia="Book Antiqua" w:hAnsi="Book Antiqua" w:cs="Book Antiqua"/>
          <w:color w:val="000000"/>
        </w:rPr>
        <w:t xml:space="preserve"> University School of Medicine, </w:t>
      </w:r>
      <w:bookmarkStart w:id="7" w:name="OLE_LINK4"/>
      <w:r w:rsidR="00FA7048" w:rsidRPr="002D79FB">
        <w:rPr>
          <w:rFonts w:ascii="Book Antiqua" w:eastAsia="Book Antiqua" w:hAnsi="Book Antiqua" w:cs="Book Antiqua"/>
          <w:color w:val="000000"/>
        </w:rPr>
        <w:t xml:space="preserve">120 </w:t>
      </w:r>
      <w:proofErr w:type="spellStart"/>
      <w:r w:rsidR="00FA7048" w:rsidRPr="002D79FB">
        <w:rPr>
          <w:rFonts w:ascii="Book Antiqua" w:eastAsia="Book Antiqua" w:hAnsi="Book Antiqua" w:cs="Book Antiqua"/>
          <w:color w:val="000000"/>
        </w:rPr>
        <w:t>Neung</w:t>
      </w:r>
      <w:proofErr w:type="spellEnd"/>
      <w:r w:rsidR="00FA7048" w:rsidRPr="002D79FB">
        <w:rPr>
          <w:rFonts w:ascii="Book Antiqua" w:eastAsia="Book Antiqua" w:hAnsi="Book Antiqua" w:cs="Book Antiqua"/>
          <w:color w:val="000000"/>
        </w:rPr>
        <w:t xml:space="preserve">-dong Ro, </w:t>
      </w:r>
      <w:proofErr w:type="spellStart"/>
      <w:r w:rsidR="00FA7048" w:rsidRPr="002D79FB">
        <w:rPr>
          <w:rFonts w:ascii="Book Antiqua" w:eastAsia="Book Antiqua" w:hAnsi="Book Antiqua" w:cs="Book Antiqua"/>
          <w:color w:val="000000"/>
        </w:rPr>
        <w:t>Gwangjin-gu</w:t>
      </w:r>
      <w:bookmarkEnd w:id="7"/>
      <w:proofErr w:type="spellEnd"/>
      <w:r w:rsidR="00FA7048" w:rsidRPr="002D79FB">
        <w:rPr>
          <w:rFonts w:ascii="Book Antiqua" w:eastAsia="Book Antiqua" w:hAnsi="Book Antiqua" w:cs="Book Antiqua"/>
          <w:color w:val="000000"/>
        </w:rPr>
        <w:t xml:space="preserve">, Seoul KS013, South Korea. </w:t>
      </w:r>
      <w:r w:rsidRPr="002D79FB">
        <w:rPr>
          <w:rFonts w:ascii="Book Antiqua" w:eastAsia="Book Antiqua" w:hAnsi="Book Antiqua" w:cs="Book Antiqua"/>
          <w:color w:val="000000"/>
        </w:rPr>
        <w:t>shlee@kuh.ac.kr</w:t>
      </w:r>
    </w:p>
    <w:p w14:paraId="448E75E3" w14:textId="77777777" w:rsidR="00A77B3E" w:rsidRPr="002D79FB" w:rsidRDefault="00A77B3E" w:rsidP="002D79FB">
      <w:pPr>
        <w:spacing w:line="360" w:lineRule="auto"/>
        <w:jc w:val="both"/>
        <w:rPr>
          <w:rFonts w:ascii="Book Antiqua" w:hAnsi="Book Antiqua"/>
        </w:rPr>
      </w:pPr>
    </w:p>
    <w:p w14:paraId="284D673F"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Received: </w:t>
      </w:r>
      <w:r w:rsidRPr="002D79FB">
        <w:rPr>
          <w:rFonts w:ascii="Book Antiqua" w:eastAsia="Book Antiqua" w:hAnsi="Book Antiqua" w:cs="Book Antiqua"/>
          <w:color w:val="000000"/>
        </w:rPr>
        <w:t>July 9, 2021</w:t>
      </w:r>
    </w:p>
    <w:p w14:paraId="3C7EB74D" w14:textId="3DAFB892"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Revised: </w:t>
      </w:r>
      <w:r w:rsidR="00FA7048" w:rsidRPr="002D79FB">
        <w:rPr>
          <w:rFonts w:ascii="Book Antiqua" w:eastAsia="Book Antiqua" w:hAnsi="Book Antiqua" w:cs="Book Antiqua"/>
          <w:color w:val="000000"/>
        </w:rPr>
        <w:t>August 9, 2021</w:t>
      </w:r>
    </w:p>
    <w:p w14:paraId="644ACF86" w14:textId="721F9FDA"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Accepted: </w:t>
      </w:r>
      <w:r w:rsidR="001A2DA4" w:rsidRPr="002D79FB">
        <w:rPr>
          <w:rFonts w:ascii="Book Antiqua" w:eastAsia="Book Antiqua" w:hAnsi="Book Antiqua" w:cs="Book Antiqua"/>
          <w:color w:val="000000"/>
        </w:rPr>
        <w:t>September 10, 2021</w:t>
      </w:r>
    </w:p>
    <w:p w14:paraId="61FD3DD1" w14:textId="26C31825" w:rsidR="00FA7048" w:rsidRPr="0011315F" w:rsidRDefault="00C42C9E" w:rsidP="002D79FB">
      <w:pPr>
        <w:spacing w:line="360" w:lineRule="auto"/>
        <w:jc w:val="both"/>
        <w:rPr>
          <w:rFonts w:ascii="Book Antiqua" w:hAnsi="Book Antiqua" w:cs="Book Antiqua"/>
          <w:b/>
          <w:bCs/>
          <w:color w:val="000000"/>
          <w:lang w:eastAsia="zh-CN"/>
        </w:rPr>
      </w:pPr>
      <w:r w:rsidRPr="002D79FB">
        <w:rPr>
          <w:rFonts w:ascii="Book Antiqua" w:eastAsia="Book Antiqua" w:hAnsi="Book Antiqua" w:cs="Book Antiqua"/>
          <w:b/>
          <w:bCs/>
          <w:color w:val="000000"/>
        </w:rPr>
        <w:t>Published online:</w:t>
      </w:r>
      <w:r w:rsidR="0011315F">
        <w:rPr>
          <w:rFonts w:ascii="Book Antiqua" w:hAnsi="Book Antiqua" w:cs="Book Antiqua" w:hint="eastAsia"/>
          <w:b/>
          <w:bCs/>
          <w:color w:val="000000"/>
          <w:lang w:eastAsia="zh-CN"/>
        </w:rPr>
        <w:t xml:space="preserve"> </w:t>
      </w:r>
      <w:r w:rsidR="0011315F" w:rsidRPr="0011315F">
        <w:rPr>
          <w:rFonts w:ascii="Book Antiqua" w:hAnsi="Book Antiqua" w:cs="Book Antiqua"/>
          <w:bCs/>
          <w:color w:val="000000"/>
          <w:lang w:eastAsia="zh-CN"/>
        </w:rPr>
        <w:t>November 26, 2021</w:t>
      </w:r>
    </w:p>
    <w:p w14:paraId="73B49B02" w14:textId="77777777" w:rsidR="00FA7048" w:rsidRPr="002D79FB" w:rsidRDefault="00FA7048" w:rsidP="002D79FB">
      <w:pPr>
        <w:spacing w:line="360" w:lineRule="auto"/>
        <w:jc w:val="both"/>
        <w:rPr>
          <w:rFonts w:ascii="Book Antiqua" w:eastAsia="Book Antiqua" w:hAnsi="Book Antiqua" w:cs="Book Antiqua"/>
          <w:b/>
          <w:bCs/>
          <w:color w:val="000000"/>
        </w:rPr>
      </w:pPr>
    </w:p>
    <w:p w14:paraId="40822DEE" w14:textId="77777777" w:rsidR="002D79FB" w:rsidRDefault="002D79FB">
      <w:pPr>
        <w:rPr>
          <w:rFonts w:ascii="Book Antiqua" w:eastAsia="Book Antiqua" w:hAnsi="Book Antiqua" w:cs="Book Antiqua"/>
          <w:b/>
          <w:color w:val="000000"/>
        </w:rPr>
      </w:pPr>
      <w:r>
        <w:rPr>
          <w:rFonts w:ascii="Book Antiqua" w:eastAsia="Book Antiqua" w:hAnsi="Book Antiqua" w:cs="Book Antiqua"/>
          <w:b/>
          <w:color w:val="000000"/>
        </w:rPr>
        <w:br w:type="page"/>
      </w:r>
    </w:p>
    <w:p w14:paraId="0E562C4D" w14:textId="2626FB44"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lastRenderedPageBreak/>
        <w:t>Abstract</w:t>
      </w:r>
    </w:p>
    <w:p w14:paraId="1AEE473D"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BACKGROUND</w:t>
      </w:r>
    </w:p>
    <w:p w14:paraId="422FAAA7" w14:textId="175A47E2" w:rsidR="00A77B3E" w:rsidRPr="002D79FB" w:rsidRDefault="00C42C9E" w:rsidP="002D79FB">
      <w:pPr>
        <w:spacing w:line="360" w:lineRule="auto"/>
        <w:jc w:val="both"/>
        <w:rPr>
          <w:rFonts w:ascii="Book Antiqua" w:hAnsi="Book Antiqua"/>
        </w:rPr>
      </w:pPr>
      <w:bookmarkStart w:id="8" w:name="OLE_LINK11"/>
      <w:r w:rsidRPr="002D79FB">
        <w:rPr>
          <w:rFonts w:ascii="Book Antiqua" w:eastAsia="Book Antiqua" w:hAnsi="Book Antiqua" w:cs="Book Antiqua"/>
          <w:color w:val="000000"/>
        </w:rPr>
        <w:t xml:space="preserve">Neuropathy is </w:t>
      </w:r>
      <w:r w:rsidR="002D79FB">
        <w:rPr>
          <w:rFonts w:ascii="Book Antiqua" w:eastAsia="Book Antiqua" w:hAnsi="Book Antiqua" w:cs="Book Antiqua"/>
          <w:color w:val="000000"/>
        </w:rPr>
        <w:t xml:space="preserve">a </w:t>
      </w:r>
      <w:r w:rsidRPr="002D79FB">
        <w:rPr>
          <w:rFonts w:ascii="Book Antiqua" w:eastAsia="Book Antiqua" w:hAnsi="Book Antiqua" w:cs="Book Antiqua"/>
          <w:color w:val="000000"/>
        </w:rPr>
        <w:t xml:space="preserve">common chronic complication in type 2 diabetes mellitus (T2DM). Statin and metformin </w:t>
      </w:r>
      <w:r w:rsidR="002D79FB">
        <w:rPr>
          <w:rFonts w:ascii="Book Antiqua" w:eastAsia="Book Antiqua" w:hAnsi="Book Antiqua" w:cs="Book Antiqua"/>
          <w:color w:val="000000"/>
        </w:rPr>
        <w:t>are</w:t>
      </w:r>
      <w:r w:rsidRPr="002D79FB">
        <w:rPr>
          <w:rFonts w:ascii="Book Antiqua" w:eastAsia="Book Antiqua" w:hAnsi="Book Antiqua" w:cs="Book Antiqua"/>
          <w:color w:val="000000"/>
        </w:rPr>
        <w:t xml:space="preserve"> commonly used medication</w:t>
      </w:r>
      <w:r w:rsidR="002D79FB">
        <w:rPr>
          <w:rFonts w:ascii="Book Antiqua" w:eastAsia="Book Antiqua" w:hAnsi="Book Antiqua" w:cs="Book Antiqua"/>
          <w:color w:val="000000"/>
        </w:rPr>
        <w:t>s</w:t>
      </w:r>
      <w:r w:rsidRPr="002D79FB">
        <w:rPr>
          <w:rFonts w:ascii="Book Antiqua" w:eastAsia="Book Antiqua" w:hAnsi="Book Antiqua" w:cs="Book Antiqua"/>
          <w:color w:val="000000"/>
        </w:rPr>
        <w:t xml:space="preserve"> in T2DM patients, and some studies showed statin</w:t>
      </w:r>
      <w:r w:rsid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or metformin</w:t>
      </w:r>
      <w:r w:rsidR="002D79FB">
        <w:rPr>
          <w:rFonts w:ascii="Book Antiqua" w:eastAsia="Book Antiqua" w:hAnsi="Book Antiqua" w:cs="Book Antiqua"/>
          <w:color w:val="000000"/>
        </w:rPr>
        <w:t>-</w:t>
      </w:r>
      <w:r w:rsidRPr="002D79FB">
        <w:rPr>
          <w:rFonts w:ascii="Book Antiqua" w:eastAsia="Book Antiqua" w:hAnsi="Book Antiqua" w:cs="Book Antiqua"/>
          <w:color w:val="000000"/>
        </w:rPr>
        <w:t>induced neuropathy.</w:t>
      </w:r>
    </w:p>
    <w:bookmarkEnd w:id="8"/>
    <w:p w14:paraId="39B2AB0D" w14:textId="77777777" w:rsidR="00A77B3E" w:rsidRPr="002D79FB" w:rsidRDefault="00A77B3E" w:rsidP="002D79FB">
      <w:pPr>
        <w:spacing w:line="360" w:lineRule="auto"/>
        <w:jc w:val="both"/>
        <w:rPr>
          <w:rFonts w:ascii="Book Antiqua" w:hAnsi="Book Antiqua"/>
        </w:rPr>
      </w:pPr>
    </w:p>
    <w:p w14:paraId="1658D828"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AIM</w:t>
      </w:r>
    </w:p>
    <w:p w14:paraId="6969467A" w14:textId="77777777" w:rsidR="00A77B3E" w:rsidRPr="002D79FB" w:rsidRDefault="00C42C9E" w:rsidP="002D79FB">
      <w:pPr>
        <w:spacing w:line="360" w:lineRule="auto"/>
        <w:jc w:val="both"/>
        <w:rPr>
          <w:rFonts w:ascii="Book Antiqua" w:hAnsi="Book Antiqua"/>
        </w:rPr>
      </w:pPr>
      <w:bookmarkStart w:id="9" w:name="OLE_LINK12"/>
      <w:r w:rsidRPr="002D79FB">
        <w:rPr>
          <w:rFonts w:ascii="Book Antiqua" w:eastAsia="Book Antiqua" w:hAnsi="Book Antiqua" w:cs="Book Antiqua"/>
          <w:color w:val="000000"/>
        </w:rPr>
        <w:t xml:space="preserve">To evaluate the incidence of neuropathy among patients with T2DM associated with statin and metformin therapies. </w:t>
      </w:r>
    </w:p>
    <w:bookmarkEnd w:id="9"/>
    <w:p w14:paraId="06C1AF42" w14:textId="77777777" w:rsidR="00A77B3E" w:rsidRPr="002D79FB" w:rsidRDefault="00A77B3E" w:rsidP="002D79FB">
      <w:pPr>
        <w:spacing w:line="360" w:lineRule="auto"/>
        <w:jc w:val="both"/>
        <w:rPr>
          <w:rFonts w:ascii="Book Antiqua" w:hAnsi="Book Antiqua"/>
        </w:rPr>
      </w:pPr>
    </w:p>
    <w:p w14:paraId="4F6D30E5"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METHODS</w:t>
      </w:r>
    </w:p>
    <w:p w14:paraId="2AF9AAB1" w14:textId="5EAE1F17" w:rsidR="00A77B3E" w:rsidRPr="002D79FB" w:rsidRDefault="00C42C9E" w:rsidP="002D79FB">
      <w:pPr>
        <w:spacing w:line="360" w:lineRule="auto"/>
        <w:jc w:val="both"/>
        <w:rPr>
          <w:rFonts w:ascii="Book Antiqua" w:hAnsi="Book Antiqua"/>
        </w:rPr>
      </w:pPr>
      <w:bookmarkStart w:id="10" w:name="OLE_LINK13"/>
      <w:r w:rsidRPr="002D79FB">
        <w:rPr>
          <w:rFonts w:ascii="Book Antiqua" w:eastAsia="Book Antiqua" w:hAnsi="Book Antiqua" w:cs="Book Antiqua"/>
          <w:color w:val="000000"/>
        </w:rPr>
        <w:t xml:space="preserve">Korean Health Insurance Review and Assessment national patient sample data from 2016 and 2017 were used. Patients with T2DM and no complications were divided into statin/metformin/statin + metformin users and non-users. Neuropathy incidence was defined by </w:t>
      </w:r>
      <w:r w:rsidR="00D43234" w:rsidRPr="002D79FB">
        <w:rPr>
          <w:rFonts w:ascii="Book Antiqua" w:eastAsia="Book Antiqua" w:hAnsi="Book Antiqua" w:cs="Book Antiqua"/>
          <w:color w:val="000000"/>
        </w:rPr>
        <w:t>International Statistical Classification of Diseases and Related Health Problems, 10</w:t>
      </w:r>
      <w:r w:rsidR="00D43234" w:rsidRPr="002D79FB">
        <w:rPr>
          <w:rFonts w:ascii="Book Antiqua" w:eastAsia="Book Antiqua" w:hAnsi="Book Antiqua" w:cs="Book Antiqua"/>
          <w:color w:val="000000"/>
          <w:vertAlign w:val="superscript"/>
        </w:rPr>
        <w:t>th</w:t>
      </w:r>
      <w:r w:rsidR="00D43234" w:rsidRPr="002D79FB">
        <w:rPr>
          <w:rFonts w:ascii="Book Antiqua" w:eastAsia="Book Antiqua" w:hAnsi="Book Antiqua" w:cs="Book Antiqua"/>
          <w:color w:val="000000"/>
        </w:rPr>
        <w:t xml:space="preserve"> revision </w:t>
      </w:r>
      <w:r w:rsidRPr="002D79FB">
        <w:rPr>
          <w:rFonts w:ascii="Book Antiqua" w:eastAsia="Book Antiqua" w:hAnsi="Book Antiqua" w:cs="Book Antiqua"/>
          <w:color w:val="000000"/>
        </w:rPr>
        <w:t>codes and concomitant prescriptions for anticonvulsants or antidepressants. Logistic regression analyses were conducted to examine the associations between statin/metformin/statin + metformin therapies and the incidence of neuropathy. Propensity score (PS) matching was performed on the basis of age, sex and comorbidities.</w:t>
      </w:r>
    </w:p>
    <w:bookmarkEnd w:id="10"/>
    <w:p w14:paraId="4716188D" w14:textId="77777777" w:rsidR="00A77B3E" w:rsidRPr="002D79FB" w:rsidRDefault="00A77B3E" w:rsidP="002D79FB">
      <w:pPr>
        <w:spacing w:line="360" w:lineRule="auto"/>
        <w:jc w:val="both"/>
        <w:rPr>
          <w:rFonts w:ascii="Book Antiqua" w:hAnsi="Book Antiqua"/>
        </w:rPr>
      </w:pPr>
    </w:p>
    <w:p w14:paraId="35B8A14E"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RESULTS</w:t>
      </w:r>
    </w:p>
    <w:p w14:paraId="0710FD23" w14:textId="670C1E10" w:rsidR="00A77B3E" w:rsidRPr="002D79FB" w:rsidRDefault="00C42C9E" w:rsidP="002D79FB">
      <w:pPr>
        <w:spacing w:line="360" w:lineRule="auto"/>
        <w:jc w:val="both"/>
        <w:rPr>
          <w:rFonts w:ascii="Book Antiqua" w:hAnsi="Book Antiqua"/>
        </w:rPr>
      </w:pPr>
      <w:bookmarkStart w:id="11" w:name="OLE_LINK14"/>
      <w:r w:rsidRPr="002D79FB">
        <w:rPr>
          <w:rFonts w:ascii="Book Antiqua" w:eastAsia="Book Antiqua" w:hAnsi="Book Antiqua" w:cs="Book Antiqua"/>
          <w:color w:val="000000"/>
        </w:rPr>
        <w:t xml:space="preserve">Overall, 34964 and 35887 patients with T2DM and no complications were included in the </w:t>
      </w:r>
      <w:r w:rsidR="002D79FB" w:rsidRPr="002D79FB">
        <w:rPr>
          <w:rFonts w:ascii="Book Antiqua" w:eastAsia="Book Antiqua" w:hAnsi="Book Antiqua" w:cs="Book Antiqua"/>
          <w:color w:val="000000"/>
        </w:rPr>
        <w:t xml:space="preserve">Korean Health Insurance Review and Assessment national patient sample </w:t>
      </w:r>
      <w:r w:rsidRPr="002D79FB">
        <w:rPr>
          <w:rFonts w:ascii="Book Antiqua" w:eastAsia="Book Antiqua" w:hAnsi="Book Antiqua" w:cs="Book Antiqua"/>
          <w:color w:val="000000"/>
        </w:rPr>
        <w:t xml:space="preserve">datasets from 2016 and 2017, respectively. Statin therapy was associated with increased risks of neuropathy in 2016 and 2017 </w:t>
      </w:r>
      <w:r w:rsidR="00FA7048"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PS-matched odds ratio </w:t>
      </w:r>
      <w:r w:rsidR="00FA7048" w:rsidRPr="002D79FB">
        <w:rPr>
          <w:rFonts w:ascii="Book Antiqua" w:eastAsia="Book Antiqua" w:hAnsi="Book Antiqua" w:cs="Book Antiqua"/>
          <w:color w:val="000000"/>
        </w:rPr>
        <w:t>(</w:t>
      </w:r>
      <w:r w:rsidRPr="002D79FB">
        <w:rPr>
          <w:rFonts w:ascii="Book Antiqua" w:eastAsia="Book Antiqua" w:hAnsi="Book Antiqua" w:cs="Book Antiqua"/>
          <w:color w:val="000000"/>
        </w:rPr>
        <w:t>OR</w:t>
      </w:r>
      <w:r w:rsidR="00FA7048"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 1.22, 95% confidence interval (CI): 1.08</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1.38; PS-matched OR = 1.17, 95%CI: 1.03</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1.33, respectively</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 Metformin therapy was associated with reduced risks of neuropathy in 2016 and 2017 (PS-matched OR = 0.30, 95%CI: 0.21</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0.42; PS-matched OR = 0.44, 95%CI: 0.32</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0.60, </w:t>
      </w:r>
      <w:r w:rsidRPr="002D79FB">
        <w:rPr>
          <w:rFonts w:ascii="Book Antiqua" w:eastAsia="Book Antiqua" w:hAnsi="Book Antiqua" w:cs="Book Antiqua"/>
          <w:color w:val="000000"/>
        </w:rPr>
        <w:lastRenderedPageBreak/>
        <w:t>respectively). Combined statin + metformin therapy was not significantly associated with neuropathy in 2016 or 2017 (PS-matched OR = 0.85, 95%CI: 0.61</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1.19; PS-matched OR = 0.95, 95%CI: 0.66</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1.38, respectively). </w:t>
      </w:r>
    </w:p>
    <w:bookmarkEnd w:id="11"/>
    <w:p w14:paraId="31CBEC5A" w14:textId="77777777" w:rsidR="00A77B3E" w:rsidRPr="002D79FB" w:rsidRDefault="00A77B3E" w:rsidP="002D79FB">
      <w:pPr>
        <w:spacing w:line="360" w:lineRule="auto"/>
        <w:jc w:val="both"/>
        <w:rPr>
          <w:rFonts w:ascii="Book Antiqua" w:hAnsi="Book Antiqua"/>
        </w:rPr>
      </w:pPr>
    </w:p>
    <w:p w14:paraId="7736FADB"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CONCLUSION</w:t>
      </w:r>
    </w:p>
    <w:p w14:paraId="13428C50" w14:textId="3C1069D4" w:rsidR="00A77B3E" w:rsidRPr="002D79FB" w:rsidRDefault="00C42C9E" w:rsidP="002D79FB">
      <w:pPr>
        <w:spacing w:line="360" w:lineRule="auto"/>
        <w:jc w:val="both"/>
        <w:rPr>
          <w:rFonts w:ascii="Book Antiqua" w:hAnsi="Book Antiqua"/>
        </w:rPr>
      </w:pPr>
      <w:bookmarkStart w:id="12" w:name="OLE_LINK15"/>
      <w:r w:rsidRPr="002D79FB">
        <w:rPr>
          <w:rFonts w:ascii="Book Antiqua" w:eastAsia="Book Antiqua" w:hAnsi="Book Antiqua" w:cs="Book Antiqua"/>
          <w:color w:val="000000"/>
        </w:rPr>
        <w:t xml:space="preserve">Statin therapy was associated with enhanced risk of new-onset neuropathy in patients with T2DM, but metformin therapy showed </w:t>
      </w:r>
      <w:r w:rsidR="002D79FB">
        <w:rPr>
          <w:rFonts w:ascii="Book Antiqua" w:eastAsia="Book Antiqua" w:hAnsi="Book Antiqua" w:cs="Book Antiqua"/>
          <w:color w:val="000000"/>
        </w:rPr>
        <w:t xml:space="preserve">the </w:t>
      </w:r>
      <w:r w:rsidRPr="002D79FB">
        <w:rPr>
          <w:rFonts w:ascii="Book Antiqua" w:eastAsia="Book Antiqua" w:hAnsi="Book Antiqua" w:cs="Book Antiqua"/>
          <w:color w:val="000000"/>
        </w:rPr>
        <w:t xml:space="preserve">opposite association. </w:t>
      </w:r>
    </w:p>
    <w:bookmarkEnd w:id="12"/>
    <w:p w14:paraId="7B0D8A23" w14:textId="77777777" w:rsidR="00A77B3E" w:rsidRPr="002D79FB" w:rsidRDefault="00A77B3E" w:rsidP="002D79FB">
      <w:pPr>
        <w:spacing w:line="360" w:lineRule="auto"/>
        <w:jc w:val="both"/>
        <w:rPr>
          <w:rFonts w:ascii="Book Antiqua" w:hAnsi="Book Antiqua"/>
        </w:rPr>
      </w:pPr>
    </w:p>
    <w:p w14:paraId="51795FF1" w14:textId="1117FDE0"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Key Words: </w:t>
      </w:r>
      <w:bookmarkStart w:id="13" w:name="OLE_LINK9"/>
      <w:r w:rsidRPr="002D79FB">
        <w:rPr>
          <w:rFonts w:ascii="Book Antiqua" w:eastAsia="Book Antiqua" w:hAnsi="Book Antiqua" w:cs="Book Antiqua"/>
          <w:color w:val="000000"/>
        </w:rPr>
        <w:t xml:space="preserve">Diabetes mellitus; </w:t>
      </w:r>
      <w:r w:rsidR="0022041B" w:rsidRPr="002D79FB">
        <w:rPr>
          <w:rFonts w:ascii="Book Antiqua" w:eastAsia="Book Antiqua" w:hAnsi="Book Antiqua" w:cs="Book Antiqua"/>
          <w:color w:val="000000"/>
        </w:rPr>
        <w:t>N</w:t>
      </w:r>
      <w:r w:rsidRPr="002D79FB">
        <w:rPr>
          <w:rFonts w:ascii="Book Antiqua" w:eastAsia="Book Antiqua" w:hAnsi="Book Antiqua" w:cs="Book Antiqua"/>
          <w:color w:val="000000"/>
        </w:rPr>
        <w:t xml:space="preserve">europathies; </w:t>
      </w:r>
      <w:proofErr w:type="spellStart"/>
      <w:r w:rsidR="0022041B" w:rsidRPr="002D79FB">
        <w:rPr>
          <w:rFonts w:ascii="Book Antiqua" w:eastAsia="Book Antiqua" w:hAnsi="Book Antiqua" w:cs="Book Antiqua"/>
          <w:color w:val="000000"/>
        </w:rPr>
        <w:t>H</w:t>
      </w:r>
      <w:r w:rsidRPr="002D79FB">
        <w:rPr>
          <w:rFonts w:ascii="Book Antiqua" w:eastAsia="Book Antiqua" w:hAnsi="Book Antiqua" w:cs="Book Antiqua"/>
          <w:color w:val="000000"/>
        </w:rPr>
        <w:t>ydroxymethylglutaryl</w:t>
      </w:r>
      <w:proofErr w:type="spellEnd"/>
      <w:r w:rsidRPr="002D79FB">
        <w:rPr>
          <w:rFonts w:ascii="Book Antiqua" w:eastAsia="Book Antiqua" w:hAnsi="Book Antiqua" w:cs="Book Antiqua"/>
          <w:color w:val="000000"/>
        </w:rPr>
        <w:t xml:space="preserve">-CoA reductase inhibitors; </w:t>
      </w:r>
      <w:r w:rsidR="0022041B" w:rsidRPr="002D79FB">
        <w:rPr>
          <w:rFonts w:ascii="Book Antiqua" w:eastAsia="Book Antiqua" w:hAnsi="Book Antiqua" w:cs="Book Antiqua"/>
          <w:color w:val="000000"/>
        </w:rPr>
        <w:t>M</w:t>
      </w:r>
      <w:r w:rsidRPr="002D79FB">
        <w:rPr>
          <w:rFonts w:ascii="Book Antiqua" w:eastAsia="Book Antiqua" w:hAnsi="Book Antiqua" w:cs="Book Antiqua"/>
          <w:color w:val="000000"/>
        </w:rPr>
        <w:t>etformin</w:t>
      </w:r>
      <w:bookmarkEnd w:id="13"/>
    </w:p>
    <w:p w14:paraId="32A3052E" w14:textId="77777777" w:rsidR="00562EED" w:rsidRDefault="00562EED" w:rsidP="00562EED">
      <w:pPr>
        <w:spacing w:line="360" w:lineRule="auto"/>
        <w:jc w:val="both"/>
        <w:rPr>
          <w:lang w:eastAsia="zh-CN"/>
        </w:rPr>
      </w:pPr>
    </w:p>
    <w:p w14:paraId="330A9492" w14:textId="77777777" w:rsidR="00562EED" w:rsidRPr="00026CB8" w:rsidRDefault="00562EED" w:rsidP="00562EE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8628AE0" w14:textId="77777777" w:rsidR="00A77B3E" w:rsidRPr="002D79FB" w:rsidRDefault="00A77B3E" w:rsidP="002D79FB">
      <w:pPr>
        <w:spacing w:line="360" w:lineRule="auto"/>
        <w:jc w:val="both"/>
        <w:rPr>
          <w:rFonts w:ascii="Book Antiqua" w:hAnsi="Book Antiqua"/>
        </w:rPr>
      </w:pPr>
    </w:p>
    <w:p w14:paraId="7ADA486F" w14:textId="76986651" w:rsidR="007B185A" w:rsidRDefault="007B185A" w:rsidP="002D79FB">
      <w:pPr>
        <w:spacing w:line="360" w:lineRule="auto"/>
        <w:jc w:val="both"/>
        <w:rPr>
          <w:rFonts w:ascii="Book Antiqua" w:hAnsi="Book Antiqua" w:cs="Book Antiqua"/>
          <w:color w:val="000000"/>
          <w:lang w:eastAsia="zh-CN"/>
        </w:rPr>
      </w:pPr>
      <w:r w:rsidRPr="007B185A">
        <w:rPr>
          <w:rFonts w:ascii="Book Antiqua" w:hAnsi="Book Antiqua" w:cs="Book Antiqua" w:hint="eastAsia"/>
          <w:b/>
          <w:color w:val="000000"/>
          <w:lang w:eastAsia="zh-CN"/>
        </w:rPr>
        <w:t xml:space="preserve">Citation: </w:t>
      </w:r>
      <w:r w:rsidR="00FD693A" w:rsidRPr="00FD693A">
        <w:rPr>
          <w:rFonts w:ascii="Book Antiqua" w:eastAsia="Book Antiqua" w:hAnsi="Book Antiqua" w:cs="Book Antiqua"/>
          <w:color w:val="000000"/>
        </w:rPr>
        <w:t>Min HK, Kim SH, Choi JH, Choi K, Kim HR, Lee SH</w:t>
      </w:r>
      <w:r w:rsidR="00C42C9E" w:rsidRPr="002D79FB">
        <w:rPr>
          <w:rFonts w:ascii="Book Antiqua" w:eastAsia="Book Antiqua" w:hAnsi="Book Antiqua" w:cs="Book Antiqua"/>
          <w:color w:val="000000"/>
        </w:rPr>
        <w:t xml:space="preserve">. Impacts of statin and metformin on neuropathy in patients with type 2 diabetes mellitus: Korean Health Insurance data. </w:t>
      </w:r>
      <w:r w:rsidR="00C42C9E" w:rsidRPr="002D79FB">
        <w:rPr>
          <w:rFonts w:ascii="Book Antiqua" w:eastAsia="Book Antiqua" w:hAnsi="Book Antiqua" w:cs="Book Antiqua"/>
          <w:i/>
          <w:iCs/>
          <w:color w:val="000000"/>
        </w:rPr>
        <w:t xml:space="preserve">World J </w:t>
      </w:r>
      <w:proofErr w:type="spellStart"/>
      <w:r w:rsidR="00C42C9E" w:rsidRPr="002D79FB">
        <w:rPr>
          <w:rFonts w:ascii="Book Antiqua" w:eastAsia="Book Antiqua" w:hAnsi="Book Antiqua" w:cs="Book Antiqua"/>
          <w:i/>
          <w:iCs/>
          <w:color w:val="000000"/>
        </w:rPr>
        <w:t>Clin</w:t>
      </w:r>
      <w:proofErr w:type="spellEnd"/>
      <w:r w:rsidR="00C42C9E" w:rsidRPr="002D79FB">
        <w:rPr>
          <w:rFonts w:ascii="Book Antiqua" w:eastAsia="Book Antiqua" w:hAnsi="Book Antiqua" w:cs="Book Antiqua"/>
          <w:i/>
          <w:iCs/>
          <w:color w:val="000000"/>
        </w:rPr>
        <w:t xml:space="preserve"> Cases</w:t>
      </w:r>
      <w:r w:rsidR="00C42C9E" w:rsidRPr="002D79FB">
        <w:rPr>
          <w:rFonts w:ascii="Book Antiqua" w:eastAsia="Book Antiqua" w:hAnsi="Book Antiqua" w:cs="Book Antiqua"/>
          <w:color w:val="000000"/>
        </w:rPr>
        <w:t xml:space="preserve"> 2021; </w:t>
      </w:r>
      <w:r w:rsidR="0011315F" w:rsidRPr="0011315F">
        <w:rPr>
          <w:rFonts w:ascii="Book Antiqua" w:eastAsia="Book Antiqua" w:hAnsi="Book Antiqua" w:cs="Book Antiqua"/>
          <w:color w:val="000000"/>
        </w:rPr>
        <w:t xml:space="preserve">9(33): </w:t>
      </w:r>
      <w:r w:rsidRPr="007B185A">
        <w:rPr>
          <w:rFonts w:ascii="Book Antiqua" w:eastAsia="Book Antiqua" w:hAnsi="Book Antiqua" w:cs="Book Antiqua"/>
          <w:color w:val="000000"/>
        </w:rPr>
        <w:t>10198-10207</w:t>
      </w:r>
      <w:r w:rsidR="0011315F" w:rsidRPr="0011315F">
        <w:rPr>
          <w:rFonts w:ascii="Book Antiqua" w:eastAsia="Book Antiqua" w:hAnsi="Book Antiqua" w:cs="Book Antiqua"/>
          <w:color w:val="000000"/>
        </w:rPr>
        <w:t xml:space="preserve"> </w:t>
      </w:r>
    </w:p>
    <w:p w14:paraId="2D452832" w14:textId="77777777" w:rsidR="007B185A" w:rsidRDefault="0011315F" w:rsidP="002D79FB">
      <w:pPr>
        <w:spacing w:line="360" w:lineRule="auto"/>
        <w:jc w:val="both"/>
        <w:rPr>
          <w:rFonts w:ascii="Book Antiqua" w:hAnsi="Book Antiqua" w:cs="Book Antiqua"/>
          <w:color w:val="000000"/>
          <w:lang w:eastAsia="zh-CN"/>
        </w:rPr>
      </w:pPr>
      <w:r w:rsidRPr="007B185A">
        <w:rPr>
          <w:rFonts w:ascii="Book Antiqua" w:eastAsia="Book Antiqua" w:hAnsi="Book Antiqua" w:cs="Book Antiqua"/>
          <w:b/>
          <w:color w:val="000000"/>
        </w:rPr>
        <w:t xml:space="preserve">URL: </w:t>
      </w:r>
      <w:r w:rsidRPr="0011315F">
        <w:rPr>
          <w:rFonts w:ascii="Book Antiqua" w:eastAsia="Book Antiqua" w:hAnsi="Book Antiqua" w:cs="Book Antiqua"/>
          <w:color w:val="000000"/>
        </w:rPr>
        <w:t>https://www.wjgnet.com/2307-8960/full/v9/i33/</w:t>
      </w:r>
      <w:r w:rsidR="007B185A" w:rsidRPr="007B185A">
        <w:rPr>
          <w:rFonts w:ascii="Book Antiqua" w:eastAsia="Book Antiqua" w:hAnsi="Book Antiqua" w:cs="Book Antiqua"/>
          <w:color w:val="000000"/>
        </w:rPr>
        <w:t>10198</w:t>
      </w:r>
      <w:r w:rsidRPr="0011315F">
        <w:rPr>
          <w:rFonts w:ascii="Book Antiqua" w:eastAsia="Book Antiqua" w:hAnsi="Book Antiqua" w:cs="Book Antiqua"/>
          <w:color w:val="000000"/>
        </w:rPr>
        <w:t xml:space="preserve">.htm </w:t>
      </w:r>
    </w:p>
    <w:p w14:paraId="3776838D" w14:textId="5123BF69" w:rsidR="00A77B3E" w:rsidRPr="002D79FB" w:rsidRDefault="0011315F" w:rsidP="002D79FB">
      <w:pPr>
        <w:spacing w:line="360" w:lineRule="auto"/>
        <w:jc w:val="both"/>
        <w:rPr>
          <w:rFonts w:ascii="Book Antiqua" w:hAnsi="Book Antiqua"/>
        </w:rPr>
      </w:pPr>
      <w:r w:rsidRPr="007B185A">
        <w:rPr>
          <w:rFonts w:ascii="Book Antiqua" w:eastAsia="Book Antiqua" w:hAnsi="Book Antiqua" w:cs="Book Antiqua"/>
          <w:b/>
          <w:color w:val="000000"/>
        </w:rPr>
        <w:t xml:space="preserve">DOI: </w:t>
      </w:r>
      <w:r w:rsidRPr="0011315F">
        <w:rPr>
          <w:rFonts w:ascii="Book Antiqua" w:eastAsia="Book Antiqua" w:hAnsi="Book Antiqua" w:cs="Book Antiqua"/>
          <w:color w:val="000000"/>
        </w:rPr>
        <w:t>https://dx.doi.org/10.12998/wjcc.v9.i33.</w:t>
      </w:r>
      <w:r w:rsidR="007B185A" w:rsidRPr="007B185A">
        <w:rPr>
          <w:rFonts w:ascii="Book Antiqua" w:eastAsia="Book Antiqua" w:hAnsi="Book Antiqua" w:cs="Book Antiqua"/>
          <w:color w:val="000000"/>
        </w:rPr>
        <w:t>10198</w:t>
      </w:r>
    </w:p>
    <w:p w14:paraId="58A17956" w14:textId="77777777" w:rsidR="00A77B3E" w:rsidRPr="002D79FB" w:rsidRDefault="00A77B3E" w:rsidP="002D79FB">
      <w:pPr>
        <w:spacing w:line="360" w:lineRule="auto"/>
        <w:jc w:val="both"/>
        <w:rPr>
          <w:rFonts w:ascii="Book Antiqua" w:hAnsi="Book Antiqua"/>
        </w:rPr>
      </w:pPr>
    </w:p>
    <w:p w14:paraId="45B8AC29" w14:textId="5AC5CD09"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Core Tip: </w:t>
      </w:r>
      <w:bookmarkStart w:id="14" w:name="OLE_LINK10"/>
      <w:r w:rsidRPr="002D79FB">
        <w:rPr>
          <w:rFonts w:ascii="Book Antiqua" w:eastAsia="Book Antiqua" w:hAnsi="Book Antiqua" w:cs="Book Antiqua"/>
          <w:color w:val="000000"/>
        </w:rPr>
        <w:t>Diabetic neuropathy is one of the most common chronic complication</w:t>
      </w:r>
      <w:r w:rsidR="002D79FB">
        <w:rPr>
          <w:rFonts w:ascii="Book Antiqua" w:eastAsia="Book Antiqua" w:hAnsi="Book Antiqua" w:cs="Book Antiqua"/>
          <w:color w:val="000000"/>
        </w:rPr>
        <w:t>s</w:t>
      </w:r>
      <w:r w:rsidRPr="002D79FB">
        <w:rPr>
          <w:rFonts w:ascii="Book Antiqua" w:eastAsia="Book Antiqua" w:hAnsi="Book Antiqua" w:cs="Book Antiqua"/>
          <w:color w:val="000000"/>
        </w:rPr>
        <w:t xml:space="preserve"> in patients with type 2 diabetes mellitus. Statin is </w:t>
      </w:r>
      <w:r w:rsidR="002D79FB">
        <w:rPr>
          <w:rFonts w:ascii="Book Antiqua" w:eastAsia="Book Antiqua" w:hAnsi="Book Antiqua" w:cs="Book Antiqua"/>
          <w:color w:val="000000"/>
        </w:rPr>
        <w:t xml:space="preserve">a </w:t>
      </w:r>
      <w:r w:rsidRPr="002D79FB">
        <w:rPr>
          <w:rFonts w:ascii="Book Antiqua" w:eastAsia="Book Antiqua" w:hAnsi="Book Antiqua" w:cs="Book Antiqua"/>
          <w:color w:val="000000"/>
        </w:rPr>
        <w:t xml:space="preserve">commonly used lipid lowering agent in patients with </w:t>
      </w:r>
      <w:r w:rsidR="002D79FB" w:rsidRPr="002D79FB">
        <w:rPr>
          <w:rFonts w:ascii="Book Antiqua" w:eastAsia="Book Antiqua" w:hAnsi="Book Antiqua" w:cs="Book Antiqua"/>
          <w:color w:val="000000"/>
        </w:rPr>
        <w:t>type 2 diabetes mellitus</w:t>
      </w:r>
      <w:r w:rsidRPr="002D79FB">
        <w:rPr>
          <w:rFonts w:ascii="Book Antiqua" w:eastAsia="Book Antiqua" w:hAnsi="Book Antiqua" w:cs="Book Antiqua"/>
          <w:color w:val="000000"/>
        </w:rPr>
        <w:t xml:space="preserve">, and metformin is background medication for </w:t>
      </w:r>
      <w:r w:rsidR="002D79FB" w:rsidRPr="002D79FB">
        <w:rPr>
          <w:rFonts w:ascii="Book Antiqua" w:eastAsia="Book Antiqua" w:hAnsi="Book Antiqua" w:cs="Book Antiqua"/>
          <w:color w:val="000000"/>
        </w:rPr>
        <w:t>type 2 diabetes mellitus</w:t>
      </w:r>
      <w:r w:rsidRPr="002D79FB">
        <w:rPr>
          <w:rFonts w:ascii="Book Antiqua" w:eastAsia="Book Antiqua" w:hAnsi="Book Antiqua" w:cs="Book Antiqua"/>
          <w:color w:val="000000"/>
        </w:rPr>
        <w:t>. In some observational studies, statin and metformin were associated with</w:t>
      </w:r>
      <w:r w:rsidR="002D79FB">
        <w:rPr>
          <w:rFonts w:ascii="Book Antiqua" w:eastAsia="Book Antiqua" w:hAnsi="Book Antiqua" w:cs="Book Antiqua"/>
          <w:color w:val="000000"/>
        </w:rPr>
        <w:t xml:space="preserve"> an</w:t>
      </w:r>
      <w:r w:rsidRPr="002D79FB">
        <w:rPr>
          <w:rFonts w:ascii="Book Antiqua" w:eastAsia="Book Antiqua" w:hAnsi="Book Antiqua" w:cs="Book Antiqua"/>
          <w:color w:val="000000"/>
        </w:rPr>
        <w:t xml:space="preserve"> increased risk of neuropathy. In </w:t>
      </w:r>
      <w:r w:rsidR="002D79FB">
        <w:rPr>
          <w:rFonts w:ascii="Book Antiqua" w:eastAsia="Book Antiqua" w:hAnsi="Book Antiqua" w:cs="Book Antiqua"/>
          <w:color w:val="000000"/>
        </w:rPr>
        <w:t xml:space="preserve">the </w:t>
      </w:r>
      <w:r w:rsidRPr="002D79FB">
        <w:rPr>
          <w:rFonts w:ascii="Book Antiqua" w:eastAsia="Book Antiqua" w:hAnsi="Book Antiqua" w:cs="Book Antiqua"/>
          <w:color w:val="000000"/>
        </w:rPr>
        <w:t xml:space="preserve">present study using Korean Health Insurance Review and Assessment national patient sample data, the use of statin was associated with increased risk of diabetic neuropathy occurrence, whereas metformin use showed </w:t>
      </w:r>
      <w:r w:rsidR="000E01E7">
        <w:rPr>
          <w:rFonts w:ascii="Book Antiqua" w:eastAsia="Book Antiqua" w:hAnsi="Book Antiqua" w:cs="Book Antiqua"/>
          <w:color w:val="000000"/>
        </w:rPr>
        <w:t xml:space="preserve">a </w:t>
      </w:r>
      <w:r w:rsidRPr="002D79FB">
        <w:rPr>
          <w:rFonts w:ascii="Book Antiqua" w:eastAsia="Book Antiqua" w:hAnsi="Book Antiqua" w:cs="Book Antiqua"/>
          <w:color w:val="000000"/>
        </w:rPr>
        <w:t>negative association with diabetic neuropathy.</w:t>
      </w:r>
    </w:p>
    <w:bookmarkEnd w:id="14"/>
    <w:p w14:paraId="58B18B84" w14:textId="77777777" w:rsidR="00A77B3E" w:rsidRPr="002D79FB" w:rsidRDefault="00A77B3E" w:rsidP="002D79FB">
      <w:pPr>
        <w:spacing w:line="360" w:lineRule="auto"/>
        <w:jc w:val="both"/>
        <w:rPr>
          <w:rFonts w:ascii="Book Antiqua" w:hAnsi="Book Antiqua"/>
        </w:rPr>
      </w:pPr>
    </w:p>
    <w:p w14:paraId="5A733944" w14:textId="77777777" w:rsidR="004B1112" w:rsidRDefault="004B111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lastRenderedPageBreak/>
        <w:br w:type="page"/>
      </w:r>
    </w:p>
    <w:p w14:paraId="2E423300" w14:textId="240E7A36"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lastRenderedPageBreak/>
        <w:t>INTRODUCTION</w:t>
      </w:r>
    </w:p>
    <w:p w14:paraId="3CAB5DFE" w14:textId="7B47DA5E" w:rsidR="00A77B3E" w:rsidRPr="002D79FB" w:rsidRDefault="00C42C9E" w:rsidP="002D79FB">
      <w:pPr>
        <w:spacing w:line="360" w:lineRule="auto"/>
        <w:jc w:val="both"/>
        <w:rPr>
          <w:rFonts w:ascii="Book Antiqua" w:hAnsi="Book Antiqua"/>
        </w:rPr>
      </w:pPr>
      <w:bookmarkStart w:id="15" w:name="OLE_LINK16"/>
      <w:r w:rsidRPr="002D79FB">
        <w:rPr>
          <w:rFonts w:ascii="Book Antiqua" w:eastAsia="Book Antiqua" w:hAnsi="Book Antiqua" w:cs="Book Antiqua"/>
          <w:color w:val="000000"/>
        </w:rPr>
        <w:t>The prevalence of type 2 diabetes mellitus (T2DM) and dyslipidemia are increasing with increased population aging worldwide</w:t>
      </w:r>
      <w:r w:rsidRPr="002D79FB">
        <w:rPr>
          <w:rFonts w:ascii="Book Antiqua" w:eastAsia="Book Antiqua" w:hAnsi="Book Antiqua" w:cs="Book Antiqua"/>
          <w:color w:val="000000"/>
          <w:vertAlign w:val="superscript"/>
        </w:rPr>
        <w:t>[1,2]</w:t>
      </w:r>
      <w:r w:rsidRPr="002D79FB">
        <w:rPr>
          <w:rFonts w:ascii="Book Antiqua" w:eastAsia="Book Antiqua" w:hAnsi="Book Antiqua" w:cs="Book Antiqua"/>
          <w:color w:val="000000"/>
        </w:rPr>
        <w:t>. These two diseases are related to cardiovascular disease (CVD), such that they result in higher incidences of CVD-related morbidities and mortalities. Therefore, the proper management of T2DM and dyslipidemia is important for preventing CVD</w:t>
      </w:r>
      <w:r w:rsidRPr="002D79FB">
        <w:rPr>
          <w:rFonts w:ascii="Book Antiqua" w:eastAsia="Book Antiqua" w:hAnsi="Book Antiqua" w:cs="Book Antiqua"/>
          <w:color w:val="000000"/>
          <w:vertAlign w:val="superscript"/>
        </w:rPr>
        <w:t>[3,4]</w:t>
      </w:r>
      <w:r w:rsidRPr="002D79FB">
        <w:rPr>
          <w:rFonts w:ascii="Book Antiqua" w:eastAsia="Book Antiqua" w:hAnsi="Book Antiqua" w:cs="Book Antiqua"/>
          <w:color w:val="000000"/>
        </w:rPr>
        <w:t>. Furthermore, the treatment targets for dyslipidemia differ among comorbidities, and patients with very high risks of CVD are recommended to have low-density lipoprotein-cholesterol levels below 70 mg/dL</w:t>
      </w:r>
      <w:r w:rsidRPr="002D79FB">
        <w:rPr>
          <w:rFonts w:ascii="Book Antiqua" w:eastAsia="Book Antiqua" w:hAnsi="Book Antiqua" w:cs="Book Antiqua"/>
          <w:color w:val="000000"/>
          <w:vertAlign w:val="superscript"/>
        </w:rPr>
        <w:t>[3]</w:t>
      </w:r>
      <w:r w:rsidRPr="002D79FB">
        <w:rPr>
          <w:rFonts w:ascii="Book Antiqua" w:eastAsia="Book Antiqua" w:hAnsi="Book Antiqua" w:cs="Book Antiqua"/>
          <w:color w:val="000000"/>
        </w:rPr>
        <w:t xml:space="preserve">. Several major risk factors for CVD are known, including </w:t>
      </w:r>
      <w:proofErr w:type="spellStart"/>
      <w:r w:rsidRPr="002D79FB">
        <w:rPr>
          <w:rFonts w:ascii="Book Antiqua" w:eastAsia="Book Antiqua" w:hAnsi="Book Antiqua" w:cs="Book Antiqua"/>
          <w:color w:val="000000"/>
        </w:rPr>
        <w:t>dysglycemia</w:t>
      </w:r>
      <w:proofErr w:type="spellEnd"/>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e.g.</w:t>
      </w:r>
      <w:r w:rsidRPr="002D79FB">
        <w:rPr>
          <w:rFonts w:ascii="Book Antiqua" w:eastAsia="Book Antiqua" w:hAnsi="Book Antiqua" w:cs="Book Antiqua"/>
          <w:color w:val="000000"/>
        </w:rPr>
        <w:t>, T2DM)</w:t>
      </w:r>
      <w:r w:rsidRPr="002D79FB">
        <w:rPr>
          <w:rFonts w:ascii="Book Antiqua" w:eastAsia="Book Antiqua" w:hAnsi="Book Antiqua" w:cs="Book Antiqua"/>
          <w:color w:val="000000"/>
          <w:vertAlign w:val="superscript"/>
        </w:rPr>
        <w:t>[3]</w:t>
      </w:r>
      <w:r w:rsidRPr="002D79FB">
        <w:rPr>
          <w:rFonts w:ascii="Book Antiqua" w:eastAsia="Book Antiqua" w:hAnsi="Book Antiqua" w:cs="Book Antiqua"/>
          <w:color w:val="000000"/>
        </w:rPr>
        <w:t>. In practice, statins (</w:t>
      </w:r>
      <w:r w:rsidRPr="002D79FB">
        <w:rPr>
          <w:rFonts w:ascii="Book Antiqua" w:eastAsia="Book Antiqua" w:hAnsi="Book Antiqua" w:cs="Book Antiqua"/>
          <w:i/>
          <w:iCs/>
          <w:color w:val="000000"/>
        </w:rPr>
        <w:t>i.e</w:t>
      </w:r>
      <w:r w:rsidRPr="002D79FB">
        <w:rPr>
          <w:rFonts w:ascii="Book Antiqua" w:eastAsia="Book Antiqua" w:hAnsi="Book Antiqua" w:cs="Book Antiqua"/>
          <w:color w:val="000000"/>
        </w:rPr>
        <w:t xml:space="preserve">. </w:t>
      </w:r>
      <w:proofErr w:type="spellStart"/>
      <w:r w:rsidRPr="002D79FB">
        <w:rPr>
          <w:rFonts w:ascii="Book Antiqua" w:eastAsia="Book Antiqua" w:hAnsi="Book Antiqua" w:cs="Book Antiqua"/>
          <w:color w:val="000000"/>
        </w:rPr>
        <w:t>hydroxymethylglutaryl</w:t>
      </w:r>
      <w:proofErr w:type="spellEnd"/>
      <w:r w:rsidRPr="002D79FB">
        <w:rPr>
          <w:rFonts w:ascii="Book Antiqua" w:eastAsia="Book Antiqua" w:hAnsi="Book Antiqua" w:cs="Book Antiqua"/>
          <w:color w:val="000000"/>
        </w:rPr>
        <w:t>-CoA reductase inhibitors) are used as first-line therapy for dyslipidemia</w:t>
      </w:r>
      <w:r w:rsidRPr="002D79FB">
        <w:rPr>
          <w:rFonts w:ascii="Book Antiqua" w:eastAsia="Book Antiqua" w:hAnsi="Book Antiqua" w:cs="Book Antiqua"/>
          <w:color w:val="000000"/>
          <w:vertAlign w:val="superscript"/>
        </w:rPr>
        <w:t>[3]</w:t>
      </w:r>
      <w:r w:rsidRPr="002D79FB">
        <w:rPr>
          <w:rFonts w:ascii="Book Antiqua" w:eastAsia="Book Antiqua" w:hAnsi="Book Antiqua" w:cs="Book Antiqua"/>
          <w:color w:val="000000"/>
        </w:rPr>
        <w:t>. Despite their broad usage, some studies have shown that statins may induce neuropathy</w:t>
      </w:r>
      <w:r w:rsidRPr="002D79FB">
        <w:rPr>
          <w:rFonts w:ascii="Book Antiqua" w:eastAsia="Book Antiqua" w:hAnsi="Book Antiqua" w:cs="Book Antiqua"/>
          <w:color w:val="000000"/>
          <w:vertAlign w:val="superscript"/>
        </w:rPr>
        <w:t>[5,6]</w:t>
      </w:r>
      <w:r w:rsidRPr="002D79FB">
        <w:rPr>
          <w:rFonts w:ascii="Book Antiqua" w:eastAsia="Book Antiqua" w:hAnsi="Book Antiqua" w:cs="Book Antiqua"/>
          <w:color w:val="000000"/>
        </w:rPr>
        <w:t>.</w:t>
      </w:r>
    </w:p>
    <w:p w14:paraId="1541AEB2" w14:textId="73A05853"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Metformin, a biguanide, is a first-line oral medication for patients with T2DM that can reduce hepatic glucose production and intestinal glucose absorption, but it also enhances insulin sensitivity</w:t>
      </w:r>
      <w:r w:rsidRPr="002D79FB">
        <w:rPr>
          <w:rFonts w:ascii="Book Antiqua" w:eastAsia="Book Antiqua" w:hAnsi="Book Antiqua" w:cs="Book Antiqua"/>
          <w:color w:val="000000"/>
          <w:vertAlign w:val="superscript"/>
        </w:rPr>
        <w:t>[4]</w:t>
      </w:r>
      <w:r w:rsidRPr="002D79FB">
        <w:rPr>
          <w:rFonts w:ascii="Book Antiqua" w:eastAsia="Book Antiqua" w:hAnsi="Book Antiqua" w:cs="Book Antiqua"/>
          <w:color w:val="000000"/>
        </w:rPr>
        <w:t>. In addition to its primary therapeutic effects, metformin has demonstrated anti-inflammatory effects through the modulation of the AMPK/mTOR pathway</w:t>
      </w:r>
      <w:r w:rsidRPr="002D79FB">
        <w:rPr>
          <w:rFonts w:ascii="Book Antiqua" w:eastAsia="Book Antiqua" w:hAnsi="Book Antiqua" w:cs="Book Antiqua"/>
          <w:color w:val="000000"/>
          <w:vertAlign w:val="superscript"/>
        </w:rPr>
        <w:t>[7]</w:t>
      </w:r>
      <w:r w:rsidRPr="002D79FB">
        <w:rPr>
          <w:rFonts w:ascii="Book Antiqua" w:eastAsia="Book Antiqua" w:hAnsi="Book Antiqua" w:cs="Book Antiqua"/>
          <w:color w:val="000000"/>
        </w:rPr>
        <w:t>. Furthermore, metformin does not induce hypoglycemia, which is a critical side effect of other anti-diabetic drugs. Although metformin is commonly used as a background medication in patients with T2DM</w:t>
      </w:r>
      <w:r w:rsidRPr="002D79FB">
        <w:rPr>
          <w:rFonts w:ascii="Book Antiqua" w:eastAsia="Book Antiqua" w:hAnsi="Book Antiqua" w:cs="Book Antiqua"/>
          <w:color w:val="000000"/>
          <w:vertAlign w:val="superscript"/>
        </w:rPr>
        <w:t>[4,8]</w:t>
      </w:r>
      <w:r w:rsidRPr="002D79FB">
        <w:rPr>
          <w:rFonts w:ascii="Book Antiqua" w:eastAsia="Book Antiqua" w:hAnsi="Book Antiqua" w:cs="Book Antiqua"/>
          <w:color w:val="000000"/>
        </w:rPr>
        <w:t xml:space="preserve">, a potential risk for metformin-induced neuropathy has recently been proposed. Patients with T2DM and neuropathy reportedly have lower vitamin B12 </w:t>
      </w:r>
      <w:r w:rsidR="00AB5B75">
        <w:rPr>
          <w:rFonts w:ascii="Book Antiqua" w:eastAsia="Book Antiqua" w:hAnsi="Book Antiqua" w:cs="Book Antiqua"/>
          <w:color w:val="000000"/>
        </w:rPr>
        <w:t>l</w:t>
      </w:r>
      <w:r w:rsidRPr="002D79FB">
        <w:rPr>
          <w:rFonts w:ascii="Book Antiqua" w:eastAsia="Book Antiqua" w:hAnsi="Book Antiqua" w:cs="Book Antiqua"/>
          <w:color w:val="000000"/>
        </w:rPr>
        <w:t xml:space="preserve">evels, and a higher metformin dose is associated with lower vitamin B12 </w:t>
      </w:r>
      <w:r w:rsidR="004D73E8" w:rsidRPr="002D79FB">
        <w:rPr>
          <w:rFonts w:ascii="Book Antiqua" w:eastAsia="Book Antiqua" w:hAnsi="Book Antiqua" w:cs="Book Antiqua"/>
          <w:color w:val="000000"/>
        </w:rPr>
        <w:t>l</w:t>
      </w:r>
      <w:r w:rsidRPr="002D79FB">
        <w:rPr>
          <w:rFonts w:ascii="Book Antiqua" w:eastAsia="Book Antiqua" w:hAnsi="Book Antiqua" w:cs="Book Antiqua"/>
          <w:color w:val="000000"/>
        </w:rPr>
        <w:t>evels</w:t>
      </w:r>
      <w:r w:rsidRPr="002D79FB">
        <w:rPr>
          <w:rFonts w:ascii="Book Antiqua" w:eastAsia="Book Antiqua" w:hAnsi="Book Antiqua" w:cs="Book Antiqua"/>
          <w:color w:val="000000"/>
          <w:vertAlign w:val="superscript"/>
        </w:rPr>
        <w:t>[9]</w:t>
      </w:r>
      <w:r w:rsidRPr="002D79FB">
        <w:rPr>
          <w:rFonts w:ascii="Book Antiqua" w:eastAsia="Book Antiqua" w:hAnsi="Book Antiqua" w:cs="Book Antiqua"/>
          <w:color w:val="000000"/>
        </w:rPr>
        <w:t>. However, the association between metformin and diabetic neuropathy remains controversial</w:t>
      </w:r>
      <w:r w:rsidRPr="002D79FB">
        <w:rPr>
          <w:rFonts w:ascii="Book Antiqua" w:eastAsia="Book Antiqua" w:hAnsi="Book Antiqua" w:cs="Book Antiqua"/>
          <w:color w:val="000000"/>
          <w:vertAlign w:val="superscript"/>
        </w:rPr>
        <w:t>[10]</w:t>
      </w:r>
      <w:r w:rsidRPr="002D79FB">
        <w:rPr>
          <w:rFonts w:ascii="Book Antiqua" w:eastAsia="Book Antiqua" w:hAnsi="Book Antiqua" w:cs="Book Antiqua"/>
          <w:color w:val="000000"/>
        </w:rPr>
        <w:t>.</w:t>
      </w:r>
    </w:p>
    <w:p w14:paraId="13D798D7" w14:textId="07E44A21"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Dyslipidemia in patients with T2DM is more severe in terms of inducing atherosclerosis, high triglyceride levels, reduced high-density lipoprotein-cholesterol levels and elevated low-density lipoprotein-cholesterol levels</w:t>
      </w:r>
      <w:r w:rsidRPr="002D79FB">
        <w:rPr>
          <w:rFonts w:ascii="Book Antiqua" w:eastAsia="Book Antiqua" w:hAnsi="Book Antiqua" w:cs="Book Antiqua"/>
          <w:color w:val="000000"/>
          <w:vertAlign w:val="superscript"/>
        </w:rPr>
        <w:t>[11]</w:t>
      </w:r>
      <w:r w:rsidRPr="002D79FB">
        <w:rPr>
          <w:rFonts w:ascii="Book Antiqua" w:eastAsia="Book Antiqua" w:hAnsi="Book Antiqua" w:cs="Book Antiqua"/>
          <w:color w:val="000000"/>
        </w:rPr>
        <w:t>. Furthermore, there are shared risk factors (</w:t>
      </w:r>
      <w:r w:rsidRPr="002D79FB">
        <w:rPr>
          <w:rFonts w:ascii="Book Antiqua" w:eastAsia="Book Antiqua" w:hAnsi="Book Antiqua" w:cs="Book Antiqua"/>
          <w:i/>
          <w:iCs/>
          <w:color w:val="000000"/>
        </w:rPr>
        <w:t>e.g</w:t>
      </w:r>
      <w:r w:rsidRPr="002D79FB">
        <w:rPr>
          <w:rFonts w:ascii="Book Antiqua" w:eastAsia="Book Antiqua" w:hAnsi="Book Antiqua" w:cs="Book Antiqua"/>
          <w:color w:val="000000"/>
        </w:rPr>
        <w:t>., old age and obesity) between T2DM and dyslipidemia</w:t>
      </w:r>
      <w:r w:rsidRPr="002D79FB">
        <w:rPr>
          <w:rFonts w:ascii="Book Antiqua" w:eastAsia="Book Antiqua" w:hAnsi="Book Antiqua" w:cs="Book Antiqua"/>
          <w:color w:val="000000"/>
          <w:vertAlign w:val="superscript"/>
        </w:rPr>
        <w:t>[12,13]</w:t>
      </w:r>
      <w:r w:rsidRPr="002D79FB">
        <w:rPr>
          <w:rFonts w:ascii="Book Antiqua" w:eastAsia="Book Antiqua" w:hAnsi="Book Antiqua" w:cs="Book Antiqua"/>
          <w:color w:val="000000"/>
        </w:rPr>
        <w:t xml:space="preserve">. Therefore, the use of anti-diabetic medications and statins in both groups of patients are common situations in clinical practice. In addition, neuropathy is a chronic </w:t>
      </w:r>
      <w:r w:rsidRPr="002D79FB">
        <w:rPr>
          <w:rFonts w:ascii="Book Antiqua" w:eastAsia="Book Antiqua" w:hAnsi="Book Antiqua" w:cs="Book Antiqua"/>
          <w:color w:val="000000"/>
        </w:rPr>
        <w:lastRenderedPageBreak/>
        <w:t xml:space="preserve">microvascular complication in patients with T2DM that depends on the duration and severity of T2DM. Therefore, primary prevention </w:t>
      </w:r>
      <w:r w:rsidRPr="002D79FB">
        <w:rPr>
          <w:rFonts w:ascii="Book Antiqua" w:eastAsia="Book Antiqua" w:hAnsi="Book Antiqua" w:cs="Book Antiqua"/>
          <w:i/>
          <w:iCs/>
          <w:color w:val="000000"/>
        </w:rPr>
        <w:t>via</w:t>
      </w:r>
      <w:r w:rsidRPr="002D79FB">
        <w:rPr>
          <w:rFonts w:ascii="Book Antiqua" w:eastAsia="Book Antiqua" w:hAnsi="Book Antiqua" w:cs="Book Antiqua"/>
          <w:color w:val="000000"/>
        </w:rPr>
        <w:t xml:space="preserve"> proper glycemic control is important</w:t>
      </w:r>
      <w:r w:rsidRPr="002D79FB">
        <w:rPr>
          <w:rFonts w:ascii="Book Antiqua" w:eastAsia="Book Antiqua" w:hAnsi="Book Antiqua" w:cs="Book Antiqua"/>
          <w:color w:val="000000"/>
          <w:vertAlign w:val="superscript"/>
        </w:rPr>
        <w:t>[12]</w:t>
      </w:r>
      <w:r w:rsidRPr="002D79FB">
        <w:rPr>
          <w:rFonts w:ascii="Book Antiqua" w:eastAsia="Book Antiqua" w:hAnsi="Book Antiqua" w:cs="Book Antiqua"/>
          <w:color w:val="000000"/>
        </w:rPr>
        <w:t xml:space="preserve">. In addition, the avoidance of additional risk of neuropathy is an important consideration. However, little is known regarding the impact of commonly used medications, </w:t>
      </w:r>
      <w:r w:rsidRPr="002D79FB">
        <w:rPr>
          <w:rFonts w:ascii="Book Antiqua" w:eastAsia="Book Antiqua" w:hAnsi="Book Antiqua" w:cs="Book Antiqua"/>
          <w:i/>
          <w:iCs/>
          <w:color w:val="000000"/>
        </w:rPr>
        <w:t>i.e</w:t>
      </w:r>
      <w:r w:rsidRPr="002D79FB">
        <w:rPr>
          <w:rFonts w:ascii="Book Antiqua" w:eastAsia="Book Antiqua" w:hAnsi="Book Antiqua" w:cs="Book Antiqua"/>
          <w:color w:val="000000"/>
        </w:rPr>
        <w:t>. statins and metformin, on neuropathy development in patients with T2DM.</w:t>
      </w:r>
    </w:p>
    <w:p w14:paraId="510F3018" w14:textId="5BFC7BB3"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The Korean health insurance system covers the entire population of residents in Korea. All health care facilities provide medical services to patients, then submit insurance benefit claims to the national health insurance service. These insurance claims are collected in the Health Insurance Review and Assessment (HIRA) database, which is used annually to produce representative sample data comprising approximately 3% of all insurance claims, the HIRA national patient sample (</w:t>
      </w:r>
      <w:r w:rsidR="003E22C3" w:rsidRPr="002D79FB">
        <w:rPr>
          <w:rFonts w:ascii="Book Antiqua" w:eastAsia="Book Antiqua" w:hAnsi="Book Antiqua" w:cs="Book Antiqua"/>
          <w:color w:val="000000"/>
        </w:rPr>
        <w:t>NPS</w:t>
      </w:r>
      <w:r w:rsidRPr="002D79FB">
        <w:rPr>
          <w:rFonts w:ascii="Book Antiqua" w:eastAsia="Book Antiqua" w:hAnsi="Book Antiqua" w:cs="Book Antiqua"/>
          <w:color w:val="000000"/>
        </w:rPr>
        <w:t xml:space="preserve">). HIRA-NPS data are useful for analyzing various medical insurance-related data including treatments, procedures, prescriptions, patient demographics and health care provider information. Furthermore, these data can be used to analyze the incidences of specific disorders based on operational definitions. </w:t>
      </w:r>
    </w:p>
    <w:p w14:paraId="4EB4E734" w14:textId="00226636"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 xml:space="preserve">In the present study, we evaluated the influence of statin, metformin and statin + metformin therapies on the incidence of neuropathy in patients with T2DM using Korean HIRA-NPS data from 2016 and 2017. </w:t>
      </w:r>
    </w:p>
    <w:bookmarkEnd w:id="15"/>
    <w:p w14:paraId="0D16919B" w14:textId="77777777" w:rsidR="00A77B3E" w:rsidRPr="002D79FB" w:rsidRDefault="00A77B3E" w:rsidP="002D79FB">
      <w:pPr>
        <w:spacing w:line="360" w:lineRule="auto"/>
        <w:jc w:val="both"/>
        <w:rPr>
          <w:rFonts w:ascii="Book Antiqua" w:hAnsi="Book Antiqua"/>
        </w:rPr>
      </w:pPr>
    </w:p>
    <w:p w14:paraId="35DCA76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MATERIALS AND METHODS</w:t>
      </w:r>
    </w:p>
    <w:p w14:paraId="6D0DCCF6" w14:textId="77777777" w:rsidR="00A77B3E" w:rsidRPr="002D79FB" w:rsidRDefault="00C42C9E" w:rsidP="002D79FB">
      <w:pPr>
        <w:spacing w:line="360" w:lineRule="auto"/>
        <w:jc w:val="both"/>
        <w:rPr>
          <w:rFonts w:ascii="Book Antiqua" w:hAnsi="Book Antiqua"/>
          <w:b/>
          <w:bCs/>
        </w:rPr>
      </w:pPr>
      <w:bookmarkStart w:id="16" w:name="OLE_LINK17"/>
      <w:r w:rsidRPr="002D79FB">
        <w:rPr>
          <w:rFonts w:ascii="Book Antiqua" w:eastAsia="Book Antiqua" w:hAnsi="Book Antiqua" w:cs="Book Antiqua"/>
          <w:b/>
          <w:bCs/>
          <w:i/>
          <w:color w:val="000000"/>
        </w:rPr>
        <w:t>Data sources</w:t>
      </w:r>
    </w:p>
    <w:p w14:paraId="457CF752" w14:textId="5EF3A10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Korean HIRA-NPS data are produced annually, and this study included HIRA-NPS data from 2016 and 2017. Korea has a unique government-funded insurance system, in which claims data are generated when healthcare facilities file insurance benefit claims with HIRA. These claims data include diverse information such as patient demographics; detailed information concerning treatments, costs, prescriptions and healthcare provider information. The Korean HIRA annually provides sample data, the NPS, by randomly extracting nationwide health insurance claims data using a sampling </w:t>
      </w:r>
      <w:r w:rsidRPr="002D79FB">
        <w:rPr>
          <w:rFonts w:ascii="Book Antiqua" w:eastAsia="Book Antiqua" w:hAnsi="Book Antiqua" w:cs="Book Antiqua"/>
          <w:color w:val="000000"/>
        </w:rPr>
        <w:lastRenderedPageBreak/>
        <w:t>strategy stratified according to sex and age. Each HIRA-NPS dataset includes data collected for the entire index year. Approximately 3% of all covered patients, approximately 1.45 million individuals, are selected for inclusion in the sample, and their personal information is anonymized. Therefore, HIRA-NPS claims data represent real-world clinical circumstances that occur throughout Korea.</w:t>
      </w:r>
    </w:p>
    <w:p w14:paraId="6628EBAA" w14:textId="1A933DBC"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 xml:space="preserve">This study was conducted in accordance with the tenets of the Declaration of Helsinki (1964). Written informed consent for enrollment was waived because the data were provided by HIRA. This study was approved by the Institutional Review Board of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w:t>
      </w:r>
      <w:r w:rsidR="003E22C3" w:rsidRPr="002D79FB">
        <w:rPr>
          <w:rFonts w:ascii="Book Antiqua" w:eastAsia="Book Antiqua" w:hAnsi="Book Antiqua" w:cs="Book Antiqua"/>
          <w:color w:val="000000"/>
        </w:rPr>
        <w:t>A</w:t>
      </w:r>
      <w:r w:rsidRPr="002D79FB">
        <w:rPr>
          <w:rFonts w:ascii="Book Antiqua" w:eastAsia="Book Antiqua" w:hAnsi="Book Antiqua" w:cs="Book Antiqua"/>
          <w:color w:val="000000"/>
        </w:rPr>
        <w:t>pproval number: 2020-12-057).</w:t>
      </w:r>
    </w:p>
    <w:p w14:paraId="4AE5C1A8" w14:textId="77777777" w:rsidR="00A77B3E" w:rsidRPr="002D79FB" w:rsidRDefault="00A77B3E" w:rsidP="002D79FB">
      <w:pPr>
        <w:spacing w:line="360" w:lineRule="auto"/>
        <w:jc w:val="both"/>
        <w:rPr>
          <w:rFonts w:ascii="Book Antiqua" w:hAnsi="Book Antiqua"/>
        </w:rPr>
      </w:pPr>
    </w:p>
    <w:p w14:paraId="6B432F42" w14:textId="77777777" w:rsidR="00A77B3E" w:rsidRPr="002D79FB" w:rsidRDefault="00C42C9E" w:rsidP="002D79FB">
      <w:pPr>
        <w:spacing w:line="360" w:lineRule="auto"/>
        <w:jc w:val="both"/>
        <w:rPr>
          <w:rFonts w:ascii="Book Antiqua" w:hAnsi="Book Antiqua"/>
          <w:b/>
          <w:bCs/>
        </w:rPr>
      </w:pPr>
      <w:r w:rsidRPr="002D79FB">
        <w:rPr>
          <w:rFonts w:ascii="Book Antiqua" w:eastAsia="Book Antiqua" w:hAnsi="Book Antiqua" w:cs="Book Antiqua"/>
          <w:b/>
          <w:bCs/>
          <w:i/>
          <w:color w:val="000000"/>
        </w:rPr>
        <w:t>Data extraction</w:t>
      </w:r>
    </w:p>
    <w:p w14:paraId="0B78E008" w14:textId="0D48C0A9"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Considering the characteristics of HIRA-NPS data, operational definitions of T2DM and new-onset neuropathy were used in this study. Patients were selected based on the International Statistical Classification of Diseases and Related Health Problems, 10</w:t>
      </w:r>
      <w:r w:rsidRPr="002D79FB">
        <w:rPr>
          <w:rFonts w:ascii="Book Antiqua" w:eastAsia="Book Antiqua" w:hAnsi="Book Antiqua" w:cs="Book Antiqua"/>
          <w:color w:val="000000"/>
          <w:vertAlign w:val="superscript"/>
        </w:rPr>
        <w:t>th</w:t>
      </w:r>
      <w:r w:rsidRPr="002D79FB">
        <w:rPr>
          <w:rFonts w:ascii="Book Antiqua" w:eastAsia="Book Antiqua" w:hAnsi="Book Antiqua" w:cs="Book Antiqua"/>
          <w:color w:val="000000"/>
        </w:rPr>
        <w:t xml:space="preserve"> revision (ICD-10). At baseline, ICD-10 codes for T2DM without chronic complications were selected by searching for the following ICD-10 codes: E110, E111, E119, E120, E121, E129, E130, E131, E139, E140, E141 and E149. In addition, participants were included if they had anatomic therapeutic chemical codes for prescriptions of the anti-diabetic medications A10A and A10B for more than 30 d within the first 3 mo. Patients were excluded if they were prescribed antidepressants (N06A) or anticonvulsants (N03AX12 and N03AX16) within the first 3 mo because these could be used for diabetic neuropathy</w:t>
      </w:r>
      <w:r w:rsidRPr="002D79FB">
        <w:rPr>
          <w:rFonts w:ascii="Book Antiqua" w:eastAsia="Book Antiqua" w:hAnsi="Book Antiqua" w:cs="Book Antiqua"/>
          <w:color w:val="000000"/>
          <w:vertAlign w:val="superscript"/>
        </w:rPr>
        <w:t>[14]</w:t>
      </w:r>
      <w:r w:rsidRPr="002D79FB">
        <w:rPr>
          <w:rFonts w:ascii="Book Antiqua" w:eastAsia="Book Antiqua" w:hAnsi="Book Antiqua" w:cs="Book Antiqua"/>
          <w:color w:val="000000"/>
        </w:rPr>
        <w:t xml:space="preserve">. Considering the etiology of T2DM, patients older than 30 years of age were included in the study. To exclude other causes of neuropathy, patients with connective tissue diseases (ICD-10 codes: M05, M06, M30, M31, M32, M33, M34, M35 and M45), renal failure (ICD-10 codes: I120, I131, I132, N17, N18 and N19) and malignancy (ICD-10 codes: C00–C97) were excluded at baseline. The first 3 mo were selected as the duration of exposure to statin/metformin/statin + metformin, and exposure to each medication was defined as a prescription for more than 30 d of treatment. Patients who had never been prescribed these medications were defined as </w:t>
      </w:r>
      <w:r w:rsidRPr="002D79FB">
        <w:rPr>
          <w:rFonts w:ascii="Book Antiqua" w:eastAsia="Book Antiqua" w:hAnsi="Book Antiqua" w:cs="Book Antiqua"/>
          <w:color w:val="000000"/>
        </w:rPr>
        <w:lastRenderedPageBreak/>
        <w:t>the non-exposure group. The statin + metformin non-exposure group was defined as patients who had not been exposed to statins or metformin. Anatomic therapeutic chemical codes were used to identify prescriptions for statins (C10AA01–C10AA08) and metformin (A10BA02). Patients with combination medications</w:t>
      </w:r>
      <w:r w:rsidR="00D43234">
        <w:rPr>
          <w:rFonts w:ascii="Book Antiqua" w:eastAsia="Book Antiqua" w:hAnsi="Book Antiqua" w:cs="Book Antiqua"/>
          <w:color w:val="000000"/>
        </w:rPr>
        <w:t>,</w:t>
      </w:r>
      <w:r w:rsidRPr="002D79FB">
        <w:rPr>
          <w:rFonts w:ascii="Book Antiqua" w:eastAsia="Book Antiqua" w:hAnsi="Book Antiqua" w:cs="Book Antiqua"/>
          <w:color w:val="000000"/>
        </w:rPr>
        <w:t xml:space="preserve"> such as statins with other dyslipidemia or antihypertensive medications or metformin with other anti-diabetic medications, were excluded from the assessment of medication exposure to specifically evaluate the influence of statins or metformin on neuropathy incidence. The incidence of new-onset neuropathy was investigated within the final 9 mo of the index year. The combined disease codes for diabetic neuropathy (ICD-10 codes: E114, E124, E134, E144, G590 and G632) and prescriptions of either tricyclic antidepressants, </w:t>
      </w:r>
      <w:r w:rsidRPr="002D79FB">
        <w:rPr>
          <w:rFonts w:ascii="Book Antiqua" w:eastAsia="Book Antiqua" w:hAnsi="Book Antiqua" w:cs="Book Antiqua"/>
          <w:color w:val="000000"/>
          <w:shd w:val="clear" w:color="auto" w:fill="FFFFFF"/>
        </w:rPr>
        <w:t xml:space="preserve">serotonin–norepinephrine reuptake inhibitors </w:t>
      </w:r>
      <w:r w:rsidRPr="002D79FB">
        <w:rPr>
          <w:rFonts w:ascii="Book Antiqua" w:eastAsia="Book Antiqua" w:hAnsi="Book Antiqua" w:cs="Book Antiqua"/>
          <w:color w:val="000000"/>
        </w:rPr>
        <w:t>or anticonvulsants recommended by the American Diabetes Association</w:t>
      </w:r>
      <w:r w:rsidRPr="002D79FB">
        <w:rPr>
          <w:rFonts w:ascii="Book Antiqua" w:eastAsia="Book Antiqua" w:hAnsi="Book Antiqua" w:cs="Book Antiqua"/>
          <w:color w:val="000000"/>
          <w:vertAlign w:val="superscript"/>
        </w:rPr>
        <w:t>[14]</w:t>
      </w:r>
      <w:r w:rsidRPr="002D79FB">
        <w:rPr>
          <w:rFonts w:ascii="Book Antiqua" w:eastAsia="Book Antiqua" w:hAnsi="Book Antiqua" w:cs="Book Antiqua"/>
          <w:color w:val="000000"/>
        </w:rPr>
        <w:t xml:space="preserve">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anatomic therapeutic chemical codes: N03AX12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gabapentin</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N03AX16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pregabalin</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N06AA01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desipramine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N06AA02–N06AA03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imipramine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N06AA09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amitriptyline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N06AA10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nortriptyline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N06AX16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venlafaxine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and N06AX21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duloxetine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for more than 30 d were used to identify patients with new-onset neuropathy. The ICD-10 codes for diabetic neuropathy were selected because the use of anticonvulsants or </w:t>
      </w:r>
      <w:r w:rsidRPr="002D79FB">
        <w:rPr>
          <w:rFonts w:ascii="Book Antiqua" w:eastAsia="Book Antiqua" w:hAnsi="Book Antiqua" w:cs="Book Antiqua"/>
          <w:color w:val="000000"/>
          <w:shd w:val="clear" w:color="auto" w:fill="FFFFFF"/>
        </w:rPr>
        <w:t>serotonin–norepinephrine reuptake inhibitors</w:t>
      </w:r>
      <w:r w:rsidRPr="002D79FB">
        <w:rPr>
          <w:rFonts w:ascii="Book Antiqua" w:eastAsia="Book Antiqua" w:hAnsi="Book Antiqua" w:cs="Book Antiqua"/>
          <w:color w:val="000000"/>
        </w:rPr>
        <w:t xml:space="preserve"> is covered by national health insurance for patients with diabetic neuropathy but not for patients with nonspecific neuropathy. Therefore, in Korea, neuropathy medications (</w:t>
      </w:r>
      <w:r w:rsidRPr="002D79FB">
        <w:rPr>
          <w:rFonts w:ascii="Book Antiqua" w:eastAsia="Book Antiqua" w:hAnsi="Book Antiqua" w:cs="Book Antiqua"/>
          <w:i/>
          <w:iCs/>
          <w:color w:val="000000"/>
        </w:rPr>
        <w:t>i.e</w:t>
      </w:r>
      <w:r w:rsidRPr="002D79FB">
        <w:rPr>
          <w:rFonts w:ascii="Book Antiqua" w:eastAsia="Book Antiqua" w:hAnsi="Book Antiqua" w:cs="Book Antiqua"/>
          <w:color w:val="000000"/>
        </w:rPr>
        <w:t xml:space="preserve">. anticonvulsants or antidepressants) are usually prescribed after the submission of the ICD-10 codes for diabetic neuropathy in patients with T2DM. In this study, we identified drug-induced neuropathy by only including patients with ICD-10 codes for diabetic neuropathy and combined prescriptions of antidepressants or anticonvulsants after at least 90 d of exposure to statin/metformin/statin + metformin therapies. The schematic diagram of the research protocol is presented in Figure </w:t>
      </w:r>
      <w:r w:rsidR="00B542AD" w:rsidRPr="002D79FB">
        <w:rPr>
          <w:rFonts w:ascii="Book Antiqua" w:eastAsia="Book Antiqua" w:hAnsi="Book Antiqua" w:cs="Book Antiqua"/>
          <w:color w:val="000000"/>
        </w:rPr>
        <w:t>1</w:t>
      </w:r>
      <w:r w:rsidRPr="002D79FB">
        <w:rPr>
          <w:rFonts w:ascii="Book Antiqua" w:eastAsia="Book Antiqua" w:hAnsi="Book Antiqua" w:cs="Book Antiqua"/>
          <w:color w:val="000000"/>
        </w:rPr>
        <w:t>. The patients were divided into the following 10-year age-group intervals: 30–39, 40–49, 50–59, 60–69 and &gt; 70 years.</w:t>
      </w:r>
    </w:p>
    <w:p w14:paraId="3737397F" w14:textId="77777777" w:rsidR="00A77B3E" w:rsidRPr="002D79FB" w:rsidRDefault="00A77B3E" w:rsidP="002D79FB">
      <w:pPr>
        <w:spacing w:line="360" w:lineRule="auto"/>
        <w:jc w:val="both"/>
        <w:rPr>
          <w:rFonts w:ascii="Book Antiqua" w:hAnsi="Book Antiqua"/>
        </w:rPr>
      </w:pPr>
    </w:p>
    <w:p w14:paraId="5CA58584" w14:textId="67E92845" w:rsidR="00A77B3E" w:rsidRPr="002D79FB" w:rsidRDefault="00C42C9E" w:rsidP="002D79FB">
      <w:pPr>
        <w:spacing w:line="360" w:lineRule="auto"/>
        <w:jc w:val="both"/>
        <w:rPr>
          <w:rFonts w:ascii="Book Antiqua" w:hAnsi="Book Antiqua"/>
          <w:b/>
          <w:bCs/>
        </w:rPr>
      </w:pPr>
      <w:r w:rsidRPr="002D79FB">
        <w:rPr>
          <w:rFonts w:ascii="Book Antiqua" w:eastAsia="Book Antiqua" w:hAnsi="Book Antiqua" w:cs="Book Antiqua"/>
          <w:b/>
          <w:bCs/>
          <w:i/>
          <w:color w:val="000000"/>
        </w:rPr>
        <w:t>Statistical analysis</w:t>
      </w:r>
    </w:p>
    <w:p w14:paraId="550004A0" w14:textId="0D8F54F8"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lastRenderedPageBreak/>
        <w:t xml:space="preserve">Baseline demographic characteristics are summarized as numbers and percentages and compared using the </w:t>
      </w:r>
      <w:r w:rsidR="00D43234" w:rsidRPr="00D43234">
        <w:rPr>
          <w:rFonts w:ascii="Book Antiqua" w:eastAsia="Book Antiqua" w:hAnsi="Book Antiqua" w:cs="Book Antiqua"/>
          <w:color w:val="000000"/>
        </w:rPr>
        <w:t>χ</w:t>
      </w:r>
      <w:r w:rsidR="00D43234">
        <w:rPr>
          <w:rFonts w:ascii="Book Antiqua" w:eastAsia="Book Antiqua" w:hAnsi="Book Antiqua" w:cs="Book Antiqua"/>
          <w:color w:val="000000"/>
          <w:vertAlign w:val="superscript"/>
        </w:rPr>
        <w:t>2</w:t>
      </w:r>
      <w:r w:rsidRPr="002D79FB">
        <w:rPr>
          <w:rFonts w:ascii="Book Antiqua" w:eastAsia="Book Antiqua" w:hAnsi="Book Antiqua" w:cs="Book Antiqua"/>
          <w:color w:val="000000"/>
        </w:rPr>
        <w:t xml:space="preserve"> test or Fisher’s exact test. Propensity score (PS)-matching was performed by 1:1 matching according to age, sex and comorbidities included in the </w:t>
      </w:r>
      <w:proofErr w:type="spellStart"/>
      <w:r w:rsidRPr="002D79FB">
        <w:rPr>
          <w:rFonts w:ascii="Book Antiqua" w:eastAsia="Book Antiqua" w:hAnsi="Book Antiqua" w:cs="Book Antiqua"/>
          <w:color w:val="000000"/>
        </w:rPr>
        <w:t>Charlson</w:t>
      </w:r>
      <w:proofErr w:type="spellEnd"/>
      <w:r w:rsidRPr="002D79FB">
        <w:rPr>
          <w:rFonts w:ascii="Book Antiqua" w:eastAsia="Book Antiqua" w:hAnsi="Book Antiqua" w:cs="Book Antiqua"/>
          <w:color w:val="000000"/>
        </w:rPr>
        <w:t xml:space="preserve"> Comorbidity Index</w:t>
      </w:r>
      <w:r w:rsidRPr="002D79FB">
        <w:rPr>
          <w:rFonts w:ascii="Book Antiqua" w:eastAsia="Book Antiqua" w:hAnsi="Book Antiqua" w:cs="Book Antiqua"/>
          <w:color w:val="000000"/>
          <w:vertAlign w:val="superscript"/>
        </w:rPr>
        <w:t>[15]</w:t>
      </w:r>
      <w:r w:rsidRPr="002D79FB">
        <w:rPr>
          <w:rFonts w:ascii="Book Antiqua" w:eastAsia="Book Antiqua" w:hAnsi="Book Antiqua" w:cs="Book Antiqua"/>
          <w:color w:val="000000"/>
        </w:rPr>
        <w:t xml:space="preserve">. Logistic regression analyses were performed to calculated crude and PS-matched odds ratios (ORs) for new-onset neuropathy. Values of </w:t>
      </w:r>
      <w:r w:rsidRPr="002D79FB">
        <w:rPr>
          <w:rFonts w:ascii="Book Antiqua" w:eastAsia="Book Antiqua" w:hAnsi="Book Antiqua" w:cs="Book Antiqua"/>
          <w:i/>
          <w:iCs/>
          <w:color w:val="000000"/>
        </w:rPr>
        <w:t xml:space="preserve">P </w:t>
      </w:r>
      <w:r w:rsidRPr="002D79FB">
        <w:rPr>
          <w:rFonts w:ascii="Book Antiqua" w:eastAsia="Book Antiqua" w:hAnsi="Book Antiqua" w:cs="Book Antiqua"/>
          <w:color w:val="000000"/>
        </w:rPr>
        <w:t>&lt; 0.05 were considered to indicate statistical significance. All tests were performed using R software (R for Windows 3.3.2; The R Foundation for Statistical Computing, Vienna, Austria).</w:t>
      </w:r>
    </w:p>
    <w:bookmarkEnd w:id="16"/>
    <w:p w14:paraId="7CBE48A3" w14:textId="77777777" w:rsidR="00A77B3E" w:rsidRPr="002D79FB" w:rsidRDefault="00A77B3E" w:rsidP="002D79FB">
      <w:pPr>
        <w:spacing w:line="360" w:lineRule="auto"/>
        <w:jc w:val="both"/>
        <w:rPr>
          <w:rFonts w:ascii="Book Antiqua" w:hAnsi="Book Antiqua"/>
        </w:rPr>
      </w:pPr>
    </w:p>
    <w:p w14:paraId="2AF57F3D"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RESULTS</w:t>
      </w:r>
    </w:p>
    <w:p w14:paraId="271F21E6" w14:textId="77777777" w:rsidR="00A77B3E" w:rsidRPr="002D79FB" w:rsidRDefault="00C42C9E" w:rsidP="002D79FB">
      <w:pPr>
        <w:spacing w:line="360" w:lineRule="auto"/>
        <w:jc w:val="both"/>
        <w:rPr>
          <w:rFonts w:ascii="Book Antiqua" w:hAnsi="Book Antiqua"/>
          <w:b/>
          <w:bCs/>
        </w:rPr>
      </w:pPr>
      <w:r w:rsidRPr="002D79FB">
        <w:rPr>
          <w:rFonts w:ascii="Book Antiqua" w:eastAsia="Book Antiqua" w:hAnsi="Book Antiqua" w:cs="Book Antiqua"/>
          <w:b/>
          <w:bCs/>
          <w:i/>
          <w:color w:val="000000"/>
        </w:rPr>
        <w:t>Comparison of baseline characteristics and incidence of neuropathy between statin/metformin/statin + metformin users and non-users</w:t>
      </w:r>
    </w:p>
    <w:p w14:paraId="70644D1E" w14:textId="276B922D"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The HIRA-NPS datasets for 2016 and 2017 included 1468033 and 1473083 patients, respectively. In each year, 34964 and 35887 patients had T2DM without diabetic complications, respectively (Figure </w:t>
      </w:r>
      <w:r w:rsidR="00B542AD" w:rsidRPr="002D79FB">
        <w:rPr>
          <w:rFonts w:ascii="Book Antiqua" w:eastAsia="Book Antiqua" w:hAnsi="Book Antiqua" w:cs="Book Antiqua"/>
          <w:color w:val="000000"/>
        </w:rPr>
        <w:t>2</w:t>
      </w:r>
      <w:r w:rsidRPr="002D79FB">
        <w:rPr>
          <w:rFonts w:ascii="Book Antiqua" w:eastAsia="Book Antiqua" w:hAnsi="Book Antiqua" w:cs="Book Antiqua"/>
          <w:color w:val="000000"/>
        </w:rPr>
        <w:t>). Statin therapy analyses showed that 17413 patients received statin therapy</w:t>
      </w:r>
      <w:r w:rsidR="002640F5">
        <w:rPr>
          <w:rFonts w:ascii="Book Antiqua" w:eastAsia="Book Antiqua" w:hAnsi="Book Antiqua" w:cs="Book Antiqua"/>
          <w:color w:val="000000"/>
        </w:rPr>
        <w:t>,</w:t>
      </w:r>
      <w:r w:rsidRPr="002D79FB">
        <w:rPr>
          <w:rFonts w:ascii="Book Antiqua" w:eastAsia="Book Antiqua" w:hAnsi="Book Antiqua" w:cs="Book Antiqua"/>
          <w:color w:val="000000"/>
        </w:rPr>
        <w:t xml:space="preserve"> and 17267 patients did not receive statin therapy in 2016. In 2017, 18707 patients received statin therapy</w:t>
      </w:r>
      <w:r w:rsidR="002640F5">
        <w:rPr>
          <w:rFonts w:ascii="Book Antiqua" w:eastAsia="Book Antiqua" w:hAnsi="Book Antiqua" w:cs="Book Antiqua"/>
          <w:color w:val="000000"/>
        </w:rPr>
        <w:t>,</w:t>
      </w:r>
      <w:r w:rsidRPr="002D79FB">
        <w:rPr>
          <w:rFonts w:ascii="Book Antiqua" w:eastAsia="Book Antiqua" w:hAnsi="Book Antiqua" w:cs="Book Antiqua"/>
          <w:color w:val="000000"/>
        </w:rPr>
        <w:t xml:space="preserve"> and 16882 patients did not. The overall age distributions between the two groups were comparable in both 2016 and 2017 (Supplementary Tables 1 and 2). The incidence of neuropathy was greater in statin users than in statin non-users in 2016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582/17413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3.34%</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477/17267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2.76%</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00017</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In 2017, statin users had a greater incidence of neuropathy compared with statin non-users, but this difference was not statistically significant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562/18707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3.00%</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449/16882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2.66%</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0.0507</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However, comparisons after PS matching showed similar results in both 2016 and 2017, such that the incidence of neuropathy was greater in statin users than in statin non-users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2016: 579/17267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3.35%</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477/17267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2.76%</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0.0014; 2017: 523/16882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3.10%</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449/16882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2.66%</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0.0160; Table 1</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p>
    <w:p w14:paraId="52EF6C90" w14:textId="64D39AC4"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Metformin therapy analyses showed that 30683 patients received metformin therapy</w:t>
      </w:r>
      <w:r w:rsidR="002640F5">
        <w:rPr>
          <w:rFonts w:ascii="Book Antiqua" w:eastAsia="Book Antiqua" w:hAnsi="Book Antiqua" w:cs="Book Antiqua"/>
          <w:color w:val="000000"/>
        </w:rPr>
        <w:t>,</w:t>
      </w:r>
      <w:r w:rsidRPr="002D79FB">
        <w:rPr>
          <w:rFonts w:ascii="Book Antiqua" w:eastAsia="Book Antiqua" w:hAnsi="Book Antiqua" w:cs="Book Antiqua"/>
          <w:color w:val="000000"/>
        </w:rPr>
        <w:t xml:space="preserve"> and 3922 patients did not receive metformin therapy in 2016. In 2017, 31624 patients received metformin therapy</w:t>
      </w:r>
      <w:r w:rsidR="002640F5">
        <w:rPr>
          <w:rFonts w:ascii="Book Antiqua" w:eastAsia="Book Antiqua" w:hAnsi="Book Antiqua" w:cs="Book Antiqua"/>
          <w:color w:val="000000"/>
        </w:rPr>
        <w:t>,</w:t>
      </w:r>
      <w:r w:rsidRPr="002D79FB">
        <w:rPr>
          <w:rFonts w:ascii="Book Antiqua" w:eastAsia="Book Antiqua" w:hAnsi="Book Antiqua" w:cs="Book Antiqua"/>
          <w:color w:val="000000"/>
        </w:rPr>
        <w:t xml:space="preserve"> and 4004 patients did not. The overall age distribution did </w:t>
      </w:r>
      <w:r w:rsidRPr="002D79FB">
        <w:rPr>
          <w:rFonts w:ascii="Book Antiqua" w:eastAsia="Book Antiqua" w:hAnsi="Book Antiqua" w:cs="Book Antiqua"/>
          <w:color w:val="000000"/>
        </w:rPr>
        <w:lastRenderedPageBreak/>
        <w:t xml:space="preserve">not differ significantly between the two groups in 2016 or 2017 (Supplementary Tables 3 and 4). The incidence of neuropathy was lower in metformin users than in metformin non-users in 2016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914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2.98%</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158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4.03%</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0.0004</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In 2017, metformin users had a reduced incidence of neuropathy compared with metformin non-users, but this difference was not statistically significant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959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3.03%</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143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3.57%</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0.0635</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Comparisons after PS matching showed lower incidences of neuropathy in metformin users in both 2016 and 2017 (Table 2).</w:t>
      </w:r>
    </w:p>
    <w:p w14:paraId="4624A31C" w14:textId="24E549EA"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 xml:space="preserve">Combined statin + metformin therapy analyses showed that 14524 patients received both therapies in 2016, but 2175 patients received neither therapy. In 2017, 16096 received both therapies, but 2040 patients received neither therapy. The age distributions were comparable between statin + metformin users and non-users in both 2016 and 2017 (Supplementary Tables 5 and 6). In 2016, statin + metformin users had a lower incidence of neuropathy compared with statin + metformin non-users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438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3.02%</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83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3.82%</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0.0452</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This difference was also present in 2017 but was not statistically significant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472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2.93%</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65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3.19%</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0.5239</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Comparisons after PS matching showed that the incidences of neuropathy were comparable between the two groups in both 2016 and 2017 (Table 3).</w:t>
      </w:r>
    </w:p>
    <w:p w14:paraId="06923800" w14:textId="77777777" w:rsidR="00A77B3E" w:rsidRPr="002D79FB" w:rsidRDefault="00A77B3E" w:rsidP="002D79FB">
      <w:pPr>
        <w:spacing w:line="360" w:lineRule="auto"/>
        <w:ind w:firstLine="709"/>
        <w:jc w:val="both"/>
        <w:rPr>
          <w:rFonts w:ascii="Book Antiqua" w:hAnsi="Book Antiqua"/>
        </w:rPr>
      </w:pPr>
    </w:p>
    <w:p w14:paraId="327B0EC6" w14:textId="77777777" w:rsidR="00A77B3E" w:rsidRPr="002D79FB" w:rsidRDefault="00C42C9E" w:rsidP="002D79FB">
      <w:pPr>
        <w:spacing w:line="360" w:lineRule="auto"/>
        <w:jc w:val="both"/>
        <w:rPr>
          <w:rFonts w:ascii="Book Antiqua" w:hAnsi="Book Antiqua"/>
          <w:b/>
          <w:bCs/>
        </w:rPr>
      </w:pPr>
      <w:r w:rsidRPr="002D79FB">
        <w:rPr>
          <w:rFonts w:ascii="Book Antiqua" w:eastAsia="Book Antiqua" w:hAnsi="Book Antiqua" w:cs="Book Antiqua"/>
          <w:b/>
          <w:bCs/>
          <w:i/>
          <w:color w:val="000000"/>
        </w:rPr>
        <w:t>Risks of neuropathy in statin/metformin/statin + metformin users</w:t>
      </w:r>
    </w:p>
    <w:p w14:paraId="35F2934E" w14:textId="37D3B33E"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Logistic regression analysis demonstrated that statin therapy was significantly and positively associated with neuropathy incidence in both 2016 and 2017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PS-matched OR = 1.22, 95% confidence interval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CI</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1.08</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1.38; PS-matched OR = 1.17, 95%CI: 1.03</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1.33, respectively</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Furthermore, metformin therapy was consistently negatively associated with neuropathy incidence in both 2016 and 2017 (PS-matched OR = 0.30, 95%CI: 0.21</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0.42; PS-matched OR = 0.44, 95%CI: 0.32</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0.60, respectively). Combined statin + metformin therapy was not associated with a significant risk of neuropathy in 2016 or 2017. The results of logistic regression analyses are summarized in Table 4. </w:t>
      </w:r>
    </w:p>
    <w:p w14:paraId="3609D4DA" w14:textId="77777777" w:rsidR="00A77B3E" w:rsidRPr="002D79FB" w:rsidRDefault="00A77B3E" w:rsidP="002D79FB">
      <w:pPr>
        <w:spacing w:line="360" w:lineRule="auto"/>
        <w:jc w:val="both"/>
        <w:rPr>
          <w:rFonts w:ascii="Book Antiqua" w:hAnsi="Book Antiqua"/>
        </w:rPr>
      </w:pPr>
    </w:p>
    <w:p w14:paraId="32378DE8"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DISCUSSION</w:t>
      </w:r>
    </w:p>
    <w:p w14:paraId="184BC78A" w14:textId="6136AB48" w:rsidR="00A77B3E" w:rsidRPr="002D79FB" w:rsidRDefault="00C42C9E" w:rsidP="002D79FB">
      <w:pPr>
        <w:spacing w:line="360" w:lineRule="auto"/>
        <w:jc w:val="both"/>
        <w:rPr>
          <w:rFonts w:ascii="Book Antiqua" w:hAnsi="Book Antiqua"/>
        </w:rPr>
      </w:pPr>
      <w:bookmarkStart w:id="17" w:name="OLE_LINK18"/>
      <w:r w:rsidRPr="002D79FB">
        <w:rPr>
          <w:rFonts w:ascii="Book Antiqua" w:eastAsia="Book Antiqua" w:hAnsi="Book Antiqua" w:cs="Book Antiqua"/>
          <w:color w:val="000000"/>
        </w:rPr>
        <w:lastRenderedPageBreak/>
        <w:t>In the present study, we demonstrated an elevated risk of neuropathy among statin users and a reduced risk of neuropathy among metformin users in patients with T2DM. Notably, combined statin + metformin therapy was not associated with new-onset neuropathy in patients with T2DM. These findings were based on real-world insurance claims data from the Korean population. Statins can cause neuropathy, and impaired mitochondrial transport and a reduction in vitamin E level</w:t>
      </w:r>
      <w:r w:rsidR="00DF0924">
        <w:rPr>
          <w:rFonts w:ascii="Book Antiqua" w:eastAsia="Book Antiqua" w:hAnsi="Book Antiqua" w:cs="Book Antiqua"/>
          <w:color w:val="000000"/>
        </w:rPr>
        <w:t>s</w:t>
      </w:r>
      <w:r w:rsidRPr="002D79FB">
        <w:rPr>
          <w:rFonts w:ascii="Book Antiqua" w:eastAsia="Book Antiqua" w:hAnsi="Book Antiqua" w:cs="Book Antiqua"/>
          <w:color w:val="000000"/>
        </w:rPr>
        <w:t xml:space="preserve"> have been proposed as underlying mechanisms</w:t>
      </w:r>
      <w:r w:rsidRPr="002D79FB">
        <w:rPr>
          <w:rFonts w:ascii="Book Antiqua" w:eastAsia="Book Antiqua" w:hAnsi="Book Antiqua" w:cs="Book Antiqua"/>
          <w:color w:val="000000"/>
          <w:vertAlign w:val="superscript"/>
        </w:rPr>
        <w:t>[16]</w:t>
      </w:r>
      <w:r w:rsidRPr="002D79FB">
        <w:rPr>
          <w:rFonts w:ascii="Book Antiqua" w:eastAsia="Book Antiqua" w:hAnsi="Book Antiqua" w:cs="Book Antiqua"/>
          <w:color w:val="000000"/>
        </w:rPr>
        <w:t>. An analysis of 757 patients with diabetes revealed a significantly greater relative risk of peripheral neuropathy in patients with diabetes who were receiving statin therapy</w:t>
      </w:r>
      <w:r w:rsidRPr="002D79FB">
        <w:rPr>
          <w:rFonts w:ascii="Book Antiqua" w:eastAsia="Book Antiqua" w:hAnsi="Book Antiqua" w:cs="Book Antiqua"/>
          <w:color w:val="000000"/>
          <w:vertAlign w:val="superscript"/>
        </w:rPr>
        <w:t>[6]</w:t>
      </w:r>
      <w:r w:rsidRPr="002D79FB">
        <w:rPr>
          <w:rFonts w:ascii="Book Antiqua" w:eastAsia="Book Antiqua" w:hAnsi="Book Antiqua" w:cs="Book Antiqua"/>
          <w:color w:val="000000"/>
        </w:rPr>
        <w:t>. Our results included a larger sample size than in previous studies and confirmed the elevated risk of neuropathy in patients with T2DM during statin therapy.</w:t>
      </w:r>
    </w:p>
    <w:p w14:paraId="3A90DD86" w14:textId="0B516164" w:rsidR="00DF0924" w:rsidRDefault="00C42C9E" w:rsidP="002D79FB">
      <w:pPr>
        <w:spacing w:line="360" w:lineRule="auto"/>
        <w:ind w:firstLineChars="100" w:firstLine="240"/>
        <w:jc w:val="both"/>
        <w:rPr>
          <w:rFonts w:ascii="Book Antiqua" w:eastAsia="Book Antiqua" w:hAnsi="Book Antiqua" w:cs="Book Antiqua"/>
          <w:color w:val="000000"/>
        </w:rPr>
      </w:pPr>
      <w:r w:rsidRPr="002D79FB">
        <w:rPr>
          <w:rFonts w:ascii="Book Antiqua" w:eastAsia="Book Antiqua" w:hAnsi="Book Antiqua" w:cs="Book Antiqua"/>
          <w:color w:val="000000"/>
        </w:rPr>
        <w:t>The influence of metformin therapy on neuropathy incidence is not yet established. Strict control of hyperglycemia is the most important treatment principle for preventing diabetic microvascular complications including neuropathy</w:t>
      </w:r>
      <w:r w:rsidRPr="002D79FB">
        <w:rPr>
          <w:rFonts w:ascii="Book Antiqua" w:eastAsia="Book Antiqua" w:hAnsi="Book Antiqua" w:cs="Book Antiqua"/>
          <w:color w:val="000000"/>
          <w:vertAlign w:val="superscript"/>
        </w:rPr>
        <w:t>[17]</w:t>
      </w:r>
      <w:r w:rsidRPr="002D79FB">
        <w:rPr>
          <w:rFonts w:ascii="Book Antiqua" w:eastAsia="Book Antiqua" w:hAnsi="Book Antiqua" w:cs="Book Antiqua"/>
          <w:color w:val="000000"/>
        </w:rPr>
        <w:t xml:space="preserve">, and metformin exerts anti-diabetic effects </w:t>
      </w:r>
      <w:r w:rsidRPr="002D79FB">
        <w:rPr>
          <w:rFonts w:ascii="Book Antiqua" w:eastAsia="Book Antiqua" w:hAnsi="Book Antiqua" w:cs="Book Antiqua"/>
          <w:i/>
          <w:iCs/>
          <w:color w:val="000000"/>
        </w:rPr>
        <w:t>via</w:t>
      </w:r>
      <w:r w:rsidRPr="002D79FB">
        <w:rPr>
          <w:rFonts w:ascii="Book Antiqua" w:eastAsia="Book Antiqua" w:hAnsi="Book Antiqua" w:cs="Book Antiqua"/>
          <w:color w:val="000000"/>
        </w:rPr>
        <w:t xml:space="preserve"> several mechanisms. Therefore, metformin can function to prevent the onset of diabetic neuropathy. In an animal study, metformin treatment protected against neural damage by increasing the levels of neural growth factor, vascular endothelial growth factor and anti-inflammatory factors</w:t>
      </w:r>
      <w:r w:rsidRPr="002D79FB">
        <w:rPr>
          <w:rFonts w:ascii="Book Antiqua" w:eastAsia="Book Antiqua" w:hAnsi="Book Antiqua" w:cs="Book Antiqua"/>
          <w:color w:val="000000"/>
          <w:vertAlign w:val="superscript"/>
        </w:rPr>
        <w:t>[18]</w:t>
      </w:r>
      <w:r w:rsidRPr="002D79FB">
        <w:rPr>
          <w:rFonts w:ascii="Book Antiqua" w:eastAsia="Book Antiqua" w:hAnsi="Book Antiqua" w:cs="Book Antiqua"/>
          <w:color w:val="000000"/>
        </w:rPr>
        <w:t>. Another animal study demonstrated that metformin preserved peripheral nerve fiber density and that the beneficial effects of metformin were comparable with those of alpha lipoic acid, an antioxidant used in the clinical treatment of diabetic neuropathy</w:t>
      </w:r>
      <w:r w:rsidRPr="002D79FB">
        <w:rPr>
          <w:rFonts w:ascii="Book Antiqua" w:eastAsia="Book Antiqua" w:hAnsi="Book Antiqua" w:cs="Book Antiqua"/>
          <w:color w:val="000000"/>
          <w:vertAlign w:val="superscript"/>
        </w:rPr>
        <w:t>[19]</w:t>
      </w:r>
      <w:r w:rsidRPr="002D79FB">
        <w:rPr>
          <w:rFonts w:ascii="Book Antiqua" w:eastAsia="Book Antiqua" w:hAnsi="Book Antiqua" w:cs="Book Antiqua"/>
          <w:color w:val="000000"/>
        </w:rPr>
        <w:t xml:space="preserve">. </w:t>
      </w:r>
    </w:p>
    <w:p w14:paraId="2E32ACD6" w14:textId="4C11E277"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By contrast, metformin causes vitamin B12 deficiency and may subsequently induce diabetic neuropathy</w:t>
      </w:r>
      <w:r w:rsidRPr="002D79FB">
        <w:rPr>
          <w:rFonts w:ascii="Book Antiqua" w:eastAsia="Book Antiqua" w:hAnsi="Book Antiqua" w:cs="Book Antiqua"/>
          <w:color w:val="000000"/>
          <w:vertAlign w:val="superscript"/>
        </w:rPr>
        <w:t>[20]</w:t>
      </w:r>
      <w:r w:rsidRPr="002D79FB">
        <w:rPr>
          <w:rFonts w:ascii="Book Antiqua" w:eastAsia="Book Antiqua" w:hAnsi="Book Antiqua" w:cs="Book Antiqua"/>
          <w:color w:val="000000"/>
        </w:rPr>
        <w:t xml:space="preserve">. In a cross-sectional study, low to borderline vitamin B12 </w:t>
      </w:r>
      <w:r w:rsidR="005E4F1D" w:rsidRPr="002D79FB">
        <w:rPr>
          <w:rFonts w:ascii="Book Antiqua" w:eastAsia="Book Antiqua" w:hAnsi="Book Antiqua" w:cs="Book Antiqua"/>
          <w:color w:val="000000"/>
        </w:rPr>
        <w:t>l</w:t>
      </w:r>
      <w:r w:rsidRPr="002D79FB">
        <w:rPr>
          <w:rFonts w:ascii="Book Antiqua" w:eastAsia="Book Antiqua" w:hAnsi="Book Antiqua" w:cs="Book Antiqua"/>
          <w:color w:val="000000"/>
        </w:rPr>
        <w:t xml:space="preserve">evels were more common in patients with diabetic neuropathy than in patients without (64%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17%)</w:t>
      </w:r>
      <w:r w:rsidRPr="002D79FB">
        <w:rPr>
          <w:rFonts w:ascii="Book Antiqua" w:eastAsia="Book Antiqua" w:hAnsi="Book Antiqua" w:cs="Book Antiqua"/>
          <w:color w:val="000000"/>
          <w:vertAlign w:val="superscript"/>
        </w:rPr>
        <w:t>[9]</w:t>
      </w:r>
      <w:r w:rsidRPr="002D79FB">
        <w:rPr>
          <w:rFonts w:ascii="Book Antiqua" w:eastAsia="Book Antiqua" w:hAnsi="Book Antiqua" w:cs="Book Antiqua"/>
          <w:color w:val="000000"/>
        </w:rPr>
        <w:t xml:space="preserve">. However, another study demonstrated a non-significant association between metformin therapy and vitamin B12 </w:t>
      </w:r>
      <w:r w:rsidR="005E4F1D" w:rsidRPr="002D79FB">
        <w:rPr>
          <w:rFonts w:ascii="Book Antiqua" w:eastAsia="Book Antiqua" w:hAnsi="Book Antiqua" w:cs="Book Antiqua"/>
          <w:color w:val="000000"/>
        </w:rPr>
        <w:t>l</w:t>
      </w:r>
      <w:r w:rsidRPr="002D79FB">
        <w:rPr>
          <w:rFonts w:ascii="Book Antiqua" w:eastAsia="Book Antiqua" w:hAnsi="Book Antiqua" w:cs="Book Antiqua"/>
          <w:color w:val="000000"/>
        </w:rPr>
        <w:t xml:space="preserve">evels and showed that vitamin B12 </w:t>
      </w:r>
      <w:r w:rsidR="005E4F1D" w:rsidRPr="002D79FB">
        <w:rPr>
          <w:rFonts w:ascii="Book Antiqua" w:eastAsia="Book Antiqua" w:hAnsi="Book Antiqua" w:cs="Book Antiqua"/>
          <w:color w:val="000000"/>
        </w:rPr>
        <w:t>l</w:t>
      </w:r>
      <w:r w:rsidRPr="002D79FB">
        <w:rPr>
          <w:rFonts w:ascii="Book Antiqua" w:eastAsia="Book Antiqua" w:hAnsi="Book Antiqua" w:cs="Book Antiqua"/>
          <w:color w:val="000000"/>
        </w:rPr>
        <w:t>evels were not associated with the severity or prevalence of neuropathy in patients with T2DM</w:t>
      </w:r>
      <w:r w:rsidRPr="002D79FB">
        <w:rPr>
          <w:rFonts w:ascii="Book Antiqua" w:eastAsia="Book Antiqua" w:hAnsi="Book Antiqua" w:cs="Book Antiqua"/>
          <w:color w:val="000000"/>
          <w:vertAlign w:val="superscript"/>
        </w:rPr>
        <w:t>[10]</w:t>
      </w:r>
      <w:r w:rsidRPr="002D79FB">
        <w:rPr>
          <w:rFonts w:ascii="Book Antiqua" w:eastAsia="Book Antiqua" w:hAnsi="Book Antiqua" w:cs="Book Antiqua"/>
          <w:color w:val="000000"/>
        </w:rPr>
        <w:t xml:space="preserve">. The vitamin B12 reductions were dose-dependent in patients with T2DM who were receiving metformin therapy, and patients with metformin daily doses greater than </w:t>
      </w:r>
      <w:r w:rsidRPr="002D79FB">
        <w:rPr>
          <w:rFonts w:ascii="Book Antiqua" w:eastAsia="Book Antiqua" w:hAnsi="Book Antiqua" w:cs="Book Antiqua"/>
          <w:color w:val="000000"/>
        </w:rPr>
        <w:lastRenderedPageBreak/>
        <w:t>1500 mg had a significant risk of vitamin B12 deficiency</w:t>
      </w:r>
      <w:r w:rsidRPr="002D79FB">
        <w:rPr>
          <w:rFonts w:ascii="Book Antiqua" w:eastAsia="Book Antiqua" w:hAnsi="Book Antiqua" w:cs="Book Antiqua"/>
          <w:color w:val="000000"/>
          <w:vertAlign w:val="superscript"/>
        </w:rPr>
        <w:t>[21]</w:t>
      </w:r>
      <w:r w:rsidRPr="002D79FB">
        <w:rPr>
          <w:rFonts w:ascii="Book Antiqua" w:eastAsia="Book Antiqua" w:hAnsi="Book Antiqua" w:cs="Book Antiqua"/>
          <w:color w:val="000000"/>
        </w:rPr>
        <w:t xml:space="preserve">. In the present study, we found a reduced risk of neuropathy in patients with T2DM who were receiving metformin therapy. Further studies to stratify patients according to metformin daily doses and prospectively collect vitamin B12 and blood glucose levels could reveal whether metformin dose influences the incidence of neuropathy and which aspect (vitamin B12 or blood glucose) more strongly influences neuropathy development during metformin therapy. </w:t>
      </w:r>
    </w:p>
    <w:p w14:paraId="691D4DF4" w14:textId="78B0315F"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We demonstrated that combined metformin + statin therapy did not enhance or reduce the risk of neuropathy in patients with T2DM, although statin therapy enhanced the risk of neuropathy and metformin therapy reduced the risk of neuropathy in these patients. The present results do not clearly indicate whether concomitant metformin administration can reduce the risk of statin-induced neuropathy in patients with T2DM because the findings were based on epidemiological data. However, metformin is regarded as background anti-diabetic medication and is used in most patients with T2DM, except those with contraindications or severe metformin-related side effects</w:t>
      </w:r>
      <w:r w:rsidRPr="002D79FB">
        <w:rPr>
          <w:rFonts w:ascii="Book Antiqua" w:eastAsia="Book Antiqua" w:hAnsi="Book Antiqua" w:cs="Book Antiqua"/>
          <w:color w:val="000000"/>
          <w:vertAlign w:val="superscript"/>
        </w:rPr>
        <w:t>[4,8]</w:t>
      </w:r>
      <w:r w:rsidRPr="002D79FB">
        <w:rPr>
          <w:rFonts w:ascii="Book Antiqua" w:eastAsia="Book Antiqua" w:hAnsi="Book Antiqua" w:cs="Book Antiqua"/>
          <w:color w:val="000000"/>
        </w:rPr>
        <w:t xml:space="preserve">. Our results suggest a beneficial effect of metformin in terms of reducing the risk of neuropathy, especially in patients with T2DM who are receiving statin therapy. </w:t>
      </w:r>
    </w:p>
    <w:p w14:paraId="24447D08" w14:textId="77777777"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There were some limitations in the present study. First, the data were retrospectively collected and did not include important baseline characteristics (</w:t>
      </w:r>
      <w:r w:rsidRPr="002D79FB">
        <w:rPr>
          <w:rFonts w:ascii="Book Antiqua" w:eastAsia="Book Antiqua" w:hAnsi="Book Antiqua" w:cs="Book Antiqua"/>
          <w:i/>
          <w:iCs/>
          <w:color w:val="000000"/>
        </w:rPr>
        <w:t>e.g</w:t>
      </w:r>
      <w:r w:rsidRPr="002D79FB">
        <w:rPr>
          <w:rFonts w:ascii="Book Antiqua" w:eastAsia="Book Antiqua" w:hAnsi="Book Antiqua" w:cs="Book Antiqua"/>
          <w:color w:val="000000"/>
        </w:rPr>
        <w:t xml:space="preserve">., duration of T2DM and doses of each medication). Although PS matching was used to reduce the effects of confounders, unidentified confounders or selection biases might have been present. Therefore, the enhanced neuropathy risk associated with statin therapy does not directly indicate a role for statins in the onset of neuropathy. Similarly, the reduced neuropathy risk associated with metformin therapy does not directly indicate a protective role of metformin against the onset of neuropathy. Second, claims data have intrinsic limitations in terms of possible misdiagnosis and </w:t>
      </w:r>
      <w:proofErr w:type="spellStart"/>
      <w:r w:rsidRPr="002D79FB">
        <w:rPr>
          <w:rFonts w:ascii="Book Antiqua" w:eastAsia="Book Antiqua" w:hAnsi="Book Antiqua" w:cs="Book Antiqua"/>
          <w:color w:val="000000"/>
        </w:rPr>
        <w:t>misprescription</w:t>
      </w:r>
      <w:proofErr w:type="spellEnd"/>
      <w:r w:rsidRPr="002D79FB">
        <w:rPr>
          <w:rFonts w:ascii="Book Antiqua" w:eastAsia="Book Antiqua" w:hAnsi="Book Antiqua" w:cs="Book Antiqua"/>
          <w:color w:val="000000"/>
        </w:rPr>
        <w:t xml:space="preserve">, and it is difficult to distinguish between T2DM-induced and medication-induced neuropathies. However, HIRA-NPS data are extracted from the overall Korean population and are therefore suitable for the assessment of specific disease risks. Third, HIRA-NPS data </w:t>
      </w:r>
      <w:r w:rsidRPr="002D79FB">
        <w:rPr>
          <w:rFonts w:ascii="Book Antiqua" w:eastAsia="Book Antiqua" w:hAnsi="Book Antiqua" w:cs="Book Antiqua"/>
          <w:color w:val="000000"/>
        </w:rPr>
        <w:lastRenderedPageBreak/>
        <w:t xml:space="preserve">only provide 1-year follow-up data for each index year, which is a relatively short time period. Fourth, although the NPS sample was collected using a stratification strategy and could be analyzed easily, it only included approximately 3% of the overall health insurance claims data. Therefore, the analysis of data collected over longer time periods from larger samples should be performed in future studies. Furthermore, </w:t>
      </w:r>
      <w:r w:rsidRPr="002D79FB">
        <w:rPr>
          <w:rFonts w:ascii="Book Antiqua" w:eastAsia="Book Antiqua" w:hAnsi="Book Antiqua" w:cs="Book Antiqua"/>
          <w:i/>
          <w:iCs/>
          <w:color w:val="000000"/>
        </w:rPr>
        <w:t>in vivo</w:t>
      </w:r>
      <w:r w:rsidRPr="002D79FB">
        <w:rPr>
          <w:rFonts w:ascii="Book Antiqua" w:eastAsia="Book Antiqua" w:hAnsi="Book Antiqua" w:cs="Book Antiqua"/>
          <w:color w:val="000000"/>
        </w:rPr>
        <w:t xml:space="preserve"> and </w:t>
      </w:r>
      <w:r w:rsidRPr="002D79FB">
        <w:rPr>
          <w:rFonts w:ascii="Book Antiqua" w:eastAsia="Book Antiqua" w:hAnsi="Book Antiqua" w:cs="Book Antiqua"/>
          <w:i/>
          <w:iCs/>
          <w:color w:val="000000"/>
        </w:rPr>
        <w:t>in vitro</w:t>
      </w:r>
      <w:r w:rsidRPr="002D79FB">
        <w:rPr>
          <w:rFonts w:ascii="Book Antiqua" w:eastAsia="Book Antiqua" w:hAnsi="Book Antiqua" w:cs="Book Antiqua"/>
          <w:color w:val="000000"/>
        </w:rPr>
        <w:t xml:space="preserve"> basic research is needed to determine the mechanisms by which statins and metformin contribute to the onset or prevention of neuropathy.</w:t>
      </w:r>
    </w:p>
    <w:bookmarkEnd w:id="17"/>
    <w:p w14:paraId="727D6B41" w14:textId="77777777" w:rsidR="00A77B3E" w:rsidRPr="002D79FB" w:rsidRDefault="00A77B3E" w:rsidP="002D79FB">
      <w:pPr>
        <w:spacing w:line="360" w:lineRule="auto"/>
        <w:jc w:val="both"/>
        <w:rPr>
          <w:rFonts w:ascii="Book Antiqua" w:hAnsi="Book Antiqua"/>
        </w:rPr>
      </w:pPr>
    </w:p>
    <w:p w14:paraId="5088842A"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CONCLUSION</w:t>
      </w:r>
    </w:p>
    <w:p w14:paraId="20431A4C" w14:textId="2F496BF5" w:rsidR="00A77B3E" w:rsidRPr="002D79FB" w:rsidRDefault="00C42C9E" w:rsidP="002D79FB">
      <w:pPr>
        <w:spacing w:line="360" w:lineRule="auto"/>
        <w:jc w:val="both"/>
        <w:rPr>
          <w:rFonts w:ascii="Book Antiqua" w:hAnsi="Book Antiqua"/>
        </w:rPr>
      </w:pPr>
      <w:bookmarkStart w:id="18" w:name="OLE_LINK19"/>
      <w:r w:rsidRPr="002D79FB">
        <w:rPr>
          <w:rFonts w:ascii="Book Antiqua" w:eastAsia="Book Antiqua" w:hAnsi="Book Antiqua" w:cs="Book Antiqua"/>
          <w:color w:val="000000"/>
        </w:rPr>
        <w:t xml:space="preserve">We demonstrated the influence of statin and metformin therapies on the incidence of neuropathy in patients with T2DM. Statin therapy enhanced the risk of neuropathy in patients with T2DM, whereas metformin therapy reduced this risk. Combined statin + metformin therapy did not have a significant impact on the incidence of neuropathy. Therefore, when prescribing statin therapy for patients with T2DM, physicians should assess the potential for neuropathy development and consider the addition of metformin to reduce this risk. </w:t>
      </w:r>
    </w:p>
    <w:bookmarkEnd w:id="18"/>
    <w:p w14:paraId="4954A3AF" w14:textId="77777777" w:rsidR="00A77B3E" w:rsidRPr="002D79FB" w:rsidRDefault="00A77B3E" w:rsidP="002D79FB">
      <w:pPr>
        <w:spacing w:line="360" w:lineRule="auto"/>
        <w:jc w:val="both"/>
        <w:rPr>
          <w:rFonts w:ascii="Book Antiqua" w:hAnsi="Book Antiqua"/>
        </w:rPr>
      </w:pPr>
    </w:p>
    <w:p w14:paraId="4F1854C1"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ARTICLE HIGHLIGHTS</w:t>
      </w:r>
    </w:p>
    <w:p w14:paraId="7378445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background</w:t>
      </w:r>
    </w:p>
    <w:p w14:paraId="67E25103" w14:textId="08A8A208" w:rsidR="00A77B3E" w:rsidRPr="002D79FB" w:rsidRDefault="00C42C9E" w:rsidP="002D79FB">
      <w:pPr>
        <w:spacing w:line="360" w:lineRule="auto"/>
        <w:jc w:val="both"/>
        <w:rPr>
          <w:rFonts w:ascii="Book Antiqua" w:hAnsi="Book Antiqua"/>
        </w:rPr>
      </w:pPr>
      <w:bookmarkStart w:id="19" w:name="OLE_LINK20"/>
      <w:r w:rsidRPr="002D79FB">
        <w:rPr>
          <w:rFonts w:ascii="Book Antiqua" w:eastAsia="Book Antiqua" w:hAnsi="Book Antiqua" w:cs="Book Antiqua"/>
          <w:color w:val="000000"/>
        </w:rPr>
        <w:t>Statin and metformin are widely used medication</w:t>
      </w:r>
      <w:r w:rsidR="00DF0924">
        <w:rPr>
          <w:rFonts w:ascii="Book Antiqua" w:eastAsia="Book Antiqua" w:hAnsi="Book Antiqua" w:cs="Book Antiqua"/>
          <w:color w:val="000000"/>
        </w:rPr>
        <w:t>s</w:t>
      </w:r>
      <w:r w:rsidRPr="002D79FB">
        <w:rPr>
          <w:rFonts w:ascii="Book Antiqua" w:eastAsia="Book Antiqua" w:hAnsi="Book Antiqua" w:cs="Book Antiqua"/>
          <w:color w:val="000000"/>
        </w:rPr>
        <w:t xml:space="preserve"> in patients with type 2 diabetes mellitus (T2DM). These medication</w:t>
      </w:r>
      <w:r w:rsidR="00DF0924">
        <w:rPr>
          <w:rFonts w:ascii="Book Antiqua" w:eastAsia="Book Antiqua" w:hAnsi="Book Antiqua" w:cs="Book Antiqua"/>
          <w:color w:val="000000"/>
        </w:rPr>
        <w:t>s</w:t>
      </w:r>
      <w:r w:rsidRPr="002D79FB">
        <w:rPr>
          <w:rFonts w:ascii="Book Antiqua" w:eastAsia="Book Antiqua" w:hAnsi="Book Antiqua" w:cs="Book Antiqua"/>
          <w:color w:val="000000"/>
        </w:rPr>
        <w:t xml:space="preserve"> ha</w:t>
      </w:r>
      <w:r w:rsidR="00DF0924">
        <w:rPr>
          <w:rFonts w:ascii="Book Antiqua" w:eastAsia="Book Antiqua" w:hAnsi="Book Antiqua" w:cs="Book Antiqua"/>
          <w:color w:val="000000"/>
        </w:rPr>
        <w:t>ve</w:t>
      </w:r>
      <w:r w:rsidRPr="002D79FB">
        <w:rPr>
          <w:rFonts w:ascii="Book Antiqua" w:eastAsia="Book Antiqua" w:hAnsi="Book Antiqua" w:cs="Book Antiqua"/>
          <w:color w:val="000000"/>
        </w:rPr>
        <w:t xml:space="preserve"> been claimed as causative agents for neuropathy.</w:t>
      </w:r>
    </w:p>
    <w:bookmarkEnd w:id="19"/>
    <w:p w14:paraId="704ABBB9" w14:textId="77777777" w:rsidR="00A77B3E" w:rsidRPr="002D79FB" w:rsidRDefault="00A77B3E" w:rsidP="002D79FB">
      <w:pPr>
        <w:spacing w:line="360" w:lineRule="auto"/>
        <w:jc w:val="both"/>
        <w:rPr>
          <w:rFonts w:ascii="Book Antiqua" w:hAnsi="Book Antiqua"/>
        </w:rPr>
      </w:pPr>
    </w:p>
    <w:p w14:paraId="7E10AE07"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motivation</w:t>
      </w:r>
    </w:p>
    <w:p w14:paraId="60F12C44" w14:textId="43E19B52" w:rsidR="00A77B3E" w:rsidRPr="002D79FB" w:rsidRDefault="00C42C9E" w:rsidP="002D79FB">
      <w:pPr>
        <w:spacing w:line="360" w:lineRule="auto"/>
        <w:jc w:val="both"/>
        <w:rPr>
          <w:rFonts w:ascii="Book Antiqua" w:hAnsi="Book Antiqua"/>
        </w:rPr>
      </w:pPr>
      <w:bookmarkStart w:id="20" w:name="OLE_LINK21"/>
      <w:r w:rsidRPr="002D79FB">
        <w:rPr>
          <w:rFonts w:ascii="Book Antiqua" w:eastAsia="Book Antiqua" w:hAnsi="Book Antiqua" w:cs="Book Antiqua"/>
          <w:color w:val="000000"/>
        </w:rPr>
        <w:t>To identify the incidence and risk of statin, metformin and statin + metformin therapy on new onset neuropathy.</w:t>
      </w:r>
    </w:p>
    <w:bookmarkEnd w:id="20"/>
    <w:p w14:paraId="1F3C11EF" w14:textId="77777777" w:rsidR="00A77B3E" w:rsidRPr="002D79FB" w:rsidRDefault="00A77B3E" w:rsidP="002D79FB">
      <w:pPr>
        <w:spacing w:line="360" w:lineRule="auto"/>
        <w:jc w:val="both"/>
        <w:rPr>
          <w:rFonts w:ascii="Book Antiqua" w:hAnsi="Book Antiqua"/>
        </w:rPr>
      </w:pPr>
    </w:p>
    <w:p w14:paraId="5E88C082"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objectives</w:t>
      </w:r>
    </w:p>
    <w:p w14:paraId="3F4E2E64" w14:textId="701C6656" w:rsidR="00A77B3E" w:rsidRPr="002D79FB" w:rsidRDefault="00C42C9E" w:rsidP="002D79FB">
      <w:pPr>
        <w:spacing w:line="360" w:lineRule="auto"/>
        <w:jc w:val="both"/>
        <w:rPr>
          <w:rFonts w:ascii="Book Antiqua" w:hAnsi="Book Antiqua"/>
        </w:rPr>
      </w:pPr>
      <w:bookmarkStart w:id="21" w:name="OLE_LINK22"/>
      <w:r w:rsidRPr="002D79FB">
        <w:rPr>
          <w:rFonts w:ascii="Book Antiqua" w:eastAsia="Book Antiqua" w:hAnsi="Book Antiqua" w:cs="Book Antiqua"/>
          <w:color w:val="000000"/>
        </w:rPr>
        <w:lastRenderedPageBreak/>
        <w:t xml:space="preserve">The incidence of neuropathy was evaluated and compared between T2DM patients who used or </w:t>
      </w:r>
      <w:r w:rsidR="00DF0924">
        <w:rPr>
          <w:rFonts w:ascii="Book Antiqua" w:eastAsia="Book Antiqua" w:hAnsi="Book Antiqua" w:cs="Book Antiqua"/>
          <w:color w:val="000000"/>
        </w:rPr>
        <w:t xml:space="preserve">did </w:t>
      </w:r>
      <w:r w:rsidRPr="002D79FB">
        <w:rPr>
          <w:rFonts w:ascii="Book Antiqua" w:eastAsia="Book Antiqua" w:hAnsi="Book Antiqua" w:cs="Book Antiqua"/>
          <w:color w:val="000000"/>
        </w:rPr>
        <w:t>not use statin/metformin/statin + metformin by using Korean Health Insurance Review and Assessment - national patient sample</w:t>
      </w:r>
      <w:r w:rsidR="00DF0924">
        <w:rPr>
          <w:rFonts w:ascii="Book Antiqua" w:eastAsia="Book Antiqua" w:hAnsi="Book Antiqua" w:cs="Book Antiqua"/>
          <w:color w:val="000000"/>
        </w:rPr>
        <w:t xml:space="preserve"> data</w:t>
      </w:r>
      <w:r w:rsidRPr="002D79FB">
        <w:rPr>
          <w:rFonts w:ascii="Book Antiqua" w:eastAsia="Book Antiqua" w:hAnsi="Book Antiqua" w:cs="Book Antiqua"/>
          <w:color w:val="000000"/>
        </w:rPr>
        <w:t>.</w:t>
      </w:r>
    </w:p>
    <w:bookmarkEnd w:id="21"/>
    <w:p w14:paraId="35569323" w14:textId="77777777" w:rsidR="00A77B3E" w:rsidRPr="002D79FB" w:rsidRDefault="00A77B3E" w:rsidP="002D79FB">
      <w:pPr>
        <w:spacing w:line="360" w:lineRule="auto"/>
        <w:jc w:val="both"/>
        <w:rPr>
          <w:rFonts w:ascii="Book Antiqua" w:hAnsi="Book Antiqua"/>
        </w:rPr>
      </w:pPr>
    </w:p>
    <w:p w14:paraId="5557734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methods</w:t>
      </w:r>
    </w:p>
    <w:p w14:paraId="16EDD178" w14:textId="431DD937" w:rsidR="00A77B3E" w:rsidRPr="002D79FB" w:rsidRDefault="00C42C9E" w:rsidP="002D79FB">
      <w:pPr>
        <w:spacing w:line="360" w:lineRule="auto"/>
        <w:jc w:val="both"/>
        <w:rPr>
          <w:rFonts w:ascii="Book Antiqua" w:hAnsi="Book Antiqua"/>
        </w:rPr>
      </w:pPr>
      <w:bookmarkStart w:id="22" w:name="OLE_LINK23"/>
      <w:r w:rsidRPr="002D79FB">
        <w:rPr>
          <w:rFonts w:ascii="Book Antiqua" w:eastAsia="Book Antiqua" w:hAnsi="Book Antiqua" w:cs="Book Antiqua"/>
          <w:color w:val="000000"/>
        </w:rPr>
        <w:t xml:space="preserve">The prospective cohort study </w:t>
      </w:r>
      <w:r w:rsidR="00DF0924">
        <w:rPr>
          <w:rFonts w:ascii="Book Antiqua" w:eastAsia="Book Antiqua" w:hAnsi="Book Antiqua" w:cs="Book Antiqua"/>
          <w:color w:val="000000"/>
        </w:rPr>
        <w:t>used</w:t>
      </w:r>
      <w:r w:rsidRPr="002D79FB">
        <w:rPr>
          <w:rFonts w:ascii="Book Antiqua" w:eastAsia="Book Antiqua" w:hAnsi="Book Antiqua" w:cs="Book Antiqua"/>
          <w:color w:val="000000"/>
        </w:rPr>
        <w:t xml:space="preserve"> nation-wide health insurance data.</w:t>
      </w:r>
    </w:p>
    <w:bookmarkEnd w:id="22"/>
    <w:p w14:paraId="3C89B34C" w14:textId="77777777" w:rsidR="00A77B3E" w:rsidRPr="002D79FB" w:rsidRDefault="00A77B3E" w:rsidP="002D79FB">
      <w:pPr>
        <w:spacing w:line="360" w:lineRule="auto"/>
        <w:jc w:val="both"/>
        <w:rPr>
          <w:rFonts w:ascii="Book Antiqua" w:hAnsi="Book Antiqua"/>
        </w:rPr>
      </w:pPr>
    </w:p>
    <w:p w14:paraId="09B0482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results</w:t>
      </w:r>
    </w:p>
    <w:p w14:paraId="4ACB9B1D" w14:textId="352C9CB9" w:rsidR="00A77B3E" w:rsidRPr="002D79FB" w:rsidRDefault="00C42C9E" w:rsidP="002D79FB">
      <w:pPr>
        <w:spacing w:line="360" w:lineRule="auto"/>
        <w:jc w:val="both"/>
        <w:rPr>
          <w:rFonts w:ascii="Book Antiqua" w:hAnsi="Book Antiqua"/>
        </w:rPr>
      </w:pPr>
      <w:bookmarkStart w:id="23" w:name="OLE_LINK24"/>
      <w:r w:rsidRPr="002D79FB">
        <w:rPr>
          <w:rFonts w:ascii="Book Antiqua" w:eastAsia="Book Antiqua" w:hAnsi="Book Antiqua" w:cs="Book Antiqua"/>
          <w:color w:val="000000"/>
        </w:rPr>
        <w:t xml:space="preserve">Statin therapy showed </w:t>
      </w:r>
      <w:r w:rsidR="00DF0924">
        <w:rPr>
          <w:rFonts w:ascii="Book Antiqua" w:eastAsia="Book Antiqua" w:hAnsi="Book Antiqua" w:cs="Book Antiqua"/>
          <w:color w:val="000000"/>
        </w:rPr>
        <w:t xml:space="preserve">a </w:t>
      </w:r>
      <w:r w:rsidRPr="002D79FB">
        <w:rPr>
          <w:rFonts w:ascii="Book Antiqua" w:eastAsia="Book Antiqua" w:hAnsi="Book Antiqua" w:cs="Book Antiqua"/>
          <w:color w:val="000000"/>
        </w:rPr>
        <w:t xml:space="preserve">positive association </w:t>
      </w:r>
      <w:r w:rsidR="00DF0924">
        <w:rPr>
          <w:rFonts w:ascii="Book Antiqua" w:eastAsia="Book Antiqua" w:hAnsi="Book Antiqua" w:cs="Book Antiqua"/>
          <w:color w:val="000000"/>
        </w:rPr>
        <w:t>(</w:t>
      </w:r>
      <w:r w:rsidR="005E4F1D" w:rsidRPr="002D79FB">
        <w:rPr>
          <w:rFonts w:ascii="Book Antiqua" w:eastAsia="Book Antiqua" w:hAnsi="Book Antiqua" w:cs="Book Antiqua"/>
          <w:color w:val="000000"/>
        </w:rPr>
        <w:t>odds ratio</w:t>
      </w:r>
      <w:r w:rsidRPr="002D79FB">
        <w:rPr>
          <w:rFonts w:ascii="Book Antiqua" w:eastAsia="Book Antiqua" w:hAnsi="Book Antiqua" w:cs="Book Antiqua"/>
          <w:color w:val="000000"/>
        </w:rPr>
        <w:t xml:space="preserve"> = 1.22, 95%</w:t>
      </w:r>
      <w:r w:rsidR="005E4F1D" w:rsidRPr="002D79FB">
        <w:rPr>
          <w:rFonts w:ascii="Book Antiqua" w:eastAsia="Book Antiqua" w:hAnsi="Book Antiqua" w:cs="Book Antiqua"/>
          <w:color w:val="000000"/>
        </w:rPr>
        <w:t xml:space="preserve"> confidence interval:</w:t>
      </w:r>
      <w:r w:rsidRPr="002D79FB">
        <w:rPr>
          <w:rFonts w:ascii="Book Antiqua" w:eastAsia="Book Antiqua" w:hAnsi="Book Antiqua" w:cs="Book Antiqua"/>
          <w:color w:val="000000"/>
        </w:rPr>
        <w:t xml:space="preserve"> 1.08-1.38</w:t>
      </w:r>
      <w:r w:rsidR="005E4F1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whereas metformin therapy showed </w:t>
      </w:r>
      <w:r w:rsidR="00DF0924">
        <w:rPr>
          <w:rFonts w:ascii="Book Antiqua" w:eastAsia="Book Antiqua" w:hAnsi="Book Antiqua" w:cs="Book Antiqua"/>
          <w:color w:val="000000"/>
        </w:rPr>
        <w:t xml:space="preserve">a </w:t>
      </w:r>
      <w:r w:rsidRPr="002D79FB">
        <w:rPr>
          <w:rFonts w:ascii="Book Antiqua" w:eastAsia="Book Antiqua" w:hAnsi="Book Antiqua" w:cs="Book Antiqua"/>
          <w:color w:val="000000"/>
        </w:rPr>
        <w:t>negative association with new onset neuropathy (</w:t>
      </w:r>
      <w:r w:rsidR="00DF0924">
        <w:rPr>
          <w:rFonts w:ascii="Book Antiqua" w:eastAsia="Book Antiqua" w:hAnsi="Book Antiqua" w:cs="Book Antiqua"/>
          <w:color w:val="000000"/>
        </w:rPr>
        <w:t>odds ratio</w:t>
      </w:r>
      <w:r w:rsidRPr="002D79FB">
        <w:rPr>
          <w:rFonts w:ascii="Book Antiqua" w:eastAsia="Book Antiqua" w:hAnsi="Book Antiqua" w:cs="Book Antiqua"/>
          <w:color w:val="000000"/>
        </w:rPr>
        <w:t xml:space="preserve"> = 0.30, 95%</w:t>
      </w:r>
      <w:r w:rsidR="00DF0924">
        <w:rPr>
          <w:rFonts w:ascii="Book Antiqua" w:eastAsia="Book Antiqua" w:hAnsi="Book Antiqua" w:cs="Book Antiqua"/>
          <w:color w:val="000000"/>
        </w:rPr>
        <w:t xml:space="preserve"> confidence interval</w:t>
      </w:r>
      <w:r w:rsidR="005E4F1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0.21-0.42) in patients with T2DM. Combination therapy of statin and metformin did not </w:t>
      </w:r>
      <w:r w:rsidR="00DF0924">
        <w:rPr>
          <w:rFonts w:ascii="Book Antiqua" w:eastAsia="Book Antiqua" w:hAnsi="Book Antiqua" w:cs="Book Antiqua"/>
          <w:color w:val="000000"/>
        </w:rPr>
        <w:t>have an e</w:t>
      </w:r>
      <w:r w:rsidRPr="002D79FB">
        <w:rPr>
          <w:rFonts w:ascii="Book Antiqua" w:eastAsia="Book Antiqua" w:hAnsi="Book Antiqua" w:cs="Book Antiqua"/>
          <w:color w:val="000000"/>
        </w:rPr>
        <w:t>ffect on new onset neuropathy of T2DM patients.</w:t>
      </w:r>
    </w:p>
    <w:bookmarkEnd w:id="23"/>
    <w:p w14:paraId="000A76D0" w14:textId="77777777" w:rsidR="00A77B3E" w:rsidRPr="002D79FB" w:rsidRDefault="00A77B3E" w:rsidP="002D79FB">
      <w:pPr>
        <w:spacing w:line="360" w:lineRule="auto"/>
        <w:jc w:val="both"/>
        <w:rPr>
          <w:rFonts w:ascii="Book Antiqua" w:hAnsi="Book Antiqua"/>
        </w:rPr>
      </w:pPr>
    </w:p>
    <w:p w14:paraId="2C7CC3C9"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conclusions</w:t>
      </w:r>
    </w:p>
    <w:p w14:paraId="496FAEAB" w14:textId="104AA3B3" w:rsidR="00A77B3E" w:rsidRPr="002D79FB" w:rsidRDefault="00C42C9E" w:rsidP="002D79FB">
      <w:pPr>
        <w:spacing w:line="360" w:lineRule="auto"/>
        <w:jc w:val="both"/>
        <w:rPr>
          <w:rFonts w:ascii="Book Antiqua" w:hAnsi="Book Antiqua"/>
        </w:rPr>
      </w:pPr>
      <w:bookmarkStart w:id="24" w:name="OLE_LINK25"/>
      <w:r w:rsidRPr="002D79FB">
        <w:rPr>
          <w:rFonts w:ascii="Book Antiqua" w:eastAsia="Book Antiqua" w:hAnsi="Book Antiqua" w:cs="Book Antiqua"/>
          <w:color w:val="000000"/>
        </w:rPr>
        <w:t>The widely used medication</w:t>
      </w:r>
      <w:r w:rsidR="00DF0924">
        <w:rPr>
          <w:rFonts w:ascii="Book Antiqua" w:eastAsia="Book Antiqua" w:hAnsi="Book Antiqua" w:cs="Book Antiqua"/>
          <w:color w:val="000000"/>
        </w:rPr>
        <w:t>s</w:t>
      </w:r>
      <w:r w:rsidRPr="002D79FB">
        <w:rPr>
          <w:rFonts w:ascii="Book Antiqua" w:eastAsia="Book Antiqua" w:hAnsi="Book Antiqua" w:cs="Book Antiqua"/>
          <w:color w:val="000000"/>
        </w:rPr>
        <w:t xml:space="preserve"> in T2DM, statin and metformin, could </w:t>
      </w:r>
      <w:r w:rsidR="00DF0924">
        <w:rPr>
          <w:rFonts w:ascii="Book Antiqua" w:eastAsia="Book Antiqua" w:hAnsi="Book Antiqua" w:cs="Book Antiqua"/>
          <w:color w:val="000000"/>
        </w:rPr>
        <w:t>have an e</w:t>
      </w:r>
      <w:r w:rsidRPr="002D79FB">
        <w:rPr>
          <w:rFonts w:ascii="Book Antiqua" w:eastAsia="Book Antiqua" w:hAnsi="Book Antiqua" w:cs="Book Antiqua"/>
          <w:color w:val="000000"/>
        </w:rPr>
        <w:t xml:space="preserve">ffect on neuropathy development in T2DM patients. </w:t>
      </w:r>
      <w:r w:rsidR="003D06AA">
        <w:rPr>
          <w:rFonts w:ascii="Book Antiqua" w:eastAsia="Book Antiqua" w:hAnsi="Book Antiqua" w:cs="Book Antiqua"/>
          <w:color w:val="000000"/>
        </w:rPr>
        <w:t>P</w:t>
      </w:r>
      <w:r w:rsidRPr="002D79FB">
        <w:rPr>
          <w:rFonts w:ascii="Book Antiqua" w:eastAsia="Book Antiqua" w:hAnsi="Book Antiqua" w:cs="Book Antiqua"/>
          <w:color w:val="000000"/>
        </w:rPr>
        <w:t xml:space="preserve">hysicians should pay attention </w:t>
      </w:r>
      <w:r w:rsidR="003D06AA">
        <w:rPr>
          <w:rFonts w:ascii="Book Antiqua" w:eastAsia="Book Antiqua" w:hAnsi="Book Antiqua" w:cs="Book Antiqua"/>
          <w:color w:val="000000"/>
        </w:rPr>
        <w:t>to</w:t>
      </w:r>
      <w:r w:rsidRPr="002D79FB">
        <w:rPr>
          <w:rFonts w:ascii="Book Antiqua" w:eastAsia="Book Antiqua" w:hAnsi="Book Antiqua" w:cs="Book Antiqua"/>
          <w:color w:val="000000"/>
        </w:rPr>
        <w:t xml:space="preserve"> new onset neuropathy when using statin in T2DM patients.</w:t>
      </w:r>
    </w:p>
    <w:bookmarkEnd w:id="24"/>
    <w:p w14:paraId="5C8CA385" w14:textId="77777777" w:rsidR="00A77B3E" w:rsidRPr="002D79FB" w:rsidRDefault="00A77B3E" w:rsidP="002D79FB">
      <w:pPr>
        <w:spacing w:line="360" w:lineRule="auto"/>
        <w:jc w:val="both"/>
        <w:rPr>
          <w:rFonts w:ascii="Book Antiqua" w:hAnsi="Book Antiqua"/>
        </w:rPr>
      </w:pPr>
    </w:p>
    <w:p w14:paraId="1A6A1782"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perspectives</w:t>
      </w:r>
    </w:p>
    <w:p w14:paraId="7314A92B" w14:textId="77777777" w:rsidR="00A77B3E" w:rsidRPr="002D79FB" w:rsidRDefault="00C42C9E" w:rsidP="002D79FB">
      <w:pPr>
        <w:spacing w:line="360" w:lineRule="auto"/>
        <w:jc w:val="both"/>
        <w:rPr>
          <w:rFonts w:ascii="Book Antiqua" w:hAnsi="Book Antiqua"/>
        </w:rPr>
      </w:pPr>
      <w:bookmarkStart w:id="25" w:name="OLE_LINK26"/>
      <w:r w:rsidRPr="002D79FB">
        <w:rPr>
          <w:rFonts w:ascii="Book Antiqua" w:eastAsia="Book Antiqua" w:hAnsi="Book Antiqua" w:cs="Book Antiqua"/>
          <w:color w:val="000000"/>
        </w:rPr>
        <w:t>Nevertheless, further studies are required to reveal underlying mechanisms of statin and metformin on new onset neuropathy of T2DM.</w:t>
      </w:r>
    </w:p>
    <w:bookmarkEnd w:id="25"/>
    <w:p w14:paraId="04713149" w14:textId="77777777" w:rsidR="00A77B3E" w:rsidRPr="002D79FB" w:rsidRDefault="00A77B3E" w:rsidP="002D79FB">
      <w:pPr>
        <w:spacing w:line="360" w:lineRule="auto"/>
        <w:jc w:val="both"/>
        <w:rPr>
          <w:rFonts w:ascii="Book Antiqua" w:hAnsi="Book Antiqua"/>
        </w:rPr>
      </w:pPr>
    </w:p>
    <w:p w14:paraId="057C6FCD"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REFERENCES</w:t>
      </w:r>
    </w:p>
    <w:p w14:paraId="0970762F" w14:textId="77777777" w:rsidR="000A0F93" w:rsidRPr="002D79FB" w:rsidRDefault="000A0F93" w:rsidP="002D79FB">
      <w:pPr>
        <w:spacing w:line="360" w:lineRule="auto"/>
        <w:jc w:val="both"/>
        <w:rPr>
          <w:rFonts w:ascii="Book Antiqua" w:hAnsi="Book Antiqua"/>
        </w:rPr>
      </w:pPr>
      <w:bookmarkStart w:id="26" w:name="OLE_LINK27"/>
      <w:r w:rsidRPr="002D79FB">
        <w:rPr>
          <w:rFonts w:ascii="Book Antiqua" w:hAnsi="Book Antiqua"/>
        </w:rPr>
        <w:t xml:space="preserve">1 </w:t>
      </w:r>
      <w:proofErr w:type="spellStart"/>
      <w:r w:rsidRPr="002D79FB">
        <w:rPr>
          <w:rFonts w:ascii="Book Antiqua" w:hAnsi="Book Antiqua"/>
          <w:b/>
          <w:bCs/>
        </w:rPr>
        <w:t>Zimmet</w:t>
      </w:r>
      <w:proofErr w:type="spellEnd"/>
      <w:r w:rsidRPr="002D79FB">
        <w:rPr>
          <w:rFonts w:ascii="Book Antiqua" w:hAnsi="Book Antiqua"/>
          <w:b/>
          <w:bCs/>
        </w:rPr>
        <w:t xml:space="preserve"> PZ</w:t>
      </w:r>
      <w:r w:rsidRPr="002D79FB">
        <w:rPr>
          <w:rFonts w:ascii="Book Antiqua" w:hAnsi="Book Antiqua"/>
        </w:rPr>
        <w:t xml:space="preserve">, </w:t>
      </w:r>
      <w:proofErr w:type="spellStart"/>
      <w:r w:rsidRPr="002D79FB">
        <w:rPr>
          <w:rFonts w:ascii="Book Antiqua" w:hAnsi="Book Antiqua"/>
        </w:rPr>
        <w:t>Magliano</w:t>
      </w:r>
      <w:proofErr w:type="spellEnd"/>
      <w:r w:rsidRPr="002D79FB">
        <w:rPr>
          <w:rFonts w:ascii="Book Antiqua" w:hAnsi="Book Antiqua"/>
        </w:rPr>
        <w:t xml:space="preserve"> DJ, Herman WH, Shaw JE. Diabetes: a 21st century challenge. </w:t>
      </w:r>
      <w:r w:rsidRPr="002D79FB">
        <w:rPr>
          <w:rFonts w:ascii="Book Antiqua" w:hAnsi="Book Antiqua"/>
          <w:i/>
          <w:iCs/>
        </w:rPr>
        <w:t>Lancet Diabetes Endocrinol</w:t>
      </w:r>
      <w:r w:rsidRPr="002D79FB">
        <w:rPr>
          <w:rFonts w:ascii="Book Antiqua" w:hAnsi="Book Antiqua"/>
        </w:rPr>
        <w:t xml:space="preserve"> 2014; </w:t>
      </w:r>
      <w:r w:rsidRPr="002D79FB">
        <w:rPr>
          <w:rFonts w:ascii="Book Antiqua" w:hAnsi="Book Antiqua"/>
          <w:b/>
          <w:bCs/>
        </w:rPr>
        <w:t>2</w:t>
      </w:r>
      <w:r w:rsidRPr="002D79FB">
        <w:rPr>
          <w:rFonts w:ascii="Book Antiqua" w:hAnsi="Book Antiqua"/>
        </w:rPr>
        <w:t>: 56-64 [PMID: 24622669 DOI: 10.1016/S2213-8587(13)70112-8]</w:t>
      </w:r>
    </w:p>
    <w:p w14:paraId="3A72AD42"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2 </w:t>
      </w:r>
      <w:r w:rsidRPr="002D79FB">
        <w:rPr>
          <w:rFonts w:ascii="Book Antiqua" w:hAnsi="Book Antiqua"/>
          <w:b/>
          <w:bCs/>
        </w:rPr>
        <w:t>Gan W</w:t>
      </w:r>
      <w:r w:rsidRPr="002D79FB">
        <w:rPr>
          <w:rFonts w:ascii="Book Antiqua" w:hAnsi="Book Antiqua"/>
        </w:rPr>
        <w:t xml:space="preserve">, Liu Y, Luo KH, Liang SS, Wang H, Li M, Zhang YX, Huang HJ. The prevalence change of hyperlipidemia and hyperglycemia and the effectiveness of yearly </w:t>
      </w:r>
      <w:r w:rsidRPr="002D79FB">
        <w:rPr>
          <w:rFonts w:ascii="Book Antiqua" w:hAnsi="Book Antiqua"/>
        </w:rPr>
        <w:lastRenderedPageBreak/>
        <w:t xml:space="preserve">physical examinations: an eight-year study in Southwest China. </w:t>
      </w:r>
      <w:r w:rsidRPr="002D79FB">
        <w:rPr>
          <w:rFonts w:ascii="Book Antiqua" w:hAnsi="Book Antiqua"/>
          <w:i/>
          <w:iCs/>
        </w:rPr>
        <w:t>Lipids Health Dis</w:t>
      </w:r>
      <w:r w:rsidRPr="002D79FB">
        <w:rPr>
          <w:rFonts w:ascii="Book Antiqua" w:hAnsi="Book Antiqua"/>
        </w:rPr>
        <w:t xml:space="preserve"> 2018; </w:t>
      </w:r>
      <w:r w:rsidRPr="002D79FB">
        <w:rPr>
          <w:rFonts w:ascii="Book Antiqua" w:hAnsi="Book Antiqua"/>
          <w:b/>
          <w:bCs/>
        </w:rPr>
        <w:t>17</w:t>
      </w:r>
      <w:r w:rsidRPr="002D79FB">
        <w:rPr>
          <w:rFonts w:ascii="Book Antiqua" w:hAnsi="Book Antiqua"/>
        </w:rPr>
        <w:t>: 70 [PMID: 29618361 DOI: 10.1186/s12944-018-0724-6]</w:t>
      </w:r>
    </w:p>
    <w:p w14:paraId="5C6DA20E"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3 </w:t>
      </w:r>
      <w:r w:rsidRPr="002D79FB">
        <w:rPr>
          <w:rFonts w:ascii="Book Antiqua" w:hAnsi="Book Antiqua"/>
          <w:b/>
          <w:bCs/>
        </w:rPr>
        <w:t>Grundy SM</w:t>
      </w:r>
      <w:r w:rsidRPr="002D79FB">
        <w:rPr>
          <w:rFonts w:ascii="Book Antiqua" w:hAnsi="Book Antiqua"/>
        </w:rPr>
        <w:t xml:space="preserve">, Stone NJ, Bailey AL, Beam C, </w:t>
      </w:r>
      <w:proofErr w:type="spellStart"/>
      <w:r w:rsidRPr="002D79FB">
        <w:rPr>
          <w:rFonts w:ascii="Book Antiqua" w:hAnsi="Book Antiqua"/>
        </w:rPr>
        <w:t>Birtcher</w:t>
      </w:r>
      <w:proofErr w:type="spellEnd"/>
      <w:r w:rsidRPr="002D79FB">
        <w:rPr>
          <w:rFonts w:ascii="Book Antiqua" w:hAnsi="Book Antiqua"/>
        </w:rPr>
        <w:t xml:space="preserve"> KK, Blumenthal RS, Braun LT, de Ferranti S, </w:t>
      </w:r>
      <w:proofErr w:type="spellStart"/>
      <w:r w:rsidRPr="002D79FB">
        <w:rPr>
          <w:rFonts w:ascii="Book Antiqua" w:hAnsi="Book Antiqua"/>
        </w:rPr>
        <w:t>Faiella-Tommasino</w:t>
      </w:r>
      <w:proofErr w:type="spellEnd"/>
      <w:r w:rsidRPr="002D79FB">
        <w:rPr>
          <w:rFonts w:ascii="Book Antiqua" w:hAnsi="Book Antiqua"/>
        </w:rPr>
        <w:t xml:space="preserve"> J, Forman DE, Goldberg R, </w:t>
      </w:r>
      <w:proofErr w:type="spellStart"/>
      <w:r w:rsidRPr="002D79FB">
        <w:rPr>
          <w:rFonts w:ascii="Book Antiqua" w:hAnsi="Book Antiqua"/>
        </w:rPr>
        <w:t>Heidenreich</w:t>
      </w:r>
      <w:proofErr w:type="spellEnd"/>
      <w:r w:rsidRPr="002D79FB">
        <w:rPr>
          <w:rFonts w:ascii="Book Antiqua" w:hAnsi="Book Antiqua"/>
        </w:rPr>
        <w:t xml:space="preserve"> PA, </w:t>
      </w:r>
      <w:proofErr w:type="spellStart"/>
      <w:r w:rsidRPr="002D79FB">
        <w:rPr>
          <w:rFonts w:ascii="Book Antiqua" w:hAnsi="Book Antiqua"/>
        </w:rPr>
        <w:t>Hlatky</w:t>
      </w:r>
      <w:proofErr w:type="spellEnd"/>
      <w:r w:rsidRPr="002D79FB">
        <w:rPr>
          <w:rFonts w:ascii="Book Antiqua" w:hAnsi="Book Antiqua"/>
        </w:rPr>
        <w:t xml:space="preserve"> MA, Jones DW, Lloyd-Jones D, Lopez-</w:t>
      </w:r>
      <w:proofErr w:type="spellStart"/>
      <w:r w:rsidRPr="002D79FB">
        <w:rPr>
          <w:rFonts w:ascii="Book Antiqua" w:hAnsi="Book Antiqua"/>
        </w:rPr>
        <w:t>Pajares</w:t>
      </w:r>
      <w:proofErr w:type="spellEnd"/>
      <w:r w:rsidRPr="002D79FB">
        <w:rPr>
          <w:rFonts w:ascii="Book Antiqua" w:hAnsi="Book Antiqua"/>
        </w:rPr>
        <w:t xml:space="preserve"> N, </w:t>
      </w:r>
      <w:proofErr w:type="spellStart"/>
      <w:r w:rsidRPr="002D79FB">
        <w:rPr>
          <w:rFonts w:ascii="Book Antiqua" w:hAnsi="Book Antiqua"/>
        </w:rPr>
        <w:t>Ndumele</w:t>
      </w:r>
      <w:proofErr w:type="spellEnd"/>
      <w:r w:rsidRPr="002D79FB">
        <w:rPr>
          <w:rFonts w:ascii="Book Antiqua" w:hAnsi="Book Antiqua"/>
        </w:rPr>
        <w:t xml:space="preserve"> CE, </w:t>
      </w:r>
      <w:proofErr w:type="spellStart"/>
      <w:r w:rsidRPr="002D79FB">
        <w:rPr>
          <w:rFonts w:ascii="Book Antiqua" w:hAnsi="Book Antiqua"/>
        </w:rPr>
        <w:t>Orringer</w:t>
      </w:r>
      <w:proofErr w:type="spellEnd"/>
      <w:r w:rsidRPr="002D79FB">
        <w:rPr>
          <w:rFonts w:ascii="Book Antiqua" w:hAnsi="Book Antiqua"/>
        </w:rPr>
        <w:t xml:space="preserve"> CE, Peralta CA, </w:t>
      </w:r>
      <w:proofErr w:type="spellStart"/>
      <w:r w:rsidRPr="002D79FB">
        <w:rPr>
          <w:rFonts w:ascii="Book Antiqua" w:hAnsi="Book Antiqua"/>
        </w:rPr>
        <w:t>Saseen</w:t>
      </w:r>
      <w:proofErr w:type="spellEnd"/>
      <w:r w:rsidRPr="002D79FB">
        <w:rPr>
          <w:rFonts w:ascii="Book Antiqua" w:hAnsi="Book Antiqua"/>
        </w:rPr>
        <w:t xml:space="preserve"> JJ, Smith SC Jr, Sperling L, Virani SS, Yeboah J. 2018 AHA/ACC/AACVPR/AAPA/ABC/ACPM/ADA/AGS/</w:t>
      </w:r>
      <w:proofErr w:type="spellStart"/>
      <w:r w:rsidRPr="002D79FB">
        <w:rPr>
          <w:rFonts w:ascii="Book Antiqua" w:hAnsi="Book Antiqua"/>
        </w:rPr>
        <w:t>APhA</w:t>
      </w:r>
      <w:proofErr w:type="spellEnd"/>
      <w:r w:rsidRPr="002D79FB">
        <w:rPr>
          <w:rFonts w:ascii="Book Antiqua" w:hAnsi="Book Antiqua"/>
        </w:rPr>
        <w:t xml:space="preserve">/ASPC/NLA/PCNA Guideline on the Management of Blood Cholesterol: A Report of the American College of Cardiology/American Heart Association Task Force on Clinical Practice Guidelines. </w:t>
      </w:r>
      <w:r w:rsidRPr="002D79FB">
        <w:rPr>
          <w:rFonts w:ascii="Book Antiqua" w:hAnsi="Book Antiqua"/>
          <w:i/>
          <w:iCs/>
        </w:rPr>
        <w:t>Circulation</w:t>
      </w:r>
      <w:r w:rsidRPr="002D79FB">
        <w:rPr>
          <w:rFonts w:ascii="Book Antiqua" w:hAnsi="Book Antiqua"/>
        </w:rPr>
        <w:t xml:space="preserve"> 2019; </w:t>
      </w:r>
      <w:r w:rsidRPr="002D79FB">
        <w:rPr>
          <w:rFonts w:ascii="Book Antiqua" w:hAnsi="Book Antiqua"/>
          <w:b/>
          <w:bCs/>
        </w:rPr>
        <w:t>139</w:t>
      </w:r>
      <w:r w:rsidRPr="002D79FB">
        <w:rPr>
          <w:rFonts w:ascii="Book Antiqua" w:hAnsi="Book Antiqua"/>
        </w:rPr>
        <w:t>: e1082-e1143 [PMID: 30586774 DOI: 10.1161/CIR.0000000000000625]</w:t>
      </w:r>
    </w:p>
    <w:p w14:paraId="74EECE32"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4 </w:t>
      </w:r>
      <w:r w:rsidRPr="002D79FB">
        <w:rPr>
          <w:rFonts w:ascii="Book Antiqua" w:hAnsi="Book Antiqua"/>
          <w:b/>
          <w:bCs/>
        </w:rPr>
        <w:t>Kim MK</w:t>
      </w:r>
      <w:r w:rsidRPr="002D79FB">
        <w:rPr>
          <w:rFonts w:ascii="Book Antiqua" w:hAnsi="Book Antiqua"/>
        </w:rPr>
        <w:t xml:space="preserve">, Ko SH, Kim BY, Kang ES, Noh J, Kim SK, Park SO, </w:t>
      </w:r>
      <w:proofErr w:type="spellStart"/>
      <w:r w:rsidRPr="002D79FB">
        <w:rPr>
          <w:rFonts w:ascii="Book Antiqua" w:hAnsi="Book Antiqua"/>
        </w:rPr>
        <w:t>Hur</w:t>
      </w:r>
      <w:proofErr w:type="spellEnd"/>
      <w:r w:rsidRPr="002D79FB">
        <w:rPr>
          <w:rFonts w:ascii="Book Antiqua" w:hAnsi="Book Antiqua"/>
        </w:rPr>
        <w:t xml:space="preserve"> KY, Chon S, Moon MK, Kim NH, Kim SY, Rhee SY, Lee KW, Kim JH, Rhee EJ, Chun S, Yu SH, Kim DJ, Kwon HS, Park KS; Committee of Clinical Practice Guidelines, Korean Diabetes Association. 2019 Clinical Practice Guidelines for Type 2 Diabetes Mellitus in Korea. </w:t>
      </w:r>
      <w:r w:rsidRPr="002D79FB">
        <w:rPr>
          <w:rFonts w:ascii="Book Antiqua" w:hAnsi="Book Antiqua"/>
          <w:i/>
          <w:iCs/>
        </w:rPr>
        <w:t xml:space="preserve">Diabetes </w:t>
      </w:r>
      <w:proofErr w:type="spellStart"/>
      <w:r w:rsidRPr="002D79FB">
        <w:rPr>
          <w:rFonts w:ascii="Book Antiqua" w:hAnsi="Book Antiqua"/>
          <w:i/>
          <w:iCs/>
        </w:rPr>
        <w:t>Metab</w:t>
      </w:r>
      <w:proofErr w:type="spellEnd"/>
      <w:r w:rsidRPr="002D79FB">
        <w:rPr>
          <w:rFonts w:ascii="Book Antiqua" w:hAnsi="Book Antiqua"/>
          <w:i/>
          <w:iCs/>
        </w:rPr>
        <w:t xml:space="preserve"> J</w:t>
      </w:r>
      <w:r w:rsidRPr="002D79FB">
        <w:rPr>
          <w:rFonts w:ascii="Book Antiqua" w:hAnsi="Book Antiqua"/>
        </w:rPr>
        <w:t xml:space="preserve"> 2019; </w:t>
      </w:r>
      <w:r w:rsidRPr="002D79FB">
        <w:rPr>
          <w:rFonts w:ascii="Book Antiqua" w:hAnsi="Book Antiqua"/>
          <w:b/>
          <w:bCs/>
        </w:rPr>
        <w:t>43</w:t>
      </w:r>
      <w:r w:rsidRPr="002D79FB">
        <w:rPr>
          <w:rFonts w:ascii="Book Antiqua" w:hAnsi="Book Antiqua"/>
        </w:rPr>
        <w:t>: 398-406 [PMID: 31441247 DOI: 10.4093/dmj.2019.0137]</w:t>
      </w:r>
    </w:p>
    <w:p w14:paraId="08694F93"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5 </w:t>
      </w:r>
      <w:proofErr w:type="spellStart"/>
      <w:r w:rsidRPr="002D79FB">
        <w:rPr>
          <w:rFonts w:ascii="Book Antiqua" w:hAnsi="Book Antiqua"/>
          <w:b/>
          <w:bCs/>
        </w:rPr>
        <w:t>Gaist</w:t>
      </w:r>
      <w:proofErr w:type="spellEnd"/>
      <w:r w:rsidRPr="002D79FB">
        <w:rPr>
          <w:rFonts w:ascii="Book Antiqua" w:hAnsi="Book Antiqua"/>
          <w:b/>
          <w:bCs/>
        </w:rPr>
        <w:t xml:space="preserve"> D</w:t>
      </w:r>
      <w:r w:rsidRPr="002D79FB">
        <w:rPr>
          <w:rFonts w:ascii="Book Antiqua" w:hAnsi="Book Antiqua"/>
        </w:rPr>
        <w:t xml:space="preserve">, </w:t>
      </w:r>
      <w:proofErr w:type="spellStart"/>
      <w:r w:rsidRPr="002D79FB">
        <w:rPr>
          <w:rFonts w:ascii="Book Antiqua" w:hAnsi="Book Antiqua"/>
        </w:rPr>
        <w:t>Jeppesen</w:t>
      </w:r>
      <w:proofErr w:type="spellEnd"/>
      <w:r w:rsidRPr="002D79FB">
        <w:rPr>
          <w:rFonts w:ascii="Book Antiqua" w:hAnsi="Book Antiqua"/>
        </w:rPr>
        <w:t xml:space="preserve"> U, Andersen M, García Rodríguez LA, Hallas J, </w:t>
      </w:r>
      <w:proofErr w:type="spellStart"/>
      <w:r w:rsidRPr="002D79FB">
        <w:rPr>
          <w:rFonts w:ascii="Book Antiqua" w:hAnsi="Book Antiqua"/>
        </w:rPr>
        <w:t>Sindrup</w:t>
      </w:r>
      <w:proofErr w:type="spellEnd"/>
      <w:r w:rsidRPr="002D79FB">
        <w:rPr>
          <w:rFonts w:ascii="Book Antiqua" w:hAnsi="Book Antiqua"/>
        </w:rPr>
        <w:t xml:space="preserve"> SH. Statins and risk of polyneuropathy: a case-control study. </w:t>
      </w:r>
      <w:r w:rsidRPr="002D79FB">
        <w:rPr>
          <w:rFonts w:ascii="Book Antiqua" w:hAnsi="Book Antiqua"/>
          <w:i/>
          <w:iCs/>
        </w:rPr>
        <w:t>Neurology</w:t>
      </w:r>
      <w:r w:rsidRPr="002D79FB">
        <w:rPr>
          <w:rFonts w:ascii="Book Antiqua" w:hAnsi="Book Antiqua"/>
        </w:rPr>
        <w:t xml:space="preserve"> 2002; </w:t>
      </w:r>
      <w:r w:rsidRPr="002D79FB">
        <w:rPr>
          <w:rFonts w:ascii="Book Antiqua" w:hAnsi="Book Antiqua"/>
          <w:b/>
          <w:bCs/>
        </w:rPr>
        <w:t>58</w:t>
      </w:r>
      <w:r w:rsidRPr="002D79FB">
        <w:rPr>
          <w:rFonts w:ascii="Book Antiqua" w:hAnsi="Book Antiqua"/>
        </w:rPr>
        <w:t>: 1333-1337 [PMID: 12011277 DOI: 10.1212/wnl.58.9.1333]</w:t>
      </w:r>
    </w:p>
    <w:p w14:paraId="4B1E742C"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6 </w:t>
      </w:r>
      <w:proofErr w:type="spellStart"/>
      <w:r w:rsidRPr="002D79FB">
        <w:rPr>
          <w:rFonts w:ascii="Book Antiqua" w:hAnsi="Book Antiqua"/>
          <w:b/>
          <w:bCs/>
        </w:rPr>
        <w:t>Hammad</w:t>
      </w:r>
      <w:proofErr w:type="spellEnd"/>
      <w:r w:rsidRPr="002D79FB">
        <w:rPr>
          <w:rFonts w:ascii="Book Antiqua" w:hAnsi="Book Antiqua"/>
          <w:b/>
          <w:bCs/>
        </w:rPr>
        <w:t xml:space="preserve"> MA</w:t>
      </w:r>
      <w:r w:rsidRPr="002D79FB">
        <w:rPr>
          <w:rFonts w:ascii="Book Antiqua" w:hAnsi="Book Antiqua"/>
        </w:rPr>
        <w:t xml:space="preserve">, Syed </w:t>
      </w:r>
      <w:proofErr w:type="spellStart"/>
      <w:r w:rsidRPr="002D79FB">
        <w:rPr>
          <w:rFonts w:ascii="Book Antiqua" w:hAnsi="Book Antiqua"/>
        </w:rPr>
        <w:t>Sulaiman</w:t>
      </w:r>
      <w:proofErr w:type="spellEnd"/>
      <w:r w:rsidRPr="002D79FB">
        <w:rPr>
          <w:rFonts w:ascii="Book Antiqua" w:hAnsi="Book Antiqua"/>
        </w:rPr>
        <w:t xml:space="preserve"> SA, </w:t>
      </w:r>
      <w:proofErr w:type="spellStart"/>
      <w:r w:rsidRPr="002D79FB">
        <w:rPr>
          <w:rFonts w:ascii="Book Antiqua" w:hAnsi="Book Antiqua"/>
        </w:rPr>
        <w:t>Alghamdi</w:t>
      </w:r>
      <w:proofErr w:type="spellEnd"/>
      <w:r w:rsidRPr="002D79FB">
        <w:rPr>
          <w:rFonts w:ascii="Book Antiqua" w:hAnsi="Book Antiqua"/>
        </w:rPr>
        <w:t xml:space="preserve"> S, </w:t>
      </w:r>
      <w:proofErr w:type="spellStart"/>
      <w:r w:rsidRPr="002D79FB">
        <w:rPr>
          <w:rFonts w:ascii="Book Antiqua" w:hAnsi="Book Antiqua"/>
        </w:rPr>
        <w:t>Mangi</w:t>
      </w:r>
      <w:proofErr w:type="spellEnd"/>
      <w:r w:rsidRPr="002D79FB">
        <w:rPr>
          <w:rFonts w:ascii="Book Antiqua" w:hAnsi="Book Antiqua"/>
        </w:rPr>
        <w:t xml:space="preserve"> AA, Aziz NA, Mohamed Noor DA. Statins-related peripheral neuropathy among diabetic patients. </w:t>
      </w:r>
      <w:r w:rsidRPr="002D79FB">
        <w:rPr>
          <w:rFonts w:ascii="Book Antiqua" w:hAnsi="Book Antiqua"/>
          <w:i/>
          <w:iCs/>
        </w:rPr>
        <w:t xml:space="preserve">Diabetes </w:t>
      </w:r>
      <w:proofErr w:type="spellStart"/>
      <w:r w:rsidRPr="002D79FB">
        <w:rPr>
          <w:rFonts w:ascii="Book Antiqua" w:hAnsi="Book Antiqua"/>
          <w:i/>
          <w:iCs/>
        </w:rPr>
        <w:t>Metab</w:t>
      </w:r>
      <w:proofErr w:type="spellEnd"/>
      <w:r w:rsidRPr="002D79FB">
        <w:rPr>
          <w:rFonts w:ascii="Book Antiqua" w:hAnsi="Book Antiqua"/>
          <w:i/>
          <w:iCs/>
        </w:rPr>
        <w:t xml:space="preserve"> </w:t>
      </w:r>
      <w:proofErr w:type="spellStart"/>
      <w:r w:rsidRPr="002D79FB">
        <w:rPr>
          <w:rFonts w:ascii="Book Antiqua" w:hAnsi="Book Antiqua"/>
          <w:i/>
          <w:iCs/>
        </w:rPr>
        <w:t>Syndr</w:t>
      </w:r>
      <w:proofErr w:type="spellEnd"/>
      <w:r w:rsidRPr="002D79FB">
        <w:rPr>
          <w:rFonts w:ascii="Book Antiqua" w:hAnsi="Book Antiqua"/>
        </w:rPr>
        <w:t xml:space="preserve"> 2020; </w:t>
      </w:r>
      <w:r w:rsidRPr="002D79FB">
        <w:rPr>
          <w:rFonts w:ascii="Book Antiqua" w:hAnsi="Book Antiqua"/>
          <w:b/>
          <w:bCs/>
        </w:rPr>
        <w:t>14</w:t>
      </w:r>
      <w:r w:rsidRPr="002D79FB">
        <w:rPr>
          <w:rFonts w:ascii="Book Antiqua" w:hAnsi="Book Antiqua"/>
        </w:rPr>
        <w:t>: 341-346 [PMID: 32305775 DOI: 10.1016/j.dsx.2020.04.005]</w:t>
      </w:r>
    </w:p>
    <w:p w14:paraId="6A5B978B"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7 </w:t>
      </w:r>
      <w:r w:rsidRPr="002D79FB">
        <w:rPr>
          <w:rFonts w:ascii="Book Antiqua" w:hAnsi="Book Antiqua"/>
          <w:b/>
          <w:bCs/>
        </w:rPr>
        <w:t>Cameron AR</w:t>
      </w:r>
      <w:r w:rsidRPr="002D79FB">
        <w:rPr>
          <w:rFonts w:ascii="Book Antiqua" w:hAnsi="Book Antiqua"/>
        </w:rPr>
        <w:t xml:space="preserve">, Morrison VL, Levin D, Mohan M, </w:t>
      </w:r>
      <w:proofErr w:type="spellStart"/>
      <w:r w:rsidRPr="002D79FB">
        <w:rPr>
          <w:rFonts w:ascii="Book Antiqua" w:hAnsi="Book Antiqua"/>
        </w:rPr>
        <w:t>Forteath</w:t>
      </w:r>
      <w:proofErr w:type="spellEnd"/>
      <w:r w:rsidRPr="002D79FB">
        <w:rPr>
          <w:rFonts w:ascii="Book Antiqua" w:hAnsi="Book Antiqua"/>
        </w:rPr>
        <w:t xml:space="preserve"> C, Beall C, McNeilly AD, Balfour DJ, </w:t>
      </w:r>
      <w:proofErr w:type="spellStart"/>
      <w:r w:rsidRPr="002D79FB">
        <w:rPr>
          <w:rFonts w:ascii="Book Antiqua" w:hAnsi="Book Antiqua"/>
        </w:rPr>
        <w:t>Savinko</w:t>
      </w:r>
      <w:proofErr w:type="spellEnd"/>
      <w:r w:rsidRPr="002D79FB">
        <w:rPr>
          <w:rFonts w:ascii="Book Antiqua" w:hAnsi="Book Antiqua"/>
        </w:rPr>
        <w:t xml:space="preserve"> T, Wong AK, </w:t>
      </w:r>
      <w:proofErr w:type="spellStart"/>
      <w:r w:rsidRPr="002D79FB">
        <w:rPr>
          <w:rFonts w:ascii="Book Antiqua" w:hAnsi="Book Antiqua"/>
        </w:rPr>
        <w:t>Viollet</w:t>
      </w:r>
      <w:proofErr w:type="spellEnd"/>
      <w:r w:rsidRPr="002D79FB">
        <w:rPr>
          <w:rFonts w:ascii="Book Antiqua" w:hAnsi="Book Antiqua"/>
        </w:rPr>
        <w:t xml:space="preserve"> B, Sakamoto K, </w:t>
      </w:r>
      <w:proofErr w:type="spellStart"/>
      <w:r w:rsidRPr="002D79FB">
        <w:rPr>
          <w:rFonts w:ascii="Book Antiqua" w:hAnsi="Book Antiqua"/>
        </w:rPr>
        <w:t>Fagerholm</w:t>
      </w:r>
      <w:proofErr w:type="spellEnd"/>
      <w:r w:rsidRPr="002D79FB">
        <w:rPr>
          <w:rFonts w:ascii="Book Antiqua" w:hAnsi="Book Antiqua"/>
        </w:rPr>
        <w:t xml:space="preserve"> SC, </w:t>
      </w:r>
      <w:proofErr w:type="spellStart"/>
      <w:r w:rsidRPr="002D79FB">
        <w:rPr>
          <w:rFonts w:ascii="Book Antiqua" w:hAnsi="Book Antiqua"/>
        </w:rPr>
        <w:t>Foretz</w:t>
      </w:r>
      <w:proofErr w:type="spellEnd"/>
      <w:r w:rsidRPr="002D79FB">
        <w:rPr>
          <w:rFonts w:ascii="Book Antiqua" w:hAnsi="Book Antiqua"/>
        </w:rPr>
        <w:t xml:space="preserve"> M, Lang CC, Rena G. Anti-Inflammatory Effects of Metformin Irrespective of Diabetes Status. </w:t>
      </w:r>
      <w:r w:rsidRPr="002D79FB">
        <w:rPr>
          <w:rFonts w:ascii="Book Antiqua" w:hAnsi="Book Antiqua"/>
          <w:i/>
          <w:iCs/>
        </w:rPr>
        <w:t>Circ Res</w:t>
      </w:r>
      <w:r w:rsidRPr="002D79FB">
        <w:rPr>
          <w:rFonts w:ascii="Book Antiqua" w:hAnsi="Book Antiqua"/>
        </w:rPr>
        <w:t xml:space="preserve"> 2016; </w:t>
      </w:r>
      <w:r w:rsidRPr="002D79FB">
        <w:rPr>
          <w:rFonts w:ascii="Book Antiqua" w:hAnsi="Book Antiqua"/>
          <w:b/>
          <w:bCs/>
        </w:rPr>
        <w:t>119</w:t>
      </w:r>
      <w:r w:rsidRPr="002D79FB">
        <w:rPr>
          <w:rFonts w:ascii="Book Antiqua" w:hAnsi="Book Antiqua"/>
        </w:rPr>
        <w:t>: 652-665 [PMID: 27418629 DOI: 10.1161/CIRCRESAHA.116.308445]</w:t>
      </w:r>
    </w:p>
    <w:p w14:paraId="56D1AE59"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8 </w:t>
      </w:r>
      <w:r w:rsidRPr="002D79FB">
        <w:rPr>
          <w:rFonts w:ascii="Book Antiqua" w:hAnsi="Book Antiqua"/>
          <w:b/>
          <w:bCs/>
        </w:rPr>
        <w:t>American Diabetes Association.</w:t>
      </w:r>
      <w:r w:rsidRPr="002D79FB">
        <w:rPr>
          <w:rFonts w:ascii="Book Antiqua" w:hAnsi="Book Antiqua"/>
        </w:rPr>
        <w:t xml:space="preserve">. 8. Pharmacologic Approaches to Glycemic Treatment: </w:t>
      </w:r>
      <w:r w:rsidRPr="002D79FB">
        <w:rPr>
          <w:rFonts w:ascii="Book Antiqua" w:hAnsi="Book Antiqua"/>
          <w:i/>
          <w:iCs/>
        </w:rPr>
        <w:t>Standards of Medical Care in Diabetes-2018</w:t>
      </w:r>
      <w:r w:rsidRPr="002D79FB">
        <w:rPr>
          <w:rFonts w:ascii="Book Antiqua" w:hAnsi="Book Antiqua"/>
        </w:rPr>
        <w:t xml:space="preserve">. </w:t>
      </w:r>
      <w:r w:rsidRPr="002D79FB">
        <w:rPr>
          <w:rFonts w:ascii="Book Antiqua" w:hAnsi="Book Antiqua"/>
          <w:i/>
          <w:iCs/>
        </w:rPr>
        <w:t>Diabetes Care</w:t>
      </w:r>
      <w:r w:rsidRPr="002D79FB">
        <w:rPr>
          <w:rFonts w:ascii="Book Antiqua" w:hAnsi="Book Antiqua"/>
        </w:rPr>
        <w:t xml:space="preserve"> 2018; </w:t>
      </w:r>
      <w:r w:rsidRPr="002D79FB">
        <w:rPr>
          <w:rFonts w:ascii="Book Antiqua" w:hAnsi="Book Antiqua"/>
          <w:b/>
          <w:bCs/>
        </w:rPr>
        <w:t>41</w:t>
      </w:r>
      <w:r w:rsidRPr="002D79FB">
        <w:rPr>
          <w:rFonts w:ascii="Book Antiqua" w:hAnsi="Book Antiqua"/>
        </w:rPr>
        <w:t>: S73-S85 [PMID: 29222379 DOI: 10.2337/dc18-S008]</w:t>
      </w:r>
    </w:p>
    <w:p w14:paraId="451A7A07" w14:textId="77777777" w:rsidR="000A0F93" w:rsidRPr="002D79FB" w:rsidRDefault="000A0F93" w:rsidP="002D79FB">
      <w:pPr>
        <w:spacing w:line="360" w:lineRule="auto"/>
        <w:jc w:val="both"/>
        <w:rPr>
          <w:rFonts w:ascii="Book Antiqua" w:hAnsi="Book Antiqua"/>
        </w:rPr>
      </w:pPr>
      <w:r w:rsidRPr="002D79FB">
        <w:rPr>
          <w:rFonts w:ascii="Book Antiqua" w:hAnsi="Book Antiqua"/>
        </w:rPr>
        <w:lastRenderedPageBreak/>
        <w:t xml:space="preserve">9 </w:t>
      </w:r>
      <w:r w:rsidRPr="002D79FB">
        <w:rPr>
          <w:rFonts w:ascii="Book Antiqua" w:hAnsi="Book Antiqua"/>
          <w:b/>
          <w:bCs/>
        </w:rPr>
        <w:t>Alvarez M</w:t>
      </w:r>
      <w:r w:rsidRPr="002D79FB">
        <w:rPr>
          <w:rFonts w:ascii="Book Antiqua" w:hAnsi="Book Antiqua"/>
        </w:rPr>
        <w:t xml:space="preserve">, Sierra OR, Saavedra G, Moreno S. Vitamin B12 deficiency and diabetic neuropathy in patients taking metformin: a cross-sectional study. </w:t>
      </w:r>
      <w:proofErr w:type="spellStart"/>
      <w:r w:rsidRPr="002D79FB">
        <w:rPr>
          <w:rFonts w:ascii="Book Antiqua" w:hAnsi="Book Antiqua"/>
          <w:i/>
          <w:iCs/>
        </w:rPr>
        <w:t>Endocr</w:t>
      </w:r>
      <w:proofErr w:type="spellEnd"/>
      <w:r w:rsidRPr="002D79FB">
        <w:rPr>
          <w:rFonts w:ascii="Book Antiqua" w:hAnsi="Book Antiqua"/>
          <w:i/>
          <w:iCs/>
        </w:rPr>
        <w:t xml:space="preserve"> Connect</w:t>
      </w:r>
      <w:r w:rsidRPr="002D79FB">
        <w:rPr>
          <w:rFonts w:ascii="Book Antiqua" w:hAnsi="Book Antiqua"/>
        </w:rPr>
        <w:t xml:space="preserve"> 2019; </w:t>
      </w:r>
      <w:r w:rsidRPr="002D79FB">
        <w:rPr>
          <w:rFonts w:ascii="Book Antiqua" w:hAnsi="Book Antiqua"/>
          <w:b/>
          <w:bCs/>
        </w:rPr>
        <w:t>8</w:t>
      </w:r>
      <w:r w:rsidRPr="002D79FB">
        <w:rPr>
          <w:rFonts w:ascii="Book Antiqua" w:hAnsi="Book Antiqua"/>
        </w:rPr>
        <w:t>: 1324-1329 [PMID: 31518991 DOI: 10.1530/EC-19-0382]</w:t>
      </w:r>
    </w:p>
    <w:p w14:paraId="23C83563"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10 </w:t>
      </w:r>
      <w:proofErr w:type="spellStart"/>
      <w:r w:rsidRPr="002D79FB">
        <w:rPr>
          <w:rFonts w:ascii="Book Antiqua" w:hAnsi="Book Antiqua"/>
          <w:b/>
          <w:bCs/>
        </w:rPr>
        <w:t>Elhadd</w:t>
      </w:r>
      <w:proofErr w:type="spellEnd"/>
      <w:r w:rsidRPr="002D79FB">
        <w:rPr>
          <w:rFonts w:ascii="Book Antiqua" w:hAnsi="Book Antiqua"/>
          <w:b/>
          <w:bCs/>
        </w:rPr>
        <w:t xml:space="preserve"> T</w:t>
      </w:r>
      <w:r w:rsidRPr="002D79FB">
        <w:rPr>
          <w:rFonts w:ascii="Book Antiqua" w:hAnsi="Book Antiqua"/>
        </w:rPr>
        <w:t xml:space="preserve">, </w:t>
      </w:r>
      <w:proofErr w:type="spellStart"/>
      <w:r w:rsidRPr="002D79FB">
        <w:rPr>
          <w:rFonts w:ascii="Book Antiqua" w:hAnsi="Book Antiqua"/>
        </w:rPr>
        <w:t>Ponirakis</w:t>
      </w:r>
      <w:proofErr w:type="spellEnd"/>
      <w:r w:rsidRPr="002D79FB">
        <w:rPr>
          <w:rFonts w:ascii="Book Antiqua" w:hAnsi="Book Antiqua"/>
        </w:rPr>
        <w:t xml:space="preserve"> G, Dabbous Z, Siddique M, </w:t>
      </w:r>
      <w:proofErr w:type="spellStart"/>
      <w:r w:rsidRPr="002D79FB">
        <w:rPr>
          <w:rFonts w:ascii="Book Antiqua" w:hAnsi="Book Antiqua"/>
        </w:rPr>
        <w:t>Chinnaiyan</w:t>
      </w:r>
      <w:proofErr w:type="spellEnd"/>
      <w:r w:rsidRPr="002D79FB">
        <w:rPr>
          <w:rFonts w:ascii="Book Antiqua" w:hAnsi="Book Antiqua"/>
        </w:rPr>
        <w:t xml:space="preserve"> S, Malik RA. Metformin Use Is Not Associated With B</w:t>
      </w:r>
      <w:r w:rsidRPr="002D79FB">
        <w:rPr>
          <w:rFonts w:ascii="Book Antiqua" w:hAnsi="Book Antiqua"/>
          <w:vertAlign w:val="subscript"/>
        </w:rPr>
        <w:t>12</w:t>
      </w:r>
      <w:r w:rsidRPr="002D79FB">
        <w:rPr>
          <w:rFonts w:ascii="Book Antiqua" w:hAnsi="Book Antiqua"/>
        </w:rPr>
        <w:t xml:space="preserve"> Deficiency or Neuropathy in Patients With Type 2 Diabetes Mellitus in Qatar. </w:t>
      </w:r>
      <w:r w:rsidRPr="002D79FB">
        <w:rPr>
          <w:rFonts w:ascii="Book Antiqua" w:hAnsi="Book Antiqua"/>
          <w:i/>
          <w:iCs/>
        </w:rPr>
        <w:t>Front Endocrinol (Lausanne)</w:t>
      </w:r>
      <w:r w:rsidRPr="002D79FB">
        <w:rPr>
          <w:rFonts w:ascii="Book Antiqua" w:hAnsi="Book Antiqua"/>
        </w:rPr>
        <w:t xml:space="preserve"> 2018; </w:t>
      </w:r>
      <w:r w:rsidRPr="002D79FB">
        <w:rPr>
          <w:rFonts w:ascii="Book Antiqua" w:hAnsi="Book Antiqua"/>
          <w:b/>
          <w:bCs/>
        </w:rPr>
        <w:t>9</w:t>
      </w:r>
      <w:r w:rsidRPr="002D79FB">
        <w:rPr>
          <w:rFonts w:ascii="Book Antiqua" w:hAnsi="Book Antiqua"/>
        </w:rPr>
        <w:t>: 248 [PMID: 29887831 DOI: 10.3389/fendo.2018.00248]</w:t>
      </w:r>
    </w:p>
    <w:p w14:paraId="52B4DE72"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11 </w:t>
      </w:r>
      <w:proofErr w:type="spellStart"/>
      <w:r w:rsidRPr="002D79FB">
        <w:rPr>
          <w:rFonts w:ascii="Book Antiqua" w:hAnsi="Book Antiqua"/>
          <w:b/>
          <w:bCs/>
        </w:rPr>
        <w:t>Mooradian</w:t>
      </w:r>
      <w:proofErr w:type="spellEnd"/>
      <w:r w:rsidRPr="002D79FB">
        <w:rPr>
          <w:rFonts w:ascii="Book Antiqua" w:hAnsi="Book Antiqua"/>
          <w:b/>
          <w:bCs/>
        </w:rPr>
        <w:t xml:space="preserve"> AD</w:t>
      </w:r>
      <w:r w:rsidRPr="002D79FB">
        <w:rPr>
          <w:rFonts w:ascii="Book Antiqua" w:hAnsi="Book Antiqua"/>
        </w:rPr>
        <w:t xml:space="preserve">. Dyslipidemia in type 2 diabetes mellitus. </w:t>
      </w:r>
      <w:r w:rsidRPr="002D79FB">
        <w:rPr>
          <w:rFonts w:ascii="Book Antiqua" w:hAnsi="Book Antiqua"/>
          <w:i/>
          <w:iCs/>
        </w:rPr>
        <w:t xml:space="preserve">Nat </w:t>
      </w:r>
      <w:proofErr w:type="spellStart"/>
      <w:r w:rsidRPr="002D79FB">
        <w:rPr>
          <w:rFonts w:ascii="Book Antiqua" w:hAnsi="Book Antiqua"/>
          <w:i/>
          <w:iCs/>
        </w:rPr>
        <w:t>Clin</w:t>
      </w:r>
      <w:proofErr w:type="spellEnd"/>
      <w:r w:rsidRPr="002D79FB">
        <w:rPr>
          <w:rFonts w:ascii="Book Antiqua" w:hAnsi="Book Antiqua"/>
          <w:i/>
          <w:iCs/>
        </w:rPr>
        <w:t xml:space="preserve"> </w:t>
      </w:r>
      <w:proofErr w:type="spellStart"/>
      <w:r w:rsidRPr="002D79FB">
        <w:rPr>
          <w:rFonts w:ascii="Book Antiqua" w:hAnsi="Book Antiqua"/>
          <w:i/>
          <w:iCs/>
        </w:rPr>
        <w:t>Pract</w:t>
      </w:r>
      <w:proofErr w:type="spellEnd"/>
      <w:r w:rsidRPr="002D79FB">
        <w:rPr>
          <w:rFonts w:ascii="Book Antiqua" w:hAnsi="Book Antiqua"/>
          <w:i/>
          <w:iCs/>
        </w:rPr>
        <w:t xml:space="preserve"> </w:t>
      </w:r>
      <w:proofErr w:type="spellStart"/>
      <w:r w:rsidRPr="002D79FB">
        <w:rPr>
          <w:rFonts w:ascii="Book Antiqua" w:hAnsi="Book Antiqua"/>
          <w:i/>
          <w:iCs/>
        </w:rPr>
        <w:t>Endocrinol</w:t>
      </w:r>
      <w:proofErr w:type="spellEnd"/>
      <w:r w:rsidRPr="002D79FB">
        <w:rPr>
          <w:rFonts w:ascii="Book Antiqua" w:hAnsi="Book Antiqua"/>
          <w:i/>
          <w:iCs/>
        </w:rPr>
        <w:t xml:space="preserve"> </w:t>
      </w:r>
      <w:proofErr w:type="spellStart"/>
      <w:r w:rsidRPr="002D79FB">
        <w:rPr>
          <w:rFonts w:ascii="Book Antiqua" w:hAnsi="Book Antiqua"/>
          <w:i/>
          <w:iCs/>
        </w:rPr>
        <w:t>Metab</w:t>
      </w:r>
      <w:proofErr w:type="spellEnd"/>
      <w:r w:rsidRPr="002D79FB">
        <w:rPr>
          <w:rFonts w:ascii="Book Antiqua" w:hAnsi="Book Antiqua"/>
        </w:rPr>
        <w:t xml:space="preserve"> 2009; </w:t>
      </w:r>
      <w:r w:rsidRPr="002D79FB">
        <w:rPr>
          <w:rFonts w:ascii="Book Antiqua" w:hAnsi="Book Antiqua"/>
          <w:b/>
          <w:bCs/>
        </w:rPr>
        <w:t>5</w:t>
      </w:r>
      <w:r w:rsidRPr="002D79FB">
        <w:rPr>
          <w:rFonts w:ascii="Book Antiqua" w:hAnsi="Book Antiqua"/>
        </w:rPr>
        <w:t>: 150-159 [PMID: 19229235 DOI: 10.1038/ncpendmet1066]</w:t>
      </w:r>
    </w:p>
    <w:p w14:paraId="7FC6A030"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12 </w:t>
      </w:r>
      <w:proofErr w:type="spellStart"/>
      <w:r w:rsidRPr="002D79FB">
        <w:rPr>
          <w:rFonts w:ascii="Book Antiqua" w:hAnsi="Book Antiqua"/>
          <w:b/>
          <w:bCs/>
        </w:rPr>
        <w:t>DeFronzo</w:t>
      </w:r>
      <w:proofErr w:type="spellEnd"/>
      <w:r w:rsidRPr="002D79FB">
        <w:rPr>
          <w:rFonts w:ascii="Book Antiqua" w:hAnsi="Book Antiqua"/>
          <w:b/>
          <w:bCs/>
        </w:rPr>
        <w:t xml:space="preserve"> RA</w:t>
      </w:r>
      <w:r w:rsidRPr="002D79FB">
        <w:rPr>
          <w:rFonts w:ascii="Book Antiqua" w:hAnsi="Book Antiqua"/>
        </w:rPr>
        <w:t xml:space="preserve">, </w:t>
      </w:r>
      <w:proofErr w:type="spellStart"/>
      <w:r w:rsidRPr="002D79FB">
        <w:rPr>
          <w:rFonts w:ascii="Book Antiqua" w:hAnsi="Book Antiqua"/>
        </w:rPr>
        <w:t>Ferrannini</w:t>
      </w:r>
      <w:proofErr w:type="spellEnd"/>
      <w:r w:rsidRPr="002D79FB">
        <w:rPr>
          <w:rFonts w:ascii="Book Antiqua" w:hAnsi="Book Antiqua"/>
        </w:rPr>
        <w:t xml:space="preserve"> E, </w:t>
      </w:r>
      <w:proofErr w:type="spellStart"/>
      <w:r w:rsidRPr="002D79FB">
        <w:rPr>
          <w:rFonts w:ascii="Book Antiqua" w:hAnsi="Book Antiqua"/>
        </w:rPr>
        <w:t>Groop</w:t>
      </w:r>
      <w:proofErr w:type="spellEnd"/>
      <w:r w:rsidRPr="002D79FB">
        <w:rPr>
          <w:rFonts w:ascii="Book Antiqua" w:hAnsi="Book Antiqua"/>
        </w:rPr>
        <w:t xml:space="preserve"> L, Henry RR, Herman WH, Holst JJ, Hu FB, Kahn CR, Raz I, Shulman GI, Simonson DC, Testa MA, Weiss R. Type 2 diabetes mellitus. </w:t>
      </w:r>
      <w:r w:rsidRPr="002D79FB">
        <w:rPr>
          <w:rFonts w:ascii="Book Antiqua" w:hAnsi="Book Antiqua"/>
          <w:i/>
          <w:iCs/>
        </w:rPr>
        <w:t>Nat Rev Dis Primers</w:t>
      </w:r>
      <w:r w:rsidRPr="002D79FB">
        <w:rPr>
          <w:rFonts w:ascii="Book Antiqua" w:hAnsi="Book Antiqua"/>
        </w:rPr>
        <w:t xml:space="preserve"> 2015; </w:t>
      </w:r>
      <w:r w:rsidRPr="002D79FB">
        <w:rPr>
          <w:rFonts w:ascii="Book Antiqua" w:hAnsi="Book Antiqua"/>
          <w:b/>
          <w:bCs/>
        </w:rPr>
        <w:t>1</w:t>
      </w:r>
      <w:r w:rsidRPr="002D79FB">
        <w:rPr>
          <w:rFonts w:ascii="Book Antiqua" w:hAnsi="Book Antiqua"/>
        </w:rPr>
        <w:t>: 15019 [PMID: 27189025 DOI: 10.1038/nrdp.2015.19]</w:t>
      </w:r>
    </w:p>
    <w:p w14:paraId="01FC5D68"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13 </w:t>
      </w:r>
      <w:proofErr w:type="spellStart"/>
      <w:r w:rsidRPr="002D79FB">
        <w:rPr>
          <w:rFonts w:ascii="Book Antiqua" w:hAnsi="Book Antiqua"/>
          <w:b/>
          <w:bCs/>
        </w:rPr>
        <w:t>Bayram</w:t>
      </w:r>
      <w:proofErr w:type="spellEnd"/>
      <w:r w:rsidRPr="002D79FB">
        <w:rPr>
          <w:rFonts w:ascii="Book Antiqua" w:hAnsi="Book Antiqua"/>
          <w:b/>
          <w:bCs/>
        </w:rPr>
        <w:t xml:space="preserve"> F</w:t>
      </w:r>
      <w:r w:rsidRPr="002D79FB">
        <w:rPr>
          <w:rFonts w:ascii="Book Antiqua" w:hAnsi="Book Antiqua"/>
        </w:rPr>
        <w:t xml:space="preserve">, </w:t>
      </w:r>
      <w:proofErr w:type="spellStart"/>
      <w:r w:rsidRPr="002D79FB">
        <w:rPr>
          <w:rFonts w:ascii="Book Antiqua" w:hAnsi="Book Antiqua"/>
        </w:rPr>
        <w:t>Kocer</w:t>
      </w:r>
      <w:proofErr w:type="spellEnd"/>
      <w:r w:rsidRPr="002D79FB">
        <w:rPr>
          <w:rFonts w:ascii="Book Antiqua" w:hAnsi="Book Antiqua"/>
        </w:rPr>
        <w:t xml:space="preserve"> D, </w:t>
      </w:r>
      <w:proofErr w:type="spellStart"/>
      <w:r w:rsidRPr="002D79FB">
        <w:rPr>
          <w:rFonts w:ascii="Book Antiqua" w:hAnsi="Book Antiqua"/>
        </w:rPr>
        <w:t>Gundogan</w:t>
      </w:r>
      <w:proofErr w:type="spellEnd"/>
      <w:r w:rsidRPr="002D79FB">
        <w:rPr>
          <w:rFonts w:ascii="Book Antiqua" w:hAnsi="Book Antiqua"/>
        </w:rPr>
        <w:t xml:space="preserve"> K, Kaya A, </w:t>
      </w:r>
      <w:proofErr w:type="spellStart"/>
      <w:r w:rsidRPr="002D79FB">
        <w:rPr>
          <w:rFonts w:ascii="Book Antiqua" w:hAnsi="Book Antiqua"/>
        </w:rPr>
        <w:t>Demir</w:t>
      </w:r>
      <w:proofErr w:type="spellEnd"/>
      <w:r w:rsidRPr="002D79FB">
        <w:rPr>
          <w:rFonts w:ascii="Book Antiqua" w:hAnsi="Book Antiqua"/>
        </w:rPr>
        <w:t xml:space="preserve"> O, </w:t>
      </w:r>
      <w:proofErr w:type="spellStart"/>
      <w:r w:rsidRPr="002D79FB">
        <w:rPr>
          <w:rFonts w:ascii="Book Antiqua" w:hAnsi="Book Antiqua"/>
        </w:rPr>
        <w:t>Coskun</w:t>
      </w:r>
      <w:proofErr w:type="spellEnd"/>
      <w:r w:rsidRPr="002D79FB">
        <w:rPr>
          <w:rFonts w:ascii="Book Antiqua" w:hAnsi="Book Antiqua"/>
        </w:rPr>
        <w:t xml:space="preserve"> R, </w:t>
      </w:r>
      <w:proofErr w:type="spellStart"/>
      <w:r w:rsidRPr="002D79FB">
        <w:rPr>
          <w:rFonts w:ascii="Book Antiqua" w:hAnsi="Book Antiqua"/>
        </w:rPr>
        <w:t>Sabuncu</w:t>
      </w:r>
      <w:proofErr w:type="spellEnd"/>
      <w:r w:rsidRPr="002D79FB">
        <w:rPr>
          <w:rFonts w:ascii="Book Antiqua" w:hAnsi="Book Antiqua"/>
        </w:rPr>
        <w:t xml:space="preserve"> T, </w:t>
      </w:r>
      <w:proofErr w:type="spellStart"/>
      <w:r w:rsidRPr="002D79FB">
        <w:rPr>
          <w:rFonts w:ascii="Book Antiqua" w:hAnsi="Book Antiqua"/>
        </w:rPr>
        <w:t>Karaman</w:t>
      </w:r>
      <w:proofErr w:type="spellEnd"/>
      <w:r w:rsidRPr="002D79FB">
        <w:rPr>
          <w:rFonts w:ascii="Book Antiqua" w:hAnsi="Book Antiqua"/>
        </w:rPr>
        <w:t xml:space="preserve"> A, </w:t>
      </w:r>
      <w:proofErr w:type="spellStart"/>
      <w:r w:rsidRPr="002D79FB">
        <w:rPr>
          <w:rFonts w:ascii="Book Antiqua" w:hAnsi="Book Antiqua"/>
        </w:rPr>
        <w:t>Cesur</w:t>
      </w:r>
      <w:proofErr w:type="spellEnd"/>
      <w:r w:rsidRPr="002D79FB">
        <w:rPr>
          <w:rFonts w:ascii="Book Antiqua" w:hAnsi="Book Antiqua"/>
        </w:rPr>
        <w:t xml:space="preserve"> M, Rizzo M, </w:t>
      </w:r>
      <w:proofErr w:type="spellStart"/>
      <w:r w:rsidRPr="002D79FB">
        <w:rPr>
          <w:rFonts w:ascii="Book Antiqua" w:hAnsi="Book Antiqua"/>
        </w:rPr>
        <w:t>Toth</w:t>
      </w:r>
      <w:proofErr w:type="spellEnd"/>
      <w:r w:rsidRPr="002D79FB">
        <w:rPr>
          <w:rFonts w:ascii="Book Antiqua" w:hAnsi="Book Antiqua"/>
        </w:rPr>
        <w:t xml:space="preserve"> PP, </w:t>
      </w:r>
      <w:proofErr w:type="spellStart"/>
      <w:r w:rsidRPr="002D79FB">
        <w:rPr>
          <w:rFonts w:ascii="Book Antiqua" w:hAnsi="Book Antiqua"/>
        </w:rPr>
        <w:t>Gedik</w:t>
      </w:r>
      <w:proofErr w:type="spellEnd"/>
      <w:r w:rsidRPr="002D79FB">
        <w:rPr>
          <w:rFonts w:ascii="Book Antiqua" w:hAnsi="Book Antiqua"/>
        </w:rPr>
        <w:t xml:space="preserve"> V. Prevalence of dyslipidemia and associated risk factors in Turkish adults. </w:t>
      </w:r>
      <w:r w:rsidRPr="002D79FB">
        <w:rPr>
          <w:rFonts w:ascii="Book Antiqua" w:hAnsi="Book Antiqua"/>
          <w:i/>
          <w:iCs/>
        </w:rPr>
        <w:t xml:space="preserve">J </w:t>
      </w:r>
      <w:proofErr w:type="spellStart"/>
      <w:r w:rsidRPr="002D79FB">
        <w:rPr>
          <w:rFonts w:ascii="Book Antiqua" w:hAnsi="Book Antiqua"/>
          <w:i/>
          <w:iCs/>
        </w:rPr>
        <w:t>Clin</w:t>
      </w:r>
      <w:proofErr w:type="spellEnd"/>
      <w:r w:rsidRPr="002D79FB">
        <w:rPr>
          <w:rFonts w:ascii="Book Antiqua" w:hAnsi="Book Antiqua"/>
          <w:i/>
          <w:iCs/>
        </w:rPr>
        <w:t xml:space="preserve"> </w:t>
      </w:r>
      <w:proofErr w:type="spellStart"/>
      <w:r w:rsidRPr="002D79FB">
        <w:rPr>
          <w:rFonts w:ascii="Book Antiqua" w:hAnsi="Book Antiqua"/>
          <w:i/>
          <w:iCs/>
        </w:rPr>
        <w:t>Lipidol</w:t>
      </w:r>
      <w:proofErr w:type="spellEnd"/>
      <w:r w:rsidRPr="002D79FB">
        <w:rPr>
          <w:rFonts w:ascii="Book Antiqua" w:hAnsi="Book Antiqua"/>
        </w:rPr>
        <w:t xml:space="preserve"> 2014; </w:t>
      </w:r>
      <w:r w:rsidRPr="002D79FB">
        <w:rPr>
          <w:rFonts w:ascii="Book Antiqua" w:hAnsi="Book Antiqua"/>
          <w:b/>
          <w:bCs/>
        </w:rPr>
        <w:t>8</w:t>
      </w:r>
      <w:r w:rsidRPr="002D79FB">
        <w:rPr>
          <w:rFonts w:ascii="Book Antiqua" w:hAnsi="Book Antiqua"/>
        </w:rPr>
        <w:t>: 206-216 [PMID: 24636181 DOI: 10.1016/j.jacl.2013.12.011]</w:t>
      </w:r>
    </w:p>
    <w:p w14:paraId="49981DF2"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14 </w:t>
      </w:r>
      <w:r w:rsidRPr="002D79FB">
        <w:rPr>
          <w:rFonts w:ascii="Book Antiqua" w:hAnsi="Book Antiqua"/>
          <w:b/>
          <w:bCs/>
        </w:rPr>
        <w:t>Pop-</w:t>
      </w:r>
      <w:proofErr w:type="spellStart"/>
      <w:r w:rsidRPr="002D79FB">
        <w:rPr>
          <w:rFonts w:ascii="Book Antiqua" w:hAnsi="Book Antiqua"/>
          <w:b/>
          <w:bCs/>
        </w:rPr>
        <w:t>Busui</w:t>
      </w:r>
      <w:proofErr w:type="spellEnd"/>
      <w:r w:rsidRPr="002D79FB">
        <w:rPr>
          <w:rFonts w:ascii="Book Antiqua" w:hAnsi="Book Antiqua"/>
          <w:b/>
          <w:bCs/>
        </w:rPr>
        <w:t xml:space="preserve"> R</w:t>
      </w:r>
      <w:r w:rsidRPr="002D79FB">
        <w:rPr>
          <w:rFonts w:ascii="Book Antiqua" w:hAnsi="Book Antiqua"/>
        </w:rPr>
        <w:t xml:space="preserve">, </w:t>
      </w:r>
      <w:proofErr w:type="spellStart"/>
      <w:r w:rsidRPr="002D79FB">
        <w:rPr>
          <w:rFonts w:ascii="Book Antiqua" w:hAnsi="Book Antiqua"/>
        </w:rPr>
        <w:t>Boulton</w:t>
      </w:r>
      <w:proofErr w:type="spellEnd"/>
      <w:r w:rsidRPr="002D79FB">
        <w:rPr>
          <w:rFonts w:ascii="Book Antiqua" w:hAnsi="Book Antiqua"/>
        </w:rPr>
        <w:t xml:space="preserve"> AJ, Feldman EL, </w:t>
      </w:r>
      <w:proofErr w:type="spellStart"/>
      <w:r w:rsidRPr="002D79FB">
        <w:rPr>
          <w:rFonts w:ascii="Book Antiqua" w:hAnsi="Book Antiqua"/>
        </w:rPr>
        <w:t>Bril</w:t>
      </w:r>
      <w:proofErr w:type="spellEnd"/>
      <w:r w:rsidRPr="002D79FB">
        <w:rPr>
          <w:rFonts w:ascii="Book Antiqua" w:hAnsi="Book Antiqua"/>
        </w:rPr>
        <w:t xml:space="preserve"> V, Freeman R, Malik RA, </w:t>
      </w:r>
      <w:proofErr w:type="spellStart"/>
      <w:r w:rsidRPr="002D79FB">
        <w:rPr>
          <w:rFonts w:ascii="Book Antiqua" w:hAnsi="Book Antiqua"/>
        </w:rPr>
        <w:t>Sosenko</w:t>
      </w:r>
      <w:proofErr w:type="spellEnd"/>
      <w:r w:rsidRPr="002D79FB">
        <w:rPr>
          <w:rFonts w:ascii="Book Antiqua" w:hAnsi="Book Antiqua"/>
        </w:rPr>
        <w:t xml:space="preserve"> JM, Ziegler D. Diabetic Neuropathy: A Position Statement by the American Diabetes Association. </w:t>
      </w:r>
      <w:r w:rsidRPr="002D79FB">
        <w:rPr>
          <w:rFonts w:ascii="Book Antiqua" w:hAnsi="Book Antiqua"/>
          <w:i/>
          <w:iCs/>
        </w:rPr>
        <w:t>Diabetes Care</w:t>
      </w:r>
      <w:r w:rsidRPr="002D79FB">
        <w:rPr>
          <w:rFonts w:ascii="Book Antiqua" w:hAnsi="Book Antiqua"/>
        </w:rPr>
        <w:t xml:space="preserve"> 2017; </w:t>
      </w:r>
      <w:r w:rsidRPr="002D79FB">
        <w:rPr>
          <w:rFonts w:ascii="Book Antiqua" w:hAnsi="Book Antiqua"/>
          <w:b/>
          <w:bCs/>
        </w:rPr>
        <w:t>40</w:t>
      </w:r>
      <w:r w:rsidRPr="002D79FB">
        <w:rPr>
          <w:rFonts w:ascii="Book Antiqua" w:hAnsi="Book Antiqua"/>
        </w:rPr>
        <w:t>: 136-154 [PMID: 27999003 DOI: 10.2337/dc16-2042]</w:t>
      </w:r>
    </w:p>
    <w:p w14:paraId="6BC1AB79"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15 </w:t>
      </w:r>
      <w:proofErr w:type="spellStart"/>
      <w:r w:rsidRPr="002D79FB">
        <w:rPr>
          <w:rFonts w:ascii="Book Antiqua" w:hAnsi="Book Antiqua"/>
          <w:b/>
          <w:bCs/>
        </w:rPr>
        <w:t>Charlson</w:t>
      </w:r>
      <w:proofErr w:type="spellEnd"/>
      <w:r w:rsidRPr="002D79FB">
        <w:rPr>
          <w:rFonts w:ascii="Book Antiqua" w:hAnsi="Book Antiqua"/>
          <w:b/>
          <w:bCs/>
        </w:rPr>
        <w:t xml:space="preserve"> ME</w:t>
      </w:r>
      <w:r w:rsidRPr="002D79FB">
        <w:rPr>
          <w:rFonts w:ascii="Book Antiqua" w:hAnsi="Book Antiqua"/>
        </w:rPr>
        <w:t xml:space="preserve">, </w:t>
      </w:r>
      <w:proofErr w:type="spellStart"/>
      <w:r w:rsidRPr="002D79FB">
        <w:rPr>
          <w:rFonts w:ascii="Book Antiqua" w:hAnsi="Book Antiqua"/>
        </w:rPr>
        <w:t>Pompei</w:t>
      </w:r>
      <w:proofErr w:type="spellEnd"/>
      <w:r w:rsidRPr="002D79FB">
        <w:rPr>
          <w:rFonts w:ascii="Book Antiqua" w:hAnsi="Book Antiqua"/>
        </w:rPr>
        <w:t xml:space="preserve"> P, Ales KL, </w:t>
      </w:r>
      <w:proofErr w:type="spellStart"/>
      <w:r w:rsidRPr="002D79FB">
        <w:rPr>
          <w:rFonts w:ascii="Book Antiqua" w:hAnsi="Book Antiqua"/>
        </w:rPr>
        <w:t>MacKenzie</w:t>
      </w:r>
      <w:proofErr w:type="spellEnd"/>
      <w:r w:rsidRPr="002D79FB">
        <w:rPr>
          <w:rFonts w:ascii="Book Antiqua" w:hAnsi="Book Antiqua"/>
        </w:rPr>
        <w:t xml:space="preserve"> CR. A new method of classifying prognostic comorbidity in longitudinal studies: development and validation. </w:t>
      </w:r>
      <w:r w:rsidRPr="002D79FB">
        <w:rPr>
          <w:rFonts w:ascii="Book Antiqua" w:hAnsi="Book Antiqua"/>
          <w:i/>
          <w:iCs/>
        </w:rPr>
        <w:t>J Chronic Dis</w:t>
      </w:r>
      <w:r w:rsidRPr="002D79FB">
        <w:rPr>
          <w:rFonts w:ascii="Book Antiqua" w:hAnsi="Book Antiqua"/>
        </w:rPr>
        <w:t xml:space="preserve"> 1987; </w:t>
      </w:r>
      <w:r w:rsidRPr="002D79FB">
        <w:rPr>
          <w:rFonts w:ascii="Book Antiqua" w:hAnsi="Book Antiqua"/>
          <w:b/>
          <w:bCs/>
        </w:rPr>
        <w:t>40</w:t>
      </w:r>
      <w:r w:rsidRPr="002D79FB">
        <w:rPr>
          <w:rFonts w:ascii="Book Antiqua" w:hAnsi="Book Antiqua"/>
        </w:rPr>
        <w:t>: 373-383 [PMID: 3558716 DOI: 10.1016/0021-9681(87)90171-8]</w:t>
      </w:r>
    </w:p>
    <w:p w14:paraId="7FDC3AA3"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16 </w:t>
      </w:r>
      <w:proofErr w:type="spellStart"/>
      <w:r w:rsidRPr="002D79FB">
        <w:rPr>
          <w:rFonts w:ascii="Book Antiqua" w:hAnsi="Book Antiqua"/>
          <w:b/>
          <w:bCs/>
        </w:rPr>
        <w:t>Pergolizzi</w:t>
      </w:r>
      <w:proofErr w:type="spellEnd"/>
      <w:r w:rsidRPr="002D79FB">
        <w:rPr>
          <w:rFonts w:ascii="Book Antiqua" w:hAnsi="Book Antiqua"/>
          <w:b/>
          <w:bCs/>
        </w:rPr>
        <w:t xml:space="preserve"> JV Jr</w:t>
      </w:r>
      <w:r w:rsidRPr="002D79FB">
        <w:rPr>
          <w:rFonts w:ascii="Book Antiqua" w:hAnsi="Book Antiqua"/>
        </w:rPr>
        <w:t xml:space="preserve">, Magnusson P, </w:t>
      </w:r>
      <w:proofErr w:type="spellStart"/>
      <w:r w:rsidRPr="002D79FB">
        <w:rPr>
          <w:rFonts w:ascii="Book Antiqua" w:hAnsi="Book Antiqua"/>
        </w:rPr>
        <w:t>LeQuang</w:t>
      </w:r>
      <w:proofErr w:type="spellEnd"/>
      <w:r w:rsidRPr="002D79FB">
        <w:rPr>
          <w:rFonts w:ascii="Book Antiqua" w:hAnsi="Book Antiqua"/>
        </w:rPr>
        <w:t xml:space="preserve"> JA, </w:t>
      </w:r>
      <w:proofErr w:type="spellStart"/>
      <w:r w:rsidRPr="002D79FB">
        <w:rPr>
          <w:rFonts w:ascii="Book Antiqua" w:hAnsi="Book Antiqua"/>
        </w:rPr>
        <w:t>Razmi</w:t>
      </w:r>
      <w:proofErr w:type="spellEnd"/>
      <w:r w:rsidRPr="002D79FB">
        <w:rPr>
          <w:rFonts w:ascii="Book Antiqua" w:hAnsi="Book Antiqua"/>
        </w:rPr>
        <w:t xml:space="preserve"> R, Zampogna G, Taylor R Jr. Statins and Neuropathic Pain: A Narrative Review. </w:t>
      </w:r>
      <w:r w:rsidRPr="002D79FB">
        <w:rPr>
          <w:rFonts w:ascii="Book Antiqua" w:hAnsi="Book Antiqua"/>
          <w:i/>
          <w:iCs/>
        </w:rPr>
        <w:t xml:space="preserve">Pain </w:t>
      </w:r>
      <w:proofErr w:type="spellStart"/>
      <w:r w:rsidRPr="002D79FB">
        <w:rPr>
          <w:rFonts w:ascii="Book Antiqua" w:hAnsi="Book Antiqua"/>
          <w:i/>
          <w:iCs/>
        </w:rPr>
        <w:t>Ther</w:t>
      </w:r>
      <w:proofErr w:type="spellEnd"/>
      <w:r w:rsidRPr="002D79FB">
        <w:rPr>
          <w:rFonts w:ascii="Book Antiqua" w:hAnsi="Book Antiqua"/>
        </w:rPr>
        <w:t xml:space="preserve"> 2020; </w:t>
      </w:r>
      <w:r w:rsidRPr="002D79FB">
        <w:rPr>
          <w:rFonts w:ascii="Book Antiqua" w:hAnsi="Book Antiqua"/>
          <w:b/>
          <w:bCs/>
        </w:rPr>
        <w:t>9</w:t>
      </w:r>
      <w:r w:rsidRPr="002D79FB">
        <w:rPr>
          <w:rFonts w:ascii="Book Antiqua" w:hAnsi="Book Antiqua"/>
        </w:rPr>
        <w:t>: 97-111 [PMID: 32020545 DOI: 10.1007/s40122-020-00153-9]</w:t>
      </w:r>
    </w:p>
    <w:p w14:paraId="3EC27ED1"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17 </w:t>
      </w:r>
      <w:r w:rsidRPr="002D79FB">
        <w:rPr>
          <w:rFonts w:ascii="Book Antiqua" w:hAnsi="Book Antiqua"/>
          <w:b/>
          <w:bCs/>
        </w:rPr>
        <w:t>American Diabetes Association.</w:t>
      </w:r>
      <w:r w:rsidRPr="002D79FB">
        <w:rPr>
          <w:rFonts w:ascii="Book Antiqua" w:hAnsi="Book Antiqua"/>
        </w:rPr>
        <w:t xml:space="preserve">. 10. Microvascular Complications and Foot Care: </w:t>
      </w:r>
      <w:r w:rsidRPr="002D79FB">
        <w:rPr>
          <w:rFonts w:ascii="Book Antiqua" w:hAnsi="Book Antiqua"/>
          <w:i/>
          <w:iCs/>
        </w:rPr>
        <w:t>Standards of Medical Care in Diabetes-2018</w:t>
      </w:r>
      <w:r w:rsidRPr="002D79FB">
        <w:rPr>
          <w:rFonts w:ascii="Book Antiqua" w:hAnsi="Book Antiqua"/>
        </w:rPr>
        <w:t xml:space="preserve">. </w:t>
      </w:r>
      <w:r w:rsidRPr="002D79FB">
        <w:rPr>
          <w:rFonts w:ascii="Book Antiqua" w:hAnsi="Book Antiqua"/>
          <w:i/>
          <w:iCs/>
        </w:rPr>
        <w:t>Diabetes Care</w:t>
      </w:r>
      <w:r w:rsidRPr="002D79FB">
        <w:rPr>
          <w:rFonts w:ascii="Book Antiqua" w:hAnsi="Book Antiqua"/>
        </w:rPr>
        <w:t xml:space="preserve"> 2018; </w:t>
      </w:r>
      <w:r w:rsidRPr="002D79FB">
        <w:rPr>
          <w:rFonts w:ascii="Book Antiqua" w:hAnsi="Book Antiqua"/>
          <w:b/>
          <w:bCs/>
        </w:rPr>
        <w:t>41</w:t>
      </w:r>
      <w:r w:rsidRPr="002D79FB">
        <w:rPr>
          <w:rFonts w:ascii="Book Antiqua" w:hAnsi="Book Antiqua"/>
        </w:rPr>
        <w:t>: S105-S118 [PMID: 29222381 DOI: 10.2337/dc18-S010]</w:t>
      </w:r>
    </w:p>
    <w:p w14:paraId="4687FEA7" w14:textId="77777777" w:rsidR="000A0F93" w:rsidRPr="002D79FB" w:rsidRDefault="000A0F93" w:rsidP="002D79FB">
      <w:pPr>
        <w:spacing w:line="360" w:lineRule="auto"/>
        <w:jc w:val="both"/>
        <w:rPr>
          <w:rFonts w:ascii="Book Antiqua" w:hAnsi="Book Antiqua"/>
        </w:rPr>
      </w:pPr>
      <w:r w:rsidRPr="002D79FB">
        <w:rPr>
          <w:rFonts w:ascii="Book Antiqua" w:hAnsi="Book Antiqua"/>
        </w:rPr>
        <w:lastRenderedPageBreak/>
        <w:t xml:space="preserve">18 </w:t>
      </w:r>
      <w:proofErr w:type="spellStart"/>
      <w:r w:rsidRPr="002D79FB">
        <w:rPr>
          <w:rFonts w:ascii="Book Antiqua" w:hAnsi="Book Antiqua"/>
          <w:b/>
          <w:bCs/>
        </w:rPr>
        <w:t>Lós</w:t>
      </w:r>
      <w:proofErr w:type="spellEnd"/>
      <w:r w:rsidRPr="002D79FB">
        <w:rPr>
          <w:rFonts w:ascii="Book Antiqua" w:hAnsi="Book Antiqua"/>
          <w:b/>
          <w:bCs/>
        </w:rPr>
        <w:t xml:space="preserve"> DB</w:t>
      </w:r>
      <w:r w:rsidRPr="002D79FB">
        <w:rPr>
          <w:rFonts w:ascii="Book Antiqua" w:hAnsi="Book Antiqua"/>
        </w:rPr>
        <w:t xml:space="preserve">, Oliveira WH, Duarte-Silva E, </w:t>
      </w:r>
      <w:proofErr w:type="spellStart"/>
      <w:r w:rsidRPr="002D79FB">
        <w:rPr>
          <w:rFonts w:ascii="Book Antiqua" w:hAnsi="Book Antiqua"/>
        </w:rPr>
        <w:t>Sougey</w:t>
      </w:r>
      <w:proofErr w:type="spellEnd"/>
      <w:r w:rsidRPr="002D79FB">
        <w:rPr>
          <w:rFonts w:ascii="Book Antiqua" w:hAnsi="Book Antiqua"/>
        </w:rPr>
        <w:t xml:space="preserve"> WWD, Freitas EDSR, de Oliveira AGV, Braga CF, </w:t>
      </w:r>
      <w:proofErr w:type="spellStart"/>
      <w:r w:rsidRPr="002D79FB">
        <w:rPr>
          <w:rFonts w:ascii="Book Antiqua" w:hAnsi="Book Antiqua"/>
        </w:rPr>
        <w:t>França</w:t>
      </w:r>
      <w:proofErr w:type="spellEnd"/>
      <w:r w:rsidRPr="002D79FB">
        <w:rPr>
          <w:rFonts w:ascii="Book Antiqua" w:hAnsi="Book Antiqua"/>
        </w:rPr>
        <w:t xml:space="preserve"> MER, </w:t>
      </w:r>
      <w:proofErr w:type="spellStart"/>
      <w:r w:rsidRPr="002D79FB">
        <w:rPr>
          <w:rFonts w:ascii="Book Antiqua" w:hAnsi="Book Antiqua"/>
        </w:rPr>
        <w:t>Araújo</w:t>
      </w:r>
      <w:proofErr w:type="spellEnd"/>
      <w:r w:rsidRPr="002D79FB">
        <w:rPr>
          <w:rFonts w:ascii="Book Antiqua" w:hAnsi="Book Antiqua"/>
        </w:rPr>
        <w:t xml:space="preserve"> SMDR, Rodrigues GB, Rocha SWS, </w:t>
      </w:r>
      <w:proofErr w:type="spellStart"/>
      <w:r w:rsidRPr="002D79FB">
        <w:rPr>
          <w:rFonts w:ascii="Book Antiqua" w:hAnsi="Book Antiqua"/>
        </w:rPr>
        <w:t>Peixoto</w:t>
      </w:r>
      <w:proofErr w:type="spellEnd"/>
      <w:r w:rsidRPr="002D79FB">
        <w:rPr>
          <w:rFonts w:ascii="Book Antiqua" w:hAnsi="Book Antiqua"/>
        </w:rPr>
        <w:t xml:space="preserve"> CA, </w:t>
      </w:r>
      <w:proofErr w:type="spellStart"/>
      <w:r w:rsidRPr="002D79FB">
        <w:rPr>
          <w:rFonts w:ascii="Book Antiqua" w:hAnsi="Book Antiqua"/>
        </w:rPr>
        <w:t>Moraes</w:t>
      </w:r>
      <w:proofErr w:type="spellEnd"/>
      <w:r w:rsidRPr="002D79FB">
        <w:rPr>
          <w:rFonts w:ascii="Book Antiqua" w:hAnsi="Book Antiqua"/>
        </w:rPr>
        <w:t xml:space="preserve"> SRA. Preventive role of metformin on peripheral neuropathy induced by diabetes. </w:t>
      </w:r>
      <w:proofErr w:type="spellStart"/>
      <w:r w:rsidRPr="002D79FB">
        <w:rPr>
          <w:rFonts w:ascii="Book Antiqua" w:hAnsi="Book Antiqua"/>
          <w:i/>
          <w:iCs/>
        </w:rPr>
        <w:t>Int</w:t>
      </w:r>
      <w:proofErr w:type="spellEnd"/>
      <w:r w:rsidRPr="002D79FB">
        <w:rPr>
          <w:rFonts w:ascii="Book Antiqua" w:hAnsi="Book Antiqua"/>
          <w:i/>
          <w:iCs/>
        </w:rPr>
        <w:t xml:space="preserve"> </w:t>
      </w:r>
      <w:proofErr w:type="spellStart"/>
      <w:r w:rsidRPr="002D79FB">
        <w:rPr>
          <w:rFonts w:ascii="Book Antiqua" w:hAnsi="Book Antiqua"/>
          <w:i/>
          <w:iCs/>
        </w:rPr>
        <w:t>Immunopharmacol</w:t>
      </w:r>
      <w:proofErr w:type="spellEnd"/>
      <w:r w:rsidRPr="002D79FB">
        <w:rPr>
          <w:rFonts w:ascii="Book Antiqua" w:hAnsi="Book Antiqua"/>
        </w:rPr>
        <w:t xml:space="preserve"> 2019; </w:t>
      </w:r>
      <w:r w:rsidRPr="002D79FB">
        <w:rPr>
          <w:rFonts w:ascii="Book Antiqua" w:hAnsi="Book Antiqua"/>
          <w:b/>
          <w:bCs/>
        </w:rPr>
        <w:t>74</w:t>
      </w:r>
      <w:r w:rsidRPr="002D79FB">
        <w:rPr>
          <w:rFonts w:ascii="Book Antiqua" w:hAnsi="Book Antiqua"/>
        </w:rPr>
        <w:t>: 105672 [PMID: 31195189 DOI: 10.1016/j.intimp.2019.05.057]</w:t>
      </w:r>
    </w:p>
    <w:p w14:paraId="6A4127A1"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19 </w:t>
      </w:r>
      <w:r w:rsidRPr="002D79FB">
        <w:rPr>
          <w:rFonts w:ascii="Book Antiqua" w:hAnsi="Book Antiqua"/>
          <w:b/>
          <w:bCs/>
        </w:rPr>
        <w:t>Kim SH</w:t>
      </w:r>
      <w:r w:rsidRPr="002D79FB">
        <w:rPr>
          <w:rFonts w:ascii="Book Antiqua" w:hAnsi="Book Antiqua"/>
        </w:rPr>
        <w:t xml:space="preserve">, Park TS, Jin HY. Metformin Preserves Peripheral Nerve Damage with Comparable Effects to Alpha Lipoic Acid in Streptozotocin/High-Fat Diet Induced Diabetic Rats. </w:t>
      </w:r>
      <w:r w:rsidRPr="002D79FB">
        <w:rPr>
          <w:rFonts w:ascii="Book Antiqua" w:hAnsi="Book Antiqua"/>
          <w:i/>
          <w:iCs/>
        </w:rPr>
        <w:t xml:space="preserve">Diabetes </w:t>
      </w:r>
      <w:proofErr w:type="spellStart"/>
      <w:r w:rsidRPr="002D79FB">
        <w:rPr>
          <w:rFonts w:ascii="Book Antiqua" w:hAnsi="Book Antiqua"/>
          <w:i/>
          <w:iCs/>
        </w:rPr>
        <w:t>Metab</w:t>
      </w:r>
      <w:proofErr w:type="spellEnd"/>
      <w:r w:rsidRPr="002D79FB">
        <w:rPr>
          <w:rFonts w:ascii="Book Antiqua" w:hAnsi="Book Antiqua"/>
          <w:i/>
          <w:iCs/>
        </w:rPr>
        <w:t xml:space="preserve"> J</w:t>
      </w:r>
      <w:r w:rsidRPr="002D79FB">
        <w:rPr>
          <w:rFonts w:ascii="Book Antiqua" w:hAnsi="Book Antiqua"/>
        </w:rPr>
        <w:t xml:space="preserve"> 2020; </w:t>
      </w:r>
      <w:r w:rsidRPr="002D79FB">
        <w:rPr>
          <w:rFonts w:ascii="Book Antiqua" w:hAnsi="Book Antiqua"/>
          <w:b/>
          <w:bCs/>
        </w:rPr>
        <w:t>44</w:t>
      </w:r>
      <w:r w:rsidRPr="002D79FB">
        <w:rPr>
          <w:rFonts w:ascii="Book Antiqua" w:hAnsi="Book Antiqua"/>
        </w:rPr>
        <w:t>: 842-853 [PMID: 32602278 DOI: 10.4093/dmj.2019.0190]</w:t>
      </w:r>
    </w:p>
    <w:p w14:paraId="609A38F5"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20 </w:t>
      </w:r>
      <w:proofErr w:type="spellStart"/>
      <w:r w:rsidRPr="002D79FB">
        <w:rPr>
          <w:rFonts w:ascii="Book Antiqua" w:hAnsi="Book Antiqua"/>
          <w:b/>
          <w:bCs/>
        </w:rPr>
        <w:t>Aroda</w:t>
      </w:r>
      <w:proofErr w:type="spellEnd"/>
      <w:r w:rsidRPr="002D79FB">
        <w:rPr>
          <w:rFonts w:ascii="Book Antiqua" w:hAnsi="Book Antiqua"/>
          <w:b/>
          <w:bCs/>
        </w:rPr>
        <w:t xml:space="preserve"> VR</w:t>
      </w:r>
      <w:r w:rsidRPr="002D79FB">
        <w:rPr>
          <w:rFonts w:ascii="Book Antiqua" w:hAnsi="Book Antiqua"/>
        </w:rPr>
        <w:t xml:space="preserve">, Edelstein SL, Goldberg RB, </w:t>
      </w:r>
      <w:proofErr w:type="spellStart"/>
      <w:r w:rsidRPr="002D79FB">
        <w:rPr>
          <w:rFonts w:ascii="Book Antiqua" w:hAnsi="Book Antiqua"/>
        </w:rPr>
        <w:t>Knowler</w:t>
      </w:r>
      <w:proofErr w:type="spellEnd"/>
      <w:r w:rsidRPr="002D79FB">
        <w:rPr>
          <w:rFonts w:ascii="Book Antiqua" w:hAnsi="Book Antiqua"/>
        </w:rPr>
        <w:t xml:space="preserve"> WC, </w:t>
      </w:r>
      <w:proofErr w:type="spellStart"/>
      <w:r w:rsidRPr="002D79FB">
        <w:rPr>
          <w:rFonts w:ascii="Book Antiqua" w:hAnsi="Book Antiqua"/>
        </w:rPr>
        <w:t>Marcovina</w:t>
      </w:r>
      <w:proofErr w:type="spellEnd"/>
      <w:r w:rsidRPr="002D79FB">
        <w:rPr>
          <w:rFonts w:ascii="Book Antiqua" w:hAnsi="Book Antiqua"/>
        </w:rPr>
        <w:t xml:space="preserve"> SM, Orchard TJ, Bray GA, </w:t>
      </w:r>
      <w:proofErr w:type="spellStart"/>
      <w:r w:rsidRPr="002D79FB">
        <w:rPr>
          <w:rFonts w:ascii="Book Antiqua" w:hAnsi="Book Antiqua"/>
        </w:rPr>
        <w:t>Schade</w:t>
      </w:r>
      <w:proofErr w:type="spellEnd"/>
      <w:r w:rsidRPr="002D79FB">
        <w:rPr>
          <w:rFonts w:ascii="Book Antiqua" w:hAnsi="Book Antiqua"/>
        </w:rPr>
        <w:t xml:space="preserve"> DS, </w:t>
      </w:r>
      <w:proofErr w:type="spellStart"/>
      <w:r w:rsidRPr="002D79FB">
        <w:rPr>
          <w:rFonts w:ascii="Book Antiqua" w:hAnsi="Book Antiqua"/>
        </w:rPr>
        <w:t>Temprosa</w:t>
      </w:r>
      <w:proofErr w:type="spellEnd"/>
      <w:r w:rsidRPr="002D79FB">
        <w:rPr>
          <w:rFonts w:ascii="Book Antiqua" w:hAnsi="Book Antiqua"/>
        </w:rPr>
        <w:t xml:space="preserve"> MG, White NH, Crandall JP; Diabetes Prevention Program Research Group. Long-term Metformin Use and Vitamin B12 Deficiency in the Diabetes Prevention Program Outcomes Study. </w:t>
      </w:r>
      <w:r w:rsidRPr="002D79FB">
        <w:rPr>
          <w:rFonts w:ascii="Book Antiqua" w:hAnsi="Book Antiqua"/>
          <w:i/>
          <w:iCs/>
        </w:rPr>
        <w:t xml:space="preserve">J </w:t>
      </w:r>
      <w:proofErr w:type="spellStart"/>
      <w:r w:rsidRPr="002D79FB">
        <w:rPr>
          <w:rFonts w:ascii="Book Antiqua" w:hAnsi="Book Antiqua"/>
          <w:i/>
          <w:iCs/>
        </w:rPr>
        <w:t>Clin</w:t>
      </w:r>
      <w:proofErr w:type="spellEnd"/>
      <w:r w:rsidRPr="002D79FB">
        <w:rPr>
          <w:rFonts w:ascii="Book Antiqua" w:hAnsi="Book Antiqua"/>
          <w:i/>
          <w:iCs/>
        </w:rPr>
        <w:t xml:space="preserve"> </w:t>
      </w:r>
      <w:proofErr w:type="spellStart"/>
      <w:r w:rsidRPr="002D79FB">
        <w:rPr>
          <w:rFonts w:ascii="Book Antiqua" w:hAnsi="Book Antiqua"/>
          <w:i/>
          <w:iCs/>
        </w:rPr>
        <w:t>Endocrinol</w:t>
      </w:r>
      <w:proofErr w:type="spellEnd"/>
      <w:r w:rsidRPr="002D79FB">
        <w:rPr>
          <w:rFonts w:ascii="Book Antiqua" w:hAnsi="Book Antiqua"/>
          <w:i/>
          <w:iCs/>
        </w:rPr>
        <w:t xml:space="preserve"> </w:t>
      </w:r>
      <w:proofErr w:type="spellStart"/>
      <w:r w:rsidRPr="002D79FB">
        <w:rPr>
          <w:rFonts w:ascii="Book Antiqua" w:hAnsi="Book Antiqua"/>
          <w:i/>
          <w:iCs/>
        </w:rPr>
        <w:t>Metab</w:t>
      </w:r>
      <w:proofErr w:type="spellEnd"/>
      <w:r w:rsidRPr="002D79FB">
        <w:rPr>
          <w:rFonts w:ascii="Book Antiqua" w:hAnsi="Book Antiqua"/>
        </w:rPr>
        <w:t xml:space="preserve"> 2016; </w:t>
      </w:r>
      <w:r w:rsidRPr="002D79FB">
        <w:rPr>
          <w:rFonts w:ascii="Book Antiqua" w:hAnsi="Book Antiqua"/>
          <w:b/>
          <w:bCs/>
        </w:rPr>
        <w:t>101</w:t>
      </w:r>
      <w:r w:rsidRPr="002D79FB">
        <w:rPr>
          <w:rFonts w:ascii="Book Antiqua" w:hAnsi="Book Antiqua"/>
        </w:rPr>
        <w:t>: 1754-1761 [PMID: 26900641 DOI: 10.1210/jc.2015-3754]</w:t>
      </w:r>
    </w:p>
    <w:p w14:paraId="01796D6D" w14:textId="3CC046B9" w:rsidR="00432FAC" w:rsidRPr="002D79FB" w:rsidRDefault="000A0F93" w:rsidP="002D79FB">
      <w:pPr>
        <w:spacing w:line="360" w:lineRule="auto"/>
        <w:jc w:val="both"/>
        <w:rPr>
          <w:rFonts w:ascii="Book Antiqua" w:hAnsi="Book Antiqua"/>
        </w:rPr>
        <w:sectPr w:rsidR="00432FAC" w:rsidRPr="002D79FB" w:rsidSect="002D79FB">
          <w:footerReference w:type="default" r:id="rId7"/>
          <w:type w:val="continuous"/>
          <w:pgSz w:w="12240" w:h="15840"/>
          <w:pgMar w:top="1440" w:right="1440" w:bottom="1440" w:left="1440" w:header="720" w:footer="720" w:gutter="0"/>
          <w:cols w:space="720"/>
          <w:docGrid w:linePitch="360"/>
        </w:sectPr>
      </w:pPr>
      <w:r w:rsidRPr="002D79FB">
        <w:rPr>
          <w:rFonts w:ascii="Book Antiqua" w:hAnsi="Book Antiqua"/>
        </w:rPr>
        <w:t xml:space="preserve">21 </w:t>
      </w:r>
      <w:r w:rsidRPr="002D79FB">
        <w:rPr>
          <w:rFonts w:ascii="Book Antiqua" w:hAnsi="Book Antiqua"/>
          <w:b/>
          <w:bCs/>
        </w:rPr>
        <w:t>Kim J</w:t>
      </w:r>
      <w:r w:rsidRPr="002D79FB">
        <w:rPr>
          <w:rFonts w:ascii="Book Antiqua" w:hAnsi="Book Antiqua"/>
        </w:rPr>
        <w:t xml:space="preserve">, </w:t>
      </w:r>
      <w:proofErr w:type="spellStart"/>
      <w:r w:rsidRPr="002D79FB">
        <w:rPr>
          <w:rFonts w:ascii="Book Antiqua" w:hAnsi="Book Antiqua"/>
        </w:rPr>
        <w:t>Ahn</w:t>
      </w:r>
      <w:proofErr w:type="spellEnd"/>
      <w:r w:rsidRPr="002D79FB">
        <w:rPr>
          <w:rFonts w:ascii="Book Antiqua" w:hAnsi="Book Antiqua"/>
        </w:rPr>
        <w:t xml:space="preserve"> CW, Fang S, Lee HS, Park JS. Association between metformin dose and vitamin B12 deficiency in patients with type 2 diabetes. </w:t>
      </w:r>
      <w:r w:rsidRPr="002D79FB">
        <w:rPr>
          <w:rFonts w:ascii="Book Antiqua" w:hAnsi="Book Antiqua"/>
          <w:i/>
          <w:iCs/>
        </w:rPr>
        <w:t>Medicine (Baltimore)</w:t>
      </w:r>
      <w:r w:rsidRPr="002D79FB">
        <w:rPr>
          <w:rFonts w:ascii="Book Antiqua" w:hAnsi="Book Antiqua"/>
        </w:rPr>
        <w:t xml:space="preserve"> 2019; </w:t>
      </w:r>
      <w:r w:rsidRPr="002D79FB">
        <w:rPr>
          <w:rFonts w:ascii="Book Antiqua" w:hAnsi="Book Antiqua"/>
          <w:b/>
          <w:bCs/>
        </w:rPr>
        <w:t>98</w:t>
      </w:r>
      <w:r w:rsidRPr="002D79FB">
        <w:rPr>
          <w:rFonts w:ascii="Book Antiqua" w:hAnsi="Book Antiqua"/>
        </w:rPr>
        <w:t>: e17918 [PMID: 31725641 DOI: 10.1097/MD.0000000000017918</w:t>
      </w:r>
      <w:bookmarkEnd w:id="26"/>
      <w:r w:rsidR="005B2216">
        <w:rPr>
          <w:rFonts w:ascii="Book Antiqua" w:hAnsi="Book Antiqua" w:hint="eastAsia"/>
          <w:lang w:eastAsia="zh-CN"/>
        </w:rPr>
        <w:t>]</w:t>
      </w:r>
      <w:bookmarkStart w:id="27" w:name="_GoBack"/>
      <w:bookmarkEnd w:id="27"/>
    </w:p>
    <w:p w14:paraId="2A67A23A" w14:textId="7985825A" w:rsidR="00A77B3E" w:rsidRPr="00401CA5" w:rsidRDefault="003D06AA" w:rsidP="00401CA5">
      <w:pPr>
        <w:spacing w:line="360" w:lineRule="auto"/>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r w:rsidR="00C42C9E" w:rsidRPr="002D79FB">
        <w:rPr>
          <w:rFonts w:ascii="Book Antiqua" w:eastAsia="Book Antiqua" w:hAnsi="Book Antiqua" w:cs="Book Antiqua"/>
          <w:b/>
          <w:color w:val="000000"/>
        </w:rPr>
        <w:lastRenderedPageBreak/>
        <w:t>Footnotes</w:t>
      </w:r>
    </w:p>
    <w:p w14:paraId="64C74451" w14:textId="4498ADB9" w:rsidR="00A77B3E" w:rsidRPr="002D79FB" w:rsidRDefault="00C42C9E" w:rsidP="00401CA5">
      <w:pPr>
        <w:spacing w:line="360" w:lineRule="auto"/>
        <w:jc w:val="both"/>
        <w:rPr>
          <w:rFonts w:ascii="Book Antiqua" w:eastAsia="Book Antiqua" w:hAnsi="Book Antiqua" w:cs="Book Antiqua"/>
          <w:color w:val="000000"/>
        </w:rPr>
      </w:pPr>
      <w:r w:rsidRPr="002D79FB">
        <w:rPr>
          <w:rFonts w:ascii="Book Antiqua" w:eastAsia="Book Antiqua" w:hAnsi="Book Antiqua" w:cs="Book Antiqua"/>
          <w:b/>
          <w:bCs/>
          <w:color w:val="000000"/>
        </w:rPr>
        <w:t xml:space="preserve">Institutional review board statement: </w:t>
      </w:r>
      <w:bookmarkStart w:id="28" w:name="OLE_LINK28"/>
      <w:r w:rsidRPr="002D79FB">
        <w:rPr>
          <w:rFonts w:ascii="Book Antiqua" w:eastAsia="Book Antiqua" w:hAnsi="Book Antiqua" w:cs="Book Antiqua"/>
          <w:color w:val="000000"/>
        </w:rPr>
        <w:t xml:space="preserve">This study was approved by the Institutional Review Board of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(approval number: 2021-01-004).</w:t>
      </w:r>
      <w:bookmarkEnd w:id="28"/>
    </w:p>
    <w:p w14:paraId="4ECB393E" w14:textId="304D67DA" w:rsidR="00B670FE" w:rsidRPr="002D79FB" w:rsidRDefault="00B670FE" w:rsidP="00401CA5">
      <w:pPr>
        <w:spacing w:line="360" w:lineRule="auto"/>
        <w:jc w:val="both"/>
        <w:rPr>
          <w:rFonts w:ascii="Book Antiqua" w:eastAsia="Book Antiqua" w:hAnsi="Book Antiqua" w:cs="Book Antiqua"/>
          <w:color w:val="000000"/>
        </w:rPr>
      </w:pPr>
    </w:p>
    <w:p w14:paraId="2718DDE5" w14:textId="19E47D36" w:rsidR="00B670FE" w:rsidRPr="002D79FB" w:rsidRDefault="00747564" w:rsidP="002D79FB">
      <w:pPr>
        <w:spacing w:line="360" w:lineRule="auto"/>
        <w:jc w:val="both"/>
        <w:rPr>
          <w:rFonts w:ascii="Book Antiqua" w:eastAsia="Book Antiqua" w:hAnsi="Book Antiqua" w:cs="Book Antiqua"/>
          <w:color w:val="000000"/>
        </w:rPr>
      </w:pPr>
      <w:r w:rsidRPr="002D79FB">
        <w:rPr>
          <w:rFonts w:ascii="Book Antiqua" w:hAnsi="Book Antiqua"/>
          <w:b/>
          <w:color w:val="000000"/>
        </w:rPr>
        <w:t>Informed consent statement</w:t>
      </w:r>
      <w:r w:rsidRPr="002D79FB">
        <w:rPr>
          <w:rFonts w:ascii="Book Antiqua" w:hAnsi="Book Antiqua"/>
          <w:b/>
          <w:bCs/>
          <w:iCs/>
          <w:color w:val="000000"/>
          <w:lang w:eastAsia="zh-CN"/>
        </w:rPr>
        <w:t>:</w:t>
      </w:r>
      <w:r w:rsidRPr="002D79FB">
        <w:rPr>
          <w:rFonts w:ascii="Book Antiqua" w:hAnsi="Book Antiqua" w:cs="Book Antiqua"/>
          <w:color w:val="000000"/>
          <w:lang w:eastAsia="zh-CN"/>
        </w:rPr>
        <w:t xml:space="preserve"> </w:t>
      </w:r>
      <w:r w:rsidR="00B670FE" w:rsidRPr="002D79FB">
        <w:rPr>
          <w:rFonts w:ascii="Book Antiqua" w:hAnsi="Book Antiqua"/>
        </w:rPr>
        <w:t>The HIRA database is accessible to all researchers and holds anonymized patient information to protect the privacy of individuals. The HIRA database can be accessed by any researchers whose study protocols have been approved by an official review committee</w:t>
      </w:r>
      <w:r w:rsidR="003D06AA">
        <w:rPr>
          <w:rFonts w:ascii="Book Antiqua" w:hAnsi="Book Antiqua"/>
        </w:rPr>
        <w:t>, a</w:t>
      </w:r>
      <w:r w:rsidR="00B670FE" w:rsidRPr="002D79FB">
        <w:rPr>
          <w:rFonts w:ascii="Book Antiqua" w:hAnsi="Book Antiqua"/>
        </w:rPr>
        <w:t xml:space="preserve">nd Informed consent of HIRA data is omitted. Therefore, </w:t>
      </w:r>
      <w:r w:rsidRPr="002D79FB">
        <w:rPr>
          <w:rFonts w:ascii="Book Antiqua" w:eastAsia="Book Antiqua" w:hAnsi="Book Antiqua" w:cs="Book Antiqua"/>
          <w:color w:val="000000"/>
        </w:rPr>
        <w:t>written informed consent for enrollment was waived because the data were provided by HIRA.</w:t>
      </w:r>
    </w:p>
    <w:p w14:paraId="4B94B413" w14:textId="77777777" w:rsidR="00A77B3E" w:rsidRPr="002D79FB" w:rsidRDefault="00A77B3E" w:rsidP="002D79FB">
      <w:pPr>
        <w:spacing w:line="360" w:lineRule="auto"/>
        <w:jc w:val="both"/>
        <w:rPr>
          <w:rFonts w:ascii="Book Antiqua" w:hAnsi="Book Antiqua"/>
        </w:rPr>
      </w:pPr>
    </w:p>
    <w:p w14:paraId="22CD1A91"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Conflict-of-interest statement: </w:t>
      </w:r>
      <w:bookmarkStart w:id="29" w:name="OLE_LINK29"/>
      <w:r w:rsidRPr="002D79FB">
        <w:rPr>
          <w:rFonts w:ascii="Book Antiqua" w:eastAsia="Book Antiqua" w:hAnsi="Book Antiqua" w:cs="Book Antiqua"/>
          <w:color w:val="000000"/>
        </w:rPr>
        <w:t>The authors have no potential conflicts of interest to disclose.</w:t>
      </w:r>
    </w:p>
    <w:bookmarkEnd w:id="29"/>
    <w:p w14:paraId="3180E21A" w14:textId="77777777" w:rsidR="00A77B3E" w:rsidRPr="002D79FB" w:rsidRDefault="00A77B3E" w:rsidP="002D79FB">
      <w:pPr>
        <w:spacing w:line="360" w:lineRule="auto"/>
        <w:jc w:val="both"/>
        <w:rPr>
          <w:rFonts w:ascii="Book Antiqua" w:hAnsi="Book Antiqua"/>
        </w:rPr>
      </w:pPr>
    </w:p>
    <w:p w14:paraId="386EC67A" w14:textId="5DED2C2A" w:rsidR="00A77B3E" w:rsidRPr="002D79FB" w:rsidRDefault="00C42C9E" w:rsidP="002D79FB">
      <w:pPr>
        <w:spacing w:line="360" w:lineRule="auto"/>
        <w:jc w:val="both"/>
        <w:rPr>
          <w:rFonts w:ascii="Book Antiqua" w:eastAsia="Book Antiqua" w:hAnsi="Book Antiqua" w:cs="Book Antiqua"/>
          <w:color w:val="000000"/>
        </w:rPr>
      </w:pPr>
      <w:r w:rsidRPr="002D79FB">
        <w:rPr>
          <w:rFonts w:ascii="Book Antiqua" w:eastAsia="Book Antiqua" w:hAnsi="Book Antiqua" w:cs="Book Antiqua"/>
          <w:b/>
          <w:bCs/>
          <w:color w:val="000000"/>
        </w:rPr>
        <w:t xml:space="preserve">Data sharing statement: </w:t>
      </w:r>
      <w:bookmarkStart w:id="30" w:name="OLE_LINK30"/>
      <w:r w:rsidRPr="002D79FB">
        <w:rPr>
          <w:rFonts w:ascii="Book Antiqua" w:eastAsia="Book Antiqua" w:hAnsi="Book Antiqua" w:cs="Book Antiqua"/>
          <w:color w:val="000000"/>
        </w:rPr>
        <w:t>The datasets generated during and/or analyzed during the current study are available from the corresponding author on reasonable request.</w:t>
      </w:r>
    </w:p>
    <w:bookmarkEnd w:id="30"/>
    <w:p w14:paraId="6EC43DB8" w14:textId="79809C59" w:rsidR="00747564" w:rsidRPr="002D79FB" w:rsidRDefault="00747564" w:rsidP="002D79FB">
      <w:pPr>
        <w:spacing w:line="360" w:lineRule="auto"/>
        <w:jc w:val="both"/>
        <w:rPr>
          <w:rFonts w:ascii="Book Antiqua" w:eastAsia="Book Antiqua" w:hAnsi="Book Antiqua" w:cs="Book Antiqua"/>
          <w:color w:val="000000"/>
        </w:rPr>
      </w:pPr>
    </w:p>
    <w:p w14:paraId="1958169F" w14:textId="77777777" w:rsidR="00747564" w:rsidRPr="002D79FB" w:rsidRDefault="00747564" w:rsidP="002D79FB">
      <w:pPr>
        <w:spacing w:line="360" w:lineRule="auto"/>
        <w:jc w:val="both"/>
        <w:rPr>
          <w:rStyle w:val="a3"/>
          <w:rFonts w:ascii="Book Antiqua" w:eastAsia="宋体" w:hAnsi="Book Antiqua"/>
          <w:lang w:eastAsia="zh-CN"/>
        </w:rPr>
      </w:pPr>
      <w:r w:rsidRPr="002D79FB">
        <w:rPr>
          <w:rStyle w:val="a3"/>
          <w:rFonts w:ascii="Book Antiqua" w:hAnsi="Book Antiqua"/>
        </w:rPr>
        <w:t>STROBE statement</w:t>
      </w:r>
      <w:r w:rsidRPr="002D79FB">
        <w:rPr>
          <w:rStyle w:val="a3"/>
          <w:rFonts w:ascii="Book Antiqua" w:eastAsia="宋体" w:hAnsi="Book Antiqua"/>
          <w:lang w:eastAsia="zh-CN"/>
        </w:rPr>
        <w:t xml:space="preserve">: </w:t>
      </w:r>
      <w:bookmarkStart w:id="31" w:name="OLE_LINK31"/>
      <w:r w:rsidRPr="002D79FB">
        <w:rPr>
          <w:rFonts w:ascii="Book Antiqua" w:hAnsi="Book Antiqua" w:cs="Garamond-Bold"/>
          <w:bCs/>
          <w:color w:val="000000"/>
        </w:rPr>
        <w:t>The authors have read the STROBE Statement—checklist of items, and the manuscript was prepared and revised according to the STROBE Statement—checklist of items.</w:t>
      </w:r>
    </w:p>
    <w:bookmarkEnd w:id="31"/>
    <w:p w14:paraId="0CC117A8" w14:textId="77777777" w:rsidR="00A77B3E" w:rsidRPr="002D79FB" w:rsidRDefault="00A77B3E" w:rsidP="002D79FB">
      <w:pPr>
        <w:spacing w:line="360" w:lineRule="auto"/>
        <w:jc w:val="both"/>
        <w:rPr>
          <w:rFonts w:ascii="Book Antiqua" w:hAnsi="Book Antiqua"/>
        </w:rPr>
      </w:pPr>
    </w:p>
    <w:p w14:paraId="66B539A2"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Open-Access: </w:t>
      </w:r>
      <w:r w:rsidRPr="002D79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70DF21" w14:textId="77777777" w:rsidR="00A77B3E" w:rsidRPr="002D79FB" w:rsidRDefault="00A77B3E" w:rsidP="002D79FB">
      <w:pPr>
        <w:spacing w:line="360" w:lineRule="auto"/>
        <w:jc w:val="both"/>
        <w:rPr>
          <w:rFonts w:ascii="Book Antiqua" w:hAnsi="Book Antiqua"/>
        </w:rPr>
      </w:pPr>
    </w:p>
    <w:p w14:paraId="3FE72012" w14:textId="6AB05DA3" w:rsidR="00A77B3E" w:rsidRPr="00F6424B" w:rsidRDefault="00F6424B" w:rsidP="002D79FB">
      <w:pPr>
        <w:spacing w:line="360" w:lineRule="auto"/>
        <w:jc w:val="both"/>
        <w:rPr>
          <w:rFonts w:ascii="Book Antiqua" w:hAnsi="Book Antiqua" w:cs="Book Antiqua"/>
          <w:b/>
          <w:color w:val="000000"/>
          <w:lang w:eastAsia="zh-CN"/>
        </w:rPr>
      </w:pPr>
      <w:r w:rsidRPr="00F6424B">
        <w:rPr>
          <w:rFonts w:ascii="Book Antiqua" w:eastAsia="Book Antiqua" w:hAnsi="Book Antiqua" w:cs="Book Antiqua"/>
          <w:b/>
          <w:color w:val="000000"/>
        </w:rPr>
        <w:lastRenderedPageBreak/>
        <w:t xml:space="preserve">Provenance and peer review: </w:t>
      </w:r>
      <w:r w:rsidRPr="00F6424B">
        <w:rPr>
          <w:rFonts w:ascii="Book Antiqua" w:eastAsia="Book Antiqua" w:hAnsi="Book Antiqua" w:cs="Book Antiqua"/>
          <w:color w:val="000000"/>
        </w:rPr>
        <w:t>Unsolicited article; Externally peer reviewed</w:t>
      </w:r>
      <w:r>
        <w:rPr>
          <w:rFonts w:ascii="Book Antiqua" w:hAnsi="Book Antiqua" w:cs="Book Antiqua" w:hint="eastAsia"/>
          <w:color w:val="000000"/>
          <w:lang w:eastAsia="zh-CN"/>
        </w:rPr>
        <w:t>.</w:t>
      </w:r>
    </w:p>
    <w:p w14:paraId="2497B2BA" w14:textId="77777777" w:rsidR="00F6424B" w:rsidRPr="00F6424B" w:rsidRDefault="00F6424B" w:rsidP="002D79FB">
      <w:pPr>
        <w:spacing w:line="360" w:lineRule="auto"/>
        <w:jc w:val="both"/>
        <w:rPr>
          <w:rFonts w:ascii="Book Antiqua" w:hAnsi="Book Antiqua"/>
          <w:lang w:eastAsia="zh-CN"/>
        </w:rPr>
      </w:pPr>
    </w:p>
    <w:p w14:paraId="20C629AF"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Peer-review started: </w:t>
      </w:r>
      <w:r w:rsidRPr="002D79FB">
        <w:rPr>
          <w:rFonts w:ascii="Book Antiqua" w:eastAsia="Book Antiqua" w:hAnsi="Book Antiqua" w:cs="Book Antiqua"/>
          <w:color w:val="000000"/>
        </w:rPr>
        <w:t>July 9, 2021</w:t>
      </w:r>
    </w:p>
    <w:p w14:paraId="6D39DB9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First decision: </w:t>
      </w:r>
      <w:r w:rsidRPr="002D79FB">
        <w:rPr>
          <w:rFonts w:ascii="Book Antiqua" w:eastAsia="Book Antiqua" w:hAnsi="Book Antiqua" w:cs="Book Antiqua"/>
          <w:color w:val="000000"/>
        </w:rPr>
        <w:t>August 8, 2021</w:t>
      </w:r>
    </w:p>
    <w:p w14:paraId="5FA91DF8" w14:textId="44FFC5F1"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Article in press: </w:t>
      </w:r>
      <w:r w:rsidR="0011315F" w:rsidRPr="002D79FB">
        <w:rPr>
          <w:rFonts w:ascii="Book Antiqua" w:eastAsia="Book Antiqua" w:hAnsi="Book Antiqua" w:cs="Book Antiqua"/>
          <w:color w:val="000000"/>
        </w:rPr>
        <w:t>September 10, 2021</w:t>
      </w:r>
    </w:p>
    <w:p w14:paraId="75EF9A44" w14:textId="77777777" w:rsidR="00A77B3E" w:rsidRPr="002D79FB" w:rsidRDefault="00A77B3E" w:rsidP="002D79FB">
      <w:pPr>
        <w:spacing w:line="360" w:lineRule="auto"/>
        <w:jc w:val="both"/>
        <w:rPr>
          <w:rFonts w:ascii="Book Antiqua" w:hAnsi="Book Antiqua"/>
        </w:rPr>
      </w:pPr>
    </w:p>
    <w:p w14:paraId="03FE277B" w14:textId="1F00C2B2"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Specialty type: </w:t>
      </w:r>
      <w:r w:rsidRPr="002D79FB">
        <w:rPr>
          <w:rFonts w:ascii="Book Antiqua" w:eastAsia="Book Antiqua" w:hAnsi="Book Antiqua" w:cs="Book Antiqua"/>
          <w:color w:val="000000"/>
        </w:rPr>
        <w:t xml:space="preserve">Endocrinology and </w:t>
      </w:r>
      <w:r w:rsidR="00747564" w:rsidRPr="002D79FB">
        <w:rPr>
          <w:rFonts w:ascii="Book Antiqua" w:eastAsia="Book Antiqua" w:hAnsi="Book Antiqua" w:cs="Book Antiqua"/>
          <w:color w:val="000000"/>
        </w:rPr>
        <w:t>m</w:t>
      </w:r>
      <w:r w:rsidRPr="002D79FB">
        <w:rPr>
          <w:rFonts w:ascii="Book Antiqua" w:eastAsia="Book Antiqua" w:hAnsi="Book Antiqua" w:cs="Book Antiqua"/>
          <w:color w:val="000000"/>
        </w:rPr>
        <w:t>etabolism</w:t>
      </w:r>
    </w:p>
    <w:p w14:paraId="483D481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Country/Territory of origin: </w:t>
      </w:r>
      <w:r w:rsidRPr="002D79FB">
        <w:rPr>
          <w:rFonts w:ascii="Book Antiqua" w:eastAsia="Book Antiqua" w:hAnsi="Book Antiqua" w:cs="Book Antiqua"/>
          <w:color w:val="000000"/>
        </w:rPr>
        <w:t>South Korea</w:t>
      </w:r>
    </w:p>
    <w:p w14:paraId="7202785C"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Peer-review report’s scientific quality classification</w:t>
      </w:r>
    </w:p>
    <w:p w14:paraId="63D0468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A (Excellent): 0</w:t>
      </w:r>
    </w:p>
    <w:p w14:paraId="482D77B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B (Very good): B</w:t>
      </w:r>
    </w:p>
    <w:p w14:paraId="135576F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C (Good): 0</w:t>
      </w:r>
    </w:p>
    <w:p w14:paraId="50C12437"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D (Fair): 0</w:t>
      </w:r>
    </w:p>
    <w:p w14:paraId="1C9726F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E (Poor): 0</w:t>
      </w:r>
    </w:p>
    <w:p w14:paraId="6DBE115D" w14:textId="77777777" w:rsidR="00A77B3E" w:rsidRPr="002D79FB" w:rsidRDefault="00A77B3E" w:rsidP="002D79FB">
      <w:pPr>
        <w:spacing w:line="360" w:lineRule="auto"/>
        <w:jc w:val="both"/>
        <w:rPr>
          <w:rFonts w:ascii="Book Antiqua" w:hAnsi="Book Antiqua"/>
        </w:rPr>
      </w:pPr>
    </w:p>
    <w:p w14:paraId="2FAD1BDD" w14:textId="6F0A07A4" w:rsidR="00A77B3E" w:rsidRPr="0011315F" w:rsidRDefault="00C42C9E" w:rsidP="002D79FB">
      <w:pPr>
        <w:spacing w:line="360" w:lineRule="auto"/>
        <w:jc w:val="both"/>
        <w:rPr>
          <w:rFonts w:ascii="Book Antiqua" w:hAnsi="Book Antiqua"/>
        </w:rPr>
        <w:sectPr w:rsidR="00A77B3E" w:rsidRPr="0011315F" w:rsidSect="002D79FB">
          <w:type w:val="continuous"/>
          <w:pgSz w:w="12240" w:h="15840"/>
          <w:pgMar w:top="1440" w:right="1440" w:bottom="1440" w:left="1440" w:header="720" w:footer="720" w:gutter="0"/>
          <w:cols w:space="720"/>
          <w:docGrid w:linePitch="360"/>
        </w:sectPr>
      </w:pPr>
      <w:r w:rsidRPr="002D79FB">
        <w:rPr>
          <w:rFonts w:ascii="Book Antiqua" w:eastAsia="Book Antiqua" w:hAnsi="Book Antiqua" w:cs="Book Antiqua"/>
          <w:b/>
          <w:color w:val="000000"/>
        </w:rPr>
        <w:t xml:space="preserve">P-Reviewer: </w:t>
      </w:r>
      <w:r w:rsidRPr="002D79FB">
        <w:rPr>
          <w:rFonts w:ascii="Book Antiqua" w:eastAsia="Book Antiqua" w:hAnsi="Book Antiqua" w:cs="Book Antiqua"/>
          <w:color w:val="000000"/>
        </w:rPr>
        <w:t>Zhang DM</w:t>
      </w:r>
      <w:r w:rsidRPr="002D79FB">
        <w:rPr>
          <w:rFonts w:ascii="Book Antiqua" w:eastAsia="Book Antiqua" w:hAnsi="Book Antiqua" w:cs="Book Antiqua"/>
          <w:b/>
          <w:color w:val="000000"/>
        </w:rPr>
        <w:t xml:space="preserve"> S-Editor: </w:t>
      </w:r>
      <w:r w:rsidR="00747564" w:rsidRPr="002D79FB">
        <w:rPr>
          <w:rFonts w:ascii="Book Antiqua" w:eastAsia="Book Antiqua" w:hAnsi="Book Antiqua" w:cs="Book Antiqua"/>
          <w:color w:val="000000"/>
        </w:rPr>
        <w:t>Yan JP</w:t>
      </w:r>
      <w:r w:rsidRPr="002D79FB">
        <w:rPr>
          <w:rFonts w:ascii="Book Antiqua" w:eastAsia="Book Antiqua" w:hAnsi="Book Antiqua" w:cs="Book Antiqua"/>
          <w:b/>
          <w:color w:val="000000"/>
        </w:rPr>
        <w:t xml:space="preserve"> L-Editor: </w:t>
      </w:r>
      <w:proofErr w:type="spellStart"/>
      <w:r w:rsidR="003F581F" w:rsidRPr="002D79FB">
        <w:rPr>
          <w:rFonts w:ascii="Book Antiqua" w:eastAsia="Book Antiqua" w:hAnsi="Book Antiqua" w:cs="Book Antiqua"/>
          <w:bCs/>
          <w:color w:val="000000"/>
        </w:rPr>
        <w:t>Filipodia</w:t>
      </w:r>
      <w:proofErr w:type="spellEnd"/>
      <w:r w:rsidRPr="002D79FB">
        <w:rPr>
          <w:rFonts w:ascii="Book Antiqua" w:eastAsia="Book Antiqua" w:hAnsi="Book Antiqua" w:cs="Book Antiqua"/>
          <w:b/>
          <w:color w:val="000000"/>
        </w:rPr>
        <w:t xml:space="preserve"> P-Editor: </w:t>
      </w:r>
      <w:r w:rsidR="0011315F" w:rsidRPr="0011315F">
        <w:rPr>
          <w:rFonts w:ascii="Book Antiqua" w:eastAsia="Book Antiqua" w:hAnsi="Book Antiqua" w:cs="Book Antiqua"/>
          <w:color w:val="000000"/>
        </w:rPr>
        <w:t>Xing YX</w:t>
      </w:r>
    </w:p>
    <w:p w14:paraId="645216D9" w14:textId="77777777" w:rsidR="003D06AA" w:rsidRDefault="003D06AA">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1F12C986" w14:textId="1031DF59" w:rsidR="00A77B3E" w:rsidRPr="002D79FB" w:rsidRDefault="00C42C9E" w:rsidP="002D79FB">
      <w:pPr>
        <w:spacing w:line="360" w:lineRule="auto"/>
        <w:jc w:val="both"/>
        <w:rPr>
          <w:rFonts w:ascii="Book Antiqua" w:eastAsia="Book Antiqua" w:hAnsi="Book Antiqua" w:cs="Book Antiqua"/>
          <w:b/>
          <w:color w:val="000000"/>
        </w:rPr>
      </w:pPr>
      <w:r w:rsidRPr="002D79FB">
        <w:rPr>
          <w:rFonts w:ascii="Book Antiqua" w:eastAsia="Book Antiqua" w:hAnsi="Book Antiqua" w:cs="Book Antiqua"/>
          <w:b/>
          <w:color w:val="000000"/>
        </w:rPr>
        <w:lastRenderedPageBreak/>
        <w:t>Figure Legends</w:t>
      </w:r>
    </w:p>
    <w:p w14:paraId="23131C01" w14:textId="77777777" w:rsidR="00B542AD" w:rsidRPr="002D79FB" w:rsidRDefault="00B542AD" w:rsidP="002D79FB">
      <w:pPr>
        <w:spacing w:line="360" w:lineRule="auto"/>
        <w:jc w:val="both"/>
        <w:rPr>
          <w:rFonts w:ascii="Book Antiqua" w:hAnsi="Book Antiqua"/>
          <w:b/>
          <w:bCs/>
        </w:rPr>
      </w:pPr>
      <w:r w:rsidRPr="002D79FB">
        <w:rPr>
          <w:rFonts w:ascii="Book Antiqua" w:hAnsi="Book Antiqua"/>
          <w:b/>
          <w:bCs/>
          <w:noProof/>
          <w:lang w:eastAsia="zh-CN"/>
        </w:rPr>
        <w:drawing>
          <wp:inline distT="0" distB="0" distL="0" distR="0" wp14:anchorId="609E1C12" wp14:editId="2CA7BAC7">
            <wp:extent cx="5941060" cy="26250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2625090"/>
                    </a:xfrm>
                    <a:prstGeom prst="rect">
                      <a:avLst/>
                    </a:prstGeom>
                    <a:noFill/>
                    <a:ln>
                      <a:noFill/>
                    </a:ln>
                  </pic:spPr>
                </pic:pic>
              </a:graphicData>
            </a:graphic>
          </wp:inline>
        </w:drawing>
      </w:r>
    </w:p>
    <w:p w14:paraId="2F260517" w14:textId="1FD04BC2" w:rsidR="00B542AD" w:rsidRPr="002D79FB" w:rsidRDefault="00B542AD" w:rsidP="002D79FB">
      <w:pPr>
        <w:spacing w:line="360" w:lineRule="auto"/>
        <w:jc w:val="both"/>
        <w:rPr>
          <w:rFonts w:ascii="Book Antiqua" w:eastAsia="Book Antiqua" w:hAnsi="Book Antiqua" w:cs="Book Antiqua"/>
          <w:b/>
          <w:bCs/>
          <w:color w:val="000000"/>
        </w:rPr>
      </w:pPr>
      <w:r w:rsidRPr="002D79FB">
        <w:rPr>
          <w:rFonts w:ascii="Book Antiqua" w:eastAsia="Book Antiqua" w:hAnsi="Book Antiqua" w:cs="Book Antiqua"/>
          <w:b/>
          <w:bCs/>
          <w:color w:val="000000"/>
        </w:rPr>
        <w:t xml:space="preserve">Figure 1 Schematic of the study plan including the medication exposure period and event (newly developed neuropathy) detection period. </w:t>
      </w:r>
      <w:r w:rsidRPr="002D79FB">
        <w:rPr>
          <w:rFonts w:ascii="Book Antiqua" w:eastAsia="Book Antiqua" w:hAnsi="Book Antiqua" w:cs="Book Antiqua"/>
          <w:color w:val="000000"/>
        </w:rPr>
        <w:t xml:space="preserve">Neuropathy was checked as new onset neuropathy </w:t>
      </w:r>
      <w:r w:rsidR="00D43234">
        <w:rPr>
          <w:rFonts w:ascii="Book Antiqua" w:eastAsia="Book Antiqua" w:hAnsi="Book Antiqua" w:cs="Book Antiqua"/>
          <w:color w:val="000000"/>
        </w:rPr>
        <w:t>that</w:t>
      </w:r>
      <w:r w:rsidRPr="002D79FB">
        <w:rPr>
          <w:rFonts w:ascii="Book Antiqua" w:eastAsia="Book Antiqua" w:hAnsi="Book Antiqua" w:cs="Book Antiqua"/>
          <w:color w:val="000000"/>
        </w:rPr>
        <w:t xml:space="preserve"> was detected at least 90 d after first exposure to issued medication to reduce detection bias and determine whether new onset neuropathy was affected by these medications. T2DM: Type 2 diabetes mellitus</w:t>
      </w:r>
      <w:r w:rsidR="00D43234">
        <w:rPr>
          <w:rFonts w:ascii="Book Antiqua" w:eastAsia="Book Antiqua" w:hAnsi="Book Antiqua" w:cs="Book Antiqua"/>
          <w:color w:val="000000"/>
        </w:rPr>
        <w:t>; ICD-10:</w:t>
      </w:r>
      <w:r w:rsidR="00D43234" w:rsidRPr="00D43234">
        <w:rPr>
          <w:rFonts w:ascii="Book Antiqua" w:eastAsia="Book Antiqua" w:hAnsi="Book Antiqua" w:cs="Book Antiqua"/>
          <w:color w:val="000000"/>
        </w:rPr>
        <w:t xml:space="preserve"> </w:t>
      </w:r>
      <w:r w:rsidR="00D43234" w:rsidRPr="002D79FB">
        <w:rPr>
          <w:rFonts w:ascii="Book Antiqua" w:eastAsia="Book Antiqua" w:hAnsi="Book Antiqua" w:cs="Book Antiqua"/>
          <w:color w:val="000000"/>
        </w:rPr>
        <w:t>International Statistical Classification of Diseases and Related Health Problems, 10</w:t>
      </w:r>
      <w:r w:rsidR="00D43234" w:rsidRPr="002D79FB">
        <w:rPr>
          <w:rFonts w:ascii="Book Antiqua" w:eastAsia="Book Antiqua" w:hAnsi="Book Antiqua" w:cs="Book Antiqua"/>
          <w:color w:val="000000"/>
          <w:vertAlign w:val="superscript"/>
        </w:rPr>
        <w:t>th</w:t>
      </w:r>
      <w:r w:rsidR="00D43234" w:rsidRPr="002D79FB">
        <w:rPr>
          <w:rFonts w:ascii="Book Antiqua" w:eastAsia="Book Antiqua" w:hAnsi="Book Antiqua" w:cs="Book Antiqua"/>
          <w:color w:val="000000"/>
        </w:rPr>
        <w:t xml:space="preserve"> revision</w:t>
      </w:r>
      <w:r w:rsidR="00D43234">
        <w:rPr>
          <w:rFonts w:ascii="Book Antiqua" w:eastAsia="Book Antiqua" w:hAnsi="Book Antiqua" w:cs="Book Antiqua"/>
          <w:color w:val="000000"/>
        </w:rPr>
        <w:t>; SNRI: Serotonin-norepinephrine reuptake inhibitor</w:t>
      </w:r>
      <w:r w:rsidRPr="002D79FB">
        <w:rPr>
          <w:rFonts w:ascii="Book Antiqua" w:eastAsia="Book Antiqua" w:hAnsi="Book Antiqua" w:cs="Book Antiqua"/>
          <w:b/>
          <w:bCs/>
          <w:color w:val="000000"/>
        </w:rPr>
        <w:t>.</w:t>
      </w:r>
    </w:p>
    <w:p w14:paraId="76D02A88" w14:textId="77777777" w:rsidR="00B542AD" w:rsidRPr="002D79FB" w:rsidRDefault="00B542AD" w:rsidP="002D79FB">
      <w:pPr>
        <w:spacing w:line="360" w:lineRule="auto"/>
        <w:jc w:val="both"/>
        <w:rPr>
          <w:rFonts w:ascii="Book Antiqua" w:eastAsia="Book Antiqua" w:hAnsi="Book Antiqua" w:cs="Book Antiqua"/>
          <w:b/>
          <w:color w:val="000000"/>
        </w:rPr>
        <w:sectPr w:rsidR="00B542AD" w:rsidRPr="002D79FB" w:rsidSect="002D79FB">
          <w:headerReference w:type="default" r:id="rId9"/>
          <w:type w:val="continuous"/>
          <w:pgSz w:w="12240" w:h="15840"/>
          <w:pgMar w:top="1440" w:right="1440" w:bottom="1440" w:left="1440" w:header="720" w:footer="720" w:gutter="0"/>
          <w:cols w:space="720"/>
          <w:docGrid w:linePitch="360"/>
        </w:sectPr>
      </w:pPr>
    </w:p>
    <w:p w14:paraId="47835C27" w14:textId="77777777" w:rsidR="00B542AD" w:rsidRPr="002D79FB" w:rsidRDefault="00B542AD" w:rsidP="002D79FB">
      <w:pPr>
        <w:spacing w:line="360" w:lineRule="auto"/>
        <w:jc w:val="both"/>
        <w:rPr>
          <w:rFonts w:ascii="Book Antiqua" w:eastAsia="Book Antiqua" w:hAnsi="Book Antiqua" w:cs="Book Antiqua"/>
          <w:b/>
          <w:color w:val="000000"/>
        </w:rPr>
      </w:pPr>
    </w:p>
    <w:p w14:paraId="6E6D14B2" w14:textId="7420F408" w:rsidR="00747564" w:rsidRPr="002D79FB" w:rsidRDefault="00747564" w:rsidP="002D79FB">
      <w:pPr>
        <w:spacing w:line="360" w:lineRule="auto"/>
        <w:jc w:val="both"/>
        <w:rPr>
          <w:rFonts w:ascii="Book Antiqua" w:hAnsi="Book Antiqua"/>
        </w:rPr>
      </w:pPr>
      <w:r w:rsidRPr="002D79FB">
        <w:rPr>
          <w:rFonts w:ascii="Book Antiqua" w:hAnsi="Book Antiqua"/>
          <w:noProof/>
          <w:lang w:eastAsia="zh-CN"/>
        </w:rPr>
        <w:drawing>
          <wp:inline distT="0" distB="0" distL="0" distR="0" wp14:anchorId="2E901081" wp14:editId="1737088A">
            <wp:extent cx="8291097" cy="33778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8397" cy="3393017"/>
                    </a:xfrm>
                    <a:prstGeom prst="rect">
                      <a:avLst/>
                    </a:prstGeom>
                    <a:noFill/>
                    <a:ln>
                      <a:noFill/>
                    </a:ln>
                  </pic:spPr>
                </pic:pic>
              </a:graphicData>
            </a:graphic>
          </wp:inline>
        </w:drawing>
      </w:r>
    </w:p>
    <w:p w14:paraId="1C8EFC73" w14:textId="77777777" w:rsidR="00747564" w:rsidRPr="002D79FB" w:rsidRDefault="00C42C9E" w:rsidP="002D79FB">
      <w:pPr>
        <w:spacing w:line="360" w:lineRule="auto"/>
        <w:jc w:val="both"/>
        <w:rPr>
          <w:rFonts w:ascii="Book Antiqua" w:eastAsia="Book Antiqua" w:hAnsi="Book Antiqua" w:cs="Book Antiqua"/>
          <w:color w:val="000000"/>
        </w:rPr>
      </w:pPr>
      <w:bookmarkStart w:id="32" w:name="OLE_LINK32"/>
      <w:r w:rsidRPr="002D79FB">
        <w:rPr>
          <w:rFonts w:ascii="Book Antiqua" w:eastAsia="Book Antiqua" w:hAnsi="Book Antiqua" w:cs="Book Antiqua"/>
          <w:b/>
          <w:bCs/>
          <w:color w:val="000000"/>
        </w:rPr>
        <w:t xml:space="preserve">Figure </w:t>
      </w:r>
      <w:r w:rsidR="00B542AD" w:rsidRPr="002D79FB">
        <w:rPr>
          <w:rFonts w:ascii="Book Antiqua" w:eastAsia="Book Antiqua" w:hAnsi="Book Antiqua" w:cs="Book Antiqua"/>
          <w:b/>
          <w:bCs/>
          <w:color w:val="000000"/>
        </w:rPr>
        <w:t>2</w:t>
      </w:r>
      <w:r w:rsidRPr="002D79FB">
        <w:rPr>
          <w:rFonts w:ascii="Book Antiqua" w:eastAsia="Book Antiqua" w:hAnsi="Book Antiqua" w:cs="Book Antiqua"/>
          <w:b/>
          <w:bCs/>
          <w:color w:val="000000"/>
        </w:rPr>
        <w:t xml:space="preserve"> Flow charts of the step-wise inclusion of participants from the 2016 and 2017 Health Insurance Review and Assessment national patient sample.</w:t>
      </w:r>
      <w:r w:rsidR="00747564" w:rsidRPr="002D79FB">
        <w:rPr>
          <w:rFonts w:ascii="Book Antiqua" w:eastAsia="Book Antiqua" w:hAnsi="Book Antiqua" w:cs="Book Antiqua"/>
          <w:b/>
          <w:bCs/>
          <w:color w:val="000000"/>
        </w:rPr>
        <w:t xml:space="preserve"> </w:t>
      </w:r>
      <w:r w:rsidR="00747564" w:rsidRPr="002D79FB">
        <w:rPr>
          <w:rFonts w:ascii="Book Antiqua" w:eastAsia="Book Antiqua" w:hAnsi="Book Antiqua" w:cs="Book Antiqua"/>
          <w:color w:val="000000"/>
        </w:rPr>
        <w:t>A: 2016; B: 2017. HIRA: Health Insurance Review and Assessment; NPS: National patient sample; T2DM: Type 2 diabetes mellitus</w:t>
      </w:r>
      <w:r w:rsidR="00B542AD" w:rsidRPr="002D79FB">
        <w:rPr>
          <w:rFonts w:ascii="Book Antiqua" w:eastAsia="Book Antiqua" w:hAnsi="Book Antiqua" w:cs="Book Antiqua"/>
          <w:color w:val="000000"/>
        </w:rPr>
        <w:t>.</w:t>
      </w:r>
    </w:p>
    <w:bookmarkEnd w:id="32"/>
    <w:p w14:paraId="51DC6AB7" w14:textId="56A1E9B1" w:rsidR="00B542AD" w:rsidRPr="002D79FB" w:rsidRDefault="00B542AD" w:rsidP="002D79FB">
      <w:pPr>
        <w:spacing w:line="360" w:lineRule="auto"/>
        <w:jc w:val="both"/>
        <w:rPr>
          <w:rFonts w:ascii="Book Antiqua" w:hAnsi="Book Antiqua"/>
        </w:rPr>
        <w:sectPr w:rsidR="00B542AD" w:rsidRPr="002D79FB" w:rsidSect="002D79FB">
          <w:headerReference w:type="default" r:id="rId11"/>
          <w:type w:val="continuous"/>
          <w:pgSz w:w="15840" w:h="12240" w:orient="landscape"/>
          <w:pgMar w:top="1440" w:right="1440" w:bottom="1440" w:left="1440" w:header="720" w:footer="720" w:gutter="0"/>
          <w:cols w:space="720"/>
          <w:docGrid w:linePitch="360"/>
        </w:sectPr>
      </w:pPr>
    </w:p>
    <w:p w14:paraId="41443E70" w14:textId="393512DD" w:rsidR="00747564" w:rsidRPr="002D79FB" w:rsidRDefault="00747564" w:rsidP="002D79FB">
      <w:pPr>
        <w:spacing w:line="360" w:lineRule="auto"/>
        <w:jc w:val="both"/>
        <w:rPr>
          <w:rFonts w:ascii="Book Antiqua" w:hAnsi="Book Antiqua"/>
          <w:b/>
          <w:bCs/>
        </w:rPr>
      </w:pPr>
      <w:r w:rsidRPr="002D79FB">
        <w:rPr>
          <w:rFonts w:ascii="Book Antiqua" w:hAnsi="Book Antiqua"/>
          <w:b/>
          <w:bCs/>
        </w:rPr>
        <w:lastRenderedPageBreak/>
        <w:t>Table 1 Incidence of neuropathy in statin user and non-user group</w:t>
      </w:r>
    </w:p>
    <w:tbl>
      <w:tblPr>
        <w:tblStyle w:val="a6"/>
        <w:tblW w:w="0" w:type="auto"/>
        <w:tblLook w:val="04A0" w:firstRow="1" w:lastRow="0" w:firstColumn="1" w:lastColumn="0" w:noHBand="0" w:noVBand="1"/>
      </w:tblPr>
      <w:tblGrid>
        <w:gridCol w:w="1517"/>
        <w:gridCol w:w="1382"/>
        <w:gridCol w:w="1382"/>
        <w:gridCol w:w="1061"/>
        <w:gridCol w:w="1382"/>
        <w:gridCol w:w="1382"/>
        <w:gridCol w:w="1136"/>
      </w:tblGrid>
      <w:tr w:rsidR="00747564" w:rsidRPr="002D79FB" w14:paraId="4085FDAF" w14:textId="77777777" w:rsidTr="00747564">
        <w:tc>
          <w:tcPr>
            <w:tcW w:w="1517" w:type="dxa"/>
            <w:vMerge w:val="restart"/>
            <w:tcBorders>
              <w:left w:val="nil"/>
              <w:right w:val="nil"/>
            </w:tcBorders>
            <w:vAlign w:val="center"/>
          </w:tcPr>
          <w:p w14:paraId="721C2274" w14:textId="26A15FE6" w:rsidR="00747564" w:rsidRPr="002D79FB" w:rsidRDefault="00747564" w:rsidP="002D79FB">
            <w:pPr>
              <w:spacing w:line="360" w:lineRule="auto"/>
              <w:rPr>
                <w:rFonts w:ascii="Book Antiqua" w:hAnsi="Book Antiqua" w:cs="Times New Roman"/>
                <w:b/>
                <w:bCs/>
              </w:rPr>
            </w:pPr>
          </w:p>
        </w:tc>
        <w:tc>
          <w:tcPr>
            <w:tcW w:w="3825" w:type="dxa"/>
            <w:gridSpan w:val="3"/>
            <w:tcBorders>
              <w:left w:val="nil"/>
              <w:right w:val="nil"/>
            </w:tcBorders>
          </w:tcPr>
          <w:p w14:paraId="3C62BF31" w14:textId="77777777" w:rsidR="00747564" w:rsidRPr="002D79FB" w:rsidRDefault="00747564" w:rsidP="002D79FB">
            <w:pPr>
              <w:spacing w:line="360" w:lineRule="auto"/>
              <w:rPr>
                <w:rFonts w:ascii="Book Antiqua" w:hAnsi="Book Antiqua" w:cs="Times New Roman"/>
                <w:b/>
                <w:bCs/>
              </w:rPr>
            </w:pPr>
          </w:p>
        </w:tc>
        <w:tc>
          <w:tcPr>
            <w:tcW w:w="3900" w:type="dxa"/>
            <w:gridSpan w:val="3"/>
            <w:tcBorders>
              <w:left w:val="nil"/>
              <w:right w:val="nil"/>
            </w:tcBorders>
          </w:tcPr>
          <w:p w14:paraId="334D88CD" w14:textId="3C2CC617" w:rsidR="00747564" w:rsidRPr="002D79FB" w:rsidRDefault="00722A43" w:rsidP="002D79FB">
            <w:pPr>
              <w:spacing w:line="360" w:lineRule="auto"/>
              <w:rPr>
                <w:rFonts w:ascii="Book Antiqua" w:hAnsi="Book Antiqua" w:cs="Times New Roman"/>
                <w:b/>
                <w:bCs/>
              </w:rPr>
            </w:pPr>
            <w:r w:rsidRPr="002D79FB">
              <w:rPr>
                <w:rFonts w:ascii="Book Antiqua" w:eastAsia="Book Antiqua" w:hAnsi="Book Antiqua" w:cs="Book Antiqua"/>
                <w:b/>
                <w:bCs/>
                <w:color w:val="000000"/>
              </w:rPr>
              <w:t>Propensity score</w:t>
            </w:r>
            <w:r w:rsidR="00747564" w:rsidRPr="002D79FB">
              <w:rPr>
                <w:rFonts w:ascii="Book Antiqua" w:hAnsi="Book Antiqua" w:cs="Times New Roman"/>
                <w:b/>
                <w:bCs/>
              </w:rPr>
              <w:t>-matched</w:t>
            </w:r>
            <w:r w:rsidR="00747564" w:rsidRPr="002D79FB">
              <w:rPr>
                <w:rFonts w:ascii="Book Antiqua" w:hAnsi="Book Antiqua" w:cs="Times New Roman"/>
                <w:b/>
                <w:bCs/>
                <w:vertAlign w:val="superscript"/>
              </w:rPr>
              <w:t>1</w:t>
            </w:r>
          </w:p>
        </w:tc>
      </w:tr>
      <w:tr w:rsidR="00747564" w:rsidRPr="002D79FB" w14:paraId="1C719B74" w14:textId="77777777" w:rsidTr="00722A43">
        <w:tc>
          <w:tcPr>
            <w:tcW w:w="1517" w:type="dxa"/>
            <w:vMerge/>
            <w:tcBorders>
              <w:left w:val="nil"/>
              <w:bottom w:val="single" w:sz="4" w:space="0" w:color="auto"/>
              <w:right w:val="nil"/>
            </w:tcBorders>
          </w:tcPr>
          <w:p w14:paraId="6F61FAE9" w14:textId="77777777" w:rsidR="00747564" w:rsidRPr="002D79FB" w:rsidRDefault="00747564" w:rsidP="002D79FB">
            <w:pPr>
              <w:spacing w:line="360" w:lineRule="auto"/>
              <w:rPr>
                <w:rFonts w:ascii="Book Antiqua" w:hAnsi="Book Antiqua" w:cs="Times New Roman"/>
                <w:b/>
                <w:bCs/>
              </w:rPr>
            </w:pPr>
          </w:p>
        </w:tc>
        <w:tc>
          <w:tcPr>
            <w:tcW w:w="1382" w:type="dxa"/>
            <w:tcBorders>
              <w:left w:val="nil"/>
              <w:bottom w:val="single" w:sz="4" w:space="0" w:color="auto"/>
              <w:right w:val="nil"/>
            </w:tcBorders>
            <w:vAlign w:val="center"/>
          </w:tcPr>
          <w:p w14:paraId="1CE3C2C5" w14:textId="4DF8D43F"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Statin user</w:t>
            </w:r>
            <w:r w:rsidR="00722A43" w:rsidRPr="002D79FB">
              <w:rPr>
                <w:rFonts w:ascii="Book Antiqua" w:hAnsi="Book Antiqua" w:cs="Times New Roman"/>
                <w:b/>
                <w:bCs/>
              </w:rPr>
              <w:t xml:space="preserve">, </w:t>
            </w:r>
            <w:r w:rsidR="00722A43" w:rsidRPr="002D79FB">
              <w:rPr>
                <w:rFonts w:ascii="Book Antiqua" w:hAnsi="Book Antiqua" w:cs="Times New Roman"/>
                <w:b/>
                <w:bCs/>
                <w:i/>
                <w:iCs/>
              </w:rPr>
              <w:t>n</w:t>
            </w:r>
            <w:r w:rsidR="00722A43" w:rsidRPr="002D79FB">
              <w:rPr>
                <w:rFonts w:ascii="Book Antiqua" w:hAnsi="Book Antiqua" w:cs="Times New Roman"/>
                <w:b/>
                <w:bCs/>
              </w:rPr>
              <w:t xml:space="preserve"> (%)</w:t>
            </w:r>
          </w:p>
        </w:tc>
        <w:tc>
          <w:tcPr>
            <w:tcW w:w="1382" w:type="dxa"/>
            <w:tcBorders>
              <w:left w:val="nil"/>
              <w:bottom w:val="single" w:sz="4" w:space="0" w:color="auto"/>
              <w:right w:val="nil"/>
            </w:tcBorders>
            <w:vAlign w:val="center"/>
          </w:tcPr>
          <w:p w14:paraId="68B3B86F" w14:textId="1123ADFF"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Statin non-user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061" w:type="dxa"/>
            <w:tcBorders>
              <w:left w:val="nil"/>
              <w:bottom w:val="single" w:sz="4" w:space="0" w:color="auto"/>
              <w:right w:val="nil"/>
            </w:tcBorders>
            <w:vAlign w:val="center"/>
          </w:tcPr>
          <w:p w14:paraId="51B7755B" w14:textId="7C49E20E"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i/>
              </w:rPr>
              <w:t xml:space="preserve">P </w:t>
            </w:r>
            <w:r w:rsidRPr="002D79FB">
              <w:rPr>
                <w:rFonts w:ascii="Book Antiqua" w:hAnsi="Book Antiqua" w:cs="Times New Roman"/>
                <w:b/>
                <w:bCs/>
                <w:iCs/>
              </w:rPr>
              <w:t>value</w:t>
            </w:r>
          </w:p>
        </w:tc>
        <w:tc>
          <w:tcPr>
            <w:tcW w:w="1382" w:type="dxa"/>
            <w:tcBorders>
              <w:left w:val="nil"/>
              <w:bottom w:val="single" w:sz="4" w:space="0" w:color="auto"/>
              <w:right w:val="nil"/>
            </w:tcBorders>
            <w:vAlign w:val="center"/>
          </w:tcPr>
          <w:p w14:paraId="061E07A4" w14:textId="5E2E12BB"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Statin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382" w:type="dxa"/>
            <w:tcBorders>
              <w:left w:val="nil"/>
              <w:bottom w:val="single" w:sz="4" w:space="0" w:color="auto"/>
              <w:right w:val="nil"/>
            </w:tcBorders>
            <w:vAlign w:val="center"/>
          </w:tcPr>
          <w:p w14:paraId="4917E16A" w14:textId="0ED0EA7A"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Statin non-user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136" w:type="dxa"/>
            <w:tcBorders>
              <w:left w:val="nil"/>
              <w:bottom w:val="single" w:sz="4" w:space="0" w:color="auto"/>
              <w:right w:val="nil"/>
            </w:tcBorders>
            <w:vAlign w:val="center"/>
          </w:tcPr>
          <w:p w14:paraId="342F7A3F" w14:textId="3698B1CE"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i/>
              </w:rPr>
              <w:t xml:space="preserve">P </w:t>
            </w:r>
            <w:r w:rsidRPr="002D79FB">
              <w:rPr>
                <w:rFonts w:ascii="Book Antiqua" w:hAnsi="Book Antiqua" w:cs="Times New Roman"/>
                <w:b/>
                <w:bCs/>
                <w:iCs/>
              </w:rPr>
              <w:t>value</w:t>
            </w:r>
          </w:p>
        </w:tc>
      </w:tr>
      <w:tr w:rsidR="00747564" w:rsidRPr="002D79FB" w14:paraId="724043CD" w14:textId="77777777" w:rsidTr="00722A43">
        <w:tc>
          <w:tcPr>
            <w:tcW w:w="1517" w:type="dxa"/>
            <w:tcBorders>
              <w:top w:val="single" w:sz="4" w:space="0" w:color="auto"/>
              <w:left w:val="nil"/>
              <w:bottom w:val="nil"/>
              <w:right w:val="nil"/>
            </w:tcBorders>
          </w:tcPr>
          <w:p w14:paraId="5B89E8D0" w14:textId="117D71A9" w:rsidR="00747564" w:rsidRPr="002D79FB" w:rsidRDefault="00747564" w:rsidP="002D79FB">
            <w:pPr>
              <w:spacing w:line="360" w:lineRule="auto"/>
              <w:rPr>
                <w:rFonts w:ascii="Book Antiqua" w:hAnsi="Book Antiqua"/>
                <w:b/>
                <w:bCs/>
                <w:lang w:eastAsia="zh-CN"/>
              </w:rPr>
            </w:pPr>
            <w:r w:rsidRPr="002D79FB">
              <w:rPr>
                <w:rFonts w:ascii="Book Antiqua" w:hAnsi="Book Antiqua"/>
                <w:b/>
                <w:bCs/>
                <w:lang w:eastAsia="zh-CN"/>
              </w:rPr>
              <w:t>2016</w:t>
            </w:r>
          </w:p>
        </w:tc>
        <w:tc>
          <w:tcPr>
            <w:tcW w:w="1382" w:type="dxa"/>
            <w:tcBorders>
              <w:top w:val="single" w:sz="4" w:space="0" w:color="auto"/>
              <w:left w:val="nil"/>
              <w:bottom w:val="nil"/>
              <w:right w:val="nil"/>
            </w:tcBorders>
            <w:vAlign w:val="center"/>
          </w:tcPr>
          <w:p w14:paraId="54B54BD4" w14:textId="77777777" w:rsidR="00747564" w:rsidRPr="002D79FB" w:rsidRDefault="00747564" w:rsidP="002D79FB">
            <w:pPr>
              <w:spacing w:line="360" w:lineRule="auto"/>
              <w:rPr>
                <w:rFonts w:ascii="Book Antiqua" w:hAnsi="Book Antiqua"/>
                <w:b/>
                <w:bCs/>
              </w:rPr>
            </w:pPr>
          </w:p>
        </w:tc>
        <w:tc>
          <w:tcPr>
            <w:tcW w:w="1382" w:type="dxa"/>
            <w:tcBorders>
              <w:top w:val="single" w:sz="4" w:space="0" w:color="auto"/>
              <w:left w:val="nil"/>
              <w:bottom w:val="nil"/>
              <w:right w:val="nil"/>
            </w:tcBorders>
            <w:vAlign w:val="center"/>
          </w:tcPr>
          <w:p w14:paraId="4A2ADCCE" w14:textId="77777777" w:rsidR="00747564" w:rsidRPr="002D79FB" w:rsidRDefault="00747564" w:rsidP="002D79FB">
            <w:pPr>
              <w:spacing w:line="360" w:lineRule="auto"/>
              <w:rPr>
                <w:rFonts w:ascii="Book Antiqua" w:hAnsi="Book Antiqua"/>
                <w:b/>
                <w:bCs/>
              </w:rPr>
            </w:pPr>
          </w:p>
        </w:tc>
        <w:tc>
          <w:tcPr>
            <w:tcW w:w="1061" w:type="dxa"/>
            <w:tcBorders>
              <w:top w:val="single" w:sz="4" w:space="0" w:color="auto"/>
              <w:left w:val="nil"/>
              <w:bottom w:val="nil"/>
              <w:right w:val="nil"/>
            </w:tcBorders>
            <w:vAlign w:val="center"/>
          </w:tcPr>
          <w:p w14:paraId="6965AE0A" w14:textId="77777777" w:rsidR="00747564" w:rsidRPr="002D79FB" w:rsidRDefault="00747564" w:rsidP="002D79FB">
            <w:pPr>
              <w:spacing w:line="360" w:lineRule="auto"/>
              <w:rPr>
                <w:rFonts w:ascii="Book Antiqua" w:hAnsi="Book Antiqua"/>
                <w:b/>
                <w:bCs/>
                <w:i/>
              </w:rPr>
            </w:pPr>
          </w:p>
        </w:tc>
        <w:tc>
          <w:tcPr>
            <w:tcW w:w="1382" w:type="dxa"/>
            <w:tcBorders>
              <w:top w:val="single" w:sz="4" w:space="0" w:color="auto"/>
              <w:left w:val="nil"/>
              <w:bottom w:val="nil"/>
              <w:right w:val="nil"/>
            </w:tcBorders>
            <w:vAlign w:val="center"/>
          </w:tcPr>
          <w:p w14:paraId="7CD2A25A" w14:textId="77777777" w:rsidR="00747564" w:rsidRPr="002D79FB" w:rsidRDefault="00747564" w:rsidP="002D79FB">
            <w:pPr>
              <w:spacing w:line="360" w:lineRule="auto"/>
              <w:rPr>
                <w:rFonts w:ascii="Book Antiqua" w:hAnsi="Book Antiqua"/>
                <w:b/>
                <w:bCs/>
              </w:rPr>
            </w:pPr>
          </w:p>
        </w:tc>
        <w:tc>
          <w:tcPr>
            <w:tcW w:w="1382" w:type="dxa"/>
            <w:tcBorders>
              <w:top w:val="single" w:sz="4" w:space="0" w:color="auto"/>
              <w:left w:val="nil"/>
              <w:bottom w:val="nil"/>
              <w:right w:val="nil"/>
            </w:tcBorders>
            <w:vAlign w:val="center"/>
          </w:tcPr>
          <w:p w14:paraId="37AB460A" w14:textId="77777777" w:rsidR="00747564" w:rsidRPr="002D79FB" w:rsidRDefault="00747564" w:rsidP="002D79FB">
            <w:pPr>
              <w:spacing w:line="360" w:lineRule="auto"/>
              <w:rPr>
                <w:rFonts w:ascii="Book Antiqua" w:hAnsi="Book Antiqua"/>
                <w:b/>
                <w:bCs/>
              </w:rPr>
            </w:pPr>
          </w:p>
        </w:tc>
        <w:tc>
          <w:tcPr>
            <w:tcW w:w="1136" w:type="dxa"/>
            <w:tcBorders>
              <w:top w:val="single" w:sz="4" w:space="0" w:color="auto"/>
              <w:left w:val="nil"/>
              <w:bottom w:val="nil"/>
              <w:right w:val="nil"/>
            </w:tcBorders>
            <w:vAlign w:val="center"/>
          </w:tcPr>
          <w:p w14:paraId="40AAC47A" w14:textId="77777777" w:rsidR="00747564" w:rsidRPr="002D79FB" w:rsidRDefault="00747564" w:rsidP="002D79FB">
            <w:pPr>
              <w:spacing w:line="360" w:lineRule="auto"/>
              <w:rPr>
                <w:rFonts w:ascii="Book Antiqua" w:hAnsi="Book Antiqua"/>
                <w:b/>
                <w:bCs/>
                <w:i/>
              </w:rPr>
            </w:pPr>
          </w:p>
        </w:tc>
      </w:tr>
      <w:tr w:rsidR="00747564" w:rsidRPr="002D79FB" w14:paraId="15AC7B23" w14:textId="77777777" w:rsidTr="00722A43">
        <w:tc>
          <w:tcPr>
            <w:tcW w:w="1517" w:type="dxa"/>
            <w:tcBorders>
              <w:top w:val="nil"/>
              <w:left w:val="nil"/>
              <w:bottom w:val="nil"/>
              <w:right w:val="nil"/>
            </w:tcBorders>
          </w:tcPr>
          <w:p w14:paraId="4D657F7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382" w:type="dxa"/>
            <w:tcBorders>
              <w:top w:val="nil"/>
              <w:left w:val="nil"/>
              <w:bottom w:val="nil"/>
              <w:right w:val="nil"/>
            </w:tcBorders>
          </w:tcPr>
          <w:p w14:paraId="49D6E4C5" w14:textId="7FBFF16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582/17413 (3.34)</w:t>
            </w:r>
          </w:p>
        </w:tc>
        <w:tc>
          <w:tcPr>
            <w:tcW w:w="1382" w:type="dxa"/>
            <w:tcBorders>
              <w:top w:val="nil"/>
              <w:left w:val="nil"/>
              <w:bottom w:val="nil"/>
              <w:right w:val="nil"/>
            </w:tcBorders>
          </w:tcPr>
          <w:p w14:paraId="541347C9" w14:textId="0B6767A3"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477/17267 (2.76)</w:t>
            </w:r>
          </w:p>
        </w:tc>
        <w:tc>
          <w:tcPr>
            <w:tcW w:w="1061" w:type="dxa"/>
            <w:tcBorders>
              <w:top w:val="nil"/>
              <w:left w:val="nil"/>
              <w:bottom w:val="nil"/>
              <w:right w:val="nil"/>
            </w:tcBorders>
          </w:tcPr>
          <w:p w14:paraId="02B5CB48"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0.0017</w:t>
            </w:r>
          </w:p>
        </w:tc>
        <w:tc>
          <w:tcPr>
            <w:tcW w:w="1382" w:type="dxa"/>
            <w:tcBorders>
              <w:top w:val="nil"/>
              <w:left w:val="nil"/>
              <w:bottom w:val="nil"/>
              <w:right w:val="nil"/>
            </w:tcBorders>
          </w:tcPr>
          <w:p w14:paraId="134433CB" w14:textId="18FF7F3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579/17267 (3.35)</w:t>
            </w:r>
          </w:p>
        </w:tc>
        <w:tc>
          <w:tcPr>
            <w:tcW w:w="1382" w:type="dxa"/>
            <w:tcBorders>
              <w:top w:val="nil"/>
              <w:left w:val="nil"/>
              <w:bottom w:val="nil"/>
              <w:right w:val="nil"/>
            </w:tcBorders>
          </w:tcPr>
          <w:p w14:paraId="3A83B3C9" w14:textId="020E144D"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477/17267 (2.76)</w:t>
            </w:r>
          </w:p>
        </w:tc>
        <w:tc>
          <w:tcPr>
            <w:tcW w:w="1136" w:type="dxa"/>
            <w:tcBorders>
              <w:top w:val="nil"/>
              <w:left w:val="nil"/>
              <w:bottom w:val="nil"/>
              <w:right w:val="nil"/>
            </w:tcBorders>
          </w:tcPr>
          <w:p w14:paraId="699509F9"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0.0014</w:t>
            </w:r>
          </w:p>
        </w:tc>
      </w:tr>
      <w:tr w:rsidR="00747564" w:rsidRPr="002D79FB" w14:paraId="79A7AC0B" w14:textId="77777777" w:rsidTr="00722A43">
        <w:tc>
          <w:tcPr>
            <w:tcW w:w="1517" w:type="dxa"/>
            <w:tcBorders>
              <w:top w:val="nil"/>
              <w:left w:val="nil"/>
              <w:bottom w:val="nil"/>
              <w:right w:val="nil"/>
            </w:tcBorders>
            <w:vAlign w:val="center"/>
          </w:tcPr>
          <w:p w14:paraId="14FCB3DA"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2017</w:t>
            </w:r>
          </w:p>
        </w:tc>
        <w:tc>
          <w:tcPr>
            <w:tcW w:w="3825" w:type="dxa"/>
            <w:gridSpan w:val="3"/>
            <w:tcBorders>
              <w:top w:val="nil"/>
              <w:left w:val="nil"/>
              <w:bottom w:val="nil"/>
              <w:right w:val="nil"/>
            </w:tcBorders>
          </w:tcPr>
          <w:p w14:paraId="3D8C6645" w14:textId="77777777" w:rsidR="00747564" w:rsidRPr="002D79FB" w:rsidRDefault="00747564" w:rsidP="002D79FB">
            <w:pPr>
              <w:spacing w:line="360" w:lineRule="auto"/>
              <w:rPr>
                <w:rFonts w:ascii="Book Antiqua" w:hAnsi="Book Antiqua" w:cs="Times New Roman"/>
              </w:rPr>
            </w:pPr>
          </w:p>
        </w:tc>
        <w:tc>
          <w:tcPr>
            <w:tcW w:w="3900" w:type="dxa"/>
            <w:gridSpan w:val="3"/>
            <w:tcBorders>
              <w:top w:val="nil"/>
              <w:left w:val="nil"/>
              <w:bottom w:val="nil"/>
              <w:right w:val="nil"/>
            </w:tcBorders>
          </w:tcPr>
          <w:p w14:paraId="4E3C481F" w14:textId="17E8BB25" w:rsidR="00747564" w:rsidRPr="002D79FB" w:rsidRDefault="00747564" w:rsidP="002D79FB">
            <w:pPr>
              <w:spacing w:line="360" w:lineRule="auto"/>
              <w:rPr>
                <w:rFonts w:ascii="Book Antiqua" w:hAnsi="Book Antiqua" w:cs="Times New Roman"/>
              </w:rPr>
            </w:pPr>
          </w:p>
        </w:tc>
      </w:tr>
      <w:tr w:rsidR="00747564" w:rsidRPr="002D79FB" w14:paraId="7808D960" w14:textId="77777777" w:rsidTr="00722A43">
        <w:tc>
          <w:tcPr>
            <w:tcW w:w="1517" w:type="dxa"/>
            <w:tcBorders>
              <w:top w:val="nil"/>
              <w:left w:val="nil"/>
              <w:bottom w:val="single" w:sz="4" w:space="0" w:color="auto"/>
              <w:right w:val="nil"/>
            </w:tcBorders>
          </w:tcPr>
          <w:p w14:paraId="22AEA536"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382" w:type="dxa"/>
            <w:tcBorders>
              <w:top w:val="nil"/>
              <w:left w:val="nil"/>
              <w:bottom w:val="single" w:sz="4" w:space="0" w:color="auto"/>
              <w:right w:val="nil"/>
            </w:tcBorders>
          </w:tcPr>
          <w:p w14:paraId="2104DF63" w14:textId="019E107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562/18707 (3.00)</w:t>
            </w:r>
          </w:p>
        </w:tc>
        <w:tc>
          <w:tcPr>
            <w:tcW w:w="1382" w:type="dxa"/>
            <w:tcBorders>
              <w:top w:val="nil"/>
              <w:left w:val="nil"/>
              <w:bottom w:val="single" w:sz="4" w:space="0" w:color="auto"/>
              <w:right w:val="nil"/>
            </w:tcBorders>
          </w:tcPr>
          <w:p w14:paraId="52FA997A" w14:textId="27EB5D4F"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449/16882 (2.66)</w:t>
            </w:r>
          </w:p>
        </w:tc>
        <w:tc>
          <w:tcPr>
            <w:tcW w:w="1061" w:type="dxa"/>
            <w:tcBorders>
              <w:top w:val="nil"/>
              <w:left w:val="nil"/>
              <w:bottom w:val="single" w:sz="4" w:space="0" w:color="auto"/>
              <w:right w:val="nil"/>
            </w:tcBorders>
          </w:tcPr>
          <w:p w14:paraId="72DEC638"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0.0507</w:t>
            </w:r>
          </w:p>
        </w:tc>
        <w:tc>
          <w:tcPr>
            <w:tcW w:w="1382" w:type="dxa"/>
            <w:tcBorders>
              <w:top w:val="nil"/>
              <w:left w:val="nil"/>
              <w:bottom w:val="single" w:sz="4" w:space="0" w:color="auto"/>
              <w:right w:val="nil"/>
            </w:tcBorders>
          </w:tcPr>
          <w:p w14:paraId="67673792" w14:textId="1CC03C82"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523/16882 (3.10)</w:t>
            </w:r>
          </w:p>
        </w:tc>
        <w:tc>
          <w:tcPr>
            <w:tcW w:w="1382" w:type="dxa"/>
            <w:tcBorders>
              <w:top w:val="nil"/>
              <w:left w:val="nil"/>
              <w:bottom w:val="single" w:sz="4" w:space="0" w:color="auto"/>
              <w:right w:val="nil"/>
            </w:tcBorders>
          </w:tcPr>
          <w:p w14:paraId="7DCBC529" w14:textId="15DE090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449/16882 (2.66)</w:t>
            </w:r>
          </w:p>
        </w:tc>
        <w:tc>
          <w:tcPr>
            <w:tcW w:w="1136" w:type="dxa"/>
            <w:tcBorders>
              <w:top w:val="nil"/>
              <w:left w:val="nil"/>
              <w:bottom w:val="single" w:sz="4" w:space="0" w:color="auto"/>
              <w:right w:val="nil"/>
            </w:tcBorders>
          </w:tcPr>
          <w:p w14:paraId="0D57B008"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0.0160</w:t>
            </w:r>
          </w:p>
        </w:tc>
      </w:tr>
    </w:tbl>
    <w:p w14:paraId="3329C599" w14:textId="14F7160A" w:rsidR="00747564" w:rsidRPr="002D79FB" w:rsidRDefault="00747564" w:rsidP="002D79FB">
      <w:pPr>
        <w:spacing w:line="360" w:lineRule="auto"/>
        <w:jc w:val="both"/>
        <w:rPr>
          <w:rFonts w:ascii="Book Antiqua" w:hAnsi="Book Antiqua"/>
        </w:rPr>
      </w:pPr>
      <w:r w:rsidRPr="002D79FB">
        <w:rPr>
          <w:rFonts w:ascii="Book Antiqua" w:hAnsi="Book Antiqua"/>
          <w:vertAlign w:val="superscript"/>
        </w:rPr>
        <w:t>1</w:t>
      </w:r>
      <w:r w:rsidR="00722A43" w:rsidRPr="002D79FB">
        <w:rPr>
          <w:rFonts w:ascii="Book Antiqua" w:eastAsia="Book Antiqua" w:hAnsi="Book Antiqua" w:cs="Book Antiqua"/>
          <w:color w:val="000000"/>
        </w:rPr>
        <w:t>Propensity score</w:t>
      </w:r>
      <w:r w:rsidRPr="002D79FB">
        <w:rPr>
          <w:rFonts w:ascii="Book Antiqua" w:hAnsi="Book Antiqua"/>
        </w:rPr>
        <w:t>-matching was performed by including baseline age, gender and comorbidities (myocardial infarction, congestive heart failure, peripheral vascular disease, cerebrovascular accident or transient ischemic attack, dementia, chronic obstructive pulmonary disease, connective tissue disease, peptic ulcer disease, liver disease, hemiplegia, moderate to severe chronic kidney disease, solid tumor, leukemia, lymphoma, AIDS).</w:t>
      </w:r>
    </w:p>
    <w:p w14:paraId="648E435D" w14:textId="77777777" w:rsidR="00747564" w:rsidRPr="002D79FB" w:rsidRDefault="00747564" w:rsidP="002D79FB">
      <w:pPr>
        <w:spacing w:line="360" w:lineRule="auto"/>
        <w:jc w:val="both"/>
        <w:rPr>
          <w:rFonts w:ascii="Book Antiqua" w:hAnsi="Book Antiqua"/>
        </w:rPr>
      </w:pPr>
    </w:p>
    <w:p w14:paraId="6A297A64" w14:textId="77777777" w:rsidR="00747564" w:rsidRPr="002D79FB" w:rsidRDefault="00747564" w:rsidP="002D79FB">
      <w:pPr>
        <w:spacing w:line="360" w:lineRule="auto"/>
        <w:jc w:val="both"/>
        <w:rPr>
          <w:rFonts w:ascii="Book Antiqua" w:hAnsi="Book Antiqua"/>
        </w:rPr>
        <w:sectPr w:rsidR="00747564" w:rsidRPr="002D79FB" w:rsidSect="002D79FB">
          <w:headerReference w:type="default" r:id="rId12"/>
          <w:type w:val="continuous"/>
          <w:pgSz w:w="11906" w:h="16838"/>
          <w:pgMar w:top="1440" w:right="1440" w:bottom="1440" w:left="1440" w:header="851" w:footer="992" w:gutter="0"/>
          <w:cols w:space="425"/>
          <w:docGrid w:linePitch="360"/>
        </w:sectPr>
      </w:pPr>
    </w:p>
    <w:p w14:paraId="66B7F0F7" w14:textId="77777777" w:rsidR="002640F5" w:rsidRDefault="002640F5">
      <w:pPr>
        <w:rPr>
          <w:rFonts w:ascii="Book Antiqua" w:hAnsi="Book Antiqua"/>
          <w:b/>
          <w:bCs/>
        </w:rPr>
      </w:pPr>
      <w:r>
        <w:rPr>
          <w:rFonts w:ascii="Book Antiqua" w:hAnsi="Book Antiqua"/>
          <w:b/>
          <w:bCs/>
        </w:rPr>
        <w:lastRenderedPageBreak/>
        <w:br w:type="page"/>
      </w:r>
    </w:p>
    <w:p w14:paraId="50FB88E7" w14:textId="3B37CCC8" w:rsidR="00747564" w:rsidRPr="002D79FB" w:rsidRDefault="00747564" w:rsidP="002D79FB">
      <w:pPr>
        <w:spacing w:line="360" w:lineRule="auto"/>
        <w:jc w:val="both"/>
        <w:rPr>
          <w:rFonts w:ascii="Book Antiqua" w:hAnsi="Book Antiqua"/>
          <w:b/>
          <w:bCs/>
        </w:rPr>
      </w:pPr>
      <w:r w:rsidRPr="002D79FB">
        <w:rPr>
          <w:rFonts w:ascii="Book Antiqua" w:hAnsi="Book Antiqua"/>
          <w:b/>
          <w:bCs/>
        </w:rPr>
        <w:lastRenderedPageBreak/>
        <w:t>Table 2 Incidence of neuropathy in metformin user and non-user group</w:t>
      </w:r>
    </w:p>
    <w:tbl>
      <w:tblPr>
        <w:tblStyle w:val="a6"/>
        <w:tblW w:w="0" w:type="auto"/>
        <w:tblLook w:val="04A0" w:firstRow="1" w:lastRow="0" w:firstColumn="1" w:lastColumn="0" w:noHBand="0" w:noVBand="1"/>
      </w:tblPr>
      <w:tblGrid>
        <w:gridCol w:w="1517"/>
        <w:gridCol w:w="1417"/>
        <w:gridCol w:w="1417"/>
        <w:gridCol w:w="964"/>
        <w:gridCol w:w="1417"/>
        <w:gridCol w:w="1417"/>
        <w:gridCol w:w="1093"/>
      </w:tblGrid>
      <w:tr w:rsidR="00747564" w:rsidRPr="002D79FB" w14:paraId="5463DF04" w14:textId="77777777" w:rsidTr="00722A43">
        <w:tc>
          <w:tcPr>
            <w:tcW w:w="1517" w:type="dxa"/>
            <w:vMerge w:val="restart"/>
            <w:tcBorders>
              <w:left w:val="nil"/>
              <w:right w:val="nil"/>
            </w:tcBorders>
            <w:vAlign w:val="center"/>
          </w:tcPr>
          <w:p w14:paraId="5CBFD5A4" w14:textId="7B6900C5" w:rsidR="00747564" w:rsidRPr="002D79FB" w:rsidRDefault="00747564" w:rsidP="002D79FB">
            <w:pPr>
              <w:spacing w:line="360" w:lineRule="auto"/>
              <w:rPr>
                <w:rFonts w:ascii="Book Antiqua" w:hAnsi="Book Antiqua" w:cs="Times New Roman"/>
              </w:rPr>
            </w:pPr>
          </w:p>
        </w:tc>
        <w:tc>
          <w:tcPr>
            <w:tcW w:w="3798" w:type="dxa"/>
            <w:gridSpan w:val="3"/>
            <w:tcBorders>
              <w:left w:val="nil"/>
              <w:right w:val="nil"/>
            </w:tcBorders>
          </w:tcPr>
          <w:p w14:paraId="4673D89B" w14:textId="77777777" w:rsidR="00747564" w:rsidRPr="002D79FB" w:rsidRDefault="00747564" w:rsidP="002D79FB">
            <w:pPr>
              <w:spacing w:line="360" w:lineRule="auto"/>
              <w:rPr>
                <w:rFonts w:ascii="Book Antiqua" w:hAnsi="Book Antiqua" w:cs="Times New Roman"/>
              </w:rPr>
            </w:pPr>
          </w:p>
        </w:tc>
        <w:tc>
          <w:tcPr>
            <w:tcW w:w="3927" w:type="dxa"/>
            <w:gridSpan w:val="3"/>
            <w:tcBorders>
              <w:left w:val="nil"/>
              <w:right w:val="nil"/>
            </w:tcBorders>
          </w:tcPr>
          <w:p w14:paraId="65499EF4" w14:textId="4838F71A" w:rsidR="00747564" w:rsidRPr="002D79FB" w:rsidRDefault="00722A43" w:rsidP="002D79FB">
            <w:pPr>
              <w:spacing w:line="360" w:lineRule="auto"/>
              <w:rPr>
                <w:rFonts w:ascii="Book Antiqua" w:hAnsi="Book Antiqua" w:cs="Times New Roman"/>
                <w:b/>
                <w:bCs/>
              </w:rPr>
            </w:pPr>
            <w:r w:rsidRPr="002D79FB">
              <w:rPr>
                <w:rFonts w:ascii="Book Antiqua" w:eastAsia="Book Antiqua" w:hAnsi="Book Antiqua" w:cs="Book Antiqua"/>
                <w:b/>
                <w:bCs/>
                <w:color w:val="000000"/>
              </w:rPr>
              <w:t>Propensity score</w:t>
            </w:r>
            <w:r w:rsidR="00747564" w:rsidRPr="002D79FB">
              <w:rPr>
                <w:rFonts w:ascii="Book Antiqua" w:hAnsi="Book Antiqua" w:cs="Times New Roman"/>
                <w:b/>
                <w:bCs/>
              </w:rPr>
              <w:t>-matched</w:t>
            </w:r>
            <w:r w:rsidRPr="002D79FB">
              <w:rPr>
                <w:rFonts w:ascii="Book Antiqua" w:hAnsi="Book Antiqua" w:cs="Times New Roman"/>
                <w:b/>
                <w:bCs/>
                <w:vertAlign w:val="superscript"/>
              </w:rPr>
              <w:t>1</w:t>
            </w:r>
          </w:p>
        </w:tc>
      </w:tr>
      <w:tr w:rsidR="00747564" w:rsidRPr="002D79FB" w14:paraId="0EE1CE90" w14:textId="77777777" w:rsidTr="00722A43">
        <w:tc>
          <w:tcPr>
            <w:tcW w:w="1517" w:type="dxa"/>
            <w:vMerge/>
            <w:tcBorders>
              <w:left w:val="nil"/>
              <w:bottom w:val="single" w:sz="4" w:space="0" w:color="auto"/>
              <w:right w:val="nil"/>
            </w:tcBorders>
          </w:tcPr>
          <w:p w14:paraId="166F7745" w14:textId="77777777" w:rsidR="00747564" w:rsidRPr="002D79FB" w:rsidRDefault="00747564" w:rsidP="002D79FB">
            <w:pPr>
              <w:spacing w:line="360" w:lineRule="auto"/>
              <w:rPr>
                <w:rFonts w:ascii="Book Antiqua" w:hAnsi="Book Antiqua" w:cs="Times New Roman"/>
              </w:rPr>
            </w:pPr>
          </w:p>
        </w:tc>
        <w:tc>
          <w:tcPr>
            <w:tcW w:w="1417" w:type="dxa"/>
            <w:tcBorders>
              <w:left w:val="nil"/>
              <w:bottom w:val="single" w:sz="4" w:space="0" w:color="auto"/>
              <w:right w:val="nil"/>
            </w:tcBorders>
            <w:vAlign w:val="center"/>
          </w:tcPr>
          <w:p w14:paraId="4D3F4B3C" w14:textId="35EEECAA"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Metformin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417" w:type="dxa"/>
            <w:tcBorders>
              <w:left w:val="nil"/>
              <w:bottom w:val="single" w:sz="4" w:space="0" w:color="auto"/>
              <w:right w:val="nil"/>
            </w:tcBorders>
            <w:vAlign w:val="center"/>
          </w:tcPr>
          <w:p w14:paraId="10362D58" w14:textId="7AE9F305"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Metformin non-user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964" w:type="dxa"/>
            <w:tcBorders>
              <w:left w:val="nil"/>
              <w:bottom w:val="single" w:sz="4" w:space="0" w:color="auto"/>
              <w:right w:val="nil"/>
            </w:tcBorders>
            <w:vAlign w:val="center"/>
          </w:tcPr>
          <w:p w14:paraId="097635B4" w14:textId="4D576DC3" w:rsidR="00747564" w:rsidRPr="002D79FB" w:rsidRDefault="00747564" w:rsidP="002D79FB">
            <w:pPr>
              <w:spacing w:line="360" w:lineRule="auto"/>
              <w:rPr>
                <w:rFonts w:ascii="Book Antiqua" w:hAnsi="Book Antiqua" w:cs="Times New Roman"/>
                <w:b/>
                <w:bCs/>
                <w:iCs/>
              </w:rPr>
            </w:pPr>
            <w:r w:rsidRPr="002D79FB">
              <w:rPr>
                <w:rFonts w:ascii="Book Antiqua" w:hAnsi="Book Antiqua" w:cs="Times New Roman"/>
                <w:b/>
                <w:bCs/>
                <w:i/>
              </w:rPr>
              <w:t>P</w:t>
            </w:r>
            <w:r w:rsidR="00722A43" w:rsidRPr="002D79FB">
              <w:rPr>
                <w:rFonts w:ascii="Book Antiqua" w:hAnsi="Book Antiqua" w:cs="Times New Roman"/>
                <w:b/>
                <w:bCs/>
                <w:iCs/>
              </w:rPr>
              <w:t xml:space="preserve"> value</w:t>
            </w:r>
          </w:p>
        </w:tc>
        <w:tc>
          <w:tcPr>
            <w:tcW w:w="1417" w:type="dxa"/>
            <w:tcBorders>
              <w:left w:val="nil"/>
              <w:bottom w:val="single" w:sz="4" w:space="0" w:color="auto"/>
              <w:right w:val="nil"/>
            </w:tcBorders>
            <w:vAlign w:val="center"/>
          </w:tcPr>
          <w:p w14:paraId="16F6FEBA" w14:textId="5207898C"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Metformin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417" w:type="dxa"/>
            <w:tcBorders>
              <w:left w:val="nil"/>
              <w:bottom w:val="single" w:sz="4" w:space="0" w:color="auto"/>
              <w:right w:val="nil"/>
            </w:tcBorders>
            <w:vAlign w:val="center"/>
          </w:tcPr>
          <w:p w14:paraId="1C96F239" w14:textId="40264A2A"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Metformin non-user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093" w:type="dxa"/>
            <w:tcBorders>
              <w:left w:val="nil"/>
              <w:bottom w:val="single" w:sz="4" w:space="0" w:color="auto"/>
              <w:right w:val="nil"/>
            </w:tcBorders>
            <w:vAlign w:val="center"/>
          </w:tcPr>
          <w:p w14:paraId="65D74793" w14:textId="2DE00C87"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i/>
              </w:rPr>
              <w:t>P</w:t>
            </w:r>
            <w:r w:rsidR="00722A43" w:rsidRPr="002D79FB">
              <w:rPr>
                <w:rFonts w:ascii="Book Antiqua" w:hAnsi="Book Antiqua" w:cs="Times New Roman"/>
                <w:b/>
                <w:bCs/>
                <w:iCs/>
              </w:rPr>
              <w:t xml:space="preserve"> value</w:t>
            </w:r>
          </w:p>
        </w:tc>
      </w:tr>
      <w:tr w:rsidR="00722A43" w:rsidRPr="002D79FB" w14:paraId="5F30372B" w14:textId="77777777" w:rsidTr="00722A43">
        <w:tc>
          <w:tcPr>
            <w:tcW w:w="1517" w:type="dxa"/>
            <w:tcBorders>
              <w:top w:val="single" w:sz="4" w:space="0" w:color="auto"/>
              <w:left w:val="nil"/>
              <w:bottom w:val="nil"/>
              <w:right w:val="nil"/>
            </w:tcBorders>
          </w:tcPr>
          <w:p w14:paraId="195738C8" w14:textId="70E5E784" w:rsidR="00722A43" w:rsidRPr="002D79FB" w:rsidRDefault="00722A43" w:rsidP="002D79FB">
            <w:pPr>
              <w:spacing w:line="360" w:lineRule="auto"/>
              <w:rPr>
                <w:rFonts w:ascii="Book Antiqua" w:hAnsi="Book Antiqua"/>
                <w:b/>
                <w:bCs/>
                <w:lang w:eastAsia="zh-CN"/>
              </w:rPr>
            </w:pPr>
            <w:r w:rsidRPr="002D79FB">
              <w:rPr>
                <w:rFonts w:ascii="Book Antiqua" w:hAnsi="Book Antiqua"/>
                <w:b/>
                <w:bCs/>
                <w:lang w:eastAsia="zh-CN"/>
              </w:rPr>
              <w:t>2016</w:t>
            </w:r>
          </w:p>
        </w:tc>
        <w:tc>
          <w:tcPr>
            <w:tcW w:w="1417" w:type="dxa"/>
            <w:tcBorders>
              <w:top w:val="single" w:sz="4" w:space="0" w:color="auto"/>
              <w:left w:val="nil"/>
              <w:bottom w:val="nil"/>
              <w:right w:val="nil"/>
            </w:tcBorders>
            <w:vAlign w:val="center"/>
          </w:tcPr>
          <w:p w14:paraId="4229FE4A" w14:textId="77777777" w:rsidR="00722A43" w:rsidRPr="002D79FB" w:rsidRDefault="00722A43" w:rsidP="002D79FB">
            <w:pPr>
              <w:spacing w:line="360" w:lineRule="auto"/>
              <w:rPr>
                <w:rFonts w:ascii="Book Antiqua" w:hAnsi="Book Antiqua"/>
              </w:rPr>
            </w:pPr>
          </w:p>
        </w:tc>
        <w:tc>
          <w:tcPr>
            <w:tcW w:w="1417" w:type="dxa"/>
            <w:tcBorders>
              <w:top w:val="single" w:sz="4" w:space="0" w:color="auto"/>
              <w:left w:val="nil"/>
              <w:bottom w:val="nil"/>
              <w:right w:val="nil"/>
            </w:tcBorders>
            <w:vAlign w:val="center"/>
          </w:tcPr>
          <w:p w14:paraId="600D281C" w14:textId="77777777" w:rsidR="00722A43" w:rsidRPr="002D79FB" w:rsidRDefault="00722A43" w:rsidP="002D79FB">
            <w:pPr>
              <w:spacing w:line="360" w:lineRule="auto"/>
              <w:rPr>
                <w:rFonts w:ascii="Book Antiqua" w:hAnsi="Book Antiqua"/>
              </w:rPr>
            </w:pPr>
          </w:p>
        </w:tc>
        <w:tc>
          <w:tcPr>
            <w:tcW w:w="964" w:type="dxa"/>
            <w:tcBorders>
              <w:top w:val="single" w:sz="4" w:space="0" w:color="auto"/>
              <w:left w:val="nil"/>
              <w:bottom w:val="nil"/>
              <w:right w:val="nil"/>
            </w:tcBorders>
            <w:vAlign w:val="center"/>
          </w:tcPr>
          <w:p w14:paraId="73C8A218" w14:textId="77777777" w:rsidR="00722A43" w:rsidRPr="002D79FB" w:rsidRDefault="00722A43" w:rsidP="002D79FB">
            <w:pPr>
              <w:spacing w:line="360" w:lineRule="auto"/>
              <w:rPr>
                <w:rFonts w:ascii="Book Antiqua" w:hAnsi="Book Antiqua"/>
                <w:i/>
              </w:rPr>
            </w:pPr>
          </w:p>
        </w:tc>
        <w:tc>
          <w:tcPr>
            <w:tcW w:w="1417" w:type="dxa"/>
            <w:tcBorders>
              <w:top w:val="single" w:sz="4" w:space="0" w:color="auto"/>
              <w:left w:val="nil"/>
              <w:bottom w:val="nil"/>
              <w:right w:val="nil"/>
            </w:tcBorders>
            <w:vAlign w:val="center"/>
          </w:tcPr>
          <w:p w14:paraId="72FF7072" w14:textId="77777777" w:rsidR="00722A43" w:rsidRPr="002D79FB" w:rsidRDefault="00722A43" w:rsidP="002D79FB">
            <w:pPr>
              <w:spacing w:line="360" w:lineRule="auto"/>
              <w:rPr>
                <w:rFonts w:ascii="Book Antiqua" w:hAnsi="Book Antiqua"/>
              </w:rPr>
            </w:pPr>
          </w:p>
        </w:tc>
        <w:tc>
          <w:tcPr>
            <w:tcW w:w="1417" w:type="dxa"/>
            <w:tcBorders>
              <w:top w:val="single" w:sz="4" w:space="0" w:color="auto"/>
              <w:left w:val="nil"/>
              <w:bottom w:val="nil"/>
              <w:right w:val="nil"/>
            </w:tcBorders>
            <w:vAlign w:val="center"/>
          </w:tcPr>
          <w:p w14:paraId="4C89BDD3" w14:textId="77777777" w:rsidR="00722A43" w:rsidRPr="002D79FB" w:rsidRDefault="00722A43" w:rsidP="002D79FB">
            <w:pPr>
              <w:spacing w:line="360" w:lineRule="auto"/>
              <w:rPr>
                <w:rFonts w:ascii="Book Antiqua" w:hAnsi="Book Antiqua"/>
              </w:rPr>
            </w:pPr>
          </w:p>
        </w:tc>
        <w:tc>
          <w:tcPr>
            <w:tcW w:w="1093" w:type="dxa"/>
            <w:tcBorders>
              <w:top w:val="single" w:sz="4" w:space="0" w:color="auto"/>
              <w:left w:val="nil"/>
              <w:bottom w:val="nil"/>
              <w:right w:val="nil"/>
            </w:tcBorders>
            <w:vAlign w:val="center"/>
          </w:tcPr>
          <w:p w14:paraId="5B441D98" w14:textId="77777777" w:rsidR="00722A43" w:rsidRPr="002D79FB" w:rsidRDefault="00722A43" w:rsidP="002D79FB">
            <w:pPr>
              <w:spacing w:line="360" w:lineRule="auto"/>
              <w:rPr>
                <w:rFonts w:ascii="Book Antiqua" w:hAnsi="Book Antiqua"/>
                <w:i/>
              </w:rPr>
            </w:pPr>
          </w:p>
        </w:tc>
      </w:tr>
      <w:tr w:rsidR="00747564" w:rsidRPr="002D79FB" w14:paraId="2D0D86D3" w14:textId="77777777" w:rsidTr="00722A43">
        <w:tc>
          <w:tcPr>
            <w:tcW w:w="1517" w:type="dxa"/>
            <w:tcBorders>
              <w:top w:val="nil"/>
              <w:left w:val="nil"/>
              <w:bottom w:val="nil"/>
              <w:right w:val="nil"/>
            </w:tcBorders>
          </w:tcPr>
          <w:p w14:paraId="07BE1CF8"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417" w:type="dxa"/>
            <w:tcBorders>
              <w:top w:val="nil"/>
              <w:left w:val="nil"/>
              <w:bottom w:val="nil"/>
              <w:right w:val="nil"/>
            </w:tcBorders>
          </w:tcPr>
          <w:p w14:paraId="236A017B" w14:textId="3C4A5551"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914/30683 (2.98)</w:t>
            </w:r>
          </w:p>
        </w:tc>
        <w:tc>
          <w:tcPr>
            <w:tcW w:w="1417" w:type="dxa"/>
            <w:tcBorders>
              <w:top w:val="nil"/>
              <w:left w:val="nil"/>
              <w:bottom w:val="nil"/>
              <w:right w:val="nil"/>
            </w:tcBorders>
          </w:tcPr>
          <w:p w14:paraId="34C785AE" w14:textId="052F3AF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158/3922 (4.03)</w:t>
            </w:r>
          </w:p>
        </w:tc>
        <w:tc>
          <w:tcPr>
            <w:tcW w:w="964" w:type="dxa"/>
            <w:tcBorders>
              <w:top w:val="nil"/>
              <w:left w:val="nil"/>
              <w:bottom w:val="nil"/>
              <w:right w:val="nil"/>
            </w:tcBorders>
          </w:tcPr>
          <w:p w14:paraId="65602E50"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0.0004</w:t>
            </w:r>
          </w:p>
        </w:tc>
        <w:tc>
          <w:tcPr>
            <w:tcW w:w="1417" w:type="dxa"/>
            <w:tcBorders>
              <w:top w:val="nil"/>
              <w:left w:val="nil"/>
              <w:bottom w:val="nil"/>
              <w:right w:val="nil"/>
            </w:tcBorders>
          </w:tcPr>
          <w:p w14:paraId="35DDA58E" w14:textId="11BBB5F4"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49/3922 (1.25)</w:t>
            </w:r>
          </w:p>
        </w:tc>
        <w:tc>
          <w:tcPr>
            <w:tcW w:w="1417" w:type="dxa"/>
            <w:tcBorders>
              <w:top w:val="nil"/>
              <w:left w:val="nil"/>
              <w:bottom w:val="nil"/>
              <w:right w:val="nil"/>
            </w:tcBorders>
          </w:tcPr>
          <w:p w14:paraId="1325010B" w14:textId="48DC996D"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158/3922 (4.03)</w:t>
            </w:r>
          </w:p>
        </w:tc>
        <w:tc>
          <w:tcPr>
            <w:tcW w:w="1093" w:type="dxa"/>
            <w:tcBorders>
              <w:top w:val="nil"/>
              <w:left w:val="nil"/>
              <w:bottom w:val="nil"/>
              <w:right w:val="nil"/>
            </w:tcBorders>
          </w:tcPr>
          <w:p w14:paraId="0DA5CF47" w14:textId="6502608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&lt;</w:t>
            </w:r>
            <w:r w:rsidR="00722A43" w:rsidRPr="002D79FB">
              <w:rPr>
                <w:rFonts w:ascii="Book Antiqua" w:hAnsi="Book Antiqua" w:cs="Times New Roman"/>
              </w:rPr>
              <w:t xml:space="preserve"> </w:t>
            </w:r>
            <w:r w:rsidRPr="002D79FB">
              <w:rPr>
                <w:rFonts w:ascii="Book Antiqua" w:hAnsi="Book Antiqua" w:cs="Times New Roman"/>
              </w:rPr>
              <w:t>0.0001</w:t>
            </w:r>
          </w:p>
        </w:tc>
      </w:tr>
      <w:tr w:rsidR="00747564" w:rsidRPr="002D79FB" w14:paraId="0D4020EE" w14:textId="77777777" w:rsidTr="00722A43">
        <w:tc>
          <w:tcPr>
            <w:tcW w:w="1517" w:type="dxa"/>
            <w:tcBorders>
              <w:top w:val="nil"/>
              <w:left w:val="nil"/>
              <w:bottom w:val="nil"/>
              <w:right w:val="nil"/>
            </w:tcBorders>
            <w:vAlign w:val="center"/>
          </w:tcPr>
          <w:p w14:paraId="7AFA10AF"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2017</w:t>
            </w:r>
          </w:p>
        </w:tc>
        <w:tc>
          <w:tcPr>
            <w:tcW w:w="3798" w:type="dxa"/>
            <w:gridSpan w:val="3"/>
            <w:tcBorders>
              <w:top w:val="nil"/>
              <w:left w:val="nil"/>
              <w:bottom w:val="nil"/>
              <w:right w:val="nil"/>
            </w:tcBorders>
          </w:tcPr>
          <w:p w14:paraId="665F0714" w14:textId="77777777" w:rsidR="00747564" w:rsidRPr="002D79FB" w:rsidRDefault="00747564" w:rsidP="002D79FB">
            <w:pPr>
              <w:spacing w:line="360" w:lineRule="auto"/>
              <w:rPr>
                <w:rFonts w:ascii="Book Antiqua" w:hAnsi="Book Antiqua" w:cs="Times New Roman"/>
              </w:rPr>
            </w:pPr>
          </w:p>
        </w:tc>
        <w:tc>
          <w:tcPr>
            <w:tcW w:w="3927" w:type="dxa"/>
            <w:gridSpan w:val="3"/>
            <w:tcBorders>
              <w:top w:val="nil"/>
              <w:left w:val="nil"/>
              <w:bottom w:val="nil"/>
              <w:right w:val="nil"/>
            </w:tcBorders>
          </w:tcPr>
          <w:p w14:paraId="669F6DB2" w14:textId="55ACE60D" w:rsidR="00747564" w:rsidRPr="002D79FB" w:rsidRDefault="00747564" w:rsidP="002D79FB">
            <w:pPr>
              <w:spacing w:line="360" w:lineRule="auto"/>
              <w:rPr>
                <w:rFonts w:ascii="Book Antiqua" w:hAnsi="Book Antiqua" w:cs="Times New Roman"/>
              </w:rPr>
            </w:pPr>
          </w:p>
        </w:tc>
      </w:tr>
      <w:tr w:rsidR="00747564" w:rsidRPr="002D79FB" w14:paraId="2B1C7E09" w14:textId="77777777" w:rsidTr="00722A43">
        <w:tc>
          <w:tcPr>
            <w:tcW w:w="1517" w:type="dxa"/>
            <w:tcBorders>
              <w:top w:val="nil"/>
              <w:left w:val="nil"/>
              <w:bottom w:val="single" w:sz="4" w:space="0" w:color="auto"/>
              <w:right w:val="nil"/>
            </w:tcBorders>
          </w:tcPr>
          <w:p w14:paraId="23FF2A70"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417" w:type="dxa"/>
            <w:tcBorders>
              <w:top w:val="nil"/>
              <w:left w:val="nil"/>
              <w:bottom w:val="single" w:sz="4" w:space="0" w:color="auto"/>
              <w:right w:val="nil"/>
            </w:tcBorders>
          </w:tcPr>
          <w:p w14:paraId="0F0BCAAE" w14:textId="47BD4C12"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959/31624 (3.03)</w:t>
            </w:r>
          </w:p>
        </w:tc>
        <w:tc>
          <w:tcPr>
            <w:tcW w:w="1417" w:type="dxa"/>
            <w:tcBorders>
              <w:top w:val="nil"/>
              <w:left w:val="nil"/>
              <w:bottom w:val="single" w:sz="4" w:space="0" w:color="auto"/>
              <w:right w:val="nil"/>
            </w:tcBorders>
          </w:tcPr>
          <w:p w14:paraId="526B2D55" w14:textId="18C687C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143/4004 (3.57)</w:t>
            </w:r>
          </w:p>
        </w:tc>
        <w:tc>
          <w:tcPr>
            <w:tcW w:w="964" w:type="dxa"/>
            <w:tcBorders>
              <w:top w:val="nil"/>
              <w:left w:val="nil"/>
              <w:bottom w:val="single" w:sz="4" w:space="0" w:color="auto"/>
              <w:right w:val="nil"/>
            </w:tcBorders>
          </w:tcPr>
          <w:p w14:paraId="74B6F197"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0.0635</w:t>
            </w:r>
          </w:p>
        </w:tc>
        <w:tc>
          <w:tcPr>
            <w:tcW w:w="1417" w:type="dxa"/>
            <w:tcBorders>
              <w:top w:val="nil"/>
              <w:left w:val="nil"/>
              <w:bottom w:val="single" w:sz="4" w:space="0" w:color="auto"/>
              <w:right w:val="nil"/>
            </w:tcBorders>
          </w:tcPr>
          <w:p w14:paraId="295F1449" w14:textId="576A6912"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64/4004 (1.60)</w:t>
            </w:r>
          </w:p>
        </w:tc>
        <w:tc>
          <w:tcPr>
            <w:tcW w:w="1417" w:type="dxa"/>
            <w:tcBorders>
              <w:top w:val="nil"/>
              <w:left w:val="nil"/>
              <w:bottom w:val="single" w:sz="4" w:space="0" w:color="auto"/>
              <w:right w:val="nil"/>
            </w:tcBorders>
          </w:tcPr>
          <w:p w14:paraId="3F99F3AF" w14:textId="029B9135"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143/4004 (3.57)</w:t>
            </w:r>
          </w:p>
        </w:tc>
        <w:tc>
          <w:tcPr>
            <w:tcW w:w="1093" w:type="dxa"/>
            <w:tcBorders>
              <w:top w:val="nil"/>
              <w:left w:val="nil"/>
              <w:bottom w:val="single" w:sz="4" w:space="0" w:color="auto"/>
              <w:right w:val="nil"/>
            </w:tcBorders>
          </w:tcPr>
          <w:p w14:paraId="10265F23" w14:textId="273F0DA4"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&lt;</w:t>
            </w:r>
            <w:r w:rsidR="00722A43" w:rsidRPr="002D79FB">
              <w:rPr>
                <w:rFonts w:ascii="Book Antiqua" w:hAnsi="Book Antiqua" w:cs="Times New Roman"/>
              </w:rPr>
              <w:t xml:space="preserve"> </w:t>
            </w:r>
            <w:r w:rsidRPr="002D79FB">
              <w:rPr>
                <w:rFonts w:ascii="Book Antiqua" w:hAnsi="Book Antiqua" w:cs="Times New Roman"/>
              </w:rPr>
              <w:t>0.0001</w:t>
            </w:r>
          </w:p>
        </w:tc>
      </w:tr>
    </w:tbl>
    <w:p w14:paraId="6AB58C71" w14:textId="79232E1C" w:rsidR="00747564" w:rsidRPr="002D79FB" w:rsidRDefault="00722A43" w:rsidP="002D79FB">
      <w:pPr>
        <w:spacing w:line="360" w:lineRule="auto"/>
        <w:jc w:val="both"/>
        <w:rPr>
          <w:rFonts w:ascii="Book Antiqua" w:hAnsi="Book Antiqua"/>
        </w:rPr>
      </w:pPr>
      <w:r w:rsidRPr="002D79FB">
        <w:rPr>
          <w:rFonts w:ascii="Book Antiqua" w:hAnsi="Book Antiqua"/>
          <w:vertAlign w:val="superscript"/>
        </w:rPr>
        <w:t>1</w:t>
      </w:r>
      <w:r w:rsidRPr="002D79FB">
        <w:rPr>
          <w:rFonts w:ascii="Book Antiqua" w:eastAsia="Book Antiqua" w:hAnsi="Book Antiqua" w:cs="Book Antiqua"/>
          <w:color w:val="000000"/>
        </w:rPr>
        <w:t>Propensity score</w:t>
      </w:r>
      <w:r w:rsidR="00747564" w:rsidRPr="002D79FB">
        <w:rPr>
          <w:rFonts w:ascii="Book Antiqua" w:hAnsi="Book Antiqua"/>
        </w:rPr>
        <w:t>-matching was performed by including baseline age, gender, and comorbidities (myocardial infarction, congestive heart failure, peripheral vascular disease, cerebrovascular accident or transient ischemic attack, dementia, chronic obstructive pulmonary disease, connective tissue disease, peptic ulcer disease, liver disease, diabetes mellitus, hemiplegia, moderate to severe chronic kidney disease, solid tumor, leukemia, lymphoma, AIDS).</w:t>
      </w:r>
    </w:p>
    <w:p w14:paraId="2E242C76" w14:textId="77777777" w:rsidR="00747564" w:rsidRPr="002D79FB" w:rsidRDefault="00747564" w:rsidP="002D79FB">
      <w:pPr>
        <w:spacing w:line="360" w:lineRule="auto"/>
        <w:jc w:val="both"/>
        <w:rPr>
          <w:rFonts w:ascii="Book Antiqua" w:hAnsi="Book Antiqua"/>
        </w:rPr>
        <w:sectPr w:rsidR="00747564" w:rsidRPr="002D79FB" w:rsidSect="002D79FB">
          <w:type w:val="continuous"/>
          <w:pgSz w:w="11906" w:h="16838"/>
          <w:pgMar w:top="1440" w:right="1440" w:bottom="1440" w:left="1440" w:header="851" w:footer="992" w:gutter="0"/>
          <w:cols w:space="425"/>
          <w:docGrid w:linePitch="360"/>
        </w:sectPr>
      </w:pPr>
    </w:p>
    <w:p w14:paraId="74323B5B" w14:textId="77777777" w:rsidR="002640F5" w:rsidRDefault="002640F5">
      <w:pPr>
        <w:rPr>
          <w:rFonts w:ascii="Book Antiqua" w:hAnsi="Book Antiqua"/>
          <w:b/>
          <w:bCs/>
        </w:rPr>
      </w:pPr>
      <w:r>
        <w:rPr>
          <w:rFonts w:ascii="Book Antiqua" w:hAnsi="Book Antiqua"/>
          <w:b/>
          <w:bCs/>
        </w:rPr>
        <w:lastRenderedPageBreak/>
        <w:br w:type="page"/>
      </w:r>
    </w:p>
    <w:p w14:paraId="08DE178D" w14:textId="76108E5B" w:rsidR="00747564" w:rsidRPr="002D79FB" w:rsidRDefault="00747564" w:rsidP="002D79FB">
      <w:pPr>
        <w:spacing w:line="360" w:lineRule="auto"/>
        <w:jc w:val="both"/>
        <w:rPr>
          <w:rFonts w:ascii="Book Antiqua" w:hAnsi="Book Antiqua"/>
          <w:b/>
          <w:bCs/>
        </w:rPr>
      </w:pPr>
      <w:r w:rsidRPr="002D79FB">
        <w:rPr>
          <w:rFonts w:ascii="Book Antiqua" w:hAnsi="Book Antiqua"/>
          <w:b/>
          <w:bCs/>
        </w:rPr>
        <w:lastRenderedPageBreak/>
        <w:t>Table 3 Incidence of neuropathy in statin + metformin user and non-user group</w:t>
      </w:r>
    </w:p>
    <w:tbl>
      <w:tblPr>
        <w:tblStyle w:val="a6"/>
        <w:tblW w:w="0" w:type="auto"/>
        <w:tblLook w:val="04A0" w:firstRow="1" w:lastRow="0" w:firstColumn="1" w:lastColumn="0" w:noHBand="0" w:noVBand="1"/>
      </w:tblPr>
      <w:tblGrid>
        <w:gridCol w:w="1517"/>
        <w:gridCol w:w="1390"/>
        <w:gridCol w:w="1323"/>
        <w:gridCol w:w="1103"/>
        <w:gridCol w:w="1390"/>
        <w:gridCol w:w="1324"/>
        <w:gridCol w:w="1195"/>
      </w:tblGrid>
      <w:tr w:rsidR="00747564" w:rsidRPr="002D79FB" w14:paraId="30031CE2" w14:textId="77777777" w:rsidTr="00722A43">
        <w:tc>
          <w:tcPr>
            <w:tcW w:w="1517" w:type="dxa"/>
            <w:vMerge w:val="restart"/>
            <w:tcBorders>
              <w:left w:val="nil"/>
              <w:right w:val="nil"/>
            </w:tcBorders>
            <w:vAlign w:val="center"/>
          </w:tcPr>
          <w:p w14:paraId="4B3A3F82" w14:textId="623AE492" w:rsidR="00747564" w:rsidRPr="002D79FB" w:rsidRDefault="00747564" w:rsidP="002D79FB">
            <w:pPr>
              <w:spacing w:line="360" w:lineRule="auto"/>
              <w:rPr>
                <w:rFonts w:ascii="Book Antiqua" w:hAnsi="Book Antiqua" w:cs="Times New Roman"/>
              </w:rPr>
            </w:pPr>
          </w:p>
        </w:tc>
        <w:tc>
          <w:tcPr>
            <w:tcW w:w="3816" w:type="dxa"/>
            <w:gridSpan w:val="3"/>
            <w:tcBorders>
              <w:left w:val="nil"/>
              <w:right w:val="nil"/>
            </w:tcBorders>
          </w:tcPr>
          <w:p w14:paraId="14A33C6A" w14:textId="77777777" w:rsidR="00747564" w:rsidRPr="002D79FB" w:rsidRDefault="00747564" w:rsidP="002D79FB">
            <w:pPr>
              <w:spacing w:line="360" w:lineRule="auto"/>
              <w:rPr>
                <w:rFonts w:ascii="Book Antiqua" w:hAnsi="Book Antiqua" w:cs="Times New Roman"/>
              </w:rPr>
            </w:pPr>
          </w:p>
        </w:tc>
        <w:tc>
          <w:tcPr>
            <w:tcW w:w="3909" w:type="dxa"/>
            <w:gridSpan w:val="3"/>
            <w:tcBorders>
              <w:left w:val="nil"/>
              <w:right w:val="nil"/>
            </w:tcBorders>
          </w:tcPr>
          <w:p w14:paraId="55516E59" w14:textId="1B5B344C" w:rsidR="00747564" w:rsidRPr="002D79FB" w:rsidRDefault="00722A43" w:rsidP="002D79FB">
            <w:pPr>
              <w:spacing w:line="360" w:lineRule="auto"/>
              <w:rPr>
                <w:rFonts w:ascii="Book Antiqua" w:hAnsi="Book Antiqua" w:cs="Times New Roman"/>
                <w:b/>
                <w:bCs/>
              </w:rPr>
            </w:pPr>
            <w:r w:rsidRPr="002D79FB">
              <w:rPr>
                <w:rFonts w:ascii="Book Antiqua" w:eastAsia="Book Antiqua" w:hAnsi="Book Antiqua" w:cs="Book Antiqua"/>
                <w:b/>
                <w:bCs/>
                <w:color w:val="000000"/>
              </w:rPr>
              <w:t>Propensity score</w:t>
            </w:r>
            <w:r w:rsidR="00747564" w:rsidRPr="002D79FB">
              <w:rPr>
                <w:rFonts w:ascii="Book Antiqua" w:hAnsi="Book Antiqua" w:cs="Times New Roman"/>
                <w:b/>
                <w:bCs/>
              </w:rPr>
              <w:t>-matched</w:t>
            </w:r>
            <w:r w:rsidRPr="002D79FB">
              <w:rPr>
                <w:rFonts w:ascii="Book Antiqua" w:hAnsi="Book Antiqua" w:cs="Times New Roman"/>
                <w:b/>
                <w:bCs/>
                <w:vertAlign w:val="superscript"/>
              </w:rPr>
              <w:t>1</w:t>
            </w:r>
          </w:p>
        </w:tc>
      </w:tr>
      <w:tr w:rsidR="00722A43" w:rsidRPr="002D79FB" w14:paraId="0769DD87" w14:textId="77777777" w:rsidTr="00722A43">
        <w:tc>
          <w:tcPr>
            <w:tcW w:w="1517" w:type="dxa"/>
            <w:vMerge/>
            <w:tcBorders>
              <w:left w:val="nil"/>
              <w:right w:val="nil"/>
            </w:tcBorders>
          </w:tcPr>
          <w:p w14:paraId="0277C7B2" w14:textId="77777777" w:rsidR="00747564" w:rsidRPr="002D79FB" w:rsidRDefault="00747564" w:rsidP="002D79FB">
            <w:pPr>
              <w:spacing w:line="360" w:lineRule="auto"/>
              <w:rPr>
                <w:rFonts w:ascii="Book Antiqua" w:hAnsi="Book Antiqua" w:cs="Times New Roman"/>
              </w:rPr>
            </w:pPr>
          </w:p>
        </w:tc>
        <w:tc>
          <w:tcPr>
            <w:tcW w:w="1390" w:type="dxa"/>
            <w:tcBorders>
              <w:left w:val="nil"/>
              <w:right w:val="nil"/>
            </w:tcBorders>
            <w:vAlign w:val="center"/>
          </w:tcPr>
          <w:p w14:paraId="4834B6FA" w14:textId="57279965"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 xml:space="preserve">Statin + </w:t>
            </w:r>
            <w:r w:rsidR="00722A43" w:rsidRPr="002D79FB">
              <w:rPr>
                <w:rFonts w:ascii="Book Antiqua" w:hAnsi="Book Antiqua" w:cs="Times New Roman"/>
                <w:b/>
                <w:bCs/>
              </w:rPr>
              <w:t>m</w:t>
            </w:r>
            <w:r w:rsidRPr="002D79FB">
              <w:rPr>
                <w:rFonts w:ascii="Book Antiqua" w:hAnsi="Book Antiqua" w:cs="Times New Roman"/>
                <w:b/>
                <w:bCs/>
              </w:rPr>
              <w:t>etformin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323" w:type="dxa"/>
            <w:tcBorders>
              <w:left w:val="nil"/>
              <w:right w:val="nil"/>
            </w:tcBorders>
            <w:vAlign w:val="center"/>
          </w:tcPr>
          <w:p w14:paraId="295C8152" w14:textId="1AABC621" w:rsidR="00747564" w:rsidRPr="002D79FB" w:rsidRDefault="00722A43" w:rsidP="002D79FB">
            <w:pPr>
              <w:spacing w:line="360" w:lineRule="auto"/>
              <w:rPr>
                <w:rFonts w:ascii="Book Antiqua" w:hAnsi="Book Antiqua" w:cs="Times New Roman"/>
                <w:b/>
                <w:bCs/>
              </w:rPr>
            </w:pPr>
            <w:r w:rsidRPr="002D79FB">
              <w:rPr>
                <w:rFonts w:ascii="Book Antiqua" w:hAnsi="Book Antiqua" w:cs="Times New Roman"/>
                <w:b/>
                <w:bCs/>
              </w:rPr>
              <w:t>N</w:t>
            </w:r>
            <w:r w:rsidR="00747564" w:rsidRPr="002D79FB">
              <w:rPr>
                <w:rFonts w:ascii="Book Antiqua" w:hAnsi="Book Antiqua" w:cs="Times New Roman"/>
                <w:b/>
                <w:bCs/>
              </w:rPr>
              <w:t>on-user</w:t>
            </w:r>
            <w:r w:rsidRPr="002D79FB">
              <w:rPr>
                <w:rFonts w:ascii="Book Antiqua" w:hAnsi="Book Antiqua" w:cs="Times New Roman"/>
                <w:b/>
                <w:bCs/>
              </w:rPr>
              <w:t>,</w:t>
            </w:r>
            <w:r w:rsidRPr="002D79FB">
              <w:rPr>
                <w:rFonts w:ascii="Book Antiqua" w:hAnsi="Book Antiqua" w:cs="Times New Roman"/>
                <w:b/>
                <w:bCs/>
                <w:i/>
                <w:iCs/>
              </w:rPr>
              <w:t xml:space="preserve"> n</w:t>
            </w:r>
            <w:r w:rsidRPr="002D79FB">
              <w:rPr>
                <w:rFonts w:ascii="Book Antiqua" w:hAnsi="Book Antiqua" w:cs="Times New Roman"/>
                <w:b/>
                <w:bCs/>
              </w:rPr>
              <w:t xml:space="preserve"> (%)</w:t>
            </w:r>
          </w:p>
        </w:tc>
        <w:tc>
          <w:tcPr>
            <w:tcW w:w="1103" w:type="dxa"/>
            <w:tcBorders>
              <w:left w:val="nil"/>
              <w:right w:val="nil"/>
            </w:tcBorders>
            <w:vAlign w:val="center"/>
          </w:tcPr>
          <w:p w14:paraId="5CD9F1DE" w14:textId="54821B06" w:rsidR="00747564" w:rsidRPr="002D79FB" w:rsidRDefault="00747564" w:rsidP="002D79FB">
            <w:pPr>
              <w:spacing w:line="360" w:lineRule="auto"/>
              <w:rPr>
                <w:rFonts w:ascii="Book Antiqua" w:hAnsi="Book Antiqua" w:cs="Times New Roman"/>
                <w:b/>
                <w:bCs/>
                <w:iCs/>
              </w:rPr>
            </w:pPr>
            <w:r w:rsidRPr="002D79FB">
              <w:rPr>
                <w:rFonts w:ascii="Book Antiqua" w:hAnsi="Book Antiqua" w:cs="Times New Roman"/>
                <w:b/>
                <w:bCs/>
                <w:i/>
              </w:rPr>
              <w:t>P</w:t>
            </w:r>
            <w:r w:rsidR="00722A43" w:rsidRPr="002D79FB">
              <w:rPr>
                <w:rFonts w:ascii="Book Antiqua" w:hAnsi="Book Antiqua" w:cs="Times New Roman"/>
                <w:b/>
                <w:bCs/>
                <w:iCs/>
              </w:rPr>
              <w:t xml:space="preserve"> value</w:t>
            </w:r>
          </w:p>
        </w:tc>
        <w:tc>
          <w:tcPr>
            <w:tcW w:w="1390" w:type="dxa"/>
            <w:tcBorders>
              <w:left w:val="nil"/>
              <w:right w:val="nil"/>
            </w:tcBorders>
            <w:vAlign w:val="center"/>
          </w:tcPr>
          <w:p w14:paraId="3020ABA3" w14:textId="0BE031A2"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 xml:space="preserve">Statin + </w:t>
            </w:r>
            <w:r w:rsidR="00722A43" w:rsidRPr="002D79FB">
              <w:rPr>
                <w:rFonts w:ascii="Book Antiqua" w:hAnsi="Book Antiqua" w:cs="Times New Roman"/>
                <w:b/>
                <w:bCs/>
              </w:rPr>
              <w:t>m</w:t>
            </w:r>
            <w:r w:rsidRPr="002D79FB">
              <w:rPr>
                <w:rFonts w:ascii="Book Antiqua" w:hAnsi="Book Antiqua" w:cs="Times New Roman"/>
                <w:b/>
                <w:bCs/>
              </w:rPr>
              <w:t>etformin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324" w:type="dxa"/>
            <w:tcBorders>
              <w:left w:val="nil"/>
              <w:right w:val="nil"/>
            </w:tcBorders>
            <w:vAlign w:val="center"/>
          </w:tcPr>
          <w:p w14:paraId="70656BD2" w14:textId="69AA0085" w:rsidR="00747564" w:rsidRPr="002D79FB" w:rsidRDefault="00722A43" w:rsidP="002D79FB">
            <w:pPr>
              <w:spacing w:line="360" w:lineRule="auto"/>
              <w:rPr>
                <w:rFonts w:ascii="Book Antiqua" w:hAnsi="Book Antiqua" w:cs="Times New Roman"/>
                <w:b/>
                <w:bCs/>
              </w:rPr>
            </w:pPr>
            <w:r w:rsidRPr="002D79FB">
              <w:rPr>
                <w:rFonts w:ascii="Book Antiqua" w:hAnsi="Book Antiqua" w:cs="Times New Roman"/>
                <w:b/>
                <w:bCs/>
              </w:rPr>
              <w:t>N</w:t>
            </w:r>
            <w:r w:rsidR="00747564" w:rsidRPr="002D79FB">
              <w:rPr>
                <w:rFonts w:ascii="Book Antiqua" w:hAnsi="Book Antiqua" w:cs="Times New Roman"/>
                <w:b/>
                <w:bCs/>
              </w:rPr>
              <w:t>on-user</w:t>
            </w:r>
            <w:r w:rsidRPr="002D79FB">
              <w:rPr>
                <w:rFonts w:ascii="Book Antiqua" w:hAnsi="Book Antiqua" w:cs="Times New Roman"/>
                <w:b/>
                <w:bCs/>
              </w:rPr>
              <w:t>,</w:t>
            </w:r>
            <w:r w:rsidRPr="002D79FB">
              <w:rPr>
                <w:rFonts w:ascii="Book Antiqua" w:hAnsi="Book Antiqua" w:cs="Times New Roman"/>
                <w:b/>
                <w:bCs/>
                <w:i/>
                <w:iCs/>
              </w:rPr>
              <w:t xml:space="preserve"> n</w:t>
            </w:r>
            <w:r w:rsidRPr="002D79FB">
              <w:rPr>
                <w:rFonts w:ascii="Book Antiqua" w:hAnsi="Book Antiqua" w:cs="Times New Roman"/>
                <w:b/>
                <w:bCs/>
              </w:rPr>
              <w:t xml:space="preserve"> (%)</w:t>
            </w:r>
          </w:p>
        </w:tc>
        <w:tc>
          <w:tcPr>
            <w:tcW w:w="1195" w:type="dxa"/>
            <w:tcBorders>
              <w:left w:val="nil"/>
              <w:right w:val="nil"/>
            </w:tcBorders>
            <w:vAlign w:val="center"/>
          </w:tcPr>
          <w:p w14:paraId="7DE64ECC" w14:textId="2729A428"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i/>
              </w:rPr>
              <w:t>P</w:t>
            </w:r>
            <w:r w:rsidR="00722A43" w:rsidRPr="002D79FB">
              <w:rPr>
                <w:rFonts w:ascii="Book Antiqua" w:hAnsi="Book Antiqua" w:cs="Times New Roman"/>
                <w:b/>
                <w:bCs/>
                <w:iCs/>
              </w:rPr>
              <w:t xml:space="preserve"> value</w:t>
            </w:r>
          </w:p>
        </w:tc>
      </w:tr>
      <w:tr w:rsidR="00722A43" w:rsidRPr="002D79FB" w14:paraId="2EC332FB" w14:textId="77777777" w:rsidTr="00722A43">
        <w:tc>
          <w:tcPr>
            <w:tcW w:w="1517" w:type="dxa"/>
            <w:tcBorders>
              <w:left w:val="nil"/>
              <w:bottom w:val="nil"/>
              <w:right w:val="nil"/>
            </w:tcBorders>
          </w:tcPr>
          <w:p w14:paraId="2548F60F" w14:textId="3D7F9318" w:rsidR="00722A43" w:rsidRPr="002D79FB" w:rsidRDefault="00722A43" w:rsidP="002D79FB">
            <w:pPr>
              <w:spacing w:line="360" w:lineRule="auto"/>
              <w:rPr>
                <w:rFonts w:ascii="Book Antiqua" w:hAnsi="Book Antiqua"/>
                <w:b/>
                <w:bCs/>
                <w:lang w:eastAsia="zh-CN"/>
              </w:rPr>
            </w:pPr>
            <w:r w:rsidRPr="002D79FB">
              <w:rPr>
                <w:rFonts w:ascii="Book Antiqua" w:hAnsi="Book Antiqua"/>
                <w:b/>
                <w:bCs/>
                <w:lang w:eastAsia="zh-CN"/>
              </w:rPr>
              <w:t>2016</w:t>
            </w:r>
          </w:p>
        </w:tc>
        <w:tc>
          <w:tcPr>
            <w:tcW w:w="1390" w:type="dxa"/>
            <w:tcBorders>
              <w:left w:val="nil"/>
              <w:bottom w:val="nil"/>
              <w:right w:val="nil"/>
            </w:tcBorders>
            <w:vAlign w:val="center"/>
          </w:tcPr>
          <w:p w14:paraId="7B1469F3" w14:textId="77777777" w:rsidR="00722A43" w:rsidRPr="002D79FB" w:rsidRDefault="00722A43" w:rsidP="002D79FB">
            <w:pPr>
              <w:spacing w:line="360" w:lineRule="auto"/>
              <w:rPr>
                <w:rFonts w:ascii="Book Antiqua" w:hAnsi="Book Antiqua"/>
              </w:rPr>
            </w:pPr>
          </w:p>
        </w:tc>
        <w:tc>
          <w:tcPr>
            <w:tcW w:w="1323" w:type="dxa"/>
            <w:tcBorders>
              <w:left w:val="nil"/>
              <w:bottom w:val="nil"/>
              <w:right w:val="nil"/>
            </w:tcBorders>
            <w:vAlign w:val="center"/>
          </w:tcPr>
          <w:p w14:paraId="59317A93" w14:textId="77777777" w:rsidR="00722A43" w:rsidRPr="002D79FB" w:rsidRDefault="00722A43" w:rsidP="002D79FB">
            <w:pPr>
              <w:spacing w:line="360" w:lineRule="auto"/>
              <w:rPr>
                <w:rFonts w:ascii="Book Antiqua" w:hAnsi="Book Antiqua"/>
              </w:rPr>
            </w:pPr>
          </w:p>
        </w:tc>
        <w:tc>
          <w:tcPr>
            <w:tcW w:w="1103" w:type="dxa"/>
            <w:tcBorders>
              <w:left w:val="nil"/>
              <w:bottom w:val="nil"/>
              <w:right w:val="nil"/>
            </w:tcBorders>
            <w:vAlign w:val="center"/>
          </w:tcPr>
          <w:p w14:paraId="5A383770" w14:textId="77777777" w:rsidR="00722A43" w:rsidRPr="002D79FB" w:rsidRDefault="00722A43" w:rsidP="002D79FB">
            <w:pPr>
              <w:spacing w:line="360" w:lineRule="auto"/>
              <w:rPr>
                <w:rFonts w:ascii="Book Antiqua" w:hAnsi="Book Antiqua"/>
                <w:i/>
              </w:rPr>
            </w:pPr>
          </w:p>
        </w:tc>
        <w:tc>
          <w:tcPr>
            <w:tcW w:w="1390" w:type="dxa"/>
            <w:tcBorders>
              <w:left w:val="nil"/>
              <w:bottom w:val="nil"/>
              <w:right w:val="nil"/>
            </w:tcBorders>
            <w:vAlign w:val="center"/>
          </w:tcPr>
          <w:p w14:paraId="39B39BF4" w14:textId="77777777" w:rsidR="00722A43" w:rsidRPr="002D79FB" w:rsidRDefault="00722A43" w:rsidP="002D79FB">
            <w:pPr>
              <w:spacing w:line="360" w:lineRule="auto"/>
              <w:rPr>
                <w:rFonts w:ascii="Book Antiqua" w:hAnsi="Book Antiqua"/>
              </w:rPr>
            </w:pPr>
          </w:p>
        </w:tc>
        <w:tc>
          <w:tcPr>
            <w:tcW w:w="1324" w:type="dxa"/>
            <w:tcBorders>
              <w:left w:val="nil"/>
              <w:bottom w:val="nil"/>
              <w:right w:val="nil"/>
            </w:tcBorders>
            <w:vAlign w:val="center"/>
          </w:tcPr>
          <w:p w14:paraId="3A72B86E" w14:textId="77777777" w:rsidR="00722A43" w:rsidRPr="002D79FB" w:rsidRDefault="00722A43" w:rsidP="002D79FB">
            <w:pPr>
              <w:spacing w:line="360" w:lineRule="auto"/>
              <w:rPr>
                <w:rFonts w:ascii="Book Antiqua" w:hAnsi="Book Antiqua"/>
              </w:rPr>
            </w:pPr>
          </w:p>
        </w:tc>
        <w:tc>
          <w:tcPr>
            <w:tcW w:w="1195" w:type="dxa"/>
            <w:tcBorders>
              <w:left w:val="nil"/>
              <w:bottom w:val="nil"/>
              <w:right w:val="nil"/>
            </w:tcBorders>
            <w:vAlign w:val="center"/>
          </w:tcPr>
          <w:p w14:paraId="5E1A372A" w14:textId="77777777" w:rsidR="00722A43" w:rsidRPr="002D79FB" w:rsidRDefault="00722A43" w:rsidP="002D79FB">
            <w:pPr>
              <w:spacing w:line="360" w:lineRule="auto"/>
              <w:rPr>
                <w:rFonts w:ascii="Book Antiqua" w:hAnsi="Book Antiqua"/>
                <w:i/>
              </w:rPr>
            </w:pPr>
          </w:p>
        </w:tc>
      </w:tr>
      <w:tr w:rsidR="00722A43" w:rsidRPr="002D79FB" w14:paraId="7E47C8D8" w14:textId="77777777" w:rsidTr="00722A43">
        <w:tc>
          <w:tcPr>
            <w:tcW w:w="1517" w:type="dxa"/>
            <w:tcBorders>
              <w:top w:val="nil"/>
              <w:left w:val="nil"/>
              <w:bottom w:val="nil"/>
              <w:right w:val="nil"/>
            </w:tcBorders>
          </w:tcPr>
          <w:p w14:paraId="03642970"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390" w:type="dxa"/>
            <w:tcBorders>
              <w:top w:val="nil"/>
              <w:left w:val="nil"/>
              <w:bottom w:val="nil"/>
              <w:right w:val="nil"/>
            </w:tcBorders>
          </w:tcPr>
          <w:p w14:paraId="3496534D" w14:textId="504188DF"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438/14524 (3.02)</w:t>
            </w:r>
          </w:p>
        </w:tc>
        <w:tc>
          <w:tcPr>
            <w:tcW w:w="1323" w:type="dxa"/>
            <w:tcBorders>
              <w:top w:val="nil"/>
              <w:left w:val="nil"/>
              <w:bottom w:val="nil"/>
              <w:right w:val="nil"/>
            </w:tcBorders>
          </w:tcPr>
          <w:p w14:paraId="060691DC" w14:textId="34B60989"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83/2175 (3.82)</w:t>
            </w:r>
          </w:p>
        </w:tc>
        <w:tc>
          <w:tcPr>
            <w:tcW w:w="1103" w:type="dxa"/>
            <w:tcBorders>
              <w:top w:val="nil"/>
              <w:left w:val="nil"/>
              <w:bottom w:val="nil"/>
              <w:right w:val="nil"/>
            </w:tcBorders>
          </w:tcPr>
          <w:p w14:paraId="45165314"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0.0452</w:t>
            </w:r>
          </w:p>
        </w:tc>
        <w:tc>
          <w:tcPr>
            <w:tcW w:w="1390" w:type="dxa"/>
            <w:tcBorders>
              <w:top w:val="nil"/>
              <w:left w:val="nil"/>
              <w:bottom w:val="nil"/>
              <w:right w:val="nil"/>
            </w:tcBorders>
          </w:tcPr>
          <w:p w14:paraId="047DFBEA" w14:textId="140D4C6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71/2175 (3.26)</w:t>
            </w:r>
          </w:p>
        </w:tc>
        <w:tc>
          <w:tcPr>
            <w:tcW w:w="1324" w:type="dxa"/>
            <w:tcBorders>
              <w:top w:val="nil"/>
              <w:left w:val="nil"/>
              <w:bottom w:val="nil"/>
              <w:right w:val="nil"/>
            </w:tcBorders>
          </w:tcPr>
          <w:p w14:paraId="7035E4B8" w14:textId="14F9F25B"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83/2175 (3.82)</w:t>
            </w:r>
          </w:p>
        </w:tc>
        <w:tc>
          <w:tcPr>
            <w:tcW w:w="1195" w:type="dxa"/>
            <w:tcBorders>
              <w:top w:val="nil"/>
              <w:left w:val="nil"/>
              <w:bottom w:val="nil"/>
              <w:right w:val="nil"/>
            </w:tcBorders>
          </w:tcPr>
          <w:p w14:paraId="5E946732"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0.3248</w:t>
            </w:r>
          </w:p>
        </w:tc>
      </w:tr>
      <w:tr w:rsidR="00747564" w:rsidRPr="002D79FB" w14:paraId="1601884C" w14:textId="77777777" w:rsidTr="00722A43">
        <w:tc>
          <w:tcPr>
            <w:tcW w:w="1517" w:type="dxa"/>
            <w:tcBorders>
              <w:top w:val="nil"/>
              <w:left w:val="nil"/>
              <w:bottom w:val="nil"/>
              <w:right w:val="nil"/>
            </w:tcBorders>
            <w:vAlign w:val="center"/>
          </w:tcPr>
          <w:p w14:paraId="22F104F3"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2017</w:t>
            </w:r>
          </w:p>
        </w:tc>
        <w:tc>
          <w:tcPr>
            <w:tcW w:w="3816" w:type="dxa"/>
            <w:gridSpan w:val="3"/>
            <w:tcBorders>
              <w:top w:val="nil"/>
              <w:left w:val="nil"/>
              <w:bottom w:val="nil"/>
              <w:right w:val="nil"/>
            </w:tcBorders>
          </w:tcPr>
          <w:p w14:paraId="1357A922" w14:textId="77777777" w:rsidR="00747564" w:rsidRPr="002D79FB" w:rsidRDefault="00747564" w:rsidP="002D79FB">
            <w:pPr>
              <w:spacing w:line="360" w:lineRule="auto"/>
              <w:rPr>
                <w:rFonts w:ascii="Book Antiqua" w:hAnsi="Book Antiqua" w:cs="Times New Roman"/>
              </w:rPr>
            </w:pPr>
          </w:p>
        </w:tc>
        <w:tc>
          <w:tcPr>
            <w:tcW w:w="3909" w:type="dxa"/>
            <w:gridSpan w:val="3"/>
            <w:tcBorders>
              <w:top w:val="nil"/>
              <w:left w:val="nil"/>
              <w:bottom w:val="nil"/>
              <w:right w:val="nil"/>
            </w:tcBorders>
          </w:tcPr>
          <w:p w14:paraId="25004270" w14:textId="038B5599" w:rsidR="00747564" w:rsidRPr="002D79FB" w:rsidRDefault="00747564" w:rsidP="002D79FB">
            <w:pPr>
              <w:spacing w:line="360" w:lineRule="auto"/>
              <w:rPr>
                <w:rFonts w:ascii="Book Antiqua" w:hAnsi="Book Antiqua" w:cs="Times New Roman"/>
              </w:rPr>
            </w:pPr>
          </w:p>
        </w:tc>
      </w:tr>
      <w:tr w:rsidR="00722A43" w:rsidRPr="002D79FB" w14:paraId="64F9D630" w14:textId="77777777" w:rsidTr="00722A43">
        <w:tc>
          <w:tcPr>
            <w:tcW w:w="1517" w:type="dxa"/>
            <w:tcBorders>
              <w:top w:val="nil"/>
              <w:left w:val="nil"/>
              <w:right w:val="nil"/>
            </w:tcBorders>
          </w:tcPr>
          <w:p w14:paraId="4EDFC80C"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390" w:type="dxa"/>
            <w:tcBorders>
              <w:top w:val="nil"/>
              <w:left w:val="nil"/>
              <w:right w:val="nil"/>
            </w:tcBorders>
          </w:tcPr>
          <w:p w14:paraId="7A0A43DB" w14:textId="340D0E9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472/16096 (2.93)</w:t>
            </w:r>
          </w:p>
        </w:tc>
        <w:tc>
          <w:tcPr>
            <w:tcW w:w="1323" w:type="dxa"/>
            <w:tcBorders>
              <w:top w:val="nil"/>
              <w:left w:val="nil"/>
              <w:right w:val="nil"/>
            </w:tcBorders>
          </w:tcPr>
          <w:p w14:paraId="76DA1E0B" w14:textId="68568AB0"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65/2040 (3.19)</w:t>
            </w:r>
          </w:p>
        </w:tc>
        <w:tc>
          <w:tcPr>
            <w:tcW w:w="1103" w:type="dxa"/>
            <w:tcBorders>
              <w:top w:val="nil"/>
              <w:left w:val="nil"/>
              <w:right w:val="nil"/>
            </w:tcBorders>
          </w:tcPr>
          <w:p w14:paraId="28BF8502"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0.5239</w:t>
            </w:r>
          </w:p>
        </w:tc>
        <w:tc>
          <w:tcPr>
            <w:tcW w:w="1390" w:type="dxa"/>
            <w:tcBorders>
              <w:top w:val="nil"/>
              <w:left w:val="nil"/>
              <w:right w:val="nil"/>
            </w:tcBorders>
          </w:tcPr>
          <w:p w14:paraId="565E5EB0" w14:textId="0D1BDAEA"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62/2040 (3.04)</w:t>
            </w:r>
          </w:p>
        </w:tc>
        <w:tc>
          <w:tcPr>
            <w:tcW w:w="1324" w:type="dxa"/>
            <w:tcBorders>
              <w:top w:val="nil"/>
              <w:left w:val="nil"/>
              <w:right w:val="nil"/>
            </w:tcBorders>
          </w:tcPr>
          <w:p w14:paraId="7D637248" w14:textId="6E987450"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65/2040 (3.19)</w:t>
            </w:r>
          </w:p>
        </w:tc>
        <w:tc>
          <w:tcPr>
            <w:tcW w:w="1195" w:type="dxa"/>
            <w:tcBorders>
              <w:top w:val="nil"/>
              <w:left w:val="nil"/>
              <w:right w:val="nil"/>
            </w:tcBorders>
          </w:tcPr>
          <w:p w14:paraId="6B242705"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0.7868</w:t>
            </w:r>
          </w:p>
        </w:tc>
      </w:tr>
    </w:tbl>
    <w:p w14:paraId="51D7A711" w14:textId="0CAD74E9" w:rsidR="00747564" w:rsidRPr="002D79FB" w:rsidRDefault="00722A43" w:rsidP="002D79FB">
      <w:pPr>
        <w:spacing w:line="360" w:lineRule="auto"/>
        <w:jc w:val="both"/>
        <w:rPr>
          <w:rFonts w:ascii="Book Antiqua" w:hAnsi="Book Antiqua"/>
        </w:rPr>
      </w:pPr>
      <w:r w:rsidRPr="002D79FB">
        <w:rPr>
          <w:rFonts w:ascii="Book Antiqua" w:hAnsi="Book Antiqua"/>
          <w:vertAlign w:val="superscript"/>
        </w:rPr>
        <w:t>1</w:t>
      </w:r>
      <w:r w:rsidRPr="002D79FB">
        <w:rPr>
          <w:rFonts w:ascii="Book Antiqua" w:eastAsia="Book Antiqua" w:hAnsi="Book Antiqua" w:cs="Book Antiqua"/>
          <w:color w:val="000000"/>
        </w:rPr>
        <w:t>Propensity score</w:t>
      </w:r>
      <w:r w:rsidR="00747564" w:rsidRPr="002D79FB">
        <w:rPr>
          <w:rFonts w:ascii="Book Antiqua" w:hAnsi="Book Antiqua"/>
        </w:rPr>
        <w:t>-matching was performed by including baseline age, gender, and comorbidities (myocardial infarction, congestive heart failure, peripheral vascular disease, cerebrovascular accident or transient ischemic attack, dementia, chronic obstructive pulmonary disease, connective tissue disease, peptic ulcer disease, liver disease, diabetes mellitus, hemiplegia, moderate to severe chronic kidney disease, solid tumor, leukemia, lymphoma, AIDS).</w:t>
      </w:r>
    </w:p>
    <w:p w14:paraId="4CA5A3B3" w14:textId="77777777" w:rsidR="00747564" w:rsidRPr="002D79FB" w:rsidRDefault="00747564" w:rsidP="002D79FB">
      <w:pPr>
        <w:spacing w:line="360" w:lineRule="auto"/>
        <w:jc w:val="both"/>
        <w:rPr>
          <w:rFonts w:ascii="Book Antiqua" w:hAnsi="Book Antiqua"/>
        </w:rPr>
        <w:sectPr w:rsidR="00747564" w:rsidRPr="002D79FB" w:rsidSect="002D79FB">
          <w:type w:val="continuous"/>
          <w:pgSz w:w="11906" w:h="16838"/>
          <w:pgMar w:top="1440" w:right="1440" w:bottom="1440" w:left="1440" w:header="851" w:footer="992" w:gutter="0"/>
          <w:cols w:space="425"/>
          <w:docGrid w:linePitch="360"/>
        </w:sectPr>
      </w:pPr>
    </w:p>
    <w:p w14:paraId="05106671" w14:textId="77777777" w:rsidR="00DF0924" w:rsidRDefault="00DF0924">
      <w:pPr>
        <w:rPr>
          <w:rFonts w:ascii="Book Antiqua" w:hAnsi="Book Antiqua"/>
          <w:b/>
          <w:bCs/>
        </w:rPr>
      </w:pPr>
      <w:r>
        <w:rPr>
          <w:rFonts w:ascii="Book Antiqua" w:hAnsi="Book Antiqua"/>
          <w:b/>
          <w:bCs/>
        </w:rPr>
        <w:lastRenderedPageBreak/>
        <w:br w:type="page"/>
      </w:r>
    </w:p>
    <w:p w14:paraId="27941631" w14:textId="6B7866E6" w:rsidR="00747564" w:rsidRPr="002D79FB" w:rsidRDefault="00747564" w:rsidP="002D79FB">
      <w:pPr>
        <w:spacing w:line="360" w:lineRule="auto"/>
        <w:jc w:val="both"/>
        <w:rPr>
          <w:rFonts w:ascii="Book Antiqua" w:hAnsi="Book Antiqua"/>
          <w:b/>
          <w:bCs/>
        </w:rPr>
      </w:pPr>
      <w:r w:rsidRPr="002D79FB">
        <w:rPr>
          <w:rFonts w:ascii="Book Antiqua" w:hAnsi="Book Antiqua"/>
          <w:b/>
          <w:bCs/>
        </w:rPr>
        <w:lastRenderedPageBreak/>
        <w:t>Table 4 Logistic regression analyses for neuropathy occurrence in 2016 and 2017 Health Insurance Review and Assessment national patient sample data</w:t>
      </w:r>
    </w:p>
    <w:tbl>
      <w:tblPr>
        <w:tblStyle w:val="a6"/>
        <w:tblW w:w="0" w:type="auto"/>
        <w:tblLook w:val="04A0" w:firstRow="1" w:lastRow="0" w:firstColumn="1" w:lastColumn="0" w:noHBand="0" w:noVBand="1"/>
      </w:tblPr>
      <w:tblGrid>
        <w:gridCol w:w="1364"/>
        <w:gridCol w:w="1340"/>
        <w:gridCol w:w="1886"/>
        <w:gridCol w:w="1917"/>
        <w:gridCol w:w="2052"/>
      </w:tblGrid>
      <w:tr w:rsidR="00747564" w:rsidRPr="002D79FB" w14:paraId="4F7C6896" w14:textId="77777777" w:rsidTr="00B542AD">
        <w:tc>
          <w:tcPr>
            <w:tcW w:w="1364" w:type="dxa"/>
            <w:vMerge w:val="restart"/>
            <w:tcBorders>
              <w:left w:val="nil"/>
              <w:right w:val="nil"/>
            </w:tcBorders>
            <w:vAlign w:val="center"/>
          </w:tcPr>
          <w:p w14:paraId="77242F30" w14:textId="72CB4363" w:rsidR="00747564" w:rsidRPr="002D79FB" w:rsidRDefault="00747564" w:rsidP="002D79FB">
            <w:pPr>
              <w:spacing w:line="360" w:lineRule="auto"/>
              <w:rPr>
                <w:rFonts w:ascii="Book Antiqua" w:hAnsi="Book Antiqua" w:cs="Times New Roman"/>
                <w:b/>
                <w:bCs/>
              </w:rPr>
            </w:pPr>
          </w:p>
        </w:tc>
        <w:tc>
          <w:tcPr>
            <w:tcW w:w="3226" w:type="dxa"/>
            <w:gridSpan w:val="2"/>
            <w:tcBorders>
              <w:left w:val="nil"/>
              <w:right w:val="nil"/>
            </w:tcBorders>
          </w:tcPr>
          <w:p w14:paraId="42333907" w14:textId="77777777" w:rsidR="00747564" w:rsidRPr="002D79FB" w:rsidRDefault="00747564" w:rsidP="002D79FB">
            <w:pPr>
              <w:spacing w:line="360" w:lineRule="auto"/>
              <w:rPr>
                <w:rFonts w:ascii="Book Antiqua" w:hAnsi="Book Antiqua" w:cs="Times New Roman"/>
                <w:b/>
                <w:bCs/>
              </w:rPr>
            </w:pPr>
          </w:p>
        </w:tc>
        <w:tc>
          <w:tcPr>
            <w:tcW w:w="3969" w:type="dxa"/>
            <w:gridSpan w:val="2"/>
            <w:tcBorders>
              <w:left w:val="nil"/>
              <w:right w:val="nil"/>
            </w:tcBorders>
          </w:tcPr>
          <w:p w14:paraId="421F8D4C" w14:textId="190A61F2" w:rsidR="00747564" w:rsidRPr="002D79FB" w:rsidRDefault="00722A43" w:rsidP="002D79FB">
            <w:pPr>
              <w:spacing w:line="360" w:lineRule="auto"/>
              <w:rPr>
                <w:rFonts w:ascii="Book Antiqua" w:hAnsi="Book Antiqua" w:cs="Times New Roman"/>
                <w:b/>
                <w:bCs/>
              </w:rPr>
            </w:pPr>
            <w:r w:rsidRPr="002D79FB">
              <w:rPr>
                <w:rFonts w:ascii="Book Antiqua" w:eastAsia="Book Antiqua" w:hAnsi="Book Antiqua" w:cs="Book Antiqua"/>
                <w:b/>
                <w:bCs/>
                <w:color w:val="000000"/>
              </w:rPr>
              <w:t>Propensity score</w:t>
            </w:r>
            <w:r w:rsidR="00747564" w:rsidRPr="002D79FB">
              <w:rPr>
                <w:rFonts w:ascii="Book Antiqua" w:hAnsi="Book Antiqua" w:cs="Times New Roman"/>
                <w:b/>
                <w:bCs/>
              </w:rPr>
              <w:t>-matched</w:t>
            </w:r>
            <w:r w:rsidRPr="002D79FB">
              <w:rPr>
                <w:rFonts w:ascii="Book Antiqua" w:hAnsi="Book Antiqua" w:cs="Times New Roman"/>
                <w:b/>
                <w:bCs/>
                <w:vertAlign w:val="superscript"/>
              </w:rPr>
              <w:t>1</w:t>
            </w:r>
          </w:p>
        </w:tc>
      </w:tr>
      <w:tr w:rsidR="00747564" w:rsidRPr="002D79FB" w14:paraId="4AF82CE7" w14:textId="77777777" w:rsidTr="00B542AD">
        <w:tc>
          <w:tcPr>
            <w:tcW w:w="1364" w:type="dxa"/>
            <w:vMerge/>
            <w:tcBorders>
              <w:left w:val="nil"/>
              <w:right w:val="nil"/>
            </w:tcBorders>
          </w:tcPr>
          <w:p w14:paraId="72C5235F" w14:textId="77777777" w:rsidR="00747564" w:rsidRPr="002D79FB" w:rsidRDefault="00747564" w:rsidP="002D79FB">
            <w:pPr>
              <w:spacing w:line="360" w:lineRule="auto"/>
              <w:rPr>
                <w:rFonts w:ascii="Book Antiqua" w:hAnsi="Book Antiqua" w:cs="Times New Roman"/>
                <w:b/>
                <w:bCs/>
              </w:rPr>
            </w:pPr>
          </w:p>
        </w:tc>
        <w:tc>
          <w:tcPr>
            <w:tcW w:w="1340" w:type="dxa"/>
            <w:tcBorders>
              <w:left w:val="nil"/>
              <w:right w:val="nil"/>
            </w:tcBorders>
            <w:vAlign w:val="center"/>
          </w:tcPr>
          <w:p w14:paraId="0FEAEE66"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OR</w:t>
            </w:r>
          </w:p>
        </w:tc>
        <w:tc>
          <w:tcPr>
            <w:tcW w:w="1886" w:type="dxa"/>
            <w:tcBorders>
              <w:left w:val="nil"/>
              <w:right w:val="nil"/>
            </w:tcBorders>
            <w:vAlign w:val="center"/>
          </w:tcPr>
          <w:p w14:paraId="42C86E56" w14:textId="1D8E351C"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95%CI</w:t>
            </w:r>
          </w:p>
        </w:tc>
        <w:tc>
          <w:tcPr>
            <w:tcW w:w="1917" w:type="dxa"/>
            <w:tcBorders>
              <w:left w:val="nil"/>
              <w:right w:val="nil"/>
            </w:tcBorders>
            <w:vAlign w:val="center"/>
          </w:tcPr>
          <w:p w14:paraId="1E3DA453"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OR</w:t>
            </w:r>
          </w:p>
        </w:tc>
        <w:tc>
          <w:tcPr>
            <w:tcW w:w="2052" w:type="dxa"/>
            <w:tcBorders>
              <w:left w:val="nil"/>
              <w:right w:val="nil"/>
            </w:tcBorders>
            <w:vAlign w:val="center"/>
          </w:tcPr>
          <w:p w14:paraId="3DD5B7C7" w14:textId="10A4CE62"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rPr>
              <w:t>95%CI</w:t>
            </w:r>
          </w:p>
        </w:tc>
      </w:tr>
      <w:tr w:rsidR="00722A43" w:rsidRPr="002D79FB" w14:paraId="53D7797A" w14:textId="77777777" w:rsidTr="00B542AD">
        <w:tc>
          <w:tcPr>
            <w:tcW w:w="1364" w:type="dxa"/>
            <w:tcBorders>
              <w:left w:val="nil"/>
              <w:bottom w:val="nil"/>
              <w:right w:val="nil"/>
            </w:tcBorders>
          </w:tcPr>
          <w:p w14:paraId="74ADD771" w14:textId="46BB3AAF" w:rsidR="00722A43" w:rsidRPr="002D79FB" w:rsidRDefault="00722A43" w:rsidP="002D79FB">
            <w:pPr>
              <w:spacing w:line="360" w:lineRule="auto"/>
              <w:rPr>
                <w:rFonts w:ascii="Book Antiqua" w:hAnsi="Book Antiqua"/>
                <w:b/>
                <w:bCs/>
                <w:lang w:eastAsia="zh-CN"/>
              </w:rPr>
            </w:pPr>
            <w:r w:rsidRPr="002D79FB">
              <w:rPr>
                <w:rFonts w:ascii="Book Antiqua" w:hAnsi="Book Antiqua"/>
                <w:b/>
                <w:bCs/>
                <w:lang w:eastAsia="zh-CN"/>
              </w:rPr>
              <w:t>2016</w:t>
            </w:r>
          </w:p>
        </w:tc>
        <w:tc>
          <w:tcPr>
            <w:tcW w:w="1340" w:type="dxa"/>
            <w:tcBorders>
              <w:left w:val="nil"/>
              <w:bottom w:val="nil"/>
              <w:right w:val="nil"/>
            </w:tcBorders>
            <w:vAlign w:val="center"/>
          </w:tcPr>
          <w:p w14:paraId="4C2EFA85" w14:textId="77777777" w:rsidR="00722A43" w:rsidRPr="002D79FB" w:rsidRDefault="00722A43" w:rsidP="002D79FB">
            <w:pPr>
              <w:spacing w:line="360" w:lineRule="auto"/>
              <w:rPr>
                <w:rFonts w:ascii="Book Antiqua" w:hAnsi="Book Antiqua"/>
              </w:rPr>
            </w:pPr>
          </w:p>
        </w:tc>
        <w:tc>
          <w:tcPr>
            <w:tcW w:w="1886" w:type="dxa"/>
            <w:tcBorders>
              <w:left w:val="nil"/>
              <w:bottom w:val="nil"/>
              <w:right w:val="nil"/>
            </w:tcBorders>
            <w:vAlign w:val="center"/>
          </w:tcPr>
          <w:p w14:paraId="414D8C85" w14:textId="77777777" w:rsidR="00722A43" w:rsidRPr="002D79FB" w:rsidRDefault="00722A43" w:rsidP="002D79FB">
            <w:pPr>
              <w:spacing w:line="360" w:lineRule="auto"/>
              <w:rPr>
                <w:rFonts w:ascii="Book Antiqua" w:hAnsi="Book Antiqua"/>
              </w:rPr>
            </w:pPr>
          </w:p>
        </w:tc>
        <w:tc>
          <w:tcPr>
            <w:tcW w:w="1917" w:type="dxa"/>
            <w:tcBorders>
              <w:left w:val="nil"/>
              <w:bottom w:val="nil"/>
              <w:right w:val="nil"/>
            </w:tcBorders>
            <w:vAlign w:val="center"/>
          </w:tcPr>
          <w:p w14:paraId="571499BD" w14:textId="77777777" w:rsidR="00722A43" w:rsidRPr="002D79FB" w:rsidRDefault="00722A43" w:rsidP="002D79FB">
            <w:pPr>
              <w:spacing w:line="360" w:lineRule="auto"/>
              <w:rPr>
                <w:rFonts w:ascii="Book Antiqua" w:hAnsi="Book Antiqua"/>
              </w:rPr>
            </w:pPr>
          </w:p>
        </w:tc>
        <w:tc>
          <w:tcPr>
            <w:tcW w:w="2052" w:type="dxa"/>
            <w:tcBorders>
              <w:left w:val="nil"/>
              <w:bottom w:val="nil"/>
              <w:right w:val="nil"/>
            </w:tcBorders>
            <w:vAlign w:val="center"/>
          </w:tcPr>
          <w:p w14:paraId="4C5AD62E" w14:textId="77777777" w:rsidR="00722A43" w:rsidRPr="002D79FB" w:rsidRDefault="00722A43" w:rsidP="002D79FB">
            <w:pPr>
              <w:spacing w:line="360" w:lineRule="auto"/>
              <w:rPr>
                <w:rFonts w:ascii="Book Antiqua" w:hAnsi="Book Antiqua"/>
              </w:rPr>
            </w:pPr>
          </w:p>
        </w:tc>
      </w:tr>
      <w:tr w:rsidR="00747564" w:rsidRPr="002D79FB" w14:paraId="7E08C759" w14:textId="77777777" w:rsidTr="00B542AD">
        <w:tc>
          <w:tcPr>
            <w:tcW w:w="1364" w:type="dxa"/>
            <w:tcBorders>
              <w:top w:val="nil"/>
              <w:left w:val="nil"/>
              <w:bottom w:val="nil"/>
              <w:right w:val="nil"/>
            </w:tcBorders>
          </w:tcPr>
          <w:p w14:paraId="2DDF6B1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Statin use</w:t>
            </w:r>
          </w:p>
        </w:tc>
        <w:tc>
          <w:tcPr>
            <w:tcW w:w="1340" w:type="dxa"/>
            <w:tcBorders>
              <w:top w:val="nil"/>
              <w:left w:val="nil"/>
              <w:bottom w:val="nil"/>
              <w:right w:val="nil"/>
            </w:tcBorders>
            <w:vAlign w:val="center"/>
          </w:tcPr>
          <w:p w14:paraId="6F1B3A26"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1.22</w:t>
            </w:r>
          </w:p>
        </w:tc>
        <w:tc>
          <w:tcPr>
            <w:tcW w:w="1886" w:type="dxa"/>
            <w:tcBorders>
              <w:top w:val="nil"/>
              <w:left w:val="nil"/>
              <w:bottom w:val="nil"/>
              <w:right w:val="nil"/>
            </w:tcBorders>
            <w:vAlign w:val="center"/>
          </w:tcPr>
          <w:p w14:paraId="0292AEE2" w14:textId="2FFB3560"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1.07</w:t>
            </w:r>
            <w:r w:rsidR="00722A43" w:rsidRPr="002D79FB">
              <w:rPr>
                <w:rFonts w:ascii="Book Antiqua" w:hAnsi="Book Antiqua" w:cs="Times New Roman"/>
              </w:rPr>
              <w:t>-</w:t>
            </w:r>
            <w:r w:rsidRPr="002D79FB">
              <w:rPr>
                <w:rFonts w:ascii="Book Antiqua" w:hAnsi="Book Antiqua" w:cs="Times New Roman"/>
              </w:rPr>
              <w:t>1.38</w:t>
            </w:r>
          </w:p>
        </w:tc>
        <w:tc>
          <w:tcPr>
            <w:tcW w:w="1917" w:type="dxa"/>
            <w:tcBorders>
              <w:top w:val="nil"/>
              <w:left w:val="nil"/>
              <w:bottom w:val="nil"/>
              <w:right w:val="nil"/>
            </w:tcBorders>
            <w:vAlign w:val="center"/>
          </w:tcPr>
          <w:p w14:paraId="504BB6F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1.22</w:t>
            </w:r>
          </w:p>
        </w:tc>
        <w:tc>
          <w:tcPr>
            <w:tcW w:w="2052" w:type="dxa"/>
            <w:tcBorders>
              <w:top w:val="nil"/>
              <w:left w:val="nil"/>
              <w:bottom w:val="nil"/>
              <w:right w:val="nil"/>
            </w:tcBorders>
            <w:vAlign w:val="center"/>
          </w:tcPr>
          <w:p w14:paraId="03B62727" w14:textId="392F1303"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1.08</w:t>
            </w:r>
            <w:r w:rsidR="00722A43" w:rsidRPr="002D79FB">
              <w:rPr>
                <w:rFonts w:ascii="Book Antiqua" w:hAnsi="Book Antiqua" w:cs="Times New Roman"/>
              </w:rPr>
              <w:t>-</w:t>
            </w:r>
            <w:r w:rsidRPr="002D79FB">
              <w:rPr>
                <w:rFonts w:ascii="Book Antiqua" w:hAnsi="Book Antiqua" w:cs="Times New Roman"/>
              </w:rPr>
              <w:t>1.38</w:t>
            </w:r>
          </w:p>
        </w:tc>
      </w:tr>
      <w:tr w:rsidR="00747564" w:rsidRPr="002D79FB" w14:paraId="2C80282C" w14:textId="77777777" w:rsidTr="00B542AD">
        <w:tc>
          <w:tcPr>
            <w:tcW w:w="1364" w:type="dxa"/>
            <w:tcBorders>
              <w:top w:val="nil"/>
              <w:left w:val="nil"/>
              <w:bottom w:val="nil"/>
              <w:right w:val="nil"/>
            </w:tcBorders>
          </w:tcPr>
          <w:p w14:paraId="31D4ACC6"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Metformin use</w:t>
            </w:r>
          </w:p>
        </w:tc>
        <w:tc>
          <w:tcPr>
            <w:tcW w:w="1340" w:type="dxa"/>
            <w:tcBorders>
              <w:top w:val="nil"/>
              <w:left w:val="nil"/>
              <w:bottom w:val="nil"/>
              <w:right w:val="nil"/>
            </w:tcBorders>
            <w:vAlign w:val="center"/>
          </w:tcPr>
          <w:p w14:paraId="46F5031E"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0.73</w:t>
            </w:r>
          </w:p>
        </w:tc>
        <w:tc>
          <w:tcPr>
            <w:tcW w:w="1886" w:type="dxa"/>
            <w:tcBorders>
              <w:top w:val="nil"/>
              <w:left w:val="nil"/>
              <w:bottom w:val="nil"/>
              <w:right w:val="nil"/>
            </w:tcBorders>
            <w:vAlign w:val="center"/>
          </w:tcPr>
          <w:p w14:paraId="408571E9" w14:textId="279B5D79"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0.61</w:t>
            </w:r>
            <w:r w:rsidR="00722A43" w:rsidRPr="002D79FB">
              <w:rPr>
                <w:rFonts w:ascii="Book Antiqua" w:hAnsi="Book Antiqua" w:cs="Times New Roman"/>
              </w:rPr>
              <w:t>-</w:t>
            </w:r>
            <w:r w:rsidRPr="002D79FB">
              <w:rPr>
                <w:rFonts w:ascii="Book Antiqua" w:hAnsi="Book Antiqua" w:cs="Times New Roman"/>
              </w:rPr>
              <w:t>0.87</w:t>
            </w:r>
          </w:p>
        </w:tc>
        <w:tc>
          <w:tcPr>
            <w:tcW w:w="1917" w:type="dxa"/>
            <w:tcBorders>
              <w:top w:val="nil"/>
              <w:left w:val="nil"/>
              <w:bottom w:val="nil"/>
              <w:right w:val="nil"/>
            </w:tcBorders>
            <w:vAlign w:val="center"/>
          </w:tcPr>
          <w:p w14:paraId="5A6FD395"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0.30</w:t>
            </w:r>
          </w:p>
        </w:tc>
        <w:tc>
          <w:tcPr>
            <w:tcW w:w="2052" w:type="dxa"/>
            <w:tcBorders>
              <w:top w:val="nil"/>
              <w:left w:val="nil"/>
              <w:bottom w:val="nil"/>
              <w:right w:val="nil"/>
            </w:tcBorders>
            <w:vAlign w:val="center"/>
          </w:tcPr>
          <w:p w14:paraId="0F14D01A" w14:textId="3D5DF6B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0.21</w:t>
            </w:r>
            <w:r w:rsidR="00722A43" w:rsidRPr="002D79FB">
              <w:rPr>
                <w:rFonts w:ascii="Book Antiqua" w:hAnsi="Book Antiqua" w:cs="Times New Roman"/>
              </w:rPr>
              <w:t>-</w:t>
            </w:r>
            <w:r w:rsidRPr="002D79FB">
              <w:rPr>
                <w:rFonts w:ascii="Book Antiqua" w:hAnsi="Book Antiqua" w:cs="Times New Roman"/>
              </w:rPr>
              <w:t>0.42</w:t>
            </w:r>
          </w:p>
        </w:tc>
      </w:tr>
      <w:tr w:rsidR="00747564" w:rsidRPr="002D79FB" w14:paraId="296625B2" w14:textId="77777777" w:rsidTr="00B542AD">
        <w:tc>
          <w:tcPr>
            <w:tcW w:w="1364" w:type="dxa"/>
            <w:tcBorders>
              <w:top w:val="nil"/>
              <w:left w:val="nil"/>
              <w:bottom w:val="nil"/>
              <w:right w:val="nil"/>
            </w:tcBorders>
          </w:tcPr>
          <w:p w14:paraId="4B91F8B3" w14:textId="53C9B8F5"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 xml:space="preserve">Statin + </w:t>
            </w:r>
            <w:r w:rsidR="00B542AD" w:rsidRPr="002D79FB">
              <w:rPr>
                <w:rFonts w:ascii="Book Antiqua" w:hAnsi="Book Antiqua" w:cs="Times New Roman"/>
              </w:rPr>
              <w:t>m</w:t>
            </w:r>
            <w:r w:rsidRPr="002D79FB">
              <w:rPr>
                <w:rFonts w:ascii="Book Antiqua" w:hAnsi="Book Antiqua" w:cs="Times New Roman"/>
              </w:rPr>
              <w:t>etformin use</w:t>
            </w:r>
          </w:p>
        </w:tc>
        <w:tc>
          <w:tcPr>
            <w:tcW w:w="1340" w:type="dxa"/>
            <w:tcBorders>
              <w:top w:val="nil"/>
              <w:left w:val="nil"/>
              <w:bottom w:val="nil"/>
              <w:right w:val="nil"/>
            </w:tcBorders>
            <w:vAlign w:val="center"/>
          </w:tcPr>
          <w:p w14:paraId="39FEC744"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0.78</w:t>
            </w:r>
          </w:p>
        </w:tc>
        <w:tc>
          <w:tcPr>
            <w:tcW w:w="1886" w:type="dxa"/>
            <w:tcBorders>
              <w:top w:val="nil"/>
              <w:left w:val="nil"/>
              <w:bottom w:val="nil"/>
              <w:right w:val="nil"/>
            </w:tcBorders>
            <w:vAlign w:val="center"/>
          </w:tcPr>
          <w:p w14:paraId="7E2F462E" w14:textId="3F50E75C"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0.62</w:t>
            </w:r>
            <w:r w:rsidR="00722A43" w:rsidRPr="002D79FB">
              <w:rPr>
                <w:rFonts w:ascii="Book Antiqua" w:hAnsi="Book Antiqua" w:cs="Times New Roman"/>
              </w:rPr>
              <w:t>-</w:t>
            </w:r>
            <w:r w:rsidRPr="002D79FB">
              <w:rPr>
                <w:rFonts w:ascii="Book Antiqua" w:hAnsi="Book Antiqua" w:cs="Times New Roman"/>
              </w:rPr>
              <w:t>1.01</w:t>
            </w:r>
          </w:p>
        </w:tc>
        <w:tc>
          <w:tcPr>
            <w:tcW w:w="1917" w:type="dxa"/>
            <w:tcBorders>
              <w:top w:val="nil"/>
              <w:left w:val="nil"/>
              <w:bottom w:val="nil"/>
              <w:right w:val="nil"/>
            </w:tcBorders>
            <w:vAlign w:val="center"/>
          </w:tcPr>
          <w:p w14:paraId="76A441AD"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0.85</w:t>
            </w:r>
          </w:p>
        </w:tc>
        <w:tc>
          <w:tcPr>
            <w:tcW w:w="2052" w:type="dxa"/>
            <w:tcBorders>
              <w:top w:val="nil"/>
              <w:left w:val="nil"/>
              <w:bottom w:val="nil"/>
              <w:right w:val="nil"/>
            </w:tcBorders>
            <w:vAlign w:val="center"/>
          </w:tcPr>
          <w:p w14:paraId="16788A81" w14:textId="0E6542B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0.61</w:t>
            </w:r>
            <w:r w:rsidR="00722A43" w:rsidRPr="002D79FB">
              <w:rPr>
                <w:rFonts w:ascii="Book Antiqua" w:hAnsi="Book Antiqua" w:cs="Times New Roman"/>
              </w:rPr>
              <w:t>-</w:t>
            </w:r>
            <w:r w:rsidRPr="002D79FB">
              <w:rPr>
                <w:rFonts w:ascii="Book Antiqua" w:hAnsi="Book Antiqua" w:cs="Times New Roman"/>
              </w:rPr>
              <w:t>1.19</w:t>
            </w:r>
          </w:p>
        </w:tc>
      </w:tr>
      <w:tr w:rsidR="00747564" w:rsidRPr="002D79FB" w14:paraId="0B31B7DA" w14:textId="77777777" w:rsidTr="00B542AD">
        <w:tc>
          <w:tcPr>
            <w:tcW w:w="1364" w:type="dxa"/>
            <w:tcBorders>
              <w:top w:val="nil"/>
              <w:left w:val="nil"/>
              <w:bottom w:val="nil"/>
              <w:right w:val="nil"/>
            </w:tcBorders>
            <w:vAlign w:val="center"/>
          </w:tcPr>
          <w:p w14:paraId="4EC0E54C"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2017</w:t>
            </w:r>
          </w:p>
        </w:tc>
        <w:tc>
          <w:tcPr>
            <w:tcW w:w="3226" w:type="dxa"/>
            <w:gridSpan w:val="2"/>
            <w:tcBorders>
              <w:top w:val="nil"/>
              <w:left w:val="nil"/>
              <w:bottom w:val="nil"/>
              <w:right w:val="nil"/>
            </w:tcBorders>
            <w:vAlign w:val="center"/>
          </w:tcPr>
          <w:p w14:paraId="592960F6" w14:textId="77777777" w:rsidR="00747564" w:rsidRPr="002D79FB" w:rsidRDefault="00747564" w:rsidP="002D79FB">
            <w:pPr>
              <w:spacing w:line="360" w:lineRule="auto"/>
              <w:rPr>
                <w:rFonts w:ascii="Book Antiqua" w:hAnsi="Book Antiqua" w:cs="Times New Roman"/>
              </w:rPr>
            </w:pPr>
          </w:p>
        </w:tc>
        <w:tc>
          <w:tcPr>
            <w:tcW w:w="3969" w:type="dxa"/>
            <w:gridSpan w:val="2"/>
            <w:tcBorders>
              <w:top w:val="nil"/>
              <w:left w:val="nil"/>
              <w:bottom w:val="nil"/>
              <w:right w:val="nil"/>
            </w:tcBorders>
            <w:vAlign w:val="center"/>
          </w:tcPr>
          <w:p w14:paraId="23799ABB" w14:textId="4EDFEDF1" w:rsidR="00747564" w:rsidRPr="002D79FB" w:rsidRDefault="00747564" w:rsidP="002D79FB">
            <w:pPr>
              <w:spacing w:line="360" w:lineRule="auto"/>
              <w:rPr>
                <w:rFonts w:ascii="Book Antiqua" w:hAnsi="Book Antiqua" w:cs="Times New Roman"/>
              </w:rPr>
            </w:pPr>
          </w:p>
        </w:tc>
      </w:tr>
      <w:tr w:rsidR="00747564" w:rsidRPr="002D79FB" w14:paraId="46A8B460" w14:textId="77777777" w:rsidTr="00B542AD">
        <w:tc>
          <w:tcPr>
            <w:tcW w:w="1364" w:type="dxa"/>
            <w:tcBorders>
              <w:top w:val="nil"/>
              <w:left w:val="nil"/>
              <w:bottom w:val="nil"/>
              <w:right w:val="nil"/>
            </w:tcBorders>
          </w:tcPr>
          <w:p w14:paraId="4A92C54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Statin use</w:t>
            </w:r>
          </w:p>
        </w:tc>
        <w:tc>
          <w:tcPr>
            <w:tcW w:w="1340" w:type="dxa"/>
            <w:tcBorders>
              <w:top w:val="nil"/>
              <w:left w:val="nil"/>
              <w:bottom w:val="nil"/>
              <w:right w:val="nil"/>
            </w:tcBorders>
            <w:vAlign w:val="center"/>
          </w:tcPr>
          <w:p w14:paraId="7BA62BE5"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1.13</w:t>
            </w:r>
          </w:p>
        </w:tc>
        <w:tc>
          <w:tcPr>
            <w:tcW w:w="1886" w:type="dxa"/>
            <w:tcBorders>
              <w:top w:val="nil"/>
              <w:left w:val="nil"/>
              <w:bottom w:val="nil"/>
              <w:right w:val="nil"/>
            </w:tcBorders>
            <w:vAlign w:val="center"/>
          </w:tcPr>
          <w:p w14:paraId="30EEF5DD" w14:textId="2CDBFF6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1.00</w:t>
            </w:r>
            <w:r w:rsidR="00B542AD" w:rsidRPr="002D79FB">
              <w:rPr>
                <w:rFonts w:ascii="Book Antiqua" w:hAnsi="Book Antiqua" w:cs="Times New Roman"/>
              </w:rPr>
              <w:t>-</w:t>
            </w:r>
            <w:r w:rsidRPr="002D79FB">
              <w:rPr>
                <w:rFonts w:ascii="Book Antiqua" w:hAnsi="Book Antiqua" w:cs="Times New Roman"/>
              </w:rPr>
              <w:t>1.29</w:t>
            </w:r>
          </w:p>
        </w:tc>
        <w:tc>
          <w:tcPr>
            <w:tcW w:w="1917" w:type="dxa"/>
            <w:tcBorders>
              <w:top w:val="nil"/>
              <w:left w:val="nil"/>
              <w:bottom w:val="nil"/>
              <w:right w:val="nil"/>
            </w:tcBorders>
            <w:vAlign w:val="center"/>
          </w:tcPr>
          <w:p w14:paraId="5A5AFAEC"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1.17</w:t>
            </w:r>
          </w:p>
        </w:tc>
        <w:tc>
          <w:tcPr>
            <w:tcW w:w="2052" w:type="dxa"/>
            <w:tcBorders>
              <w:top w:val="nil"/>
              <w:left w:val="nil"/>
              <w:bottom w:val="nil"/>
              <w:right w:val="nil"/>
            </w:tcBorders>
            <w:vAlign w:val="center"/>
          </w:tcPr>
          <w:p w14:paraId="6F590F31" w14:textId="438EDCC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1.03</w:t>
            </w:r>
            <w:r w:rsidR="00B542AD" w:rsidRPr="002D79FB">
              <w:rPr>
                <w:rFonts w:ascii="Book Antiqua" w:hAnsi="Book Antiqua" w:cs="Times New Roman"/>
              </w:rPr>
              <w:t>-</w:t>
            </w:r>
            <w:r w:rsidRPr="002D79FB">
              <w:rPr>
                <w:rFonts w:ascii="Book Antiqua" w:hAnsi="Book Antiqua" w:cs="Times New Roman"/>
              </w:rPr>
              <w:t xml:space="preserve">1.33 </w:t>
            </w:r>
          </w:p>
        </w:tc>
      </w:tr>
      <w:tr w:rsidR="00747564" w:rsidRPr="002D79FB" w14:paraId="10B5FF59" w14:textId="77777777" w:rsidTr="00B542AD">
        <w:tc>
          <w:tcPr>
            <w:tcW w:w="1364" w:type="dxa"/>
            <w:tcBorders>
              <w:top w:val="nil"/>
              <w:left w:val="nil"/>
              <w:bottom w:val="nil"/>
              <w:right w:val="nil"/>
            </w:tcBorders>
          </w:tcPr>
          <w:p w14:paraId="511C9E2A"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Metformin use</w:t>
            </w:r>
          </w:p>
        </w:tc>
        <w:tc>
          <w:tcPr>
            <w:tcW w:w="1340" w:type="dxa"/>
            <w:tcBorders>
              <w:top w:val="nil"/>
              <w:left w:val="nil"/>
              <w:bottom w:val="nil"/>
              <w:right w:val="nil"/>
            </w:tcBorders>
            <w:vAlign w:val="center"/>
          </w:tcPr>
          <w:p w14:paraId="51ECA28C"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0.84</w:t>
            </w:r>
          </w:p>
        </w:tc>
        <w:tc>
          <w:tcPr>
            <w:tcW w:w="1886" w:type="dxa"/>
            <w:tcBorders>
              <w:top w:val="nil"/>
              <w:left w:val="nil"/>
              <w:bottom w:val="nil"/>
              <w:right w:val="nil"/>
            </w:tcBorders>
            <w:vAlign w:val="center"/>
          </w:tcPr>
          <w:p w14:paraId="7E24C745" w14:textId="0EA1359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0.71</w:t>
            </w:r>
            <w:r w:rsidR="00B542AD" w:rsidRPr="002D79FB">
              <w:rPr>
                <w:rFonts w:ascii="Book Antiqua" w:hAnsi="Book Antiqua" w:cs="Times New Roman"/>
              </w:rPr>
              <w:t>-</w:t>
            </w:r>
            <w:r w:rsidRPr="002D79FB">
              <w:rPr>
                <w:rFonts w:ascii="Book Antiqua" w:hAnsi="Book Antiqua" w:cs="Times New Roman"/>
              </w:rPr>
              <w:t>1.02</w:t>
            </w:r>
          </w:p>
        </w:tc>
        <w:tc>
          <w:tcPr>
            <w:tcW w:w="1917" w:type="dxa"/>
            <w:tcBorders>
              <w:top w:val="nil"/>
              <w:left w:val="nil"/>
              <w:bottom w:val="nil"/>
              <w:right w:val="nil"/>
            </w:tcBorders>
            <w:vAlign w:val="center"/>
          </w:tcPr>
          <w:p w14:paraId="63FDB047"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0.44</w:t>
            </w:r>
          </w:p>
        </w:tc>
        <w:tc>
          <w:tcPr>
            <w:tcW w:w="2052" w:type="dxa"/>
            <w:tcBorders>
              <w:top w:val="nil"/>
              <w:left w:val="nil"/>
              <w:bottom w:val="nil"/>
              <w:right w:val="nil"/>
            </w:tcBorders>
            <w:vAlign w:val="center"/>
          </w:tcPr>
          <w:p w14:paraId="16608AB5" w14:textId="1DAA8123"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0.32</w:t>
            </w:r>
            <w:r w:rsidR="00B542AD" w:rsidRPr="002D79FB">
              <w:rPr>
                <w:rFonts w:ascii="Book Antiqua" w:hAnsi="Book Antiqua" w:cs="Times New Roman"/>
              </w:rPr>
              <w:t>-</w:t>
            </w:r>
            <w:r w:rsidRPr="002D79FB">
              <w:rPr>
                <w:rFonts w:ascii="Book Antiqua" w:hAnsi="Book Antiqua" w:cs="Times New Roman"/>
              </w:rPr>
              <w:t>0.60</w:t>
            </w:r>
          </w:p>
        </w:tc>
      </w:tr>
      <w:tr w:rsidR="00747564" w:rsidRPr="002D79FB" w14:paraId="7875FF99" w14:textId="77777777" w:rsidTr="00B542AD">
        <w:tc>
          <w:tcPr>
            <w:tcW w:w="1364" w:type="dxa"/>
            <w:tcBorders>
              <w:top w:val="nil"/>
              <w:left w:val="nil"/>
              <w:right w:val="nil"/>
            </w:tcBorders>
          </w:tcPr>
          <w:p w14:paraId="3111B8A6" w14:textId="159AECBD"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 xml:space="preserve">Statin + </w:t>
            </w:r>
            <w:r w:rsidR="00B542AD" w:rsidRPr="002D79FB">
              <w:rPr>
                <w:rFonts w:ascii="Book Antiqua" w:hAnsi="Book Antiqua" w:cs="Times New Roman"/>
              </w:rPr>
              <w:t>m</w:t>
            </w:r>
            <w:r w:rsidRPr="002D79FB">
              <w:rPr>
                <w:rFonts w:ascii="Book Antiqua" w:hAnsi="Book Antiqua" w:cs="Times New Roman"/>
              </w:rPr>
              <w:t>etformin use</w:t>
            </w:r>
          </w:p>
        </w:tc>
        <w:tc>
          <w:tcPr>
            <w:tcW w:w="1340" w:type="dxa"/>
            <w:tcBorders>
              <w:top w:val="nil"/>
              <w:left w:val="nil"/>
              <w:right w:val="nil"/>
            </w:tcBorders>
            <w:vAlign w:val="center"/>
          </w:tcPr>
          <w:p w14:paraId="0FE57E7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0.92</w:t>
            </w:r>
          </w:p>
        </w:tc>
        <w:tc>
          <w:tcPr>
            <w:tcW w:w="1886" w:type="dxa"/>
            <w:tcBorders>
              <w:top w:val="nil"/>
              <w:left w:val="nil"/>
              <w:right w:val="nil"/>
            </w:tcBorders>
            <w:vAlign w:val="center"/>
          </w:tcPr>
          <w:p w14:paraId="72306920" w14:textId="3F4064E4"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0.70</w:t>
            </w:r>
            <w:r w:rsidR="00B542AD" w:rsidRPr="002D79FB">
              <w:rPr>
                <w:rFonts w:ascii="Book Antiqua" w:hAnsi="Book Antiqua" w:cs="Times New Roman"/>
              </w:rPr>
              <w:t>-</w:t>
            </w:r>
            <w:r w:rsidRPr="002D79FB">
              <w:rPr>
                <w:rFonts w:ascii="Book Antiqua" w:hAnsi="Book Antiqua" w:cs="Times New Roman"/>
              </w:rPr>
              <w:t>1.21</w:t>
            </w:r>
          </w:p>
        </w:tc>
        <w:tc>
          <w:tcPr>
            <w:tcW w:w="1917" w:type="dxa"/>
            <w:tcBorders>
              <w:top w:val="nil"/>
              <w:left w:val="nil"/>
              <w:right w:val="nil"/>
            </w:tcBorders>
            <w:vAlign w:val="center"/>
          </w:tcPr>
          <w:p w14:paraId="463DD3AE"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0.95</w:t>
            </w:r>
          </w:p>
        </w:tc>
        <w:tc>
          <w:tcPr>
            <w:tcW w:w="2052" w:type="dxa"/>
            <w:tcBorders>
              <w:top w:val="nil"/>
              <w:left w:val="nil"/>
              <w:right w:val="nil"/>
            </w:tcBorders>
            <w:vAlign w:val="center"/>
          </w:tcPr>
          <w:p w14:paraId="4CEE9925" w14:textId="065C3412"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0.66</w:t>
            </w:r>
            <w:r w:rsidR="00B542AD" w:rsidRPr="002D79FB">
              <w:rPr>
                <w:rFonts w:ascii="Book Antiqua" w:hAnsi="Book Antiqua" w:cs="Times New Roman"/>
              </w:rPr>
              <w:t>-</w:t>
            </w:r>
            <w:r w:rsidRPr="002D79FB">
              <w:rPr>
                <w:rFonts w:ascii="Book Antiqua" w:hAnsi="Book Antiqua" w:cs="Times New Roman"/>
              </w:rPr>
              <w:t>1.38</w:t>
            </w:r>
          </w:p>
        </w:tc>
      </w:tr>
    </w:tbl>
    <w:p w14:paraId="5F56D095" w14:textId="5FB82EF0" w:rsidR="00562EED" w:rsidRDefault="00B542AD" w:rsidP="002D79FB">
      <w:pPr>
        <w:spacing w:line="360" w:lineRule="auto"/>
        <w:jc w:val="both"/>
        <w:rPr>
          <w:rFonts w:ascii="Book Antiqua" w:hAnsi="Book Antiqua"/>
        </w:rPr>
      </w:pPr>
      <w:r w:rsidRPr="002D79FB">
        <w:rPr>
          <w:rFonts w:ascii="Book Antiqua" w:hAnsi="Book Antiqua"/>
          <w:vertAlign w:val="superscript"/>
        </w:rPr>
        <w:t>1</w:t>
      </w:r>
      <w:r w:rsidRPr="002D79FB">
        <w:rPr>
          <w:rFonts w:ascii="Book Antiqua" w:eastAsia="Book Antiqua" w:hAnsi="Book Antiqua" w:cs="Book Antiqua"/>
          <w:color w:val="000000"/>
        </w:rPr>
        <w:t>Propensity score</w:t>
      </w:r>
      <w:r w:rsidRPr="002D79FB">
        <w:rPr>
          <w:rFonts w:ascii="Book Antiqua" w:hAnsi="Book Antiqua"/>
        </w:rPr>
        <w:t xml:space="preserve">-matching was performed by including baseline age, gender, and comorbidities (myocardial infarction, congestive heart failure, peripheral vascular disease, cerebrovascular accident or transient ischemic attack, dementia, chronic obstructive pulmonary disease, connective tissue disease, peptic ulcer disease, liver disease, diabetes mellitus, hemiplegia, moderate to severe chronic kidney disease, solid tumor, leukemia, lymphoma, AIDS). </w:t>
      </w:r>
      <w:r w:rsidR="00747564" w:rsidRPr="002D79FB">
        <w:rPr>
          <w:rFonts w:ascii="Book Antiqua" w:hAnsi="Book Antiqua"/>
        </w:rPr>
        <w:t>OR</w:t>
      </w:r>
      <w:r w:rsidRPr="002D79FB">
        <w:rPr>
          <w:rFonts w:ascii="Book Antiqua" w:hAnsi="Book Antiqua"/>
        </w:rPr>
        <w:t>:</w:t>
      </w:r>
      <w:r w:rsidR="00747564" w:rsidRPr="002D79FB">
        <w:rPr>
          <w:rFonts w:ascii="Book Antiqua" w:hAnsi="Book Antiqua"/>
        </w:rPr>
        <w:t xml:space="preserve"> </w:t>
      </w:r>
      <w:r w:rsidRPr="002D79FB">
        <w:rPr>
          <w:rFonts w:ascii="Book Antiqua" w:hAnsi="Book Antiqua"/>
        </w:rPr>
        <w:t>O</w:t>
      </w:r>
      <w:r w:rsidR="00747564" w:rsidRPr="002D79FB">
        <w:rPr>
          <w:rFonts w:ascii="Book Antiqua" w:hAnsi="Book Antiqua"/>
        </w:rPr>
        <w:t>dds ratio; CI</w:t>
      </w:r>
      <w:r w:rsidRPr="002D79FB">
        <w:rPr>
          <w:rFonts w:ascii="Book Antiqua" w:hAnsi="Book Antiqua"/>
        </w:rPr>
        <w:t>:</w:t>
      </w:r>
      <w:r w:rsidR="00747564" w:rsidRPr="002D79FB">
        <w:rPr>
          <w:rFonts w:ascii="Book Antiqua" w:hAnsi="Book Antiqua"/>
        </w:rPr>
        <w:t xml:space="preserve"> </w:t>
      </w:r>
      <w:r w:rsidRPr="002D79FB">
        <w:rPr>
          <w:rFonts w:ascii="Book Antiqua" w:hAnsi="Book Antiqua"/>
        </w:rPr>
        <w:t>C</w:t>
      </w:r>
      <w:r w:rsidR="00747564" w:rsidRPr="002D79FB">
        <w:rPr>
          <w:rFonts w:ascii="Book Antiqua" w:hAnsi="Book Antiqua"/>
        </w:rPr>
        <w:t>onfidence interval</w:t>
      </w:r>
      <w:r w:rsidRPr="002D79FB">
        <w:rPr>
          <w:rFonts w:ascii="Book Antiqua" w:hAnsi="Book Antiqua"/>
        </w:rPr>
        <w:t>.</w:t>
      </w:r>
    </w:p>
    <w:p w14:paraId="37ED999C" w14:textId="77777777" w:rsidR="00562EED" w:rsidRDefault="00562EED">
      <w:pPr>
        <w:rPr>
          <w:rFonts w:ascii="Book Antiqua" w:hAnsi="Book Antiqua"/>
        </w:rPr>
      </w:pPr>
      <w:r>
        <w:rPr>
          <w:rFonts w:ascii="Book Antiqua" w:hAnsi="Book Antiqua"/>
        </w:rPr>
        <w:br w:type="page"/>
      </w:r>
    </w:p>
    <w:p w14:paraId="052AD213" w14:textId="77777777" w:rsidR="00562EED" w:rsidRDefault="00562EED" w:rsidP="00562EED">
      <w:pPr>
        <w:jc w:val="center"/>
        <w:rPr>
          <w:rFonts w:ascii="Book Antiqua" w:hAnsi="Book Antiqua"/>
          <w:lang w:eastAsia="zh-CN"/>
        </w:rPr>
      </w:pPr>
    </w:p>
    <w:p w14:paraId="56C9D46E" w14:textId="77777777" w:rsidR="00562EED" w:rsidRDefault="00562EED" w:rsidP="00562EED">
      <w:pPr>
        <w:jc w:val="center"/>
        <w:rPr>
          <w:rFonts w:ascii="Book Antiqua" w:hAnsi="Book Antiqua"/>
          <w:lang w:eastAsia="zh-CN"/>
        </w:rPr>
      </w:pPr>
    </w:p>
    <w:p w14:paraId="17E75C46" w14:textId="77777777" w:rsidR="00562EED" w:rsidRDefault="00562EED" w:rsidP="00562EED">
      <w:pPr>
        <w:jc w:val="center"/>
        <w:rPr>
          <w:rFonts w:ascii="Book Antiqua" w:hAnsi="Book Antiqua"/>
          <w:lang w:eastAsia="zh-CN"/>
        </w:rPr>
      </w:pPr>
    </w:p>
    <w:p w14:paraId="21CBBAE1" w14:textId="77777777" w:rsidR="00562EED" w:rsidRDefault="00562EED" w:rsidP="00562EED">
      <w:pPr>
        <w:jc w:val="center"/>
        <w:rPr>
          <w:rFonts w:ascii="Book Antiqua" w:hAnsi="Book Antiqua"/>
          <w:lang w:eastAsia="zh-CN"/>
        </w:rPr>
      </w:pPr>
    </w:p>
    <w:p w14:paraId="1FCD0E3A" w14:textId="77777777" w:rsidR="00562EED" w:rsidRDefault="00562EED" w:rsidP="00562EED">
      <w:pPr>
        <w:jc w:val="center"/>
        <w:rPr>
          <w:rFonts w:ascii="Book Antiqua" w:hAnsi="Book Antiqua"/>
          <w:lang w:eastAsia="zh-CN"/>
        </w:rPr>
      </w:pPr>
    </w:p>
    <w:p w14:paraId="18A77B4C" w14:textId="77777777" w:rsidR="00562EED" w:rsidRDefault="00562EED" w:rsidP="00562EED">
      <w:pPr>
        <w:jc w:val="center"/>
        <w:rPr>
          <w:rFonts w:ascii="Book Antiqua" w:hAnsi="Book Antiqua"/>
          <w:lang w:eastAsia="zh-CN"/>
        </w:rPr>
      </w:pPr>
      <w:r>
        <w:rPr>
          <w:rFonts w:ascii="Book Antiqua" w:hAnsi="Book Antiqua"/>
          <w:noProof/>
          <w:lang w:eastAsia="zh-CN"/>
        </w:rPr>
        <w:drawing>
          <wp:inline distT="0" distB="0" distL="0" distR="0" wp14:anchorId="49622CF5" wp14:editId="566387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31DD3C" w14:textId="77777777" w:rsidR="00562EED" w:rsidRDefault="00562EED" w:rsidP="00562EED">
      <w:pPr>
        <w:jc w:val="center"/>
        <w:rPr>
          <w:rFonts w:ascii="Book Antiqua" w:hAnsi="Book Antiqua"/>
          <w:lang w:eastAsia="zh-CN"/>
        </w:rPr>
      </w:pPr>
    </w:p>
    <w:p w14:paraId="500143B4" w14:textId="77777777" w:rsidR="00562EED" w:rsidRPr="00763D22" w:rsidRDefault="00562EED" w:rsidP="00562EE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B8F2270" w14:textId="77777777" w:rsidR="00562EED" w:rsidRPr="00763D22" w:rsidRDefault="00562EED" w:rsidP="00562E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28F88F" w14:textId="77777777" w:rsidR="00562EED" w:rsidRPr="00763D22" w:rsidRDefault="00562EED" w:rsidP="00562EE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D43F92" w14:textId="77777777" w:rsidR="00562EED" w:rsidRPr="00763D22" w:rsidRDefault="00562EED" w:rsidP="00562E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9791AA" w14:textId="77777777" w:rsidR="00562EED" w:rsidRPr="00763D22" w:rsidRDefault="00562EED" w:rsidP="00562EE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5BC077E" w14:textId="77777777" w:rsidR="00562EED" w:rsidRPr="00763D22" w:rsidRDefault="00562EED" w:rsidP="00562EE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978335C" w14:textId="77777777" w:rsidR="00562EED" w:rsidRDefault="00562EED" w:rsidP="00562EED">
      <w:pPr>
        <w:jc w:val="center"/>
        <w:rPr>
          <w:rFonts w:ascii="Book Antiqua" w:hAnsi="Book Antiqua"/>
          <w:lang w:eastAsia="zh-CN"/>
        </w:rPr>
      </w:pPr>
    </w:p>
    <w:p w14:paraId="635707F1" w14:textId="77777777" w:rsidR="00562EED" w:rsidRDefault="00562EED" w:rsidP="00562EED">
      <w:pPr>
        <w:jc w:val="center"/>
        <w:rPr>
          <w:rFonts w:ascii="Book Antiqua" w:hAnsi="Book Antiqua"/>
          <w:lang w:eastAsia="zh-CN"/>
        </w:rPr>
      </w:pPr>
    </w:p>
    <w:p w14:paraId="1CD8993F" w14:textId="77777777" w:rsidR="00562EED" w:rsidRDefault="00562EED" w:rsidP="00562EED">
      <w:pPr>
        <w:jc w:val="center"/>
        <w:rPr>
          <w:rFonts w:ascii="Book Antiqua" w:hAnsi="Book Antiqua"/>
          <w:lang w:eastAsia="zh-CN"/>
        </w:rPr>
      </w:pPr>
    </w:p>
    <w:p w14:paraId="3C7BC08E" w14:textId="77777777" w:rsidR="00562EED" w:rsidRDefault="00562EED" w:rsidP="00562EED">
      <w:pPr>
        <w:jc w:val="center"/>
        <w:rPr>
          <w:rFonts w:ascii="Book Antiqua" w:hAnsi="Book Antiqua"/>
          <w:lang w:eastAsia="zh-CN"/>
        </w:rPr>
      </w:pPr>
      <w:r>
        <w:rPr>
          <w:rFonts w:ascii="Book Antiqua" w:hAnsi="Book Antiqua"/>
          <w:noProof/>
          <w:lang w:eastAsia="zh-CN"/>
        </w:rPr>
        <w:drawing>
          <wp:inline distT="0" distB="0" distL="0" distR="0" wp14:anchorId="435E74CE" wp14:editId="19B3E3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96EA0A" w14:textId="77777777" w:rsidR="00562EED" w:rsidRDefault="00562EED" w:rsidP="00562EED">
      <w:pPr>
        <w:jc w:val="center"/>
        <w:rPr>
          <w:rFonts w:ascii="Book Antiqua" w:hAnsi="Book Antiqua"/>
          <w:lang w:eastAsia="zh-CN"/>
        </w:rPr>
      </w:pPr>
    </w:p>
    <w:p w14:paraId="229D7566" w14:textId="77777777" w:rsidR="00562EED" w:rsidRDefault="00562EED" w:rsidP="00562EED">
      <w:pPr>
        <w:jc w:val="center"/>
        <w:rPr>
          <w:rFonts w:ascii="Book Antiqua" w:hAnsi="Book Antiqua"/>
          <w:lang w:eastAsia="zh-CN"/>
        </w:rPr>
      </w:pPr>
    </w:p>
    <w:p w14:paraId="0DAD95F6" w14:textId="77777777" w:rsidR="00562EED" w:rsidRDefault="00562EED" w:rsidP="00562EED">
      <w:pPr>
        <w:jc w:val="center"/>
        <w:rPr>
          <w:rFonts w:ascii="Book Antiqua" w:hAnsi="Book Antiqua"/>
          <w:lang w:eastAsia="zh-CN"/>
        </w:rPr>
      </w:pPr>
    </w:p>
    <w:p w14:paraId="575EB1EB" w14:textId="77777777" w:rsidR="00562EED" w:rsidRDefault="00562EED" w:rsidP="00562EED">
      <w:pPr>
        <w:jc w:val="center"/>
        <w:rPr>
          <w:rFonts w:ascii="Book Antiqua" w:hAnsi="Book Antiqua"/>
          <w:lang w:eastAsia="zh-CN"/>
        </w:rPr>
      </w:pPr>
    </w:p>
    <w:p w14:paraId="66DC5D02" w14:textId="77777777" w:rsidR="00562EED" w:rsidRDefault="00562EED" w:rsidP="00562EED">
      <w:pPr>
        <w:jc w:val="center"/>
        <w:rPr>
          <w:rFonts w:ascii="Book Antiqua" w:hAnsi="Book Antiqua"/>
          <w:lang w:eastAsia="zh-CN"/>
        </w:rPr>
      </w:pPr>
    </w:p>
    <w:p w14:paraId="2EE9115C" w14:textId="77777777" w:rsidR="00562EED" w:rsidRDefault="00562EED" w:rsidP="00562EED">
      <w:pPr>
        <w:jc w:val="center"/>
        <w:rPr>
          <w:rFonts w:ascii="Book Antiqua" w:hAnsi="Book Antiqua"/>
          <w:lang w:eastAsia="zh-CN"/>
        </w:rPr>
      </w:pPr>
    </w:p>
    <w:p w14:paraId="3E4BC506" w14:textId="77777777" w:rsidR="00562EED" w:rsidRDefault="00562EED" w:rsidP="00562EED">
      <w:pPr>
        <w:jc w:val="center"/>
        <w:rPr>
          <w:rFonts w:ascii="Book Antiqua" w:hAnsi="Book Antiqua"/>
          <w:lang w:eastAsia="zh-CN"/>
        </w:rPr>
      </w:pPr>
    </w:p>
    <w:p w14:paraId="7BD23F68" w14:textId="77777777" w:rsidR="00562EED" w:rsidRDefault="00562EED" w:rsidP="00562EED">
      <w:pPr>
        <w:jc w:val="center"/>
        <w:rPr>
          <w:rFonts w:ascii="Book Antiqua" w:hAnsi="Book Antiqua"/>
          <w:lang w:eastAsia="zh-CN"/>
        </w:rPr>
      </w:pPr>
    </w:p>
    <w:p w14:paraId="4BD77CE1" w14:textId="77777777" w:rsidR="00562EED" w:rsidRDefault="00562EED" w:rsidP="00562EED">
      <w:pPr>
        <w:jc w:val="center"/>
        <w:rPr>
          <w:rFonts w:ascii="Book Antiqua" w:hAnsi="Book Antiqua"/>
          <w:lang w:eastAsia="zh-CN"/>
        </w:rPr>
      </w:pPr>
    </w:p>
    <w:p w14:paraId="24DEA692" w14:textId="77777777" w:rsidR="00562EED" w:rsidRPr="00763D22" w:rsidRDefault="00562EED" w:rsidP="00562EED">
      <w:pPr>
        <w:jc w:val="right"/>
        <w:rPr>
          <w:rFonts w:ascii="Book Antiqua" w:hAnsi="Book Antiqua"/>
          <w:color w:val="000000" w:themeColor="text1"/>
          <w:lang w:eastAsia="zh-CN"/>
        </w:rPr>
      </w:pPr>
    </w:p>
    <w:p w14:paraId="0CA8F8EC" w14:textId="77777777" w:rsidR="00562EED" w:rsidRPr="00763D22" w:rsidRDefault="00562EED" w:rsidP="00562EE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CBB1241" w14:textId="77777777" w:rsidR="00747564" w:rsidRPr="002D79FB" w:rsidRDefault="00747564" w:rsidP="002D79FB">
      <w:pPr>
        <w:spacing w:line="360" w:lineRule="auto"/>
        <w:jc w:val="both"/>
        <w:rPr>
          <w:rFonts w:ascii="Book Antiqua" w:hAnsi="Book Antiqua"/>
        </w:rPr>
      </w:pPr>
    </w:p>
    <w:sectPr w:rsidR="00747564" w:rsidRPr="002D79FB" w:rsidSect="002D79FB">
      <w:type w:val="continuous"/>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49AE3" w14:textId="77777777" w:rsidR="009D3BE5" w:rsidRDefault="009D3BE5" w:rsidP="00747564">
      <w:r>
        <w:separator/>
      </w:r>
    </w:p>
  </w:endnote>
  <w:endnote w:type="continuationSeparator" w:id="0">
    <w:p w14:paraId="7E3FB4AA" w14:textId="77777777" w:rsidR="009D3BE5" w:rsidRDefault="009D3BE5" w:rsidP="007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0750713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EF6E337" w14:textId="7FC6E3FC" w:rsidR="003F264A" w:rsidRPr="00CF72E7" w:rsidRDefault="003F264A">
            <w:pPr>
              <w:pStyle w:val="a5"/>
              <w:jc w:val="right"/>
              <w:rPr>
                <w:rFonts w:ascii="Book Antiqua" w:hAnsi="Book Antiqua"/>
                <w:sz w:val="24"/>
                <w:szCs w:val="24"/>
              </w:rPr>
            </w:pPr>
            <w:r w:rsidRPr="00CF72E7">
              <w:rPr>
                <w:rFonts w:ascii="Book Antiqua" w:hAnsi="Book Antiqua"/>
                <w:sz w:val="24"/>
                <w:szCs w:val="24"/>
                <w:lang w:val="zh-CN" w:eastAsia="zh-CN"/>
              </w:rPr>
              <w:t xml:space="preserve"> </w:t>
            </w:r>
            <w:r w:rsidRPr="00CF72E7">
              <w:rPr>
                <w:rFonts w:ascii="Book Antiqua" w:hAnsi="Book Antiqua"/>
                <w:sz w:val="24"/>
                <w:szCs w:val="24"/>
              </w:rPr>
              <w:fldChar w:fldCharType="begin"/>
            </w:r>
            <w:r w:rsidRPr="00CF72E7">
              <w:rPr>
                <w:rFonts w:ascii="Book Antiqua" w:hAnsi="Book Antiqua"/>
                <w:sz w:val="24"/>
                <w:szCs w:val="24"/>
              </w:rPr>
              <w:instrText>PAGE</w:instrText>
            </w:r>
            <w:r w:rsidRPr="00CF72E7">
              <w:rPr>
                <w:rFonts w:ascii="Book Antiqua" w:hAnsi="Book Antiqua"/>
                <w:sz w:val="24"/>
                <w:szCs w:val="24"/>
              </w:rPr>
              <w:fldChar w:fldCharType="separate"/>
            </w:r>
            <w:r w:rsidR="005B2216">
              <w:rPr>
                <w:rFonts w:ascii="Book Antiqua" w:hAnsi="Book Antiqua"/>
                <w:noProof/>
                <w:sz w:val="24"/>
                <w:szCs w:val="24"/>
              </w:rPr>
              <w:t>18</w:t>
            </w:r>
            <w:r w:rsidRPr="00CF72E7">
              <w:rPr>
                <w:rFonts w:ascii="Book Antiqua" w:hAnsi="Book Antiqua"/>
                <w:sz w:val="24"/>
                <w:szCs w:val="24"/>
              </w:rPr>
              <w:fldChar w:fldCharType="end"/>
            </w:r>
            <w:r w:rsidRPr="00CF72E7">
              <w:rPr>
                <w:rFonts w:ascii="Book Antiqua" w:hAnsi="Book Antiqua"/>
                <w:sz w:val="24"/>
                <w:szCs w:val="24"/>
                <w:lang w:val="zh-CN" w:eastAsia="zh-CN"/>
              </w:rPr>
              <w:t xml:space="preserve"> / </w:t>
            </w:r>
            <w:r w:rsidRPr="00CF72E7">
              <w:rPr>
                <w:rFonts w:ascii="Book Antiqua" w:hAnsi="Book Antiqua"/>
                <w:sz w:val="24"/>
                <w:szCs w:val="24"/>
              </w:rPr>
              <w:fldChar w:fldCharType="begin"/>
            </w:r>
            <w:r w:rsidRPr="00CF72E7">
              <w:rPr>
                <w:rFonts w:ascii="Book Antiqua" w:hAnsi="Book Antiqua"/>
                <w:sz w:val="24"/>
                <w:szCs w:val="24"/>
              </w:rPr>
              <w:instrText>NUMPAGES</w:instrText>
            </w:r>
            <w:r w:rsidRPr="00CF72E7">
              <w:rPr>
                <w:rFonts w:ascii="Book Antiqua" w:hAnsi="Book Antiqua"/>
                <w:sz w:val="24"/>
                <w:szCs w:val="24"/>
              </w:rPr>
              <w:fldChar w:fldCharType="separate"/>
            </w:r>
            <w:r w:rsidR="005B2216">
              <w:rPr>
                <w:rFonts w:ascii="Book Antiqua" w:hAnsi="Book Antiqua"/>
                <w:noProof/>
                <w:sz w:val="24"/>
                <w:szCs w:val="24"/>
              </w:rPr>
              <w:t>27</w:t>
            </w:r>
            <w:r w:rsidRPr="00CF72E7">
              <w:rPr>
                <w:rFonts w:ascii="Book Antiqua" w:hAnsi="Book Antiqua"/>
                <w:sz w:val="24"/>
                <w:szCs w:val="24"/>
              </w:rPr>
              <w:fldChar w:fldCharType="end"/>
            </w:r>
          </w:p>
        </w:sdtContent>
      </w:sdt>
    </w:sdtContent>
  </w:sdt>
  <w:p w14:paraId="5B9FDA26" w14:textId="77777777" w:rsidR="003F264A" w:rsidRDefault="003F2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FBB87" w14:textId="77777777" w:rsidR="009D3BE5" w:rsidRDefault="009D3BE5" w:rsidP="00747564">
      <w:r>
        <w:separator/>
      </w:r>
    </w:p>
  </w:footnote>
  <w:footnote w:type="continuationSeparator" w:id="0">
    <w:p w14:paraId="36DDF23A" w14:textId="77777777" w:rsidR="009D3BE5" w:rsidRDefault="009D3BE5" w:rsidP="00747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D41E" w14:textId="77777777" w:rsidR="00747564" w:rsidRDefault="007475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E1FF" w14:textId="77777777" w:rsidR="00B542AD" w:rsidRDefault="00B542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D5BE" w14:textId="77777777" w:rsidR="00B542AD" w:rsidRDefault="00B542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0F93"/>
    <w:rsid w:val="000E01E7"/>
    <w:rsid w:val="001047DB"/>
    <w:rsid w:val="0011315F"/>
    <w:rsid w:val="00117ED8"/>
    <w:rsid w:val="001203D8"/>
    <w:rsid w:val="00142246"/>
    <w:rsid w:val="001A2DA4"/>
    <w:rsid w:val="0022041B"/>
    <w:rsid w:val="002640F5"/>
    <w:rsid w:val="002D79FB"/>
    <w:rsid w:val="003D06AA"/>
    <w:rsid w:val="003E22C3"/>
    <w:rsid w:val="003F264A"/>
    <w:rsid w:val="003F581F"/>
    <w:rsid w:val="00401CA5"/>
    <w:rsid w:val="004027ED"/>
    <w:rsid w:val="00432FAC"/>
    <w:rsid w:val="00443420"/>
    <w:rsid w:val="004B1112"/>
    <w:rsid w:val="004D73E8"/>
    <w:rsid w:val="004F550E"/>
    <w:rsid w:val="00562EED"/>
    <w:rsid w:val="00567B42"/>
    <w:rsid w:val="005B2216"/>
    <w:rsid w:val="005E4F1D"/>
    <w:rsid w:val="00682F0E"/>
    <w:rsid w:val="006E2C72"/>
    <w:rsid w:val="006F4EC6"/>
    <w:rsid w:val="00722A43"/>
    <w:rsid w:val="00747564"/>
    <w:rsid w:val="00770044"/>
    <w:rsid w:val="007B185A"/>
    <w:rsid w:val="00981DA6"/>
    <w:rsid w:val="009D3BE5"/>
    <w:rsid w:val="00A47115"/>
    <w:rsid w:val="00A77B3E"/>
    <w:rsid w:val="00AB5B75"/>
    <w:rsid w:val="00B542AD"/>
    <w:rsid w:val="00B670FE"/>
    <w:rsid w:val="00BD29A8"/>
    <w:rsid w:val="00BE3760"/>
    <w:rsid w:val="00C42C9E"/>
    <w:rsid w:val="00C47A7E"/>
    <w:rsid w:val="00C63F03"/>
    <w:rsid w:val="00CA2A55"/>
    <w:rsid w:val="00CF72E7"/>
    <w:rsid w:val="00D43234"/>
    <w:rsid w:val="00DF0924"/>
    <w:rsid w:val="00E11808"/>
    <w:rsid w:val="00E6479B"/>
    <w:rsid w:val="00F6424B"/>
    <w:rsid w:val="00FA7048"/>
    <w:rsid w:val="00FD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1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47564"/>
    <w:rPr>
      <w:rFonts w:cs="Times New Roman"/>
      <w:b/>
    </w:rPr>
  </w:style>
  <w:style w:type="paragraph" w:styleId="a4">
    <w:name w:val="header"/>
    <w:basedOn w:val="a"/>
    <w:link w:val="Char"/>
    <w:unhideWhenUsed/>
    <w:rsid w:val="00747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47564"/>
    <w:rPr>
      <w:sz w:val="18"/>
      <w:szCs w:val="18"/>
    </w:rPr>
  </w:style>
  <w:style w:type="paragraph" w:styleId="a5">
    <w:name w:val="footer"/>
    <w:basedOn w:val="a"/>
    <w:link w:val="Char0"/>
    <w:uiPriority w:val="99"/>
    <w:unhideWhenUsed/>
    <w:rsid w:val="00747564"/>
    <w:pPr>
      <w:tabs>
        <w:tab w:val="center" w:pos="4153"/>
        <w:tab w:val="right" w:pos="8306"/>
      </w:tabs>
      <w:snapToGrid w:val="0"/>
    </w:pPr>
    <w:rPr>
      <w:sz w:val="18"/>
      <w:szCs w:val="18"/>
    </w:rPr>
  </w:style>
  <w:style w:type="character" w:customStyle="1" w:styleId="Char0">
    <w:name w:val="页脚 Char"/>
    <w:basedOn w:val="a0"/>
    <w:link w:val="a5"/>
    <w:uiPriority w:val="99"/>
    <w:rsid w:val="00747564"/>
    <w:rPr>
      <w:sz w:val="18"/>
      <w:szCs w:val="18"/>
    </w:rPr>
  </w:style>
  <w:style w:type="table" w:styleId="a6">
    <w:name w:val="Table Grid"/>
    <w:basedOn w:val="a1"/>
    <w:uiPriority w:val="39"/>
    <w:rsid w:val="00747564"/>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D43234"/>
    <w:rPr>
      <w:sz w:val="16"/>
      <w:szCs w:val="16"/>
    </w:rPr>
  </w:style>
  <w:style w:type="paragraph" w:styleId="a8">
    <w:name w:val="annotation text"/>
    <w:basedOn w:val="a"/>
    <w:link w:val="Char1"/>
    <w:semiHidden/>
    <w:unhideWhenUsed/>
    <w:rsid w:val="00D43234"/>
    <w:rPr>
      <w:sz w:val="20"/>
      <w:szCs w:val="20"/>
    </w:rPr>
  </w:style>
  <w:style w:type="character" w:customStyle="1" w:styleId="Char1">
    <w:name w:val="批注文字 Char"/>
    <w:basedOn w:val="a0"/>
    <w:link w:val="a8"/>
    <w:semiHidden/>
    <w:rsid w:val="00D43234"/>
  </w:style>
  <w:style w:type="paragraph" w:styleId="a9">
    <w:name w:val="annotation subject"/>
    <w:basedOn w:val="a8"/>
    <w:next w:val="a8"/>
    <w:link w:val="Char2"/>
    <w:semiHidden/>
    <w:unhideWhenUsed/>
    <w:rsid w:val="00D43234"/>
    <w:rPr>
      <w:b/>
      <w:bCs/>
    </w:rPr>
  </w:style>
  <w:style w:type="character" w:customStyle="1" w:styleId="Char2">
    <w:name w:val="批注主题 Char"/>
    <w:basedOn w:val="Char1"/>
    <w:link w:val="a9"/>
    <w:semiHidden/>
    <w:rsid w:val="00D43234"/>
    <w:rPr>
      <w:b/>
      <w:bCs/>
    </w:rPr>
  </w:style>
  <w:style w:type="paragraph" w:styleId="aa">
    <w:name w:val="Revision"/>
    <w:hidden/>
    <w:uiPriority w:val="99"/>
    <w:semiHidden/>
    <w:rsid w:val="00CF72E7"/>
    <w:rPr>
      <w:sz w:val="24"/>
      <w:szCs w:val="24"/>
    </w:rPr>
  </w:style>
  <w:style w:type="paragraph" w:styleId="ab">
    <w:name w:val="Balloon Text"/>
    <w:basedOn w:val="a"/>
    <w:link w:val="Char3"/>
    <w:rsid w:val="0011315F"/>
    <w:rPr>
      <w:sz w:val="18"/>
      <w:szCs w:val="18"/>
    </w:rPr>
  </w:style>
  <w:style w:type="character" w:customStyle="1" w:styleId="Char3">
    <w:name w:val="批注框文本 Char"/>
    <w:basedOn w:val="a0"/>
    <w:link w:val="ab"/>
    <w:rsid w:val="0011315F"/>
    <w:rPr>
      <w:sz w:val="18"/>
      <w:szCs w:val="18"/>
    </w:rPr>
  </w:style>
  <w:style w:type="character" w:styleId="ac">
    <w:name w:val="Hyperlink"/>
    <w:basedOn w:val="a0"/>
    <w:unhideWhenUsed/>
    <w:rsid w:val="007B1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47564"/>
    <w:rPr>
      <w:rFonts w:cs="Times New Roman"/>
      <w:b/>
    </w:rPr>
  </w:style>
  <w:style w:type="paragraph" w:styleId="a4">
    <w:name w:val="header"/>
    <w:basedOn w:val="a"/>
    <w:link w:val="Char"/>
    <w:unhideWhenUsed/>
    <w:rsid w:val="007475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47564"/>
    <w:rPr>
      <w:sz w:val="18"/>
      <w:szCs w:val="18"/>
    </w:rPr>
  </w:style>
  <w:style w:type="paragraph" w:styleId="a5">
    <w:name w:val="footer"/>
    <w:basedOn w:val="a"/>
    <w:link w:val="Char0"/>
    <w:uiPriority w:val="99"/>
    <w:unhideWhenUsed/>
    <w:rsid w:val="00747564"/>
    <w:pPr>
      <w:tabs>
        <w:tab w:val="center" w:pos="4153"/>
        <w:tab w:val="right" w:pos="8306"/>
      </w:tabs>
      <w:snapToGrid w:val="0"/>
    </w:pPr>
    <w:rPr>
      <w:sz w:val="18"/>
      <w:szCs w:val="18"/>
    </w:rPr>
  </w:style>
  <w:style w:type="character" w:customStyle="1" w:styleId="Char0">
    <w:name w:val="页脚 Char"/>
    <w:basedOn w:val="a0"/>
    <w:link w:val="a5"/>
    <w:uiPriority w:val="99"/>
    <w:rsid w:val="00747564"/>
    <w:rPr>
      <w:sz w:val="18"/>
      <w:szCs w:val="18"/>
    </w:rPr>
  </w:style>
  <w:style w:type="table" w:styleId="a6">
    <w:name w:val="Table Grid"/>
    <w:basedOn w:val="a1"/>
    <w:uiPriority w:val="39"/>
    <w:rsid w:val="00747564"/>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D43234"/>
    <w:rPr>
      <w:sz w:val="16"/>
      <w:szCs w:val="16"/>
    </w:rPr>
  </w:style>
  <w:style w:type="paragraph" w:styleId="a8">
    <w:name w:val="annotation text"/>
    <w:basedOn w:val="a"/>
    <w:link w:val="Char1"/>
    <w:semiHidden/>
    <w:unhideWhenUsed/>
    <w:rsid w:val="00D43234"/>
    <w:rPr>
      <w:sz w:val="20"/>
      <w:szCs w:val="20"/>
    </w:rPr>
  </w:style>
  <w:style w:type="character" w:customStyle="1" w:styleId="Char1">
    <w:name w:val="批注文字 Char"/>
    <w:basedOn w:val="a0"/>
    <w:link w:val="a8"/>
    <w:semiHidden/>
    <w:rsid w:val="00D43234"/>
  </w:style>
  <w:style w:type="paragraph" w:styleId="a9">
    <w:name w:val="annotation subject"/>
    <w:basedOn w:val="a8"/>
    <w:next w:val="a8"/>
    <w:link w:val="Char2"/>
    <w:semiHidden/>
    <w:unhideWhenUsed/>
    <w:rsid w:val="00D43234"/>
    <w:rPr>
      <w:b/>
      <w:bCs/>
    </w:rPr>
  </w:style>
  <w:style w:type="character" w:customStyle="1" w:styleId="Char2">
    <w:name w:val="批注主题 Char"/>
    <w:basedOn w:val="Char1"/>
    <w:link w:val="a9"/>
    <w:semiHidden/>
    <w:rsid w:val="00D43234"/>
    <w:rPr>
      <w:b/>
      <w:bCs/>
    </w:rPr>
  </w:style>
  <w:style w:type="paragraph" w:styleId="aa">
    <w:name w:val="Revision"/>
    <w:hidden/>
    <w:uiPriority w:val="99"/>
    <w:semiHidden/>
    <w:rsid w:val="00CF72E7"/>
    <w:rPr>
      <w:sz w:val="24"/>
      <w:szCs w:val="24"/>
    </w:rPr>
  </w:style>
  <w:style w:type="paragraph" w:styleId="ab">
    <w:name w:val="Balloon Text"/>
    <w:basedOn w:val="a"/>
    <w:link w:val="Char3"/>
    <w:rsid w:val="0011315F"/>
    <w:rPr>
      <w:sz w:val="18"/>
      <w:szCs w:val="18"/>
    </w:rPr>
  </w:style>
  <w:style w:type="character" w:customStyle="1" w:styleId="Char3">
    <w:name w:val="批注框文本 Char"/>
    <w:basedOn w:val="a0"/>
    <w:link w:val="ab"/>
    <w:rsid w:val="0011315F"/>
    <w:rPr>
      <w:sz w:val="18"/>
      <w:szCs w:val="18"/>
    </w:rPr>
  </w:style>
  <w:style w:type="character" w:styleId="ac">
    <w:name w:val="Hyperlink"/>
    <w:basedOn w:val="a0"/>
    <w:unhideWhenUsed/>
    <w:rsid w:val="007B1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5602</Words>
  <Characters>31934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2021-09-19T02:54:00Z</dcterms:created>
  <dcterms:modified xsi:type="dcterms:W3CDTF">2021-11-22T02:58:00Z</dcterms:modified>
</cp:coreProperties>
</file>