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69881</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Pneumatosis intestinalis after systemic chemotherapy for colorectal cancer: A case report</w:t>
      </w:r>
    </w:p>
    <w:p>
      <w:pPr>
        <w:spacing w:line="360" w:lineRule="auto"/>
        <w:jc w:val="both"/>
        <w:rPr>
          <w:lang w:eastAsia="zh-CN"/>
        </w:rPr>
      </w:pPr>
    </w:p>
    <w:p>
      <w:pPr>
        <w:spacing w:line="360" w:lineRule="auto"/>
        <w:jc w:val="both"/>
        <w:rPr>
          <w:rFonts w:ascii="Book Antiqua" w:hAnsi="Book Antiqua" w:cs="Book Antiqua"/>
          <w:lang w:eastAsia="zh-CN"/>
        </w:rPr>
      </w:pPr>
      <w:r>
        <w:rPr>
          <w:rFonts w:ascii="Book Antiqua" w:hAnsi="Book Antiqua" w:eastAsia="Book Antiqua" w:cs="Book Antiqua"/>
          <w:color w:val="000000"/>
        </w:rPr>
        <w:t xml:space="preserve">Liu </w:t>
      </w:r>
      <w:r>
        <w:rPr>
          <w:rFonts w:hint="eastAsia" w:ascii="Book Antiqua" w:hAnsi="Book Antiqua" w:cs="Book Antiqua"/>
          <w:color w:val="000000"/>
          <w:lang w:eastAsia="zh-CN"/>
        </w:rPr>
        <w:t xml:space="preserve">H </w:t>
      </w:r>
      <w:r>
        <w:rPr>
          <w:rFonts w:ascii="Book Antiqua" w:hAnsi="Book Antiqua" w:eastAsia="Book Antiqua" w:cs="Book Antiqua"/>
          <w:i/>
          <w:color w:val="000000"/>
        </w:rPr>
        <w:t>et al</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hint="eastAsia" w:ascii="Book Antiqua" w:hAnsi="Book Antiqua" w:cs="Book Antiqua"/>
          <w:lang w:eastAsia="zh-CN"/>
        </w:rPr>
        <w:t xml:space="preserve">PI </w:t>
      </w:r>
      <w:r>
        <w:rPr>
          <w:rFonts w:ascii="Book Antiqua" w:hAnsi="Book Antiqua" w:cs="Book Antiqua"/>
          <w:lang w:eastAsia="zh-CN"/>
        </w:rPr>
        <w:t>after colon cancer chemotherapy</w:t>
      </w:r>
    </w:p>
    <w:p>
      <w:pPr>
        <w:spacing w:line="360" w:lineRule="auto"/>
        <w:jc w:val="both"/>
        <w:rPr>
          <w:lang w:eastAsia="zh-CN"/>
        </w:rPr>
      </w:pPr>
    </w:p>
    <w:p>
      <w:pPr>
        <w:spacing w:line="360" w:lineRule="auto"/>
        <w:jc w:val="both"/>
      </w:pPr>
      <w:r>
        <w:rPr>
          <w:rFonts w:ascii="Book Antiqua" w:hAnsi="Book Antiqua" w:eastAsia="Book Antiqua" w:cs="Book Antiqua"/>
          <w:color w:val="000000"/>
        </w:rPr>
        <w:t>Hsien Liu, Cheng-Ta Hsieh, Jui-Ming Sun</w:t>
      </w:r>
    </w:p>
    <w:p>
      <w:pPr>
        <w:spacing w:line="360" w:lineRule="auto"/>
        <w:jc w:val="both"/>
      </w:pPr>
    </w:p>
    <w:p>
      <w:pPr>
        <w:spacing w:line="360" w:lineRule="auto"/>
        <w:jc w:val="both"/>
      </w:pPr>
      <w:r>
        <w:rPr>
          <w:rFonts w:ascii="Book Antiqua" w:hAnsi="Book Antiqua" w:eastAsia="Book Antiqua" w:cs="Book Antiqua"/>
          <w:b/>
          <w:bCs/>
          <w:color w:val="000000"/>
        </w:rPr>
        <w:t xml:space="preserve">Hsien Liu, </w:t>
      </w:r>
      <w:r>
        <w:rPr>
          <w:rFonts w:ascii="Book Antiqua" w:hAnsi="Book Antiqua" w:eastAsia="Book Antiqua" w:cs="Book Antiqua"/>
          <w:color w:val="000000"/>
        </w:rPr>
        <w:t>Division of General Surgery, Department of Surgery, Ditmanson Medical Foundation, Chia-Yi Christian Hospital, Chia-Yi</w:t>
      </w:r>
      <w:r>
        <w:rPr>
          <w:rFonts w:hint="eastAsia" w:ascii="Book Antiqua" w:hAnsi="Book Antiqua" w:cs="Book Antiqua"/>
          <w:color w:val="000000"/>
          <w:lang w:eastAsia="zh-CN"/>
        </w:rPr>
        <w:t xml:space="preserve"> </w:t>
      </w:r>
      <w:r>
        <w:rPr>
          <w:rFonts w:ascii="Book Antiqua" w:hAnsi="Book Antiqua" w:eastAsia="Book Antiqua" w:cs="Book Antiqua"/>
          <w:color w:val="000000"/>
        </w:rPr>
        <w:t>City 600, Taiwan</w:t>
      </w:r>
    </w:p>
    <w:p>
      <w:pPr>
        <w:spacing w:line="360" w:lineRule="auto"/>
        <w:jc w:val="both"/>
      </w:pPr>
    </w:p>
    <w:p>
      <w:pPr>
        <w:spacing w:line="360" w:lineRule="auto"/>
        <w:jc w:val="both"/>
      </w:pPr>
      <w:r>
        <w:rPr>
          <w:rFonts w:ascii="Book Antiqua" w:hAnsi="Book Antiqua" w:eastAsia="Book Antiqua" w:cs="Book Antiqua"/>
          <w:b/>
          <w:bCs/>
          <w:color w:val="000000"/>
        </w:rPr>
        <w:t xml:space="preserve">Cheng-Ta Hsieh, </w:t>
      </w:r>
      <w:r>
        <w:rPr>
          <w:rFonts w:ascii="Book Antiqua" w:hAnsi="Book Antiqua" w:eastAsia="Book Antiqua" w:cs="Book Antiqua"/>
          <w:color w:val="000000"/>
        </w:rPr>
        <w:t>Division of Neurosurgery, Department of Surgery, Sijhih Cathay General Hospital, New Taipei</w:t>
      </w:r>
      <w:r>
        <w:rPr>
          <w:rFonts w:hint="eastAsia" w:ascii="Book Antiqua" w:hAnsi="Book Antiqua" w:cs="Book Antiqua"/>
          <w:color w:val="000000"/>
          <w:lang w:eastAsia="zh-CN"/>
        </w:rPr>
        <w:t xml:space="preserve"> </w:t>
      </w:r>
      <w:r>
        <w:rPr>
          <w:rFonts w:ascii="Book Antiqua" w:hAnsi="Book Antiqua" w:eastAsia="Book Antiqua" w:cs="Book Antiqua"/>
          <w:color w:val="000000"/>
        </w:rPr>
        <w:t>22174, Taiwan</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Cheng-Ta Hsieh, </w:t>
      </w:r>
      <w:r>
        <w:rPr>
          <w:rFonts w:ascii="Book Antiqua" w:hAnsi="Book Antiqua" w:eastAsia="Book Antiqua" w:cs="Book Antiqua"/>
          <w:color w:val="000000"/>
        </w:rPr>
        <w:t>Department of Medicine, School of Medicine, Fu Jen Catholic University, New Taipei</w:t>
      </w:r>
      <w:r>
        <w:rPr>
          <w:rFonts w:hint="eastAsia" w:ascii="Book Antiqua" w:hAnsi="Book Antiqua" w:cs="Book Antiqua"/>
          <w:color w:val="000000"/>
          <w:lang w:eastAsia="zh-CN"/>
        </w:rPr>
        <w:t xml:space="preserve"> </w:t>
      </w:r>
      <w:r>
        <w:rPr>
          <w:rFonts w:ascii="Book Antiqua" w:hAnsi="Book Antiqua" w:eastAsia="Book Antiqua" w:cs="Book Antiqua"/>
          <w:color w:val="000000"/>
        </w:rPr>
        <w:t>City 24205, Taiwan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Cheng-Ta Hsieh, </w:t>
      </w:r>
      <w:r>
        <w:rPr>
          <w:rFonts w:ascii="Book Antiqua" w:hAnsi="Book Antiqua" w:eastAsia="Book Antiqua" w:cs="Book Antiqua"/>
          <w:color w:val="000000"/>
        </w:rPr>
        <w:t>School of Medicine, National Tsing Hua University, Hsinchu City 300044, Taiwan</w:t>
      </w:r>
    </w:p>
    <w:p>
      <w:pPr>
        <w:spacing w:line="360" w:lineRule="auto"/>
        <w:jc w:val="both"/>
      </w:pPr>
    </w:p>
    <w:p>
      <w:pPr>
        <w:spacing w:line="360" w:lineRule="auto"/>
        <w:jc w:val="both"/>
      </w:pPr>
      <w:r>
        <w:rPr>
          <w:rFonts w:ascii="Book Antiqua" w:hAnsi="Book Antiqua" w:eastAsia="Book Antiqua" w:cs="Book Antiqua"/>
          <w:b/>
          <w:bCs/>
          <w:color w:val="000000"/>
        </w:rPr>
        <w:t xml:space="preserve">Jui-Ming Sun, </w:t>
      </w:r>
      <w:r>
        <w:rPr>
          <w:rFonts w:ascii="Book Antiqua" w:hAnsi="Book Antiqua" w:eastAsia="Book Antiqua" w:cs="Book Antiqua"/>
          <w:color w:val="000000"/>
        </w:rPr>
        <w:t>Section of Neurosurgery, Department of Surgery, Ditmanson Medical Foundation, Chia-Yi Christian Hospital, Chiayi</w:t>
      </w:r>
      <w:r>
        <w:rPr>
          <w:rFonts w:hint="eastAsia" w:ascii="Book Antiqua" w:hAnsi="Book Antiqua" w:cs="Book Antiqua"/>
          <w:color w:val="000000"/>
          <w:lang w:eastAsia="zh-CN"/>
        </w:rPr>
        <w:t xml:space="preserve"> </w:t>
      </w:r>
      <w:r>
        <w:rPr>
          <w:rFonts w:ascii="Book Antiqua" w:hAnsi="Book Antiqua" w:eastAsia="Book Antiqua" w:cs="Book Antiqua"/>
          <w:color w:val="000000"/>
        </w:rPr>
        <w:t>City 600, Taiwan</w:t>
      </w:r>
    </w:p>
    <w:p>
      <w:pPr>
        <w:spacing w:line="360" w:lineRule="auto"/>
        <w:jc w:val="both"/>
      </w:pPr>
    </w:p>
    <w:p>
      <w:pPr>
        <w:spacing w:line="360" w:lineRule="auto"/>
        <w:jc w:val="both"/>
      </w:pPr>
      <w:r>
        <w:rPr>
          <w:rFonts w:ascii="Book Antiqua" w:hAnsi="Book Antiqua" w:eastAsia="Book Antiqua" w:cs="Book Antiqua"/>
          <w:b/>
          <w:bCs/>
          <w:color w:val="000000"/>
        </w:rPr>
        <w:t xml:space="preserve">Jui-Ming Sun, </w:t>
      </w:r>
      <w:r>
        <w:rPr>
          <w:rFonts w:ascii="Book Antiqua" w:hAnsi="Book Antiqua" w:eastAsia="Book Antiqua" w:cs="Book Antiqua"/>
          <w:color w:val="000000"/>
        </w:rPr>
        <w:t>Department of Biotechnology, Asia University, Taichung</w:t>
      </w:r>
      <w:r>
        <w:rPr>
          <w:rFonts w:hint="eastAsia" w:ascii="Book Antiqua" w:hAnsi="Book Antiqua" w:cs="Book Antiqua"/>
          <w:color w:val="000000"/>
          <w:lang w:eastAsia="zh-CN"/>
        </w:rPr>
        <w:t xml:space="preserve"> </w:t>
      </w:r>
      <w:r>
        <w:rPr>
          <w:rFonts w:ascii="Book Antiqua" w:hAnsi="Book Antiqua" w:eastAsia="Book Antiqua" w:cs="Book Antiqua"/>
          <w:color w:val="000000"/>
        </w:rPr>
        <w:t>City 41354,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Liu</w:t>
      </w:r>
      <w:r>
        <w:rPr>
          <w:rFonts w:hint="eastAsia" w:ascii="Book Antiqua" w:hAnsi="Book Antiqua" w:cs="Book Antiqua"/>
          <w:color w:val="000000"/>
          <w:lang w:eastAsia="zh-CN"/>
        </w:rPr>
        <w:t xml:space="preserve"> H</w:t>
      </w:r>
      <w:r>
        <w:rPr>
          <w:rFonts w:ascii="Book Antiqua" w:hAnsi="Book Antiqua" w:eastAsia="Book Antiqua" w:cs="Book Antiqua"/>
          <w:color w:val="000000"/>
        </w:rPr>
        <w:t xml:space="preserve"> and Hsieh CT drafted the manuscript; Liu</w:t>
      </w:r>
      <w:r>
        <w:rPr>
          <w:rFonts w:hint="eastAsia" w:ascii="Book Antiqua" w:hAnsi="Book Antiqua" w:cs="Book Antiqua"/>
          <w:color w:val="000000"/>
          <w:lang w:eastAsia="zh-CN"/>
        </w:rPr>
        <w:t xml:space="preserve"> H</w:t>
      </w:r>
      <w:r>
        <w:rPr>
          <w:rFonts w:ascii="Book Antiqua" w:hAnsi="Book Antiqua" w:eastAsia="Book Antiqua" w:cs="Book Antiqua"/>
          <w:color w:val="000000"/>
        </w:rPr>
        <w:t xml:space="preserve"> performed the surgery; Liu</w:t>
      </w:r>
      <w:r>
        <w:rPr>
          <w:rFonts w:hint="eastAsia" w:ascii="Book Antiqua" w:hAnsi="Book Antiqua" w:cs="Book Antiqua"/>
          <w:color w:val="000000"/>
          <w:lang w:eastAsia="zh-CN"/>
        </w:rPr>
        <w:t xml:space="preserve"> H</w:t>
      </w:r>
      <w:r>
        <w:rPr>
          <w:rFonts w:ascii="Book Antiqua" w:hAnsi="Book Antiqua" w:eastAsia="Book Antiqua" w:cs="Book Antiqua"/>
          <w:color w:val="000000"/>
        </w:rPr>
        <w:t xml:space="preserve"> collected the clinical data and performed the follow-up; Hsieh CT and Sun JM conducted the literature review;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Sun JM revised the manuscript critically for intellectual content;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Jui-Ming Sun, MD, Director, </w:t>
      </w:r>
      <w:r>
        <w:rPr>
          <w:rFonts w:ascii="Book Antiqua" w:hAnsi="Book Antiqua" w:eastAsia="Book Antiqua" w:cs="Book Antiqua"/>
          <w:color w:val="000000"/>
        </w:rPr>
        <w:t>Section of Neurosurgery, Department of Surgery, Ditmanson Medical Foundation, Chia-Yi Christian Hospital, No. 539 Zhongxiao Road, East District, Chiayi City 600, Taiwan. 07178@cych.org.tw</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17, 2021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Revised:</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October 20,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21,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June 6, 2022</w:t>
      </w:r>
    </w:p>
    <w:p>
      <w:pPr>
        <w:spacing w:line="360" w:lineRule="auto"/>
        <w:jc w:val="both"/>
        <w:sectPr>
          <w:footerReference r:id="rId3" w:type="default"/>
          <w:footerReference r:id="rId4" w:type="even"/>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lang w:eastAsia="zh-CN"/>
        </w:rPr>
      </w:pPr>
      <w:r>
        <w:rPr>
          <w:rFonts w:ascii="Book Antiqua" w:hAnsi="Book Antiqua" w:eastAsia="Book Antiqua" w:cs="Book Antiqua"/>
          <w:color w:val="000000"/>
        </w:rPr>
        <w:t>Pneumatosis intestinalis (PI), also known as intramural gas in the small intestine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is a rare condition encountered by patients with cancer after receiving chemotherapy.</w:t>
      </w:r>
    </w:p>
    <w:p>
      <w:pPr>
        <w:spacing w:line="360" w:lineRule="auto"/>
        <w:jc w:val="both"/>
        <w:rPr>
          <w:lang w:eastAsia="zh-CN"/>
        </w:rPr>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A 78-year-old man with a history of colorectal cancer developed epigastric pain and diarrhea after receiving combination chemotherapy of fluorouracil, leucovorin, irinotecan, and cetuximab. Abdomen radiography revealed intramural air in the small intestinal wall. A computed tomography scan of the abdomen revealed the features of PI with air expanding into the mesentery. After surgery, the patient remained symptom-free throughout a 9</w:t>
      </w:r>
      <w:r>
        <w:rPr>
          <w:rFonts w:hint="eastAsia" w:ascii="Book Antiqua" w:hAnsi="Book Antiqua" w:cs="Book Antiqua"/>
          <w:color w:val="000000"/>
          <w:lang w:eastAsia="zh-CN"/>
        </w:rPr>
        <w:t xml:space="preserve"> </w:t>
      </w:r>
      <w:r>
        <w:rPr>
          <w:rFonts w:ascii="Book Antiqua" w:hAnsi="Book Antiqua" w:eastAsia="Book Antiqua" w:cs="Book Antiqua"/>
          <w:color w:val="000000"/>
        </w:rPr>
        <w:t>mo follow-up period during which he received chemotherapy of fluorouracil, leucovorin, and irinotecan.</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Although chemotherapy-induced PI is rare among patients with cancer, the differential diagnosis of PI and fulminant complications (such as ischemia, infarction, and perforation of the gastrointestinal tract) should be conducted, in which case an urgent surgical intervention is required.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Pneumatosis intestinalis; Colorectal cancer; Chemotherapy; Surgery;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Liu H, Hsieh CT, Sun JM. Pneumatosis intestinalis after systemic chemotherapy for colorectal cancer: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bookmarkStart w:id="0" w:name="OLE_LINK3"/>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5337-5342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5337</w:t>
      </w:r>
      <w:r>
        <w:rPr>
          <w:rFonts w:hint="eastAsia" w:ascii="Book Antiqua" w:hAnsi="Book Antiqua" w:eastAsia="Book Antiqua" w:cs="Book Antiqua"/>
          <w:color w:val="000000"/>
        </w:rPr>
        <w:t>.htm</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5337</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Pneumatosis intestinalis (PI</w:t>
      </w:r>
      <w:r>
        <w:rPr>
          <w:rFonts w:hint="eastAsia" w:ascii="Book Antiqua" w:hAnsi="Book Antiqua" w:cs="Book Antiqua"/>
          <w:color w:val="000000"/>
          <w:lang w:eastAsia="zh-CN"/>
        </w:rPr>
        <w:t>)</w:t>
      </w:r>
      <w:r>
        <w:rPr>
          <w:rFonts w:ascii="Book Antiqua" w:hAnsi="Book Antiqua" w:eastAsia="Book Antiqua" w:cs="Book Antiqua"/>
          <w:color w:val="000000"/>
        </w:rPr>
        <w:t xml:space="preserve"> is a rare condition encountered by patients with cancer after receiving chemotherapy. The differential diagnosis of PI and chemotherapy-induced fulminant complications (such as ischemia, infarction, and perforation of the gastrointestinal tract) should be conducted, in which case an urgent surgical intervention is required.</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Pneumatosis intestinalis (PI), which is characterized by the presence of submucosal or subserosal gas in the intestinal wall, is an uncommon disease</w:t>
      </w:r>
      <w:r>
        <w:rPr>
          <w:rFonts w:ascii="Book Antiqua" w:hAnsi="Book Antiqua" w:eastAsia="Book Antiqua" w:cs="Book Antiqua"/>
          <w:color w:val="000000"/>
          <w:vertAlign w:val="superscript"/>
        </w:rPr>
        <w:t>[1]</w:t>
      </w:r>
      <w:r>
        <w:rPr>
          <w:rFonts w:ascii="Book Antiqua" w:hAnsi="Book Antiqua" w:eastAsia="Book Antiqua" w:cs="Book Antiqua"/>
          <w:color w:val="000000"/>
        </w:rPr>
        <w:t>. It can occur as an idiopathic disease, or more commonly, as a secondary condition associated with the coexistence of gastrointestinal tract disorders or respiratory system diseases such as chronic obstructive pulmonary disease, ischemic bowel disease, intestinal obstruction, necrotizing enterocolitis, immunodeficiency, bacterial infection, and viral infection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However, chemotherapy-induced PI is relatively rare in patients with cancer. Chemotherapy agent–induced cytotoxic damage and mucosal ischemia in the gastrointestinal tract may also lead to gastrointestinal perforation, necrotizing enterocolitis, or ischemic bowel</w:t>
      </w:r>
      <w:r>
        <w:rPr>
          <w:rFonts w:ascii="Book Antiqua" w:hAnsi="Book Antiqua" w:eastAsia="Book Antiqua" w:cs="Book Antiqua"/>
          <w:color w:val="000000"/>
          <w:vertAlign w:val="superscript"/>
        </w:rPr>
        <w:t>[4]</w:t>
      </w:r>
      <w:r>
        <w:rPr>
          <w:rFonts w:ascii="Book Antiqua" w:hAnsi="Book Antiqua" w:eastAsia="Book Antiqua" w:cs="Book Antiqua"/>
          <w:color w:val="000000"/>
        </w:rPr>
        <w:t>. Prompt surgical intervention may be required to manage the perforation or ischemic necrosis of the gastrointestinal tract</w:t>
      </w:r>
      <w:r>
        <w:rPr>
          <w:rFonts w:ascii="Book Antiqua" w:hAnsi="Book Antiqua" w:eastAsia="Book Antiqua" w:cs="Book Antiqua"/>
          <w:color w:val="000000"/>
          <w:vertAlign w:val="superscript"/>
        </w:rPr>
        <w:t>[3]</w:t>
      </w:r>
      <w:r>
        <w:rPr>
          <w:rFonts w:ascii="Book Antiqua" w:hAnsi="Book Antiqua" w:eastAsia="Book Antiqua" w:cs="Book Antiqua"/>
          <w:color w:val="000000"/>
        </w:rPr>
        <w:t>. Therefore, the differential diagnosis of PI and bowel perforation in patients with cancer after chemotherapy is essential for clinical physicians to treat acute abdomen</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Herein, we report a rare case of a patient with colon cancer who presented with acute abdomen after systemic chemotherapy. PI was diagnosed following radiological studies and surgical intervention. The possible mechanisms of PI in patients with cancer receiving chemotherapy are discussed and reviewed. </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lang w:eastAsia="zh-CN"/>
        </w:rPr>
      </w:pPr>
      <w:r>
        <w:rPr>
          <w:rFonts w:ascii="Book Antiqua" w:hAnsi="Book Antiqua" w:eastAsia="Book Antiqua" w:cs="Book Antiqua"/>
          <w:color w:val="000000"/>
        </w:rPr>
        <w:t>A 78-year-old man</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complained of acute lower abdominal pain with cramping pain and diarrhea lasting for 3 d.</w:t>
      </w:r>
      <w:r>
        <w:rPr>
          <w:rFonts w:hint="eastAsia" w:ascii="Book Antiqua" w:hAnsi="Book Antiqua" w:cs="Book Antiqua"/>
          <w:color w:val="000000"/>
          <w:lang w:eastAsia="zh-CN"/>
        </w:rPr>
        <w:t xml:space="preserve">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rPr>
          <w:lang w:eastAsia="zh-CN"/>
        </w:rPr>
      </w:pPr>
      <w:r>
        <w:rPr>
          <w:rFonts w:ascii="Book Antiqua" w:hAnsi="Book Antiqua" w:eastAsia="Book Antiqua" w:cs="Book Antiqua"/>
          <w:color w:val="000000"/>
        </w:rPr>
        <w:t>A 78-year-old man with a history of mucinous adenocarcinoma (pT3N2bcM1b, stage IVB) in the descending colon and upper rectum underwent laparoscopic radical left hemicolectomy, sigmoidectomy, and loop T-colostomy. He then underwent chemotherapy comprising fluorouracil, leucovorin, and irinotecan (FOLFIRI); intravenous injections of 400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mg/m</w:t>
      </w:r>
      <w:r>
        <w:rPr>
          <w:rFonts w:ascii="Book Antiqua" w:hAnsi="Book Antiqua" w:eastAsia="Book Antiqua" w:cs="Book Antiqua"/>
          <w:color w:val="000000"/>
          <w:szCs w:val="30"/>
          <w:vertAlign w:val="superscript"/>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fluorouracil,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mg/m</w:t>
      </w:r>
      <w:r>
        <w:rPr>
          <w:rFonts w:ascii="Book Antiqua" w:hAnsi="Book Antiqua" w:eastAsia="Book Antiqua" w:cs="Book Antiqua"/>
          <w:color w:val="000000"/>
          <w:szCs w:val="30"/>
          <w:vertAlign w:val="superscript"/>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leucovorin, and 120</w:t>
      </w:r>
      <w:r>
        <w:rPr>
          <w:rFonts w:hint="eastAsia" w:ascii="Book Antiqua" w:hAnsi="Book Antiqua" w:cs="Book Antiqua"/>
          <w:color w:val="000000"/>
          <w:lang w:eastAsia="zh-CN"/>
        </w:rPr>
        <w:t xml:space="preserve"> </w:t>
      </w:r>
      <w:r>
        <w:rPr>
          <w:rFonts w:ascii="Book Antiqua" w:hAnsi="Book Antiqua" w:eastAsia="Book Antiqua" w:cs="Book Antiqua"/>
          <w:color w:val="000000"/>
        </w:rPr>
        <w:t>mg/m</w:t>
      </w:r>
      <w:r>
        <w:rPr>
          <w:rFonts w:ascii="Book Antiqua" w:hAnsi="Book Antiqua" w:eastAsia="Book Antiqua" w:cs="Book Antiqua"/>
          <w:color w:val="000000"/>
          <w:szCs w:val="30"/>
          <w:vertAlign w:val="superscript"/>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irinotecan were administered every 2 wk. Starting from the second course of FOLFIRI treatment, the adjuvant chemo-agent (cetuximab) was administered at a dose of 500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One week after the third course of FOLFIRI combined with the second course of cetuximab chemotherapy, he</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complained of acute lower abdominal pain with cramping pain and diarrhea lasting for 3 days.</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a history of mucinous adenocarcinoma (pT3N2bcM1b, stage IVB) in the descending colon and upper rectum and underwent laparoscopic radical left hemicolectomy, sigmoidectomy, and loop T-colostomy.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rPr>
          <w:lang w:eastAsia="zh-CN"/>
        </w:rPr>
      </w:pPr>
      <w:r>
        <w:rPr>
          <w:rFonts w:ascii="Book Antiqua" w:hAnsi="Book Antiqua" w:eastAsia="Book Antiqua" w:cs="Book Antiqua"/>
          <w:color w:val="000000"/>
        </w:rPr>
        <w:t>The patient presented at our emergency department with a body temperature of 36.7 °C, heart rate of 127 bpm, blood pressure of 180/108 mmHg, and respiratory rate of 18 breaths per minute. A physical examination revealed abdominal distention, tenderness in the epigastric region, and hypoactive bowel sounds. No rebounding pain was observed. The colostomy exhibited good perfusion with brown soft stool passage.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Laboratory examinations revealed a white blood cell count of 1200/μL, platelet count of 245000/μL, hemoglobin level of 10.3 mg/dL, total bilirubin of 0.6 mg/dL, lipase level of 34 mg/dL, lactate level of 1.0 mg/dL, and C-reactive protein level of 146 mg/dL.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Abdominal radiograph revealed gas in the small intestinal wall (Figure 1). A computed tomography (CT) scan of the abdomen with contrast enhancement indicated intramural gas in the small intestine that expanded into the mesentery (Figure 2).</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A pathological examination confirmed the diagnosis of PI with focal ischemic and ulcerative changes.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lang w:eastAsia="zh-CN"/>
        </w:rPr>
      </w:pPr>
      <w:r>
        <w:rPr>
          <w:rFonts w:ascii="Book Antiqua" w:hAnsi="Book Antiqua" w:eastAsia="Book Antiqua" w:cs="Book Antiqua"/>
          <w:color w:val="000000"/>
        </w:rPr>
        <w:t>The patient underwent upper midline mini-laparotomy surgery because bowel perforation or necrotizing enterocolitis was suspected. During surgery, expanded intraluminal air spaces in the small intestine were observed (Figure 3). An approximately 50</w:t>
      </w:r>
      <w:r>
        <w:rPr>
          <w:rFonts w:hint="eastAsia" w:ascii="Book Antiqua" w:hAnsi="Book Antiqua" w:cs="Book Antiqua"/>
          <w:color w:val="000000"/>
          <w:lang w:eastAsia="zh-CN"/>
        </w:rPr>
        <w:t xml:space="preserve"> </w:t>
      </w:r>
      <w:r>
        <w:rPr>
          <w:rFonts w:ascii="Book Antiqua" w:hAnsi="Book Antiqua" w:eastAsia="Book Antiqua" w:cs="Book Antiqua"/>
          <w:color w:val="000000"/>
        </w:rPr>
        <w:t>cm length of the proximal jejunum exhibited severe edematous changes and compromised mild blood circulation without necrosis. Segmental resection of the small bowel with end-to-end anastomosis was performed.</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Postoperatively, the patient’s previously observed symptoms improved after 2 wk of parenteral nutrition, antibiotic treatment, and oxygen therapy. The FOLFIRI treatment for his colorectal cancer was started 3 mo after discharge. No recurrence of PI was observed during the 9</w:t>
      </w:r>
      <w:r>
        <w:rPr>
          <w:rFonts w:hint="eastAsia" w:ascii="Book Antiqua" w:hAnsi="Book Antiqua" w:cs="Book Antiqua"/>
          <w:color w:val="000000"/>
          <w:lang w:eastAsia="zh-CN"/>
        </w:rPr>
        <w:t xml:space="preserve"> </w:t>
      </w:r>
      <w:r>
        <w:rPr>
          <w:rFonts w:ascii="Book Antiqua" w:hAnsi="Book Antiqua" w:eastAsia="Book Antiqua" w:cs="Book Antiqua"/>
          <w:color w:val="000000"/>
        </w:rPr>
        <w:t>mo follow-up.</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PI was first reported radiologically in 1946 by </w:t>
      </w:r>
      <w:bookmarkStart w:id="1" w:name="OLE_LINK3088"/>
      <w:bookmarkStart w:id="2" w:name="OLE_LINK3089"/>
      <w:r>
        <w:rPr>
          <w:rFonts w:ascii="Book Antiqua" w:hAnsi="Book Antiqua" w:eastAsia="Book Antiqua" w:cs="Book Antiqua"/>
          <w:color w:val="000000"/>
        </w:rPr>
        <w:t>Lerner</w:t>
      </w:r>
      <w:bookmarkEnd w:id="1"/>
      <w:bookmarkEnd w:id="2"/>
      <w:r>
        <w:rPr>
          <w:rFonts w:ascii="Book Antiqua" w:hAnsi="Book Antiqua" w:eastAsia="Book Antiqua" w:cs="Book Antiqua"/>
          <w:color w:val="000000"/>
        </w:rPr>
        <w:t xml:space="preserve"> and Gazin</w:t>
      </w:r>
      <w:r>
        <w:rPr>
          <w:rFonts w:ascii="Book Antiqua" w:hAnsi="Book Antiqua" w:eastAsia="Book Antiqua" w:cs="Book Antiqua"/>
          <w:color w:val="000000"/>
          <w:vertAlign w:val="superscript"/>
        </w:rPr>
        <w:t>[5]</w:t>
      </w:r>
      <w:r>
        <w:rPr>
          <w:rFonts w:ascii="Book Antiqua" w:hAnsi="Book Antiqua" w:eastAsia="Book Antiqua" w:cs="Book Antiqua"/>
          <w:color w:val="000000"/>
        </w:rPr>
        <w:t>. It is an uncommon disease characterized by the presence of gas and free air in the extraluminal spaces of the intestines from the mucosa to mesenteric vessels</w:t>
      </w:r>
      <w:r>
        <w:rPr>
          <w:rFonts w:ascii="Book Antiqua" w:hAnsi="Book Antiqua" w:eastAsia="Book Antiqua" w:cs="Book Antiqua"/>
          <w:color w:val="000000"/>
          <w:vertAlign w:val="superscript"/>
        </w:rPr>
        <w:t>[3]</w:t>
      </w:r>
      <w:r>
        <w:rPr>
          <w:rFonts w:ascii="Book Antiqua" w:hAnsi="Book Antiqua" w:eastAsia="Book Antiqua" w:cs="Book Antiqua"/>
          <w:color w:val="000000"/>
        </w:rPr>
        <w:t>. Several terms have been used to describe PI, including pneumatosis cystoides intestinalis, intramural gas, pneumatosis coli, pseudolipomatosis, intestinal emphysema, bullous emphysema of the intestine, and lymphopneumatosis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incidence of PI is 0.03% according to the literature; however, this is believed to be an underestimation because most patients are asymptomatic and, consequently, do not receive clinical attention</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567"/>
        <w:jc w:val="both"/>
      </w:pPr>
      <w:r>
        <w:rPr>
          <w:rFonts w:ascii="Book Antiqua" w:hAnsi="Book Antiqua" w:eastAsia="Book Antiqua" w:cs="Book Antiqua"/>
          <w:color w:val="000000"/>
        </w:rPr>
        <w:t>PI is a radiological finding and not a diagnosis</w:t>
      </w:r>
      <w:r>
        <w:rPr>
          <w:rFonts w:ascii="Book Antiqua" w:hAnsi="Book Antiqua" w:eastAsia="Book Antiqua" w:cs="Book Antiqua"/>
          <w:color w:val="000000"/>
          <w:vertAlign w:val="superscript"/>
        </w:rPr>
        <w:t>[7]</w:t>
      </w:r>
      <w:r>
        <w:rPr>
          <w:rFonts w:ascii="Book Antiqua" w:hAnsi="Book Antiqua" w:eastAsia="Book Antiqua" w:cs="Book Antiqua"/>
          <w:color w:val="000000"/>
        </w:rPr>
        <w:t>, and it is commonly classified as primary and secondary forms</w:t>
      </w:r>
      <w:r>
        <w:rPr>
          <w:rFonts w:ascii="Book Antiqua" w:hAnsi="Book Antiqua" w:eastAsia="Book Antiqua" w:cs="Book Antiqua"/>
          <w:color w:val="000000"/>
          <w:vertAlign w:val="superscript"/>
        </w:rPr>
        <w:t>[8]</w:t>
      </w:r>
      <w:r>
        <w:rPr>
          <w:rFonts w:ascii="Book Antiqua" w:hAnsi="Book Antiqua" w:eastAsia="Book Antiqua" w:cs="Book Antiqua"/>
          <w:color w:val="000000"/>
        </w:rPr>
        <w:t>. Secondary PI is found in approximately 80% to 85% of patients and is often associated with bowel ischemia, trauma, inflammatory bowel diseases, chronic obstructive pulmonary disorder, use of specific medications, immunocompromised disease, and immunosuppressive therapy</w:t>
      </w:r>
      <w:r>
        <w:rPr>
          <w:rFonts w:ascii="Book Antiqua" w:hAnsi="Book Antiqua" w:eastAsia="Book Antiqua" w:cs="Book Antiqua"/>
          <w:color w:val="000000"/>
          <w:vertAlign w:val="superscript"/>
        </w:rPr>
        <w:t>[8,9]</w:t>
      </w:r>
      <w:r>
        <w:rPr>
          <w:rFonts w:ascii="Book Antiqua" w:hAnsi="Book Antiqua" w:eastAsia="Book Antiqua" w:cs="Book Antiqua"/>
          <w:color w:val="000000"/>
        </w:rPr>
        <w:t>. Although the exact pathogenesis of PI remains unclear, four categories are used to describe the pathogenesis of PI, namely, bowel necrosis, mucosal disruption, increased mucosal permeability, and pulmonary disease</w:t>
      </w:r>
      <w:r>
        <w:rPr>
          <w:rFonts w:ascii="Book Antiqua" w:hAnsi="Book Antiqua" w:eastAsia="Book Antiqua" w:cs="Book Antiqua"/>
          <w:color w:val="000000"/>
          <w:vertAlign w:val="superscript"/>
        </w:rPr>
        <w:t>[10]</w:t>
      </w:r>
      <w:r>
        <w:rPr>
          <w:rFonts w:ascii="Book Antiqua" w:hAnsi="Book Antiqua" w:eastAsia="Book Antiqua" w:cs="Book Antiqua"/>
          <w:color w:val="000000"/>
        </w:rPr>
        <w:t>. Mechanical and bacterial theories have been proposed to explain the development of PI</w:t>
      </w:r>
      <w:r>
        <w:rPr>
          <w:rFonts w:ascii="Book Antiqua" w:hAnsi="Book Antiqua" w:eastAsia="Book Antiqua" w:cs="Book Antiqua"/>
          <w:color w:val="000000"/>
          <w:vertAlign w:val="superscript"/>
        </w:rPr>
        <w:t>[6,9]</w:t>
      </w:r>
      <w:r>
        <w:rPr>
          <w:rFonts w:ascii="Book Antiqua" w:hAnsi="Book Antiqua" w:eastAsia="Book Antiqua" w:cs="Book Antiqua"/>
          <w:color w:val="000000"/>
        </w:rPr>
        <w:t>. A mechanical theory suggests that a defect in mucosal integrity allows for gas to be transmitted through the dissection of submucosal or subserosal layers and that peristalsis then propagates the gas to distant sites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 bacterial theory proposes that some intramural gas is normally present in the gastrointestinal tract and that the overgrowth of normal bacteria (such as </w:t>
      </w:r>
      <w:r>
        <w:rPr>
          <w:rFonts w:ascii="Book Antiqua" w:hAnsi="Book Antiqua" w:eastAsia="Book Antiqua" w:cs="Book Antiqua"/>
          <w:i/>
          <w:color w:val="000000"/>
        </w:rPr>
        <w:t>Escherichia coli</w:t>
      </w:r>
      <w:r>
        <w:rPr>
          <w:rFonts w:ascii="Book Antiqua" w:hAnsi="Book Antiqua" w:eastAsia="Book Antiqua" w:cs="Book Antiqua"/>
          <w:color w:val="000000"/>
        </w:rPr>
        <w:t xml:space="preserve"> and </w:t>
      </w:r>
      <w:r>
        <w:rPr>
          <w:rFonts w:ascii="Book Antiqua" w:hAnsi="Book Antiqua" w:eastAsia="Book Antiqua" w:cs="Book Antiqua"/>
          <w:i/>
          <w:color w:val="000000"/>
        </w:rPr>
        <w:t>Clostridium difficile</w:t>
      </w:r>
      <w:r>
        <w:rPr>
          <w:rFonts w:ascii="Book Antiqua" w:hAnsi="Book Antiqua" w:eastAsia="Book Antiqua" w:cs="Book Antiqua"/>
          <w:color w:val="000000"/>
        </w:rPr>
        <w:t xml:space="preserve">) leads to bacterial invasion of the bowel wall and lymphatic system through mucosal defects and the subsequent production of excess gas. </w:t>
      </w:r>
    </w:p>
    <w:p>
      <w:pPr>
        <w:spacing w:line="360" w:lineRule="auto"/>
        <w:ind w:firstLine="567"/>
        <w:jc w:val="both"/>
      </w:pPr>
      <w:r>
        <w:rPr>
          <w:rFonts w:ascii="Book Antiqua" w:hAnsi="Book Antiqua" w:eastAsia="Book Antiqua" w:cs="Book Antiqua"/>
          <w:color w:val="000000"/>
        </w:rPr>
        <w:t>Chemotherapy-induced PI in patients with cancer is rare</w:t>
      </w:r>
      <w:r>
        <w:rPr>
          <w:rFonts w:ascii="Book Antiqua" w:hAnsi="Book Antiqua" w:eastAsia="Book Antiqua" w:cs="Book Antiqua"/>
          <w:color w:val="000000"/>
          <w:vertAlign w:val="superscript"/>
        </w:rPr>
        <w:t>[4,11-15]</w:t>
      </w:r>
      <w:r>
        <w:rPr>
          <w:rFonts w:ascii="Book Antiqua" w:hAnsi="Book Antiqua" w:eastAsia="Book Antiqua" w:cs="Book Antiqua"/>
          <w:color w:val="000000"/>
        </w:rPr>
        <w:t>. Many cytotoxic chemotherapeutic agents have been reported to be associated with PI; they include cyclophosphamide, cytarabine, vincristine, doxorubicin, daunorubicin, etoposide, docetaxel, irinotecan, cisplatin, methotrexate, fluorouracil, paclitaxel, tyrosine kinase inhibitors (imatinib, sunitinib, sorafenib, and erlotinib), bevacizumab (a monoclonal body to vascular endothelial growth factor), and cetuximab (a monoclonal antibody to epidermal growth factor receptor)</w:t>
      </w:r>
      <w:r>
        <w:rPr>
          <w:rFonts w:ascii="Book Antiqua" w:hAnsi="Book Antiqua" w:eastAsia="Book Antiqua" w:cs="Book Antiqua"/>
          <w:color w:val="000000"/>
          <w:vertAlign w:val="superscript"/>
        </w:rPr>
        <w:t>[11,13-16]</w:t>
      </w:r>
      <w:r>
        <w:rPr>
          <w:rFonts w:ascii="Book Antiqua" w:hAnsi="Book Antiqua" w:eastAsia="Book Antiqua" w:cs="Book Antiqua"/>
          <w:color w:val="000000"/>
        </w:rPr>
        <w:t>. This may contribute to cytotoxic damage, loss of mucosal integrity, mucosal ischemia, and the development of PI. Although four chemoagents (fluorouracil, leucovorin, irinotecan, and cetuximab) might have contributed to the development of PI in our patient, no recurrence of PI was observed after subsequent FOLFIRI treatment without cetuximab. This suggests that cetuximab played an essential role in the development of PI. The perforation of the gastrointestinal tract is also a rare lift-threatening complication (due to bowel toxicity) that may occur after molecular-targeted chemotherapy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Therefore, the differential diagnosis of PI and bowel perforation is crucial to the management of acute abdomen in oncologic patients receiving systemic chemotherapy, such as in the case of our patient. </w:t>
      </w:r>
    </w:p>
    <w:p>
      <w:pPr>
        <w:spacing w:line="360" w:lineRule="auto"/>
        <w:ind w:firstLine="567"/>
        <w:jc w:val="both"/>
      </w:pPr>
      <w:r>
        <w:rPr>
          <w:rFonts w:ascii="Book Antiqua" w:hAnsi="Book Antiqua" w:eastAsia="Book Antiqua" w:cs="Book Antiqua"/>
          <w:color w:val="000000"/>
        </w:rPr>
        <w:t>The clinical presentation of patients with PI includes being asymptomatic, vomiting, weight loss, constipation, hematochezia, tenesmus, diarrhea, abdominal pain, and life-threatening peritoneal symptoms such as pneumoperitoneum, intestinal ischemia, peritonitis, and bowel obstruction</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main radiological feature of PI is the presence of circular, linear, or curvilinear gas within the wall of the gastrointestinal tract on plain radiographs or CT scans</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CT scan is the most sensitive imaging tool for differentiating intraluminal air from the submucosal layer and identifying additional causes of PI, which include portal air, colonic tissue stranding, and dilated bowel. In a review of 37426 abdominal and pelvic CT scans, Hawn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detected PI in 108 (0.3%) patients. In another review involving 28326 abdominal CT scans, Morris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discovered that out of 104 (0.37%) patients who were diagnosed as having pneumatosis, only 23% had observable PI on their plain radiographs. Cyst-like gas collection is usually benign, whereas linear collection tends to be associated with bowel infarction</w:t>
      </w:r>
      <w:r>
        <w:rPr>
          <w:rFonts w:ascii="Book Antiqua" w:hAnsi="Book Antiqua" w:eastAsia="Book Antiqua" w:cs="Book Antiqua"/>
          <w:color w:val="000000"/>
          <w:vertAlign w:val="superscript"/>
        </w:rPr>
        <w:t>[10,18]</w:t>
      </w:r>
      <w:r>
        <w:rPr>
          <w:rFonts w:ascii="Book Antiqua" w:hAnsi="Book Antiqua" w:eastAsia="Book Antiqua" w:cs="Book Antiqua"/>
          <w:color w:val="000000"/>
        </w:rPr>
        <w:t xml:space="preserve">. However, the recognition of these patterns should not be the sole basis for differentiating benign and fulminant conditions.   </w:t>
      </w:r>
    </w:p>
    <w:p>
      <w:pPr>
        <w:spacing w:line="360" w:lineRule="auto"/>
        <w:ind w:firstLine="567"/>
        <w:jc w:val="both"/>
      </w:pPr>
      <w:r>
        <w:rPr>
          <w:rFonts w:ascii="Book Antiqua" w:hAnsi="Book Antiqua" w:eastAsia="Book Antiqua" w:cs="Book Antiqua"/>
          <w:color w:val="000000"/>
        </w:rPr>
        <w:t>A consensus regarding the appropriate management of PI has not been reached due to the difficulties of delineating the underlying etiologies</w:t>
      </w:r>
      <w:r>
        <w:rPr>
          <w:rFonts w:ascii="Book Antiqua" w:hAnsi="Book Antiqua" w:eastAsia="Book Antiqua" w:cs="Book Antiqua"/>
          <w:color w:val="000000"/>
          <w:vertAlign w:val="superscript"/>
        </w:rPr>
        <w:t>[17]</w:t>
      </w:r>
      <w:r>
        <w:rPr>
          <w:rFonts w:ascii="Book Antiqua" w:hAnsi="Book Antiqua" w:eastAsia="Book Antiqua" w:cs="Book Antiqua"/>
          <w:color w:val="000000"/>
        </w:rPr>
        <w:t>. An initial clarification to differentiate life-threatening conditions from nonurgent ones is crucial</w:t>
      </w:r>
      <w:r>
        <w:rPr>
          <w:rFonts w:ascii="Book Antiqua" w:hAnsi="Book Antiqua" w:eastAsia="Book Antiqua" w:cs="Book Antiqua"/>
          <w:color w:val="000000"/>
          <w:vertAlign w:val="superscript"/>
        </w:rPr>
        <w:t>[8]</w:t>
      </w:r>
      <w:r>
        <w:rPr>
          <w:rFonts w:ascii="Book Antiqua" w:hAnsi="Book Antiqua" w:eastAsia="Book Antiqua" w:cs="Book Antiqua"/>
          <w:color w:val="000000"/>
        </w:rPr>
        <w:t>. Approximately 50% of patients with PI can be successfully managed nonoperatively. Because PI indicates that necrotic tissue is allowing gas to enter the extraluminal space, ischemia or infarction of the gastrointestinal tract system should be suspected, in which case an urgent surgical intervention is required. Based on the underlying diseases leading to PI, surgical procedures such as bowel resection, lysis of adhesion, bowel biopsies, or nontherapeutic exploratory laparotomy should be performed. However, patients with concomitant PI and portal venous gas tend to have bowel ischemia, which is associated with a high mortality rate. Patients with a serum lactic acid level of more than 2 mmol/L at the time of diagnosis have an overall mortality rate of more than 80%</w:t>
      </w:r>
      <w:r>
        <w:rPr>
          <w:rFonts w:ascii="Book Antiqua" w:hAnsi="Book Antiqua" w:eastAsia="Book Antiqua" w:cs="Book Antiqua"/>
          <w:color w:val="000000"/>
          <w:vertAlign w:val="superscript"/>
        </w:rPr>
        <w:t>[18]</w:t>
      </w:r>
      <w:r>
        <w:rPr>
          <w:rFonts w:ascii="Book Antiqua" w:hAnsi="Book Antiqua" w:eastAsia="Book Antiqua" w:cs="Book Antiqua"/>
          <w:color w:val="000000"/>
        </w:rPr>
        <w:t>. Patients with no signs of peritonism or sepsis can usually be managed conservatively</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Therefore, the occurrence of PI should trigger a clinical physician to investigate the possible causes, ensure a correct diagnosis, and develop an appropriate management protocol.  </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rPr>
          <w:lang w:eastAsia="zh-CN"/>
        </w:rPr>
      </w:pPr>
      <w:r>
        <w:rPr>
          <w:rFonts w:ascii="Book Antiqua" w:hAnsi="Book Antiqua" w:eastAsia="Book Antiqua" w:cs="Book Antiqua"/>
          <w:color w:val="000000"/>
        </w:rPr>
        <w:t>PI is a radiologic sign and not a diagnosis. Although chemotherapy-induced PI is rare among patients with cancer, the differential diagnosis of PI and life-threatening conditions (such as ischemia, infarction, and perforation of the gastrointestinal tract) should be conducted for patients who present with acute abdomen.</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bookmarkStart w:id="3" w:name="OLE_LINK3091"/>
      <w:bookmarkStart w:id="4" w:name="OLE_LINK3090"/>
      <w:r>
        <w:rPr>
          <w:rFonts w:ascii="Book Antiqua" w:hAnsi="Book Antiqua" w:eastAsia="Book Antiqua" w:cs="Book Antiqua"/>
          <w:color w:val="000000"/>
        </w:rPr>
        <w:t xml:space="preserve">1 </w:t>
      </w:r>
      <w:r>
        <w:rPr>
          <w:rFonts w:ascii="Book Antiqua" w:hAnsi="Book Antiqua" w:eastAsia="Book Antiqua" w:cs="Book Antiqua"/>
          <w:b/>
          <w:bCs/>
          <w:color w:val="000000"/>
        </w:rPr>
        <w:t>Im J</w:t>
      </w:r>
      <w:r>
        <w:rPr>
          <w:rFonts w:ascii="Book Antiqua" w:hAnsi="Book Antiqua" w:eastAsia="Book Antiqua" w:cs="Book Antiqua"/>
          <w:color w:val="000000"/>
        </w:rPr>
        <w:t>, Anjum F. Pneumatosis Intestinalis. In: StatPearls [Internet]. Treasure Island (FL): StatPearls Publishing; 2022 Jan.</w:t>
      </w:r>
      <w:r>
        <w:rPr>
          <w:rFonts w:hint="eastAsia" w:ascii="Book Antiqua" w:hAnsi="Book Antiqua" w:eastAsia="Book Antiqua" w:cs="Book Antiqua"/>
          <w:color w:val="000000"/>
        </w:rPr>
        <w:t xml:space="preserve"> </w:t>
      </w:r>
      <w:r>
        <w:rPr>
          <w:rFonts w:ascii="Book Antiqua" w:hAnsi="Book Antiqua" w:eastAsia="Book Antiqua" w:cs="Book Antiqua"/>
          <w:color w:val="000000"/>
        </w:rPr>
        <w:t>2021 [PMID: 33232051]</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Berritto D</w:t>
      </w:r>
      <w:r>
        <w:rPr>
          <w:rFonts w:ascii="Book Antiqua" w:hAnsi="Book Antiqua" w:eastAsia="Book Antiqua" w:cs="Book Antiqua"/>
          <w:color w:val="000000"/>
        </w:rPr>
        <w:t xml:space="preserve">, Crincoli R, Iacobellis F, Iasiello F, Pizza NL, Lassandro F, Musto L, Grassi R. Primary pneumatosis intestinalis of small bowel: a case of a rare disease. </w:t>
      </w:r>
      <w:r>
        <w:rPr>
          <w:rFonts w:ascii="Book Antiqua" w:hAnsi="Book Antiqua" w:eastAsia="Book Antiqua" w:cs="Book Antiqua"/>
          <w:i/>
          <w:iCs/>
          <w:color w:val="000000"/>
        </w:rPr>
        <w:t>Case Rep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2014</w:t>
      </w:r>
      <w:r>
        <w:rPr>
          <w:rFonts w:ascii="Book Antiqua" w:hAnsi="Book Antiqua" w:eastAsia="Book Antiqua" w:cs="Book Antiqua"/>
          <w:color w:val="000000"/>
        </w:rPr>
        <w:t>: 350312 [PMID: 25478280 DOI: 10.1155/2014/350312]</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Medgyesy K</w:t>
      </w:r>
      <w:r>
        <w:rPr>
          <w:rFonts w:ascii="Book Antiqua" w:hAnsi="Book Antiqua" w:eastAsia="Book Antiqua" w:cs="Book Antiqua"/>
          <w:color w:val="000000"/>
        </w:rPr>
        <w:t xml:space="preserve">, Trifonova R, Bevington T, Tadros M. Pneumatosis Intestinalis: To Biopsy or Not to Biopsy?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e12140 [PMID: 33489552 DOI: 10.7759/cureus.12140]</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Gray EJ</w:t>
      </w:r>
      <w:r>
        <w:rPr>
          <w:rFonts w:ascii="Book Antiqua" w:hAnsi="Book Antiqua" w:eastAsia="Book Antiqua" w:cs="Book Antiqua"/>
          <w:color w:val="000000"/>
        </w:rPr>
        <w:t xml:space="preserve">, Darvishzadeh A, Sharma A, Ganeshan D, Faria SC, Lall C. Cancer therapy-related complications in the bowel and mesentery: an imaging perspective.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2016; </w:t>
      </w:r>
      <w:r>
        <w:rPr>
          <w:rFonts w:ascii="Book Antiqua" w:hAnsi="Book Antiqua" w:eastAsia="Book Antiqua" w:cs="Book Antiqua"/>
          <w:b/>
          <w:bCs/>
          <w:color w:val="000000"/>
        </w:rPr>
        <w:t>41</w:t>
      </w:r>
      <w:r>
        <w:rPr>
          <w:rFonts w:ascii="Book Antiqua" w:hAnsi="Book Antiqua" w:eastAsia="Book Antiqua" w:cs="Book Antiqua"/>
          <w:color w:val="000000"/>
        </w:rPr>
        <w:t>: 2031-2047 [PMID: 27277528 DOI: 10.1007/s00261-016-0799-3]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Lerner HH</w:t>
      </w:r>
      <w:r>
        <w:rPr>
          <w:rFonts w:ascii="Book Antiqua" w:hAnsi="Book Antiqua" w:eastAsia="Book Antiqua" w:cs="Book Antiqua"/>
          <w:color w:val="000000"/>
        </w:rPr>
        <w:t xml:space="preserve">, Gazin AI. Pneumatosis intestinalis; its roentgenologic diagnosis. </w:t>
      </w:r>
      <w:r>
        <w:rPr>
          <w:rFonts w:ascii="Book Antiqua" w:hAnsi="Book Antiqua" w:eastAsia="Book Antiqua" w:cs="Book Antiqua"/>
          <w:i/>
          <w:iCs/>
          <w:color w:val="000000"/>
        </w:rPr>
        <w:t>Am J Roentgenol Radium Ther</w:t>
      </w:r>
      <w:r>
        <w:rPr>
          <w:rFonts w:ascii="Book Antiqua" w:hAnsi="Book Antiqua" w:eastAsia="Book Antiqua" w:cs="Book Antiqua"/>
          <w:color w:val="000000"/>
        </w:rPr>
        <w:t xml:space="preserve"> 1946; </w:t>
      </w:r>
      <w:r>
        <w:rPr>
          <w:rFonts w:ascii="Book Antiqua" w:hAnsi="Book Antiqua" w:eastAsia="Book Antiqua" w:cs="Book Antiqua"/>
          <w:b/>
          <w:bCs/>
          <w:color w:val="000000"/>
        </w:rPr>
        <w:t>56</w:t>
      </w:r>
      <w:r>
        <w:rPr>
          <w:rFonts w:ascii="Book Antiqua" w:hAnsi="Book Antiqua" w:eastAsia="Book Antiqua" w:cs="Book Antiqua"/>
          <w:color w:val="000000"/>
        </w:rPr>
        <w:t>: 464-469 [PMID: 21000818]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Kang G</w:t>
      </w:r>
      <w:r>
        <w:rPr>
          <w:rFonts w:ascii="Book Antiqua" w:hAnsi="Book Antiqua" w:eastAsia="Book Antiqua" w:cs="Book Antiqua"/>
          <w:color w:val="000000"/>
        </w:rPr>
        <w:t xml:space="preserve">. Benign pneumatosis intestinalis: Dilemma for primary care clinicians. </w:t>
      </w:r>
      <w:r>
        <w:rPr>
          <w:rFonts w:ascii="Book Antiqua" w:hAnsi="Book Antiqua" w:eastAsia="Book Antiqua" w:cs="Book Antiqua"/>
          <w:i/>
          <w:iCs/>
          <w:color w:val="000000"/>
        </w:rPr>
        <w:t>Can Fam Physician</w:t>
      </w:r>
      <w:r>
        <w:rPr>
          <w:rFonts w:ascii="Book Antiqua" w:hAnsi="Book Antiqua" w:eastAsia="Book Antiqua" w:cs="Book Antiqua"/>
          <w:color w:val="000000"/>
        </w:rPr>
        <w:t xml:space="preserve"> 2017; </w:t>
      </w:r>
      <w:r>
        <w:rPr>
          <w:rFonts w:ascii="Book Antiqua" w:hAnsi="Book Antiqua" w:eastAsia="Book Antiqua" w:cs="Book Antiqua"/>
          <w:b/>
          <w:bCs/>
          <w:color w:val="000000"/>
        </w:rPr>
        <w:t>63</w:t>
      </w:r>
      <w:r>
        <w:rPr>
          <w:rFonts w:ascii="Book Antiqua" w:hAnsi="Book Antiqua" w:eastAsia="Book Antiqua" w:cs="Book Antiqua"/>
          <w:color w:val="000000"/>
        </w:rPr>
        <w:t>: 766-768 [PMID: 29025802]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Sassi C</w:t>
      </w:r>
      <w:r>
        <w:rPr>
          <w:rFonts w:ascii="Book Antiqua" w:hAnsi="Book Antiqua" w:eastAsia="Book Antiqua" w:cs="Book Antiqua"/>
          <w:color w:val="000000"/>
        </w:rPr>
        <w:t xml:space="preserve">, Pasquali M, Facchini G, Bazzocchi A, Battista G. Pneumatosis intestinalis in oncologic patients: when should the radiologist not be afraid? </w:t>
      </w:r>
      <w:r>
        <w:rPr>
          <w:rFonts w:ascii="Book Antiqua" w:hAnsi="Book Antiqua" w:eastAsia="Book Antiqua" w:cs="Book Antiqua"/>
          <w:i/>
          <w:iCs/>
          <w:color w:val="000000"/>
        </w:rPr>
        <w:t>BJR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3</w:t>
      </w:r>
      <w:r>
        <w:rPr>
          <w:rFonts w:ascii="Book Antiqua" w:hAnsi="Book Antiqua" w:eastAsia="Book Antiqua" w:cs="Book Antiqua"/>
          <w:color w:val="000000"/>
        </w:rPr>
        <w:t>: 20160017 [PMID: 30363314 DOI:10.1259/bjrcr.20160017]</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Donovan S</w:t>
      </w:r>
      <w:r>
        <w:rPr>
          <w:rFonts w:ascii="Book Antiqua" w:hAnsi="Book Antiqua" w:eastAsia="Book Antiqua" w:cs="Book Antiqua"/>
          <w:color w:val="000000"/>
        </w:rPr>
        <w:t xml:space="preserve">, Cernigliaro J, Dawson N. Pneumatosis intestinalis: a case report and approach to management. </w:t>
      </w:r>
      <w:r>
        <w:rPr>
          <w:rFonts w:ascii="Book Antiqua" w:hAnsi="Book Antiqua" w:eastAsia="Book Antiqua" w:cs="Book Antiqua"/>
          <w:i/>
          <w:iCs/>
          <w:color w:val="000000"/>
        </w:rPr>
        <w:t>Case Rep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2011</w:t>
      </w:r>
      <w:r>
        <w:rPr>
          <w:rFonts w:ascii="Book Antiqua" w:hAnsi="Book Antiqua" w:eastAsia="Book Antiqua" w:cs="Book Antiqua"/>
          <w:color w:val="000000"/>
        </w:rPr>
        <w:t>: 571387 [PMID: 21331331 DOI: 10.1155/2011/571387]</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Jenkins M</w:t>
      </w:r>
      <w:r>
        <w:rPr>
          <w:rFonts w:ascii="Book Antiqua" w:hAnsi="Book Antiqua" w:eastAsia="Book Antiqua" w:cs="Book Antiqua"/>
          <w:color w:val="000000"/>
        </w:rPr>
        <w:t xml:space="preserve">, Courtney H, Pope E, Williamson J. A case report and approach to management in pneumatosis intestinalis. </w:t>
      </w:r>
      <w:r>
        <w:rPr>
          <w:rFonts w:ascii="Book Antiqua" w:hAnsi="Book Antiqua" w:eastAsia="Book Antiqua" w:cs="Book Antiqua"/>
          <w:i/>
          <w:iCs/>
          <w:color w:val="000000"/>
        </w:rPr>
        <w:t>Ann Med Surg (Lond)</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25-27 [PMID: 29021898 DOI: 10.1016/j.amsu.2017.09.010]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Pear BL</w:t>
      </w:r>
      <w:r>
        <w:rPr>
          <w:rFonts w:ascii="Book Antiqua" w:hAnsi="Book Antiqua" w:eastAsia="Book Antiqua" w:cs="Book Antiqua"/>
          <w:color w:val="000000"/>
        </w:rPr>
        <w:t xml:space="preserve">. Pneumatosis intestinalis: a review.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1998; </w:t>
      </w:r>
      <w:r>
        <w:rPr>
          <w:rFonts w:ascii="Book Antiqua" w:hAnsi="Book Antiqua" w:eastAsia="Book Antiqua" w:cs="Book Antiqua"/>
          <w:b/>
          <w:bCs/>
          <w:color w:val="000000"/>
        </w:rPr>
        <w:t>207</w:t>
      </w:r>
      <w:r>
        <w:rPr>
          <w:rFonts w:ascii="Book Antiqua" w:hAnsi="Book Antiqua" w:eastAsia="Book Antiqua" w:cs="Book Antiqua"/>
          <w:color w:val="000000"/>
        </w:rPr>
        <w:t>: 13-19 [PMID: 9530294 DOI: 10.1148/radiology.207.1.9530294]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Mimatsu K</w:t>
      </w:r>
      <w:r>
        <w:rPr>
          <w:rFonts w:ascii="Book Antiqua" w:hAnsi="Book Antiqua" w:eastAsia="Book Antiqua" w:cs="Book Antiqua"/>
          <w:color w:val="000000"/>
        </w:rPr>
        <w:t xml:space="preserve">, Oida T, Kawasaki A, Kano H, Kuboi Y, Aramaki O, Amano S. Pneumatosis cystoides intestinalis after fluorouracil chemotherapy for rectal cancer.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14</w:t>
      </w:r>
      <w:r>
        <w:rPr>
          <w:rFonts w:ascii="Book Antiqua" w:hAnsi="Book Antiqua" w:eastAsia="Book Antiqua" w:cs="Book Antiqua"/>
          <w:color w:val="000000"/>
        </w:rPr>
        <w:t>: 3273-3275 [PMID: 18506940 DOI: 10.3748/wjg.14.3273]</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Shinagare AB</w:t>
      </w:r>
      <w:r>
        <w:rPr>
          <w:rFonts w:ascii="Book Antiqua" w:hAnsi="Book Antiqua" w:eastAsia="Book Antiqua" w:cs="Book Antiqua"/>
          <w:color w:val="000000"/>
        </w:rPr>
        <w:t xml:space="preserve">, Howard SA, Krajewski KM, Zukotynski KA, Jagannathan JP, Ramaiya NH. Pneumatosis intestinalis and bowel perforation associated with molecular targeted therapy: an emerging problem and the role of radiologists in its management.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199</w:t>
      </w:r>
      <w:r>
        <w:rPr>
          <w:rFonts w:ascii="Book Antiqua" w:hAnsi="Book Antiqua" w:eastAsia="Book Antiqua" w:cs="Book Antiqua"/>
          <w:color w:val="000000"/>
        </w:rPr>
        <w:t>: 1259-1265 [PMID: 23169717 DOI: 10.2214/AJR.12.8782]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Yoon S</w:t>
      </w:r>
      <w:r>
        <w:rPr>
          <w:rFonts w:ascii="Book Antiqua" w:hAnsi="Book Antiqua" w:eastAsia="Book Antiqua" w:cs="Book Antiqua"/>
          <w:color w:val="000000"/>
        </w:rPr>
        <w:t xml:space="preserve">, Hong YS, Park SH, Lee JL, Kim TW. Pneumatosis intestinalis after cetuximab-containing chemotherapy for colorectal cancer. </w:t>
      </w:r>
      <w:r>
        <w:rPr>
          <w:rFonts w:ascii="Book Antiqua" w:hAnsi="Book Antiqua" w:eastAsia="Book Antiqua" w:cs="Book Antiqua"/>
          <w:i/>
          <w:iCs/>
          <w:color w:val="000000"/>
        </w:rPr>
        <w:t>Jpn 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41</w:t>
      </w:r>
      <w:r>
        <w:rPr>
          <w:rFonts w:ascii="Book Antiqua" w:hAnsi="Book Antiqua" w:eastAsia="Book Antiqua" w:cs="Book Antiqua"/>
          <w:color w:val="000000"/>
        </w:rPr>
        <w:t>: 1225-1228 [PMID: 21835823 DOI: 10.1093/jjco/hyr114]</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Sherman E</w:t>
      </w:r>
      <w:r>
        <w:rPr>
          <w:rFonts w:ascii="Book Antiqua" w:hAnsi="Book Antiqua" w:eastAsia="Book Antiqua" w:cs="Book Antiqua"/>
          <w:color w:val="000000"/>
        </w:rPr>
        <w:t xml:space="preserve">, Ramadas P, Lemke S. Cetuximab-Associated Pneumatosis Intestinalis. </w:t>
      </w:r>
      <w:r>
        <w:rPr>
          <w:rFonts w:ascii="Book Antiqua" w:hAnsi="Book Antiqua" w:eastAsia="Book Antiqua" w:cs="Book Antiqua"/>
          <w:i/>
          <w:iCs/>
          <w:color w:val="000000"/>
        </w:rPr>
        <w:t>Am J Ther</w:t>
      </w:r>
      <w:r>
        <w:rPr>
          <w:rFonts w:ascii="Book Antiqua" w:hAnsi="Book Antiqua" w:eastAsia="Book Antiqua" w:cs="Book Antiqua"/>
          <w:color w:val="000000"/>
        </w:rPr>
        <w:t xml:space="preserve"> 2019; </w:t>
      </w:r>
      <w:r>
        <w:rPr>
          <w:rFonts w:ascii="Book Antiqua" w:hAnsi="Book Antiqua" w:eastAsia="Book Antiqua" w:cs="Book Antiqua"/>
          <w:b/>
          <w:bCs/>
          <w:color w:val="000000"/>
        </w:rPr>
        <w:t>26</w:t>
      </w:r>
      <w:r>
        <w:rPr>
          <w:rFonts w:ascii="Book Antiqua" w:hAnsi="Book Antiqua" w:eastAsia="Book Antiqua" w:cs="Book Antiqua"/>
          <w:color w:val="000000"/>
        </w:rPr>
        <w:t>: e609-e610 [PMID: 29965806 DOI: 10.1097/MJT.0000000000000811]</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Chaudhry NS</w:t>
      </w:r>
      <w:r>
        <w:rPr>
          <w:rFonts w:ascii="Book Antiqua" w:hAnsi="Book Antiqua" w:eastAsia="Book Antiqua" w:cs="Book Antiqua"/>
          <w:color w:val="000000"/>
        </w:rPr>
        <w:t xml:space="preserve">, Bi WL, Gupta S, Keraliya A, Shimizu N, Chiocca EA. Pneumatosis Intestinalis After Molecular-Targeted Therapy. </w:t>
      </w:r>
      <w:r>
        <w:rPr>
          <w:rFonts w:ascii="Book Antiqua" w:hAnsi="Book Antiqua" w:eastAsia="Book Antiqua" w:cs="Book Antiqua"/>
          <w:i/>
          <w:iCs/>
          <w:color w:val="000000"/>
        </w:rPr>
        <w:t>World Neurosurg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125</w:t>
      </w:r>
      <w:r>
        <w:rPr>
          <w:rFonts w:ascii="Book Antiqua" w:hAnsi="Book Antiqua" w:eastAsia="Book Antiqua" w:cs="Book Antiqua"/>
          <w:color w:val="000000"/>
        </w:rPr>
        <w:t>: 312-315 [PMID: 30763745 DOI: 10.1016/j.wneu.2019.01.225]</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Vijayakanthan N</w:t>
      </w:r>
      <w:r>
        <w:rPr>
          <w:rFonts w:ascii="Book Antiqua" w:hAnsi="Book Antiqua" w:eastAsia="Book Antiqua" w:cs="Book Antiqua"/>
          <w:color w:val="000000"/>
        </w:rPr>
        <w:t xml:space="preserve">, Dhamanaskar K, Stewart L, Connolly J, Leber B, Walker I, Trus M. A review of pneumatosis intestinalis in the setting of systemic cancer treatments, including tyrosine kinase inhibitors. </w:t>
      </w:r>
      <w:r>
        <w:rPr>
          <w:rFonts w:ascii="Book Antiqua" w:hAnsi="Book Antiqua" w:eastAsia="Book Antiqua" w:cs="Book Antiqua"/>
          <w:i/>
          <w:iCs/>
          <w:color w:val="000000"/>
        </w:rPr>
        <w:t>Can Assoc Radiol J</w:t>
      </w:r>
      <w:r>
        <w:rPr>
          <w:rFonts w:ascii="Book Antiqua" w:hAnsi="Book Antiqua" w:eastAsia="Book Antiqua" w:cs="Book Antiqua"/>
          <w:color w:val="000000"/>
        </w:rPr>
        <w:t xml:space="preserve"> 2012; </w:t>
      </w:r>
      <w:r>
        <w:rPr>
          <w:rFonts w:ascii="Book Antiqua" w:hAnsi="Book Antiqua" w:eastAsia="Book Antiqua" w:cs="Book Antiqua"/>
          <w:b/>
          <w:bCs/>
          <w:color w:val="000000"/>
        </w:rPr>
        <w:t>63</w:t>
      </w:r>
      <w:r>
        <w:rPr>
          <w:rFonts w:ascii="Book Antiqua" w:hAnsi="Book Antiqua" w:eastAsia="Book Antiqua" w:cs="Book Antiqua"/>
          <w:color w:val="000000"/>
        </w:rPr>
        <w:t>: 312-317 [PMID: 22402108 DOI: 10.1016/j.carj.2011.06.004]</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Morris MS</w:t>
      </w:r>
      <w:r>
        <w:rPr>
          <w:rFonts w:ascii="Book Antiqua" w:hAnsi="Book Antiqua" w:eastAsia="Book Antiqua" w:cs="Book Antiqua"/>
          <w:color w:val="000000"/>
        </w:rPr>
        <w:t xml:space="preserve">, Gee AC, Cho SD, Limbaugh K, Underwood S, Ham B, Schreiber MA. Management and outcome of pneumatosis intestinalis.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2008; </w:t>
      </w:r>
      <w:r>
        <w:rPr>
          <w:rFonts w:ascii="Book Antiqua" w:hAnsi="Book Antiqua" w:eastAsia="Book Antiqua" w:cs="Book Antiqua"/>
          <w:b/>
          <w:bCs/>
          <w:color w:val="000000"/>
        </w:rPr>
        <w:t>195</w:t>
      </w:r>
      <w:r>
        <w:rPr>
          <w:rFonts w:ascii="Book Antiqua" w:hAnsi="Book Antiqua" w:eastAsia="Book Antiqua" w:cs="Book Antiqua"/>
          <w:color w:val="000000"/>
        </w:rPr>
        <w:t>: 679-82; discussion 682-3 [PMID: 18424288 DOI: 10.1016/j.amjsurg.2008.01.011]</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Hawn MT</w:t>
      </w:r>
      <w:r>
        <w:rPr>
          <w:rFonts w:ascii="Book Antiqua" w:hAnsi="Book Antiqua" w:eastAsia="Book Antiqua" w:cs="Book Antiqua"/>
          <w:color w:val="000000"/>
        </w:rPr>
        <w:t xml:space="preserve">, Canon CL, Lockhart ME, Gonzalez QH, Shore G, Bondora A, Vickers SM. Serum lactic acid determines the outcomes of CT diagnosis of pneumatosis of the gastrointestinal tract.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70</w:t>
      </w:r>
      <w:r>
        <w:rPr>
          <w:rFonts w:ascii="Book Antiqua" w:hAnsi="Book Antiqua" w:eastAsia="Book Antiqua" w:cs="Book Antiqua"/>
          <w:color w:val="000000"/>
        </w:rPr>
        <w:t>: 19-23; discussion 23-4 [PMID: 14964540]</w:t>
      </w:r>
    </w:p>
    <w:bookmarkEnd w:id="3"/>
    <w:bookmarkEnd w:id="4"/>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This case report was approved by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Institutional Review Board of Chi Mei Hospital in Taiwan (Applicant’s number: 11007-E01). T</w:t>
      </w:r>
      <w:r>
        <w:rPr>
          <w:rFonts w:hint="eastAsia" w:ascii="Book Antiqua" w:hAnsi="Book Antiqua" w:eastAsia="Book Antiqua" w:cs="Book Antiqua"/>
          <w:color w:val="000000"/>
          <w:lang w:eastAsia="zh-CN"/>
        </w:rPr>
        <w:t>h</w:t>
      </w:r>
      <w:r>
        <w:rPr>
          <w:rFonts w:ascii="Book Antiqua" w:hAnsi="Book Antiqua" w:eastAsia="Book Antiqua" w:cs="Book Antiqua"/>
          <w:color w:val="000000"/>
          <w:lang w:eastAsia="zh-CN"/>
        </w:rPr>
        <w:t xml:space="preserve">e informed consent was waived. </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conflicts of interest to disclose.</w:t>
      </w:r>
    </w:p>
    <w:p>
      <w:pPr>
        <w:spacing w:line="360" w:lineRule="auto"/>
        <w:jc w:val="both"/>
      </w:pP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CARE Checklist (2016) statement: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cs="Book Antiqua"/>
          <w:b/>
          <w:color w:val="000000"/>
        </w:rPr>
        <w:t>Provenance and peer review:</w:t>
      </w:r>
      <w:r>
        <w:rPr>
          <w:rFonts w:ascii="Book Antiqua" w:hAnsi="Book Antiqua" w:cs="Book Antiqua"/>
          <w:color w:val="000000"/>
        </w:rPr>
        <w:t xml:space="preserve"> Unsolicited article; Externally peer reviewed.</w:t>
      </w:r>
    </w:p>
    <w:p>
      <w:pPr>
        <w:spacing w:line="360" w:lineRule="auto"/>
        <w:jc w:val="both"/>
        <w:rPr>
          <w:lang w:eastAsia="zh-CN"/>
        </w:rPr>
      </w:pPr>
      <w:r>
        <w:rPr>
          <w:rFonts w:ascii="Book Antiqua" w:hAnsi="Book Antiqua"/>
          <w:b/>
        </w:rPr>
        <w:t>Peer-review model:</w:t>
      </w:r>
      <w:r>
        <w:rPr>
          <w:rFonts w:ascii="Book Antiqua" w:hAnsi="Book Antiqua"/>
        </w:rPr>
        <w:t xml:space="preserve"> 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17,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3,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Feng J, </w:t>
      </w:r>
      <w:bookmarkStart w:id="5" w:name="OLE_LINK3093"/>
      <w:bookmarkStart w:id="6" w:name="OLE_LINK3092"/>
      <w:r>
        <w:rPr>
          <w:rFonts w:ascii="Book Antiqua" w:hAnsi="Book Antiqua" w:eastAsia="Book Antiqua" w:cs="Book Antiqua"/>
          <w:color w:val="000000"/>
        </w:rPr>
        <w:t>C</w:t>
      </w:r>
      <w:r>
        <w:rPr>
          <w:rFonts w:hint="eastAsia" w:ascii="Book Antiqua" w:hAnsi="Book Antiqua" w:eastAsia="Book Antiqua" w:cs="Book Antiqua"/>
          <w:color w:val="000000"/>
          <w:lang w:eastAsia="zh-CN"/>
        </w:rPr>
        <w:t>h</w:t>
      </w:r>
      <w:r>
        <w:rPr>
          <w:rFonts w:ascii="Book Antiqua" w:hAnsi="Book Antiqua" w:eastAsia="Book Antiqua" w:cs="Book Antiqua"/>
          <w:color w:val="000000"/>
          <w:lang w:eastAsia="zh-CN"/>
        </w:rPr>
        <w:t xml:space="preserve">ina; </w:t>
      </w:r>
      <w:bookmarkEnd w:id="5"/>
      <w:bookmarkEnd w:id="6"/>
      <w:r>
        <w:rPr>
          <w:rFonts w:ascii="Book Antiqua" w:hAnsi="Book Antiqua" w:eastAsia="Book Antiqua" w:cs="Book Antiqua"/>
          <w:color w:val="000000"/>
        </w:rPr>
        <w:t>Liang P, C</w:t>
      </w:r>
      <w:r>
        <w:rPr>
          <w:rFonts w:hint="eastAsia" w:ascii="Book Antiqua" w:hAnsi="Book Antiqua" w:eastAsia="Book Antiqua" w:cs="Book Antiqua"/>
          <w:color w:val="000000"/>
          <w:lang w:eastAsia="zh-CN"/>
        </w:rPr>
        <w:t>h</w:t>
      </w:r>
      <w:r>
        <w:rPr>
          <w:rFonts w:ascii="Book Antiqua" w:hAnsi="Book Antiqua" w:eastAsia="Book Antiqua" w:cs="Book Antiqua"/>
          <w:color w:val="000000"/>
          <w:lang w:eastAsia="zh-CN"/>
        </w:rPr>
        <w:t xml:space="preserve">ina; </w:t>
      </w:r>
      <w:r>
        <w:rPr>
          <w:rFonts w:ascii="Book Antiqua" w:hAnsi="Book Antiqua" w:eastAsia="Book Antiqua" w:cs="Book Antiqua"/>
          <w:color w:val="000000"/>
        </w:rPr>
        <w:t>Xie Y, C</w:t>
      </w:r>
      <w:r>
        <w:rPr>
          <w:rFonts w:hint="eastAsia" w:ascii="Book Antiqua" w:hAnsi="Book Antiqua" w:eastAsia="Book Antiqua" w:cs="Book Antiqua"/>
          <w:color w:val="000000"/>
          <w:lang w:eastAsia="zh-CN"/>
        </w:rPr>
        <w:t>h</w:t>
      </w:r>
      <w:r>
        <w:rPr>
          <w:rFonts w:ascii="Book Antiqua" w:hAnsi="Book Antiqua" w:eastAsia="Book Antiqua" w:cs="Book Antiqua"/>
          <w:color w:val="000000"/>
          <w:lang w:eastAsia="zh-CN"/>
        </w:rPr>
        <w:t>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Zhang</w:t>
      </w:r>
      <w:r>
        <w:rPr>
          <w:rFonts w:ascii="Book Antiqua" w:hAnsi="Book Antiqua" w:eastAsia="Book Antiqua" w:cs="Book Antiqua"/>
          <w:color w:val="000000"/>
        </w:rPr>
        <w:t xml:space="preserve"> </w:t>
      </w:r>
      <w:r>
        <w:rPr>
          <w:rFonts w:hint="eastAsia" w:ascii="Book Antiqua" w:hAnsi="Book Antiqua" w:cs="Book Antiqua"/>
          <w:color w:val="000000"/>
          <w:lang w:eastAsia="zh-CN"/>
        </w:rPr>
        <w:t>YL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ascii="Book Antiqua" w:hAnsi="Book Antiqua" w:cs="Book Antiqua"/>
          <w:color w:val="000000" w:themeColor="text1"/>
          <w:lang w:eastAsia="zh-CN"/>
          <w14:textFill>
            <w14:solidFill>
              <w14:schemeClr w14:val="tx1"/>
            </w14:solidFill>
          </w14:textFill>
        </w:rPr>
        <w:t>Zh</w:t>
      </w:r>
      <w:r>
        <w:rPr>
          <w:rFonts w:ascii="Book Antiqua" w:hAnsi="Book Antiqua" w:eastAsia="Book Antiqua" w:cs="Book Antiqua"/>
          <w:color w:val="000000" w:themeColor="text1"/>
          <w14:textFill>
            <w14:solidFill>
              <w14:schemeClr w14:val="tx1"/>
            </w14:solidFill>
          </w14:textFill>
        </w:rPr>
        <w:t xml:space="preserve">ang </w:t>
      </w:r>
      <w:r>
        <w:rPr>
          <w:rFonts w:ascii="Book Antiqua" w:hAnsi="Book Antiqua" w:cs="Book Antiqua"/>
          <w:color w:val="000000" w:themeColor="text1"/>
          <w:lang w:eastAsia="zh-CN"/>
          <w14:textFill>
            <w14:solidFill>
              <w14:schemeClr w14:val="tx1"/>
            </w14:solidFill>
          </w14:textFill>
        </w:rPr>
        <w:t>YL</w:t>
      </w: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880360" cy="3394710"/>
            <wp:effectExtent l="0" t="0" r="0" b="3810"/>
            <wp:docPr id="5" name="图片 5" descr="WJCC-10-53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5337-g001"/>
                    <pic:cNvPicPr>
                      <a:picLocks noChangeAspect="1"/>
                    </pic:cNvPicPr>
                  </pic:nvPicPr>
                  <pic:blipFill>
                    <a:blip r:embed="rId6"/>
                    <a:stretch>
                      <a:fillRect/>
                    </a:stretch>
                  </pic:blipFill>
                  <pic:spPr>
                    <a:xfrm>
                      <a:off x="0" y="0"/>
                      <a:ext cx="2880360" cy="3394710"/>
                    </a:xfrm>
                    <a:prstGeom prst="rect">
                      <a:avLst/>
                    </a:prstGeom>
                  </pic:spPr>
                </pic:pic>
              </a:graphicData>
            </a:graphic>
          </wp:inline>
        </w:drawing>
      </w:r>
    </w:p>
    <w:p>
      <w:pPr>
        <w:spacing w:line="360" w:lineRule="auto"/>
        <w:jc w:val="both"/>
        <w:rPr>
          <w:b/>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Plain radiograph of the abdomen revealing intramural gas in the small intestine.</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4736465" cy="2233930"/>
            <wp:effectExtent l="0" t="0" r="3175" b="6350"/>
            <wp:docPr id="4" name="图片 4" descr="WJCC-10-53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337-g002"/>
                    <pic:cNvPicPr>
                      <a:picLocks noChangeAspect="1"/>
                    </pic:cNvPicPr>
                  </pic:nvPicPr>
                  <pic:blipFill>
                    <a:blip r:embed="rId7"/>
                    <a:stretch>
                      <a:fillRect/>
                    </a:stretch>
                  </pic:blipFill>
                  <pic:spPr>
                    <a:xfrm>
                      <a:off x="0" y="0"/>
                      <a:ext cx="4736465" cy="22339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Computed tomographic images of the abdomen</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as entrapment in the wall of the small intestine (arrowheads)</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ir expanding into the mesentery (arrows).</w:t>
      </w:r>
    </w:p>
    <w:p>
      <w:pPr>
        <w:spacing w:line="360" w:lineRule="auto"/>
        <w:jc w:val="both"/>
        <w:rPr>
          <w:rFonts w:ascii="Book Antiqua" w:hAnsi="Book Antiqua" w:eastAsia="Book Antiqua" w:cs="Book Antiqua"/>
          <w:b/>
          <w:bCs/>
          <w:color w:val="000000"/>
        </w:rPr>
      </w:pPr>
      <w:bookmarkStart w:id="7" w:name="_GoBack"/>
      <w:bookmarkEnd w:id="7"/>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3600450" cy="2521585"/>
            <wp:effectExtent l="0" t="0" r="11430" b="8255"/>
            <wp:docPr id="3" name="图片 3" descr="WJCC-10-53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337-g003"/>
                    <pic:cNvPicPr>
                      <a:picLocks noChangeAspect="1"/>
                    </pic:cNvPicPr>
                  </pic:nvPicPr>
                  <pic:blipFill>
                    <a:blip r:embed="rId8"/>
                    <a:stretch>
                      <a:fillRect/>
                    </a:stretch>
                  </pic:blipFill>
                  <pic:spPr>
                    <a:xfrm>
                      <a:off x="0" y="0"/>
                      <a:ext cx="3600450" cy="2521585"/>
                    </a:xfrm>
                    <a:prstGeom prst="rect">
                      <a:avLst/>
                    </a:prstGeom>
                  </pic:spPr>
                </pic:pic>
              </a:graphicData>
            </a:graphic>
          </wp:inline>
        </w:drawing>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Intraoperative photo revealing intramural gas in the small intestine (arrows).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宋体"/>
    <w:panose1 w:val="020B0604020202020204"/>
    <w:charset w:val="00"/>
    <w:family w:val="auto"/>
    <w:pitch w:val="default"/>
    <w:sig w:usb0="00000000" w:usb1="00000000" w:usb2="00000000" w:usb3="00000000" w:csb0="0004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uto" w:vAnchor="text" w:hAnchor="margin" w:xAlign="center" w:y="1"/>
      <w:rPr>
        <w:rStyle w:val="7"/>
        <w:rFonts w:ascii="Book Antiqua" w:hAnsi="Book Antiqua"/>
      </w:rPr>
    </w:pPr>
  </w:p>
  <w:p>
    <w:pPr>
      <w:pStyle w:val="3"/>
      <w:jc w:val="right"/>
      <w:rPr>
        <w:rFonts w:ascii="Book Antiqua" w:hAnsi="Book Antiqua"/>
      </w:rPr>
    </w:pPr>
    <w:sdt>
      <w:sdtPr>
        <w:rPr>
          <w:rFonts w:ascii="Book Antiqua" w:hAnsi="Book Antiqua"/>
        </w:rPr>
        <w:id w:val="860082579"/>
        <w:docPartObj>
          <w:docPartGallery w:val="autotext"/>
        </w:docPartObj>
      </w:sdtPr>
      <w:sdtEndPr>
        <w:rPr>
          <w:rFonts w:ascii="Book Antiqua" w:hAnsi="Book Antiqua"/>
        </w:rPr>
      </w:sdtEndPr>
      <w:sdtContent>
        <w:r>
          <w:rPr>
            <w:rFonts w:ascii="Book Antiqua" w:hAnsi="Book Antiqua"/>
            <w:lang w:val="zh-CN" w:eastAsia="zh-CN"/>
          </w:rPr>
          <w:t xml:space="preserve"> </w:t>
        </w:r>
        <w:r>
          <w:rPr>
            <w:rFonts w:ascii="Book Antiqua" w:hAnsi="Book Antiqua"/>
            <w:b/>
            <w:bCs/>
          </w:rPr>
          <w:fldChar w:fldCharType="begin"/>
        </w:r>
        <w:r>
          <w:rPr>
            <w:rFonts w:ascii="Book Antiqua" w:hAnsi="Book Antiqua"/>
            <w:b/>
            <w:bCs/>
          </w:rPr>
          <w:instrText xml:space="preserve">PAGE</w:instrText>
        </w:r>
        <w:r>
          <w:rPr>
            <w:rFonts w:ascii="Book Antiqua" w:hAnsi="Book Antiqua"/>
            <w:b/>
            <w:bCs/>
          </w:rPr>
          <w:fldChar w:fldCharType="separate"/>
        </w:r>
        <w:r>
          <w:rPr>
            <w:rFonts w:ascii="Book Antiqua" w:hAnsi="Book Antiqua"/>
            <w:b/>
            <w:bCs/>
          </w:rPr>
          <w:t>15</w:t>
        </w:r>
        <w:r>
          <w:rPr>
            <w:rFonts w:ascii="Book Antiqua" w:hAnsi="Book Antiqua"/>
            <w:b/>
            <w:bCs/>
          </w:rPr>
          <w:fldChar w:fldCharType="end"/>
        </w:r>
        <w:r>
          <w:rPr>
            <w:rFonts w:ascii="Book Antiqua" w:hAnsi="Book Antiqua"/>
            <w:lang w:val="zh-CN" w:eastAsia="zh-CN"/>
          </w:rPr>
          <w:t xml:space="preserve"> / </w:t>
        </w:r>
        <w:r>
          <w:rPr>
            <w:rFonts w:ascii="Book Antiqua" w:hAnsi="Book Antiqua"/>
            <w:b/>
            <w:bCs/>
          </w:rPr>
          <w:fldChar w:fldCharType="begin"/>
        </w:r>
        <w:r>
          <w:rPr>
            <w:rFonts w:ascii="Book Antiqua" w:hAnsi="Book Antiqua"/>
            <w:b/>
            <w:bCs/>
          </w:rPr>
          <w:instrText xml:space="preserve">NUMPAGES</w:instrText>
        </w:r>
        <w:r>
          <w:rPr>
            <w:rFonts w:ascii="Book Antiqua" w:hAnsi="Book Antiqua"/>
            <w:b/>
            <w:bCs/>
          </w:rPr>
          <w:fldChar w:fldCharType="separate"/>
        </w:r>
        <w:r>
          <w:rPr>
            <w:rFonts w:ascii="Book Antiqua" w:hAnsi="Book Antiqua"/>
            <w:b/>
            <w:bCs/>
          </w:rPr>
          <w:t>16</w:t>
        </w:r>
        <w:r>
          <w:rPr>
            <w:rFonts w:ascii="Book Antiqua" w:hAnsi="Book Antiqua"/>
            <w:b/>
            <w:bCs/>
          </w:rPr>
          <w:fldChar w:fldCharType="end"/>
        </w:r>
      </w:sdtContent>
    </w:sdt>
  </w:p>
  <w:p>
    <w:pPr>
      <w:pStyle w:val="3"/>
      <w:rPr>
        <w:rFonts w:ascii="Book Antiqua" w:hAnsi="Book Antiq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7"/>
      </w:rPr>
      <w:id w:val="1382516139"/>
      <w:docPartObj>
        <w:docPartGallery w:val="autotext"/>
      </w:docPartObj>
    </w:sdtPr>
    <w:sdtEndPr>
      <w:rPr>
        <w:rStyle w:val="7"/>
      </w:rPr>
    </w:sdtEndPr>
    <w:sdtContent>
      <w:p>
        <w:pPr>
          <w:pStyle w:val="3"/>
          <w:framePr w:wrap="auto" w:vAnchor="text" w:hAnchor="margin" w:xAlign="center" w:y="1"/>
          <w:rPr>
            <w:rStyle w:val="7"/>
          </w:rPr>
        </w:pPr>
        <w:r>
          <w:rPr>
            <w:rStyle w:val="7"/>
          </w:rPr>
          <w:fldChar w:fldCharType="begin"/>
        </w:r>
        <w:r>
          <w:rPr>
            <w:rStyle w:val="7"/>
          </w:rPr>
          <w:instrText xml:space="preserve"> PAGE </w:instrText>
        </w:r>
        <w:r>
          <w:rPr>
            <w:rStyle w:val="7"/>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4202"/>
    <w:rsid w:val="000A7282"/>
    <w:rsid w:val="000C0213"/>
    <w:rsid w:val="00123850"/>
    <w:rsid w:val="0013318A"/>
    <w:rsid w:val="00177645"/>
    <w:rsid w:val="0018610C"/>
    <w:rsid w:val="001A2516"/>
    <w:rsid w:val="001F6282"/>
    <w:rsid w:val="00224D97"/>
    <w:rsid w:val="00247004"/>
    <w:rsid w:val="003737F7"/>
    <w:rsid w:val="003845D2"/>
    <w:rsid w:val="00390274"/>
    <w:rsid w:val="003A238B"/>
    <w:rsid w:val="003C17C3"/>
    <w:rsid w:val="00433AE5"/>
    <w:rsid w:val="004944FF"/>
    <w:rsid w:val="00572F62"/>
    <w:rsid w:val="00651795"/>
    <w:rsid w:val="00654946"/>
    <w:rsid w:val="006C5BA6"/>
    <w:rsid w:val="00703F62"/>
    <w:rsid w:val="007673D4"/>
    <w:rsid w:val="007A61BF"/>
    <w:rsid w:val="008E7E9A"/>
    <w:rsid w:val="008F0177"/>
    <w:rsid w:val="008F3CF7"/>
    <w:rsid w:val="00932605"/>
    <w:rsid w:val="00A0314E"/>
    <w:rsid w:val="00A36616"/>
    <w:rsid w:val="00A77B3E"/>
    <w:rsid w:val="00A83AD3"/>
    <w:rsid w:val="00A9057B"/>
    <w:rsid w:val="00AA22CA"/>
    <w:rsid w:val="00B843EF"/>
    <w:rsid w:val="00B85D65"/>
    <w:rsid w:val="00B870CB"/>
    <w:rsid w:val="00B91E64"/>
    <w:rsid w:val="00B93E02"/>
    <w:rsid w:val="00BC5D1E"/>
    <w:rsid w:val="00C07184"/>
    <w:rsid w:val="00C15C09"/>
    <w:rsid w:val="00C430A6"/>
    <w:rsid w:val="00C86DBA"/>
    <w:rsid w:val="00CA2A55"/>
    <w:rsid w:val="00D47E52"/>
    <w:rsid w:val="00E07899"/>
    <w:rsid w:val="00E67CB1"/>
    <w:rsid w:val="00EA262E"/>
    <w:rsid w:val="00F51BF7"/>
    <w:rsid w:val="00F52531"/>
    <w:rsid w:val="00F70879"/>
    <w:rsid w:val="00F74D3B"/>
    <w:rsid w:val="00FA45EF"/>
    <w:rsid w:val="00FB6151"/>
    <w:rsid w:val="07806BD1"/>
    <w:rsid w:val="53681891"/>
    <w:rsid w:val="6664259D"/>
    <w:rsid w:val="7FDA14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qFormat="1" w:uiPriority="0" w:name="line number"/>
    <w:lsdException w:qFormat="1"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unhideWhenUsed/>
    <w:qFormat/>
    <w:uiPriority w:val="99"/>
    <w:pPr>
      <w:tabs>
        <w:tab w:val="center" w:pos="4680"/>
        <w:tab w:val="right" w:pos="9360"/>
      </w:tabs>
    </w:p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semiHidden/>
    <w:unhideWhenUsed/>
    <w:qFormat/>
    <w:uiPriority w:val="0"/>
  </w:style>
  <w:style w:type="character" w:styleId="8">
    <w:name w:val="line number"/>
    <w:basedOn w:val="6"/>
    <w:semiHidden/>
    <w:unhideWhenUsed/>
    <w:qFormat/>
    <w:uiPriority w:val="0"/>
  </w:style>
  <w:style w:type="character" w:customStyle="1" w:styleId="9">
    <w:name w:val="Footer Char"/>
    <w:basedOn w:val="6"/>
    <w:link w:val="3"/>
    <w:qFormat/>
    <w:uiPriority w:val="99"/>
    <w:rPr>
      <w:sz w:val="24"/>
      <w:szCs w:val="24"/>
    </w:rPr>
  </w:style>
  <w:style w:type="character" w:customStyle="1" w:styleId="10">
    <w:name w:val="Header Char"/>
    <w:basedOn w:val="6"/>
    <w:link w:val="4"/>
    <w:qFormat/>
    <w:uiPriority w:val="0"/>
    <w:rPr>
      <w:sz w:val="18"/>
      <w:szCs w:val="18"/>
    </w:rPr>
  </w:style>
  <w:style w:type="character" w:customStyle="1" w:styleId="11">
    <w:name w:val="Balloon Text Char"/>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D8974-229A-4CE7-A6BB-0FCFA1B35A6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2794</Words>
  <Characters>17271</Characters>
  <Lines>138</Lines>
  <Paragraphs>39</Paragraphs>
  <TotalTime>0</TotalTime>
  <ScaleCrop>false</ScaleCrop>
  <LinksUpToDate>false</LinksUpToDate>
  <CharactersWithSpaces>19970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2022-04-21T17:35:00Z</dcterms:created>
  <dc:creator>ibm</dc:creator>
  <cp:lastModifiedBy>晓晨</cp:lastModifiedBy>
  <dcterms:modified xsi:type="dcterms:W3CDTF">2022-06-02T14:39:14Z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AA1B2800C5B24E21B50B6543DC1D186C</vt:lpwstr>
  </property>
</Properties>
</file>