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AF1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Name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Journal: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Journal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Gastroenterology</w:t>
      </w:r>
    </w:p>
    <w:p w14:paraId="5ABCFCE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Manuscript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NO: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70092</w:t>
      </w:r>
    </w:p>
    <w:p w14:paraId="1F3F597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Manuscript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Type: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ORIGINAL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</w:t>
      </w:r>
    </w:p>
    <w:p w14:paraId="5C58673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67BED1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Prospective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Study</w:t>
      </w:r>
    </w:p>
    <w:p w14:paraId="1B44465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anti-viral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prison</w:t>
      </w:r>
    </w:p>
    <w:p w14:paraId="254BDC3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6A4BE49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CT</w:t>
      </w:r>
      <w:r w:rsidR="00A14F7E" w:rsidRPr="00A14F7E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i/>
          <w:color w:val="000000"/>
          <w:lang w:eastAsia="zh-CN"/>
        </w:rPr>
        <w:t>et</w:t>
      </w:r>
      <w:r w:rsidR="00A14F7E" w:rsidRPr="00A14F7E">
        <w:rPr>
          <w:rFonts w:ascii="Book Antiqua" w:hAnsi="Book Antiqua" w:cs="Book Antiqua"/>
          <w:bCs/>
          <w:i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i/>
          <w:color w:val="000000"/>
          <w:lang w:eastAsia="zh-CN"/>
        </w:rPr>
        <w:t>al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.</w:t>
      </w:r>
      <w:r w:rsidR="00A14F7E" w:rsidRPr="00A14F7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Cs/>
          <w:color w:val="000000"/>
        </w:rPr>
        <w:t>Prison</w:t>
      </w:r>
    </w:p>
    <w:p w14:paraId="7C8CB6E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D511A5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Chun-Ting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Ming-Ying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Meng-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Hsuan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Pei-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Chien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Tsai-Yuan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Lun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Yi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Shan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Min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Chih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Kuan</w:t>
      </w:r>
      <w:proofErr w:type="spellEnd"/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Ju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Tyng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Yuan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</w:t>
      </w:r>
      <w:r w:rsidRPr="00A14F7E">
        <w:rPr>
          <w:rFonts w:ascii="Book Antiqua" w:hAnsi="Book Antiqua" w:cs="Book Antiqua"/>
          <w:color w:val="000000"/>
          <w:lang w:eastAsia="zh-CN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color w:val="000000"/>
        </w:rPr>
        <w:t>Yen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Zu</w:t>
      </w:r>
      <w:r w:rsidRPr="00A14F7E">
        <w:rPr>
          <w:rFonts w:ascii="Book Antiqua" w:eastAsia="PMingLiU" w:hAnsi="Book Antiqua" w:cs="Book Antiqua"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Yau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Chung-Feng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Jee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-Fu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Chia-Yen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Wan-Long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Lueng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</w:p>
    <w:p w14:paraId="6B6CBA2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52E1A4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Chun-Ting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Lueng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Shih,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Gastroenterology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Branch,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Defense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88041,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14B2BA9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7ACC71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Chun-Ting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Tsai-Yuan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Lueng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Shih,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Gastroenterology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Defense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Taipei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11490,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2A5E727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45AAA3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Ming-Ying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Meng-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Hsuan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Pei-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Chien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Lun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Yi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Ko,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Chih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Kuan</w:t>
      </w:r>
      <w:proofErr w:type="spellEnd"/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Tyng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Ta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Zu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Yau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Chung-Feng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Jee</w:t>
      </w:r>
      <w:proofErr w:type="spellEnd"/>
      <w:r w:rsidRPr="00A14F7E">
        <w:rPr>
          <w:rFonts w:ascii="Book Antiqua" w:eastAsia="Times New Roman" w:hAnsi="Book Antiqua" w:cs="Book Antiqua"/>
          <w:b/>
          <w:bCs/>
          <w:color w:val="000000"/>
        </w:rPr>
        <w:t>-Fu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Chia-Yen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Wan-Long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lastRenderedPageBreak/>
        <w:t>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Hepatobiliary,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80708,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25407EB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649BC3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Meng-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Hsuan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Lun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Yi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Tsai,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Ko,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Chih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Kuan</w:t>
      </w:r>
      <w:proofErr w:type="spellEnd"/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Tyng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Ta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Po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Zu</w:t>
      </w:r>
      <w:r w:rsidRPr="00A14F7E">
        <w:rPr>
          <w:rFonts w:ascii="Book Antiqua" w:eastAsia="PMingLiU" w:hAnsi="Book Antiqua" w:cs="Book Antiqua"/>
          <w:b/>
          <w:bCs/>
          <w:color w:val="000000"/>
          <w:lang w:eastAsia="zh-TW"/>
        </w:rPr>
        <w:t>-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Yau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Lin,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Chung-Feng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Jee</w:t>
      </w:r>
      <w:proofErr w:type="spellEnd"/>
      <w:r w:rsidRPr="00A14F7E">
        <w:rPr>
          <w:rFonts w:ascii="Book Antiqua" w:eastAsia="Times New Roman" w:hAnsi="Book Antiqua" w:cs="Book Antiqua"/>
          <w:b/>
          <w:bCs/>
          <w:color w:val="000000"/>
        </w:rPr>
        <w:t>-Fu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Chia-Yen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Dai,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Wan-Long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Chuang,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School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College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Liquid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Biopsy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Cohort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Research,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80708,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45C6A1B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036962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Pingtung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Science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Technology,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D00680" w:rsidRPr="00A14F7E">
        <w:rPr>
          <w:rFonts w:ascii="Book Antiqua" w:eastAsia="Times New Roman" w:hAnsi="Book Antiqua" w:cs="Book Antiqua"/>
          <w:color w:val="000000"/>
        </w:rPr>
        <w:t>Pingtung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912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792AA07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35A064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Author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contributions: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drafted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manuscript;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assisted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</w:t>
      </w:r>
      <w:r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</w:t>
      </w:r>
      <w:r w:rsidRPr="00A14F7E">
        <w:rPr>
          <w:rFonts w:ascii="Book Antiqua" w:hAnsi="Book Antiqua" w:cs="Book Antiqua"/>
          <w:color w:val="000000"/>
          <w:lang w:eastAsia="zh-CN"/>
        </w:rPr>
        <w:t>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equal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contributions</w:t>
      </w:r>
      <w:r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a</w:t>
      </w:r>
      <w:r w:rsidRPr="00A14F7E">
        <w:rPr>
          <w:rFonts w:ascii="Book Antiqua" w:eastAsia="Times New Roman" w:hAnsi="Book Antiqua" w:cs="Book Antiqua"/>
          <w:color w:val="000000"/>
        </w:rPr>
        <w:t>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Pr="00A14F7E">
        <w:rPr>
          <w:rFonts w:ascii="Book Antiqua" w:hAnsi="Book Antiqua" w:cs="Book Antiqua"/>
          <w:color w:val="000000"/>
          <w:lang w:eastAsia="zh-CN"/>
        </w:rPr>
        <w:t>,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Pr="00A14F7E">
        <w:rPr>
          <w:rFonts w:ascii="Book Antiqua" w:hAnsi="Book Antiqua" w:cs="Book Antiqua"/>
          <w:color w:val="000000"/>
          <w:lang w:eastAsia="zh-CN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manuscript.</w:t>
      </w:r>
    </w:p>
    <w:p w14:paraId="5FAF11E1" w14:textId="77777777" w:rsidR="00E373A6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A4DC0F9" w14:textId="77777777" w:rsidR="00762EB7" w:rsidRPr="00762EB7" w:rsidRDefault="00762EB7" w:rsidP="00762EB7">
      <w:pPr>
        <w:spacing w:line="360" w:lineRule="auto"/>
        <w:jc w:val="both"/>
        <w:rPr>
          <w:rFonts w:ascii="Book Antiqua" w:hAnsi="Book Antiqua"/>
          <w:b/>
          <w:lang w:val="en-GB" w:eastAsia="zh-CN"/>
        </w:rPr>
      </w:pPr>
      <w:bookmarkStart w:id="0" w:name="_Hlk9585938"/>
      <w:bookmarkStart w:id="1" w:name="_Hlk10706155"/>
      <w:bookmarkStart w:id="2" w:name="OLE_LINK102"/>
      <w:bookmarkStart w:id="3" w:name="OLE_LINK114"/>
      <w:bookmarkStart w:id="4" w:name="OLE_LINK115"/>
      <w:bookmarkStart w:id="5" w:name="_Hlk5615164"/>
      <w:r w:rsidRPr="00762EB7">
        <w:rPr>
          <w:rFonts w:ascii="Book Antiqua" w:hAnsi="Book Antiqua"/>
          <w:b/>
          <w:lang w:val="en-GB" w:eastAsia="zh-CN"/>
        </w:rPr>
        <w:t>Supported by</w:t>
      </w:r>
      <w:bookmarkEnd w:id="0"/>
      <w:r w:rsidRPr="00762EB7">
        <w:rPr>
          <w:rFonts w:ascii="Book Antiqua" w:hAnsi="Book Antiqua"/>
          <w:b/>
          <w:lang w:val="en-GB" w:eastAsia="zh-CN"/>
        </w:rPr>
        <w:t xml:space="preserve"> </w:t>
      </w:r>
      <w:bookmarkEnd w:id="1"/>
      <w:bookmarkEnd w:id="2"/>
      <w:bookmarkEnd w:id="3"/>
      <w:bookmarkEnd w:id="4"/>
      <w:r w:rsidRPr="00762EB7">
        <w:rPr>
          <w:rFonts w:ascii="Book Antiqua" w:hAnsi="Book Antiqua"/>
          <w:bCs/>
          <w:lang w:val="en-GB" w:eastAsia="zh-CN"/>
        </w:rPr>
        <w:t>the Kaohsiung Medical University, No. 108-2314-B-037-066</w:t>
      </w:r>
      <w:r>
        <w:rPr>
          <w:rFonts w:ascii="Book Antiqua" w:hAnsi="Book Antiqua" w:hint="eastAsia"/>
          <w:bCs/>
          <w:lang w:val="en-GB" w:eastAsia="zh-CN"/>
        </w:rPr>
        <w:t xml:space="preserve"> and No. </w:t>
      </w:r>
      <w:r w:rsidRPr="00762EB7">
        <w:rPr>
          <w:rFonts w:ascii="Book Antiqua" w:hAnsi="Book Antiqua"/>
          <w:bCs/>
          <w:lang w:val="en-GB" w:eastAsia="zh-CN"/>
        </w:rPr>
        <w:t>DK107004</w:t>
      </w:r>
      <w:r>
        <w:rPr>
          <w:rFonts w:ascii="Book Antiqua" w:hAnsi="Book Antiqua" w:hint="eastAsia"/>
          <w:bCs/>
          <w:lang w:val="en-GB" w:eastAsia="zh-CN"/>
        </w:rPr>
        <w:t xml:space="preserve">; </w:t>
      </w:r>
      <w:r w:rsidR="00A97AF1">
        <w:rPr>
          <w:rFonts w:ascii="Book Antiqua" w:hAnsi="Book Antiqua" w:hint="eastAsia"/>
          <w:bCs/>
          <w:lang w:val="en-GB" w:eastAsia="zh-CN"/>
        </w:rPr>
        <w:t xml:space="preserve">and </w:t>
      </w:r>
      <w:r>
        <w:rPr>
          <w:rFonts w:ascii="Book Antiqua" w:hAnsi="Book Antiqua" w:hint="eastAsia"/>
          <w:bCs/>
          <w:lang w:val="en-GB" w:eastAsia="zh-CN"/>
        </w:rPr>
        <w:t xml:space="preserve">the </w:t>
      </w:r>
      <w:r w:rsidRPr="00762EB7">
        <w:rPr>
          <w:rFonts w:ascii="Book Antiqua" w:hAnsi="Book Antiqua"/>
          <w:bCs/>
          <w:lang w:val="en-GB" w:eastAsia="zh-CN"/>
        </w:rPr>
        <w:t>Kaohsiung Medical University Hospital</w:t>
      </w:r>
      <w:r>
        <w:rPr>
          <w:rFonts w:ascii="Book Antiqua" w:hAnsi="Book Antiqua" w:hint="eastAsia"/>
          <w:bCs/>
          <w:lang w:val="en-GB" w:eastAsia="zh-CN"/>
        </w:rPr>
        <w:t>, No.</w:t>
      </w:r>
      <w:r w:rsidRPr="00762EB7">
        <w:rPr>
          <w:rFonts w:ascii="Book Antiqua" w:hAnsi="Book Antiqua"/>
          <w:bCs/>
          <w:lang w:val="en-GB" w:eastAsia="zh-CN"/>
        </w:rPr>
        <w:t xml:space="preserve"> KMUH-108-8R05</w:t>
      </w:r>
      <w:r>
        <w:rPr>
          <w:rFonts w:ascii="Book Antiqua" w:hAnsi="Book Antiqua" w:hint="eastAsia"/>
          <w:bCs/>
          <w:lang w:val="en-GB" w:eastAsia="zh-CN"/>
        </w:rPr>
        <w:t>, No.</w:t>
      </w:r>
      <w:r w:rsidRPr="00762EB7">
        <w:rPr>
          <w:rFonts w:ascii="Book Antiqua" w:hAnsi="Book Antiqua"/>
          <w:bCs/>
          <w:lang w:val="en-GB" w:eastAsia="zh-CN"/>
        </w:rPr>
        <w:t xml:space="preserve"> KMUH-DK109002</w:t>
      </w:r>
      <w:r>
        <w:rPr>
          <w:rFonts w:ascii="Book Antiqua" w:hAnsi="Book Antiqua" w:hint="eastAsia"/>
          <w:bCs/>
          <w:lang w:val="en-GB" w:eastAsia="zh-CN"/>
        </w:rPr>
        <w:t xml:space="preserve"> and No.</w:t>
      </w:r>
      <w:r w:rsidRPr="00762EB7">
        <w:rPr>
          <w:rFonts w:ascii="Book Antiqua" w:hAnsi="Book Antiqua"/>
          <w:bCs/>
          <w:lang w:val="en-GB" w:eastAsia="zh-CN"/>
        </w:rPr>
        <w:t xml:space="preserve"> KMUH-DK109005</w:t>
      </w:r>
      <w:r>
        <w:rPr>
          <w:rFonts w:ascii="Book Antiqua" w:hAnsi="Book Antiqua" w:hint="eastAsia"/>
          <w:bCs/>
          <w:lang w:val="en-GB" w:eastAsia="zh-CN"/>
        </w:rPr>
        <w:t>-</w:t>
      </w:r>
      <w:r w:rsidRPr="00762EB7">
        <w:rPr>
          <w:rFonts w:ascii="Book Antiqua" w:hAnsi="Book Antiqua"/>
          <w:bCs/>
          <w:lang w:val="en-GB" w:eastAsia="zh-CN"/>
        </w:rPr>
        <w:t>1</w:t>
      </w:r>
      <w:r>
        <w:rPr>
          <w:rFonts w:ascii="Book Antiqua" w:hAnsi="Book Antiqua" w:hint="eastAsia"/>
          <w:bCs/>
          <w:lang w:val="en-GB" w:eastAsia="zh-CN"/>
        </w:rPr>
        <w:t>.</w:t>
      </w:r>
      <w:r w:rsidRPr="00762EB7">
        <w:rPr>
          <w:rFonts w:ascii="Book Antiqua" w:hAnsi="Book Antiqua"/>
          <w:bCs/>
          <w:lang w:val="en-GB" w:eastAsia="zh-CN"/>
        </w:rPr>
        <w:t xml:space="preserve"> </w:t>
      </w:r>
    </w:p>
    <w:bookmarkEnd w:id="5"/>
    <w:p w14:paraId="73F1014C" w14:textId="77777777" w:rsidR="00762EB7" w:rsidRPr="00A14F7E" w:rsidRDefault="00762EB7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FCBAF9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Corresponding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author: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Ming-Lung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MD,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PhD,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Adjunct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Professor,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Chief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Doctor,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Full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Professor,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of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Hepatobiliary,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Department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Center,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No.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Shin-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Chuan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Road,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Sanmin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District</w:t>
      </w:r>
      <w:r w:rsidRPr="00A14F7E">
        <w:rPr>
          <w:rFonts w:ascii="Book Antiqua" w:hAnsi="Book Antiqua" w:cs="Book Antiqua"/>
          <w:color w:val="000000"/>
          <w:lang w:eastAsia="zh-CN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80708,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fish6069@gmail.com</w:t>
      </w:r>
    </w:p>
    <w:p w14:paraId="441B9B0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2183D4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Received: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August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</w:t>
      </w:r>
    </w:p>
    <w:p w14:paraId="26F3BAC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Revised: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November</w:t>
      </w:r>
      <w:r w:rsidR="00A14F7E" w:rsidRPr="00A14F7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17,</w:t>
      </w:r>
      <w:r w:rsidR="00A14F7E" w:rsidRPr="00A14F7E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6F51A3BB" w14:textId="589769E9" w:rsidR="00E373A6" w:rsidRPr="00A97AF1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lastRenderedPageBreak/>
        <w:t>Accepted: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="00E8753C" w:rsidRPr="003D6141">
        <w:rPr>
          <w:rFonts w:ascii="Book Antiqua" w:eastAsia="Times New Roman" w:hAnsi="Book Antiqua" w:cs="Book Antiqua"/>
          <w:color w:val="000000"/>
        </w:rPr>
        <w:t>December 31, 2021</w:t>
      </w:r>
    </w:p>
    <w:p w14:paraId="2A0340A9" w14:textId="2A414476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Published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online: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="003D6141">
        <w:rPr>
          <w:rFonts w:ascii="Book Antiqua" w:eastAsia="Book Antiqua" w:hAnsi="Book Antiqua" w:cs="Book Antiqua"/>
          <w:color w:val="000000"/>
        </w:rPr>
        <w:t>January 14, 2022</w:t>
      </w:r>
    </w:p>
    <w:p w14:paraId="59D45375" w14:textId="77777777" w:rsidR="00711F4E" w:rsidRDefault="00711F4E" w:rsidP="00A14F7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419294F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Abstract</w:t>
      </w:r>
    </w:p>
    <w:p w14:paraId="2F69529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BACKGROUND</w:t>
      </w:r>
    </w:p>
    <w:p w14:paraId="7692780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especially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(PWID).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(DAA)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</w:p>
    <w:p w14:paraId="6C1339B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89B3DD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AIM</w:t>
      </w:r>
    </w:p>
    <w:p w14:paraId="369F1DE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</w:p>
    <w:p w14:paraId="114B938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B6806C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METHODS</w:t>
      </w:r>
    </w:p>
    <w:p w14:paraId="00D9AF0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cohorts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either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September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primary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endpoint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(SVR12,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undetectable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ribonucleic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(RNA)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end-of-treatment).</w:t>
      </w:r>
    </w:p>
    <w:p w14:paraId="3A1B8C9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DEE0EF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RESULTS</w:t>
      </w:r>
    </w:p>
    <w:p w14:paraId="40C029C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sofosbuvir/Ledipasvir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lower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diabetes,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hyperlipidemia,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kidney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levels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95.8%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(203/212)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vs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94.5%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(86/91),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intent-to-treat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(203/203)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vs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98.9%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(86/87),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per-protocol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-treated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</w:p>
    <w:p w14:paraId="270FF5F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A5CA8F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CONCLUSION</w:t>
      </w:r>
    </w:p>
    <w:p w14:paraId="3FCA5B6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5121523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65AD82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Key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Words: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D</w:t>
      </w:r>
      <w:r w:rsidRPr="00A14F7E">
        <w:rPr>
          <w:rFonts w:ascii="Book Antiqua" w:eastAsia="Times New Roman" w:hAnsi="Book Antiqua" w:cs="Book Antiqua"/>
          <w:color w:val="000000"/>
        </w:rPr>
        <w:t>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S</w:t>
      </w:r>
      <w:r w:rsidRPr="00A14F7E">
        <w:rPr>
          <w:rFonts w:ascii="Book Antiqua" w:eastAsia="Times New Roman" w:hAnsi="Book Antiqua" w:cs="Book Antiqua"/>
          <w:color w:val="000000"/>
        </w:rPr>
        <w:t>ofosbuvir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F2253E" w:rsidRPr="00A14F7E">
        <w:rPr>
          <w:rFonts w:ascii="Book Antiqua" w:hAnsi="Book Antiqua" w:cs="Book Antiqua"/>
          <w:color w:val="000000"/>
          <w:lang w:eastAsia="zh-CN"/>
        </w:rPr>
        <w:t>V</w:t>
      </w:r>
      <w:r w:rsidRPr="00A14F7E">
        <w:rPr>
          <w:rFonts w:ascii="Book Antiqua" w:eastAsia="Times New Roman" w:hAnsi="Book Antiqua" w:cs="Book Antiqua"/>
          <w:color w:val="000000"/>
        </w:rPr>
        <w:t>elpatasvir</w:t>
      </w:r>
      <w:proofErr w:type="spellEnd"/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P</w:t>
      </w:r>
      <w:r w:rsidRPr="00A14F7E">
        <w:rPr>
          <w:rFonts w:ascii="Book Antiqua" w:eastAsia="Times New Roman" w:hAnsi="Book Antiqua" w:cs="Book Antiqua"/>
          <w:color w:val="000000"/>
        </w:rPr>
        <w:t>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F2253E" w:rsidRPr="00A14F7E">
        <w:rPr>
          <w:rFonts w:ascii="Book Antiqua" w:hAnsi="Book Antiqua" w:cs="Book Antiqua"/>
          <w:color w:val="000000"/>
          <w:lang w:eastAsia="zh-CN"/>
        </w:rPr>
        <w:t>U</w:t>
      </w:r>
      <w:r w:rsidRPr="00A14F7E">
        <w:rPr>
          <w:rFonts w:ascii="Book Antiqua" w:eastAsia="Times New Roman" w:hAnsi="Book Antiqua" w:cs="Book Antiqua"/>
          <w:color w:val="000000"/>
        </w:rPr>
        <w:t>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</w:p>
    <w:p w14:paraId="6622118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7AD9AFA" w14:textId="77777777" w:rsidR="002303FF" w:rsidRPr="00E61B50" w:rsidRDefault="002303FF" w:rsidP="002303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" w:name="_Hlk88512344"/>
      <w:bookmarkStart w:id="7" w:name="_Hlk88512883"/>
      <w:bookmarkStart w:id="8" w:name="_Hlk88513225"/>
      <w:bookmarkStart w:id="9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6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7"/>
    <w:p w14:paraId="5A1F6221" w14:textId="77777777" w:rsidR="002303FF" w:rsidRPr="00E61B50" w:rsidRDefault="002303FF" w:rsidP="002303FF">
      <w:pPr>
        <w:spacing w:line="360" w:lineRule="auto"/>
        <w:jc w:val="both"/>
        <w:rPr>
          <w:lang w:eastAsia="zh-CN"/>
        </w:rPr>
      </w:pPr>
    </w:p>
    <w:p w14:paraId="03236681" w14:textId="6301872B" w:rsidR="006332EB" w:rsidRPr="00465C29" w:rsidRDefault="002303FF" w:rsidP="00465C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bookmarkStart w:id="10" w:name="_Hlk88512899"/>
      <w:bookmarkStart w:id="11" w:name="_Hlk88512352"/>
      <w:bookmarkEnd w:id="8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9"/>
      <w:bookmarkEnd w:id="10"/>
      <w:bookmarkEnd w:id="11"/>
      <w:r w:rsidR="00465C29" w:rsidRPr="00465C29">
        <w:rPr>
          <w:rFonts w:ascii="Book Antiqua" w:eastAsia="Times New Roman" w:hAnsi="Book Antiqua" w:cs="Book Antiqua"/>
          <w:color w:val="000000"/>
        </w:rPr>
        <w:t xml:space="preserve"> </w:t>
      </w:r>
      <w:r w:rsidR="00465C29" w:rsidRPr="00465C29">
        <w:rPr>
          <w:rFonts w:ascii="Book Antiqua" w:eastAsia="Times New Roman" w:hAnsi="Book Antiqua" w:cs="Book Antiqua"/>
          <w:color w:val="000000"/>
        </w:rPr>
        <w:t>Chen CT, Lu MY, Hsieh MH, Tsai PC, Hsieh TY, Yeh ML, Huang CI, Tsai YS, Ko</w:t>
      </w:r>
      <w:r w:rsidR="00465C29" w:rsidRPr="00465C29">
        <w:rPr>
          <w:rFonts w:ascii="Book Antiqua" w:eastAsia="Times New Roman" w:hAnsi="Book Antiqua" w:cs="Book Antiqua" w:hint="eastAsia"/>
          <w:color w:val="000000"/>
        </w:rPr>
        <w:t xml:space="preserve"> </w:t>
      </w:r>
      <w:r w:rsidR="00465C29" w:rsidRPr="00465C29">
        <w:rPr>
          <w:rFonts w:ascii="Book Antiqua" w:eastAsia="Times New Roman" w:hAnsi="Book Antiqua" w:cs="Book Antiqua"/>
          <w:color w:val="000000"/>
        </w:rPr>
        <w:t>YM, Lin CC, Chen KY, Wei YJ, Hsu PY, Hsu CT, Jang TY, Liu TW, Liang PC, Hsieh MY,</w:t>
      </w:r>
      <w:r w:rsidR="00465C29" w:rsidRPr="00465C29">
        <w:rPr>
          <w:rFonts w:ascii="Book Antiqua" w:eastAsia="Times New Roman" w:hAnsi="Book Antiqua" w:cs="Book Antiqua" w:hint="eastAsia"/>
          <w:color w:val="000000"/>
        </w:rPr>
        <w:t xml:space="preserve"> </w:t>
      </w:r>
      <w:r w:rsidR="00465C29" w:rsidRPr="00465C29">
        <w:rPr>
          <w:rFonts w:ascii="Book Antiqua" w:eastAsia="Times New Roman" w:hAnsi="Book Antiqua" w:cs="Book Antiqua"/>
          <w:color w:val="000000"/>
        </w:rPr>
        <w:t>Lin ZY, Huang CF, Huang JF, Dai CY, Chuang WL, Shih YL, Yu ML. Outreach onsite</w:t>
      </w:r>
      <w:r w:rsidR="00465C29" w:rsidRPr="00465C29">
        <w:rPr>
          <w:rFonts w:ascii="Book Antiqua" w:eastAsia="Times New Roman" w:hAnsi="Book Antiqua" w:cs="Book Antiqua" w:hint="eastAsia"/>
          <w:color w:val="000000"/>
        </w:rPr>
        <w:t xml:space="preserve"> </w:t>
      </w:r>
      <w:r w:rsidR="00465C29" w:rsidRPr="00465C29">
        <w:rPr>
          <w:rFonts w:ascii="Book Antiqua" w:eastAsia="Times New Roman" w:hAnsi="Book Antiqua" w:cs="Book Antiqua"/>
          <w:color w:val="000000"/>
        </w:rPr>
        <w:t xml:space="preserve">treatment with a simplified </w:t>
      </w:r>
      <w:proofErr w:type="spellStart"/>
      <w:r w:rsidR="00465C29" w:rsidRPr="00465C29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465C29" w:rsidRPr="00465C29">
        <w:rPr>
          <w:rFonts w:ascii="Book Antiqua" w:eastAsia="Times New Roman" w:hAnsi="Book Antiqua" w:cs="Book Antiqua"/>
          <w:color w:val="000000"/>
        </w:rPr>
        <w:t xml:space="preserve"> direct-acting anti-viral regimen for hepatitis C virus</w:t>
      </w:r>
      <w:r w:rsidR="00465C29" w:rsidRPr="00465C29">
        <w:rPr>
          <w:rFonts w:ascii="Book Antiqua" w:eastAsia="Times New Roman" w:hAnsi="Book Antiqua" w:cs="Book Antiqua" w:hint="eastAsia"/>
          <w:color w:val="000000"/>
        </w:rPr>
        <w:t xml:space="preserve"> </w:t>
      </w:r>
      <w:r w:rsidR="00465C29" w:rsidRPr="00465C29">
        <w:rPr>
          <w:rFonts w:ascii="Book Antiqua" w:eastAsia="Times New Roman" w:hAnsi="Book Antiqua" w:cs="Book Antiqua"/>
          <w:color w:val="000000"/>
        </w:rPr>
        <w:t>micro-elimination in a prison.</w:t>
      </w:r>
      <w:r w:rsidR="00A14F7E" w:rsidRPr="00465C29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i/>
          <w:iCs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3D6141">
        <w:rPr>
          <w:rFonts w:ascii="Book Antiqua" w:eastAsia="Book Antiqua" w:hAnsi="Book Antiqua" w:cs="Book Antiqua"/>
          <w:color w:val="000000"/>
        </w:rPr>
        <w:t xml:space="preserve">2022; 28(2): </w:t>
      </w:r>
      <w:r w:rsidR="006332EB">
        <w:rPr>
          <w:rFonts w:ascii="Book Antiqua" w:eastAsia="Book Antiqua" w:hAnsi="Book Antiqua" w:cs="Book Antiqua"/>
          <w:color w:val="000000"/>
        </w:rPr>
        <w:t>263-274</w:t>
      </w:r>
    </w:p>
    <w:p w14:paraId="26D37BCE" w14:textId="78105154" w:rsidR="006332EB" w:rsidRPr="006332EB" w:rsidRDefault="003D6141" w:rsidP="002303F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332EB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7" w:history="1">
        <w:r w:rsidR="006332EB" w:rsidRPr="00C34508">
          <w:rPr>
            <w:rStyle w:val="af0"/>
            <w:rFonts w:ascii="Book Antiqua" w:eastAsia="Book Antiqua" w:hAnsi="Book Antiqua" w:cs="Book Antiqua"/>
          </w:rPr>
          <w:t>https://www.wjgnet.com/1007-9327/full/v28/i2/263.htm</w:t>
        </w:r>
      </w:hyperlink>
    </w:p>
    <w:p w14:paraId="44082477" w14:textId="7897C4B3" w:rsidR="00E373A6" w:rsidRPr="006332EB" w:rsidRDefault="003D6141" w:rsidP="002303FF">
      <w:pPr>
        <w:spacing w:line="360" w:lineRule="auto"/>
        <w:jc w:val="both"/>
        <w:rPr>
          <w:rFonts w:ascii="Book Antiqua" w:hAnsi="Book Antiqua"/>
        </w:rPr>
      </w:pPr>
      <w:r w:rsidRPr="006332EB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332EB">
        <w:rPr>
          <w:rFonts w:ascii="Book Antiqua" w:eastAsia="Book Antiqua" w:hAnsi="Book Antiqua" w:cs="Book Antiqua"/>
          <w:color w:val="000000"/>
        </w:rPr>
        <w:t>https://dx.doi.org/10.3748/wjg.v28.i2.</w:t>
      </w:r>
      <w:r w:rsidR="006332EB">
        <w:rPr>
          <w:rFonts w:ascii="Book Antiqua" w:eastAsia="Book Antiqua" w:hAnsi="Book Antiqua" w:cs="Book Antiqua"/>
          <w:color w:val="000000"/>
        </w:rPr>
        <w:t>263</w:t>
      </w:r>
    </w:p>
    <w:p w14:paraId="076BC5B2" w14:textId="77777777" w:rsidR="00E373A6" w:rsidRPr="006332EB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C8BF6A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Core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Tip: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egimen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(PWID)-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30837A2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br w:type="page"/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EF3120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progressive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blood-borne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hepatocellular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carcinoma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1,2]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Iatrogenic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transfusion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surgery,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decreased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developed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countries.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Whereas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(PWID)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become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major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consist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approximately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3]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Given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vaccine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elimination.</w:t>
      </w:r>
    </w:p>
    <w:p w14:paraId="0E084050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ranging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3.1%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38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%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4,5]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resulted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unsafe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lifestyles,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psychiatric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disorders,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problems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Recently,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6]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7]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issue.</w:t>
      </w:r>
    </w:p>
    <w:p w14:paraId="6D97EA64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American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Association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European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Association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(EASL)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year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8,9]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therapeutic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revolutionized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because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(DAA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)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10]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(IFN)-based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therapeutic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contraindications,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cascade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shorter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profiles,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12]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also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special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[13]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HCV/human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immunodeficiency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(HIV)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(HBV)/HCV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kidney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real-world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settings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[14,15]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7807FA6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Organization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(WHO)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2030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[16]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ambitious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2025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[17]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regarding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plus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maintenance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hemodialysis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19]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651E6030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Recently,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latest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either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increase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accessibility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whatever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8]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595D0DBE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Since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administered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unawareness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difficultly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easily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hepatologist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prison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20]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collaboration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hepatologists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demanded.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Herein,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</w:p>
    <w:p w14:paraId="61E518F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CFBF85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MATERIALS</w:t>
      </w:r>
      <w:r w:rsidR="00A14F7E"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AND</w:t>
      </w:r>
      <w:r w:rsidR="00A14F7E"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METHODS</w:t>
      </w:r>
    </w:p>
    <w:p w14:paraId="5972694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linked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micro-elimination</w:t>
      </w:r>
    </w:p>
    <w:p w14:paraId="153CF26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cohorts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(Agency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Corrections,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Ministry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Justice,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hAnsi="Book Antiqua" w:cs="Book Antiqua"/>
          <w:color w:val="000000"/>
          <w:lang w:eastAsia="zh-CN"/>
        </w:rPr>
        <w:t>F</w:t>
      </w:r>
      <w:r w:rsidRPr="00A14F7E">
        <w:rPr>
          <w:rFonts w:ascii="Book Antiqua" w:eastAsia="Times New Roman" w:hAnsi="Book Antiqua" w:cs="Book Antiqua"/>
          <w:color w:val="000000"/>
        </w:rPr>
        <w:t>igure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1).</w:t>
      </w:r>
    </w:p>
    <w:p w14:paraId="5E2C22B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3BF93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b/>
        </w:rPr>
      </w:pP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b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iCs/>
          <w:color w:val="000000"/>
        </w:rPr>
        <w:t>screening</w:t>
      </w:r>
    </w:p>
    <w:p w14:paraId="3DD51BD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September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conducted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5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criteria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old,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willing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KMUHIRB-SV(I)-20190033).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written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1,137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1,697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396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(34.8%)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seropositivity;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(52.5%)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396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seropositive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ribonucleic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(RNA)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regimen.</w:t>
      </w:r>
    </w:p>
    <w:p w14:paraId="339A8F14" w14:textId="77777777" w:rsidR="00574F4A" w:rsidRPr="00A14F7E" w:rsidRDefault="00574F4A" w:rsidP="00A14F7E">
      <w:pPr>
        <w:spacing w:line="360" w:lineRule="auto"/>
        <w:jc w:val="both"/>
        <w:rPr>
          <w:rFonts w:ascii="Book Antiqua" w:hAnsi="Book Antiqua" w:cs="Book Antiqua"/>
          <w:i/>
          <w:iCs/>
          <w:color w:val="000000"/>
          <w:lang w:eastAsia="zh-CN"/>
        </w:rPr>
      </w:pPr>
    </w:p>
    <w:p w14:paraId="4B6FC90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i/>
          <w:iCs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period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screening</w:t>
      </w:r>
    </w:p>
    <w:p w14:paraId="1A801EC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August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also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regimen.</w:t>
      </w:r>
    </w:p>
    <w:p w14:paraId="4029C78E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evaluation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abdominal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sonography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drug–drug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400/100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fixed-dose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initiated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January-February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</w:p>
    <w:p w14:paraId="1DD977D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3AD64F9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DAAs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screening</w:t>
      </w:r>
    </w:p>
    <w:p w14:paraId="4AB906D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selection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physician’s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discretion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criteria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reimbursement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Insurance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Administration,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evaluation,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abdominal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sonography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drug–drug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interactions.</w:t>
      </w:r>
    </w:p>
    <w:p w14:paraId="3748208D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forms.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protected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Declaration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Helsinki.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TSGHIRB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2-107-05-080).</w:t>
      </w:r>
    </w:p>
    <w:p w14:paraId="65158EC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7131BB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Assessment,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endpoints</w:t>
      </w:r>
    </w:p>
    <w:p w14:paraId="031A465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antibody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determined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commercially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immunoassay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SYM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III;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Abbott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North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Chicago,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IL).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determined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real-time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assays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RealTime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Abbott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Molecular,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Plaines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United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States</w:t>
      </w:r>
      <w:r w:rsidRPr="00A14F7E">
        <w:rPr>
          <w:rFonts w:ascii="Book Antiqua" w:eastAsia="Times New Roman" w:hAnsi="Book Antiqua" w:cs="Book Antiqua"/>
          <w:color w:val="000000"/>
        </w:rPr>
        <w:t>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limit: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IU/mL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])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22]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radiological,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endoscopic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and/or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portal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(FIB-4)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(&gt;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6.5).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(EOT),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EOT.</w:t>
      </w:r>
    </w:p>
    <w:p w14:paraId="220A61A9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primary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endpoint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(SVR12,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undetectable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throughout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post-treatment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period).</w:t>
      </w:r>
    </w:p>
    <w:p w14:paraId="03515E4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63997D2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Statistical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analyses.</w:t>
      </w:r>
    </w:p>
    <w:p w14:paraId="12638BC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determined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a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intent-to-treat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(ITT)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per-protocol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(PP)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(subjects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throughout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(AE),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(SAE)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abnormalities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Continuous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expressed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±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standard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deviation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(SD),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categorical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expressed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percentages.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differences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continuous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estimated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Student’s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differences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categorical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variables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Chi-square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off-treatment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number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percentages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confidence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interval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(CI).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software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18.0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(SPSS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Inc.,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Chicago,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Illinois,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United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574F4A" w:rsidRPr="00A14F7E">
        <w:rPr>
          <w:rFonts w:ascii="Book Antiqua" w:eastAsia="Times New Roman" w:hAnsi="Book Antiqua" w:cs="Book Antiqua"/>
          <w:color w:val="000000"/>
        </w:rPr>
        <w:t>States</w:t>
      </w:r>
      <w:r w:rsidRPr="00A14F7E">
        <w:rPr>
          <w:rFonts w:ascii="Book Antiqua" w:eastAsia="Times New Roman" w:hAnsi="Book Antiqua" w:cs="Book Antiqua"/>
          <w:color w:val="000000"/>
        </w:rPr>
        <w:t>).</w:t>
      </w:r>
    </w:p>
    <w:p w14:paraId="0FF621C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07A393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RESULTS</w:t>
      </w:r>
    </w:p>
    <w:p w14:paraId="1BF0D03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flowchart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campaign</w:t>
      </w:r>
    </w:p>
    <w:p w14:paraId="007179E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flowchart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shown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Figure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eligibility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Twenty-two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excluded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scheduled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jail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16)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jails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mo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unwilling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Finally,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recruited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initiated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January-February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2020.</w:t>
      </w:r>
    </w:p>
    <w:p w14:paraId="1C5F0A5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51C302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characteristics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</w:p>
    <w:p w14:paraId="257116C3" w14:textId="77777777" w:rsidR="00E373A6" w:rsidRPr="00A14F7E" w:rsidRDefault="00E373A6" w:rsidP="00A14F7E">
      <w:pPr>
        <w:spacing w:line="360" w:lineRule="auto"/>
        <w:jc w:val="both"/>
        <w:rPr>
          <w:rFonts w:ascii="Book Antiqua" w:eastAsia="PMingLiU" w:hAnsi="Book Antiqua"/>
          <w:lang w:eastAsia="zh-TW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baseline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characteristics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listed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48.4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(99.7%).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Thirty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(9.9%)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HBV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1.3,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(6.6%)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3.25).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(0.3%)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levels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6.5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IU/mL,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(HCV-GT1,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42.2%),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(35.3%),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(11.6%)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(10.6%).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IFN-experienced.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characteristics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terms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gender,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HBV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However,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comorbidities,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diabetes,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hyperlipidemia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estimated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glomerular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filtration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(eGFR)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&lt;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mL/min/1.73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lower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cancer.</w:t>
      </w:r>
    </w:p>
    <w:p w14:paraId="7E8301F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2EEDE4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="00574F4A" w:rsidRPr="00A14F7E">
        <w:rPr>
          <w:rFonts w:ascii="Book Antiqua" w:hAnsi="Book Antiqua" w:cs="Book Antiqua"/>
          <w:b/>
          <w:bCs/>
          <w:i/>
          <w:color w:val="000000"/>
          <w:lang w:eastAsia="zh-CN"/>
        </w:rPr>
        <w:t>e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fficacy</w:t>
      </w:r>
    </w:p>
    <w:p w14:paraId="20D2D40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(85.7%)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sofosbuvir/Ledipasvir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(14.3%)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8-12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guideline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12,13]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531C5F1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95.4%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(289/303)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(94.5%,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86/91)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(95.8%,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203/212,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0.126,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39520B">
        <w:rPr>
          <w:rFonts w:ascii="Book Antiqua" w:hAnsi="Book Antiqua" w:cs="Book Antiqua" w:hint="eastAsia"/>
          <w:color w:val="000000"/>
          <w:lang w:eastAsia="zh-CN"/>
        </w:rPr>
        <w:t>T</w:t>
      </w:r>
      <w:r w:rsidRPr="00A14F7E">
        <w:rPr>
          <w:rFonts w:ascii="Book Antiqua" w:eastAsia="Times New Roman" w:hAnsi="Book Antiqua" w:cs="Book Antiqua"/>
          <w:color w:val="000000"/>
        </w:rPr>
        <w:t>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2).</w:t>
      </w:r>
    </w:p>
    <w:p w14:paraId="0278EAB2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post-treatment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99.7%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(289/290)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(98.9%,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86/87)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(100%,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203/203,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=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0.126,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39520B">
        <w:rPr>
          <w:rFonts w:ascii="Book Antiqua" w:hAnsi="Book Antiqua" w:cs="Book Antiqua" w:hint="eastAsia"/>
          <w:color w:val="000000"/>
          <w:lang w:eastAsia="zh-CN"/>
        </w:rPr>
        <w:t>T</w:t>
      </w:r>
      <w:r w:rsidRPr="00A14F7E">
        <w:rPr>
          <w:rFonts w:ascii="Book Antiqua" w:eastAsia="Times New Roman" w:hAnsi="Book Antiqua" w:cs="Book Antiqua"/>
          <w:color w:val="000000"/>
        </w:rPr>
        <w:t>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(54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years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baseline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62,883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IU/mL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FIB-4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2.37;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relapsed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).</w:t>
      </w:r>
    </w:p>
    <w:p w14:paraId="73D0735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EE6F30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i/>
        </w:rPr>
      </w:pP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b/>
          <w:bCs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i/>
          <w:color w:val="000000"/>
        </w:rPr>
        <w:t>profiles</w:t>
      </w:r>
    </w:p>
    <w:p w14:paraId="1D05691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profiles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shown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4.3%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(4/91)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1.4%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(3/212),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rash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(23.1%)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pruritus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(0.9%)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abnormality.</w:t>
      </w:r>
    </w:p>
    <w:p w14:paraId="739CAD1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CA9CF4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DISCUSSION</w:t>
      </w:r>
    </w:p>
    <w:p w14:paraId="7981DB5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demonstrated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“one-size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solution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95.6%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end-of-follow-up.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observed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diverse,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</w:p>
    <w:p w14:paraId="05C87ED0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Recent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development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remarkably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90%.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2030,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through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eligible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16]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Nevertheless,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barriers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level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11,23]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overcome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barriers,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goal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18,24]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found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5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1137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(encountered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around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two-third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September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results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demonstrated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solution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overcome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gaps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awareness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link-to-care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addition,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reflex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scale-up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speed-up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link-to-care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uptake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infections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25]</w:t>
      </w:r>
      <w:r w:rsidRPr="00A14F7E">
        <w:rPr>
          <w:rFonts w:ascii="Book Antiqua" w:eastAsia="Times New Roman" w:hAnsi="Book Antiqua" w:cs="Book Antiqua"/>
          <w:color w:val="000000"/>
        </w:rPr>
        <w:t>.</w:t>
      </w:r>
    </w:p>
    <w:p w14:paraId="77B59BBE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known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major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Although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decreased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91%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34.8%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Taiwan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21]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almost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(97.6%)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Given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vaccine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transmission,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“treatment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prevention”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keys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PWID.</w:t>
      </w:r>
    </w:p>
    <w:p w14:paraId="0D24D25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observed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significantly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comorbidities,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diabetes,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hypertension,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hyperlipidemia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eGFR,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campaign.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implicated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proportion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identified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sporadically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concomitant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morbidities;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contrast,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unaware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36.6%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(145/396)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aware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indicates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necessary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</w:p>
    <w:p w14:paraId="58A6396F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Despite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remains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obstacles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resolved,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unawareness,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updated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benefits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uncertainty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right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26]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accessibility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facilities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difficulty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scheduled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leads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interruption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lost-to-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up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20,27]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lucky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Insurance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covered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ultrasound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sonography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point-of-care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facility.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initiating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excluded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negotiated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avoid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unnecessary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period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entering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course.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Eventually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90.6%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(212/234)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95.8%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(203/212),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100%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(212/212).</w:t>
      </w:r>
    </w:p>
    <w:p w14:paraId="7BF62B64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lower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longer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discouraged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10]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revolutionized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largely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extended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indication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various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Nevertheless,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application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typical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are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function,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&gt;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95%,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regardless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GT3b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8,12,13]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Recently,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improve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reduce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relative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complexity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genotype-based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decision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facilitate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historically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engaged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healthcare,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(except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plus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ribavirin),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HCV-HIV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adolescent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adult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regardless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genotypes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non-cirrhotic,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cirrhotic,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GT3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respectively.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information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before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viremia,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presence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advantages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is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shorter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IFN-experienced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non-cirrhotic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benefit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short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term.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However,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protease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inhibitor,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contraindicated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occurrence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drug-induced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injury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28]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Also,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pill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burden,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advantages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include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fixed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260FA4">
        <w:rPr>
          <w:rFonts w:ascii="Book Antiqua" w:eastAsia="Times New Roman" w:hAnsi="Book Antiqua" w:cs="Book Antiqua"/>
          <w:color w:val="000000"/>
        </w:rPr>
        <w:t xml:space="preserve"> d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interactions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29]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decompensation.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However,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visit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select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HCV-viremic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criteria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enrolled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overall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(98.9%,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86/87)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(100%,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203/203).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2DEB93E4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experienced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indicated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tolerated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PWID-dominant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whatever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sofosbuvir/Ledipasvir,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compared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trials</w:t>
      </w:r>
      <w:r w:rsidRPr="00A14F7E">
        <w:rPr>
          <w:rFonts w:ascii="Book Antiqua" w:eastAsia="Times New Roman" w:hAnsi="Book Antiqua" w:cs="Book Antiqua"/>
          <w:color w:val="000000"/>
          <w:vertAlign w:val="superscript"/>
        </w:rPr>
        <w:t>[</w:t>
      </w:r>
      <w:proofErr w:type="gramEnd"/>
      <w:r w:rsidRPr="00A14F7E">
        <w:rPr>
          <w:rFonts w:ascii="Book Antiqua" w:eastAsia="Times New Roman" w:hAnsi="Book Antiqua" w:cs="Book Antiqua"/>
          <w:color w:val="000000"/>
          <w:vertAlign w:val="superscript"/>
        </w:rPr>
        <w:t>30,31]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might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younger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advanced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fibrosis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kidney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diseases.</w:t>
      </w:r>
    </w:p>
    <w:p w14:paraId="41954F58" w14:textId="77777777" w:rsidR="00E373A6" w:rsidRPr="00A14F7E" w:rsidRDefault="00E373A6" w:rsidP="00A14F7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limitations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First,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policy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encourage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mandatory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Second,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unexpected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prisoners’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transferral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completely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avoided,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caused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incomplete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linking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released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transferred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another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help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completing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follow-up.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Third,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reimbursement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time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current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study.</w:t>
      </w:r>
    </w:p>
    <w:p w14:paraId="1811C1A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C3FFA7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CONCLUSION</w:t>
      </w:r>
    </w:p>
    <w:p w14:paraId="3D78814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Well-designed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collaboration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physicians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authorities.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demonstrated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immediate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pangenotypic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</w:p>
    <w:p w14:paraId="530500F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2032B6D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ARTICLE</w:t>
      </w:r>
      <w:r w:rsidR="00A14F7E"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 xml:space="preserve"> </w:t>
      </w:r>
      <w:r w:rsidRPr="00A14F7E">
        <w:rPr>
          <w:rFonts w:ascii="Book Antiqua" w:eastAsia="Times New Roman" w:hAnsi="Book Antiqua" w:cs="Book Antiqua"/>
          <w:b/>
          <w:caps/>
          <w:color w:val="000000"/>
          <w:u w:val="single"/>
        </w:rPr>
        <w:t>HIGHLIGHTS</w:t>
      </w:r>
    </w:p>
    <w:p w14:paraId="4EA5955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background</w:t>
      </w:r>
    </w:p>
    <w:p w14:paraId="415F12E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risk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(HCV)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important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issue.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micro-elimination.</w:t>
      </w:r>
    </w:p>
    <w:p w14:paraId="7765392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14D819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motivation</w:t>
      </w:r>
    </w:p>
    <w:p w14:paraId="1570D57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frequently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administered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due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multiple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Therefore,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onsite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prison.</w:t>
      </w:r>
    </w:p>
    <w:p w14:paraId="24BA3A1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753F72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objectives</w:t>
      </w:r>
    </w:p>
    <w:p w14:paraId="0B3DBDD2" w14:textId="77777777" w:rsidR="00E373A6" w:rsidRPr="00A14F7E" w:rsidRDefault="00574F4A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strategy.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simplified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pan-genotypic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antivirals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(DAA)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regimen,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E373A6"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="00E373A6"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E373A6"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primary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endpoint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sustained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response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(SVR12,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defined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undetectable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RNA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throughout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E373A6"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post-treatment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follow-up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E373A6" w:rsidRPr="00A14F7E">
        <w:rPr>
          <w:rFonts w:ascii="Book Antiqua" w:eastAsia="Times New Roman" w:hAnsi="Book Antiqua" w:cs="Book Antiqua"/>
          <w:color w:val="000000"/>
        </w:rPr>
        <w:t>period).</w:t>
      </w:r>
    </w:p>
    <w:p w14:paraId="5AA7DBE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4ACB88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methods</w:t>
      </w:r>
    </w:p>
    <w:p w14:paraId="212FCF4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participants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blood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reflex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received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performed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end-of-treatment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(EOT),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after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EOT.</w:t>
      </w:r>
    </w:p>
    <w:p w14:paraId="422FFED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6510182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results</w:t>
      </w:r>
    </w:p>
    <w:p w14:paraId="2CB3ABE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DAA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virological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failure,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discontinuation,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serious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adverse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-treated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group.</w:t>
      </w:r>
    </w:p>
    <w:p w14:paraId="03D7527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7682FE2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conclusions</w:t>
      </w:r>
    </w:p>
    <w:p w14:paraId="1A5E4D4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Well-designed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screening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successfully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collaboration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physicians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authorities.</w:t>
      </w:r>
    </w:p>
    <w:p w14:paraId="2EC8897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E4E9C2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i/>
          <w:color w:val="000000"/>
        </w:rPr>
        <w:t>Research</w:t>
      </w:r>
      <w:r w:rsidR="00A14F7E" w:rsidRPr="00A14F7E">
        <w:rPr>
          <w:rFonts w:ascii="Book Antiqua" w:eastAsia="Times New Roman" w:hAnsi="Book Antiqua" w:cs="Book Antiqua"/>
          <w:b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i/>
          <w:color w:val="000000"/>
        </w:rPr>
        <w:t>perspectives</w:t>
      </w:r>
    </w:p>
    <w:p w14:paraId="08C9830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concept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simplified,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genotyping/subtyping-free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high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SVR12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future,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possible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implement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country.</w:t>
      </w:r>
    </w:p>
    <w:p w14:paraId="35B4448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FB52C6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REFERENCES</w:t>
      </w:r>
    </w:p>
    <w:p w14:paraId="447665C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Omata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Kanda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Ibrahim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Lesmana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Sollano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Kumar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Jindal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Sharma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Hamid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Dokmeci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Al-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Mahtab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McCaughan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Wasim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Crawford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Yokosuka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Sarin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SK.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consensus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statements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epidemiology,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laboratory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2016;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681-701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27229718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10.1007/s12072-016-9736-3]</w:t>
      </w:r>
    </w:p>
    <w:p w14:paraId="0D2C749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discovery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Honoring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winners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Nobel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Prize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Physiology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Sci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7-11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33337581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10.1002/kjm2.12345]</w:t>
      </w:r>
    </w:p>
    <w:p w14:paraId="7D8290A2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Prevost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TC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Presanis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Taylor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Goldberg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Hutchinson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Angelis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Estimating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number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diagnosed: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evidence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synthesis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Scotland.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Addiction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2015;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1287-1300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25876667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10.1111/add.12948]</w:t>
      </w:r>
    </w:p>
    <w:p w14:paraId="14F3A2B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465C29">
        <w:rPr>
          <w:rFonts w:ascii="Book Antiqua" w:eastAsia="Times New Roman" w:hAnsi="Book Antiqua" w:cs="Book Antiqua"/>
          <w:color w:val="000000"/>
          <w:lang w:val="pt-BR"/>
        </w:rPr>
        <w:lastRenderedPageBreak/>
        <w:t>4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b/>
          <w:bCs/>
          <w:color w:val="000000"/>
          <w:lang w:val="pt-BR"/>
        </w:rPr>
        <w:t>Santos</w:t>
      </w:r>
      <w:r w:rsidR="00A14F7E" w:rsidRPr="00465C29">
        <w:rPr>
          <w:rFonts w:ascii="Book Antiqua" w:eastAsia="Times New Roman" w:hAnsi="Book Antiqua" w:cs="Book Antiqua"/>
          <w:b/>
          <w:bCs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b/>
          <w:bCs/>
          <w:color w:val="000000"/>
          <w:lang w:val="pt-BR"/>
        </w:rPr>
        <w:t>BF</w:t>
      </w:r>
      <w:r w:rsidRPr="00465C29">
        <w:rPr>
          <w:rFonts w:ascii="Book Antiqua" w:eastAsia="Times New Roman" w:hAnsi="Book Antiqua" w:cs="Book Antiqua"/>
          <w:color w:val="000000"/>
          <w:lang w:val="pt-BR"/>
        </w:rPr>
        <w:t>,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color w:val="000000"/>
          <w:lang w:val="pt-BR"/>
        </w:rPr>
        <w:t>de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color w:val="000000"/>
          <w:lang w:val="pt-BR"/>
        </w:rPr>
        <w:t>Santana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color w:val="000000"/>
          <w:lang w:val="pt-BR"/>
        </w:rPr>
        <w:t>NO,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color w:val="000000"/>
          <w:lang w:val="pt-BR"/>
        </w:rPr>
        <w:t>Franca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465C29">
        <w:rPr>
          <w:rFonts w:ascii="Book Antiqua" w:eastAsia="Times New Roman" w:hAnsi="Book Antiqua" w:cs="Book Antiqua"/>
          <w:color w:val="000000"/>
          <w:lang w:val="pt-BR"/>
        </w:rPr>
        <w:t>AV.</w:t>
      </w:r>
      <w:r w:rsidR="00A14F7E" w:rsidRPr="00465C29">
        <w:rPr>
          <w:rFonts w:ascii="Book Antiqua" w:eastAsia="Times New Roman" w:hAnsi="Book Antiqua" w:cs="Book Antiqua"/>
          <w:color w:val="000000"/>
          <w:lang w:val="pt-BR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factors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associated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Northeastern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Brazil.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World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3027-3034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21799649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10.3748/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wjg.v17.i</w:t>
      </w:r>
      <w:proofErr w:type="gramEnd"/>
      <w:r w:rsidRPr="00A14F7E">
        <w:rPr>
          <w:rFonts w:ascii="Book Antiqua" w:eastAsia="Times New Roman" w:hAnsi="Book Antiqua" w:cs="Book Antiqua"/>
          <w:color w:val="000000"/>
        </w:rPr>
        <w:t>25.3027]</w:t>
      </w:r>
    </w:p>
    <w:p w14:paraId="61B731A8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Reekie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JM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Levy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Richards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Siddall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Beasley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Kumar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Butler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Trends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HIV,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Australian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-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2004,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2007,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2010.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200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277-280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24641153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10.5694/mja13.11062]</w:t>
      </w:r>
    </w:p>
    <w:p w14:paraId="4BF8E3A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Rosa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Fd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Carneiro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Duro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Valim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Reuter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Burgos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Possuelo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Prevalence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anti-HCV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inmate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Rev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Assoc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Bras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(1992)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2012;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58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557-560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23090226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10.1590/s0104-42302012000500012]</w:t>
      </w:r>
    </w:p>
    <w:p w14:paraId="26436866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without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immunodeficiency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color w:val="000000"/>
        </w:rPr>
        <w:t>PLoS</w:t>
      </w:r>
      <w:proofErr w:type="spellEnd"/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One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2014;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e94791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[DOI: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10.1371/journal.pone.0094791]</w:t>
      </w:r>
    </w:p>
    <w:p w14:paraId="0308D0E6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European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Association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Liver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Guidelines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Panel: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Chair;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Governing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representative;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members.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EASL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update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series.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73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1170-1218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[DOI: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10.1016/j.jhep.2020.08.018]</w:t>
      </w:r>
    </w:p>
    <w:p w14:paraId="0442B1B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AASLD-IDSA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Guidance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b/>
          <w:bCs/>
          <w:color w:val="000000"/>
        </w:rPr>
        <w:t>Panel.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Guidance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Update: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AASLD-IDSA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Recommendations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Testing,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Managing,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Infect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67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1477-1492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30215672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10.1093/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cid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/ciy585]</w:t>
      </w:r>
    </w:p>
    <w:p w14:paraId="0DA9839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"response-guided"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"resource-guided"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transition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era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from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interferon-containing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regimens.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2017;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32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1436-1442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28124463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10.1111/jgh.13747]</w:t>
      </w:r>
    </w:p>
    <w:p w14:paraId="3B2B1AB5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between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efficacy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community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effectiveness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nationwide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survey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Medicine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(Baltimore)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2015;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94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e690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25837762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10.1097/MD.0000000000000690]</w:t>
      </w:r>
    </w:p>
    <w:p w14:paraId="7FAC65E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12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consensus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statement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Formos</w:t>
      </w:r>
      <w:proofErr w:type="spellEnd"/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Assoc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1019-1040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32359879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10.1016/j.jfma.2020.04.003]</w:t>
      </w:r>
    </w:p>
    <w:p w14:paraId="13CF719F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consensus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statement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management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Part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(II)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special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populations.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Formos</w:t>
      </w:r>
      <w:proofErr w:type="spellEnd"/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Assoc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1135-1157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32354689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10.1016/j.jfma.2020.04.002]</w:t>
      </w:r>
    </w:p>
    <w:p w14:paraId="1846948A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Holmes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B-related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outcomes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following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HBV/HCV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co-infection.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73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62-71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32061869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10.1016/j.jhep.2020.01.027]</w:t>
      </w:r>
    </w:p>
    <w:p w14:paraId="66BD3950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Martin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NK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Jansen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Heiden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Boesecke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Boyd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Schewe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Baumgarten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Lutz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Christensen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Thielen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Mauss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Rockstroh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Skaathun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Ingiliz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Immunodeficiency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Virus-Infected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gramStart"/>
      <w:r w:rsidRPr="00A14F7E">
        <w:rPr>
          <w:rFonts w:ascii="Book Antiqua" w:eastAsia="Times New Roman" w:hAnsi="Book Antiqua" w:cs="Book Antiqua"/>
          <w:color w:val="000000"/>
        </w:rPr>
        <w:t>With</w:t>
      </w:r>
      <w:proofErr w:type="gram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Berlin: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Modeling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Analysis.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Infect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220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1635-1644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31301142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10.1093/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infdis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/jiz367]</w:t>
      </w:r>
    </w:p>
    <w:p w14:paraId="044CA156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Lancaster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K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Rhodes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Rance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"Towards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hepatitis":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Examining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productive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capacity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constitutive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policy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Drug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Policy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80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102419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30975593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10.1016/j.drugpo.2019.02.008]</w:t>
      </w:r>
    </w:p>
    <w:p w14:paraId="0AD6099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GH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Pwu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track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accelerating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2025.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40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1506-1507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32086990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10.1111/liv.14412]</w:t>
      </w:r>
    </w:p>
    <w:p w14:paraId="503B3CF9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18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Lazarus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JV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Safreed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-Harmon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Thursz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Dillon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El-Sayed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Elsharkawy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Hatzakis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Jadoul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Prestileo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Razavi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Rockstroh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Wiktor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SZ,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Colombo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Micro-Elimination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Strategic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Operational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Considerations.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Semin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Liver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38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181-192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29986353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10.1055/s-0038-1666841]</w:t>
      </w:r>
    </w:p>
    <w:p w14:paraId="0B9F091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lastRenderedPageBreak/>
        <w:t>19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Niu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FORMOSA-LIKE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investigators.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Establishment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grouping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healthcare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system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achieve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microelimination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uremic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haemodialysis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centres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(ERASE-C).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Gut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70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2349-2358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33303567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10.1136/gutjnl-2020-323277]</w:t>
      </w:r>
    </w:p>
    <w:p w14:paraId="6F2D12D1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Lloyd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AR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Clegg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Lange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Stevenson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Lloyd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Rudge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Boonwaat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Forrest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Douglas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Monkley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Safety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effectiveness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nurse-led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outreach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program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assessment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custodial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setting.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Infect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Dis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2013;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56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1078-1084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23362288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10.1093/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cid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/cis1202]</w:t>
      </w:r>
    </w:p>
    <w:p w14:paraId="2F37DD1A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MY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Shih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Wei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epidemiology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interplay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injecting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user-dominant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Sci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Rep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11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8554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33879825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10.1038/s41598-021-87975-5]</w:t>
      </w:r>
    </w:p>
    <w:p w14:paraId="0D2A0DF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Vermehren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J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JD,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Anderson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Bertuzis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Schneider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Sarrazin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Multi-center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evaluation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Abbott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RealTime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assay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monitoring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undergoing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Virol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52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133-137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21803650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10.1016/j.jcv.2011.07.007]</w:t>
      </w:r>
    </w:p>
    <w:p w14:paraId="2167205D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CF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Unmet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needs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era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26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251-260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32188235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10.3350/cmh.2020.0018]</w:t>
      </w:r>
    </w:p>
    <w:p w14:paraId="0C5162E2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Heffernan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Cooke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Nayagam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Thursz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Hallett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TB.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Scaling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prevention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elimination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global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mathematical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model.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Lancet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2019;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393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1319-1329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30704789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10.1016/S0140-6736(18)32277-3]</w:t>
      </w:r>
    </w:p>
    <w:p w14:paraId="294B3C70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25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CF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Dai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Scaling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in-hospital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cascade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Clin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27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136-143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33317253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10.3350/cmh.2020.0150]</w:t>
      </w:r>
    </w:p>
    <w:p w14:paraId="465A6157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Daniels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AM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Studdert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DM.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-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Incarcerated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People's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Uncertain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Right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Therapy.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Engl</w:t>
      </w:r>
      <w:proofErr w:type="spellEnd"/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383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611-613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32786186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10.1056/NEJMp2004438]</w:t>
      </w:r>
    </w:p>
    <w:p w14:paraId="1455197B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Yap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Carruthers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Thompson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Jones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Simpson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Richards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Lloyd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Butler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descriptive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model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readiness,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motivators,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uptake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among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Australian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prisoners.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PLoS</w:t>
      </w:r>
      <w:proofErr w:type="spellEnd"/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One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2014;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9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e87564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24586281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10.1371/journal.pone.0087564]</w:t>
      </w:r>
    </w:p>
    <w:p w14:paraId="1FBF331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b/>
          <w:bCs/>
          <w:color w:val="000000"/>
        </w:rPr>
        <w:t>Lampertico</w:t>
      </w:r>
      <w:proofErr w:type="spellEnd"/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P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Mauss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Persico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Barclay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Marx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Lohmann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Bondin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Z,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Marra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Belperio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Wedemeyer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Flamm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Real-World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Clinical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Practice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8</w:t>
      </w:r>
      <w:r w:rsidR="00260FA4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="00260FA4">
        <w:rPr>
          <w:rFonts w:ascii="Book Antiqua" w:eastAsia="Times New Roman" w:hAnsi="Book Antiqua" w:cs="Book Antiqua"/>
          <w:color w:val="000000"/>
        </w:rPr>
        <w:t>wk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Glecaprevir</w:t>
      </w:r>
      <w:proofErr w:type="spellEnd"/>
      <w:r w:rsidRPr="00A14F7E">
        <w:rPr>
          <w:rFonts w:ascii="Book Antiqua" w:eastAsia="Times New Roman" w:hAnsi="Book Antiqua" w:cs="Book Antiqua"/>
          <w:color w:val="000000"/>
        </w:rPr>
        <w:t>/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Pibrentasvir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Treatment-Naïve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Compensated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Cirrhosis.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Adv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Ther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2020;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37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4033-4042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32754824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10.1007/s12325-020-01449-0]</w:t>
      </w:r>
    </w:p>
    <w:p w14:paraId="0518B88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29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Liu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Hsieh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Su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Q,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Brooks-Rooney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Comorbidities,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concomitant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drug-drug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interactions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interferon-free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direct-acting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antiviral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Aliment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Pharmacol</w:t>
      </w:r>
      <w:proofErr w:type="spellEnd"/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Ther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2018;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48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1290-1300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30362139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10.1111/apt.15011]</w:t>
      </w:r>
    </w:p>
    <w:p w14:paraId="206CCAF9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30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Chuang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WL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Chien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Sheen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Chen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Knox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Garrison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Hsu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YC,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Chu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JH.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Ledipasvir/sofosbuvir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fixed-dose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combination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tablet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Taiwanese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patients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chronic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hepatitis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virus.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Gastroenterol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Hepatol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2016;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31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1323-1329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26841930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10.1111/jgh.13305]</w:t>
      </w:r>
    </w:p>
    <w:p w14:paraId="08B36C75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color w:val="000000"/>
        </w:rPr>
        <w:t>31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Foster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GR</w:t>
      </w:r>
      <w:r w:rsidRPr="00A14F7E">
        <w:rPr>
          <w:rFonts w:ascii="Book Antiqua" w:eastAsia="Times New Roman" w:hAnsi="Book Antiqua" w:cs="Book Antiqua"/>
          <w:color w:val="000000"/>
        </w:rPr>
        <w:t>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Afdhal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Roberts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Bräu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Gane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Pianko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Lawitz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Thompson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Shiffman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Cooper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Towner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Conway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Ruane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Bourlière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Asselah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Berg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Zeuzem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Rosenberg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Agarwal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Stedman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Dvory-Sobol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McNally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Osinusi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Brainard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DM,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McHutchison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JG,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Mazzotta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Gordon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SC,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Patel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Reau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Mangia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Sulkowski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ASTRAL-2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Investigators;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lastRenderedPageBreak/>
        <w:t>ASTRAL-3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Investigators.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Sofosbuvir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Velpatasvir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HCV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Genotype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3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Infection.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N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i/>
          <w:iCs/>
          <w:color w:val="000000"/>
        </w:rPr>
        <w:t>Engl</w:t>
      </w:r>
      <w:proofErr w:type="spellEnd"/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J</w:t>
      </w:r>
      <w:r w:rsidR="00A14F7E" w:rsidRPr="00A14F7E">
        <w:rPr>
          <w:rFonts w:ascii="Book Antiqua" w:eastAsia="Times New Roman" w:hAnsi="Book Antiqua" w:cs="Book Antiqua"/>
          <w:i/>
          <w:i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i/>
          <w:iCs/>
          <w:color w:val="000000"/>
        </w:rPr>
        <w:t>Med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2015;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373</w:t>
      </w:r>
      <w:r w:rsidRPr="00A14F7E">
        <w:rPr>
          <w:rFonts w:ascii="Book Antiqua" w:eastAsia="Times New Roman" w:hAnsi="Book Antiqua" w:cs="Book Antiqua"/>
          <w:color w:val="000000"/>
        </w:rPr>
        <w:t>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2608-2617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[PMID: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26575258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DOI: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10.1056/NEJMoa1512612]</w:t>
      </w:r>
    </w:p>
    <w:p w14:paraId="6654683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4F300503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  <w:sectPr w:rsidR="00E373A6" w:rsidRPr="00A14F7E" w:rsidSect="007C1013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3D32E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lastRenderedPageBreak/>
        <w:t>Footnotes</w:t>
      </w:r>
    </w:p>
    <w:p w14:paraId="46D6E0E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statement: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study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approved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Kaohsiung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Medical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University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KMUHIRB-SV(I)-20190033)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Institutional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Board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Tri-Service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General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Hospital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(IRB: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TSGHIRB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2-107-05-080)</w:t>
      </w:r>
      <w:r w:rsidR="00574F4A" w:rsidRPr="00A14F7E">
        <w:rPr>
          <w:rFonts w:ascii="Book Antiqua" w:hAnsi="Book Antiqua" w:cs="Book Antiqua"/>
          <w:color w:val="000000"/>
          <w:lang w:eastAsia="zh-CN"/>
        </w:rPr>
        <w:t>.</w:t>
      </w:r>
    </w:p>
    <w:p w14:paraId="3C7F942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0562886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Conflict-of-interest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statement: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author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had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reported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potential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conflict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interest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relevant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work.</w:t>
      </w:r>
    </w:p>
    <w:p w14:paraId="3017F67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22580B2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sharing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bCs/>
          <w:color w:val="000000"/>
        </w:rPr>
        <w:t>statement: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There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additional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data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available.</w:t>
      </w:r>
    </w:p>
    <w:p w14:paraId="26B0A6A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61F6BD3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bCs/>
          <w:color w:val="000000"/>
        </w:rPr>
        <w:t>Open-Access:</w:t>
      </w:r>
      <w:r w:rsidR="00A14F7E" w:rsidRPr="00A14F7E">
        <w:rPr>
          <w:rFonts w:ascii="Book Antiqua" w:eastAsia="Times New Roman" w:hAnsi="Book Antiqua" w:cs="Book Antiqua"/>
          <w:b/>
          <w:bCs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open-access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that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was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selected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in-house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editor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fully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peer-reviewed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external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reviewers.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accordance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with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Creative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Commons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Attribution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NonCommercial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(CC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BY-NC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4.0)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license,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which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permits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others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to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distribute,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remix,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adapt,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build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upon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non-commercially,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license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their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derivative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on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different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terms,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provided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original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work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properly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the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use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is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non-commercial.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See: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https://creativecommons.org/Licenses/by-nc/4.0/</w:t>
      </w:r>
    </w:p>
    <w:p w14:paraId="51C6EC8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76D04A8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color w:val="000000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Provenance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peer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review: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Unsolicited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article;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Externally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peer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reviewed.</w:t>
      </w:r>
    </w:p>
    <w:p w14:paraId="0C58866A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Peer-review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model: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Single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blind</w:t>
      </w:r>
    </w:p>
    <w:p w14:paraId="3B293AC5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7C05C20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Peer-review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started: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August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5,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</w:t>
      </w:r>
    </w:p>
    <w:p w14:paraId="699B192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First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decision: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November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7,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2021</w:t>
      </w:r>
    </w:p>
    <w:p w14:paraId="7E21E694" w14:textId="128C0C34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Article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in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press: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="00A84CB3">
        <w:rPr>
          <w:rFonts w:ascii="Book Antiqua" w:eastAsia="Book Antiqua" w:hAnsi="Book Antiqua" w:cs="Book Antiqua"/>
          <w:color w:val="000000"/>
        </w:rPr>
        <w:t>December 31, 2021</w:t>
      </w:r>
    </w:p>
    <w:p w14:paraId="7597B90B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58A2CFC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lastRenderedPageBreak/>
        <w:t>Specialty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type: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Gastroenterology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and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h</w:t>
      </w:r>
      <w:r w:rsidRPr="00A14F7E">
        <w:rPr>
          <w:rFonts w:ascii="Book Antiqua" w:eastAsia="Times New Roman" w:hAnsi="Book Antiqua" w:cs="Book Antiqua"/>
          <w:color w:val="000000"/>
        </w:rPr>
        <w:t>epatology</w:t>
      </w:r>
    </w:p>
    <w:p w14:paraId="790B18EE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Country/Territory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of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origin: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Taiwan</w:t>
      </w:r>
    </w:p>
    <w:p w14:paraId="39C84F68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Peer-review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report’s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scientific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quality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classification</w:t>
      </w:r>
    </w:p>
    <w:p w14:paraId="549B26D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A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(Excellent):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5F2CF831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(Very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good):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B</w:t>
      </w:r>
    </w:p>
    <w:p w14:paraId="5B3A489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(Good):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65FFAC0F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D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(Fair):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1C78A82C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Book Antiqua"/>
          <w:color w:val="000000"/>
        </w:rPr>
        <w:t>Grade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E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(Poor):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0</w:t>
      </w:r>
    </w:p>
    <w:p w14:paraId="5BD868F7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</w:p>
    <w:p w14:paraId="183FA26D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 w:cs="Book Antiqua"/>
          <w:b/>
          <w:color w:val="000000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t>P-Reviewer: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proofErr w:type="spellStart"/>
      <w:r w:rsidRPr="00A14F7E">
        <w:rPr>
          <w:rFonts w:ascii="Book Antiqua" w:eastAsia="Times New Roman" w:hAnsi="Book Antiqua" w:cs="Book Antiqua"/>
          <w:color w:val="000000"/>
        </w:rPr>
        <w:t>Ballestín</w:t>
      </w:r>
      <w:proofErr w:type="spellEnd"/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SS,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Chang</w:t>
      </w:r>
      <w:r w:rsidR="00A14F7E" w:rsidRPr="00A14F7E">
        <w:rPr>
          <w:rFonts w:ascii="Book Antiqua" w:eastAsia="Times New Roman" w:hAnsi="Book Antiqua" w:cs="Book Antiqua"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color w:val="000000"/>
        </w:rPr>
        <w:t>TS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S-Editor: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Wang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color w:val="000000"/>
          <w:lang w:eastAsia="zh-CN"/>
        </w:rPr>
        <w:t>LL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L-Editor: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A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Pr="00A14F7E">
        <w:rPr>
          <w:rFonts w:ascii="Book Antiqua" w:eastAsia="Times New Roman" w:hAnsi="Book Antiqua" w:cs="Book Antiqua"/>
          <w:b/>
          <w:color w:val="000000"/>
        </w:rPr>
        <w:t>P-Editor:</w:t>
      </w:r>
      <w:r w:rsidR="00A14F7E" w:rsidRPr="00A14F7E">
        <w:rPr>
          <w:rFonts w:ascii="Book Antiqua" w:eastAsia="Times New Roman" w:hAnsi="Book Antiqua" w:cs="Book Antiqua"/>
          <w:b/>
          <w:color w:val="000000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Wang</w:t>
      </w:r>
      <w:r w:rsidR="00A14F7E" w:rsidRPr="00A14F7E">
        <w:rPr>
          <w:rFonts w:ascii="Book Antiqua" w:hAnsi="Book Antiqua" w:cs="Book Antiqua"/>
          <w:color w:val="000000"/>
          <w:lang w:eastAsia="zh-CN"/>
        </w:rPr>
        <w:t xml:space="preserve"> </w:t>
      </w:r>
      <w:r w:rsidR="002362E7" w:rsidRPr="00A14F7E">
        <w:rPr>
          <w:rFonts w:ascii="Book Antiqua" w:hAnsi="Book Antiqua" w:cs="Book Antiqua"/>
          <w:color w:val="000000"/>
          <w:lang w:eastAsia="zh-CN"/>
        </w:rPr>
        <w:t>LL</w:t>
      </w:r>
    </w:p>
    <w:p w14:paraId="5C46E924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A14F7E">
        <w:rPr>
          <w:rFonts w:ascii="Book Antiqua" w:eastAsia="Times New Roman" w:hAnsi="Book Antiqua" w:cs="Book Antiqua"/>
          <w:b/>
          <w:color w:val="000000"/>
        </w:rPr>
        <w:br w:type="page"/>
      </w:r>
      <w:r w:rsidRPr="00A14F7E">
        <w:rPr>
          <w:rFonts w:ascii="Book Antiqua" w:hAnsi="Book Antiqua" w:cs="Book Antiqua"/>
          <w:b/>
          <w:color w:val="000000"/>
          <w:lang w:eastAsia="zh-CN"/>
        </w:rPr>
        <w:lastRenderedPageBreak/>
        <w:t>Figure</w:t>
      </w:r>
      <w:r w:rsidR="00A14F7E" w:rsidRPr="00A14F7E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A14F7E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276AF71A" w14:textId="1C53D202" w:rsidR="00E373A6" w:rsidRPr="00A14F7E" w:rsidRDefault="00065C67" w:rsidP="00A14F7E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TW"/>
        </w:rPr>
        <w:drawing>
          <wp:inline distT="0" distB="0" distL="0" distR="0" wp14:anchorId="6BCAA64E" wp14:editId="07CB4647">
            <wp:extent cx="5886450" cy="3524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65EEF" w14:textId="77777777" w:rsidR="00E373A6" w:rsidRPr="00A14F7E" w:rsidRDefault="00E373A6" w:rsidP="00A14F7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520"/>
        </w:tabs>
        <w:spacing w:line="360" w:lineRule="auto"/>
        <w:jc w:val="both"/>
        <w:rPr>
          <w:rFonts w:ascii="Book Antiqua" w:hAnsi="Book Antiqua" w:cs="Calibri"/>
          <w:lang w:eastAsia="zh-CN"/>
        </w:rPr>
      </w:pPr>
      <w:r w:rsidRPr="00A14F7E">
        <w:rPr>
          <w:rFonts w:ascii="Book Antiqua" w:hAnsi="Book Antiqua"/>
          <w:b/>
          <w:lang w:eastAsia="zh-CN"/>
        </w:rPr>
        <w:t>Figure</w:t>
      </w:r>
      <w:r w:rsidR="00A14F7E" w:rsidRPr="00A14F7E">
        <w:rPr>
          <w:rFonts w:ascii="Book Antiqua" w:hAnsi="Book Antiqua"/>
          <w:b/>
          <w:lang w:eastAsia="zh-CN"/>
        </w:rPr>
        <w:t xml:space="preserve"> </w:t>
      </w:r>
      <w:r w:rsidRPr="00A14F7E">
        <w:rPr>
          <w:rFonts w:ascii="Book Antiqua" w:hAnsi="Book Antiqua"/>
          <w:b/>
          <w:lang w:eastAsia="zh-CN"/>
        </w:rPr>
        <w:t>1</w:t>
      </w:r>
      <w:r w:rsidR="00A14F7E" w:rsidRPr="00A14F7E">
        <w:rPr>
          <w:rFonts w:ascii="Book Antiqua" w:hAnsi="Book Antiqua"/>
          <w:b/>
          <w:lang w:eastAsia="zh-CN"/>
        </w:rPr>
        <w:t xml:space="preserve"> </w:t>
      </w:r>
      <w:r w:rsidRPr="00A14F7E">
        <w:rPr>
          <w:rFonts w:ascii="Book Antiqua" w:hAnsi="Book Antiqua" w:cs="Calibri"/>
          <w:b/>
        </w:rPr>
        <w:t>Patient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flowchart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of</w:t>
      </w:r>
      <w:r w:rsidR="00A14F7E" w:rsidRPr="00A14F7E">
        <w:rPr>
          <w:rFonts w:ascii="Book Antiqua" w:hAnsi="Book Antiqua" w:cs="Calibri"/>
          <w:b/>
        </w:rPr>
        <w:t xml:space="preserve"> </w:t>
      </w:r>
      <w:r w:rsidR="00572D3A" w:rsidRPr="00A14F7E">
        <w:rPr>
          <w:rFonts w:ascii="Book Antiqua" w:hAnsi="Book Antiqua" w:cs="Calibri"/>
          <w:b/>
          <w:lang w:eastAsia="zh-CN"/>
        </w:rPr>
        <w:t>h</w:t>
      </w:r>
      <w:r w:rsidR="00572D3A" w:rsidRPr="00A14F7E">
        <w:rPr>
          <w:rFonts w:ascii="Book Antiqua" w:hAnsi="Book Antiqua" w:cs="Calibri"/>
          <w:b/>
        </w:rPr>
        <w:t>epatitis</w:t>
      </w:r>
      <w:r w:rsidR="00A14F7E" w:rsidRPr="00A14F7E">
        <w:rPr>
          <w:rFonts w:ascii="Book Antiqua" w:hAnsi="Book Antiqua" w:cs="Calibri"/>
          <w:b/>
        </w:rPr>
        <w:t xml:space="preserve"> </w:t>
      </w:r>
      <w:r w:rsidR="00572D3A" w:rsidRPr="00A14F7E">
        <w:rPr>
          <w:rFonts w:ascii="Book Antiqua" w:hAnsi="Book Antiqua" w:cs="Calibri"/>
          <w:b/>
        </w:rPr>
        <w:t>C</w:t>
      </w:r>
      <w:r w:rsidR="00A14F7E" w:rsidRPr="00A14F7E">
        <w:rPr>
          <w:rFonts w:ascii="Book Antiqua" w:hAnsi="Book Antiqua" w:cs="Calibri"/>
          <w:b/>
        </w:rPr>
        <w:t xml:space="preserve"> </w:t>
      </w:r>
      <w:r w:rsidR="00572D3A" w:rsidRPr="00A14F7E">
        <w:rPr>
          <w:rFonts w:ascii="Book Antiqua" w:hAnsi="Book Antiqua" w:cs="Calibri"/>
          <w:b/>
        </w:rPr>
        <w:t>virus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treatment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with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a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simplified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pan-genotypic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directly-acting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antivirals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regimen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in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Penghu</w:t>
      </w:r>
      <w:r w:rsidR="00A14F7E" w:rsidRPr="00A14F7E">
        <w:rPr>
          <w:rFonts w:ascii="Book Antiqua" w:hAnsi="Book Antiqua" w:cs="Calibri"/>
          <w:b/>
        </w:rPr>
        <w:t xml:space="preserve"> </w:t>
      </w:r>
      <w:r w:rsidRPr="00A14F7E">
        <w:rPr>
          <w:rFonts w:ascii="Book Antiqua" w:hAnsi="Book Antiqua" w:cs="Calibri"/>
          <w:b/>
        </w:rPr>
        <w:t>Prison</w:t>
      </w:r>
      <w:r w:rsidRPr="00A14F7E">
        <w:rPr>
          <w:rFonts w:ascii="Book Antiqua" w:hAnsi="Book Antiqua" w:cs="Calibri"/>
        </w:rPr>
        <w:t>.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HCV</w:t>
      </w:r>
      <w:r w:rsidRPr="00A14F7E">
        <w:rPr>
          <w:rFonts w:ascii="Book Antiqua" w:hAnsi="Book Antiqua" w:cs="Calibri"/>
          <w:lang w:eastAsia="zh-CN"/>
        </w:rPr>
        <w:t>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  <w:lang w:eastAsia="zh-CN"/>
        </w:rPr>
        <w:t>H</w:t>
      </w:r>
      <w:r w:rsidRPr="00A14F7E">
        <w:rPr>
          <w:rFonts w:ascii="Book Antiqua" w:hAnsi="Book Antiqua" w:cs="Calibri"/>
        </w:rPr>
        <w:t>epatitis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C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virus;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DAA</w:t>
      </w:r>
      <w:r w:rsidRPr="00A14F7E">
        <w:rPr>
          <w:rFonts w:ascii="Book Antiqua" w:hAnsi="Book Antiqua" w:cs="Calibri"/>
          <w:lang w:eastAsia="zh-CN"/>
        </w:rPr>
        <w:t>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  <w:lang w:eastAsia="zh-CN"/>
        </w:rPr>
        <w:t>D</w:t>
      </w:r>
      <w:r w:rsidRPr="00A14F7E">
        <w:rPr>
          <w:rFonts w:ascii="Book Antiqua" w:hAnsi="Book Antiqua" w:cs="Calibri"/>
        </w:rPr>
        <w:t>irectly-acting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antivirals;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SOL/VEL: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S</w:t>
      </w:r>
      <w:r w:rsidRPr="00A14F7E">
        <w:rPr>
          <w:rFonts w:ascii="Book Antiqua" w:hAnsi="Book Antiqua" w:cs="Calibri"/>
        </w:rPr>
        <w:t>ofosbuvir/</w:t>
      </w:r>
      <w:proofErr w:type="spellStart"/>
      <w:r w:rsidRPr="00A14F7E">
        <w:rPr>
          <w:rFonts w:ascii="Book Antiqua" w:hAnsi="Book Antiqua" w:cs="Calibri"/>
        </w:rPr>
        <w:t>velpatasvir</w:t>
      </w:r>
      <w:proofErr w:type="spellEnd"/>
      <w:r w:rsidRPr="00A14F7E">
        <w:rPr>
          <w:rFonts w:ascii="Book Antiqua" w:hAnsi="Book Antiqua" w:cs="Calibri"/>
        </w:rPr>
        <w:t>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GEL/PIB</w:t>
      </w:r>
      <w:r w:rsidRPr="00A14F7E">
        <w:rPr>
          <w:rFonts w:ascii="Book Antiqua" w:eastAsia="PMingLiU" w:hAnsi="Book Antiqua" w:cs="Calibri"/>
        </w:rPr>
        <w:t>:</w:t>
      </w:r>
      <w:r w:rsidR="00A14F7E" w:rsidRPr="00A14F7E">
        <w:rPr>
          <w:rFonts w:ascii="Book Antiqua" w:hAnsi="Book Antiqua" w:cs="Calibri"/>
        </w:rPr>
        <w:t xml:space="preserve"> </w:t>
      </w:r>
      <w:proofErr w:type="spellStart"/>
      <w:r w:rsidRPr="00A14F7E">
        <w:rPr>
          <w:rFonts w:ascii="Book Antiqua" w:eastAsia="PMingLiU" w:hAnsi="Book Antiqua" w:cs="Calibri"/>
        </w:rPr>
        <w:t>G</w:t>
      </w:r>
      <w:r w:rsidRPr="00A14F7E">
        <w:rPr>
          <w:rFonts w:ascii="Book Antiqua" w:hAnsi="Book Antiqua" w:cs="Calibri"/>
        </w:rPr>
        <w:t>lecaprevir</w:t>
      </w:r>
      <w:proofErr w:type="spellEnd"/>
      <w:r w:rsidRPr="00A14F7E">
        <w:rPr>
          <w:rFonts w:ascii="Book Antiqua" w:hAnsi="Book Antiqua" w:cs="Calibri"/>
        </w:rPr>
        <w:t>/</w:t>
      </w:r>
      <w:proofErr w:type="spellStart"/>
      <w:r w:rsidRPr="00A14F7E">
        <w:rPr>
          <w:rFonts w:ascii="Book Antiqua" w:hAnsi="Book Antiqua" w:cs="Calibri"/>
        </w:rPr>
        <w:t>pibrentasvir</w:t>
      </w:r>
      <w:proofErr w:type="spellEnd"/>
      <w:r w:rsidRPr="00A14F7E">
        <w:rPr>
          <w:rFonts w:ascii="Book Antiqua" w:hAnsi="Book Antiqua" w:cs="Calibri"/>
        </w:rPr>
        <w:t>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EOTVR: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V</w:t>
      </w:r>
      <w:r w:rsidRPr="00A14F7E">
        <w:rPr>
          <w:rFonts w:ascii="Book Antiqua" w:hAnsi="Book Antiqua" w:cs="Calibri"/>
        </w:rPr>
        <w:t>irological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response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at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end-of-treatment</w:t>
      </w:r>
      <w:r w:rsidR="00572D3A" w:rsidRPr="00A14F7E">
        <w:rPr>
          <w:rFonts w:ascii="Book Antiqua" w:hAnsi="Book Antiqua" w:cs="Calibri"/>
          <w:lang w:eastAsia="zh-CN"/>
        </w:rPr>
        <w:t>;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SVR12: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eastAsia="PMingLiU" w:hAnsi="Book Antiqua" w:cs="Calibri"/>
        </w:rPr>
        <w:t>S</w:t>
      </w:r>
      <w:r w:rsidRPr="00A14F7E">
        <w:rPr>
          <w:rFonts w:ascii="Book Antiqua" w:hAnsi="Book Antiqua" w:cs="Calibri"/>
        </w:rPr>
        <w:t>ustained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viral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response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at</w:t>
      </w:r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post-treatment</w:t>
      </w:r>
      <w:r w:rsidR="00260FA4">
        <w:rPr>
          <w:rFonts w:ascii="Book Antiqua" w:hAnsi="Book Antiqua" w:cs="Calibri"/>
        </w:rPr>
        <w:t xml:space="preserve"> </w:t>
      </w:r>
      <w:proofErr w:type="spellStart"/>
      <w:r w:rsidR="00260FA4">
        <w:rPr>
          <w:rFonts w:ascii="Book Antiqua" w:hAnsi="Book Antiqua" w:cs="Calibri"/>
        </w:rPr>
        <w:t>wk</w:t>
      </w:r>
      <w:proofErr w:type="spellEnd"/>
      <w:r w:rsidR="00A14F7E" w:rsidRPr="00A14F7E">
        <w:rPr>
          <w:rFonts w:ascii="Book Antiqua" w:hAnsi="Book Antiqua" w:cs="Calibri"/>
        </w:rPr>
        <w:t xml:space="preserve"> </w:t>
      </w:r>
      <w:r w:rsidRPr="00A14F7E">
        <w:rPr>
          <w:rFonts w:ascii="Book Antiqua" w:hAnsi="Book Antiqua" w:cs="Calibri"/>
        </w:rPr>
        <w:t>12</w:t>
      </w:r>
      <w:r w:rsidR="00572D3A" w:rsidRPr="00A14F7E">
        <w:rPr>
          <w:rFonts w:ascii="Book Antiqua" w:hAnsi="Book Antiqua" w:cs="Calibri"/>
          <w:lang w:eastAsia="zh-CN"/>
        </w:rPr>
        <w:t>.</w:t>
      </w:r>
    </w:p>
    <w:p w14:paraId="1CC4E366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8547B19" w14:textId="77777777" w:rsidR="00E373A6" w:rsidRPr="00A14F7E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C034D04" w14:textId="77777777" w:rsidR="00E373A6" w:rsidRPr="00A14F7E" w:rsidRDefault="00E373A6" w:rsidP="00A14F7E">
      <w:pPr>
        <w:snapToGrid w:val="0"/>
        <w:spacing w:line="360" w:lineRule="auto"/>
        <w:jc w:val="both"/>
        <w:rPr>
          <w:rFonts w:ascii="Book Antiqua" w:hAnsi="Book Antiqua"/>
          <w:lang w:eastAsia="zh-CN"/>
        </w:rPr>
        <w:sectPr w:rsidR="00E373A6" w:rsidRPr="00A14F7E" w:rsidSect="007C1013"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60"/>
        </w:sectPr>
      </w:pPr>
    </w:p>
    <w:p w14:paraId="55AE719C" w14:textId="77777777" w:rsidR="00E373A6" w:rsidRPr="00A14F7E" w:rsidRDefault="00E373A6" w:rsidP="00A14F7E">
      <w:pPr>
        <w:snapToGrid w:val="0"/>
        <w:spacing w:line="360" w:lineRule="auto"/>
        <w:jc w:val="both"/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</w:pPr>
      <w:r w:rsidRPr="00A14F7E">
        <w:rPr>
          <w:rFonts w:ascii="Book Antiqua" w:eastAsia="Times New Roman" w:hAnsi="Book Antiqua"/>
          <w:b/>
          <w:kern w:val="2"/>
          <w:lang w:eastAsia="zh-TW"/>
        </w:rPr>
        <w:lastRenderedPageBreak/>
        <w:t>Table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1</w:t>
      </w:r>
      <w:r w:rsidR="00A14F7E" w:rsidRPr="00A14F7E">
        <w:rPr>
          <w:rFonts w:ascii="Book Antiqua" w:hAnsi="Book Antiqua"/>
          <w:b/>
          <w:kern w:val="2"/>
          <w:lang w:eastAsia="zh-CN"/>
        </w:rPr>
        <w:t xml:space="preserve"> </w:t>
      </w:r>
      <w:r w:rsidRPr="00A14F7E">
        <w:rPr>
          <w:rFonts w:ascii="Book Antiqua" w:eastAsia="Times New Roman" w:hAnsi="Book Antiqua" w:cs="Arial"/>
          <w:b/>
          <w:color w:val="222222"/>
          <w:kern w:val="2"/>
          <w:shd w:val="clear" w:color="auto" w:fill="FFFFFF"/>
          <w:lang w:eastAsia="zh-TW"/>
        </w:rPr>
        <w:t>Baseline</w:t>
      </w:r>
      <w:r w:rsidR="00A14F7E" w:rsidRPr="00A14F7E">
        <w:rPr>
          <w:rFonts w:ascii="Book Antiqua" w:eastAsia="Times New Roman" w:hAnsi="Book Antiqua" w:cs="Arial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Arial"/>
          <w:b/>
          <w:color w:val="222222"/>
          <w:kern w:val="2"/>
          <w:shd w:val="clear" w:color="auto" w:fill="FFFFFF"/>
          <w:lang w:eastAsia="zh-TW"/>
        </w:rPr>
        <w:t>c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haracteristics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of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hAnsi="Book Antiqua" w:cs="Calibri"/>
          <w:b/>
          <w:color w:val="222222"/>
          <w:kern w:val="2"/>
          <w:shd w:val="clear" w:color="auto" w:fill="FFFFFF"/>
          <w:lang w:eastAsia="zh-CN"/>
        </w:rPr>
        <w:t>h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virus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-infected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patients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receiving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directly-acting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antivirals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therapy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between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sporadic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hAnsi="Book Antiqua" w:cs="Calibri"/>
          <w:b/>
          <w:color w:val="222222"/>
          <w:kern w:val="2"/>
          <w:shd w:val="clear" w:color="auto" w:fill="FFFFFF"/>
          <w:lang w:eastAsia="zh-CN"/>
        </w:rPr>
        <w:t>h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virus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therapy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in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outpatient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clinics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and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campaign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A14F7E">
        <w:rPr>
          <w:rFonts w:ascii="Book Antiqua" w:hAnsi="Book Antiqua" w:cs="Calibri"/>
          <w:b/>
          <w:color w:val="222222"/>
          <w:kern w:val="2"/>
          <w:shd w:val="clear" w:color="auto" w:fill="FFFFFF"/>
          <w:lang w:eastAsia="zh-CN"/>
        </w:rPr>
        <w:t>h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="00572D3A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virus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micro-elimination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in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Penghu</w:t>
      </w:r>
      <w:r w:rsidR="00A14F7E"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prison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66"/>
        <w:gridCol w:w="2674"/>
        <w:gridCol w:w="3118"/>
        <w:gridCol w:w="2970"/>
        <w:gridCol w:w="1630"/>
      </w:tblGrid>
      <w:tr w:rsidR="00E373A6" w:rsidRPr="00A14F7E" w14:paraId="24ACAA69" w14:textId="77777777" w:rsidTr="00572D3A">
        <w:tc>
          <w:tcPr>
            <w:tcW w:w="1277" w:type="pct"/>
            <w:shd w:val="clear" w:color="auto" w:fill="auto"/>
          </w:tcPr>
          <w:p w14:paraId="204961E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14:paraId="3A3D10B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Total</w:t>
            </w:r>
          </w:p>
        </w:tc>
        <w:tc>
          <w:tcPr>
            <w:tcW w:w="1117" w:type="pct"/>
            <w:shd w:val="clear" w:color="auto" w:fill="auto"/>
          </w:tcPr>
          <w:p w14:paraId="53B8033E" w14:textId="77777777" w:rsidR="00E373A6" w:rsidRPr="008F4AF7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Sporadic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therapy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in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outpatient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clinics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</w:t>
            </w:r>
          </w:p>
          <w:p w14:paraId="55614088" w14:textId="77777777" w:rsidR="00E373A6" w:rsidRPr="00A14F7E" w:rsidRDefault="00E373A6" w:rsidP="008F4AF7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January 1, 2019 </w:t>
            </w:r>
            <w:r w:rsidR="00572D3A" w:rsidRPr="00A14F7E">
              <w:rPr>
                <w:rFonts w:ascii="Book Antiqua" w:hAnsi="Book Antiqua"/>
                <w:b/>
                <w:kern w:val="2"/>
                <w:lang w:eastAsia="zh-CN"/>
              </w:rPr>
              <w:t>-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December 31, 2019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1064" w:type="pct"/>
            <w:shd w:val="clear" w:color="auto" w:fill="auto"/>
          </w:tcPr>
          <w:p w14:paraId="0EF58789" w14:textId="77777777" w:rsidR="00E373A6" w:rsidRPr="00A14F7E" w:rsidRDefault="00E373A6" w:rsidP="008F4AF7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Campaign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of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br/>
              <w:t>micro-elimination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>January 1, 2020 - March 31, 2020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584" w:type="pct"/>
            <w:shd w:val="clear" w:color="auto" w:fill="auto"/>
          </w:tcPr>
          <w:p w14:paraId="7C5D5C5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>P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value</w:t>
            </w:r>
          </w:p>
        </w:tc>
      </w:tr>
      <w:tr w:rsidR="00E373A6" w:rsidRPr="00A14F7E" w14:paraId="543AE8CB" w14:textId="77777777" w:rsidTr="00572D3A">
        <w:tc>
          <w:tcPr>
            <w:tcW w:w="1277" w:type="pct"/>
            <w:tcBorders>
              <w:bottom w:val="nil"/>
            </w:tcBorders>
            <w:shd w:val="clear" w:color="auto" w:fill="auto"/>
          </w:tcPr>
          <w:p w14:paraId="0F123D2A" w14:textId="77777777" w:rsidR="00E373A6" w:rsidRPr="00A14F7E" w:rsidRDefault="00572D3A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i/>
                <w:kern w:val="2"/>
                <w:lang w:eastAsia="zh-CN"/>
              </w:rPr>
            </w:pPr>
            <w:r w:rsidRPr="00A14F7E">
              <w:rPr>
                <w:rFonts w:ascii="Book Antiqua" w:hAnsi="Book Antiqua"/>
                <w:i/>
                <w:kern w:val="2"/>
                <w:lang w:eastAsia="zh-CN"/>
              </w:rPr>
              <w:t>n</w:t>
            </w:r>
          </w:p>
        </w:tc>
        <w:tc>
          <w:tcPr>
            <w:tcW w:w="958" w:type="pct"/>
            <w:tcBorders>
              <w:bottom w:val="nil"/>
            </w:tcBorders>
            <w:shd w:val="clear" w:color="auto" w:fill="auto"/>
          </w:tcPr>
          <w:p w14:paraId="49C11E8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303</w:t>
            </w:r>
          </w:p>
        </w:tc>
        <w:tc>
          <w:tcPr>
            <w:tcW w:w="1117" w:type="pct"/>
            <w:tcBorders>
              <w:bottom w:val="nil"/>
            </w:tcBorders>
            <w:shd w:val="clear" w:color="auto" w:fill="auto"/>
          </w:tcPr>
          <w:p w14:paraId="10BC98E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</w:t>
            </w:r>
          </w:p>
        </w:tc>
        <w:tc>
          <w:tcPr>
            <w:tcW w:w="1064" w:type="pct"/>
            <w:tcBorders>
              <w:bottom w:val="nil"/>
            </w:tcBorders>
            <w:shd w:val="clear" w:color="auto" w:fill="auto"/>
          </w:tcPr>
          <w:p w14:paraId="2E41AAE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</w:p>
        </w:tc>
        <w:tc>
          <w:tcPr>
            <w:tcW w:w="584" w:type="pct"/>
            <w:tcBorders>
              <w:bottom w:val="nil"/>
            </w:tcBorders>
            <w:shd w:val="clear" w:color="auto" w:fill="auto"/>
          </w:tcPr>
          <w:p w14:paraId="2847595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-</w:t>
            </w:r>
          </w:p>
        </w:tc>
      </w:tr>
      <w:tr w:rsidR="00E373A6" w:rsidRPr="00A14F7E" w14:paraId="2226A75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301A88E" w14:textId="77777777" w:rsidR="00E373A6" w:rsidRPr="008F4AF7" w:rsidRDefault="00E373A6" w:rsidP="008F4AF7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Age</w:t>
            </w:r>
            <w:r w:rsidR="008F4AF7">
              <w:rPr>
                <w:rFonts w:ascii="Book Antiqua" w:hAnsi="Book Antiqua" w:hint="eastAsia"/>
                <w:kern w:val="2"/>
                <w:lang w:eastAsia="zh-CN"/>
              </w:rPr>
              <w:t xml:space="preserve"> (</w:t>
            </w:r>
            <w:proofErr w:type="spellStart"/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y</w:t>
            </w:r>
            <w:r w:rsidR="008F4AF7">
              <w:rPr>
                <w:rFonts w:ascii="Book Antiqua" w:eastAsia="Times New Roman" w:hAnsi="Book Antiqua"/>
                <w:kern w:val="2"/>
                <w:lang w:eastAsia="zh-TW"/>
              </w:rPr>
              <w:t>r</w:t>
            </w:r>
            <w:proofErr w:type="spellEnd"/>
            <w:r w:rsidR="008F4AF7">
              <w:rPr>
                <w:rFonts w:ascii="Book Antiqua" w:hAnsi="Book Antiqua" w:hint="eastAsia"/>
                <w:kern w:val="2"/>
                <w:lang w:eastAsia="zh-CN"/>
              </w:rPr>
              <w:t>)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21AC569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48.4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8.2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6B835E6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47.6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8.7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9CAB84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48.7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8.0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610BF0E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0.271</w:t>
            </w:r>
          </w:p>
        </w:tc>
      </w:tr>
      <w:tr w:rsidR="00E373A6" w:rsidRPr="00A14F7E" w14:paraId="4F14590C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3FEE760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Male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3A32673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(99.7)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AAFB60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(98.9)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01E6F1B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3D435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0.126</w:t>
            </w:r>
          </w:p>
        </w:tc>
      </w:tr>
      <w:tr w:rsidR="00E373A6" w:rsidRPr="00A14F7E" w14:paraId="1062CE8D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AA8F607" w14:textId="77777777" w:rsidR="00E373A6" w:rsidRPr="00A14F7E" w:rsidRDefault="00782D47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>
              <w:rPr>
                <w:rFonts w:ascii="Book Antiqua" w:hAnsi="Book Antiqua" w:cs="Calibri" w:hint="eastAsia"/>
                <w:kern w:val="2"/>
                <w:vertAlign w:val="superscript"/>
                <w:lang w:eastAsia="zh-CN"/>
              </w:rPr>
              <w:t>1</w:t>
            </w:r>
            <w:r w:rsidR="00E373A6" w:rsidRPr="00A14F7E">
              <w:rPr>
                <w:rFonts w:ascii="Book Antiqua" w:eastAsia="Times New Roman" w:hAnsi="Book Antiqua"/>
                <w:kern w:val="2"/>
                <w:lang w:eastAsia="zh-TW"/>
              </w:rPr>
              <w:t>BMI,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="00E373A6" w:rsidRPr="00A14F7E">
              <w:rPr>
                <w:rFonts w:ascii="Book Antiqua" w:eastAsia="Times New Roman" w:hAnsi="Book Antiqua"/>
                <w:kern w:val="2"/>
                <w:lang w:eastAsia="zh-TW"/>
              </w:rPr>
              <w:t>kg/m</w:t>
            </w:r>
            <w:r w:rsidR="00E373A6" w:rsidRPr="00A14F7E">
              <w:rPr>
                <w:rFonts w:ascii="Book Antiqua" w:eastAsia="Times New Roman" w:hAnsi="Book Antiqua" w:cs="Calibri"/>
                <w:kern w:val="2"/>
                <w:vertAlign w:val="superscript"/>
                <w:lang w:eastAsia="zh-TW"/>
              </w:rPr>
              <w:t>2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1EF34E2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3.2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7708E47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3.3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B315D9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3.2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FE0DB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0.986</w:t>
            </w:r>
          </w:p>
        </w:tc>
      </w:tr>
      <w:tr w:rsidR="00E373A6" w:rsidRPr="00A14F7E" w14:paraId="41EF869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399A9F7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&gt;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27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kg/m</w:t>
            </w:r>
            <w:r w:rsidRPr="00A14F7E">
              <w:rPr>
                <w:rFonts w:ascii="Book Antiqua" w:eastAsia="Times New Roman" w:hAnsi="Book Antiqua" w:cs="Calibri"/>
                <w:kern w:val="2"/>
                <w:vertAlign w:val="superscript"/>
                <w:lang w:eastAsia="zh-TW"/>
              </w:rPr>
              <w:t>2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7BE43A1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(13.8)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7D95AED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(13.9)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2606AC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(13.4)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7EC5E6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0.960</w:t>
            </w:r>
          </w:p>
        </w:tc>
      </w:tr>
      <w:tr w:rsidR="00E373A6" w:rsidRPr="00A14F7E" w14:paraId="62600869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D0B269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Diabetes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4FD489F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(3.3)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7BD55B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(8.8)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58D516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(0.9)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397897B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highlight w:val="cyan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0.0005</w:t>
            </w:r>
            <w:r w:rsidR="00572D3A" w:rsidRPr="00A14F7E">
              <w:rPr>
                <w:rFonts w:ascii="Book Antiqua" w:hAnsi="Book Antiqua"/>
                <w:kern w:val="2"/>
                <w:vertAlign w:val="superscript"/>
                <w:lang w:eastAsia="zh-CN"/>
              </w:rPr>
              <w:t>a</w:t>
            </w:r>
          </w:p>
        </w:tc>
      </w:tr>
      <w:tr w:rsidR="00E373A6" w:rsidRPr="00A14F7E" w14:paraId="6319E644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92F9D4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Hypertension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52B2882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59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(19.5)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61E6A0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25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(27.5)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7D686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(16.0)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BEA35A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0.021</w:t>
            </w:r>
            <w:r w:rsidR="00572D3A" w:rsidRPr="00A14F7E">
              <w:rPr>
                <w:rFonts w:ascii="Book Antiqua" w:hAnsi="Book Antiqua"/>
                <w:kern w:val="2"/>
                <w:vertAlign w:val="superscript"/>
                <w:lang w:eastAsia="zh-CN"/>
              </w:rPr>
              <w:t>a</w:t>
            </w:r>
          </w:p>
        </w:tc>
      </w:tr>
      <w:tr w:rsidR="00E373A6" w:rsidRPr="00A14F7E" w14:paraId="184C4674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3A3B65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Hyperlipidemia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7EAB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(2.6)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13917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(7.7)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C17F0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08329A0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0.0003</w:t>
            </w:r>
            <w:r w:rsidR="00572D3A" w:rsidRPr="00A14F7E">
              <w:rPr>
                <w:rFonts w:ascii="Book Antiqua" w:hAnsi="Book Antiqua"/>
                <w:kern w:val="2"/>
                <w:vertAlign w:val="superscript"/>
                <w:lang w:eastAsia="zh-CN"/>
              </w:rPr>
              <w:t>a</w:t>
            </w:r>
          </w:p>
        </w:tc>
      </w:tr>
      <w:tr w:rsidR="00E373A6" w:rsidRPr="00A14F7E" w14:paraId="74076CC9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41379B4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Cardiovascular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disease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0D4D6D3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(0.7)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6E633F6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(1.1)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0833DC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5E52D4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0.537</w:t>
            </w:r>
          </w:p>
        </w:tc>
      </w:tr>
      <w:tr w:rsidR="00E373A6" w:rsidRPr="00A14F7E" w14:paraId="7682EDDF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BE5536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HBsAg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(+)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07BE78E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(9.9)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1311CD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(9.9)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42D608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(9.9)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BDC89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0.997</w:t>
            </w:r>
          </w:p>
        </w:tc>
      </w:tr>
      <w:tr w:rsidR="00E373A6" w:rsidRPr="00A14F7E" w14:paraId="15C6AC5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7EC73A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AST,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IU/L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DC06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41.3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35.5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416A4CF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45.9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38.9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26175FA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39.4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33.8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69BD147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0.168</w:t>
            </w:r>
          </w:p>
        </w:tc>
      </w:tr>
      <w:tr w:rsidR="00E373A6" w:rsidRPr="00A14F7E" w14:paraId="7405CFA0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01CE454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ALT,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IU/L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45373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65.4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77.4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7644B8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71.6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69.8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1DB2E91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62.7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80.4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3A3F54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0.329</w:t>
            </w:r>
          </w:p>
        </w:tc>
      </w:tr>
      <w:tr w:rsidR="00E373A6" w:rsidRPr="00A14F7E" w14:paraId="1AAA4468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DFB32B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Abnormal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AST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ALT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D5B7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159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(52.5)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49FECFD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54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(59.3)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F77B6B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105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(49.5)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3EA9FF0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0.117</w:t>
            </w:r>
          </w:p>
        </w:tc>
      </w:tr>
      <w:tr w:rsidR="00E373A6" w:rsidRPr="00A14F7E" w14:paraId="083C9458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10F03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White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cell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count,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×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Pr="00A14F7E">
              <w:rPr>
                <w:rFonts w:ascii="Book Antiqua" w:eastAsia="Times New Roman" w:hAnsi="Book Antiqua"/>
                <w:kern w:val="2"/>
                <w:vertAlign w:val="superscript"/>
                <w:lang w:eastAsia="zh-TW"/>
              </w:rPr>
              <w:t>3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/</w:t>
            </w:r>
            <w:proofErr w:type="spellStart"/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ìL</w:t>
            </w:r>
            <w:proofErr w:type="spellEnd"/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0533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1.9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A5749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2.0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77BEB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C733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0.188</w:t>
            </w:r>
          </w:p>
        </w:tc>
      </w:tr>
      <w:tr w:rsidR="00E373A6" w:rsidRPr="00A14F7E" w14:paraId="2357513A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713B08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lastRenderedPageBreak/>
              <w:t>Hemoglobin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concentration,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g/dL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7626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15.9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1.3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83C2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16.0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1.3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68795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15.9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04AC6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0.762</w:t>
            </w:r>
          </w:p>
        </w:tc>
      </w:tr>
      <w:tr w:rsidR="00E373A6" w:rsidRPr="00A14F7E" w14:paraId="4E460C3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67D3D51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Platelet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count,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/>
                <w:kern w:val="2"/>
                <w:lang w:eastAsia="zh-TW"/>
              </w:rPr>
              <w:t>×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Pr="00A14F7E">
              <w:rPr>
                <w:rFonts w:ascii="Book Antiqua" w:eastAsia="Times New Roman" w:hAnsi="Book Antiqua"/>
                <w:kern w:val="2"/>
                <w:vertAlign w:val="superscript"/>
                <w:lang w:eastAsia="zh-TW"/>
              </w:rPr>
              <w:t>3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u/L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1D37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227.6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67.4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0F39E0A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219.4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72.1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3A6C6CD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231.2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65.1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9405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0.181</w:t>
            </w:r>
          </w:p>
        </w:tc>
      </w:tr>
      <w:tr w:rsidR="00E373A6" w:rsidRPr="00A14F7E" w14:paraId="4CF8B16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04F864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Albumin,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g/dl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DE312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0.3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81047D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0.4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13A1A09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4.5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0.2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9A4F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0.233</w:t>
            </w:r>
          </w:p>
        </w:tc>
      </w:tr>
      <w:tr w:rsidR="00E373A6" w:rsidRPr="00A14F7E" w14:paraId="20D84B28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BBA9DB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Total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bilirubin,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mg/dL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42A6B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0.8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0.3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35029DE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0.4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070CEE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0.8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0.3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BE7D4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0.003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655DAD91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24C812E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LC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2A88F0F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629038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(1.1)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51C21C4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EC4221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0.300</w:t>
            </w:r>
          </w:p>
        </w:tc>
      </w:tr>
      <w:tr w:rsidR="00E373A6" w:rsidRPr="00A14F7E" w14:paraId="6D12ABEF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5D8774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FIB-4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6C63E1C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1.3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1.0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4EDAC34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1.4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3983399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1.2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0.8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7A46114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0.096</w:t>
            </w:r>
          </w:p>
        </w:tc>
      </w:tr>
      <w:tr w:rsidR="00E373A6" w:rsidRPr="00A14F7E" w14:paraId="738A69E7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005ADE7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&gt;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3.25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39166C8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(6.6)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2C4F42D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(11.0)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77C38C9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(4.7)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23F4707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0.044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5A11A65B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200DAE5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eGFR,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Cs/>
                <w:kern w:val="2"/>
                <w:lang w:eastAsia="zh-TW"/>
              </w:rPr>
              <w:t>mL/min/1.73</w:t>
            </w:r>
            <w:r w:rsidR="00A14F7E" w:rsidRPr="00A14F7E">
              <w:rPr>
                <w:rFonts w:ascii="Book Antiqua" w:eastAsia="Times New Roman" w:hAnsi="Book Antiqua"/>
                <w:bCs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Cs/>
                <w:kern w:val="2"/>
                <w:lang w:eastAsia="zh-TW"/>
              </w:rPr>
              <w:t>m</w:t>
            </w:r>
            <w:r w:rsidRPr="00A14F7E">
              <w:rPr>
                <w:rFonts w:ascii="Book Antiqua" w:eastAsia="Times New Roman" w:hAnsi="Book Antiqua"/>
                <w:bCs/>
                <w:kern w:val="2"/>
                <w:vertAlign w:val="superscript"/>
                <w:lang w:eastAsia="zh-TW"/>
              </w:rPr>
              <w:t>2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47E711E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99.9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17.7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06A6CF3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99.1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21.0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48694ED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100.3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16.4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0B01AB3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0.624</w:t>
            </w:r>
          </w:p>
        </w:tc>
      </w:tr>
      <w:tr w:rsidR="00E373A6" w:rsidRPr="00A14F7E" w14:paraId="148A930E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7227E14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&lt;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60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</w:tcPr>
          <w:p w14:paraId="7EFB248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</w:tcPr>
          <w:p w14:paraId="03B656D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(3.3)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052E6EA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(0.4)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6158539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0.048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618944BA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23384E7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RNA,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log</w:t>
            </w:r>
            <w:r w:rsidRPr="00A14F7E">
              <w:rPr>
                <w:rFonts w:ascii="Book Antiqua" w:eastAsia="Times New Roman" w:hAnsi="Book Antiqua"/>
                <w:kern w:val="2"/>
                <w:vertAlign w:val="subscript"/>
                <w:lang w:eastAsia="zh-TW"/>
              </w:rPr>
              <w:t>10</w:t>
            </w:r>
            <w:r w:rsidR="00A14F7E" w:rsidRPr="00A14F7E">
              <w:rPr>
                <w:rFonts w:ascii="Book Antiqua" w:eastAsia="Times New Roman" w:hAnsi="Book Antiqua"/>
                <w:kern w:val="2"/>
                <w:vertAlign w:val="subscript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IU/mL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26DE8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6.5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1.1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34D7A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6.0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1.0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43363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6.7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="00572D3A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±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1.1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835C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&lt;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0.001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7D0C1AF3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6A1E88C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genotype,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bCs/>
                <w:color w:val="000000"/>
                <w:kern w:val="2"/>
                <w:lang w:eastAsia="zh-TW"/>
              </w:rPr>
              <w:t>1/2/1+2/3/6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1579D" w14:textId="77777777" w:rsidR="00E373A6" w:rsidRPr="00A14F7E" w:rsidRDefault="00E373A6" w:rsidP="00A14F7E">
            <w:pPr>
              <w:widowControl w:val="0"/>
              <w:spacing w:line="360" w:lineRule="auto"/>
              <w:ind w:rightChars="-47" w:right="-113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128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(42.2)/32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(10.6)/1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(0.3)/35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(11.6)/107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(35.3)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AF36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38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(41.8)/9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(9.9)/0/</w:t>
            </w:r>
          </w:p>
          <w:p w14:paraId="7B98C0A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11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(12.1)/33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(36.2)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23F21B" w14:textId="77777777" w:rsidR="00E373A6" w:rsidRPr="00A14F7E" w:rsidRDefault="00E373A6" w:rsidP="00A14F7E">
            <w:pPr>
              <w:widowControl w:val="0"/>
              <w:spacing w:line="360" w:lineRule="auto"/>
              <w:ind w:rightChars="-46" w:right="-110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90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(42.5)/23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(10.8)/1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(0.5)/</w:t>
            </w:r>
          </w:p>
          <w:p w14:paraId="340BC0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24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(11.3)/74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(34.9)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D3FFE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0.968</w:t>
            </w:r>
          </w:p>
        </w:tc>
      </w:tr>
      <w:tr w:rsidR="00E373A6" w:rsidRPr="00A14F7E" w14:paraId="1FE7B5E1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5472CF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DAA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regimen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5A27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6BD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130F5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303FF00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26D80CE5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7393CD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SOF/VEL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E02EF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(70.0)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75B2C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589DB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20A64CA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&lt;</w:t>
            </w:r>
            <w:r w:rsidR="00A14F7E" w:rsidRPr="00A14F7E">
              <w:rPr>
                <w:rFonts w:ascii="Book Antiqua" w:hAnsi="Book Antiqu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0.001</w:t>
            </w:r>
            <w:r w:rsidR="00572D3A" w:rsidRPr="00A14F7E">
              <w:rPr>
                <w:rFonts w:ascii="Book Antiqua" w:eastAsia="PMingLiU" w:hAnsi="Book Antiqua"/>
                <w:kern w:val="2"/>
                <w:vertAlign w:val="superscript"/>
                <w:lang w:eastAsia="zh-TW"/>
              </w:rPr>
              <w:t>a</w:t>
            </w:r>
          </w:p>
        </w:tc>
      </w:tr>
      <w:tr w:rsidR="00E373A6" w:rsidRPr="00A14F7E" w14:paraId="3B0D846B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49737FB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SOF/LDV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65C4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(25.7)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3DF0D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78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(85.7)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6F4E6AF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2E6A320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5D02384B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09DC2D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GLE/PIB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918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(4.3)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2CE2C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(14.3)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</w:tcPr>
          <w:p w14:paraId="0F03976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</w:tcPr>
          <w:p w14:paraId="17D4E28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752B49C2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39366F6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Prior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history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5BF0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8AAB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9D7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D171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4675D2E4" w14:textId="77777777" w:rsidTr="00572D3A">
        <w:tc>
          <w:tcPr>
            <w:tcW w:w="1277" w:type="pct"/>
            <w:tcBorders>
              <w:top w:val="nil"/>
              <w:bottom w:val="nil"/>
            </w:tcBorders>
            <w:shd w:val="clear" w:color="auto" w:fill="auto"/>
          </w:tcPr>
          <w:p w14:paraId="18B97C1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Naïve</w:t>
            </w:r>
          </w:p>
        </w:tc>
        <w:tc>
          <w:tcPr>
            <w:tcW w:w="95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DAEF8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(99.0)</w:t>
            </w:r>
          </w:p>
        </w:tc>
        <w:tc>
          <w:tcPr>
            <w:tcW w:w="11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24C29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89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(97.8)</w:t>
            </w:r>
          </w:p>
        </w:tc>
        <w:tc>
          <w:tcPr>
            <w:tcW w:w="10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A41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(99.5)</w:t>
            </w:r>
          </w:p>
        </w:tc>
        <w:tc>
          <w:tcPr>
            <w:tcW w:w="58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B6DE2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0.216</w:t>
            </w:r>
          </w:p>
        </w:tc>
      </w:tr>
      <w:tr w:rsidR="00E373A6" w:rsidRPr="00A14F7E" w14:paraId="32C33DC0" w14:textId="77777777" w:rsidTr="00572D3A">
        <w:tc>
          <w:tcPr>
            <w:tcW w:w="1277" w:type="pct"/>
            <w:tcBorders>
              <w:top w:val="nil"/>
            </w:tcBorders>
            <w:shd w:val="clear" w:color="auto" w:fill="auto"/>
          </w:tcPr>
          <w:p w14:paraId="3128424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lastRenderedPageBreak/>
              <w:t>Experienced-IFN</w:t>
            </w:r>
          </w:p>
        </w:tc>
        <w:tc>
          <w:tcPr>
            <w:tcW w:w="958" w:type="pct"/>
            <w:tcBorders>
              <w:top w:val="nil"/>
            </w:tcBorders>
            <w:shd w:val="clear" w:color="auto" w:fill="auto"/>
            <w:vAlign w:val="center"/>
          </w:tcPr>
          <w:p w14:paraId="70847D2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(1.0)</w:t>
            </w:r>
          </w:p>
        </w:tc>
        <w:tc>
          <w:tcPr>
            <w:tcW w:w="1117" w:type="pct"/>
            <w:tcBorders>
              <w:top w:val="nil"/>
            </w:tcBorders>
            <w:shd w:val="clear" w:color="auto" w:fill="auto"/>
            <w:vAlign w:val="center"/>
          </w:tcPr>
          <w:p w14:paraId="25C1502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(2.2)</w:t>
            </w:r>
          </w:p>
        </w:tc>
        <w:tc>
          <w:tcPr>
            <w:tcW w:w="1064" w:type="pct"/>
            <w:tcBorders>
              <w:top w:val="nil"/>
            </w:tcBorders>
            <w:shd w:val="clear" w:color="auto" w:fill="auto"/>
            <w:vAlign w:val="center"/>
          </w:tcPr>
          <w:p w14:paraId="042DAB7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(0.5)</w:t>
            </w:r>
          </w:p>
        </w:tc>
        <w:tc>
          <w:tcPr>
            <w:tcW w:w="584" w:type="pct"/>
            <w:tcBorders>
              <w:top w:val="nil"/>
            </w:tcBorders>
            <w:shd w:val="clear" w:color="auto" w:fill="auto"/>
            <w:vAlign w:val="center"/>
          </w:tcPr>
          <w:p w14:paraId="6718856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</w:tbl>
    <w:p w14:paraId="0724CD77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/>
          <w:kern w:val="2"/>
          <w:lang w:eastAsia="zh-TW"/>
        </w:rPr>
      </w:pPr>
      <w:r>
        <w:rPr>
          <w:rFonts w:ascii="Book Antiqua" w:hAnsi="Book Antiqua" w:cs="Calibri" w:hint="eastAsia"/>
          <w:kern w:val="2"/>
          <w:vertAlign w:val="superscript"/>
          <w:lang w:eastAsia="zh-CN"/>
        </w:rPr>
        <w:t>1</w:t>
      </w:r>
      <w:r w:rsidRPr="00A14F7E">
        <w:rPr>
          <w:rFonts w:ascii="Book Antiqua" w:eastAsia="Times New Roman" w:hAnsi="Book Antiqua" w:cs="Calibri"/>
          <w:kern w:val="2"/>
          <w:lang w:eastAsia="zh-TW"/>
        </w:rPr>
        <w:t xml:space="preserve">56 patients did not have </w:t>
      </w:r>
      <w:r w:rsidRPr="00A14F7E">
        <w:rPr>
          <w:rFonts w:ascii="Book Antiqua" w:hAnsi="Book Antiqua" w:cs="Calibri"/>
          <w:kern w:val="2"/>
          <w:lang w:eastAsia="zh-CN"/>
        </w:rPr>
        <w:t>body mass index</w:t>
      </w:r>
      <w:r w:rsidRPr="00A14F7E">
        <w:rPr>
          <w:rFonts w:ascii="Book Antiqua" w:eastAsia="Times New Roman" w:hAnsi="Book Antiqua" w:cs="Calibri"/>
          <w:kern w:val="2"/>
          <w:lang w:eastAsia="zh-TW"/>
        </w:rPr>
        <w:t xml:space="preserve"> information (12 patients b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efore campaign of </w:t>
      </w:r>
      <w:r w:rsidRPr="00A14F7E">
        <w:rPr>
          <w:rFonts w:ascii="Book Antiqua" w:hAnsi="Book Antiqua" w:cs="Calibri"/>
          <w:kern w:val="2"/>
          <w:lang w:eastAsia="zh-CN"/>
        </w:rPr>
        <w:t>h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epatitis C virus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 </w:t>
      </w:r>
      <w:r w:rsidRPr="00A14F7E">
        <w:rPr>
          <w:rFonts w:ascii="Book Antiqua" w:hAnsi="Book Antiqua"/>
          <w:kern w:val="2"/>
          <w:lang w:eastAsia="zh-CN"/>
        </w:rPr>
        <w:t>(</w:t>
      </w:r>
      <w:r w:rsidRPr="00A14F7E">
        <w:rPr>
          <w:rFonts w:ascii="Book Antiqua" w:eastAsia="Times New Roman" w:hAnsi="Book Antiqua"/>
          <w:kern w:val="2"/>
          <w:lang w:eastAsia="zh-TW"/>
        </w:rPr>
        <w:t>HCV</w:t>
      </w:r>
      <w:r w:rsidRPr="00A14F7E">
        <w:rPr>
          <w:rFonts w:ascii="Book Antiqua" w:hAnsi="Book Antiqua"/>
          <w:kern w:val="2"/>
          <w:lang w:eastAsia="zh-CN"/>
        </w:rPr>
        <w:t>)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 micro-elimination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; 44 patients in</w:t>
      </w:r>
      <w:r w:rsidRPr="00A14F7E">
        <w:rPr>
          <w:rFonts w:ascii="Book Antiqua" w:eastAsia="Times New Roman" w:hAnsi="Book Antiqua"/>
          <w:kern w:val="2"/>
          <w:lang w:eastAsia="zh-TW"/>
        </w:rPr>
        <w:t xml:space="preserve"> campaign of HCV micro-elimination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)</w:t>
      </w:r>
      <w:r w:rsidRPr="00A14F7E">
        <w:rPr>
          <w:rFonts w:ascii="Book Antiqua" w:hAnsi="Book Antiqua" w:cs="Calibri"/>
          <w:kern w:val="2"/>
          <w:lang w:eastAsia="zh-CN"/>
        </w:rPr>
        <w:t>.</w:t>
      </w:r>
    </w:p>
    <w:p w14:paraId="60A5794D" w14:textId="77777777" w:rsidR="001B2072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kern w:val="2"/>
          <w:lang w:eastAsia="zh-TW"/>
        </w:rPr>
      </w:pPr>
      <w:proofErr w:type="spellStart"/>
      <w:r w:rsidRPr="00A14F7E">
        <w:rPr>
          <w:rFonts w:ascii="Book Antiqua" w:eastAsia="PMingLiU" w:hAnsi="Book Antiqua"/>
          <w:kern w:val="2"/>
          <w:vertAlign w:val="superscript"/>
          <w:lang w:eastAsia="zh-TW"/>
        </w:rPr>
        <w:t>a</w:t>
      </w:r>
      <w:r w:rsidRPr="00782D47">
        <w:rPr>
          <w:rFonts w:ascii="Book Antiqua" w:eastAsia="Times New Roman" w:hAnsi="Book Antiqua" w:cs="Calibri"/>
          <w:i/>
          <w:kern w:val="2"/>
          <w:lang w:eastAsia="zh-TW"/>
        </w:rPr>
        <w:t>P</w:t>
      </w:r>
      <w:proofErr w:type="spellEnd"/>
      <w:r w:rsidRPr="00A14F7E">
        <w:rPr>
          <w:rFonts w:ascii="Book Antiqua" w:eastAsia="Times New Roman" w:hAnsi="Book Antiqua" w:cs="Calibri"/>
          <w:kern w:val="2"/>
          <w:lang w:eastAsia="zh-TW"/>
        </w:rPr>
        <w:t xml:space="preserve"> &lt; 0.05.</w:t>
      </w:r>
      <w:r>
        <w:rPr>
          <w:rFonts w:ascii="Book Antiqua" w:hAnsi="Book Antiqua" w:cs="Calibri" w:hint="eastAsia"/>
          <w:kern w:val="2"/>
          <w:lang w:eastAsia="zh-CN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DAA: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kern w:val="2"/>
          <w:lang w:eastAsia="zh-TW"/>
        </w:rPr>
        <w:t>D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irectly-acting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antivirals</w:t>
      </w:r>
      <w:r w:rsidR="001B2072">
        <w:rPr>
          <w:rFonts w:ascii="Book Antiqua" w:eastAsia="Times New Roman" w:hAnsi="Book Antiqua" w:cs="Calibri"/>
          <w:kern w:val="2"/>
          <w:lang w:eastAsia="zh-TW"/>
        </w:rPr>
        <w:t>.</w:t>
      </w:r>
    </w:p>
    <w:p w14:paraId="29EAF21F" w14:textId="66B248F3" w:rsidR="00E373A6" w:rsidRPr="00A14F7E" w:rsidRDefault="00E373A6" w:rsidP="00A14F7E">
      <w:pPr>
        <w:widowControl w:val="0"/>
        <w:spacing w:line="360" w:lineRule="auto"/>
        <w:jc w:val="both"/>
        <w:rPr>
          <w:rFonts w:ascii="Book Antiqua" w:hAnsi="Book Antiqua" w:cs="Calibri"/>
          <w:kern w:val="2"/>
          <w:lang w:eastAsia="zh-CN"/>
        </w:rPr>
      </w:pPr>
      <w:r w:rsidRPr="00A14F7E">
        <w:rPr>
          <w:rFonts w:ascii="Book Antiqua" w:eastAsia="Times New Roman" w:hAnsi="Book Antiqua" w:cs="Calibri"/>
          <w:kern w:val="2"/>
          <w:lang w:eastAsia="zh-TW"/>
        </w:rPr>
        <w:t>HCV</w:t>
      </w:r>
      <w:r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C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virus;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BMI: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B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ody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mass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index;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AST: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A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spartate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aminotransferase;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ALT: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A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lanine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aminotransferase;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LC: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L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iver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cirrhosis;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FIB-4: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Fibrosis-4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index;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HBsAg: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epatitis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B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surface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antigen;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eGFR: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E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stimated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glomerular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filtration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rate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(mL/min/1.73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m</w:t>
      </w:r>
      <w:r w:rsidRPr="00A14F7E">
        <w:rPr>
          <w:rFonts w:ascii="Book Antiqua" w:eastAsia="Times New Roman" w:hAnsi="Book Antiqua" w:cs="Calibri"/>
          <w:kern w:val="2"/>
          <w:vertAlign w:val="superscript"/>
          <w:lang w:eastAsia="zh-TW"/>
        </w:rPr>
        <w:t>2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);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SOF: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S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ofosbuvir;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VEL</w:t>
      </w:r>
      <w:r w:rsidRPr="00A14F7E">
        <w:rPr>
          <w:rFonts w:ascii="Book Antiqua" w:eastAsia="Times New Roman" w:hAnsi="Book Antiqua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/>
          <w:kern w:val="2"/>
          <w:lang w:eastAsia="zh-TW"/>
        </w:rPr>
        <w:t xml:space="preserve"> </w:t>
      </w:r>
      <w:proofErr w:type="spellStart"/>
      <w:r w:rsidRPr="00A14F7E">
        <w:rPr>
          <w:rFonts w:ascii="Book Antiqua" w:eastAsia="PMingLiU" w:hAnsi="Book Antiqua" w:cs="Calibri"/>
          <w:kern w:val="2"/>
          <w:lang w:eastAsia="zh-TW"/>
        </w:rPr>
        <w:t>V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elpatasvir</w:t>
      </w:r>
      <w:proofErr w:type="spellEnd"/>
      <w:r w:rsidRPr="00A14F7E">
        <w:rPr>
          <w:rFonts w:ascii="Book Antiqua" w:eastAsia="Times New Roman" w:hAnsi="Book Antiqua" w:cs="Calibri"/>
          <w:kern w:val="2"/>
          <w:lang w:eastAsia="zh-TW"/>
        </w:rPr>
        <w:t>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LDV: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L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edipasvir;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GLE: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proofErr w:type="spellStart"/>
      <w:r w:rsidRPr="00A14F7E">
        <w:rPr>
          <w:rFonts w:ascii="Book Antiqua" w:eastAsia="PMingLiU" w:hAnsi="Book Antiqua" w:cs="Calibri"/>
          <w:kern w:val="2"/>
          <w:lang w:eastAsia="zh-TW"/>
        </w:rPr>
        <w:t>G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lecaprevir</w:t>
      </w:r>
      <w:proofErr w:type="spellEnd"/>
      <w:r w:rsidRPr="00A14F7E">
        <w:rPr>
          <w:rFonts w:ascii="Book Antiqua" w:eastAsia="Times New Roman" w:hAnsi="Book Antiqua" w:cs="Calibri"/>
          <w:kern w:val="2"/>
          <w:lang w:eastAsia="zh-TW"/>
        </w:rPr>
        <w:t>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PIB: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proofErr w:type="spellStart"/>
      <w:r w:rsidRPr="00A14F7E">
        <w:rPr>
          <w:rFonts w:ascii="Book Antiqua" w:eastAsia="PMingLiU" w:hAnsi="Book Antiqua" w:cs="Calibri"/>
          <w:kern w:val="2"/>
          <w:lang w:eastAsia="zh-TW"/>
        </w:rPr>
        <w:t>P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ibrentasvir</w:t>
      </w:r>
      <w:proofErr w:type="spellEnd"/>
      <w:r w:rsidRPr="00A14F7E">
        <w:rPr>
          <w:rFonts w:ascii="Book Antiqua" w:eastAsia="Times New Roman" w:hAnsi="Book Antiqua" w:cs="Calibri"/>
          <w:kern w:val="2"/>
          <w:lang w:eastAsia="zh-TW"/>
        </w:rPr>
        <w:t>;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IFN: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I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nterferon</w:t>
      </w:r>
      <w:r w:rsidR="00572D3A" w:rsidRPr="00A14F7E">
        <w:rPr>
          <w:rFonts w:ascii="Book Antiqua" w:hAnsi="Book Antiqua" w:cs="Calibri"/>
          <w:kern w:val="2"/>
          <w:lang w:eastAsia="zh-CN"/>
        </w:rPr>
        <w:t>.</w:t>
      </w:r>
    </w:p>
    <w:p w14:paraId="35576954" w14:textId="77777777" w:rsidR="00E373A6" w:rsidRPr="00A14F7E" w:rsidRDefault="00E373A6" w:rsidP="00A14F7E">
      <w:pPr>
        <w:widowControl w:val="0"/>
        <w:spacing w:line="360" w:lineRule="auto"/>
        <w:jc w:val="both"/>
        <w:rPr>
          <w:rFonts w:ascii="Book Antiqua" w:eastAsia="Times New Roman" w:hAnsi="Book Antiqua"/>
          <w:kern w:val="2"/>
          <w:lang w:eastAsia="zh-TW"/>
        </w:rPr>
      </w:pPr>
    </w:p>
    <w:p w14:paraId="75707BBA" w14:textId="77777777" w:rsidR="00E373A6" w:rsidRPr="0039520B" w:rsidRDefault="00E373A6" w:rsidP="00A14F7E">
      <w:pPr>
        <w:spacing w:line="360" w:lineRule="auto"/>
        <w:jc w:val="both"/>
        <w:rPr>
          <w:rFonts w:ascii="Book Antiqua" w:eastAsia="Times New Roman" w:hAnsi="Book Antiqua"/>
          <w:b/>
          <w:kern w:val="2"/>
          <w:lang w:eastAsia="zh-TW"/>
        </w:rPr>
      </w:pPr>
      <w:r w:rsidRPr="00A14F7E">
        <w:rPr>
          <w:rFonts w:ascii="Book Antiqua" w:eastAsia="Times New Roman" w:hAnsi="Book Antiqua"/>
          <w:b/>
          <w:kern w:val="2"/>
          <w:lang w:eastAsia="zh-TW"/>
        </w:rPr>
        <w:br w:type="page"/>
      </w:r>
      <w:r w:rsidRPr="0039520B">
        <w:rPr>
          <w:rFonts w:ascii="Book Antiqua" w:eastAsia="Times New Roman" w:hAnsi="Book Antiqua"/>
          <w:b/>
          <w:kern w:val="2"/>
          <w:lang w:eastAsia="zh-TW"/>
        </w:rPr>
        <w:lastRenderedPageBreak/>
        <w:t>Table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2</w:t>
      </w:r>
      <w:r w:rsidR="00A14F7E" w:rsidRPr="0039520B">
        <w:rPr>
          <w:rFonts w:ascii="Book Antiqua" w:hAnsi="Book Antiqua"/>
          <w:b/>
          <w:kern w:val="2"/>
          <w:lang w:eastAsia="zh-CN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Virological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responses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hepatitis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C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virus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-infected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patients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receiving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directly-acting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antivirals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therapy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before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and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during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campaign</w:t>
      </w:r>
      <w:r w:rsidR="00A14F7E" w:rsidRPr="0039520B">
        <w:rPr>
          <w:rFonts w:ascii="Book Antiqua" w:eastAsia="PMingLiU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hepatitis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C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572D3A" w:rsidRPr="0039520B">
        <w:rPr>
          <w:rFonts w:ascii="Book Antiqua" w:eastAsia="Times New Roman" w:hAnsi="Book Antiqua"/>
          <w:b/>
          <w:kern w:val="2"/>
          <w:lang w:eastAsia="zh-TW"/>
        </w:rPr>
        <w:t>virus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micro-elimination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in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Penghu</w:t>
      </w:r>
      <w:r w:rsidR="00A14F7E"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 xml:space="preserve"> </w:t>
      </w:r>
      <w:r w:rsidRPr="0039520B">
        <w:rPr>
          <w:rFonts w:ascii="Book Antiqua" w:eastAsia="Times New Roman" w:hAnsi="Book Antiqua" w:cs="Calibri"/>
          <w:b/>
          <w:color w:val="222222"/>
          <w:kern w:val="2"/>
          <w:shd w:val="clear" w:color="auto" w:fill="FFFFFF"/>
          <w:lang w:eastAsia="zh-TW"/>
        </w:rPr>
        <w:t>prison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in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Penghu</w:t>
      </w:r>
      <w:r w:rsidR="00A14F7E" w:rsidRPr="0039520B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39520B">
        <w:rPr>
          <w:rFonts w:ascii="Book Antiqua" w:eastAsia="Times New Roman" w:hAnsi="Book Antiqua"/>
          <w:b/>
          <w:kern w:val="2"/>
          <w:lang w:eastAsia="zh-TW"/>
        </w:rPr>
        <w:t>prison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974"/>
        <w:gridCol w:w="2959"/>
        <w:gridCol w:w="3526"/>
        <w:gridCol w:w="1410"/>
      </w:tblGrid>
      <w:tr w:rsidR="00E373A6" w:rsidRPr="00A14F7E" w14:paraId="3A73568A" w14:textId="77777777" w:rsidTr="00572D3A">
        <w:tc>
          <w:tcPr>
            <w:tcW w:w="1465" w:type="pct"/>
            <w:shd w:val="clear" w:color="auto" w:fill="auto"/>
            <w:vAlign w:val="center"/>
          </w:tcPr>
          <w:p w14:paraId="774781F5" w14:textId="77777777" w:rsidR="00E373A6" w:rsidRPr="003D6141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</w:pPr>
            <w:proofErr w:type="spellStart"/>
            <w:r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>Undetectable</w:t>
            </w:r>
            <w:proofErr w:type="spellEnd"/>
            <w:r w:rsidR="00A14F7E"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 xml:space="preserve"> </w:t>
            </w:r>
            <w:r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>HCV</w:t>
            </w:r>
            <w:r w:rsidR="00A14F7E"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 xml:space="preserve"> </w:t>
            </w:r>
            <w:r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>RNA,</w:t>
            </w:r>
            <w:r w:rsidR="00A14F7E"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 xml:space="preserve"> </w:t>
            </w:r>
            <w:r w:rsidRPr="003D6141">
              <w:rPr>
                <w:rFonts w:ascii="Book Antiqua" w:eastAsia="Times New Roman" w:hAnsi="Book Antiqua"/>
                <w:b/>
                <w:i/>
                <w:kern w:val="2"/>
                <w:lang w:val="pt-BR" w:eastAsia="zh-TW"/>
              </w:rPr>
              <w:t>n</w:t>
            </w:r>
            <w:r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>/N</w:t>
            </w:r>
            <w:r w:rsidR="00A14F7E"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 xml:space="preserve"> </w:t>
            </w:r>
            <w:r w:rsidRPr="003D6141">
              <w:rPr>
                <w:rFonts w:ascii="Book Antiqua" w:eastAsia="Times New Roman" w:hAnsi="Book Antiqua"/>
                <w:b/>
                <w:kern w:val="2"/>
                <w:lang w:val="pt-BR" w:eastAsia="zh-TW"/>
              </w:rPr>
              <w:t>(%)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D5189B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Total</w:t>
            </w:r>
          </w:p>
        </w:tc>
        <w:tc>
          <w:tcPr>
            <w:tcW w:w="1060" w:type="pct"/>
            <w:shd w:val="clear" w:color="auto" w:fill="auto"/>
            <w:vAlign w:val="center"/>
          </w:tcPr>
          <w:p w14:paraId="0C1D191C" w14:textId="77777777" w:rsidR="00E373A6" w:rsidRPr="000761AB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Sporadic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therapy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in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outpatient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clinics</w:t>
            </w:r>
            <w:r w:rsidR="000761AB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</w:t>
            </w:r>
          </w:p>
          <w:p w14:paraId="535902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January 1, 2019 </w:t>
            </w:r>
            <w:r w:rsidR="008F4AF7" w:rsidRPr="00A14F7E">
              <w:rPr>
                <w:rFonts w:ascii="Book Antiqua" w:hAnsi="Book Antiqua"/>
                <w:b/>
                <w:kern w:val="2"/>
                <w:lang w:eastAsia="zh-CN"/>
              </w:rPr>
              <w:t>-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December 31, 2019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1263" w:type="pct"/>
            <w:shd w:val="clear" w:color="auto" w:fill="auto"/>
            <w:vAlign w:val="center"/>
          </w:tcPr>
          <w:p w14:paraId="18C8162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Campaign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of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br/>
              <w:t>micro-elimination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with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simplified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pan-genotypic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SOF/VEL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regimen</w:t>
            </w:r>
            <w:r w:rsidR="00A14F7E" w:rsidRPr="00A14F7E">
              <w:rPr>
                <w:rFonts w:ascii="Book Antiqua" w:eastAsia="Times New Roman" w:hAnsi="Book Antiqua" w:cs="Calibri"/>
                <w:b/>
                <w:color w:val="222222"/>
                <w:kern w:val="2"/>
                <w:shd w:val="clear" w:color="auto" w:fill="FFFFFF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>January 1, 2020 - March 31, 2020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505" w:type="pct"/>
            <w:shd w:val="clear" w:color="auto" w:fill="auto"/>
            <w:vAlign w:val="center"/>
          </w:tcPr>
          <w:p w14:paraId="4F06298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>P</w:t>
            </w:r>
            <w:r w:rsidR="00A14F7E" w:rsidRPr="00A14F7E">
              <w:rPr>
                <w:rFonts w:ascii="Book Antiqua" w:eastAsia="Times New Roman" w:hAnsi="Book Antiqua"/>
                <w:b/>
                <w:i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value</w:t>
            </w:r>
          </w:p>
        </w:tc>
      </w:tr>
      <w:tr w:rsidR="00E373A6" w:rsidRPr="00A14F7E" w14:paraId="6D300EE0" w14:textId="77777777" w:rsidTr="00A14F7E">
        <w:trPr>
          <w:trHeight w:val="628"/>
        </w:trPr>
        <w:tc>
          <w:tcPr>
            <w:tcW w:w="1465" w:type="pct"/>
            <w:tcBorders>
              <w:bottom w:val="nil"/>
            </w:tcBorders>
            <w:shd w:val="clear" w:color="auto" w:fill="auto"/>
            <w:vAlign w:val="center"/>
          </w:tcPr>
          <w:p w14:paraId="75CBBEB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Intention-to-treat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population</w:t>
            </w:r>
          </w:p>
        </w:tc>
        <w:tc>
          <w:tcPr>
            <w:tcW w:w="707" w:type="pct"/>
            <w:tcBorders>
              <w:bottom w:val="nil"/>
            </w:tcBorders>
            <w:shd w:val="clear" w:color="auto" w:fill="auto"/>
            <w:vAlign w:val="center"/>
          </w:tcPr>
          <w:p w14:paraId="245FDFA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0" w:type="pct"/>
            <w:tcBorders>
              <w:bottom w:val="nil"/>
            </w:tcBorders>
            <w:shd w:val="clear" w:color="auto" w:fill="auto"/>
            <w:vAlign w:val="center"/>
          </w:tcPr>
          <w:p w14:paraId="0D14B31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263" w:type="pct"/>
            <w:tcBorders>
              <w:bottom w:val="nil"/>
            </w:tcBorders>
            <w:shd w:val="clear" w:color="auto" w:fill="auto"/>
            <w:vAlign w:val="center"/>
          </w:tcPr>
          <w:p w14:paraId="6E261D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05" w:type="pct"/>
            <w:tcBorders>
              <w:bottom w:val="nil"/>
            </w:tcBorders>
            <w:shd w:val="clear" w:color="auto" w:fill="auto"/>
            <w:vAlign w:val="center"/>
          </w:tcPr>
          <w:p w14:paraId="474CED1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42A086EF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B795D1" w14:textId="77777777" w:rsidR="00E373A6" w:rsidRPr="000761AB" w:rsidRDefault="00E373A6" w:rsidP="000761AB">
            <w:pPr>
              <w:widowControl w:val="0"/>
              <w:spacing w:line="360" w:lineRule="auto"/>
              <w:ind w:leftChars="-1" w:left="-2" w:firstLineChars="100" w:firstLine="240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905E50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proofErr w:type="spellStart"/>
            <w:r w:rsidR="000761AB">
              <w:rPr>
                <w:rFonts w:ascii="Book Antiqua" w:hAnsi="Book Antiqua" w:hint="eastAsia"/>
                <w:kern w:val="2"/>
                <w:lang w:eastAsia="zh-CN"/>
              </w:rPr>
              <w:t>wk</w:t>
            </w:r>
            <w:proofErr w:type="spellEnd"/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B693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284/303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(93.7)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011B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85/91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(93.4)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91B53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199/212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(93.9)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E1E8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0.879</w:t>
            </w:r>
          </w:p>
        </w:tc>
      </w:tr>
      <w:tr w:rsidR="00E373A6" w:rsidRPr="00A14F7E" w14:paraId="762BF18F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6546E8" w14:textId="77777777" w:rsidR="00E373A6" w:rsidRPr="00A14F7E" w:rsidRDefault="00E373A6" w:rsidP="00A14F7E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End-of-treatment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E021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300/303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82A44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E486D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209/212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(98.6)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16B50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0.557</w:t>
            </w:r>
          </w:p>
        </w:tc>
      </w:tr>
      <w:tr w:rsidR="00E373A6" w:rsidRPr="00A14F7E" w14:paraId="363F19BB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DEEC3E" w14:textId="77777777" w:rsidR="00E373A6" w:rsidRPr="00A14F7E" w:rsidRDefault="00E373A6" w:rsidP="000761AB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12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proofErr w:type="spellStart"/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w</w:t>
            </w:r>
            <w:r w:rsidR="000761AB">
              <w:rPr>
                <w:rFonts w:ascii="Book Antiqua" w:eastAsia="Times New Roman" w:hAnsi="Book Antiqua"/>
                <w:kern w:val="2"/>
                <w:lang w:eastAsia="zh-TW"/>
              </w:rPr>
              <w:t>k</w:t>
            </w:r>
            <w:proofErr w:type="spellEnd"/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follow-up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19D29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289/303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(95.4)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0394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highlight w:val="cyan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86/91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(94.5)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91430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203/212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(95.8)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C4A01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0.126</w:t>
            </w:r>
          </w:p>
        </w:tc>
      </w:tr>
      <w:tr w:rsidR="00E373A6" w:rsidRPr="00A14F7E" w14:paraId="05EEE1C3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AE06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Per-protocol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population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0F44C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E681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7B7C5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5CF9F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68F01FAB" w14:textId="77777777" w:rsidTr="00572D3A"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57A592" w14:textId="77777777" w:rsidR="00E373A6" w:rsidRPr="000761AB" w:rsidRDefault="00E373A6" w:rsidP="000761AB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proofErr w:type="spellStart"/>
            <w:r w:rsidR="000761AB">
              <w:rPr>
                <w:rFonts w:ascii="Book Antiqua" w:hAnsi="Book Antiqua" w:hint="eastAsia"/>
                <w:kern w:val="2"/>
                <w:lang w:eastAsia="zh-CN"/>
              </w:rPr>
              <w:t>wk</w:t>
            </w:r>
            <w:proofErr w:type="spellEnd"/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7A09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284/301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(94.4)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579BF1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85/90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(94.4)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06280C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199/211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(94.3)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3B1062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0.964</w:t>
            </w:r>
          </w:p>
        </w:tc>
      </w:tr>
      <w:tr w:rsidR="00E373A6" w:rsidRPr="00A14F7E" w14:paraId="76744715" w14:textId="77777777" w:rsidTr="00A14F7E">
        <w:trPr>
          <w:trHeight w:val="634"/>
        </w:trPr>
        <w:tc>
          <w:tcPr>
            <w:tcW w:w="14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FBD96E" w14:textId="77777777" w:rsidR="00E373A6" w:rsidRPr="00A14F7E" w:rsidRDefault="00E373A6" w:rsidP="00A14F7E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End-of-treatment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149E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300/300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106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0CB67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91/91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126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C12989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209/209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0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631D9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-</w:t>
            </w:r>
          </w:p>
        </w:tc>
      </w:tr>
      <w:tr w:rsidR="00E373A6" w:rsidRPr="00A14F7E" w14:paraId="546A9969" w14:textId="77777777" w:rsidTr="00A14F7E">
        <w:trPr>
          <w:trHeight w:val="754"/>
        </w:trPr>
        <w:tc>
          <w:tcPr>
            <w:tcW w:w="1465" w:type="pct"/>
            <w:tcBorders>
              <w:top w:val="nil"/>
            </w:tcBorders>
            <w:shd w:val="clear" w:color="auto" w:fill="auto"/>
            <w:vAlign w:val="center"/>
          </w:tcPr>
          <w:p w14:paraId="65D7E73D" w14:textId="77777777" w:rsidR="00E373A6" w:rsidRPr="00A14F7E" w:rsidRDefault="00E373A6" w:rsidP="000761AB">
            <w:pPr>
              <w:widowControl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End-of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12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 xml:space="preserve"> </w:t>
            </w:r>
            <w:proofErr w:type="spellStart"/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w</w:t>
            </w:r>
            <w:r w:rsidR="000761AB">
              <w:rPr>
                <w:rFonts w:ascii="Book Antiqua" w:hAnsi="Book Antiqua" w:hint="eastAsia"/>
                <w:kern w:val="2"/>
                <w:lang w:eastAsia="zh-CN"/>
              </w:rPr>
              <w:t>k</w:t>
            </w:r>
            <w:proofErr w:type="spellEnd"/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follow-up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vAlign w:val="center"/>
          </w:tcPr>
          <w:p w14:paraId="26CEFDA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289/290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(99.7)</w:t>
            </w:r>
          </w:p>
        </w:tc>
        <w:tc>
          <w:tcPr>
            <w:tcW w:w="1060" w:type="pct"/>
            <w:tcBorders>
              <w:top w:val="nil"/>
            </w:tcBorders>
            <w:shd w:val="clear" w:color="auto" w:fill="auto"/>
            <w:vAlign w:val="center"/>
          </w:tcPr>
          <w:p w14:paraId="6DE6D2FA" w14:textId="77777777" w:rsidR="00E373A6" w:rsidRPr="000761AB" w:rsidRDefault="00E373A6" w:rsidP="000761AB">
            <w:pPr>
              <w:widowControl w:val="0"/>
              <w:spacing w:line="360" w:lineRule="auto"/>
              <w:jc w:val="both"/>
              <w:rPr>
                <w:rFonts w:ascii="Book Antiqua" w:hAnsi="Book Antiqua"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86/87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</w:t>
            </w:r>
            <w:proofErr w:type="gramStart"/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98.9)</w:t>
            </w:r>
            <w:r w:rsidRPr="00A14F7E">
              <w:rPr>
                <w:rFonts w:ascii="Book Antiqua" w:eastAsia="PMingLiU" w:hAnsi="Book Antiqua"/>
                <w:kern w:val="2"/>
                <w:lang w:eastAsia="zh-TW"/>
              </w:rPr>
              <w:t>e</w:t>
            </w:r>
            <w:proofErr w:type="gramEnd"/>
            <w:r w:rsidR="000761AB">
              <w:rPr>
                <w:rFonts w:ascii="Book Antiqua" w:hAnsi="Book Antiqua" w:cs="Calibri" w:hint="eastAsia"/>
                <w:kern w:val="2"/>
                <w:vertAlign w:val="superscript"/>
                <w:lang w:eastAsia="zh-CN"/>
              </w:rPr>
              <w:t>5</w:t>
            </w:r>
          </w:p>
        </w:tc>
        <w:tc>
          <w:tcPr>
            <w:tcW w:w="1263" w:type="pct"/>
            <w:tcBorders>
              <w:top w:val="nil"/>
            </w:tcBorders>
            <w:shd w:val="clear" w:color="auto" w:fill="auto"/>
            <w:vAlign w:val="center"/>
          </w:tcPr>
          <w:p w14:paraId="4B38A7B2" w14:textId="77777777" w:rsidR="00E373A6" w:rsidRPr="00A14F7E" w:rsidRDefault="00E373A6" w:rsidP="000761AB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203/203</w:t>
            </w:r>
            <w:r w:rsidR="000761AB">
              <w:rPr>
                <w:rFonts w:ascii="Book Antiqua" w:hAnsi="Book Antiqua" w:hint="eastAsia"/>
                <w:kern w:val="2"/>
                <w:vertAlign w:val="superscript"/>
                <w:lang w:eastAsia="zh-CN"/>
              </w:rPr>
              <w:t>6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(100.0)</w:t>
            </w:r>
          </w:p>
        </w:tc>
        <w:tc>
          <w:tcPr>
            <w:tcW w:w="505" w:type="pct"/>
            <w:tcBorders>
              <w:top w:val="nil"/>
            </w:tcBorders>
            <w:shd w:val="clear" w:color="auto" w:fill="auto"/>
            <w:vAlign w:val="center"/>
          </w:tcPr>
          <w:p w14:paraId="578640A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0.126</w:t>
            </w:r>
          </w:p>
        </w:tc>
      </w:tr>
    </w:tbl>
    <w:p w14:paraId="188C3613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vertAlign w:val="superscript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1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One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missing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data.</w:t>
      </w:r>
    </w:p>
    <w:p w14:paraId="56034414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2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One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transferred;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color w:val="000000"/>
          <w:kern w:val="2"/>
          <w:lang w:eastAsia="zh-TW"/>
        </w:rPr>
        <w:t>O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missing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data.</w:t>
      </w:r>
    </w:p>
    <w:p w14:paraId="5657908D" w14:textId="77777777" w:rsidR="00E373A6" w:rsidRPr="00A14F7E" w:rsidRDefault="000761AB" w:rsidP="00A14F7E">
      <w:pPr>
        <w:widowControl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3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Two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transferred;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color w:val="000000"/>
          <w:kern w:val="2"/>
          <w:lang w:eastAsia="zh-TW"/>
        </w:rPr>
        <w:t>O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released.</w:t>
      </w:r>
    </w:p>
    <w:p w14:paraId="78515087" w14:textId="77777777" w:rsidR="00E373A6" w:rsidRPr="00A14F7E" w:rsidRDefault="000761AB" w:rsidP="00A14F7E">
      <w:pPr>
        <w:widowControl w:val="0"/>
        <w:adjustRightInd w:val="0"/>
        <w:spacing w:line="360" w:lineRule="auto"/>
        <w:jc w:val="both"/>
        <w:rPr>
          <w:rFonts w:ascii="Book Antiqua" w:eastAsia="Times New Roman" w:hAnsi="Book Antiqua" w:cs="Calibri"/>
          <w:color w:val="000000"/>
          <w:kern w:val="2"/>
          <w:lang w:eastAsia="zh-TW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4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Four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released.</w:t>
      </w:r>
    </w:p>
    <w:p w14:paraId="628B4D0B" w14:textId="77777777" w:rsidR="00E373A6" w:rsidRPr="00A14F7E" w:rsidRDefault="000761AB" w:rsidP="00A14F7E">
      <w:pPr>
        <w:widowControl w:val="0"/>
        <w:adjustRightInd w:val="0"/>
        <w:spacing w:line="360" w:lineRule="auto"/>
        <w:jc w:val="both"/>
        <w:rPr>
          <w:rFonts w:ascii="Book Antiqua" w:eastAsia="Times New Roman" w:hAnsi="Book Antiqua" w:cs="Calibri"/>
          <w:kern w:val="2"/>
          <w:lang w:eastAsia="zh-TW"/>
        </w:rPr>
      </w:pPr>
      <w:r>
        <w:rPr>
          <w:rFonts w:ascii="Book Antiqua" w:hAnsi="Book Antiqua" w:cs="Calibri" w:hint="eastAsia"/>
          <w:kern w:val="2"/>
          <w:vertAlign w:val="superscript"/>
          <w:lang w:eastAsia="zh-CN"/>
        </w:rPr>
        <w:lastRenderedPageBreak/>
        <w:t>5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One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proofErr w:type="spellStart"/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relapser</w:t>
      </w:r>
      <w:proofErr w:type="spellEnd"/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.</w:t>
      </w:r>
    </w:p>
    <w:p w14:paraId="15177E88" w14:textId="77777777" w:rsidR="00572D3A" w:rsidRPr="003D6141" w:rsidRDefault="000761AB" w:rsidP="00A14F7E">
      <w:pPr>
        <w:spacing w:line="360" w:lineRule="auto"/>
        <w:jc w:val="both"/>
        <w:rPr>
          <w:rFonts w:ascii="Book Antiqua" w:hAnsi="Book Antiqua"/>
          <w:lang w:val="pt-BR"/>
        </w:rPr>
      </w:pPr>
      <w:r>
        <w:rPr>
          <w:rFonts w:ascii="Book Antiqua" w:hAnsi="Book Antiqua" w:hint="eastAsia"/>
          <w:kern w:val="2"/>
          <w:vertAlign w:val="superscript"/>
          <w:lang w:eastAsia="zh-CN"/>
        </w:rPr>
        <w:t>6</w:t>
      </w:r>
      <w:r w:rsidR="00E373A6" w:rsidRPr="00A14F7E">
        <w:rPr>
          <w:rFonts w:ascii="Book Antiqua" w:eastAsia="Times New Roman" w:hAnsi="Book Antiqua" w:cs="Calibri"/>
          <w:kern w:val="2"/>
          <w:lang w:eastAsia="zh-TW"/>
        </w:rPr>
        <w:t>Four</w:t>
      </w:r>
      <w:r w:rsidR="00A14F7E" w:rsidRPr="00A14F7E">
        <w:rPr>
          <w:rFonts w:ascii="Book Antiqua" w:eastAsia="PMingLiU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transferred;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PMingLiU" w:hAnsi="Book Antiqua" w:cs="Calibri"/>
          <w:color w:val="000000"/>
          <w:kern w:val="2"/>
          <w:lang w:eastAsia="zh-TW"/>
        </w:rPr>
        <w:t>F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ive</w:t>
      </w:r>
      <w:r w:rsidR="00A14F7E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 xml:space="preserve"> </w:t>
      </w:r>
      <w:r w:rsidR="00E373A6" w:rsidRPr="00A14F7E">
        <w:rPr>
          <w:rFonts w:ascii="Book Antiqua" w:eastAsia="Times New Roman" w:hAnsi="Book Antiqua" w:cs="Calibri"/>
          <w:color w:val="000000"/>
          <w:kern w:val="2"/>
          <w:lang w:eastAsia="zh-TW"/>
        </w:rPr>
        <w:t>released.</w:t>
      </w:r>
      <w:r w:rsidR="00A14F7E" w:rsidRPr="00A14F7E">
        <w:rPr>
          <w:rFonts w:ascii="Book Antiqua" w:hAnsi="Book Antiqua" w:cs="Calibri"/>
          <w:color w:val="000000"/>
          <w:kern w:val="2"/>
          <w:lang w:eastAsia="zh-CN"/>
        </w:rPr>
        <w:t xml:space="preserve"> 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HCV</w:t>
      </w:r>
      <w:r w:rsidR="00A14F7E" w:rsidRPr="003D6141">
        <w:rPr>
          <w:rFonts w:ascii="Book Antiqua" w:eastAsia="PMingLiU" w:hAnsi="Book Antiqua" w:cs="Calibri"/>
          <w:kern w:val="2"/>
          <w:lang w:val="pt-BR" w:eastAsia="zh-TW"/>
        </w:rPr>
        <w:t>: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 xml:space="preserve"> </w:t>
      </w:r>
      <w:proofErr w:type="spellStart"/>
      <w:r w:rsidR="00A14F7E" w:rsidRPr="003D6141">
        <w:rPr>
          <w:rFonts w:ascii="Book Antiqua" w:eastAsia="PMingLiU" w:hAnsi="Book Antiqua" w:cs="Calibri"/>
          <w:kern w:val="2"/>
          <w:lang w:val="pt-BR" w:eastAsia="zh-TW"/>
        </w:rPr>
        <w:t>H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epatitis</w:t>
      </w:r>
      <w:proofErr w:type="spellEnd"/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 xml:space="preserve"> C </w:t>
      </w:r>
      <w:proofErr w:type="spellStart"/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virus</w:t>
      </w:r>
      <w:proofErr w:type="spellEnd"/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;</w:t>
      </w:r>
      <w:r w:rsidR="00A14F7E" w:rsidRPr="003D6141">
        <w:rPr>
          <w:rFonts w:ascii="Book Antiqua" w:hAnsi="Book Antiqua" w:cs="Calibri"/>
          <w:kern w:val="2"/>
          <w:lang w:val="pt-BR" w:eastAsia="zh-CN"/>
        </w:rPr>
        <w:t xml:space="preserve"> 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VEL</w:t>
      </w:r>
      <w:r w:rsidR="00A14F7E" w:rsidRPr="003D6141">
        <w:rPr>
          <w:rFonts w:ascii="Book Antiqua" w:eastAsia="Times New Roman" w:hAnsi="Book Antiqua"/>
          <w:kern w:val="2"/>
          <w:lang w:val="pt-BR" w:eastAsia="zh-TW"/>
        </w:rPr>
        <w:t xml:space="preserve">: </w:t>
      </w:r>
      <w:proofErr w:type="spellStart"/>
      <w:r w:rsidR="00A14F7E" w:rsidRPr="003D6141">
        <w:rPr>
          <w:rFonts w:ascii="Book Antiqua" w:eastAsia="PMingLiU" w:hAnsi="Book Antiqua" w:cs="Calibri"/>
          <w:kern w:val="2"/>
          <w:lang w:val="pt-BR" w:eastAsia="zh-TW"/>
        </w:rPr>
        <w:t>V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elpatasvir</w:t>
      </w:r>
      <w:proofErr w:type="spellEnd"/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;</w:t>
      </w:r>
      <w:r w:rsidR="00A14F7E" w:rsidRPr="003D6141">
        <w:rPr>
          <w:rFonts w:ascii="Book Antiqua" w:hAnsi="Book Antiqua" w:cs="Calibri"/>
          <w:kern w:val="2"/>
          <w:lang w:val="pt-BR" w:eastAsia="zh-CN"/>
        </w:rPr>
        <w:t xml:space="preserve"> SOF: </w:t>
      </w:r>
      <w:proofErr w:type="spellStart"/>
      <w:r w:rsidR="00A14F7E" w:rsidRPr="003D6141">
        <w:rPr>
          <w:rFonts w:ascii="Book Antiqua" w:eastAsia="PMingLiU" w:hAnsi="Book Antiqua" w:cs="Calibri"/>
          <w:kern w:val="2"/>
          <w:lang w:val="pt-BR" w:eastAsia="zh-TW"/>
        </w:rPr>
        <w:t>S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>ofosbuvir</w:t>
      </w:r>
      <w:proofErr w:type="spellEnd"/>
      <w:r w:rsidRPr="003D6141">
        <w:rPr>
          <w:rFonts w:ascii="Book Antiqua" w:hAnsi="Book Antiqua" w:cs="Calibri" w:hint="eastAsia"/>
          <w:kern w:val="2"/>
          <w:lang w:val="pt-BR" w:eastAsia="zh-CN"/>
        </w:rPr>
        <w:t>.</w:t>
      </w:r>
      <w:r w:rsidR="00A14F7E" w:rsidRPr="003D6141">
        <w:rPr>
          <w:rFonts w:ascii="Book Antiqua" w:eastAsia="Times New Roman" w:hAnsi="Book Antiqua" w:cs="Calibri"/>
          <w:kern w:val="2"/>
          <w:lang w:val="pt-BR" w:eastAsia="zh-TW"/>
        </w:rPr>
        <w:t xml:space="preserve"> </w:t>
      </w:r>
    </w:p>
    <w:p w14:paraId="415DF196" w14:textId="77777777" w:rsidR="00E373A6" w:rsidRPr="003D6141" w:rsidRDefault="00E373A6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val="pt-BR" w:eastAsia="zh-CN"/>
        </w:rPr>
      </w:pPr>
    </w:p>
    <w:p w14:paraId="4C09DA96" w14:textId="77777777" w:rsidR="00572D3A" w:rsidRPr="003D6141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val="pt-BR" w:eastAsia="zh-CN"/>
        </w:rPr>
      </w:pPr>
    </w:p>
    <w:p w14:paraId="31139731" w14:textId="77777777" w:rsidR="00572D3A" w:rsidRPr="003D6141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val="pt-BR" w:eastAsia="zh-CN"/>
        </w:rPr>
      </w:pPr>
    </w:p>
    <w:p w14:paraId="579BFF74" w14:textId="77777777" w:rsidR="00572D3A" w:rsidRPr="003D6141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val="pt-BR" w:eastAsia="zh-CN"/>
        </w:rPr>
      </w:pPr>
    </w:p>
    <w:p w14:paraId="16A3D804" w14:textId="77777777" w:rsidR="00572D3A" w:rsidRPr="003D6141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kern w:val="2"/>
          <w:lang w:val="pt-BR" w:eastAsia="zh-CN"/>
        </w:rPr>
      </w:pPr>
    </w:p>
    <w:p w14:paraId="26A2C0E2" w14:textId="77777777" w:rsidR="00572D3A" w:rsidRPr="003D6141" w:rsidRDefault="00572D3A" w:rsidP="00A14F7E">
      <w:pPr>
        <w:widowControl w:val="0"/>
        <w:adjustRightInd w:val="0"/>
        <w:spacing w:line="360" w:lineRule="auto"/>
        <w:jc w:val="both"/>
        <w:rPr>
          <w:rFonts w:ascii="Book Antiqua" w:hAnsi="Book Antiqua" w:cs="Calibri"/>
          <w:kern w:val="2"/>
          <w:lang w:val="pt-BR" w:eastAsia="zh-CN"/>
        </w:rPr>
        <w:sectPr w:rsidR="00572D3A" w:rsidRPr="003D6141" w:rsidSect="007C1013">
          <w:type w:val="continuous"/>
          <w:pgSz w:w="16838" w:h="11906" w:orient="landscape"/>
          <w:pgMar w:top="1440" w:right="1440" w:bottom="1440" w:left="1440" w:header="851" w:footer="992" w:gutter="0"/>
          <w:cols w:space="425"/>
          <w:docGrid w:linePitch="360"/>
        </w:sectPr>
      </w:pPr>
    </w:p>
    <w:p w14:paraId="4CCE771E" w14:textId="77777777" w:rsidR="00E373A6" w:rsidRPr="00A14F7E" w:rsidRDefault="00E373A6" w:rsidP="00A14F7E">
      <w:pPr>
        <w:spacing w:line="360" w:lineRule="auto"/>
        <w:jc w:val="both"/>
        <w:rPr>
          <w:rFonts w:ascii="Book Antiqua" w:eastAsia="Times New Roman" w:hAnsi="Book Antiqua"/>
          <w:kern w:val="2"/>
          <w:lang w:eastAsia="zh-TW"/>
        </w:rPr>
      </w:pPr>
      <w:r w:rsidRPr="00A14F7E">
        <w:rPr>
          <w:rFonts w:ascii="Book Antiqua" w:eastAsia="Times New Roman" w:hAnsi="Book Antiqua"/>
          <w:b/>
          <w:kern w:val="2"/>
          <w:lang w:eastAsia="zh-TW"/>
        </w:rPr>
        <w:lastRenderedPageBreak/>
        <w:t>Table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3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Safety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profiles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of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="00A14F7E" w:rsidRPr="00A14F7E">
        <w:rPr>
          <w:rFonts w:ascii="Book Antiqua" w:hAnsi="Book Antiqua"/>
          <w:b/>
          <w:kern w:val="2"/>
          <w:lang w:eastAsia="zh-CN"/>
        </w:rPr>
        <w:t>h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>epatitis C virus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-infected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patients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receiving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direct-acting antivirals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therapy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in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Penghu</w:t>
      </w:r>
      <w:r w:rsidR="00A14F7E" w:rsidRPr="00A14F7E">
        <w:rPr>
          <w:rFonts w:ascii="Book Antiqua" w:eastAsia="Times New Roman" w:hAnsi="Book Antiqua"/>
          <w:b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/>
          <w:b/>
          <w:kern w:val="2"/>
          <w:lang w:eastAsia="zh-TW"/>
        </w:rPr>
        <w:t>prison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3493"/>
        <w:gridCol w:w="1118"/>
        <w:gridCol w:w="1956"/>
        <w:gridCol w:w="2793"/>
      </w:tblGrid>
      <w:tr w:rsidR="00E373A6" w:rsidRPr="00A14F7E" w14:paraId="7FC14D14" w14:textId="77777777" w:rsidTr="001B2072">
        <w:tc>
          <w:tcPr>
            <w:tcW w:w="18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C8BA6" w14:textId="77777777" w:rsidR="00E373A6" w:rsidRPr="00A14F7E" w:rsidRDefault="00A14F7E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hAnsi="Book Antiqua"/>
                <w:b/>
                <w:i/>
                <w:kern w:val="2"/>
                <w:lang w:eastAsia="zh-CN"/>
              </w:rPr>
              <w:t>n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="00E373A6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(%)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6194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Total</w:t>
            </w: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56914" w14:textId="77777777" w:rsidR="00E373A6" w:rsidRPr="008F4AF7" w:rsidRDefault="00E373A6" w:rsidP="00A14F7E">
            <w:pPr>
              <w:widowControl w:val="0"/>
              <w:spacing w:line="360" w:lineRule="auto"/>
              <w:jc w:val="both"/>
              <w:rPr>
                <w:rFonts w:ascii="Book Antiqua" w:hAnsi="Book Antiqua"/>
                <w:b/>
                <w:kern w:val="2"/>
                <w:lang w:eastAsia="zh-CN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Sporadic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therapy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in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outpatient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clinics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</w:t>
            </w:r>
          </w:p>
          <w:p w14:paraId="2CDCF06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January 1, 2019 </w:t>
            </w:r>
            <w:r w:rsidR="008F4AF7" w:rsidRPr="00A14F7E">
              <w:rPr>
                <w:rFonts w:ascii="Book Antiqua" w:hAnsi="Book Antiqua"/>
                <w:b/>
                <w:kern w:val="2"/>
                <w:lang w:eastAsia="zh-CN"/>
              </w:rPr>
              <w:t>-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 xml:space="preserve"> December 31, 2019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F1B2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b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Campaign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of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HCV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br/>
              <w:t>micro-elimination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with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simplified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pan-genotypic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SOF/VEL</w:t>
            </w:r>
            <w:r w:rsidR="00A14F7E"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regimen</w:t>
            </w:r>
            <w:r w:rsidR="00A14F7E" w:rsidRPr="00A14F7E">
              <w:rPr>
                <w:rFonts w:ascii="Book Antiqua" w:eastAsia="Times New Roman" w:hAnsi="Book Antiqua" w:cs="Calibri"/>
                <w:b/>
                <w:color w:val="222222"/>
                <w:kern w:val="2"/>
                <w:shd w:val="clear" w:color="auto" w:fill="FFFFFF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(</w:t>
            </w:r>
            <w:r w:rsidR="008F4AF7">
              <w:rPr>
                <w:rFonts w:ascii="Book Antiqua" w:hAnsi="Book Antiqua" w:hint="eastAsia"/>
                <w:b/>
                <w:kern w:val="2"/>
                <w:lang w:eastAsia="zh-CN"/>
              </w:rPr>
              <w:t>January 1, 2020 - March 31, 2020</w:t>
            </w:r>
            <w:r w:rsidRPr="00A14F7E">
              <w:rPr>
                <w:rFonts w:ascii="Book Antiqua" w:eastAsia="Times New Roman" w:hAnsi="Book Antiqua"/>
                <w:b/>
                <w:kern w:val="2"/>
                <w:lang w:eastAsia="zh-TW"/>
              </w:rPr>
              <w:t>)</w:t>
            </w:r>
          </w:p>
        </w:tc>
      </w:tr>
      <w:tr w:rsidR="00E373A6" w:rsidRPr="00A14F7E" w14:paraId="76130DE5" w14:textId="77777777" w:rsidTr="001B2072">
        <w:tc>
          <w:tcPr>
            <w:tcW w:w="186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5B6F506" w14:textId="77777777" w:rsidR="00E373A6" w:rsidRPr="00A14F7E" w:rsidRDefault="00A14F7E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i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i/>
                <w:kern w:val="2"/>
                <w:lang w:eastAsia="zh-TW"/>
              </w:rPr>
              <w:t>n</w:t>
            </w:r>
          </w:p>
        </w:tc>
        <w:tc>
          <w:tcPr>
            <w:tcW w:w="59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E2AB4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303</w:t>
            </w:r>
          </w:p>
        </w:tc>
        <w:tc>
          <w:tcPr>
            <w:tcW w:w="1045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0D213F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91</w:t>
            </w:r>
          </w:p>
        </w:tc>
        <w:tc>
          <w:tcPr>
            <w:tcW w:w="149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55D68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212</w:t>
            </w:r>
          </w:p>
        </w:tc>
      </w:tr>
      <w:tr w:rsidR="00E373A6" w:rsidRPr="00A14F7E" w14:paraId="3066AAA5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5408F9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Treatment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discontinuation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other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than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released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transferred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774FC4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4A2012F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4B84601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2A6B60F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DAD4B7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Serious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adverse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events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2C33FD2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618479F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3248EC8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5FCBBDB9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40A32E1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Death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4F2B537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4C2DB76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10E2971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DB70555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263A57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Adverse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events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27293B7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7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(2.3)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73DB76EE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(4.3)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456E90D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(1.4)</w:t>
            </w:r>
          </w:p>
        </w:tc>
      </w:tr>
      <w:tr w:rsidR="00E373A6" w:rsidRPr="00A14F7E" w14:paraId="22D051C3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3154726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Fatigue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0FB6DD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7549FAB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3223CF3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68FFB468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2CDD59D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Pruritus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42CC693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(0.7)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36EC5FB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0739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2</w:t>
            </w:r>
            <w:r w:rsidR="00A14F7E"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kern w:val="2"/>
                <w:lang w:eastAsia="zh-TW"/>
              </w:rPr>
              <w:t>(0.9)</w:t>
            </w:r>
          </w:p>
        </w:tc>
      </w:tr>
      <w:tr w:rsidR="00E373A6" w:rsidRPr="00A14F7E" w14:paraId="5A78A08E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34B8F55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Rash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36A8D23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05963A8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(3.2)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6F4F90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 w:cs="Calibri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6F1A367C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0B43F2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Nausea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7DE888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5CBBFB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B544B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5E092FFF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5BA9259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Anorexia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0314C78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4F37A1E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244AA0D7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6A61E7A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218325F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Constipation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3F53ACB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0816200F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53D893A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534A89ED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1DEC04D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Dizziness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0283644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05AA06E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66D6A37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660BA6ED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D9A3B5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Insomnia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50E438B3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5E6003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24798C64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055646DA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680FC0B1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FF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Headache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3F60240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(0.3)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6653500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2531DF7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 w:cs="Calibri"/>
                <w:bCs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 w:cs="Calibri"/>
                <w:bCs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 w:cs="Calibri"/>
                <w:bCs/>
                <w:kern w:val="2"/>
                <w:lang w:eastAsia="zh-TW"/>
              </w:rPr>
              <w:t>(0.5)</w:t>
            </w:r>
          </w:p>
        </w:tc>
      </w:tr>
      <w:tr w:rsidR="00E373A6" w:rsidRPr="00A14F7E" w14:paraId="6000088D" w14:textId="77777777" w:rsidTr="00A14F7E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59E8C74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Others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5231BD7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(0.3)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593E73C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1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(1.0)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4BED0C5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07D2DB07" w14:textId="77777777" w:rsidTr="00A14F7E">
        <w:tc>
          <w:tcPr>
            <w:tcW w:w="2463" w:type="pct"/>
            <w:gridSpan w:val="2"/>
            <w:tcBorders>
              <w:top w:val="nil"/>
              <w:bottom w:val="nil"/>
            </w:tcBorders>
            <w:shd w:val="clear" w:color="auto" w:fill="auto"/>
          </w:tcPr>
          <w:p w14:paraId="7C54EEF9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Grade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3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or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4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laboratory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abnormalities,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6160B9EB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56C9692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</w:p>
        </w:tc>
      </w:tr>
      <w:tr w:rsidR="00E373A6" w:rsidRPr="00A14F7E" w14:paraId="3C5A8B7F" w14:textId="77777777" w:rsidTr="001B2072">
        <w:tc>
          <w:tcPr>
            <w:tcW w:w="1866" w:type="pct"/>
            <w:tcBorders>
              <w:top w:val="nil"/>
              <w:bottom w:val="nil"/>
            </w:tcBorders>
            <w:shd w:val="clear" w:color="auto" w:fill="auto"/>
          </w:tcPr>
          <w:p w14:paraId="3F294C52" w14:textId="77777777" w:rsidR="00E373A6" w:rsidRPr="00A14F7E" w:rsidRDefault="00E373A6" w:rsidP="00FB4C53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Total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="00FB4C53">
              <w:rPr>
                <w:rFonts w:ascii="Book Antiqua" w:hAnsi="Book Antiqua" w:hint="eastAsia"/>
                <w:color w:val="000000"/>
                <w:kern w:val="2"/>
                <w:lang w:eastAsia="zh-CN"/>
              </w:rPr>
              <w:t>b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lood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bilirubin</w:t>
            </w:r>
          </w:p>
        </w:tc>
        <w:tc>
          <w:tcPr>
            <w:tcW w:w="597" w:type="pct"/>
            <w:tcBorders>
              <w:top w:val="nil"/>
              <w:bottom w:val="nil"/>
            </w:tcBorders>
            <w:shd w:val="clear" w:color="auto" w:fill="auto"/>
          </w:tcPr>
          <w:p w14:paraId="2E61C925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nil"/>
            </w:tcBorders>
            <w:shd w:val="clear" w:color="auto" w:fill="auto"/>
          </w:tcPr>
          <w:p w14:paraId="786E64BC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nil"/>
            </w:tcBorders>
            <w:shd w:val="clear" w:color="auto" w:fill="auto"/>
          </w:tcPr>
          <w:p w14:paraId="3E1B6766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  <w:tr w:rsidR="00E373A6" w:rsidRPr="00A14F7E" w14:paraId="35898AE5" w14:textId="77777777" w:rsidTr="001B2072">
        <w:tc>
          <w:tcPr>
            <w:tcW w:w="186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A66000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Alanine</w:t>
            </w:r>
            <w:r w:rsidR="00A14F7E"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color w:val="000000"/>
                <w:kern w:val="2"/>
                <w:lang w:eastAsia="zh-TW"/>
              </w:rPr>
              <w:t>aminotransferase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BDCA2D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04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01E2AA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  <w:tc>
          <w:tcPr>
            <w:tcW w:w="149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613DB8" w14:textId="77777777" w:rsidR="00E373A6" w:rsidRPr="00A14F7E" w:rsidRDefault="00E373A6" w:rsidP="00A14F7E">
            <w:pPr>
              <w:widowControl w:val="0"/>
              <w:spacing w:line="360" w:lineRule="auto"/>
              <w:jc w:val="both"/>
              <w:rPr>
                <w:rFonts w:ascii="Book Antiqua" w:eastAsia="Times New Roman" w:hAnsi="Book Antiqua"/>
                <w:kern w:val="2"/>
                <w:lang w:eastAsia="zh-TW"/>
              </w:rPr>
            </w:pP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0</w:t>
            </w:r>
            <w:r w:rsidR="00A14F7E" w:rsidRPr="00A14F7E">
              <w:rPr>
                <w:rFonts w:ascii="Book Antiqua" w:eastAsia="Times New Roman" w:hAnsi="Book Antiqua"/>
                <w:kern w:val="2"/>
                <w:lang w:eastAsia="zh-TW"/>
              </w:rPr>
              <w:t xml:space="preserve"> </w:t>
            </w:r>
            <w:r w:rsidRPr="00A14F7E">
              <w:rPr>
                <w:rFonts w:ascii="Book Antiqua" w:eastAsia="Times New Roman" w:hAnsi="Book Antiqua"/>
                <w:kern w:val="2"/>
                <w:lang w:eastAsia="zh-TW"/>
              </w:rPr>
              <w:t>(0.0)</w:t>
            </w:r>
          </w:p>
        </w:tc>
      </w:tr>
    </w:tbl>
    <w:p w14:paraId="78A23EDE" w14:textId="77777777" w:rsidR="00A14F7E" w:rsidRPr="00A14F7E" w:rsidRDefault="00E373A6" w:rsidP="00A14F7E">
      <w:pPr>
        <w:spacing w:line="360" w:lineRule="auto"/>
        <w:jc w:val="both"/>
        <w:rPr>
          <w:rFonts w:ascii="Book Antiqua" w:hAnsi="Book Antiqua"/>
        </w:rPr>
      </w:pPr>
      <w:r w:rsidRPr="00A14F7E">
        <w:rPr>
          <w:rFonts w:ascii="Book Antiqua" w:eastAsia="Times New Roman" w:hAnsi="Book Antiqua" w:cs="Calibri"/>
          <w:kern w:val="2"/>
          <w:lang w:eastAsia="zh-TW"/>
        </w:rPr>
        <w:lastRenderedPageBreak/>
        <w:t>DAA</w:t>
      </w:r>
      <w:r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PMingLiU" w:hAnsi="Book Antiqua" w:cs="Calibri"/>
          <w:kern w:val="2"/>
          <w:lang w:eastAsia="zh-TW"/>
        </w:rPr>
        <w:t>D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irectly-acting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Pr="00A14F7E">
        <w:rPr>
          <w:rFonts w:ascii="Book Antiqua" w:eastAsia="Times New Roman" w:hAnsi="Book Antiqua" w:cs="Calibri"/>
          <w:kern w:val="2"/>
          <w:lang w:eastAsia="zh-TW"/>
        </w:rPr>
        <w:t>antivirals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; 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HCV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: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H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epatitis C virus;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VEL</w:t>
      </w:r>
      <w:r w:rsidR="00A14F7E" w:rsidRPr="00A14F7E">
        <w:rPr>
          <w:rFonts w:ascii="Book Antiqua" w:eastAsia="Times New Roman" w:hAnsi="Book Antiqua"/>
          <w:kern w:val="2"/>
          <w:lang w:eastAsia="zh-TW"/>
        </w:rPr>
        <w:t xml:space="preserve">: </w:t>
      </w:r>
      <w:proofErr w:type="spellStart"/>
      <w:r w:rsidR="00A14F7E" w:rsidRPr="00A14F7E">
        <w:rPr>
          <w:rFonts w:ascii="Book Antiqua" w:eastAsia="PMingLiU" w:hAnsi="Book Antiqua" w:cs="Calibri"/>
          <w:kern w:val="2"/>
          <w:lang w:eastAsia="zh-TW"/>
        </w:rPr>
        <w:t>V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elpatasvir</w:t>
      </w:r>
      <w:proofErr w:type="spellEnd"/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;</w:t>
      </w:r>
      <w:r w:rsidR="00A14F7E" w:rsidRPr="00A14F7E">
        <w:rPr>
          <w:rFonts w:ascii="Book Antiqua" w:hAnsi="Book Antiqua" w:cs="Calibri"/>
          <w:kern w:val="2"/>
          <w:lang w:eastAsia="zh-CN"/>
        </w:rPr>
        <w:t xml:space="preserve"> SOF: </w:t>
      </w:r>
      <w:r w:rsidR="00A14F7E" w:rsidRPr="00A14F7E">
        <w:rPr>
          <w:rFonts w:ascii="Book Antiqua" w:eastAsia="PMingLiU" w:hAnsi="Book Antiqua" w:cs="Calibri"/>
          <w:kern w:val="2"/>
          <w:lang w:eastAsia="zh-TW"/>
        </w:rPr>
        <w:t>S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>ofosbuvir</w:t>
      </w:r>
      <w:r w:rsidR="00A14F7E" w:rsidRPr="00A14F7E">
        <w:rPr>
          <w:rFonts w:ascii="Book Antiqua" w:hAnsi="Book Antiqua" w:cs="Calibri"/>
          <w:kern w:val="2"/>
          <w:lang w:eastAsia="zh-CN"/>
        </w:rPr>
        <w:t>.</w:t>
      </w:r>
      <w:r w:rsidR="00A14F7E" w:rsidRPr="00A14F7E">
        <w:rPr>
          <w:rFonts w:ascii="Book Antiqua" w:eastAsia="Times New Roman" w:hAnsi="Book Antiqua" w:cs="Calibri"/>
          <w:kern w:val="2"/>
          <w:lang w:eastAsia="zh-TW"/>
        </w:rPr>
        <w:t xml:space="preserve"> </w:t>
      </w:r>
    </w:p>
    <w:p w14:paraId="0352B606" w14:textId="77777777" w:rsidR="00E373A6" w:rsidRPr="00A14F7E" w:rsidRDefault="00E373A6" w:rsidP="00A14F7E">
      <w:pPr>
        <w:widowControl w:val="0"/>
        <w:spacing w:line="360" w:lineRule="auto"/>
        <w:jc w:val="both"/>
        <w:rPr>
          <w:rFonts w:ascii="Book Antiqua" w:hAnsi="Book Antiqua"/>
          <w:kern w:val="2"/>
          <w:lang w:eastAsia="zh-CN"/>
        </w:rPr>
      </w:pPr>
    </w:p>
    <w:p w14:paraId="171DC2E6" w14:textId="71620BF3" w:rsidR="006332EB" w:rsidRDefault="006332EB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4635C774" w14:textId="77777777" w:rsidR="006332EB" w:rsidRPr="00465C29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  <w:bookmarkStart w:id="12" w:name="_Hlk88512952"/>
    </w:p>
    <w:p w14:paraId="18317839" w14:textId="77777777" w:rsidR="006332EB" w:rsidRPr="00465C29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DDD655" w14:textId="77777777" w:rsidR="006332EB" w:rsidRPr="00465C29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745A7D" w14:textId="77777777" w:rsidR="006332EB" w:rsidRPr="00465C29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C03E8E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DF5CB3B" wp14:editId="198275B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CC2ED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53EC2F4" w14:textId="77777777" w:rsidR="006332EB" w:rsidRPr="00763D22" w:rsidRDefault="006332EB" w:rsidP="006332EB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3CA0812" w14:textId="77777777" w:rsidR="006332EB" w:rsidRPr="00763D22" w:rsidRDefault="006332EB" w:rsidP="006332E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8A476EC" w14:textId="77777777" w:rsidR="006332EB" w:rsidRPr="00763D22" w:rsidRDefault="006332EB" w:rsidP="006332E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8733A84" w14:textId="77777777" w:rsidR="006332EB" w:rsidRPr="00763D22" w:rsidRDefault="006332EB" w:rsidP="006332E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7989A51" w14:textId="77777777" w:rsidR="006332EB" w:rsidRPr="00763D22" w:rsidRDefault="006332EB" w:rsidP="006332EB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464F064" w14:textId="77777777" w:rsidR="006332EB" w:rsidRPr="00763D22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F66F36F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B95D19F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D97BAF9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0EC9FBF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CEBD5A9" wp14:editId="3E7093D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528D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A0E835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7F8EBD6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37C1528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448402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8930E5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2597E1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8409902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3ACEBF" w14:textId="77777777" w:rsidR="006332EB" w:rsidRDefault="006332EB" w:rsidP="006332EB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81A5A51" w14:textId="77777777" w:rsidR="006332EB" w:rsidRPr="00763D22" w:rsidRDefault="006332EB" w:rsidP="006332EB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607A29B" w14:textId="77777777" w:rsidR="006332EB" w:rsidRPr="00763D22" w:rsidRDefault="006332EB" w:rsidP="006332EB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2"/>
    </w:p>
    <w:p w14:paraId="59714C1B" w14:textId="77777777" w:rsidR="00E373A6" w:rsidRPr="006332EB" w:rsidRDefault="00E373A6" w:rsidP="00A14F7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E373A6" w:rsidRPr="006332EB" w:rsidSect="007C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F2591" w14:textId="77777777" w:rsidR="00AD4280" w:rsidRDefault="00AD4280" w:rsidP="007C1013">
      <w:r>
        <w:separator/>
      </w:r>
    </w:p>
  </w:endnote>
  <w:endnote w:type="continuationSeparator" w:id="0">
    <w:p w14:paraId="0354427C" w14:textId="77777777" w:rsidR="00AD4280" w:rsidRDefault="00AD4280" w:rsidP="007C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4644" w14:textId="77777777" w:rsidR="00782D47" w:rsidRPr="007C1013" w:rsidRDefault="00782D47" w:rsidP="007C1013">
    <w:pPr>
      <w:pStyle w:val="a7"/>
      <w:jc w:val="right"/>
      <w:rPr>
        <w:rFonts w:ascii="Book Antiqua" w:hAnsi="Book Antiqua"/>
        <w:sz w:val="24"/>
        <w:szCs w:val="24"/>
      </w:rPr>
    </w:pPr>
    <w:r w:rsidRPr="007C1013">
      <w:rPr>
        <w:rFonts w:ascii="Book Antiqua" w:hAnsi="Book Antiqua"/>
        <w:sz w:val="24"/>
        <w:szCs w:val="24"/>
      </w:rPr>
      <w:fldChar w:fldCharType="begin"/>
    </w:r>
    <w:r w:rsidRPr="007C1013">
      <w:rPr>
        <w:rFonts w:ascii="Book Antiqua" w:hAnsi="Book Antiqua"/>
        <w:sz w:val="24"/>
        <w:szCs w:val="24"/>
      </w:rPr>
      <w:instrText xml:space="preserve"> PAGE  \* Arabic  \* MERGEFORMAT </w:instrText>
    </w:r>
    <w:r w:rsidRPr="007C1013">
      <w:rPr>
        <w:rFonts w:ascii="Book Antiqua" w:hAnsi="Book Antiqua"/>
        <w:sz w:val="24"/>
        <w:szCs w:val="24"/>
      </w:rPr>
      <w:fldChar w:fldCharType="separate"/>
    </w:r>
    <w:r w:rsidR="00B6669C">
      <w:rPr>
        <w:rFonts w:ascii="Book Antiqua" w:hAnsi="Book Antiqua"/>
        <w:noProof/>
        <w:sz w:val="24"/>
        <w:szCs w:val="24"/>
      </w:rPr>
      <w:t>3</w:t>
    </w:r>
    <w:r w:rsidRPr="007C1013">
      <w:rPr>
        <w:rFonts w:ascii="Book Antiqua" w:hAnsi="Book Antiqua"/>
        <w:sz w:val="24"/>
        <w:szCs w:val="24"/>
      </w:rPr>
      <w:fldChar w:fldCharType="end"/>
    </w:r>
    <w:r w:rsidRPr="007C1013">
      <w:rPr>
        <w:rFonts w:ascii="Book Antiqua" w:hAnsi="Book Antiqua"/>
        <w:sz w:val="24"/>
        <w:szCs w:val="24"/>
      </w:rPr>
      <w:t>/</w:t>
    </w:r>
    <w:fldSimple w:instr=" NUMPAGES   \* MERGEFORMAT ">
      <w:r w:rsidR="00B6669C" w:rsidRPr="00B6669C">
        <w:rPr>
          <w:rFonts w:ascii="Book Antiqua" w:hAnsi="Book Antiqua"/>
          <w:noProof/>
          <w:sz w:val="24"/>
          <w:szCs w:val="24"/>
        </w:rPr>
        <w:t>31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EEB4" w14:textId="77777777" w:rsidR="00AD4280" w:rsidRDefault="00AD4280" w:rsidP="007C1013">
      <w:r>
        <w:separator/>
      </w:r>
    </w:p>
  </w:footnote>
  <w:footnote w:type="continuationSeparator" w:id="0">
    <w:p w14:paraId="6AF4018F" w14:textId="77777777" w:rsidR="00AD4280" w:rsidRDefault="00AD4280" w:rsidP="007C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5C67"/>
    <w:rsid w:val="000761AB"/>
    <w:rsid w:val="001B2072"/>
    <w:rsid w:val="001E6298"/>
    <w:rsid w:val="001E7DF2"/>
    <w:rsid w:val="00223366"/>
    <w:rsid w:val="002303FF"/>
    <w:rsid w:val="00233B9B"/>
    <w:rsid w:val="002362E7"/>
    <w:rsid w:val="00260FA4"/>
    <w:rsid w:val="002A7894"/>
    <w:rsid w:val="002C3455"/>
    <w:rsid w:val="002E4A76"/>
    <w:rsid w:val="00337624"/>
    <w:rsid w:val="0036495C"/>
    <w:rsid w:val="003712D6"/>
    <w:rsid w:val="0039520B"/>
    <w:rsid w:val="003A297A"/>
    <w:rsid w:val="003A383D"/>
    <w:rsid w:val="003A4DDC"/>
    <w:rsid w:val="003B6FD7"/>
    <w:rsid w:val="003C6CEA"/>
    <w:rsid w:val="003D6141"/>
    <w:rsid w:val="00436F72"/>
    <w:rsid w:val="004655C4"/>
    <w:rsid w:val="00465C29"/>
    <w:rsid w:val="004B0D66"/>
    <w:rsid w:val="004E6CB5"/>
    <w:rsid w:val="00572D3A"/>
    <w:rsid w:val="00574F4A"/>
    <w:rsid w:val="005A0693"/>
    <w:rsid w:val="0060642A"/>
    <w:rsid w:val="006332EB"/>
    <w:rsid w:val="0065775D"/>
    <w:rsid w:val="0066329A"/>
    <w:rsid w:val="007009D0"/>
    <w:rsid w:val="00711F4E"/>
    <w:rsid w:val="00762EB7"/>
    <w:rsid w:val="00782D47"/>
    <w:rsid w:val="007C1013"/>
    <w:rsid w:val="007E5DDD"/>
    <w:rsid w:val="00814F37"/>
    <w:rsid w:val="008B592F"/>
    <w:rsid w:val="008F4AF7"/>
    <w:rsid w:val="00905E50"/>
    <w:rsid w:val="00954AA8"/>
    <w:rsid w:val="009634E9"/>
    <w:rsid w:val="009835AC"/>
    <w:rsid w:val="009A7A0B"/>
    <w:rsid w:val="00A14F7E"/>
    <w:rsid w:val="00A37F9C"/>
    <w:rsid w:val="00A77B3E"/>
    <w:rsid w:val="00A84CB3"/>
    <w:rsid w:val="00A97AF1"/>
    <w:rsid w:val="00AB2730"/>
    <w:rsid w:val="00AD4280"/>
    <w:rsid w:val="00AF6A13"/>
    <w:rsid w:val="00B6669C"/>
    <w:rsid w:val="00B66A44"/>
    <w:rsid w:val="00B67005"/>
    <w:rsid w:val="00BD425A"/>
    <w:rsid w:val="00BD6246"/>
    <w:rsid w:val="00C17E10"/>
    <w:rsid w:val="00C25366"/>
    <w:rsid w:val="00C3591D"/>
    <w:rsid w:val="00C74096"/>
    <w:rsid w:val="00C868C7"/>
    <w:rsid w:val="00CA2A55"/>
    <w:rsid w:val="00CF39B9"/>
    <w:rsid w:val="00D00680"/>
    <w:rsid w:val="00D51BB7"/>
    <w:rsid w:val="00D70810"/>
    <w:rsid w:val="00DB10D3"/>
    <w:rsid w:val="00E27142"/>
    <w:rsid w:val="00E373A6"/>
    <w:rsid w:val="00E52FDA"/>
    <w:rsid w:val="00E8753C"/>
    <w:rsid w:val="00E94E97"/>
    <w:rsid w:val="00EC3CE6"/>
    <w:rsid w:val="00F2253E"/>
    <w:rsid w:val="00FB4C53"/>
    <w:rsid w:val="00FE11BD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8A4090"/>
  <w15:docId w15:val="{61834457-5AC6-4724-B61B-2C2D3A53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1B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C1013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7C1013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C1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7C1013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7C101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link w:val="a7"/>
    <w:uiPriority w:val="99"/>
    <w:locked/>
    <w:rsid w:val="007C1013"/>
    <w:rPr>
      <w:rFonts w:cs="Times New Roman"/>
      <w:sz w:val="18"/>
      <w:szCs w:val="18"/>
    </w:rPr>
  </w:style>
  <w:style w:type="paragraph" w:customStyle="1" w:styleId="1">
    <w:name w:val="正文1"/>
    <w:uiPriority w:val="99"/>
    <w:rsid w:val="00FE79A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2"/>
      <w:sz w:val="24"/>
      <w:szCs w:val="24"/>
      <w:u w:color="000000"/>
      <w:lang w:eastAsia="zh-TW"/>
    </w:rPr>
  </w:style>
  <w:style w:type="character" w:styleId="a9">
    <w:name w:val="annotation reference"/>
    <w:uiPriority w:val="99"/>
    <w:rsid w:val="00AF6A13"/>
    <w:rPr>
      <w:rFonts w:cs="Times New Roman"/>
      <w:sz w:val="21"/>
      <w:szCs w:val="21"/>
    </w:rPr>
  </w:style>
  <w:style w:type="paragraph" w:styleId="aa">
    <w:name w:val="annotation text"/>
    <w:basedOn w:val="a"/>
    <w:link w:val="ab"/>
    <w:uiPriority w:val="99"/>
    <w:rsid w:val="00AF6A13"/>
  </w:style>
  <w:style w:type="character" w:customStyle="1" w:styleId="ab">
    <w:name w:val="批注文字 字符"/>
    <w:link w:val="aa"/>
    <w:uiPriority w:val="99"/>
    <w:locked/>
    <w:rsid w:val="00AF6A13"/>
    <w:rPr>
      <w:rFonts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AF6A13"/>
    <w:rPr>
      <w:b/>
      <w:bCs/>
    </w:rPr>
  </w:style>
  <w:style w:type="character" w:customStyle="1" w:styleId="ad">
    <w:name w:val="批注主题 字符"/>
    <w:link w:val="ac"/>
    <w:uiPriority w:val="99"/>
    <w:locked/>
    <w:rsid w:val="00AF6A13"/>
    <w:rPr>
      <w:rFonts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2A7894"/>
    <w:pPr>
      <w:spacing w:after="200" w:line="276" w:lineRule="auto"/>
      <w:ind w:firstLineChars="200" w:firstLine="420"/>
    </w:pPr>
    <w:rPr>
      <w:rFonts w:ascii="Calibri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F2253E"/>
    <w:rPr>
      <w:sz w:val="24"/>
      <w:szCs w:val="24"/>
      <w:lang w:eastAsia="en-US"/>
    </w:rPr>
  </w:style>
  <w:style w:type="character" w:styleId="af0">
    <w:name w:val="Hyperlink"/>
    <w:basedOn w:val="a0"/>
    <w:uiPriority w:val="99"/>
    <w:unhideWhenUsed/>
    <w:rsid w:val="006332E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63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4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8/i2/263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D5AB-9019-4B77-BD0B-133F9D44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6988</Words>
  <Characters>39838</Characters>
  <Application>Microsoft Office Word</Application>
  <DocSecurity>0</DocSecurity>
  <Lines>331</Lines>
  <Paragraphs>93</Paragraphs>
  <ScaleCrop>false</ScaleCrop>
  <Company/>
  <LinksUpToDate>false</LinksUpToDate>
  <CharactersWithSpaces>46733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Liansheng Ma</dc:creator>
  <cp:keywords/>
  <dc:description/>
  <cp:lastModifiedBy>dell</cp:lastModifiedBy>
  <cp:revision>8</cp:revision>
  <dcterms:created xsi:type="dcterms:W3CDTF">2021-12-31T07:23:00Z</dcterms:created>
  <dcterms:modified xsi:type="dcterms:W3CDTF">2022-01-11T02:36:00Z</dcterms:modified>
</cp:coreProperties>
</file>