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70184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shd w:val="clear" w:color="auto" w:fill="FFFFFF"/>
        </w:rPr>
        <w:t xml:space="preserve">Late polymicrobial </w:t>
      </w:r>
      <w:r>
        <w:rPr>
          <w:rFonts w:ascii="Book Antiqua" w:hAnsi="Book Antiqua" w:eastAsia="Book Antiqua" w:cs="Book Antiqua"/>
          <w:b/>
          <w:color w:val="000000"/>
        </w:rPr>
        <w:t>transjugular intrahepatic portosystemic shunt</w:t>
      </w:r>
      <w:r>
        <w:rPr>
          <w:rFonts w:ascii="Book Antiqua" w:hAnsi="Book Antiqua" w:eastAsia="Book Antiqua" w:cs="Book Antiqua"/>
          <w:b/>
          <w:color w:val="000000"/>
          <w:shd w:val="clear" w:color="auto" w:fill="FFFFFF"/>
        </w:rPr>
        <w:t xml:space="preserve"> infection in a liver transplant patient: A </w:t>
      </w:r>
      <w:r>
        <w:rPr>
          <w:rFonts w:ascii="Book Antiqua" w:hAnsi="Book Antiqua" w:eastAsia="Book Antiqua" w:cs="Book Antiqua"/>
          <w:b/>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Perez IDLC </w:t>
      </w:r>
      <w:r>
        <w:rPr>
          <w:rFonts w:ascii="Book Antiqua" w:hAnsi="Book Antiqua" w:eastAsia="Book Antiqua" w:cs="Book Antiqua"/>
          <w:i/>
          <w:color w:val="000000"/>
        </w:rPr>
        <w:t>et al</w:t>
      </w:r>
      <w:r>
        <w:rPr>
          <w:rFonts w:ascii="Book Antiqua" w:hAnsi="Book Antiqua" w:eastAsia="Book Antiqua" w:cs="Book Antiqua"/>
          <w:color w:val="000000"/>
        </w:rPr>
        <w:t>. Late polymicrobial TIPS infection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Irene De La Caridad Perez, Ziv J Haskal, John I Hogan, Curtis K Argo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Irene De La Caridad Perez,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Medicine, University of Virginia Medical Center, Charlottesville, V</w:t>
      </w:r>
      <w:r>
        <w:rPr>
          <w:rFonts w:hint="eastAsia" w:ascii="Book Antiqua" w:hAnsi="Book Antiqua" w:eastAsia="Book Antiqua" w:cs="Book Antiqua"/>
          <w:color w:val="000000"/>
          <w:lang w:eastAsia="zh-CN"/>
        </w:rPr>
        <w:t>A</w:t>
      </w:r>
      <w:r>
        <w:rPr>
          <w:rFonts w:ascii="Book Antiqua" w:hAnsi="Book Antiqua" w:eastAsia="Book Antiqua" w:cs="Book Antiqua"/>
          <w:color w:val="000000"/>
        </w:rPr>
        <w:t xml:space="preserve"> 22903,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Ziv J Haskal,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Radiology and Medical Imaging, Division of Vascular and Interventional Radiology, University of Virginia Medical Center, Charlottesville, VA 22903,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John I Hogan,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Medicine, Division of Infectious Diseases and International Health, University of Virginia Medical Center, Charlottesville, VA 22903,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Curtis K Argo,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Medicine, Division of Gastroenterology and Hepatology, University of Virginia Medical Center, Charlottesville, VA 22903,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Perez IDLC was the internal medicine resident physician providing care during initial hospitalization</w:t>
      </w:r>
      <w:r>
        <w:rPr>
          <w:rFonts w:ascii="Book Antiqua" w:hAnsi="Book Antiqua" w:cs="Book Antiqua"/>
          <w:color w:val="000000"/>
          <w:lang w:eastAsia="zh-CN"/>
        </w:rPr>
        <w:t>;</w:t>
      </w:r>
      <w:r>
        <w:rPr>
          <w:rFonts w:ascii="Book Antiqua" w:hAnsi="Book Antiqua" w:eastAsia="Book Antiqua" w:cs="Book Antiqua"/>
          <w:color w:val="000000"/>
        </w:rPr>
        <w:t xml:space="preserve"> Perez IDLC also drafted and participated in the revision process and final submission of this manuscript; Haskal ZJ was the interventional radiologist that performed the procedures described in this case and participated in the whole revision process; Hogan JI was the infectious disease specialist overseeing her care and participated in the whole revision process; Argo CK was the outpatient and inpatient hepatologist who provided specialized care, participated in the revision process and final submission of this manuscript.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Corresponding author: Curtis K Argo, MD, MS, Associate Professor, Doctor,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Medicine, Division of Gastroenterology and Hepatology, University of Virginia Medical Center, 1215 Lee St, Charlottesville, VA 22903, United States. cka3d@hscmail.mcc.virginia.edu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30, 2021</w:t>
      </w:r>
    </w:p>
    <w:p>
      <w:pPr>
        <w:spacing w:line="360" w:lineRule="auto"/>
        <w:jc w:val="both"/>
        <w:rPr>
          <w:rFonts w:ascii="Book Antiqua" w:hAnsi="Book Antiqua"/>
        </w:rPr>
      </w:pPr>
      <w:r>
        <w:rPr>
          <w:rFonts w:ascii="Book Antiqua" w:hAnsi="Book Antiqua" w:eastAsia="Book Antiqua" w:cs="Book Antiqua"/>
          <w:b/>
          <w:bCs/>
          <w:color w:val="000000"/>
        </w:rPr>
        <w:t>Revised:</w:t>
      </w:r>
      <w:r>
        <w:rPr>
          <w:rFonts w:ascii="Book Antiqua" w:hAnsi="Book Antiqua" w:eastAsia="Book Antiqua" w:cs="Book Antiqua"/>
          <w:bCs/>
          <w:color w:val="000000"/>
        </w:rPr>
        <w:t xml:space="preserve"> October 8, 2021</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25,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27,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Infection of a transjugular intrahepatic portosystemic shunt (TIPS) stent is a rare and serious complication that most commonly occurs during TIPS creation and revision. Patients typically present with recurrent bacteremia due to shunt occlusion or vegetation. To date there are approximately 58 cases reported. We present a patient diagnosed with late polymicrobial TIPS infection five years following TIPS creation.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63-year-old female status-post liver transplant with recurrent cirrhosis and portal hypertension presented with sepsis and recurrent extended-spectrum beta-lactamase </w:t>
      </w:r>
      <w:r>
        <w:rPr>
          <w:rFonts w:ascii="Book Antiqua" w:hAnsi="Book Antiqua" w:eastAsia="Book Antiqua" w:cs="Book Antiqua"/>
          <w:i/>
          <w:iCs/>
          <w:color w:val="000000"/>
        </w:rPr>
        <w:t>Escherichia coli</w:t>
      </w:r>
      <w:r>
        <w:rPr>
          <w:rFonts w:ascii="Book Antiqua" w:hAnsi="Book Antiqua" w:eastAsia="Book Antiqua" w:cs="Book Antiqua"/>
          <w:color w:val="000000"/>
        </w:rPr>
        <w:t xml:space="preserve"> bacteremia. Computed tomography of the abdomen revealed an occluded TIPS with thrombus extension into the distal right portal vein, and focal thickening of the cecum and ascending colon. Colonoscopy revealed patchy ulcers in these areas with histopathology demonstrating ulcerated colonic mucosa with fibrinopurulent exudate. Shunt thrombectomy and revision revealed infected-appearing thrombus. Patient initially cleared her infection with antibacterial therapy and TIPS revision; however, soon after, she developed </w:t>
      </w:r>
      <w:r>
        <w:rPr>
          <w:rFonts w:ascii="Book Antiqua" w:hAnsi="Book Antiqua" w:eastAsia="Book Antiqua" w:cs="Book Antiqua"/>
          <w:i/>
          <w:iCs/>
          <w:color w:val="000000"/>
        </w:rPr>
        <w:t>Enterobacter cloacae</w:t>
      </w:r>
      <w:r>
        <w:rPr>
          <w:rFonts w:ascii="Book Antiqua" w:hAnsi="Book Antiqua" w:eastAsia="Book Antiqua" w:cs="Book Antiqua"/>
          <w:color w:val="000000"/>
        </w:rPr>
        <w:t xml:space="preserve"> bacteremia and </w:t>
      </w:r>
      <w:r>
        <w:rPr>
          <w:rFonts w:ascii="Book Antiqua" w:hAnsi="Book Antiqua" w:eastAsia="Book Antiqua" w:cs="Book Antiqua"/>
          <w:i/>
          <w:iCs/>
          <w:color w:val="000000"/>
        </w:rPr>
        <w:t>Candida glabrata</w:t>
      </w:r>
      <w:r>
        <w:rPr>
          <w:rFonts w:ascii="Book Antiqua" w:hAnsi="Book Antiqua" w:eastAsia="Book Antiqua" w:cs="Book Antiqua"/>
          <w:color w:val="000000"/>
        </w:rPr>
        <w:t xml:space="preserve"> and </w:t>
      </w:r>
      <w:r>
        <w:rPr>
          <w:rFonts w:ascii="Book Antiqua" w:hAnsi="Book Antiqua" w:eastAsia="Book Antiqua" w:cs="Book Antiqua"/>
          <w:i/>
          <w:iCs/>
          <w:color w:val="000000"/>
        </w:rPr>
        <w:t>C. albicans</w:t>
      </w:r>
      <w:r>
        <w:rPr>
          <w:rFonts w:ascii="Book Antiqua" w:hAnsi="Book Antiqua" w:eastAsia="Book Antiqua" w:cs="Book Antiqua"/>
          <w:color w:val="000000"/>
        </w:rPr>
        <w:t xml:space="preserve"> fungemia with recurrent TIPS thrombosis. She remained on antifungal therapy indefinitely and later developed vancomycin-resistant </w:t>
      </w:r>
      <w:r>
        <w:rPr>
          <w:rFonts w:ascii="Book Antiqua" w:hAnsi="Book Antiqua" w:eastAsia="Book Antiqua" w:cs="Book Antiqua"/>
          <w:i/>
          <w:iCs/>
          <w:color w:val="000000"/>
        </w:rPr>
        <w:t>Enterococcus faecium</w:t>
      </w:r>
      <w:r>
        <w:rPr>
          <w:rFonts w:ascii="Book Antiqua" w:hAnsi="Book Antiqua" w:eastAsia="Book Antiqua" w:cs="Book Antiqua"/>
          <w:color w:val="000000"/>
        </w:rPr>
        <w:t xml:space="preserve"> with recurrent TIPS thrombosis. The option of liver re-transplant for removal of the infected TIPS was not offered given her critical illness and complex shunt anatomy. The patient became intolerant to linezolid and elected hospice care.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Clinicians should be aware that TIPS superinfection may occur as long as five years following TIPS creation in an immunocompromised patient. </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Transjugular intrahepatic portosystemic shunt; Endotipsitis; Colitis; Liver cirrhosis; Liver transplantation; Case report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Citation</w:t>
      </w:r>
      <w:r>
        <w:rPr>
          <w:rFonts w:hint="eastAsia" w:ascii="Book Antiqua" w:hAnsi="Book Antiqua"/>
          <w:b w:val="0"/>
          <w:bCs w:val="0"/>
          <w:lang w:val="en-US" w:eastAsia="zh-CN"/>
        </w:rPr>
        <w:t xml:space="preserve">: </w:t>
      </w:r>
      <w:r>
        <w:rPr>
          <w:rFonts w:ascii="Book Antiqua" w:hAnsi="Book Antiqua" w:eastAsia="Book Antiqua" w:cs="Book Antiqua"/>
          <w:color w:val="000000"/>
        </w:rPr>
        <w:t xml:space="preserve">Perez IDLC, Haskal ZJ, Hogan JI, Argo CK. Late polymicrobial transjugular intrahepatic portosystemic shunt infection in a liver transplant patient: A case report.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 xml:space="preserve">14(4): </w:t>
      </w:r>
      <w:r>
        <w:rPr>
          <w:rFonts w:hint="eastAsia" w:ascii="Book Antiqua" w:hAnsi="Book Antiqua" w:eastAsia="宋体" w:cs="Book Antiqua"/>
          <w:color w:val="000000"/>
          <w:lang w:val="en-US" w:eastAsia="zh-CN"/>
        </w:rPr>
        <w:t>846</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853</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https://www.wjgnet.com/1948-5182/full/v14/i4/</w:t>
      </w:r>
      <w:r>
        <w:rPr>
          <w:rFonts w:hint="eastAsia" w:ascii="Book Antiqua" w:hAnsi="Book Antiqua" w:eastAsia="宋体" w:cs="Book Antiqua"/>
          <w:color w:val="000000"/>
          <w:lang w:val="en-US" w:eastAsia="zh-CN"/>
        </w:rPr>
        <w:t>846</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https://dx.doi.org/10.4254/wjh.v14.i4.</w:t>
      </w:r>
      <w:r>
        <w:rPr>
          <w:rFonts w:hint="eastAsia" w:ascii="Book Antiqua" w:hAnsi="Book Antiqua" w:eastAsia="宋体" w:cs="Book Antiqua"/>
          <w:color w:val="000000"/>
          <w:lang w:val="en-US" w:eastAsia="zh-CN"/>
        </w:rPr>
        <w:t>846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Polymicrobial transjugular intrahepatic portosystemic shunt (TIPS) infection may occur in an immunocompromised patient many years following TIPS creation. Given the high morbidity and mortality associated with TIPS infection, it is important to consider this diagnosis early in a patient with recurrent septicemia, even without recent TIPS creation or revision. Early shunt thrombectomy is important for source control and optimization of antibiotic penetrance of the TIPS.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Transjugular intrahepatic portosystemic shunt (TIPS) creation is a routine therapy for patients with complications of portal hypertension such as refractory ascites or variceal hemorrhage</w:t>
      </w:r>
      <w:r>
        <w:rPr>
          <w:rFonts w:ascii="Book Antiqua" w:hAnsi="Book Antiqua" w:eastAsia="Book Antiqua" w:cs="Book Antiqua"/>
          <w:color w:val="000000"/>
          <w:vertAlign w:val="superscript"/>
        </w:rPr>
        <w:t>[1]</w:t>
      </w:r>
      <w:r>
        <w:rPr>
          <w:rFonts w:ascii="Book Antiqua" w:hAnsi="Book Antiqua" w:eastAsia="Book Antiqua" w:cs="Book Antiqua"/>
          <w:color w:val="000000"/>
        </w:rPr>
        <w:t>. Endotipsitis is a rare endovascular infection of a TIPS with a prevalence of approximately 1% and mortality rate of approximately 32%</w:t>
      </w:r>
      <w:r>
        <w:rPr>
          <w:rFonts w:ascii="Book Antiqua" w:hAnsi="Book Antiqua" w:eastAsia="Book Antiqua" w:cs="Book Antiqua"/>
          <w:color w:val="000000"/>
          <w:vertAlign w:val="superscript"/>
        </w:rPr>
        <w:t>[2-4]</w:t>
      </w:r>
      <w:r>
        <w:rPr>
          <w:rFonts w:ascii="Book Antiqua" w:hAnsi="Book Antiqua" w:eastAsia="Book Antiqua" w:cs="Book Antiqua"/>
          <w:color w:val="000000"/>
        </w:rPr>
        <w:t>. A rare but challenging complication of endotipsitis is persistent bacteremia following TIPS creation and revision. Early cases of TIPS infection, categorized as an infection within 120 days of TIPS creation, are commonly associated with gram-positive bacteria</w:t>
      </w:r>
      <w:r>
        <w:rPr>
          <w:rFonts w:ascii="Book Antiqua" w:hAnsi="Book Antiqua" w:eastAsia="Book Antiqua" w:cs="Book Antiqua"/>
          <w:color w:val="000000"/>
          <w:vertAlign w:val="superscript"/>
        </w:rPr>
        <w:t>[4]</w:t>
      </w:r>
      <w:r>
        <w:rPr>
          <w:rFonts w:ascii="Book Antiqua" w:hAnsi="Book Antiqua" w:eastAsia="Book Antiqua" w:cs="Book Antiqua"/>
          <w:color w:val="000000"/>
        </w:rPr>
        <w:t>. In the USA the use of prophylactic antibiotics prior to TIPS creation is routinely practiced, and according to the American Society of Interventional Radiology is considered a class IIB recommendation</w:t>
      </w:r>
      <w:r>
        <w:rPr>
          <w:rFonts w:ascii="Book Antiqua" w:hAnsi="Book Antiqua" w:eastAsia="Book Antiqua" w:cs="Book Antiqua"/>
          <w:color w:val="000000"/>
          <w:vertAlign w:val="superscript"/>
        </w:rPr>
        <w:t>[2,5]</w:t>
      </w:r>
      <w:r>
        <w:rPr>
          <w:rFonts w:ascii="Book Antiqua" w:hAnsi="Book Antiqua" w:eastAsia="Book Antiqua" w:cs="Book Antiqua"/>
          <w:color w:val="000000"/>
        </w:rPr>
        <w:t>. However, there are strict indications based on the guidelines by the British Society of Gastroenterology, which strongly recommend prophylactic antibiotics only for TIPS shunt for variceal bleeding, long/complex procedures, or in a patient with a previous biliary surgery or instrumentation</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TIPS stent colonization is believed to be secondary to lack of graft endothelization with the highest mortality rates associated with </w:t>
      </w:r>
      <w:r>
        <w:rPr>
          <w:rFonts w:ascii="Book Antiqua" w:hAnsi="Book Antiqua" w:eastAsia="Book Antiqua" w:cs="Book Antiqua"/>
          <w:i/>
          <w:iCs/>
          <w:color w:val="000000"/>
        </w:rPr>
        <w:t xml:space="preserve">Staphylococcus </w:t>
      </w:r>
      <w:r>
        <w:rPr>
          <w:rFonts w:ascii="Book Antiqua" w:hAnsi="Book Antiqua" w:eastAsia="Book Antiqua" w:cs="Book Antiqua"/>
          <w:color w:val="000000"/>
        </w:rPr>
        <w:t xml:space="preserve">and </w:t>
      </w:r>
      <w:r>
        <w:rPr>
          <w:rFonts w:ascii="Book Antiqua" w:hAnsi="Book Antiqua" w:eastAsia="Book Antiqua" w:cs="Book Antiqua"/>
          <w:i/>
          <w:iCs/>
          <w:color w:val="000000"/>
        </w:rPr>
        <w:t xml:space="preserve">Candida </w:t>
      </w:r>
      <w:r>
        <w:rPr>
          <w:rFonts w:ascii="Book Antiqua" w:hAnsi="Book Antiqua" w:eastAsia="Book Antiqua" w:cs="Book Antiqua"/>
          <w:color w:val="000000"/>
        </w:rPr>
        <w:t>species</w:t>
      </w:r>
      <w:r>
        <w:rPr>
          <w:rFonts w:ascii="Book Antiqua" w:hAnsi="Book Antiqua" w:eastAsia="Book Antiqua" w:cs="Book Antiqua"/>
          <w:color w:val="000000"/>
          <w:vertAlign w:val="superscript"/>
        </w:rPr>
        <w:t>[2-4,7]</w:t>
      </w:r>
      <w:r>
        <w:rPr>
          <w:rFonts w:ascii="Book Antiqua" w:hAnsi="Book Antiqua" w:eastAsia="Book Antiqua" w:cs="Book Antiqua"/>
          <w:color w:val="000000"/>
        </w:rPr>
        <w:t>. These microorganisms are difficult to treat given their ability to form biofilms, as can be seen in other endovascular infections such as prosthetic valve endocarditis</w:t>
      </w:r>
      <w:r>
        <w:rPr>
          <w:rFonts w:ascii="Book Antiqua" w:hAnsi="Book Antiqua" w:eastAsia="Book Antiqua" w:cs="Book Antiqua"/>
          <w:color w:val="000000"/>
          <w:vertAlign w:val="superscript"/>
        </w:rPr>
        <w:t>[7,8]</w:t>
      </w:r>
      <w:r>
        <w:rPr>
          <w:rFonts w:ascii="Book Antiqua" w:hAnsi="Book Antiqua" w:eastAsia="Book Antiqua" w:cs="Book Antiqua"/>
          <w:color w:val="000000"/>
        </w:rPr>
        <w:t xml:space="preserve">. Tacrolimus, a immunosuppressive medication prescribed to this patient, has been associated with decreased epithelization in animal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studies and therefore may further increase the risk of TIPS stent colonization in a patient</w:t>
      </w:r>
      <w:r>
        <w:rPr>
          <w:rFonts w:ascii="Book Antiqua" w:hAnsi="Book Antiqua" w:eastAsia="Book Antiqua" w:cs="Book Antiqua"/>
          <w:color w:val="000000"/>
          <w:vertAlign w:val="superscript"/>
        </w:rPr>
        <w:t>[9,10]</w:t>
      </w:r>
      <w:r>
        <w:rPr>
          <w:rFonts w:ascii="Book Antiqua" w:hAnsi="Book Antiqua" w:eastAsia="Book Antiqua" w:cs="Book Antiqua"/>
          <w:color w:val="000000"/>
        </w:rPr>
        <w:t xml:space="preserve">. This case report presents a rare event of polymicrobial TIPS infection occurring five years following TIPS creation in an immunosuppressed patient status post liver transplantation for hepatitis C cirrhosis. Additionally, polymicrobial endotipsitis cases were identified through PubMed to provide an updated overview of treatment courses and associated health outcomes.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63-year-old female presented with sepsis and recurrent extended-spectrum beta-lactamase </w:t>
      </w:r>
      <w:r>
        <w:rPr>
          <w:rFonts w:ascii="Book Antiqua" w:hAnsi="Book Antiqua" w:eastAsia="Book Antiqua" w:cs="Book Antiqua"/>
          <w:i/>
          <w:iCs/>
          <w:color w:val="000000"/>
        </w:rPr>
        <w:t xml:space="preserve">Escherichia coli </w:t>
      </w:r>
      <w:r>
        <w:rPr>
          <w:rFonts w:ascii="Book Antiqua" w:hAnsi="Book Antiqua" w:eastAsia="Book Antiqua" w:cs="Book Antiqua"/>
          <w:color w:val="000000"/>
        </w:rPr>
        <w:t>(</w:t>
      </w:r>
      <w:r>
        <w:rPr>
          <w:rFonts w:ascii="Book Antiqua" w:hAnsi="Book Antiqua" w:eastAsia="Book Antiqua" w:cs="Book Antiqua"/>
          <w:i/>
          <w:iCs/>
          <w:color w:val="000000"/>
        </w:rPr>
        <w:t>E. coli</w:t>
      </w:r>
      <w:r>
        <w:rPr>
          <w:rFonts w:ascii="Book Antiqua" w:hAnsi="Book Antiqua" w:eastAsia="Book Antiqua" w:cs="Book Antiqua"/>
          <w:color w:val="000000"/>
        </w:rPr>
        <w:t>)</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bacteremia.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Our patient initially presented to her local hospital with hypotension and sepsis in late August 2019 and completed a 10-d course of ertapenem while hospitalized for </w:t>
      </w:r>
      <w:r>
        <w:rPr>
          <w:rFonts w:ascii="Book Antiqua" w:hAnsi="Book Antiqua" w:eastAsia="Book Antiqua" w:cs="Book Antiqua"/>
          <w:i/>
          <w:iCs/>
          <w:color w:val="000000"/>
        </w:rPr>
        <w:t>E. coli</w:t>
      </w:r>
      <w:r>
        <w:rPr>
          <w:rFonts w:ascii="Book Antiqua" w:hAnsi="Book Antiqua" w:eastAsia="Book Antiqua" w:cs="Book Antiqua"/>
          <w:color w:val="000000"/>
        </w:rPr>
        <w:t xml:space="preserve"> bacteremia. She presented locally with similar symptoms a few days after discharge from the initial admission and was found to have recurrent </w:t>
      </w:r>
      <w:r>
        <w:rPr>
          <w:rFonts w:ascii="Book Antiqua" w:hAnsi="Book Antiqua" w:eastAsia="Book Antiqua" w:cs="Book Antiqua"/>
          <w:i/>
          <w:iCs/>
          <w:color w:val="000000"/>
        </w:rPr>
        <w:t>E. coli</w:t>
      </w:r>
      <w:r>
        <w:rPr>
          <w:rFonts w:ascii="Book Antiqua" w:hAnsi="Book Antiqua" w:eastAsia="Book Antiqua" w:cs="Book Antiqua"/>
          <w:color w:val="000000"/>
        </w:rPr>
        <w:t xml:space="preserve"> bacteremia with the identical susceptibility pattern. Imaging demonstrated TIPS occlusion, and the patient was transferred to our institution with recurrent</w:t>
      </w:r>
      <w:r>
        <w:rPr>
          <w:rFonts w:ascii="Book Antiqua" w:hAnsi="Book Antiqua" w:eastAsia="Book Antiqua" w:cs="Book Antiqua"/>
          <w:i/>
          <w:iCs/>
          <w:color w:val="000000"/>
        </w:rPr>
        <w:t xml:space="preserve"> E. coli</w:t>
      </w:r>
      <w:r>
        <w:rPr>
          <w:rFonts w:ascii="Book Antiqua" w:hAnsi="Book Antiqua" w:eastAsia="Book Antiqua" w:cs="Book Antiqua"/>
          <w:color w:val="000000"/>
        </w:rPr>
        <w:t xml:space="preserve"> bacteremia from an unidentified source.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Our patient with a MELD-Na score of 23 underwent orthotopic liver transplantation in 2009 for hepatitis C cirrhosis. Her transplant course was complicated by recurrent hepatitis C infection resulting in bridging fibrosis/early cirrhosis despite viral eradication in 2011. She eventually developed portal hypertension related to a non-occlusive portal vein thrombosis and anastomotic stenosis of the hepatic vein and inferior vena cava. In 2014, she suffered acute gastric variceal bleeding and underwent semi-urgent treatment with balloon-occluded anterograde obliteration of a gastrorenal shunt and TIPS creation with a self-expanding poly-tetrafluoroethylene (ePTFE)–covered stent-graft.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Medical history included hepatitis C, gastric varices, hypertension, well-controlled diabetes mellitus type 2, iron deficiency anemia and fibromyalgia. Family history included hypertension, lung cancer, and prostate cancer.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 was afebrile and displayed right upper abdominal tenderness.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findings included hemoglobin 8.6 (12-16 g/dL) (baseline of approximately 9-10), white blood cell (WBC) 5.39 (4-11 × 10</w:t>
      </w:r>
      <w:r>
        <w:rPr>
          <w:rFonts w:ascii="Book Antiqua" w:hAnsi="Book Antiqua" w:eastAsia="Book Antiqua" w:cs="Book Antiqua"/>
          <w:color w:val="000000"/>
          <w:vertAlign w:val="superscript"/>
        </w:rPr>
        <w:t>3</w:t>
      </w:r>
      <w:r>
        <w:rPr>
          <w:rFonts w:ascii="Book Antiqua" w:hAnsi="Book Antiqua" w:eastAsia="Book Antiqua" w:cs="Book Antiqua"/>
          <w:color w:val="000000"/>
        </w:rPr>
        <w:t>/µL), platelets 89 (150-450 × 10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/µL), alanine transferase 16 (&lt; 55 U/L), aspartate transferase 19 (&lt; 35 U/L), total bilirubin 0.5 (0.3-1.2 mg/dL), alkaline phosphatase 88 (40-150 U/L) and creatinine 1.2 (0.7-1.3 mg/dL). Gastrointestinal pathogens panel polymerase chain reaction was negative for enteroaggregative </w:t>
      </w:r>
      <w:r>
        <w:rPr>
          <w:rFonts w:ascii="Book Antiqua" w:hAnsi="Book Antiqua" w:eastAsia="Book Antiqua" w:cs="Book Antiqua"/>
          <w:i/>
          <w:iCs/>
          <w:color w:val="000000"/>
        </w:rPr>
        <w:t>E. coli</w:t>
      </w:r>
      <w:r>
        <w:rPr>
          <w:rFonts w:ascii="Book Antiqua" w:hAnsi="Book Antiqua" w:eastAsia="Book Antiqua" w:cs="Book Antiqua"/>
          <w:color w:val="000000"/>
        </w:rPr>
        <w:t xml:space="preserve">, enteropathogenic </w:t>
      </w:r>
      <w:r>
        <w:rPr>
          <w:rFonts w:ascii="Book Antiqua" w:hAnsi="Book Antiqua" w:eastAsia="Book Antiqua" w:cs="Book Antiqua"/>
          <w:i/>
          <w:iCs/>
          <w:color w:val="000000"/>
        </w:rPr>
        <w:t>E. coli</w:t>
      </w:r>
      <w:r>
        <w:rPr>
          <w:rFonts w:ascii="Book Antiqua" w:hAnsi="Book Antiqua" w:eastAsia="Book Antiqua" w:cs="Book Antiqua"/>
          <w:color w:val="000000"/>
        </w:rPr>
        <w:t xml:space="preserve">, enterotoxigenic </w:t>
      </w:r>
      <w:r>
        <w:rPr>
          <w:rFonts w:ascii="Book Antiqua" w:hAnsi="Book Antiqua" w:eastAsia="Book Antiqua" w:cs="Book Antiqua"/>
          <w:i/>
          <w:iCs/>
          <w:color w:val="000000"/>
        </w:rPr>
        <w:t>E. coli</w:t>
      </w:r>
      <w:r>
        <w:rPr>
          <w:rFonts w:ascii="Book Antiqua" w:hAnsi="Book Antiqua" w:eastAsia="Book Antiqua" w:cs="Book Antiqua"/>
          <w:color w:val="000000"/>
        </w:rPr>
        <w:t xml:space="preserve">, shiga-like toxin-producing </w:t>
      </w:r>
      <w:r>
        <w:rPr>
          <w:rFonts w:ascii="Book Antiqua" w:hAnsi="Book Antiqua" w:eastAsia="Book Antiqua" w:cs="Book Antiqua"/>
          <w:i/>
          <w:iCs/>
          <w:color w:val="000000"/>
        </w:rPr>
        <w:t>E. coli</w:t>
      </w:r>
      <w:r>
        <w:rPr>
          <w:rFonts w:ascii="Book Antiqua" w:hAnsi="Book Antiqua" w:eastAsia="Book Antiqua" w:cs="Book Antiqua"/>
          <w:color w:val="000000"/>
        </w:rPr>
        <w:t xml:space="preserve">, </w:t>
      </w:r>
      <w:r>
        <w:rPr>
          <w:rFonts w:ascii="Book Antiqua" w:hAnsi="Book Antiqua" w:eastAsia="Book Antiqua" w:cs="Book Antiqua"/>
          <w:i/>
          <w:iCs/>
          <w:color w:val="000000"/>
        </w:rPr>
        <w:t>E . coli</w:t>
      </w:r>
      <w:r>
        <w:rPr>
          <w:rFonts w:ascii="Book Antiqua" w:hAnsi="Book Antiqua" w:eastAsia="Book Antiqua" w:cs="Book Antiqua"/>
          <w:color w:val="000000"/>
        </w:rPr>
        <w:t xml:space="preserve"> O157, and shigella/enteroinvasive </w:t>
      </w:r>
      <w:r>
        <w:rPr>
          <w:rFonts w:ascii="Book Antiqua" w:hAnsi="Book Antiqua" w:eastAsia="Book Antiqua" w:cs="Book Antiqua"/>
          <w:i/>
          <w:iCs/>
          <w:color w:val="000000"/>
        </w:rPr>
        <w:t>E. coli.</w:t>
      </w:r>
      <w:r>
        <w:rPr>
          <w:rFonts w:ascii="Book Antiqua" w:hAnsi="Book Antiqua" w:eastAsia="Book Antiqua" w:cs="Book Antiqua"/>
          <w:color w:val="000000"/>
        </w:rPr>
        <w:t xml:space="preserve"> Histopathology of cecum and ascending colon biopsies obtained a few days prior revealed extensive ulcerated colonic mucosa with fibrinopurulent exudates, consistent with active colitis. There was no evidence of cytomegalovirus associated inclusion bodies, microorganisms, granulomas, or malignancy. Bacterial culture of the extracted thrombus (Figure 1) during thrombectomy did not grow any organisms. Urine analysis showed no bacteria and rare white blood cells per high power field with no growth on culture.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Thickening of the cecum and ascending colon, and TIPS occlusion that extended into the distal right portal vein were noted on abdominal computed tomography (CT) (Figure 2A). Magnetic resonance imaging did not show significant hepatic biliary dilatation or biliary leak. Chest CT suggested multiple pulmonary septic emboli. Transthoracic echocardiography (TTE) obtained a few days prior showed mild reduced systolic ejection fraction and no obvious vegetations, though aortic, tricuspid, and pulmonic valves were not well visualized due to restricted patient mobility and excessive abdominal air.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The patient was diagnosed with a late TIPS infection.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She underwent TIPS thrombectomy, venoplasty, and placement of a new Wallstent coaxial uncovered metallic stent at the portal end of the TIPS</w:t>
      </w:r>
      <w:r>
        <w:rPr>
          <w:rFonts w:ascii="Book Antiqua" w:hAnsi="Book Antiqua" w:eastAsia="Book Antiqua" w:cs="Book Antiqua"/>
          <w:color w:val="000000"/>
          <w:shd w:val="clear" w:color="auto" w:fill="FFFFFF"/>
        </w:rPr>
        <w:t xml:space="preserve"> to extend the intraportal leading end of the shunt into a larger caliber portal vein, as the originally entered portal vein was small in caliber and formed an inflow narrowing into the TIPS at the leading edge of the PTFE-coated self-expanding stent. </w:t>
      </w:r>
      <w:r>
        <w:rPr>
          <w:rFonts w:ascii="Book Antiqua" w:hAnsi="Book Antiqua" w:eastAsia="Book Antiqua" w:cs="Book Antiqua"/>
          <w:color w:val="000000"/>
        </w:rPr>
        <w:t xml:space="preserve">Anticoagulation after TIPS revision was not considered in this patient as she did not have a primary hypercoagulable disorder, and the flow in the shunt was brisk and was rendered clean by thrombectomy and clot extraction. She was discharged on a 6-wk course of IV ertapenem (1 g once daily). Patient successfully cleared her </w:t>
      </w:r>
      <w:r>
        <w:rPr>
          <w:rFonts w:ascii="Book Antiqua" w:hAnsi="Book Antiqua" w:eastAsia="Book Antiqua" w:cs="Book Antiqua"/>
          <w:i/>
          <w:iCs/>
          <w:color w:val="000000"/>
        </w:rPr>
        <w:t xml:space="preserve">E. coli </w:t>
      </w:r>
      <w:r>
        <w:rPr>
          <w:rFonts w:ascii="Book Antiqua" w:hAnsi="Book Antiqua" w:eastAsia="Book Antiqua" w:cs="Book Antiqua"/>
          <w:color w:val="000000"/>
        </w:rPr>
        <w:t xml:space="preserve">bacteremia.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Two and a half months later, our patient presented with a headache and was treated for </w:t>
      </w:r>
      <w:r>
        <w:rPr>
          <w:rFonts w:ascii="Book Antiqua" w:hAnsi="Book Antiqua" w:eastAsia="Book Antiqua" w:cs="Book Antiqua"/>
          <w:i/>
          <w:iCs/>
          <w:color w:val="000000"/>
        </w:rPr>
        <w:t xml:space="preserve">Enterobacter cloacae </w:t>
      </w:r>
      <w:r>
        <w:rPr>
          <w:rFonts w:ascii="Book Antiqua" w:hAnsi="Book Antiqua" w:eastAsia="Book Antiqua" w:cs="Book Antiqua"/>
          <w:color w:val="000000"/>
        </w:rPr>
        <w:t>and</w:t>
      </w:r>
      <w:r>
        <w:rPr>
          <w:rFonts w:ascii="Book Antiqua" w:hAnsi="Book Antiqua" w:eastAsia="Book Antiqua" w:cs="Book Antiqua"/>
          <w:i/>
          <w:iCs/>
          <w:color w:val="000000"/>
        </w:rPr>
        <w:t xml:space="preserve"> Candida glabrata </w:t>
      </w:r>
      <w:r>
        <w:rPr>
          <w:rFonts w:ascii="Book Antiqua" w:hAnsi="Book Antiqua" w:eastAsia="Book Antiqua" w:cs="Book Antiqua"/>
          <w:color w:val="000000"/>
        </w:rPr>
        <w:t>septicemia. Vital signs were notable for fever (38.2</w:t>
      </w:r>
      <w:r>
        <w:rPr>
          <w:rFonts w:hint="eastAsia" w:ascii="宋体" w:hAnsi="宋体" w:eastAsia="宋体" w:cs="宋体"/>
          <w:iCs/>
          <w:color w:val="000000"/>
        </w:rPr>
        <w:t>℃</w:t>
      </w:r>
      <w:r>
        <w:rPr>
          <w:rFonts w:ascii="Book Antiqua" w:hAnsi="Book Antiqua" w:eastAsia="Book Antiqua" w:cs="Book Antiqua"/>
          <w:color w:val="000000"/>
        </w:rPr>
        <w:t>) and tachycardia (114 bpm). Labs included hemoglobin 9.2 g/dL, WBC 4.34 × 10</w:t>
      </w:r>
      <w:r>
        <w:rPr>
          <w:rFonts w:ascii="Book Antiqua" w:hAnsi="Book Antiqua" w:eastAsia="Book Antiqua" w:cs="Book Antiqua"/>
          <w:color w:val="000000"/>
          <w:vertAlign w:val="superscript"/>
        </w:rPr>
        <w:t>3</w:t>
      </w:r>
      <w:r>
        <w:rPr>
          <w:rFonts w:ascii="Book Antiqua" w:hAnsi="Book Antiqua" w:eastAsia="Book Antiqua" w:cs="Book Antiqua"/>
          <w:color w:val="000000"/>
        </w:rPr>
        <w:t>/µL, platelets 70 × 10</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/µL, alanine transferase &lt; 6 U/L, aspartate transferase 33 U/L, and creatinine 0.9 mg/dL. Abdominal CT showed a new non-occlusive thrombus in the mid-TIPS and a right ovarian vein clot. Repeat shunt thrombectomy and revision was performed. Histopathology of the extracted thrombus confirmed </w:t>
      </w:r>
      <w:r>
        <w:rPr>
          <w:rFonts w:ascii="Book Antiqua" w:hAnsi="Book Antiqua" w:eastAsia="Book Antiqua" w:cs="Book Antiqua"/>
          <w:i/>
          <w:iCs/>
          <w:color w:val="000000"/>
        </w:rPr>
        <w:t>Candida</w:t>
      </w:r>
      <w:r>
        <w:rPr>
          <w:rFonts w:ascii="Book Antiqua" w:hAnsi="Book Antiqua" w:eastAsia="Book Antiqua" w:cs="Book Antiqua"/>
          <w:color w:val="000000"/>
        </w:rPr>
        <w:t xml:space="preserve"> species, and </w:t>
      </w:r>
      <w:r>
        <w:rPr>
          <w:rFonts w:ascii="Book Antiqua" w:hAnsi="Book Antiqua" w:eastAsia="Book Antiqua" w:cs="Book Antiqua"/>
          <w:i/>
          <w:iCs/>
          <w:color w:val="000000"/>
        </w:rPr>
        <w:t xml:space="preserve">C. glabrata </w:t>
      </w:r>
      <w:r>
        <w:rPr>
          <w:rFonts w:ascii="Book Antiqua" w:hAnsi="Book Antiqua" w:eastAsia="Book Antiqua" w:cs="Book Antiqua"/>
          <w:color w:val="000000"/>
        </w:rPr>
        <w:t>and</w:t>
      </w:r>
      <w:r>
        <w:rPr>
          <w:rFonts w:ascii="Book Antiqua" w:hAnsi="Book Antiqua" w:eastAsia="Book Antiqua" w:cs="Book Antiqua"/>
          <w:i/>
          <w:iCs/>
          <w:color w:val="000000"/>
        </w:rPr>
        <w:t xml:space="preserve"> C. albicans </w:t>
      </w:r>
      <w:r>
        <w:rPr>
          <w:rFonts w:ascii="Book Antiqua" w:hAnsi="Book Antiqua" w:eastAsia="Book Antiqua" w:cs="Book Antiqua"/>
          <w:color w:val="000000"/>
        </w:rPr>
        <w:t xml:space="preserve">grew in blood cultures. Additional infectious workup included a TTE that was non-revealing. A 6-wk course of IV ertapenem (1 g once daily) and IV micafungin (150 mg daily) was initiated at discharge.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Four weeks later she developed acute dyspnea and pleuritic chest pain and was readmitted with hypoxemic respiratory failure. TTE revealed grade 1 diastolic dysfunction without vegetation. Chest CT revealed numerous bilateral pulmonary nodules with diffuse ground-glass and interstitial opacities (Figure 2B). Blood cultures once again grew </w:t>
      </w:r>
      <w:r>
        <w:rPr>
          <w:rFonts w:ascii="Book Antiqua" w:hAnsi="Book Antiqua" w:eastAsia="Book Antiqua" w:cs="Book Antiqua"/>
          <w:i/>
          <w:iCs/>
          <w:color w:val="000000"/>
        </w:rPr>
        <w:t xml:space="preserve">C. glabrata </w:t>
      </w:r>
      <w:r>
        <w:rPr>
          <w:rFonts w:ascii="Book Antiqua" w:hAnsi="Book Antiqua" w:eastAsia="Book Antiqua" w:cs="Book Antiqua"/>
          <w:color w:val="000000"/>
        </w:rPr>
        <w:t>and</w:t>
      </w:r>
      <w:r>
        <w:rPr>
          <w:rFonts w:ascii="Book Antiqua" w:hAnsi="Book Antiqua" w:eastAsia="Book Antiqua" w:cs="Book Antiqua"/>
          <w:i/>
          <w:iCs/>
          <w:color w:val="000000"/>
        </w:rPr>
        <w:t xml:space="preserve"> C. albicans</w:t>
      </w:r>
      <w:r>
        <w:rPr>
          <w:rFonts w:ascii="Book Antiqua" w:hAnsi="Book Antiqua" w:eastAsia="Book Antiqua" w:cs="Book Antiqua"/>
          <w:color w:val="000000"/>
        </w:rPr>
        <w:t xml:space="preserve">, and bronchoalveolar lavage grew </w:t>
      </w:r>
      <w:r>
        <w:rPr>
          <w:rFonts w:ascii="Book Antiqua" w:hAnsi="Book Antiqua" w:eastAsia="Book Antiqua" w:cs="Book Antiqua"/>
          <w:i/>
          <w:iCs/>
          <w:color w:val="000000"/>
        </w:rPr>
        <w:t>Candida</w:t>
      </w:r>
      <w:r>
        <w:rPr>
          <w:rFonts w:ascii="Book Antiqua" w:hAnsi="Book Antiqua" w:eastAsia="Book Antiqua" w:cs="Book Antiqua"/>
          <w:color w:val="000000"/>
        </w:rPr>
        <w:t xml:space="preserve"> species. Given suspicion for refractory intravascular Candida infection</w:t>
      </w:r>
      <w:r>
        <w:rPr>
          <w:rStyle w:val="11"/>
          <w:rFonts w:ascii="Book Antiqua" w:hAnsi="Book Antiqua" w:eastAsia="Book Antiqua" w:cs="Book Antiqua"/>
          <w:color w:val="000000"/>
        </w:rPr>
        <w:t xml:space="preserve">, </w:t>
      </w:r>
      <w:r>
        <w:rPr>
          <w:rFonts w:ascii="Book Antiqua" w:hAnsi="Book Antiqua" w:eastAsia="Book Antiqua" w:cs="Book Antiqua"/>
          <w:color w:val="000000"/>
        </w:rPr>
        <w:t xml:space="preserve">therapy was escalated to IV amphotericin (300 mg daily) and oral flucytosine (1000 mg twice a day). Balloon sweep of the TIPS was complicated by post-procedural shock and hypoxemia. In the setting of progressive acute kidney injury and pancytopenia, the patient was transitioned to IV micafungin (150 mg daily) and IV voriconazole (400 mg twice daily for one day followed by 300 mg twice daily). Due to the combination of respiratory failure, active infection, and location of the TIPS that extended into the base of the right atrium, re-transplantation (and removal of the TIPS) was not offered due to exceedingly high surgical risk. She remained on antifungal therapy indefinitely and over the subsequent three months developed recurrent vancomycin-resistant </w:t>
      </w:r>
      <w:r>
        <w:rPr>
          <w:rFonts w:ascii="Book Antiqua" w:hAnsi="Book Antiqua" w:eastAsia="Book Antiqua" w:cs="Book Antiqua"/>
          <w:i/>
          <w:iCs/>
          <w:color w:val="000000"/>
        </w:rPr>
        <w:t>Enterococcus faecium</w:t>
      </w:r>
      <w:r>
        <w:rPr>
          <w:rFonts w:ascii="Book Antiqua" w:hAnsi="Book Antiqua" w:eastAsia="Book Antiqua" w:cs="Book Antiqua"/>
          <w:color w:val="000000"/>
        </w:rPr>
        <w:t xml:space="preserve"> bacteremia. Newly identified thrombus along a peripherally inserted central catheter suggested the possibility of line associated septic thrombophlebitis as the source of her </w:t>
      </w:r>
      <w:r>
        <w:rPr>
          <w:rFonts w:ascii="Book Antiqua" w:hAnsi="Book Antiqua" w:eastAsia="Book Antiqua" w:cs="Book Antiqua"/>
          <w:i/>
          <w:iCs/>
          <w:color w:val="000000"/>
        </w:rPr>
        <w:t>Enterococcus</w:t>
      </w:r>
      <w:r>
        <w:rPr>
          <w:rFonts w:ascii="Book Antiqua" w:hAnsi="Book Antiqua" w:eastAsia="Book Antiqua" w:cs="Book Antiqua"/>
          <w:color w:val="000000"/>
        </w:rPr>
        <w:t xml:space="preserve"> bacteremia. Bacteremia recrudesced despite line extraction, eventual resolution of her line associated clot, and an appropriate course of proactively dosed IV daptomycin (400-915 mg daily). Repeat TTE did not reveal signs of infective endocarditis and CT confirmed recurrent TIPS thrombosis as the likely source of her refractory </w:t>
      </w:r>
      <w:r>
        <w:rPr>
          <w:rFonts w:ascii="Book Antiqua" w:hAnsi="Book Antiqua" w:eastAsia="Book Antiqua" w:cs="Book Antiqua"/>
          <w:i/>
          <w:iCs/>
          <w:color w:val="000000"/>
        </w:rPr>
        <w:t>Enterococcus faecium</w:t>
      </w:r>
      <w:r>
        <w:rPr>
          <w:rFonts w:ascii="Book Antiqua" w:hAnsi="Book Antiqua" w:eastAsia="Book Antiqua" w:cs="Book Antiqua"/>
          <w:color w:val="000000"/>
        </w:rPr>
        <w:t xml:space="preserve"> bacteremia that progressed to develop a daptomycin minimum inhibitory concentration &gt; 256. Although the patient improved clinically and initially cleared her bacteremia with IV linezolid (600 mg daily), she developed severe thrombocytopenia and gastrointestinal bleeding that precluded further use of this agent.  The patient elected to pursue hospice care and died shortly thereafter.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This case is a unique account of polymicrobial TIPS stent infection occurring five years after TIPS creation, the longest interval reported</w:t>
      </w:r>
      <w:r>
        <w:rPr>
          <w:rFonts w:ascii="Book Antiqua" w:hAnsi="Book Antiqua" w:eastAsia="Book Antiqua" w:cs="Book Antiqua"/>
          <w:color w:val="000000"/>
          <w:vertAlign w:val="superscript"/>
        </w:rPr>
        <w:t>[4]</w:t>
      </w:r>
      <w:r>
        <w:rPr>
          <w:rFonts w:ascii="Book Antiqua" w:hAnsi="Book Antiqua" w:eastAsia="Book Antiqua" w:cs="Book Antiqua"/>
          <w:color w:val="000000"/>
        </w:rPr>
        <w:t>. Shunt infection is most commonly reported during TIPS creation or revision, and infrequently with biliary-shunt fistulae that may form following TIPS creation</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Our patient presented with recurrent </w:t>
      </w:r>
      <w:r>
        <w:rPr>
          <w:rFonts w:ascii="Book Antiqua" w:hAnsi="Book Antiqua" w:eastAsia="Book Antiqua" w:cs="Book Antiqua"/>
          <w:i/>
          <w:iCs/>
          <w:color w:val="000000"/>
        </w:rPr>
        <w:t>E. coli</w:t>
      </w:r>
      <w:r>
        <w:rPr>
          <w:rFonts w:ascii="Book Antiqua" w:hAnsi="Book Antiqua" w:eastAsia="Book Antiqua" w:cs="Book Antiqua"/>
          <w:color w:val="000000"/>
        </w:rPr>
        <w:t xml:space="preserve"> bacteremia of unclear origin and ongoing active colitis. While it is possible that bacterial translocation into the portal vein blood in the setting of active colitis could lead to </w:t>
      </w:r>
      <w:r>
        <w:rPr>
          <w:rFonts w:ascii="Book Antiqua" w:hAnsi="Book Antiqua" w:eastAsia="Book Antiqua" w:cs="Book Antiqua"/>
          <w:i/>
          <w:iCs/>
          <w:color w:val="000000"/>
        </w:rPr>
        <w:t>E. coli</w:t>
      </w:r>
      <w:r>
        <w:rPr>
          <w:rFonts w:ascii="Book Antiqua" w:hAnsi="Book Antiqua" w:eastAsia="Book Antiqua" w:cs="Book Antiqua"/>
          <w:color w:val="000000"/>
        </w:rPr>
        <w:t xml:space="preserve"> bacteremia and seeding of the TIPS, it seems more likely that the colitis and occlusion of the TIPS occurred as a result of a low-flow state with seeding of the occlusive TIPS thrombus during ongoing </w:t>
      </w:r>
      <w:r>
        <w:rPr>
          <w:rFonts w:ascii="Book Antiqua" w:hAnsi="Book Antiqua" w:eastAsia="Book Antiqua" w:cs="Book Antiqua"/>
          <w:i/>
          <w:iCs/>
          <w:color w:val="000000"/>
        </w:rPr>
        <w:t>E. coli</w:t>
      </w:r>
      <w:r>
        <w:rPr>
          <w:rFonts w:ascii="Book Antiqua" w:hAnsi="Book Antiqua" w:eastAsia="Book Antiqua" w:cs="Book Antiqua"/>
          <w:color w:val="000000"/>
        </w:rPr>
        <w:t xml:space="preserve"> bacteremia. Evidence that supports colitis likely being ischemic during the second episode of </w:t>
      </w:r>
      <w:r>
        <w:rPr>
          <w:rFonts w:ascii="Book Antiqua" w:hAnsi="Book Antiqua" w:eastAsia="Book Antiqua" w:cs="Book Antiqua"/>
          <w:i/>
          <w:iCs/>
          <w:color w:val="000000"/>
        </w:rPr>
        <w:t xml:space="preserve">E. coli </w:t>
      </w:r>
      <w:r>
        <w:rPr>
          <w:rFonts w:ascii="Book Antiqua" w:hAnsi="Book Antiqua" w:eastAsia="Book Antiqua" w:cs="Book Antiqua"/>
          <w:color w:val="000000"/>
        </w:rPr>
        <w:t xml:space="preserve">bacteremia include the colonic biopsy results obtained during lower endoscopy that corresponded to areas of active colitis noted on CT imaging which did not show any microorganisms based on limited histopathological analysis (no gram staining performed). Alternative common sources of </w:t>
      </w:r>
      <w:r>
        <w:rPr>
          <w:rFonts w:ascii="Book Antiqua" w:hAnsi="Book Antiqua" w:eastAsia="Book Antiqua" w:cs="Book Antiqua"/>
          <w:i/>
          <w:iCs/>
          <w:color w:val="000000"/>
        </w:rPr>
        <w:t>E. coli</w:t>
      </w:r>
      <w:r>
        <w:rPr>
          <w:rFonts w:ascii="Book Antiqua" w:hAnsi="Book Antiqua" w:eastAsia="Book Antiqua" w:cs="Book Antiqua"/>
          <w:color w:val="000000"/>
        </w:rPr>
        <w:t xml:space="preserve"> bacteremia were investigated during her second episode of bacteremia, including urinary infection, biliary leak, cholangitis, and bacterial gastroenteritis, and work-up was non-revealing. Moreover, there was a very low suspicion for infective endocarditis given the respective organism involved and no history of IV drug use. This was confirmed on multiple TTEs which did not show any vegetation. In summary, the initial source of infection that may have seeded the TIPS was not clearly identified -- bacterial translocation due to confirmed, active colitis is a plausible explanation but an alternate source such as genitourinary or biliary are also possible given that records do not indicate a source of the initial </w:t>
      </w:r>
      <w:r>
        <w:rPr>
          <w:rFonts w:ascii="Book Antiqua" w:hAnsi="Book Antiqua" w:eastAsia="Book Antiqua" w:cs="Book Antiqua"/>
          <w:i/>
          <w:iCs/>
          <w:color w:val="000000"/>
        </w:rPr>
        <w:t xml:space="preserve">E. coli </w:t>
      </w:r>
      <w:r>
        <w:rPr>
          <w:rFonts w:ascii="Book Antiqua" w:hAnsi="Book Antiqua" w:eastAsia="Book Antiqua" w:cs="Book Antiqua"/>
          <w:color w:val="000000"/>
        </w:rPr>
        <w:t xml:space="preserve">bacteremia. It is important to note that during this patient’s first </w:t>
      </w:r>
      <w:r>
        <w:rPr>
          <w:rFonts w:ascii="Book Antiqua" w:hAnsi="Book Antiqua" w:eastAsia="Book Antiqua" w:cs="Book Antiqua"/>
          <w:i/>
          <w:iCs/>
          <w:color w:val="000000"/>
        </w:rPr>
        <w:t>E. coli</w:t>
      </w:r>
      <w:r>
        <w:rPr>
          <w:rFonts w:ascii="Book Antiqua" w:hAnsi="Book Antiqua" w:eastAsia="Book Antiqua" w:cs="Book Antiqua"/>
          <w:color w:val="000000"/>
        </w:rPr>
        <w:t xml:space="preserve"> bacteremia episode diagnostic imaging was delayed. Imaging was pursued during her second episode of</w:t>
      </w:r>
      <w:r>
        <w:rPr>
          <w:rFonts w:ascii="Book Antiqua" w:hAnsi="Book Antiqua" w:eastAsia="Book Antiqua" w:cs="Book Antiqua"/>
          <w:i/>
          <w:iCs/>
          <w:color w:val="000000"/>
        </w:rPr>
        <w:t xml:space="preserve"> E. coli </w:t>
      </w:r>
      <w:r>
        <w:rPr>
          <w:rFonts w:ascii="Book Antiqua" w:hAnsi="Book Antiqua" w:eastAsia="Book Antiqua" w:cs="Book Antiqua"/>
          <w:color w:val="000000"/>
        </w:rPr>
        <w:t>bacteremia as the patient complained of right upper quadrant pain and this revealed an occluded TIPS that raised suspicion for endotipsitis. This patient continued to suffer from recurrent polymicrobial bacteremia and fungemia after multiple TIPS revisions likely from a chronically infected TIPS. The patient likely had incomplete stent endothelization given the use of tacrolimus, which increased her risk of stent colonization</w:t>
      </w:r>
      <w:r>
        <w:rPr>
          <w:rFonts w:ascii="Book Antiqua" w:hAnsi="Book Antiqua" w:eastAsia="Book Antiqua" w:cs="Book Antiqua"/>
          <w:color w:val="000000"/>
          <w:vertAlign w:val="superscript"/>
        </w:rPr>
        <w:t>[9,10]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Determining treatment duration and whether liver transplantation should be considered in the clinical scenario of endotipsitis are challenging decisions. Available clinical care guidance derives from case reports and case series, hence underscoring the importance of reporting new cases. To date there are 59 cases</w:t>
      </w:r>
      <w:r>
        <w:rPr>
          <w:rFonts w:ascii="Book Antiqua" w:hAnsi="Book Antiqua" w:eastAsia="Book Antiqua" w:cs="Book Antiqua"/>
          <w:color w:val="000000"/>
          <w:vertAlign w:val="superscript"/>
        </w:rPr>
        <w:t>[2,4,12-14]</w:t>
      </w:r>
      <w:r>
        <w:rPr>
          <w:rFonts w:ascii="Book Antiqua" w:hAnsi="Book Antiqua" w:eastAsia="Book Antiqua" w:cs="Book Antiqua"/>
          <w:color w:val="000000"/>
        </w:rPr>
        <w:t xml:space="preserve"> of TIPS stent infection with nine being polymicrobial (Tables 1 and 2)</w:t>
      </w:r>
      <w:r>
        <w:rPr>
          <w:rFonts w:ascii="Book Antiqua" w:hAnsi="Book Antiqua" w:eastAsia="Book Antiqua" w:cs="Book Antiqua"/>
          <w:color w:val="000000"/>
          <w:vertAlign w:val="superscript"/>
        </w:rPr>
        <w:t>[15-19]</w:t>
      </w:r>
      <w:r>
        <w:rPr>
          <w:rFonts w:ascii="Book Antiqua" w:hAnsi="Book Antiqua" w:eastAsia="Book Antiqua" w:cs="Book Antiqua"/>
          <w:color w:val="000000"/>
        </w:rPr>
        <w:t xml:space="preserve">. Initial treatment courses range from 2 to 6 wk of antimicrobial therapy, followed by long-term oral therapy and orthotopic liver transplantation when medical therapy fails (Table 2). Analysis of polymicrobial cases to date showed that infections resolved with liver transplantation (Table 2). If patients did not undergo transplantation they remained indefinitely on antifungal therapy. While TIPS thrombectomy and revision were not commonly undertaken, there should be consideration of early thrombectomy, as drug penetration and source control may be insufficient with only antimicrobial therapy. For instance, inadequate drug penetration has been noted with amphotericin for </w:t>
      </w:r>
      <w:r>
        <w:rPr>
          <w:rFonts w:ascii="Book Antiqua" w:hAnsi="Book Antiqua" w:eastAsia="Book Antiqua" w:cs="Book Antiqua"/>
          <w:i/>
          <w:iCs/>
          <w:color w:val="000000"/>
        </w:rPr>
        <w:t>Candida</w:t>
      </w:r>
      <w:r>
        <w:rPr>
          <w:rFonts w:ascii="Book Antiqua" w:hAnsi="Book Antiqua" w:eastAsia="Book Antiqua" w:cs="Book Antiqua"/>
          <w:color w:val="000000"/>
        </w:rPr>
        <w:t xml:space="preserve"> infective endocarditis</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Hence, surgical intervention is recommended for left sided infective endocarditis involving fungal organisms, as well as for </w:t>
      </w:r>
      <w:r>
        <w:rPr>
          <w:rFonts w:ascii="Book Antiqua" w:hAnsi="Book Antiqua" w:eastAsia="Book Antiqua" w:cs="Book Antiqua"/>
          <w:i/>
          <w:iCs/>
          <w:color w:val="000000"/>
        </w:rPr>
        <w:t>S. aureus</w:t>
      </w:r>
      <w:r>
        <w:rPr>
          <w:rFonts w:ascii="Book Antiqua" w:hAnsi="Book Antiqua" w:eastAsia="Book Antiqua" w:cs="Book Antiqua"/>
          <w:color w:val="000000"/>
        </w:rPr>
        <w:t>, or other highly resistant organisms</w:t>
      </w:r>
      <w:r>
        <w:rPr>
          <w:rFonts w:ascii="Book Antiqua" w:hAnsi="Book Antiqua" w:eastAsia="Book Antiqua" w:cs="Book Antiqua"/>
          <w:color w:val="000000"/>
          <w:vertAlign w:val="superscript"/>
        </w:rPr>
        <w:t>[15]</w:t>
      </w:r>
      <w:r>
        <w:rPr>
          <w:rFonts w:ascii="Book Antiqua" w:hAnsi="Book Antiqua" w:eastAsia="Book Antiqua" w:cs="Book Antiqua"/>
          <w:color w:val="000000"/>
        </w:rPr>
        <w:t>. Considering the high mortality rate of fungal TIPS infections</w:t>
      </w:r>
      <w:r>
        <w:rPr>
          <w:rFonts w:ascii="Book Antiqua" w:hAnsi="Book Antiqua" w:eastAsia="Book Antiqua" w:cs="Book Antiqua"/>
          <w:color w:val="000000"/>
          <w:vertAlign w:val="superscript"/>
        </w:rPr>
        <w:t>[14,20-24]</w:t>
      </w:r>
      <w:r>
        <w:rPr>
          <w:rFonts w:ascii="Book Antiqua" w:hAnsi="Book Antiqua" w:eastAsia="Book Antiqua" w:cs="Book Antiqua"/>
          <w:color w:val="000000"/>
        </w:rPr>
        <w:t>, approximately 60% (Table 1), it is unclear whether antifungal prophylaxis should be considered prior to a TIPS revision. Justification for this step is lacking due to paucity of prospective studies (not surprising given the rarity of this infection) and the absence of guidelines to identify high-risk patients.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summary, we present a case of recurrent </w:t>
      </w:r>
      <w:r>
        <w:rPr>
          <w:rFonts w:ascii="Book Antiqua" w:hAnsi="Book Antiqua" w:eastAsia="Book Antiqua" w:cs="Book Antiqua"/>
          <w:i/>
          <w:iCs/>
          <w:color w:val="000000"/>
        </w:rPr>
        <w:t>E. coli</w:t>
      </w:r>
      <w:r>
        <w:rPr>
          <w:rFonts w:ascii="Book Antiqua" w:hAnsi="Book Antiqua" w:eastAsia="Book Antiqua" w:cs="Book Antiqua"/>
          <w:color w:val="000000"/>
        </w:rPr>
        <w:t xml:space="preserve"> bacteremia due to a late TIPS infection and occlusion that later evolved to a polymicrobial, multidrug-resistant TIPS infection. The patient initially cleared her infection with antimicrobial therapy and TIPS thrombectomy. Unfortunately, the patient later developed recurrent polymicrobial bacteremia and fungemia from a chronically infected TIPS.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TIPS infection is a rare event that most commonly occurs following TIPS creation and revision, though as illustrated in this case report it may occur many years following TIPS creation. Clinicians should be aware of this clinical complication early in the course so a TIPS thrombectomy can be performed for source control and to improve antibiotic penetration of the TIPS. Moreover, literature review shows that the highest mortality rates with endotipsitis are with </w:t>
      </w:r>
      <w:r>
        <w:rPr>
          <w:rFonts w:ascii="Book Antiqua" w:hAnsi="Book Antiqua" w:eastAsia="Book Antiqua" w:cs="Book Antiqua"/>
          <w:i/>
          <w:iCs/>
          <w:color w:val="000000"/>
        </w:rPr>
        <w:t>Candida</w:t>
      </w:r>
      <w:r>
        <w:rPr>
          <w:rFonts w:ascii="Book Antiqua" w:hAnsi="Book Antiqua" w:eastAsia="Book Antiqua" w:cs="Book Antiqua"/>
          <w:color w:val="000000"/>
        </w:rPr>
        <w:t xml:space="preserve"> and polymicrobial infections. Given the refractory nature of these infections, liver transplantation should be considered to provide definitive treatment when feasible. Lastly, the rarity of a TIPS infection limits the development of research studies, and current understanding of this entity relies mainly on case reports and case series, hence highlighting the need to continue to report new cases.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Boyer TD</w:t>
      </w:r>
      <w:r>
        <w:rPr>
          <w:rFonts w:ascii="Book Antiqua" w:hAnsi="Book Antiqua" w:eastAsia="Book Antiqua" w:cs="Book Antiqua"/>
          <w:color w:val="000000"/>
        </w:rPr>
        <w:t xml:space="preserve">, Haskal ZJ; American Association for the Study of Liver Diseases. The Role of Transjugular Intrahepatic Portosystemic Shunt (TIPS) in the Management of Portal Hypertension: update 2009.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2010; </w:t>
      </w:r>
      <w:r>
        <w:rPr>
          <w:rFonts w:ascii="Book Antiqua" w:hAnsi="Book Antiqua" w:eastAsia="Book Antiqua" w:cs="Book Antiqua"/>
          <w:b/>
          <w:bCs/>
          <w:color w:val="000000"/>
        </w:rPr>
        <w:t>51</w:t>
      </w:r>
      <w:r>
        <w:rPr>
          <w:rFonts w:ascii="Book Antiqua" w:hAnsi="Book Antiqua" w:eastAsia="Book Antiqua" w:cs="Book Antiqua"/>
          <w:color w:val="000000"/>
        </w:rPr>
        <w:t>: 306 [PMID: 19902484 DOI: 10.1002/hep.23383]</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Darrow AW</w:t>
      </w:r>
      <w:r>
        <w:rPr>
          <w:rFonts w:ascii="Book Antiqua" w:hAnsi="Book Antiqua" w:eastAsia="Book Antiqua" w:cs="Book Antiqua"/>
          <w:color w:val="000000"/>
        </w:rPr>
        <w:t xml:space="preserve">, Gaba RC, Lokken RP. Transhepatic Revision of Occluded Transjugular Intrahepatic Portosystemic Shunt Complicated by Endotipsitis. </w:t>
      </w:r>
      <w:r>
        <w:rPr>
          <w:rFonts w:ascii="Book Antiqua" w:hAnsi="Book Antiqua" w:eastAsia="Book Antiqua" w:cs="Book Antiqua"/>
          <w:i/>
          <w:iCs/>
          <w:color w:val="000000"/>
        </w:rPr>
        <w:t>Semin Intervent Radiol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35</w:t>
      </w:r>
      <w:r>
        <w:rPr>
          <w:rFonts w:ascii="Book Antiqua" w:hAnsi="Book Antiqua" w:eastAsia="Book Antiqua" w:cs="Book Antiqua"/>
          <w:color w:val="000000"/>
        </w:rPr>
        <w:t>: 492-496 [PMID: 30728666 DOI: 10.1055/s-0038-1676092]</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Garcia-Zamalloa A</w:t>
      </w:r>
      <w:r>
        <w:rPr>
          <w:rFonts w:ascii="Book Antiqua" w:hAnsi="Book Antiqua" w:eastAsia="Book Antiqua" w:cs="Book Antiqua"/>
          <w:color w:val="000000"/>
        </w:rPr>
        <w:t xml:space="preserve">, Gomez JT, Egusquiza AC. New Case of Endotipsitis: Urgent Need for Clinical Practice Guidelines. </w:t>
      </w:r>
      <w:r>
        <w:rPr>
          <w:rFonts w:ascii="Book Antiqua" w:hAnsi="Book Antiqua" w:eastAsia="Book Antiqua" w:cs="Book Antiqua"/>
          <w:i/>
          <w:iCs/>
          <w:color w:val="000000"/>
        </w:rPr>
        <w:t>Eurasian J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49</w:t>
      </w:r>
      <w:r>
        <w:rPr>
          <w:rFonts w:ascii="Book Antiqua" w:hAnsi="Book Antiqua" w:eastAsia="Book Antiqua" w:cs="Book Antiqua"/>
          <w:color w:val="000000"/>
        </w:rPr>
        <w:t>: 214-216 [PMID: 29123448 DOI: 10.5152/eurasianjmed.2017.17109]</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Navaratnam AM</w:t>
      </w:r>
      <w:r>
        <w:rPr>
          <w:rFonts w:ascii="Book Antiqua" w:hAnsi="Book Antiqua" w:eastAsia="Book Antiqua" w:cs="Book Antiqua"/>
          <w:color w:val="000000"/>
        </w:rPr>
        <w:t xml:space="preserve">, Grant M, Banach DB. Endotipsitis: A case report with a literature review on an emerging prosthetic related infection.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710-716 [PMID: 25866608 DOI: 10.4254/wjh.v7.i4.710]</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Chehab MA</w:t>
      </w:r>
      <w:r>
        <w:rPr>
          <w:rFonts w:ascii="Book Antiqua" w:hAnsi="Book Antiqua" w:eastAsia="Book Antiqua" w:cs="Book Antiqua"/>
          <w:color w:val="000000"/>
        </w:rPr>
        <w:t xml:space="preserve">, Thakor AS, Tulin-Silver S, Connolly BL, Cahill AM, Ward TJ, Padia SA, Kohi MP, Midia M, Chaudry G, Gemmete JJ, Mitchell JW, Brody L, Crowley JJ, Heran MKS, Weinstein JL, Nikolic B, Dariushnia SR, Tam AL, Venkatesan AM. Adult and Pediatric Antibiotic Prophylaxis during Vascular and IR Procedures: A Society of Interventional Radiology Practice Parameter Update Endorsed by the Cardiovascular and Interventional Radiological Society of Europe and the Canadian Association for Interventional Radiology.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29</w:t>
      </w:r>
      <w:r>
        <w:rPr>
          <w:rFonts w:ascii="Book Antiqua" w:hAnsi="Book Antiqua" w:eastAsia="Book Antiqua" w:cs="Book Antiqua"/>
          <w:color w:val="000000"/>
        </w:rPr>
        <w:t>: 1483-1501.e2 [PMID: 30274857 DOI: 10.1016/j.jvir.2018.06.007]</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Tripathi D</w:t>
      </w:r>
      <w:r>
        <w:rPr>
          <w:rFonts w:ascii="Book Antiqua" w:hAnsi="Book Antiqua" w:eastAsia="Book Antiqua" w:cs="Book Antiqua"/>
          <w:color w:val="000000"/>
        </w:rPr>
        <w:t xml:space="preserve">, Stanley AJ, Hayes PC, Travis S, Armstrong MJ, Tsochatzis EA, Rowe IA, Roslund N, Ireland H, Lomax M, Leithead JA, Mehrzad H, Aspinall RJ, McDonagh J, Patch D. Transjugular intrahepatic portosystemic stent-shunt in the management of portal hypertension. </w:t>
      </w:r>
      <w:r>
        <w:rPr>
          <w:rFonts w:ascii="Book Antiqua" w:hAnsi="Book Antiqua" w:eastAsia="Book Antiqua" w:cs="Book Antiqua"/>
          <w:i/>
          <w:iCs/>
          <w:color w:val="000000"/>
        </w:rPr>
        <w:t>Gut</w:t>
      </w:r>
      <w:r>
        <w:rPr>
          <w:rFonts w:ascii="Book Antiqua" w:hAnsi="Book Antiqua" w:eastAsia="Book Antiqua" w:cs="Book Antiqua"/>
          <w:color w:val="000000"/>
        </w:rPr>
        <w:t xml:space="preserve"> 2020; </w:t>
      </w:r>
      <w:r>
        <w:rPr>
          <w:rFonts w:ascii="Book Antiqua" w:hAnsi="Book Antiqua" w:eastAsia="Book Antiqua" w:cs="Book Antiqua"/>
          <w:b/>
          <w:bCs/>
          <w:color w:val="000000"/>
        </w:rPr>
        <w:t>69</w:t>
      </w:r>
      <w:r>
        <w:rPr>
          <w:rFonts w:ascii="Book Antiqua" w:hAnsi="Book Antiqua" w:eastAsia="Book Antiqua" w:cs="Book Antiqua"/>
          <w:color w:val="000000"/>
        </w:rPr>
        <w:t>: 1173-1192 [PMID: 32114503 DOI: 10.1136/gutjnl-2019-320221]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Steinbach WJ</w:t>
      </w:r>
      <w:r>
        <w:rPr>
          <w:rFonts w:ascii="Book Antiqua" w:hAnsi="Book Antiqua" w:eastAsia="Book Antiqua" w:cs="Book Antiqua"/>
          <w:color w:val="000000"/>
        </w:rPr>
        <w:t xml:space="preserve">, Perfect JR, Cabell CH, Fowler VG, Corey GR, Li JS, Zaas AK, Benjamin DK Jr. A meta-analysis of medical </w:t>
      </w:r>
      <w:r>
        <w:rPr>
          <w:rFonts w:ascii="Book Antiqua" w:hAnsi="Book Antiqua" w:eastAsia="Book Antiqua" w:cs="Book Antiqua"/>
          <w:i/>
          <w:iCs/>
          <w:color w:val="000000"/>
        </w:rPr>
        <w:t>vs</w:t>
      </w:r>
      <w:r>
        <w:rPr>
          <w:rFonts w:ascii="Book Antiqua" w:hAnsi="Book Antiqua" w:eastAsia="Book Antiqua" w:cs="Book Antiqua"/>
          <w:color w:val="000000"/>
        </w:rPr>
        <w:t xml:space="preserve"> surgical therapy for Candida endocarditis. </w:t>
      </w:r>
      <w:r>
        <w:rPr>
          <w:rFonts w:ascii="Book Antiqua" w:hAnsi="Book Antiqua" w:eastAsia="Book Antiqua" w:cs="Book Antiqua"/>
          <w:i/>
          <w:iCs/>
          <w:color w:val="000000"/>
        </w:rPr>
        <w:t>J Infect</w:t>
      </w:r>
      <w:r>
        <w:rPr>
          <w:rFonts w:ascii="Book Antiqua" w:hAnsi="Book Antiqua" w:eastAsia="Book Antiqua" w:cs="Book Antiqua"/>
          <w:color w:val="000000"/>
        </w:rPr>
        <w:t xml:space="preserve"> 2005; </w:t>
      </w:r>
      <w:r>
        <w:rPr>
          <w:rFonts w:ascii="Book Antiqua" w:hAnsi="Book Antiqua" w:eastAsia="Book Antiqua" w:cs="Book Antiqua"/>
          <w:b/>
          <w:bCs/>
          <w:color w:val="000000"/>
        </w:rPr>
        <w:t>51</w:t>
      </w:r>
      <w:r>
        <w:rPr>
          <w:rFonts w:ascii="Book Antiqua" w:hAnsi="Book Antiqua" w:eastAsia="Book Antiqua" w:cs="Book Antiqua"/>
          <w:color w:val="000000"/>
        </w:rPr>
        <w:t>: 230-247 [PMID: 16230221 DOI: 10.1016/j.jinf.2004.10.016]</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Venditti M</w:t>
      </w:r>
      <w:r>
        <w:rPr>
          <w:rFonts w:ascii="Book Antiqua" w:hAnsi="Book Antiqua" w:eastAsia="Book Antiqua" w:cs="Book Antiqua"/>
          <w:color w:val="000000"/>
        </w:rPr>
        <w:t xml:space="preserve">. Clinical aspects of invasive candidiasis: endocarditis and other localized infections. </w:t>
      </w:r>
      <w:r>
        <w:rPr>
          <w:rFonts w:ascii="Book Antiqua" w:hAnsi="Book Antiqua" w:eastAsia="Book Antiqua" w:cs="Book Antiqua"/>
          <w:i/>
          <w:iCs/>
          <w:color w:val="000000"/>
        </w:rPr>
        <w:t>Drugs</w:t>
      </w:r>
      <w:r>
        <w:rPr>
          <w:rFonts w:ascii="Book Antiqua" w:hAnsi="Book Antiqua" w:eastAsia="Book Antiqua" w:cs="Book Antiqua"/>
          <w:color w:val="000000"/>
        </w:rPr>
        <w:t xml:space="preserve"> 2009; </w:t>
      </w:r>
      <w:r>
        <w:rPr>
          <w:rFonts w:ascii="Book Antiqua" w:hAnsi="Book Antiqua" w:eastAsia="Book Antiqua" w:cs="Book Antiqua"/>
          <w:b/>
          <w:bCs/>
          <w:color w:val="000000"/>
        </w:rPr>
        <w:t>69 Suppl 1</w:t>
      </w:r>
      <w:r>
        <w:rPr>
          <w:rFonts w:ascii="Book Antiqua" w:hAnsi="Book Antiqua" w:eastAsia="Book Antiqua" w:cs="Book Antiqua"/>
          <w:color w:val="000000"/>
        </w:rPr>
        <w:t>: 39-43 [PMID: 19877733 DOI: 10.2165/11315610-000000000-00000]</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Matter CM</w:t>
      </w:r>
      <w:r>
        <w:rPr>
          <w:rFonts w:ascii="Book Antiqua" w:hAnsi="Book Antiqua" w:eastAsia="Book Antiqua" w:cs="Book Antiqua"/>
          <w:color w:val="000000"/>
        </w:rPr>
        <w:t xml:space="preserve">, Rozenberg I, Jaschko A, Greutert H, Kurz DJ, Wnendt S, Kuttler B, Joch H, Grünenfelder J, Zünd G, Tanner FC, Lüscher TF. Effects of tacrolimus or sirolimus on proliferation of vascular smooth muscle and endothelial cells. </w:t>
      </w:r>
      <w:r>
        <w:rPr>
          <w:rFonts w:ascii="Book Antiqua" w:hAnsi="Book Antiqua" w:eastAsia="Book Antiqua" w:cs="Book Antiqua"/>
          <w:i/>
          <w:iCs/>
          <w:color w:val="000000"/>
        </w:rPr>
        <w:t>J Cardiovasc Pharmacol</w:t>
      </w:r>
      <w:r>
        <w:rPr>
          <w:rFonts w:ascii="Book Antiqua" w:hAnsi="Book Antiqua" w:eastAsia="Book Antiqua" w:cs="Book Antiqua"/>
          <w:color w:val="000000"/>
        </w:rPr>
        <w:t xml:space="preserve"> 2006; </w:t>
      </w:r>
      <w:r>
        <w:rPr>
          <w:rFonts w:ascii="Book Antiqua" w:hAnsi="Book Antiqua" w:eastAsia="Book Antiqua" w:cs="Book Antiqua"/>
          <w:b/>
          <w:bCs/>
          <w:color w:val="000000"/>
        </w:rPr>
        <w:t>48</w:t>
      </w:r>
      <w:r>
        <w:rPr>
          <w:rFonts w:ascii="Book Antiqua" w:hAnsi="Book Antiqua" w:eastAsia="Book Antiqua" w:cs="Book Antiqua"/>
          <w:color w:val="000000"/>
        </w:rPr>
        <w:t>: 286-292 [PMID: 17204907 DOI: 10.1097/01.fjc.0000248233.22570.8b]</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de Prado AP</w:t>
      </w:r>
      <w:r>
        <w:rPr>
          <w:rFonts w:ascii="Book Antiqua" w:hAnsi="Book Antiqua" w:eastAsia="Book Antiqua" w:cs="Book Antiqua"/>
          <w:color w:val="000000"/>
        </w:rPr>
        <w:t xml:space="preserve">, Pérez-Martínez C, Cuellas-Ramón C, Gonzalo-Orden JM, Regueiro-Purriños M, Martínez B, García-Iglesias MJ, Ajenjo JM, Altónaga JR, Diego-Nieto A, de Miguel A, Fernández-Vázquez F. Time course of reendothelialization of stents in a normal coronary swine model: characterization and quantification. </w:t>
      </w:r>
      <w:r>
        <w:rPr>
          <w:rFonts w:ascii="Book Antiqua" w:hAnsi="Book Antiqua" w:eastAsia="Book Antiqua" w:cs="Book Antiqua"/>
          <w:i/>
          <w:iCs/>
          <w:color w:val="000000"/>
        </w:rPr>
        <w:t>Vet Pathol</w:t>
      </w:r>
      <w:r>
        <w:rPr>
          <w:rFonts w:ascii="Book Antiqua" w:hAnsi="Book Antiqua" w:eastAsia="Book Antiqua" w:cs="Book Antiqua"/>
          <w:color w:val="000000"/>
        </w:rPr>
        <w:t xml:space="preserve"> 2011; </w:t>
      </w:r>
      <w:r>
        <w:rPr>
          <w:rFonts w:ascii="Book Antiqua" w:hAnsi="Book Antiqua" w:eastAsia="Book Antiqua" w:cs="Book Antiqua"/>
          <w:b/>
          <w:bCs/>
          <w:color w:val="000000"/>
        </w:rPr>
        <w:t>48</w:t>
      </w:r>
      <w:r>
        <w:rPr>
          <w:rFonts w:ascii="Book Antiqua" w:hAnsi="Book Antiqua" w:eastAsia="Book Antiqua" w:cs="Book Antiqua"/>
          <w:color w:val="000000"/>
        </w:rPr>
        <w:t>: 1109-1117 [PMID: 21393629 DOI: 10.1177/0300985811400446]</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Kim E</w:t>
      </w:r>
      <w:r>
        <w:rPr>
          <w:rFonts w:ascii="Book Antiqua" w:hAnsi="Book Antiqua" w:eastAsia="Book Antiqua" w:cs="Book Antiqua"/>
          <w:color w:val="000000"/>
        </w:rPr>
        <w:t xml:space="preserve">, Lee SW, Kim WH, Bae SH, Han NI, Oh JS, Chun HJ, Lee HG. Transjugular Intrahepatic Portosystemic Shunt Occlusion Complicated with Biliary Fistula Successfully Treated with a Stent Graft: A Case Report. </w:t>
      </w:r>
      <w:r>
        <w:rPr>
          <w:rFonts w:ascii="Book Antiqua" w:hAnsi="Book Antiqua" w:eastAsia="Book Antiqua" w:cs="Book Antiqua"/>
          <w:i/>
          <w:iCs/>
          <w:color w:val="000000"/>
        </w:rPr>
        <w:t>Iran J Radiol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13</w:t>
      </w:r>
      <w:r>
        <w:rPr>
          <w:rFonts w:ascii="Book Antiqua" w:hAnsi="Book Antiqua" w:eastAsia="Book Antiqua" w:cs="Book Antiqua"/>
          <w:color w:val="000000"/>
        </w:rPr>
        <w:t>: e28993 [PMID: 27127576 DOI: 10.5812/iranjradiol.28993]</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Colston JM</w:t>
      </w:r>
      <w:r>
        <w:rPr>
          <w:rFonts w:ascii="Book Antiqua" w:hAnsi="Book Antiqua" w:eastAsia="Book Antiqua" w:cs="Book Antiqua"/>
          <w:color w:val="000000"/>
        </w:rPr>
        <w:t xml:space="preserve">, Scarborough M, Collier J, Bowler IC. High-dose daptomycin monotherapy cures Staphylococcus epidermidis 'endotipsitis' after failure of conventional therapy.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2013; </w:t>
      </w:r>
      <w:r>
        <w:rPr>
          <w:rFonts w:ascii="Book Antiqua" w:hAnsi="Book Antiqua" w:eastAsia="Book Antiqua" w:cs="Book Antiqua"/>
          <w:b/>
          <w:bCs/>
          <w:color w:val="000000"/>
        </w:rPr>
        <w:t>2013</w:t>
      </w:r>
      <w:r>
        <w:rPr>
          <w:rFonts w:ascii="Book Antiqua" w:hAnsi="Book Antiqua" w:eastAsia="Book Antiqua" w:cs="Book Antiqua"/>
          <w:color w:val="000000"/>
        </w:rPr>
        <w:t xml:space="preserve"> [PMID: 23595199 DOI: 10.1136/bcr-2013-009529]</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DeSimone JA</w:t>
      </w:r>
      <w:r>
        <w:rPr>
          <w:rFonts w:ascii="Book Antiqua" w:hAnsi="Book Antiqua" w:eastAsia="Book Antiqua" w:cs="Book Antiqua"/>
          <w:color w:val="000000"/>
        </w:rPr>
        <w:t xml:space="preserve">, Beavis KG, Eschelman DJ, Henning KJ. Sustained bacteremia associated with transjugular intrahepatic portosystemic shunt (TIPS).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2000; </w:t>
      </w:r>
      <w:r>
        <w:rPr>
          <w:rFonts w:ascii="Book Antiqua" w:hAnsi="Book Antiqua" w:eastAsia="Book Antiqua" w:cs="Book Antiqua"/>
          <w:b/>
          <w:bCs/>
          <w:color w:val="000000"/>
        </w:rPr>
        <w:t>30</w:t>
      </w:r>
      <w:r>
        <w:rPr>
          <w:rFonts w:ascii="Book Antiqua" w:hAnsi="Book Antiqua" w:eastAsia="Book Antiqua" w:cs="Book Antiqua"/>
          <w:color w:val="000000"/>
        </w:rPr>
        <w:t>: 384-386 [PMID: 10671346 DOI: 10.1086/313653]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Anstead GM</w:t>
      </w:r>
      <w:r>
        <w:rPr>
          <w:rFonts w:ascii="Book Antiqua" w:hAnsi="Book Antiqua" w:eastAsia="Book Antiqua" w:cs="Book Antiqua"/>
          <w:color w:val="000000"/>
        </w:rPr>
        <w:t xml:space="preserve">, Martinez M, Graybill JR. Control of a Candida glabrata prosthetic endovascular infection with posaconazole. </w:t>
      </w:r>
      <w:r>
        <w:rPr>
          <w:rFonts w:ascii="Book Antiqua" w:hAnsi="Book Antiqua" w:eastAsia="Book Antiqua" w:cs="Book Antiqua"/>
          <w:i/>
          <w:iCs/>
          <w:color w:val="000000"/>
        </w:rPr>
        <w:t>Med Mycol</w:t>
      </w:r>
      <w:r>
        <w:rPr>
          <w:rFonts w:ascii="Book Antiqua" w:hAnsi="Book Antiqua" w:eastAsia="Book Antiqua" w:cs="Book Antiqua"/>
          <w:color w:val="000000"/>
        </w:rPr>
        <w:t xml:space="preserve"> 2006; </w:t>
      </w:r>
      <w:r>
        <w:rPr>
          <w:rFonts w:ascii="Book Antiqua" w:hAnsi="Book Antiqua" w:eastAsia="Book Antiqua" w:cs="Book Antiqua"/>
          <w:b/>
          <w:bCs/>
          <w:color w:val="000000"/>
        </w:rPr>
        <w:t>44</w:t>
      </w:r>
      <w:r>
        <w:rPr>
          <w:rFonts w:ascii="Book Antiqua" w:hAnsi="Book Antiqua" w:eastAsia="Book Antiqua" w:cs="Book Antiqua"/>
          <w:color w:val="000000"/>
        </w:rPr>
        <w:t>: 273-277 [PMID: 16702108 DOI: 10.1080/13693780500049152]</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Sanyal AJ</w:t>
      </w:r>
      <w:r>
        <w:rPr>
          <w:rFonts w:ascii="Book Antiqua" w:hAnsi="Book Antiqua" w:eastAsia="Book Antiqua" w:cs="Book Antiqua"/>
          <w:color w:val="000000"/>
        </w:rPr>
        <w:t xml:space="preserve">, Reddy KR. Vegetative infection of transjugular intrahepatic portosystemic shunts.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1998; </w:t>
      </w:r>
      <w:r>
        <w:rPr>
          <w:rFonts w:ascii="Book Antiqua" w:hAnsi="Book Antiqua" w:eastAsia="Book Antiqua" w:cs="Book Antiqua"/>
          <w:b/>
          <w:bCs/>
          <w:color w:val="000000"/>
        </w:rPr>
        <w:t>115</w:t>
      </w:r>
      <w:r>
        <w:rPr>
          <w:rFonts w:ascii="Book Antiqua" w:hAnsi="Book Antiqua" w:eastAsia="Book Antiqua" w:cs="Book Antiqua"/>
          <w:color w:val="000000"/>
        </w:rPr>
        <w:t>: 110-115 [PMID: 9649465 DOI: 10.1016/s0016-5085(98)70371-3]</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Armstrong PK</w:t>
      </w:r>
      <w:r>
        <w:rPr>
          <w:rFonts w:ascii="Book Antiqua" w:hAnsi="Book Antiqua" w:eastAsia="Book Antiqua" w:cs="Book Antiqua"/>
          <w:color w:val="000000"/>
        </w:rPr>
        <w:t xml:space="preserve">, MacLeod C. Infection of transjugular intrahepatic portosystemic shunt devices: three cases and a review of the literature.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2003; </w:t>
      </w:r>
      <w:r>
        <w:rPr>
          <w:rFonts w:ascii="Book Antiqua" w:hAnsi="Book Antiqua" w:eastAsia="Book Antiqua" w:cs="Book Antiqua"/>
          <w:b/>
          <w:bCs/>
          <w:color w:val="000000"/>
        </w:rPr>
        <w:t>36</w:t>
      </w:r>
      <w:r>
        <w:rPr>
          <w:rFonts w:ascii="Book Antiqua" w:hAnsi="Book Antiqua" w:eastAsia="Book Antiqua" w:cs="Book Antiqua"/>
          <w:color w:val="000000"/>
        </w:rPr>
        <w:t>: 407-412 [PMID: 12567297 DOI: 10.1086/346156]</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Suhocki PV</w:t>
      </w:r>
      <w:r>
        <w:rPr>
          <w:rFonts w:ascii="Book Antiqua" w:hAnsi="Book Antiqua" w:eastAsia="Book Antiqua" w:cs="Book Antiqua"/>
          <w:color w:val="000000"/>
        </w:rPr>
        <w:t xml:space="preserve">, Smith AD, Tendler DA, Sexton DJ. Treatment of TIPS/biliary fistula-related endotipsitis with a covered stent.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2008; </w:t>
      </w:r>
      <w:r>
        <w:rPr>
          <w:rFonts w:ascii="Book Antiqua" w:hAnsi="Book Antiqua" w:eastAsia="Book Antiqua" w:cs="Book Antiqua"/>
          <w:b/>
          <w:bCs/>
          <w:color w:val="000000"/>
        </w:rPr>
        <w:t>19</w:t>
      </w:r>
      <w:r>
        <w:rPr>
          <w:rFonts w:ascii="Book Antiqua" w:hAnsi="Book Antiqua" w:eastAsia="Book Antiqua" w:cs="Book Antiqua"/>
          <w:color w:val="000000"/>
        </w:rPr>
        <w:t>: 937-939 [PMID: 18503911 DOI: 10.1016/j.jvir.2008.01.026]</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Jawaid Q</w:t>
      </w:r>
      <w:r>
        <w:rPr>
          <w:rFonts w:ascii="Book Antiqua" w:hAnsi="Book Antiqua" w:eastAsia="Book Antiqua" w:cs="Book Antiqua"/>
          <w:color w:val="000000"/>
        </w:rPr>
        <w:t xml:space="preserve">, Saeed ZA, Di Bisceglie AM, Brunt EM, Ramrakhiani S, Varma CR, Solomon H. Biliary-venous fistula complicating transjugular intrahepatic portosystemic shunt presenting with recurrent bacteremia, jaundice, anemia and fever. </w:t>
      </w:r>
      <w:r>
        <w:rPr>
          <w:rFonts w:ascii="Book Antiqua" w:hAnsi="Book Antiqua" w:eastAsia="Book Antiqua" w:cs="Book Antiqua"/>
          <w:i/>
          <w:iCs/>
          <w:color w:val="000000"/>
        </w:rPr>
        <w:t>Am J Transplant</w:t>
      </w:r>
      <w:r>
        <w:rPr>
          <w:rFonts w:ascii="Book Antiqua" w:hAnsi="Book Antiqua" w:eastAsia="Book Antiqua" w:cs="Book Antiqua"/>
          <w:color w:val="000000"/>
        </w:rPr>
        <w:t xml:space="preserve"> 2003; </w:t>
      </w:r>
      <w:r>
        <w:rPr>
          <w:rFonts w:ascii="Book Antiqua" w:hAnsi="Book Antiqua" w:eastAsia="Book Antiqua" w:cs="Book Antiqua"/>
          <w:b/>
          <w:bCs/>
          <w:color w:val="000000"/>
        </w:rPr>
        <w:t>3</w:t>
      </w:r>
      <w:r>
        <w:rPr>
          <w:rFonts w:ascii="Book Antiqua" w:hAnsi="Book Antiqua" w:eastAsia="Book Antiqua" w:cs="Book Antiqua"/>
          <w:color w:val="000000"/>
        </w:rPr>
        <w:t>: 1604-1607 [PMID: 14629294 DOI: 10.1046/j.1600-6135.2003.00267.x]</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Willner IR</w:t>
      </w:r>
      <w:r>
        <w:rPr>
          <w:rFonts w:ascii="Book Antiqua" w:hAnsi="Book Antiqua" w:eastAsia="Book Antiqua" w:cs="Book Antiqua"/>
          <w:color w:val="000000"/>
        </w:rPr>
        <w:t xml:space="preserve">, El-Sakr R, Werkman RF, Taylor WZ, Riely CA. A fistula from the portal vein to the bile duct: an unusual complication of transjugular intrahepatic portosystemic shunt.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1998; </w:t>
      </w:r>
      <w:r>
        <w:rPr>
          <w:rFonts w:ascii="Book Antiqua" w:hAnsi="Book Antiqua" w:eastAsia="Book Antiqua" w:cs="Book Antiqua"/>
          <w:b/>
          <w:bCs/>
          <w:color w:val="000000"/>
        </w:rPr>
        <w:t>93</w:t>
      </w:r>
      <w:r>
        <w:rPr>
          <w:rFonts w:ascii="Book Antiqua" w:hAnsi="Book Antiqua" w:eastAsia="Book Antiqua" w:cs="Book Antiqua"/>
          <w:color w:val="000000"/>
        </w:rPr>
        <w:t>: 1952-1955 [PMID: 9772063 DOI: 10.1111/j.1572-0241.1998.00553.x]</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AATS Surgical Treatment of Infective Endocarditis Consensus Guidelines Writing Committee Chairs</w:t>
      </w:r>
      <w:r>
        <w:rPr>
          <w:rFonts w:ascii="Book Antiqua" w:hAnsi="Book Antiqua" w:eastAsia="Book Antiqua" w:cs="Book Antiqua"/>
          <w:color w:val="000000"/>
        </w:rPr>
        <w:t xml:space="preserve">, Pettersson GB, Coselli JS; Writing Committee, Pettersson GB, Coselli JS, Hussain ST, Griffin B, Blackstone EH, Gordon SM, LeMaire SA, Woc-Colburn LE. 2016 The American Association for Thoracic Surgery (AATS) consensus guidelines: Surgical treatment of infective endocarditis: Executive summary. </w:t>
      </w:r>
      <w:r>
        <w:rPr>
          <w:rFonts w:ascii="Book Antiqua" w:hAnsi="Book Antiqua" w:eastAsia="Book Antiqua" w:cs="Book Antiqua"/>
          <w:i/>
          <w:iCs/>
          <w:color w:val="000000"/>
        </w:rPr>
        <w:t>J Thorac Cardiovasc 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153</w:t>
      </w:r>
      <w:r>
        <w:rPr>
          <w:rFonts w:ascii="Book Antiqua" w:hAnsi="Book Antiqua" w:eastAsia="Book Antiqua" w:cs="Book Antiqua"/>
          <w:color w:val="000000"/>
        </w:rPr>
        <w:t>: 1241-1258.e29 [PMID: 28365016 DOI: 10.1016/j.jtcvs.2016.09.093]</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McCarty TR</w:t>
      </w:r>
      <w:r>
        <w:rPr>
          <w:rFonts w:ascii="Book Antiqua" w:hAnsi="Book Antiqua" w:eastAsia="Book Antiqua" w:cs="Book Antiqua"/>
          <w:color w:val="000000"/>
        </w:rPr>
        <w:t xml:space="preserve">, Sack J, Syed B, Kim R, Njei B. Fungal endotipsitis: A case report and literature review. </w:t>
      </w:r>
      <w:r>
        <w:rPr>
          <w:rFonts w:ascii="Book Antiqua" w:hAnsi="Book Antiqua" w:eastAsia="Book Antiqua" w:cs="Book Antiqua"/>
          <w:i/>
          <w:iCs/>
          <w:color w:val="000000"/>
        </w:rPr>
        <w:t>J Dig Dis</w:t>
      </w:r>
      <w:r>
        <w:rPr>
          <w:rFonts w:ascii="Book Antiqua" w:hAnsi="Book Antiqua" w:eastAsia="Book Antiqua" w:cs="Book Antiqua"/>
          <w:color w:val="000000"/>
        </w:rPr>
        <w:t xml:space="preserve"> 2017; </w:t>
      </w:r>
      <w:r>
        <w:rPr>
          <w:rFonts w:ascii="Book Antiqua" w:hAnsi="Book Antiqua" w:eastAsia="Book Antiqua" w:cs="Book Antiqua"/>
          <w:b/>
          <w:bCs/>
          <w:color w:val="000000"/>
        </w:rPr>
        <w:t>18</w:t>
      </w:r>
      <w:r>
        <w:rPr>
          <w:rFonts w:ascii="Book Antiqua" w:hAnsi="Book Antiqua" w:eastAsia="Book Antiqua" w:cs="Book Antiqua"/>
          <w:color w:val="000000"/>
        </w:rPr>
        <w:t>: 237-240 [PMID: 28127943 DOI: 10.1111/1751-2980.12451]</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Darwin P</w:t>
      </w:r>
      <w:r>
        <w:rPr>
          <w:rFonts w:ascii="Book Antiqua" w:hAnsi="Book Antiqua" w:eastAsia="Book Antiqua" w:cs="Book Antiqua"/>
          <w:color w:val="000000"/>
        </w:rPr>
        <w:t xml:space="preserve">, Mergner W, Thuluvath P. Torulopsis glabrata fungemia as a complication of a clotted transjugular intrahepatic portosystemic shunt. </w:t>
      </w:r>
      <w:r>
        <w:rPr>
          <w:rFonts w:ascii="Book Antiqua" w:hAnsi="Book Antiqua" w:eastAsia="Book Antiqua" w:cs="Book Antiqua"/>
          <w:i/>
          <w:iCs/>
          <w:color w:val="000000"/>
        </w:rPr>
        <w:t>Liver Transpl Surg</w:t>
      </w:r>
      <w:r>
        <w:rPr>
          <w:rFonts w:ascii="Book Antiqua" w:hAnsi="Book Antiqua" w:eastAsia="Book Antiqua" w:cs="Book Antiqua"/>
          <w:color w:val="000000"/>
        </w:rPr>
        <w:t xml:space="preserve"> 1998; </w:t>
      </w:r>
      <w:r>
        <w:rPr>
          <w:rFonts w:ascii="Book Antiqua" w:hAnsi="Book Antiqua" w:eastAsia="Book Antiqua" w:cs="Book Antiqua"/>
          <w:b/>
          <w:bCs/>
          <w:color w:val="000000"/>
        </w:rPr>
        <w:t>4</w:t>
      </w:r>
      <w:r>
        <w:rPr>
          <w:rFonts w:ascii="Book Antiqua" w:hAnsi="Book Antiqua" w:eastAsia="Book Antiqua" w:cs="Book Antiqua"/>
          <w:color w:val="000000"/>
        </w:rPr>
        <w:t>: 89-90 [PMID: 9457972 DOI: 10.1002/Lt.500040112]</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Schiano TD</w:t>
      </w:r>
      <w:r>
        <w:rPr>
          <w:rFonts w:ascii="Book Antiqua" w:hAnsi="Book Antiqua" w:eastAsia="Book Antiqua" w:cs="Book Antiqua"/>
          <w:color w:val="000000"/>
        </w:rPr>
        <w:t xml:space="preserve">, Atillasoy E, Fiel MI, Wolf DC, Jaffe D, Cooper JM, Jonas ME, Bodenheimer HC Jr, Min AD. Fatal fungemia resulting from an infected transjugular intrahepatic portosystemic shunt stent.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1997; </w:t>
      </w:r>
      <w:r>
        <w:rPr>
          <w:rFonts w:ascii="Book Antiqua" w:hAnsi="Book Antiqua" w:eastAsia="Book Antiqua" w:cs="Book Antiqua"/>
          <w:b/>
          <w:bCs/>
          <w:color w:val="000000"/>
        </w:rPr>
        <w:t>92</w:t>
      </w:r>
      <w:r>
        <w:rPr>
          <w:rFonts w:ascii="Book Antiqua" w:hAnsi="Book Antiqua" w:eastAsia="Book Antiqua" w:cs="Book Antiqua"/>
          <w:color w:val="000000"/>
        </w:rPr>
        <w:t>: 709-710 [PMID: 9128335]</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Brickey TW</w:t>
      </w:r>
      <w:r>
        <w:rPr>
          <w:rFonts w:ascii="Book Antiqua" w:hAnsi="Book Antiqua" w:eastAsia="Book Antiqua" w:cs="Book Antiqua"/>
          <w:color w:val="000000"/>
        </w:rPr>
        <w:t xml:space="preserve">, Trotter JF, Johnson SP. Torulopsis glabrata fungemia from infected transjugular intrahepatic portosystemic shunt stent.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2005; </w:t>
      </w:r>
      <w:r>
        <w:rPr>
          <w:rFonts w:ascii="Book Antiqua" w:hAnsi="Book Antiqua" w:eastAsia="Book Antiqua" w:cs="Book Antiqua"/>
          <w:b/>
          <w:bCs/>
          <w:color w:val="000000"/>
        </w:rPr>
        <w:t>16</w:t>
      </w:r>
      <w:r>
        <w:rPr>
          <w:rFonts w:ascii="Book Antiqua" w:hAnsi="Book Antiqua" w:eastAsia="Book Antiqua" w:cs="Book Antiqua"/>
          <w:color w:val="000000"/>
        </w:rPr>
        <w:t>: 751-752 [PMID: 15872333 DOI: 10.1097/01.RVI.0000153587.52276.06]</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Consent was obtained verbally over the phone from the husband as the patient passed away.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Dr. Haskal disclosures include working with Varian, Boston Scientific, WL Gore and Associates, and Becton Dickinson. All other authors have no actual or potential conflicting interest in the submission of this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adjustRightInd w:val="0"/>
        <w:snapToGrid w:val="0"/>
        <w:spacing w:line="360" w:lineRule="auto"/>
        <w:jc w:val="both"/>
        <w:rPr>
          <w:rFonts w:ascii="Book Antiqua" w:hAnsi="Book Antiqua" w:cs="Book Antiqua"/>
          <w:bCs/>
          <w:color w:val="000000"/>
          <w:lang w:eastAsia="zh-CN"/>
        </w:rPr>
      </w:pPr>
      <w:r>
        <w:rPr>
          <w:rFonts w:ascii="Book Antiqua" w:hAnsi="Book Antiqua" w:cs="Book Antiqua"/>
          <w:b/>
          <w:bCs/>
          <w:color w:val="000000"/>
          <w:lang w:eastAsia="zh-CN"/>
        </w:rPr>
        <w:t xml:space="preserve">Provenance and peer review: </w:t>
      </w:r>
      <w:r>
        <w:rPr>
          <w:rFonts w:ascii="Book Antiqua" w:hAnsi="Book Antiqua" w:cs="Book Antiqua"/>
          <w:bCs/>
          <w:color w:val="000000"/>
          <w:lang w:eastAsia="zh-CN"/>
        </w:rPr>
        <w:t>Unsolicited article; externally peer reviewed.</w:t>
      </w:r>
    </w:p>
    <w:p>
      <w:pPr>
        <w:adjustRightInd w:val="0"/>
        <w:snapToGrid w:val="0"/>
        <w:spacing w:line="360" w:lineRule="auto"/>
        <w:jc w:val="both"/>
        <w:rPr>
          <w:rFonts w:ascii="Book Antiqua" w:hAnsi="Book Antiqua" w:cs="Book Antiqua"/>
          <w:bCs/>
          <w:color w:val="000000"/>
          <w:lang w:eastAsia="zh-CN"/>
        </w:rPr>
      </w:pPr>
      <w:r>
        <w:rPr>
          <w:rFonts w:ascii="Book Antiqua" w:hAnsi="Book Antiqua" w:cs="Book Antiqua"/>
          <w:b/>
          <w:bCs/>
          <w:color w:val="000000"/>
          <w:lang w:eastAsia="zh-CN"/>
        </w:rPr>
        <w:t>Peer-review model:</w:t>
      </w:r>
      <w:r>
        <w:rPr>
          <w:rFonts w:ascii="Book Antiqua" w:hAnsi="Book Antiqua" w:cs="Book Antiqua"/>
          <w:bCs/>
          <w:color w:val="000000"/>
          <w:lang w:eastAsia="zh-CN"/>
        </w:rPr>
        <w:t xml:space="preserve"> Single blind  </w:t>
      </w: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American Association for the Study of Liver Diseases; American College of Gastroenterology.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30,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29, 2021</w:t>
      </w:r>
    </w:p>
    <w:p>
      <w:pPr>
        <w:spacing w:line="360" w:lineRule="auto"/>
        <w:jc w:val="both"/>
        <w:rPr>
          <w:rFonts w:ascii="Book Antiqua" w:hAnsi="Book Antiqua"/>
          <w:b w:val="0"/>
          <w:bCs w:val="0"/>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25,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keepNext w:val="0"/>
        <w:keepLines w:val="0"/>
        <w:widowControl/>
        <w:suppressLineNumbers w:val="0"/>
        <w:jc w:val="left"/>
      </w:pPr>
      <w:r>
        <w:rPr>
          <w:rFonts w:ascii="Book Antiqua" w:hAnsi="Book Antiqua" w:eastAsia="Book Antiqua" w:cs="Book Antiqua"/>
          <w:b/>
          <w:color w:val="000000"/>
        </w:rPr>
        <w:t xml:space="preserve">P-Reviewer: </w:t>
      </w:r>
      <w:r>
        <w:rPr>
          <w:rFonts w:ascii="Book Antiqua" w:hAnsi="Book Antiqua" w:eastAsia="Book Antiqua" w:cs="Book Antiqua"/>
          <w:color w:val="000000"/>
        </w:rPr>
        <w:t>Fernandes SA,</w:t>
      </w:r>
      <w:r>
        <w:rPr>
          <w:rFonts w:ascii="Book Antiqua" w:hAnsi="Book Antiqua"/>
        </w:rPr>
        <w:t xml:space="preserve"> </w:t>
      </w:r>
      <w:r>
        <w:rPr>
          <w:rFonts w:ascii="Book Antiqua" w:hAnsi="Book Antiqua" w:eastAsia="Book Antiqua" w:cs="Book Antiqua"/>
          <w:color w:val="000000"/>
        </w:rPr>
        <w:t>Brazil; Tripathi D,</w:t>
      </w:r>
      <w:r>
        <w:rPr>
          <w:rFonts w:ascii="Book Antiqua" w:hAnsi="Book Antiqua"/>
        </w:rPr>
        <w:t xml:space="preserve"> </w:t>
      </w:r>
      <w:r>
        <w:rPr>
          <w:rFonts w:ascii="Book Antiqua" w:hAnsi="Book Antiqua" w:eastAsia="Book Antiqua" w:cs="Book Antiqua"/>
          <w:color w:val="000000"/>
        </w:rPr>
        <w:tab/>
      </w:r>
      <w:r>
        <w:rPr>
          <w:rFonts w:ascii="Book Antiqua" w:hAnsi="Book Antiqua" w:eastAsia="Book Antiqua" w:cs="Book Antiqua"/>
          <w:color w:val="000000"/>
        </w:rPr>
        <w:t>United Kingdom</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kern w:val="0"/>
          <w:sz w:val="24"/>
          <w:szCs w:val="24"/>
          <w:lang w:val="en-US" w:eastAsia="zh-CN" w:bidi="ar"/>
        </w:rPr>
        <w:t>Liu JH</w:t>
      </w:r>
      <w:r>
        <w:rPr>
          <w:rFonts w:ascii="Book Antiqua" w:hAnsi="Book Antiqua" w:eastAsia="Book Antiqua" w:cs="Book Antiqua"/>
          <w:color w:val="000000"/>
          <w:kern w:val="0"/>
          <w:sz w:val="16"/>
          <w:szCs w:val="16"/>
          <w:lang w:val="en-US" w:eastAsia="zh-CN" w:bidi="ar"/>
        </w:rPr>
        <w:t xml:space="preserve">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3642360" cy="2496185"/>
            <wp:effectExtent l="0" t="0" r="0" b="3175"/>
            <wp:docPr id="3" name="图片 3" descr="WJH-14-84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H-14-846-g001"/>
                    <pic:cNvPicPr>
                      <a:picLocks noChangeAspect="1"/>
                    </pic:cNvPicPr>
                  </pic:nvPicPr>
                  <pic:blipFill>
                    <a:blip r:embed="rId5"/>
                    <a:stretch>
                      <a:fillRect/>
                    </a:stretch>
                  </pic:blipFill>
                  <pic:spPr>
                    <a:xfrm>
                      <a:off x="0" y="0"/>
                      <a:ext cx="3642360" cy="249618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Transjugular intrahepatic portosystemic shunt thrombectomy.</w:t>
      </w:r>
      <w:r>
        <w:rPr>
          <w:rFonts w:ascii="Book Antiqua" w:hAnsi="Book Antiqua" w:eastAsia="Book Antiqua" w:cs="Book Antiqua"/>
          <w:color w:val="000000"/>
        </w:rPr>
        <w:t xml:space="preserve"> Thrombus extracted during first transjugular intrahepatic portosystemic shunt thrombectomy was notable for size and infected appearance. </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5943600" cy="2242820"/>
            <wp:effectExtent l="0" t="0" r="0" b="12700"/>
            <wp:docPr id="4" name="图片 4" descr="WJH-14-84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H-14-846-g002"/>
                    <pic:cNvPicPr>
                      <a:picLocks noChangeAspect="1"/>
                    </pic:cNvPicPr>
                  </pic:nvPicPr>
                  <pic:blipFill>
                    <a:blip r:embed="rId6"/>
                    <a:stretch>
                      <a:fillRect/>
                    </a:stretch>
                  </pic:blipFill>
                  <pic:spPr>
                    <a:xfrm>
                      <a:off x="0" y="0"/>
                      <a:ext cx="5943600" cy="2242820"/>
                    </a:xfrm>
                    <a:prstGeom prst="rect">
                      <a:avLst/>
                    </a:prstGeom>
                  </pic:spPr>
                </pic:pic>
              </a:graphicData>
            </a:graphic>
          </wp:inline>
        </w:drawing>
      </w:r>
      <w:bookmarkStart w:id="0" w:name="_GoBack"/>
      <w:bookmarkEnd w:id="0"/>
    </w:p>
    <w:p>
      <w:pPr>
        <w:spacing w:line="360" w:lineRule="auto"/>
        <w:jc w:val="both"/>
        <w:rPr>
          <w:rFonts w:ascii="Book Antiqua" w:hAnsi="Book Antiqua"/>
        </w:rPr>
      </w:pPr>
      <w:r>
        <w:rPr>
          <w:rFonts w:ascii="Book Antiqua" w:hAnsi="Book Antiqua" w:eastAsia="Book Antiqua" w:cs="Book Antiqua"/>
          <w:b/>
          <w:bCs/>
          <w:color w:val="000000"/>
        </w:rPr>
        <w:t xml:space="preserve">Figure 2 Computed tomography images. </w:t>
      </w:r>
      <w:r>
        <w:rPr>
          <w:rFonts w:ascii="Book Antiqua" w:hAnsi="Book Antiqua" w:eastAsia="Book Antiqua" w:cs="Book Antiqua"/>
          <w:bCs/>
          <w:color w:val="000000"/>
        </w:rPr>
        <w:t xml:space="preserve">A: Computed tomography of upper abdomen. </w:t>
      </w:r>
      <w:r>
        <w:rPr>
          <w:rFonts w:ascii="Book Antiqua" w:hAnsi="Book Antiqua" w:eastAsia="Book Antiqua" w:cs="Book Antiqua"/>
          <w:color w:val="000000"/>
        </w:rPr>
        <w:t>An axial-contrast enhanced computed tomography of the upper abdomen showing an occluded (hypodense area) transjugular intrahepatic portosystemic shunt</w:t>
      </w:r>
      <w:r>
        <w:rPr>
          <w:rFonts w:ascii="Book Antiqua" w:hAnsi="Book Antiqua" w:cs="Book Antiqua"/>
          <w:color w:val="000000"/>
          <w:lang w:eastAsia="zh-CN"/>
        </w:rPr>
        <w:t xml:space="preserve">; </w:t>
      </w:r>
      <w:r>
        <w:rPr>
          <w:rFonts w:ascii="Book Antiqua" w:hAnsi="Book Antiqua" w:eastAsia="Book Antiqua" w:cs="Book Antiqua"/>
          <w:bCs/>
          <w:color w:val="000000"/>
        </w:rPr>
        <w:t xml:space="preserve">B: Computed tomography of chest. </w:t>
      </w:r>
      <w:r>
        <w:rPr>
          <w:rFonts w:ascii="Book Antiqua" w:hAnsi="Book Antiqua" w:eastAsia="Book Antiqua" w:cs="Book Antiqua"/>
          <w:color w:val="000000"/>
        </w:rPr>
        <w:t xml:space="preserve">An axial non-enhanced computed </w:t>
      </w:r>
      <w:r>
        <w:rPr>
          <w:rFonts w:ascii="Book Antiqua" w:hAnsi="Book Antiqua" w:eastAsia="Book Antiqua" w:cs="Book Antiqua"/>
          <w:bCs/>
          <w:color w:val="000000"/>
        </w:rPr>
        <w:t xml:space="preserve">tomography </w:t>
      </w:r>
      <w:r>
        <w:rPr>
          <w:rFonts w:ascii="Book Antiqua" w:hAnsi="Book Antiqua" w:eastAsia="Book Antiqua" w:cs="Book Antiqua"/>
          <w:color w:val="000000"/>
        </w:rPr>
        <w:t xml:space="preserve">of the chest showing diffuse bilateral ground-glass and interstitial opacities with innumerable bilateral pulmonary nodules and small bilateral pleural effusions. </w:t>
      </w:r>
    </w:p>
    <w:p>
      <w:pPr>
        <w:spacing w:line="360" w:lineRule="auto"/>
        <w:jc w:val="both"/>
        <w:rPr>
          <w:rFonts w:ascii="Book Antiqua" w:hAnsi="Book Antiqua"/>
          <w:b/>
        </w:rPr>
      </w:pPr>
      <w:r>
        <w:rPr>
          <w:rFonts w:ascii="Book Antiqua" w:hAnsi="Book Antiqua" w:eastAsia="Book Antiqua" w:cs="Book Antiqua"/>
          <w:color w:val="000000"/>
        </w:rPr>
        <w:br w:type="page"/>
      </w:r>
      <w:r>
        <w:rPr>
          <w:rFonts w:ascii="Book Antiqua" w:hAnsi="Book Antiqua"/>
          <w:b/>
        </w:rPr>
        <w:t>Table 1 Mortality rates associated with monomicrobial and polymicrobial endotipsitis</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50"/>
        <w:gridCol w:w="2700"/>
        <w:gridCol w:w="2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 w:hRule="atLeast"/>
        </w:trPr>
        <w:tc>
          <w:tcPr>
            <w:tcW w:w="4050" w:type="dxa"/>
            <w:tcBorders>
              <w:top w:val="nil"/>
              <w:bottom w:val="nil"/>
              <w:right w:val="nil"/>
              <w:insideV w:val="nil"/>
            </w:tcBorders>
            <w:shd w:val="clear" w:color="auto" w:fill="FFFFFF" w:themeFill="background1"/>
          </w:tcPr>
          <w:p>
            <w:pPr>
              <w:spacing w:line="360" w:lineRule="auto"/>
              <w:jc w:val="both"/>
              <w:rPr>
                <w:rFonts w:ascii="Book Antiqua" w:hAnsi="Book Antiqua" w:cstheme="minorBidi"/>
                <w:b/>
                <w:bCs w:val="0"/>
              </w:rPr>
            </w:pPr>
            <w:r>
              <w:rPr>
                <w:rFonts w:ascii="Book Antiqua" w:hAnsi="Book Antiqua" w:cstheme="minorBidi"/>
                <w:b/>
                <w:bCs w:val="0"/>
              </w:rPr>
              <w:t>Microbial agent</w:t>
            </w:r>
          </w:p>
        </w:tc>
        <w:tc>
          <w:tcPr>
            <w:tcW w:w="2700" w:type="dxa"/>
            <w:tcBorders>
              <w:top w:val="nil"/>
              <w:left w:val="nil"/>
              <w:bottom w:val="nil"/>
              <w:right w:val="nil"/>
              <w:insideV w:val="nil"/>
            </w:tcBorders>
            <w:shd w:val="clear" w:color="auto" w:fill="FFFFFF" w:themeFill="background1"/>
          </w:tcPr>
          <w:p>
            <w:pPr>
              <w:spacing w:line="360" w:lineRule="auto"/>
              <w:jc w:val="both"/>
              <w:rPr>
                <w:rFonts w:ascii="Book Antiqua" w:hAnsi="Book Antiqua" w:cstheme="minorBidi"/>
                <w:b/>
                <w:bCs w:val="0"/>
              </w:rPr>
            </w:pPr>
            <w:r>
              <w:rPr>
                <w:rFonts w:ascii="Book Antiqua" w:hAnsi="Book Antiqua" w:cstheme="minorBidi"/>
                <w:b/>
                <w:bCs w:val="0"/>
              </w:rPr>
              <w:t>Reported cases</w:t>
            </w:r>
          </w:p>
        </w:tc>
        <w:tc>
          <w:tcPr>
            <w:tcW w:w="2430" w:type="dxa"/>
            <w:tcBorders>
              <w:top w:val="nil"/>
              <w:left w:val="nil"/>
              <w:bottom w:val="nil"/>
              <w:insideV w:val="nil"/>
            </w:tcBorders>
            <w:shd w:val="clear" w:color="auto" w:fill="FFFFFF" w:themeFill="background1"/>
          </w:tcPr>
          <w:p>
            <w:pPr>
              <w:spacing w:line="360" w:lineRule="auto"/>
              <w:jc w:val="both"/>
              <w:rPr>
                <w:rFonts w:ascii="Book Antiqua" w:hAnsi="Book Antiqua" w:cstheme="minorBidi"/>
                <w:b/>
                <w:bCs w:val="0"/>
              </w:rPr>
            </w:pPr>
            <w:r>
              <w:rPr>
                <w:rFonts w:ascii="Book Antiqua" w:hAnsi="Book Antiqua" w:cstheme="minorBidi"/>
                <w:b/>
                <w:bCs w:val="0"/>
              </w:rPr>
              <w:t>Mortality rate,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Enterococcus (faecalis, faecium)</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14</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Staphylococcus (aureus, epidermidis)</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9</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Escherichia coli</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7</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Candida (glabrata, albicans)</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7</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Lactobacillus (rhamnosus, acidophilus)</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3</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Streptococcus (sanguis, bovis)</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2</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Gemella morbillorum</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2</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Klebsiella (pneumonia, oxytoca)</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3</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Serratia marcescens</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1</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Enterobacter cloacae</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1</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4050" w:type="dxa"/>
            <w:shd w:val="clear" w:color="auto" w:fill="auto"/>
          </w:tcPr>
          <w:p>
            <w:pPr>
              <w:spacing w:line="360" w:lineRule="auto"/>
              <w:jc w:val="both"/>
              <w:rPr>
                <w:rFonts w:ascii="Book Antiqua" w:hAnsi="Book Antiqua" w:cstheme="minorBidi"/>
                <w:b w:val="0"/>
                <w:bCs w:val="0"/>
                <w:i/>
              </w:rPr>
            </w:pPr>
            <w:r>
              <w:rPr>
                <w:rFonts w:ascii="Book Antiqua" w:hAnsi="Book Antiqua" w:cstheme="minorBidi"/>
                <w:b w:val="0"/>
                <w:bCs w:val="0"/>
                <w:i/>
              </w:rPr>
              <w:t>Salmonella typhi</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1</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4050" w:type="dxa"/>
            <w:shd w:val="clear" w:color="auto" w:fill="auto"/>
          </w:tcPr>
          <w:p>
            <w:pPr>
              <w:spacing w:line="360" w:lineRule="auto"/>
              <w:jc w:val="both"/>
              <w:rPr>
                <w:rFonts w:ascii="Book Antiqua" w:hAnsi="Book Antiqua" w:cstheme="minorBidi"/>
                <w:b w:val="0"/>
                <w:bCs w:val="0"/>
                <w:iCs/>
              </w:rPr>
            </w:pPr>
            <w:r>
              <w:rPr>
                <w:rFonts w:ascii="Book Antiqua" w:hAnsi="Book Antiqua" w:cstheme="minorBidi"/>
                <w:b w:val="0"/>
                <w:bCs w:val="0"/>
                <w:iCs/>
              </w:rPr>
              <w:t>polymicrobial infection</w:t>
            </w:r>
          </w:p>
        </w:tc>
        <w:tc>
          <w:tcPr>
            <w:tcW w:w="2700" w:type="dxa"/>
            <w:shd w:val="clear" w:color="auto" w:fill="auto"/>
          </w:tcPr>
          <w:p>
            <w:pPr>
              <w:spacing w:line="360" w:lineRule="auto"/>
              <w:jc w:val="both"/>
              <w:rPr>
                <w:rFonts w:ascii="Book Antiqua" w:hAnsi="Book Antiqua" w:cstheme="minorBidi"/>
              </w:rPr>
            </w:pPr>
            <w:r>
              <w:rPr>
                <w:rFonts w:ascii="Book Antiqua" w:hAnsi="Book Antiqua" w:cstheme="minorBidi"/>
              </w:rPr>
              <w:t>9</w:t>
            </w:r>
          </w:p>
        </w:tc>
        <w:tc>
          <w:tcPr>
            <w:tcW w:w="2430" w:type="dxa"/>
            <w:shd w:val="clear" w:color="auto" w:fill="auto"/>
          </w:tcPr>
          <w:p>
            <w:pPr>
              <w:spacing w:line="360" w:lineRule="auto"/>
              <w:jc w:val="both"/>
              <w:rPr>
                <w:rFonts w:ascii="Book Antiqua" w:hAnsi="Book Antiqua" w:cstheme="minorBidi"/>
              </w:rPr>
            </w:pPr>
            <w:r>
              <w:rPr>
                <w:rFonts w:ascii="Book Antiqua" w:hAnsi="Book Antiqua" w:cstheme="minorBidi"/>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4050" w:type="dxa"/>
            <w:tcBorders>
              <w:bottom w:val="single" w:color="auto" w:sz="4" w:space="0"/>
            </w:tcBorders>
            <w:shd w:val="clear" w:color="auto" w:fill="auto"/>
          </w:tcPr>
          <w:p>
            <w:pPr>
              <w:spacing w:line="360" w:lineRule="auto"/>
              <w:jc w:val="both"/>
              <w:rPr>
                <w:rFonts w:ascii="Book Antiqua" w:hAnsi="Book Antiqua" w:cstheme="minorBidi"/>
                <w:b w:val="0"/>
                <w:bCs w:val="0"/>
              </w:rPr>
            </w:pPr>
            <w:r>
              <w:rPr>
                <w:rFonts w:ascii="Book Antiqua" w:hAnsi="Book Antiqua" w:cstheme="minorBidi"/>
                <w:b w:val="0"/>
                <w:bCs w:val="0"/>
              </w:rPr>
              <w:t>total</w:t>
            </w:r>
          </w:p>
        </w:tc>
        <w:tc>
          <w:tcPr>
            <w:tcW w:w="2700" w:type="dxa"/>
            <w:tcBorders>
              <w:bottom w:val="single" w:color="auto" w:sz="4" w:space="0"/>
            </w:tcBorders>
            <w:shd w:val="clear" w:color="auto" w:fill="auto"/>
          </w:tcPr>
          <w:p>
            <w:pPr>
              <w:spacing w:line="360" w:lineRule="auto"/>
              <w:jc w:val="both"/>
              <w:rPr>
                <w:rFonts w:ascii="Book Antiqua" w:hAnsi="Book Antiqua" w:cstheme="minorBidi"/>
                <w:bCs/>
              </w:rPr>
            </w:pPr>
            <w:r>
              <w:rPr>
                <w:rFonts w:ascii="Book Antiqua" w:hAnsi="Book Antiqua" w:cstheme="minorBidi"/>
                <w:bCs/>
              </w:rPr>
              <w:t>59</w:t>
            </w:r>
          </w:p>
        </w:tc>
        <w:tc>
          <w:tcPr>
            <w:tcW w:w="2430" w:type="dxa"/>
            <w:tcBorders>
              <w:bottom w:val="single" w:color="auto" w:sz="4" w:space="0"/>
            </w:tcBorders>
            <w:shd w:val="clear" w:color="auto" w:fill="auto"/>
          </w:tcPr>
          <w:p>
            <w:pPr>
              <w:spacing w:line="360" w:lineRule="auto"/>
              <w:jc w:val="both"/>
              <w:rPr>
                <w:rFonts w:ascii="Book Antiqua" w:hAnsi="Book Antiqua" w:cstheme="minorBidi"/>
                <w:bCs/>
              </w:rPr>
            </w:pPr>
            <w:r>
              <w:rPr>
                <w:rFonts w:ascii="Book Antiqua" w:hAnsi="Book Antiqua" w:cstheme="minorBidi"/>
                <w:bCs/>
              </w:rPr>
              <w:t>39</w:t>
            </w:r>
          </w:p>
        </w:tc>
      </w:tr>
    </w:tbl>
    <w:p>
      <w:pPr>
        <w:spacing w:line="360" w:lineRule="auto"/>
        <w:jc w:val="both"/>
        <w:rPr>
          <w:rFonts w:ascii="Book Antiqua" w:hAnsi="Book Antiqua"/>
        </w:rPr>
      </w:pPr>
      <w:r>
        <w:rPr>
          <w:rFonts w:ascii="Book Antiqua" w:hAnsi="Book Antiqua"/>
        </w:rPr>
        <w:t>Adapted from Alberto Garcia-Zamalloa.</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pPr>
    </w:p>
    <w:p>
      <w:pPr>
        <w:spacing w:line="360" w:lineRule="auto"/>
        <w:jc w:val="both"/>
        <w:rPr>
          <w:rFonts w:ascii="Book Antiqua" w:hAnsi="Book Antiqua"/>
          <w:b/>
        </w:rPr>
      </w:pPr>
      <w:r>
        <w:rPr>
          <w:rFonts w:ascii="Book Antiqua" w:hAnsi="Book Antiqua"/>
          <w:b/>
        </w:rPr>
        <w:t>Table 2 Polymicrobial cases of endotipsitis</w:t>
      </w:r>
    </w:p>
    <w:tbl>
      <w:tblPr>
        <w:tblStyle w:val="8"/>
        <w:tblW w:w="92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24"/>
        <w:gridCol w:w="3726"/>
        <w:gridCol w:w="1260"/>
        <w:gridCol w:w="12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 w:hRule="atLeast"/>
        </w:trPr>
        <w:tc>
          <w:tcPr>
            <w:tcW w:w="3024" w:type="dxa"/>
            <w:shd w:val="clear" w:color="auto" w:fill="auto"/>
          </w:tcPr>
          <w:p>
            <w:pPr>
              <w:spacing w:line="360" w:lineRule="auto"/>
              <w:jc w:val="both"/>
              <w:rPr>
                <w:rFonts w:ascii="Book Antiqua" w:hAnsi="Book Antiqua" w:cstheme="minorBidi"/>
                <w:b/>
                <w:iCs/>
              </w:rPr>
            </w:pPr>
            <w:r>
              <w:rPr>
                <w:rFonts w:ascii="Book Antiqua" w:hAnsi="Book Antiqua" w:cstheme="minorBidi"/>
                <w:b/>
              </w:rPr>
              <w:t>Case and microbial agent</w:t>
            </w:r>
          </w:p>
        </w:tc>
        <w:tc>
          <w:tcPr>
            <w:tcW w:w="3726" w:type="dxa"/>
            <w:shd w:val="clear" w:color="auto" w:fill="auto"/>
          </w:tcPr>
          <w:p>
            <w:pPr>
              <w:spacing w:line="360" w:lineRule="auto"/>
              <w:jc w:val="both"/>
              <w:rPr>
                <w:rFonts w:ascii="Book Antiqua" w:hAnsi="Book Antiqua" w:cstheme="minorBidi"/>
                <w:b/>
              </w:rPr>
            </w:pPr>
            <w:r>
              <w:rPr>
                <w:rFonts w:ascii="Book Antiqua" w:hAnsi="Book Antiqua" w:cstheme="minorBidi"/>
                <w:b/>
              </w:rPr>
              <w:t>Treatment course</w:t>
            </w:r>
          </w:p>
        </w:tc>
        <w:tc>
          <w:tcPr>
            <w:tcW w:w="1260" w:type="dxa"/>
            <w:shd w:val="clear" w:color="auto" w:fill="auto"/>
          </w:tcPr>
          <w:p>
            <w:pPr>
              <w:spacing w:line="360" w:lineRule="auto"/>
              <w:jc w:val="both"/>
              <w:rPr>
                <w:rFonts w:ascii="Book Antiqua" w:hAnsi="Book Antiqua" w:cstheme="minorBidi"/>
                <w:b/>
              </w:rPr>
            </w:pPr>
            <w:r>
              <w:rPr>
                <w:rFonts w:ascii="Book Antiqua" w:hAnsi="Book Antiqua" w:cstheme="minorBidi"/>
                <w:b/>
              </w:rPr>
              <w:t>Outcome</w:t>
            </w:r>
          </w:p>
        </w:tc>
        <w:tc>
          <w:tcPr>
            <w:tcW w:w="1284" w:type="dxa"/>
            <w:shd w:val="clear" w:color="auto" w:fill="auto"/>
          </w:tcPr>
          <w:p>
            <w:pPr>
              <w:spacing w:line="360" w:lineRule="auto"/>
              <w:jc w:val="both"/>
              <w:rPr>
                <w:rFonts w:ascii="Book Antiqua" w:hAnsi="Book Antiqua" w:cstheme="minorBidi"/>
                <w:b/>
              </w:rPr>
            </w:pPr>
            <w:r>
              <w:rPr>
                <w:rFonts w:ascii="Book Antiqua" w:hAnsi="Book Antiqua" w:cstheme="minorBidi"/>
                <w:b/>
              </w:rPr>
              <w:t>Ref.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3024" w:type="dxa"/>
            <w:shd w:val="clear" w:color="auto" w:fill="auto"/>
          </w:tcPr>
          <w:p>
            <w:pPr>
              <w:spacing w:line="360" w:lineRule="auto"/>
              <w:jc w:val="both"/>
              <w:rPr>
                <w:rFonts w:ascii="Book Antiqua" w:hAnsi="Book Antiqua" w:cstheme="minorBidi"/>
              </w:rPr>
            </w:pPr>
            <w:r>
              <w:rPr>
                <w:rFonts w:ascii="Book Antiqua" w:hAnsi="Book Antiqua" w:cstheme="minorBidi"/>
              </w:rPr>
              <w:t>Case 1: Gram-positive and negative bacteria, and fungus</w:t>
            </w:r>
          </w:p>
        </w:tc>
        <w:tc>
          <w:tcPr>
            <w:tcW w:w="3726" w:type="dxa"/>
            <w:shd w:val="clear" w:color="auto" w:fill="auto"/>
          </w:tcPr>
          <w:p>
            <w:pPr>
              <w:spacing w:line="360" w:lineRule="auto"/>
              <w:jc w:val="both"/>
              <w:rPr>
                <w:rFonts w:ascii="Book Antiqua" w:hAnsi="Book Antiqua" w:cstheme="minorBidi"/>
              </w:rPr>
            </w:pPr>
            <w:r>
              <w:rPr>
                <w:rFonts w:ascii="Book Antiqua" w:hAnsi="Book Antiqua" w:cstheme="minorBidi"/>
              </w:rPr>
              <w:t>Antibiotic × 2 wk-&gt;antifungal × 2 ws-&gt;antibiotics-&gt;liver transplant</w:t>
            </w:r>
          </w:p>
        </w:tc>
        <w:tc>
          <w:tcPr>
            <w:tcW w:w="1260" w:type="dxa"/>
            <w:shd w:val="clear" w:color="auto" w:fill="auto"/>
          </w:tcPr>
          <w:p>
            <w:pPr>
              <w:spacing w:line="360" w:lineRule="auto"/>
              <w:jc w:val="both"/>
              <w:rPr>
                <w:rFonts w:ascii="Book Antiqua" w:hAnsi="Book Antiqua" w:cstheme="minorBidi"/>
              </w:rPr>
            </w:pPr>
            <w:r>
              <w:rPr>
                <w:rFonts w:ascii="Book Antiqua" w:hAnsi="Book Antiqua" w:cstheme="minorBidi"/>
              </w:rPr>
              <w:t>Resolved</w:t>
            </w:r>
          </w:p>
        </w:tc>
        <w:tc>
          <w:tcPr>
            <w:tcW w:w="1284" w:type="dxa"/>
            <w:shd w:val="clear" w:color="auto" w:fill="auto"/>
          </w:tcPr>
          <w:p>
            <w:pPr>
              <w:spacing w:line="360" w:lineRule="auto"/>
              <w:jc w:val="both"/>
              <w:rPr>
                <w:rFonts w:ascii="Book Antiqua" w:hAnsi="Book Antiqua" w:cstheme="minorBidi"/>
              </w:rPr>
            </w:pPr>
            <w:r>
              <w:rPr>
                <w:rFonts w:ascii="Book Antiqua" w:hAnsi="Book Antiqua" w:cstheme="minorBidi"/>
              </w:rPr>
              <w:t>[</w:t>
            </w:r>
            <w:r>
              <w:rPr>
                <w:rFonts w:ascii="Book Antiqua" w:hAnsi="Book Antiqua" w:cstheme="minorBidi"/>
              </w:rPr>
              <w:fldChar w:fldCharType="begin"/>
            </w:r>
            <w:r>
              <w:rPr>
                <w:rFonts w:ascii="Book Antiqua" w:hAnsi="Book Antiqua" w:cstheme="minorBidi"/>
              </w:rPr>
              <w:instrText xml:space="preserve"> ADDIN EN.CITE &lt;EndNote&gt;&lt;Cite&gt;&lt;Author&gt;Darrow&lt;/Author&gt;&lt;Year&gt;2018&lt;/Year&gt;&lt;IDText&gt;Transhepatic Revision of Occluded Transjugular Intrahepatic Portosystemic Shunt Complicated by Endotipsitis&lt;/IDText&gt;&lt;DisplayText&gt;&lt;style face="superscript"&gt;2&lt;/style&gt;&lt;/DisplayText&gt;&lt;record&gt;&lt;dates&gt;&lt;pub-dates&gt;&lt;date&gt;Dec&lt;/date&gt;&lt;/pub-dates&gt;&lt;year&gt;2018&lt;/year&gt;&lt;/dates&gt;&lt;urls&gt;&lt;related-urls&gt;&lt;url&gt;https://www.ncbi.nlm.nih.gov/pubmed/30728666&lt;/url&gt;&lt;/related-urls&gt;&lt;/urls&gt;&lt;isbn&gt;0739-9529&lt;/isbn&gt;&lt;custom2&gt;PMC6363548&lt;/custom2&gt;&lt;titles&gt;&lt;title&gt;Transhepatic Revision of Occluded Transjugular Intrahepatic Portosystemic Shunt Complicated by Endotipsitis&lt;/title&gt;&lt;secondary-title&gt;Semin Intervent Radiol&lt;/secondary-title&gt;&lt;/titles&gt;&lt;pages&gt;492-496&lt;/pages&gt;&lt;number&gt;5&lt;/number&gt;&lt;contributors&gt;&lt;authors&gt;&lt;author&gt;Darrow, A. W.&lt;/author&gt;&lt;author&gt;Gaba, R. C.&lt;/author&gt;&lt;author&gt;Lokken, R. P.&lt;/author&gt;&lt;/authors&gt;&lt;/contributors&gt;&lt;edition&gt;2019/02/05&lt;/edition&gt;&lt;language&gt;eng&lt;/language&gt;&lt;added-date format="utc"&gt;1584659916&lt;/added-date&gt;&lt;ref-type name="Journal Article"&gt;17&lt;/ref-type&gt;&lt;rec-number&gt;1&lt;/rec-number&gt;&lt;last-updated-date format="utc"&gt;1584659916&lt;/last-updated-date&gt;&lt;accession-num&gt;30728666&lt;/accession-num&gt;&lt;electronic-resource-num&gt;10.1055/s-0038-1676092&lt;/electronic-resource-num&gt;&lt;volume&gt;35&lt;/volume&gt;&lt;/record&gt;&lt;/Cite&gt;&lt;/EndNote&gt;</w:instrText>
            </w:r>
            <w:r>
              <w:rPr>
                <w:rFonts w:ascii="Book Antiqua" w:hAnsi="Book Antiqua" w:cstheme="minorBidi"/>
              </w:rPr>
              <w:fldChar w:fldCharType="separate"/>
            </w:r>
            <w:r>
              <w:rPr>
                <w:rFonts w:ascii="Book Antiqua" w:hAnsi="Book Antiqua" w:cstheme="minorBidi"/>
              </w:rPr>
              <w:t>2</w:t>
            </w:r>
            <w:r>
              <w:rPr>
                <w:rFonts w:ascii="Book Antiqua" w:hAnsi="Book Antiqua" w:cstheme="minorBidi"/>
              </w:rPr>
              <w:fldChar w:fldCharType="end"/>
            </w:r>
            <w:r>
              <w:rPr>
                <w:rFonts w:ascii="Book Antiqua" w:hAnsi="Book Antiqua" w:cstheme="minorBid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3024" w:type="dxa"/>
            <w:shd w:val="clear" w:color="auto" w:fill="auto"/>
          </w:tcPr>
          <w:p>
            <w:pPr>
              <w:spacing w:line="360" w:lineRule="auto"/>
              <w:jc w:val="both"/>
              <w:rPr>
                <w:rFonts w:ascii="Book Antiqua" w:hAnsi="Book Antiqua" w:cstheme="minorBidi"/>
              </w:rPr>
            </w:pPr>
            <w:r>
              <w:rPr>
                <w:rFonts w:ascii="Book Antiqua" w:hAnsi="Book Antiqua" w:cstheme="minorBidi"/>
              </w:rPr>
              <w:t>Case 2: Gram-negative bacteria</w:t>
            </w:r>
          </w:p>
        </w:tc>
        <w:tc>
          <w:tcPr>
            <w:tcW w:w="3726" w:type="dxa"/>
            <w:shd w:val="clear" w:color="auto" w:fill="auto"/>
          </w:tcPr>
          <w:p>
            <w:pPr>
              <w:spacing w:line="360" w:lineRule="auto"/>
              <w:jc w:val="both"/>
              <w:rPr>
                <w:rFonts w:ascii="Book Antiqua" w:hAnsi="Book Antiqua" w:cstheme="minorBidi"/>
              </w:rPr>
            </w:pPr>
            <w:r>
              <w:rPr>
                <w:rFonts w:ascii="Book Antiqua" w:hAnsi="Book Antiqua" w:cstheme="minorBidi"/>
              </w:rPr>
              <w:t>antibiotics × 6 wk-&gt;antibiotics -&gt; liver transplant</w:t>
            </w:r>
          </w:p>
        </w:tc>
        <w:tc>
          <w:tcPr>
            <w:tcW w:w="1260" w:type="dxa"/>
            <w:shd w:val="clear" w:color="auto" w:fill="auto"/>
          </w:tcPr>
          <w:p>
            <w:pPr>
              <w:spacing w:line="360" w:lineRule="auto"/>
              <w:jc w:val="both"/>
              <w:rPr>
                <w:rFonts w:ascii="Book Antiqua" w:hAnsi="Book Antiqua" w:cstheme="minorBidi"/>
              </w:rPr>
            </w:pPr>
            <w:r>
              <w:rPr>
                <w:rFonts w:ascii="Book Antiqua" w:hAnsi="Book Antiqua" w:cstheme="minorBidi"/>
              </w:rPr>
              <w:t>Resolved</w:t>
            </w:r>
          </w:p>
        </w:tc>
        <w:tc>
          <w:tcPr>
            <w:tcW w:w="1284" w:type="dxa"/>
            <w:shd w:val="clear" w:color="auto" w:fill="auto"/>
          </w:tcPr>
          <w:p>
            <w:pPr>
              <w:spacing w:line="360" w:lineRule="auto"/>
              <w:jc w:val="both"/>
              <w:rPr>
                <w:rFonts w:ascii="Book Antiqua" w:hAnsi="Book Antiqua" w:cstheme="minorBidi"/>
              </w:rPr>
            </w:pPr>
            <w:r>
              <w:rPr>
                <w:rFonts w:ascii="Book Antiqua" w:hAnsi="Book Antiqua" w:cstheme="minorBidi"/>
              </w:rPr>
              <w:t>[</w:t>
            </w:r>
            <w:r>
              <w:rPr>
                <w:rFonts w:ascii="Book Antiqua" w:hAnsi="Book Antiqua" w:cstheme="minorBidi"/>
              </w:rPr>
              <w:fldChar w:fldCharType="begin"/>
            </w:r>
            <w:r>
              <w:rPr>
                <w:rFonts w:ascii="Book Antiqua" w:hAnsi="Book Antiqua" w:cstheme="minorBidi"/>
              </w:rPr>
              <w:instrText xml:space="preserve"> ADDIN EN.CITE &lt;EndNote&gt;&lt;Cite&gt;&lt;Author&gt;Navaratnam&lt;/Author&gt;&lt;Year&gt;2015&lt;/Year&gt;&lt;IDText&gt;Endotipsitis: A case report with a literature review on an emerging prosthetic related infection&lt;/IDText&gt;&lt;DisplayText&gt;&lt;style face="superscript"&gt;4&lt;/style&gt;&lt;/DisplayText&gt;&lt;record&gt;&lt;dates&gt;&lt;pub-dates&gt;&lt;date&gt;Apr&lt;/date&gt;&lt;/pub-dates&gt;&lt;year&gt;2015&lt;/year&gt;&lt;/dates&gt;&lt;keywords&gt;&lt;keyword&gt;Antimicrobial therapy&lt;/keyword&gt;&lt;keyword&gt;Persistent bacteremia&lt;/keyword&gt;&lt;keyword&gt;Tipsitis&lt;/keyword&gt;&lt;keyword&gt;Transjugular intrahepatic portosystemic shunt infection&lt;/keyword&gt;&lt;keyword&gt;Transjugular intrahepatic portosystemic shunts&lt;/keyword&gt;&lt;/keywords&gt;&lt;urls&gt;&lt;related-urls&gt;&lt;url&gt;https://www.ncbi.nlm.nih.gov/pubmed/25866608&lt;/url&gt;&lt;/related-urls&gt;&lt;/urls&gt;&lt;isbn&gt;1948-5182&lt;/isbn&gt;&lt;custom2&gt;PMC4388999&lt;/custom2&gt;&lt;titles&gt;&lt;title&gt;Endotipsitis: A case report with a literature review on an emerging prosthetic related infection&lt;/title&gt;&lt;secondary-title&gt;World J Hepatol&lt;/secondary-title&gt;&lt;/titles&gt;&lt;pages&gt;710-6&lt;/pages&gt;&lt;number&gt;4&lt;/number&gt;&lt;contributors&gt;&lt;authors&gt;&lt;author&gt;Navaratnam, A. M.&lt;/author&gt;&lt;author&gt;Grant, M.&lt;/author&gt;&lt;author&gt;Banach, D. B.&lt;/author&gt;&lt;/authors&gt;&lt;/contributors&gt;&lt;language&gt;eng&lt;/language&gt;&lt;added-date format="utc"&gt;1584659927&lt;/added-date&gt;&lt;ref-type name="Journal Article"&gt;17&lt;/ref-type&gt;&lt;rec-number&gt;4&lt;/rec-number&gt;&lt;last-updated-date format="utc"&gt;1584659927&lt;/last-updated-date&gt;&lt;accession-num&gt;25866608&lt;/accession-num&gt;&lt;electronic-resource-num&gt;10.4254/wjh.v7.i4.710&lt;/electronic-resource-num&gt;&lt;volume&gt;7&lt;/volume&gt;&lt;/record&gt;&lt;/Cite&gt;&lt;/EndNote&gt;</w:instrText>
            </w:r>
            <w:r>
              <w:rPr>
                <w:rFonts w:ascii="Book Antiqua" w:hAnsi="Book Antiqua" w:cstheme="minorBidi"/>
              </w:rPr>
              <w:fldChar w:fldCharType="separate"/>
            </w:r>
            <w:r>
              <w:rPr>
                <w:rFonts w:ascii="Book Antiqua" w:hAnsi="Book Antiqua" w:cstheme="minorBidi"/>
              </w:rPr>
              <w:t>4</w:t>
            </w:r>
            <w:r>
              <w:rPr>
                <w:rFonts w:ascii="Book Antiqua" w:hAnsi="Book Antiqua" w:cstheme="minorBidi"/>
              </w:rPr>
              <w:fldChar w:fldCharType="end"/>
            </w:r>
            <w:r>
              <w:rPr>
                <w:rFonts w:ascii="Book Antiqua" w:hAnsi="Book Antiqua" w:cstheme="minorBid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3024" w:type="dxa"/>
            <w:shd w:val="clear" w:color="auto" w:fill="auto"/>
          </w:tcPr>
          <w:p>
            <w:pPr>
              <w:spacing w:line="360" w:lineRule="auto"/>
              <w:jc w:val="both"/>
              <w:rPr>
                <w:rFonts w:ascii="Book Antiqua" w:hAnsi="Book Antiqua" w:cstheme="minorBidi"/>
              </w:rPr>
            </w:pPr>
            <w:r>
              <w:rPr>
                <w:rFonts w:ascii="Book Antiqua" w:hAnsi="Book Antiqua" w:cstheme="minorBidi"/>
              </w:rPr>
              <w:t>Case 3: Gram-negative bacteria</w:t>
            </w:r>
          </w:p>
        </w:tc>
        <w:tc>
          <w:tcPr>
            <w:tcW w:w="3726" w:type="dxa"/>
            <w:shd w:val="clear" w:color="auto" w:fill="auto"/>
          </w:tcPr>
          <w:p>
            <w:pPr>
              <w:spacing w:line="360" w:lineRule="auto"/>
              <w:jc w:val="both"/>
              <w:rPr>
                <w:rFonts w:ascii="Book Antiqua" w:hAnsi="Book Antiqua" w:cstheme="minorBidi"/>
              </w:rPr>
            </w:pPr>
            <w:r>
              <w:rPr>
                <w:rFonts w:ascii="Book Antiqua" w:hAnsi="Book Antiqua" w:cstheme="minorBidi"/>
              </w:rPr>
              <w:t>antibiotic × 4 wk</w:t>
            </w:r>
          </w:p>
        </w:tc>
        <w:tc>
          <w:tcPr>
            <w:tcW w:w="1260" w:type="dxa"/>
            <w:shd w:val="clear" w:color="auto" w:fill="auto"/>
          </w:tcPr>
          <w:p>
            <w:pPr>
              <w:spacing w:line="360" w:lineRule="auto"/>
              <w:jc w:val="both"/>
              <w:rPr>
                <w:rFonts w:ascii="Book Antiqua" w:hAnsi="Book Antiqua" w:cstheme="minorBidi"/>
              </w:rPr>
            </w:pPr>
            <w:r>
              <w:rPr>
                <w:rFonts w:ascii="Book Antiqua" w:hAnsi="Book Antiqua" w:cstheme="minorBidi"/>
              </w:rPr>
              <w:t>Resolved</w:t>
            </w:r>
          </w:p>
        </w:tc>
        <w:tc>
          <w:tcPr>
            <w:tcW w:w="1284" w:type="dxa"/>
            <w:shd w:val="clear" w:color="auto" w:fill="auto"/>
          </w:tcPr>
          <w:p>
            <w:pPr>
              <w:spacing w:line="360" w:lineRule="auto"/>
              <w:jc w:val="both"/>
              <w:rPr>
                <w:rFonts w:ascii="Book Antiqua" w:hAnsi="Book Antiqua" w:cstheme="minorBidi"/>
              </w:rPr>
            </w:pPr>
            <w:r>
              <w:rPr>
                <w:rFonts w:ascii="Book Antiqua" w:hAnsi="Book Antiqua" w:cstheme="minorBidi"/>
              </w:rPr>
              <w:t>[</w:t>
            </w:r>
            <w:r>
              <w:rPr>
                <w:rFonts w:ascii="Book Antiqua" w:hAnsi="Book Antiqua" w:cstheme="minorBidi"/>
              </w:rPr>
              <w:fldChar w:fldCharType="begin"/>
            </w:r>
            <w:r>
              <w:rPr>
                <w:rFonts w:ascii="Book Antiqua" w:hAnsi="Book Antiqua" w:cstheme="minorBidi"/>
              </w:rPr>
              <w:instrText xml:space="preserve"> ADDIN EN.CITE &lt;EndNote&gt;&lt;Cite&gt;&lt;Author&gt;Sanyal&lt;/Author&gt;&lt;Year&gt;1998&lt;/Year&gt;&lt;IDText&gt;Vegetative infection of transjugular intrahepatic portosystemic shunts&lt;/IDText&gt;&lt;DisplayText&gt;&lt;style face="superscript"&gt;20&lt;/style&gt;&lt;/DisplayText&gt;&lt;record&gt;&lt;dates&gt;&lt;pub-dates&gt;&lt;date&gt;Jul&lt;/date&gt;&lt;/pub-dates&gt;&lt;year&gt;1998&lt;/year&gt;&lt;/dates&gt;&lt;keywords&gt;&lt;keyword&gt;Adult&lt;/keyword&gt;&lt;keyword&gt;Bacterial Infections&lt;/keyword&gt;&lt;keyword&gt;Female&lt;/keyword&gt;&lt;keyword&gt;Fever&lt;/keyword&gt;&lt;keyword&gt;Humans&lt;/keyword&gt;&lt;keyword&gt;Male&lt;/keyword&gt;&lt;keyword&gt;Middle Aged&lt;/keyword&gt;&lt;keyword&gt;Portasystemic Shunt, Transjugular Intrahepatic&lt;/keyword&gt;&lt;/keywords&gt;&lt;urls&gt;&lt;related-urls&gt;&lt;url&gt;https://www.ncbi.nlm.nih.gov/pubmed/9649465&lt;/url&gt;&lt;/related-urls&gt;&lt;/urls&gt;&lt;isbn&gt;0016-5085&lt;/isbn&gt;&lt;titles&gt;&lt;title&gt;Vegetative infection of transjugular intrahepatic portosystemic shunts&lt;/title&gt;&lt;secondary-title&gt;Gastroenterology&lt;/secondary-title&gt;&lt;/titles&gt;&lt;pages&gt;110-5&lt;/pages&gt;&lt;number&gt;1&lt;/number&gt;&lt;contributors&gt;&lt;authors&gt;&lt;author&gt;Sanyal, A. J.&lt;/author&gt;&lt;author&gt;Reddy, K. R.&lt;/author&gt;&lt;/authors&gt;&lt;/contributors&gt;&lt;language&gt;eng&lt;/language&gt;&lt;added-date format="utc"&gt;1584660322&lt;/added-date&gt;&lt;ref-type name="Journal Article"&gt;17&lt;/ref-type&gt;&lt;rec-number&gt;7&lt;/rec-number&gt;&lt;last-updated-date format="utc"&gt;1584660322&lt;/last-updated-date&gt;&lt;accession-num&gt;9649465&lt;/accession-num&gt;&lt;electronic-resource-num&gt;10.1016/s0016-5085(98)70371-3&lt;/electronic-resource-num&gt;&lt;volume&gt;115&lt;/volume&gt;&lt;/record&gt;&lt;/Cite&gt;&lt;/EndNote&gt;</w:instrText>
            </w:r>
            <w:r>
              <w:rPr>
                <w:rFonts w:ascii="Book Antiqua" w:hAnsi="Book Antiqua" w:cstheme="minorBidi"/>
              </w:rPr>
              <w:fldChar w:fldCharType="separate"/>
            </w:r>
            <w:r>
              <w:rPr>
                <w:rFonts w:ascii="Book Antiqua" w:hAnsi="Book Antiqua" w:cstheme="minorBidi"/>
              </w:rPr>
              <w:t>20</w:t>
            </w:r>
            <w:r>
              <w:rPr>
                <w:rFonts w:ascii="Book Antiqua" w:hAnsi="Book Antiqua" w:cstheme="minorBidi"/>
              </w:rPr>
              <w:fldChar w:fldCharType="end"/>
            </w:r>
            <w:r>
              <w:rPr>
                <w:rFonts w:ascii="Book Antiqua" w:hAnsi="Book Antiqua" w:cstheme="minorBid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024" w:type="dxa"/>
            <w:shd w:val="clear" w:color="auto" w:fill="auto"/>
          </w:tcPr>
          <w:p>
            <w:pPr>
              <w:spacing w:line="360" w:lineRule="auto"/>
              <w:jc w:val="both"/>
              <w:rPr>
                <w:rFonts w:ascii="Book Antiqua" w:hAnsi="Book Antiqua" w:cstheme="minorBidi"/>
                <w:i/>
              </w:rPr>
            </w:pPr>
            <w:r>
              <w:rPr>
                <w:rFonts w:ascii="Book Antiqua" w:hAnsi="Book Antiqua" w:cstheme="minorBidi"/>
              </w:rPr>
              <w:t>Case 4: Gram-negative bacteria and fungus</w:t>
            </w:r>
          </w:p>
        </w:tc>
        <w:tc>
          <w:tcPr>
            <w:tcW w:w="3726" w:type="dxa"/>
            <w:shd w:val="clear" w:color="auto" w:fill="auto"/>
          </w:tcPr>
          <w:p>
            <w:pPr>
              <w:spacing w:line="360" w:lineRule="auto"/>
              <w:jc w:val="both"/>
              <w:rPr>
                <w:rFonts w:ascii="Book Antiqua" w:hAnsi="Book Antiqua" w:cstheme="minorBidi"/>
              </w:rPr>
            </w:pPr>
            <w:r>
              <w:rPr>
                <w:rFonts w:ascii="Book Antiqua" w:hAnsi="Book Antiqua" w:cstheme="minorBidi"/>
              </w:rPr>
              <w:t>antibiotics and antifungal × 6 wk-&gt; antifungal indefinitely</w:t>
            </w:r>
          </w:p>
        </w:tc>
        <w:tc>
          <w:tcPr>
            <w:tcW w:w="1260" w:type="dxa"/>
            <w:shd w:val="clear" w:color="auto" w:fill="auto"/>
          </w:tcPr>
          <w:p>
            <w:pPr>
              <w:spacing w:line="360" w:lineRule="auto"/>
              <w:jc w:val="both"/>
              <w:rPr>
                <w:rFonts w:ascii="Book Antiqua" w:hAnsi="Book Antiqua" w:cstheme="minorBidi"/>
              </w:rPr>
            </w:pPr>
            <w:r>
              <w:rPr>
                <w:rFonts w:ascii="Book Antiqua" w:hAnsi="Book Antiqua" w:cstheme="minorBidi"/>
              </w:rPr>
              <w:t>Resolved</w:t>
            </w:r>
          </w:p>
        </w:tc>
        <w:tc>
          <w:tcPr>
            <w:tcW w:w="1284" w:type="dxa"/>
            <w:shd w:val="clear" w:color="auto" w:fill="auto"/>
          </w:tcPr>
          <w:p>
            <w:pPr>
              <w:spacing w:line="360" w:lineRule="auto"/>
              <w:jc w:val="both"/>
              <w:rPr>
                <w:rFonts w:ascii="Book Antiqua" w:hAnsi="Book Antiqua" w:cstheme="minorBidi"/>
              </w:rPr>
            </w:pPr>
            <w:r>
              <w:rPr>
                <w:rFonts w:ascii="Book Antiqua" w:hAnsi="Book Antiqua" w:cstheme="minorBidi"/>
              </w:rPr>
              <w:t>[</w:t>
            </w:r>
            <w:r>
              <w:rPr>
                <w:rFonts w:ascii="Book Antiqua" w:hAnsi="Book Antiqua" w:cstheme="minorBidi"/>
              </w:rPr>
              <w:fldChar w:fldCharType="begin"/>
            </w:r>
            <w:r>
              <w:rPr>
                <w:rFonts w:ascii="Book Antiqua" w:hAnsi="Book Antiqua" w:cstheme="minorBidi"/>
              </w:rPr>
              <w:instrText xml:space="preserve"> ADDIN EN.CITE &lt;EndNote&gt;&lt;Cite&gt;&lt;Author&gt;Sanyal&lt;/Author&gt;&lt;Year&gt;1998&lt;/Year&gt;&lt;IDText&gt;Vegetative infection of transjugular intrahepatic portosystemic shunts&lt;/IDText&gt;&lt;DisplayText&gt;&lt;style face="superscript"&gt;20&lt;/style&gt;&lt;/DisplayText&gt;&lt;record&gt;&lt;dates&gt;&lt;pub-dates&gt;&lt;date&gt;Jul&lt;/date&gt;&lt;/pub-dates&gt;&lt;year&gt;1998&lt;/year&gt;&lt;/dates&gt;&lt;keywords&gt;&lt;keyword&gt;Adult&lt;/keyword&gt;&lt;keyword&gt;Bacterial Infections&lt;/keyword&gt;&lt;keyword&gt;Female&lt;/keyword&gt;&lt;keyword&gt;Fever&lt;/keyword&gt;&lt;keyword&gt;Humans&lt;/keyword&gt;&lt;keyword&gt;Male&lt;/keyword&gt;&lt;keyword&gt;Middle Aged&lt;/keyword&gt;&lt;keyword&gt;Portasystemic Shunt, Transjugular Intrahepatic&lt;/keyword&gt;&lt;/keywords&gt;&lt;urls&gt;&lt;related-urls&gt;&lt;url&gt;https://www.ncbi.nlm.nih.gov/pubmed/9649465&lt;/url&gt;&lt;/related-urls&gt;&lt;/urls&gt;&lt;isbn&gt;0016-5085&lt;/isbn&gt;&lt;titles&gt;&lt;title&gt;Vegetative infection of transjugular intrahepatic portosystemic shunts&lt;/title&gt;&lt;secondary-title&gt;Gastroenterology&lt;/secondary-title&gt;&lt;/titles&gt;&lt;pages&gt;110-5&lt;/pages&gt;&lt;number&gt;1&lt;/number&gt;&lt;contributors&gt;&lt;authors&gt;&lt;author&gt;Sanyal, A. J.&lt;/author&gt;&lt;author&gt;Reddy, K. R.&lt;/author&gt;&lt;/authors&gt;&lt;/contributors&gt;&lt;language&gt;eng&lt;/language&gt;&lt;added-date format="utc"&gt;1584660322&lt;/added-date&gt;&lt;ref-type name="Journal Article"&gt;17&lt;/ref-type&gt;&lt;rec-number&gt;7&lt;/rec-number&gt;&lt;last-updated-date format="utc"&gt;1584660322&lt;/last-updated-date&gt;&lt;accession-num&gt;9649465&lt;/accession-num&gt;&lt;electronic-resource-num&gt;10.1016/s0016-5085(98)70371-3&lt;/electronic-resource-num&gt;&lt;volume&gt;115&lt;/volume&gt;&lt;/record&gt;&lt;/Cite&gt;&lt;/EndNote&gt;</w:instrText>
            </w:r>
            <w:r>
              <w:rPr>
                <w:rFonts w:ascii="Book Antiqua" w:hAnsi="Book Antiqua" w:cstheme="minorBidi"/>
              </w:rPr>
              <w:fldChar w:fldCharType="separate"/>
            </w:r>
            <w:r>
              <w:rPr>
                <w:rFonts w:ascii="Book Antiqua" w:hAnsi="Book Antiqua" w:cstheme="minorBidi"/>
              </w:rPr>
              <w:t>20</w:t>
            </w:r>
            <w:r>
              <w:rPr>
                <w:rFonts w:ascii="Book Antiqua" w:hAnsi="Book Antiqua" w:cstheme="minorBidi"/>
              </w:rPr>
              <w:fldChar w:fldCharType="end"/>
            </w:r>
            <w:r>
              <w:rPr>
                <w:rFonts w:ascii="Book Antiqua" w:hAnsi="Book Antiqua" w:cstheme="minorBid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trPr>
        <w:tc>
          <w:tcPr>
            <w:tcW w:w="3024" w:type="dxa"/>
            <w:shd w:val="clear" w:color="auto" w:fill="auto"/>
          </w:tcPr>
          <w:p>
            <w:pPr>
              <w:spacing w:line="360" w:lineRule="auto"/>
              <w:jc w:val="both"/>
              <w:rPr>
                <w:rFonts w:ascii="Book Antiqua" w:hAnsi="Book Antiqua" w:cstheme="minorBidi"/>
                <w:i/>
                <w:iCs/>
              </w:rPr>
            </w:pPr>
            <w:r>
              <w:rPr>
                <w:rFonts w:ascii="Book Antiqua" w:hAnsi="Book Antiqua" w:cstheme="minorBidi"/>
              </w:rPr>
              <w:t>Case 5: Gram-positive and negative bacteria</w:t>
            </w:r>
          </w:p>
        </w:tc>
        <w:tc>
          <w:tcPr>
            <w:tcW w:w="3726" w:type="dxa"/>
            <w:shd w:val="clear" w:color="auto" w:fill="auto"/>
          </w:tcPr>
          <w:p>
            <w:pPr>
              <w:spacing w:line="360" w:lineRule="auto"/>
              <w:jc w:val="both"/>
              <w:rPr>
                <w:rFonts w:ascii="Book Antiqua" w:hAnsi="Book Antiqua" w:cstheme="minorBidi"/>
              </w:rPr>
            </w:pPr>
            <w:r>
              <w:rPr>
                <w:rFonts w:ascii="Book Antiqua" w:hAnsi="Book Antiqua" w:cstheme="minorBidi"/>
              </w:rPr>
              <w:t>antibiotics-&gt;TIPS revision</w:t>
            </w:r>
          </w:p>
        </w:tc>
        <w:tc>
          <w:tcPr>
            <w:tcW w:w="1260" w:type="dxa"/>
            <w:shd w:val="clear" w:color="auto" w:fill="auto"/>
          </w:tcPr>
          <w:p>
            <w:pPr>
              <w:spacing w:line="360" w:lineRule="auto"/>
              <w:jc w:val="both"/>
              <w:rPr>
                <w:rFonts w:ascii="Book Antiqua" w:hAnsi="Book Antiqua" w:cstheme="minorBidi"/>
              </w:rPr>
            </w:pPr>
            <w:r>
              <w:rPr>
                <w:rFonts w:ascii="Book Antiqua" w:hAnsi="Book Antiqua" w:cstheme="minorBidi"/>
              </w:rPr>
              <w:t>Death</w:t>
            </w:r>
          </w:p>
        </w:tc>
        <w:tc>
          <w:tcPr>
            <w:tcW w:w="1284" w:type="dxa"/>
            <w:shd w:val="clear" w:color="auto" w:fill="auto"/>
          </w:tcPr>
          <w:p>
            <w:pPr>
              <w:spacing w:line="360" w:lineRule="auto"/>
              <w:jc w:val="both"/>
              <w:rPr>
                <w:rFonts w:ascii="Book Antiqua" w:hAnsi="Book Antiqua" w:cstheme="minorBidi"/>
              </w:rPr>
            </w:pPr>
            <w:r>
              <w:rPr>
                <w:rFonts w:ascii="Book Antiqua" w:hAnsi="Book Antiqua" w:cstheme="minorBidi"/>
              </w:rPr>
              <w:t>[</w:t>
            </w:r>
            <w:r>
              <w:rPr>
                <w:rFonts w:ascii="Book Antiqua" w:hAnsi="Book Antiqua" w:cstheme="minorBidi"/>
              </w:rPr>
              <w:fldChar w:fldCharType="begin"/>
            </w:r>
            <w:r>
              <w:rPr>
                <w:rFonts w:ascii="Book Antiqua" w:hAnsi="Book Antiqua" w:cstheme="minorBidi"/>
              </w:rPr>
              <w:instrText xml:space="preserve"> ADDIN EN.CITE &lt;EndNote&gt;&lt;Cite&gt;&lt;Author&gt;Armstrong&lt;/Author&gt;&lt;Year&gt;2003&lt;/Year&gt;&lt;IDText&gt;Infection of transjugular intrahepatic portosystemic shunt devices: three cases and a review of the literature&lt;/IDText&gt;&lt;DisplayText&gt;&lt;style face="superscript"&gt;21&lt;/style&gt;&lt;/DisplayText&gt;&lt;record&gt;&lt;dates&gt;&lt;pub-dates&gt;&lt;date&gt;Feb&lt;/date&gt;&lt;/pub-dates&gt;&lt;year&gt;2003&lt;/year&gt;&lt;/dates&gt;&lt;keywords&gt;&lt;keyword&gt;Aged&lt;/keyword&gt;&lt;keyword&gt;Female&lt;/keyword&gt;&lt;keyword&gt;Hospitals, University&lt;/keyword&gt;&lt;keyword&gt;Humans&lt;/keyword&gt;&lt;keyword&gt;Male&lt;/keyword&gt;&lt;keyword&gt;Middle Aged&lt;/keyword&gt;&lt;keyword&gt;Portasystemic Shunt, Transjugular Intrahepatic&lt;/keyword&gt;&lt;keyword&gt;Prosthesis-Related Infections&lt;/keyword&gt;&lt;keyword&gt;Retrospective Studies&lt;/keyword&gt;&lt;/keywords&gt;&lt;urls&gt;&lt;related-urls&gt;&lt;url&gt;https://www.ncbi.nlm.nih.gov/pubmed/12567297&lt;/url&gt;&lt;/related-urls&gt;&lt;/urls&gt;&lt;isbn&gt;1537-6591&lt;/isbn&gt;&lt;titles&gt;&lt;title&gt;Infection of transjugular intrahepatic portosystemic shunt devices: three cases and a review of the literature&lt;/title&gt;&lt;secondary-title&gt;Clin Infect Dis&lt;/secondary-title&gt;&lt;/titles&gt;&lt;pages&gt;407-12&lt;/pages&gt;&lt;number&gt;4&lt;/number&gt;&lt;contributors&gt;&lt;authors&gt;&lt;author&gt;Armstrong, P. K.&lt;/author&gt;&lt;author&gt;MacLeod, C.&lt;/author&gt;&lt;/authors&gt;&lt;/contributors&gt;&lt;edition&gt;2003/01/24&lt;/edition&gt;&lt;language&gt;eng&lt;/language&gt;&lt;added-date format="utc"&gt;1584660466&lt;/added-date&gt;&lt;ref-type name="Journal Article"&gt;17&lt;/ref-type&gt;&lt;rec-number&gt;8&lt;/rec-number&gt;&lt;last-updated-date format="utc"&gt;1584660466&lt;/last-updated-date&gt;&lt;accession-num&gt;12567297&lt;/accession-num&gt;&lt;electronic-resource-num&gt;10.1086/346156&lt;/electronic-resource-num&gt;&lt;volume&gt;36&lt;/volume&gt;&lt;/record&gt;&lt;/Cite&gt;&lt;/EndNote&gt;</w:instrText>
            </w:r>
            <w:r>
              <w:rPr>
                <w:rFonts w:ascii="Book Antiqua" w:hAnsi="Book Antiqua" w:cstheme="minorBidi"/>
              </w:rPr>
              <w:fldChar w:fldCharType="separate"/>
            </w:r>
            <w:r>
              <w:rPr>
                <w:rFonts w:ascii="Book Antiqua" w:hAnsi="Book Antiqua" w:cstheme="minorBidi"/>
              </w:rPr>
              <w:t>21</w:t>
            </w:r>
            <w:r>
              <w:rPr>
                <w:rFonts w:ascii="Book Antiqua" w:hAnsi="Book Antiqua" w:cstheme="minorBidi"/>
              </w:rPr>
              <w:fldChar w:fldCharType="end"/>
            </w:r>
            <w:r>
              <w:rPr>
                <w:rFonts w:ascii="Book Antiqua" w:hAnsi="Book Antiqua" w:cstheme="minorBid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3024" w:type="dxa"/>
            <w:shd w:val="clear" w:color="auto" w:fill="auto"/>
          </w:tcPr>
          <w:p>
            <w:pPr>
              <w:spacing w:line="360" w:lineRule="auto"/>
              <w:jc w:val="both"/>
              <w:rPr>
                <w:rFonts w:ascii="Book Antiqua" w:hAnsi="Book Antiqua" w:cstheme="minorBidi"/>
                <w:i/>
                <w:iCs/>
              </w:rPr>
            </w:pPr>
            <w:r>
              <w:rPr>
                <w:rFonts w:ascii="Book Antiqua" w:hAnsi="Book Antiqua" w:cstheme="minorBidi"/>
              </w:rPr>
              <w:t>Case 6: Gram-positive and negative bacteria, and fungi</w:t>
            </w:r>
          </w:p>
        </w:tc>
        <w:tc>
          <w:tcPr>
            <w:tcW w:w="3726" w:type="dxa"/>
            <w:shd w:val="clear" w:color="auto" w:fill="auto"/>
          </w:tcPr>
          <w:p>
            <w:pPr>
              <w:spacing w:line="360" w:lineRule="auto"/>
              <w:jc w:val="both"/>
              <w:rPr>
                <w:rFonts w:ascii="Book Antiqua" w:hAnsi="Book Antiqua" w:cstheme="minorBidi"/>
              </w:rPr>
            </w:pPr>
            <w:r>
              <w:rPr>
                <w:rFonts w:ascii="Book Antiqua" w:hAnsi="Book Antiqua" w:cstheme="minorBidi"/>
              </w:rPr>
              <w:t>antibiotics-&gt;antibiotics, antifungal and TIPS revision-&gt; antibiotic-&gt;antibiotics and TIPS revision-&gt;oral antibiotics indefinitely</w:t>
            </w:r>
          </w:p>
        </w:tc>
        <w:tc>
          <w:tcPr>
            <w:tcW w:w="1260" w:type="dxa"/>
            <w:shd w:val="clear" w:color="auto" w:fill="auto"/>
          </w:tcPr>
          <w:p>
            <w:pPr>
              <w:spacing w:line="360" w:lineRule="auto"/>
              <w:jc w:val="both"/>
              <w:rPr>
                <w:rFonts w:ascii="Book Antiqua" w:hAnsi="Book Antiqua" w:cstheme="minorBidi"/>
              </w:rPr>
            </w:pPr>
            <w:r>
              <w:rPr>
                <w:rFonts w:ascii="Book Antiqua" w:hAnsi="Book Antiqua" w:cstheme="minorBidi"/>
              </w:rPr>
              <w:t>Unknown</w:t>
            </w:r>
          </w:p>
        </w:tc>
        <w:tc>
          <w:tcPr>
            <w:tcW w:w="1284" w:type="dxa"/>
            <w:shd w:val="clear" w:color="auto" w:fill="auto"/>
          </w:tcPr>
          <w:p>
            <w:pPr>
              <w:spacing w:line="360" w:lineRule="auto"/>
              <w:jc w:val="both"/>
              <w:rPr>
                <w:rFonts w:ascii="Book Antiqua" w:hAnsi="Book Antiqua" w:cstheme="minorBidi"/>
              </w:rPr>
            </w:pPr>
            <w:r>
              <w:rPr>
                <w:rFonts w:ascii="Book Antiqua" w:hAnsi="Book Antiqua" w:cstheme="minorBidi"/>
              </w:rPr>
              <w:t>[</w:t>
            </w:r>
            <w:r>
              <w:rPr>
                <w:rFonts w:ascii="Book Antiqua" w:hAnsi="Book Antiqua" w:cstheme="minorBidi"/>
              </w:rPr>
              <w:fldChar w:fldCharType="begin"/>
            </w:r>
            <w:r>
              <w:rPr>
                <w:rFonts w:ascii="Book Antiqua" w:hAnsi="Book Antiqua" w:cstheme="minorBidi"/>
              </w:rPr>
              <w:instrText xml:space="preserve"> ADDIN EN.CITE &lt;EndNote&gt;&lt;Cite&gt;&lt;Author&gt;Suhocki&lt;/Author&gt;&lt;Year&gt;2008&lt;/Year&gt;&lt;IDText&gt;Treatment of TIPS/biliary fistula-related endotipsitis with a covered stent&lt;/IDText&gt;&lt;DisplayText&gt;&lt;style face="superscript"&gt;22&lt;/style&gt;&lt;/DisplayText&gt;&lt;record&gt;&lt;dates&gt;&lt;pub-dates&gt;&lt;date&gt;Jun&lt;/date&gt;&lt;/pub-dates&gt;&lt;year&gt;2008&lt;/year&gt;&lt;/dates&gt;&lt;keywords&gt;&lt;keyword&gt;Adult&lt;/keyword&gt;&lt;keyword&gt;Anti-Bacterial Agents&lt;/keyword&gt;&lt;keyword&gt;Bacteremia&lt;/keyword&gt;&lt;keyword&gt;Cholecystectomy, Laparoscopic&lt;/keyword&gt;&lt;keyword&gt;Esophageal and Gastric Varices&lt;/keyword&gt;&lt;keyword&gt;Graft Occlusion, Vascular&lt;/keyword&gt;&lt;keyword&gt;Humans&lt;/keyword&gt;&lt;keyword&gt;Liver Cirrhosis, Alcoholic&lt;/keyword&gt;&lt;keyword&gt;Male&lt;/keyword&gt;&lt;keyword&gt;Pancreatitis&lt;/keyword&gt;&lt;keyword&gt;Polytetrafluoroethylene&lt;/keyword&gt;&lt;keyword&gt;Portasystemic Shunt, Transjugular Intrahepatic&lt;/keyword&gt;&lt;keyword&gt;Stents&lt;/keyword&gt;&lt;keyword&gt;Ultrasonography, Doppler&lt;/keyword&gt;&lt;/keywords&gt;&lt;urls&gt;&lt;related-urls&gt;&lt;url&gt;https://www.ncbi.nlm.nih.gov/pubmed/18503911&lt;/url&gt;&lt;/related-urls&gt;&lt;/urls&gt;&lt;isbn&gt;1051-0443&lt;/isbn&gt;&lt;titles&gt;&lt;title&gt;Treatment of TIPS/biliary fistula-related endotipsitis with a covered stent&lt;/title&gt;&lt;secondary-title&gt;J Vasc Interv Radiol&lt;/secondary-title&gt;&lt;/titles&gt;&lt;pages&gt;937-9&lt;/pages&gt;&lt;number&gt;6&lt;/number&gt;&lt;contributors&gt;&lt;authors&gt;&lt;author&gt;Suhocki, P. V.&lt;/author&gt;&lt;author&gt;Smith, A. D.&lt;/author&gt;&lt;author&gt;Tendler, D. A.&lt;/author&gt;&lt;author&gt;Sexton, D. J.&lt;/author&gt;&lt;/authors&gt;&lt;/contributors&gt;&lt;edition&gt;2008/03/17&lt;/edition&gt;&lt;language&gt;eng&lt;/language&gt;&lt;added-date format="utc"&gt;1584661213&lt;/added-date&gt;&lt;ref-type name="Journal Article"&gt;17&lt;/ref-type&gt;&lt;rec-number&gt;10&lt;/rec-number&gt;&lt;last-updated-date format="utc"&gt;1584661213&lt;/last-updated-date&gt;&lt;accession-num&gt;18503911&lt;/accession-num&gt;&lt;electronic-resource-num&gt;10.1016/j.jvir.2008.01.026&lt;/electronic-resource-num&gt;&lt;volume&gt;19&lt;/volume&gt;&lt;/record&gt;&lt;/Cite&gt;&lt;/EndNote&gt;</w:instrText>
            </w:r>
            <w:r>
              <w:rPr>
                <w:rFonts w:ascii="Book Antiqua" w:hAnsi="Book Antiqua" w:cstheme="minorBidi"/>
              </w:rPr>
              <w:fldChar w:fldCharType="separate"/>
            </w:r>
            <w:r>
              <w:rPr>
                <w:rFonts w:ascii="Book Antiqua" w:hAnsi="Book Antiqua" w:cstheme="minorBidi"/>
              </w:rPr>
              <w:t>22</w:t>
            </w:r>
            <w:r>
              <w:rPr>
                <w:rFonts w:ascii="Book Antiqua" w:hAnsi="Book Antiqua" w:cstheme="minorBidi"/>
              </w:rPr>
              <w:fldChar w:fldCharType="end"/>
            </w:r>
            <w:r>
              <w:rPr>
                <w:rFonts w:ascii="Book Antiqua" w:hAnsi="Book Antiqua" w:cstheme="minorBid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3024" w:type="dxa"/>
            <w:shd w:val="clear" w:color="auto" w:fill="auto"/>
          </w:tcPr>
          <w:p>
            <w:pPr>
              <w:spacing w:line="360" w:lineRule="auto"/>
              <w:jc w:val="both"/>
              <w:rPr>
                <w:rFonts w:ascii="Book Antiqua" w:hAnsi="Book Antiqua" w:cstheme="minorBidi"/>
              </w:rPr>
            </w:pPr>
            <w:r>
              <w:rPr>
                <w:rFonts w:ascii="Book Antiqua" w:hAnsi="Book Antiqua" w:cstheme="minorBidi"/>
              </w:rPr>
              <w:t>Case 7: Gram-positive and negative bacteria, and fungus</w:t>
            </w:r>
          </w:p>
        </w:tc>
        <w:tc>
          <w:tcPr>
            <w:tcW w:w="3726" w:type="dxa"/>
            <w:shd w:val="clear" w:color="auto" w:fill="auto"/>
          </w:tcPr>
          <w:p>
            <w:pPr>
              <w:spacing w:line="360" w:lineRule="auto"/>
              <w:jc w:val="both"/>
              <w:rPr>
                <w:rFonts w:ascii="Book Antiqua" w:hAnsi="Book Antiqua" w:cstheme="minorBidi"/>
              </w:rPr>
            </w:pPr>
            <w:r>
              <w:rPr>
                <w:rFonts w:ascii="Book Antiqua" w:hAnsi="Book Antiqua" w:cstheme="minorBidi"/>
              </w:rPr>
              <w:t>antibiotics and antifungals-&gt;liver transplant</w:t>
            </w:r>
          </w:p>
        </w:tc>
        <w:tc>
          <w:tcPr>
            <w:tcW w:w="1260" w:type="dxa"/>
            <w:shd w:val="clear" w:color="auto" w:fill="auto"/>
          </w:tcPr>
          <w:p>
            <w:pPr>
              <w:spacing w:line="360" w:lineRule="auto"/>
              <w:jc w:val="both"/>
              <w:rPr>
                <w:rFonts w:ascii="Book Antiqua" w:hAnsi="Book Antiqua" w:cstheme="minorBidi"/>
              </w:rPr>
            </w:pPr>
            <w:r>
              <w:rPr>
                <w:rFonts w:ascii="Book Antiqua" w:hAnsi="Book Antiqua" w:cstheme="minorBidi"/>
              </w:rPr>
              <w:t>Resolved</w:t>
            </w:r>
          </w:p>
        </w:tc>
        <w:tc>
          <w:tcPr>
            <w:tcW w:w="1284" w:type="dxa"/>
            <w:shd w:val="clear" w:color="auto" w:fill="auto"/>
          </w:tcPr>
          <w:p>
            <w:pPr>
              <w:spacing w:line="360" w:lineRule="auto"/>
              <w:jc w:val="both"/>
              <w:rPr>
                <w:rFonts w:ascii="Book Antiqua" w:hAnsi="Book Antiqua" w:cstheme="minorBidi"/>
              </w:rPr>
            </w:pPr>
            <w:r>
              <w:rPr>
                <w:rFonts w:ascii="Book Antiqua" w:hAnsi="Book Antiqua" w:cstheme="minorBidi"/>
              </w:rPr>
              <w:t>[</w:t>
            </w:r>
            <w:r>
              <w:rPr>
                <w:rFonts w:ascii="Book Antiqua" w:hAnsi="Book Antiqua" w:cstheme="minorBidi"/>
              </w:rPr>
              <w:fldChar w:fldCharType="begin"/>
            </w:r>
            <w:r>
              <w:rPr>
                <w:rFonts w:ascii="Book Antiqua" w:hAnsi="Book Antiqua" w:cstheme="minorBidi"/>
              </w:rPr>
              <w:instrText xml:space="preserve"> ADDIN EN.CITE &lt;EndNote&gt;&lt;Cite&gt;&lt;Author&gt;Jawaid&lt;/Author&gt;&lt;Year&gt;2003&lt;/Year&gt;&lt;IDText&gt;Biliary-venous fistula complicating transjugular intrahepatic portosystemic shunt presenting with recurrent bacteremia, jaundice, anemia and fever&lt;/IDText&gt;&lt;DisplayText&gt;&lt;style face="superscript"&gt;23&lt;/style&gt;&lt;/DisplayText&gt;&lt;record&gt;&lt;dates&gt;&lt;pub-dates&gt;&lt;date&gt;Dec&lt;/date&gt;&lt;/pub-dates&gt;&lt;year&gt;2003&lt;/year&gt;&lt;/dates&gt;&lt;keywords&gt;&lt;keyword&gt;Anemia&lt;/keyword&gt;&lt;keyword&gt;Bacteremia&lt;/keyword&gt;&lt;keyword&gt;Biliary Tract&lt;/keyword&gt;&lt;keyword&gt;Fever&lt;/keyword&gt;&lt;keyword&gt;Fistula&lt;/keyword&gt;&lt;keyword&gt;Humans&lt;/keyword&gt;&lt;keyword&gt;Jaundice&lt;/keyword&gt;&lt;keyword&gt;Male&lt;/keyword&gt;&lt;keyword&gt;Middle Aged&lt;/keyword&gt;&lt;keyword&gt;Portasystemic Shunt, Transjugular Intrahepatic&lt;/keyword&gt;&lt;keyword&gt;Veins&lt;/keyword&gt;&lt;/keywords&gt;&lt;urls&gt;&lt;related-urls&gt;&lt;url&gt;https://www.ncbi.nlm.nih.gov/pubmed/14629294&lt;/url&gt;&lt;/related-urls&gt;&lt;/urls&gt;&lt;isbn&gt;1600-6135&lt;/isbn&gt;&lt;titles&gt;&lt;title&gt;Biliary-venous fistula complicating transjugular intrahepatic portosystemic shunt presenting with recurrent bacteremia, jaundice, anemia and fever&lt;/title&gt;&lt;secondary-title&gt;Am J Transplant&lt;/secondary-title&gt;&lt;/titles&gt;&lt;pages&gt;1604-7&lt;/pages&gt;&lt;number&gt;12&lt;/number&gt;&lt;contributors&gt;&lt;authors&gt;&lt;author&gt;Jawaid, Q.&lt;/author&gt;&lt;author&gt;Saeed, Z. A.&lt;/author&gt;&lt;author&gt;Di Bisceglie, A. M.&lt;/author&gt;&lt;author&gt;Brunt, E. M.&lt;/author&gt;&lt;author&gt;Ramrakhiani, S.&lt;/author&gt;&lt;author&gt;Varma, C. R.&lt;/author&gt;&lt;author&gt;Solomon, H.&lt;/author&gt;&lt;/authors&gt;&lt;/contributors&gt;&lt;language&gt;eng&lt;/language&gt;&lt;added-date format="utc"&gt;1584661273&lt;/added-date&gt;&lt;ref-type name="Journal Article"&gt;17&lt;/ref-type&gt;&lt;rec-number&gt;11&lt;/rec-number&gt;&lt;last-updated-date format="utc"&gt;1584661273&lt;/last-updated-date&gt;&lt;accession-num&gt;14629294&lt;/accession-num&gt;&lt;electronic-resource-num&gt;10.1046/j.1600-6135.2003.00267.x&lt;/electronic-resource-num&gt;&lt;volume&gt;3&lt;/volume&gt;&lt;/record&gt;&lt;/Cite&gt;&lt;/EndNote&gt;</w:instrText>
            </w:r>
            <w:r>
              <w:rPr>
                <w:rFonts w:ascii="Book Antiqua" w:hAnsi="Book Antiqua" w:cstheme="minorBidi"/>
              </w:rPr>
              <w:fldChar w:fldCharType="separate"/>
            </w:r>
            <w:r>
              <w:rPr>
                <w:rFonts w:ascii="Book Antiqua" w:hAnsi="Book Antiqua" w:cstheme="minorBidi"/>
              </w:rPr>
              <w:t>23</w:t>
            </w:r>
            <w:r>
              <w:rPr>
                <w:rFonts w:ascii="Book Antiqua" w:hAnsi="Book Antiqua" w:cstheme="minorBidi"/>
              </w:rPr>
              <w:fldChar w:fldCharType="end"/>
            </w:r>
            <w:r>
              <w:rPr>
                <w:rFonts w:ascii="Book Antiqua" w:hAnsi="Book Antiqua" w:cstheme="minorBid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024" w:type="dxa"/>
            <w:shd w:val="clear" w:color="auto" w:fill="auto"/>
          </w:tcPr>
          <w:p>
            <w:pPr>
              <w:spacing w:line="360" w:lineRule="auto"/>
              <w:jc w:val="both"/>
              <w:rPr>
                <w:rFonts w:ascii="Book Antiqua" w:hAnsi="Book Antiqua" w:cstheme="minorBidi"/>
              </w:rPr>
            </w:pPr>
            <w:r>
              <w:rPr>
                <w:rFonts w:ascii="Book Antiqua" w:hAnsi="Book Antiqua" w:cstheme="minorBidi"/>
              </w:rPr>
              <w:t>Case 8: Gram-positive and negative bacteria</w:t>
            </w:r>
          </w:p>
        </w:tc>
        <w:tc>
          <w:tcPr>
            <w:tcW w:w="3726" w:type="dxa"/>
            <w:shd w:val="clear" w:color="auto" w:fill="auto"/>
          </w:tcPr>
          <w:p>
            <w:pPr>
              <w:spacing w:line="360" w:lineRule="auto"/>
              <w:jc w:val="both"/>
              <w:rPr>
                <w:rFonts w:ascii="Book Antiqua" w:hAnsi="Book Antiqua" w:cstheme="minorBidi"/>
              </w:rPr>
            </w:pPr>
            <w:r>
              <w:rPr>
                <w:rFonts w:ascii="Book Antiqua" w:hAnsi="Book Antiqua" w:cstheme="minorBidi"/>
              </w:rPr>
              <w:t>antimicrobials × 4 wk -&gt;liver transplantation</w:t>
            </w:r>
          </w:p>
        </w:tc>
        <w:tc>
          <w:tcPr>
            <w:tcW w:w="1260" w:type="dxa"/>
            <w:shd w:val="clear" w:color="auto" w:fill="auto"/>
          </w:tcPr>
          <w:p>
            <w:pPr>
              <w:spacing w:line="360" w:lineRule="auto"/>
              <w:jc w:val="both"/>
              <w:rPr>
                <w:rFonts w:ascii="Book Antiqua" w:hAnsi="Book Antiqua" w:cstheme="minorBidi"/>
              </w:rPr>
            </w:pPr>
            <w:r>
              <w:rPr>
                <w:rFonts w:ascii="Book Antiqua" w:hAnsi="Book Antiqua" w:cstheme="minorBidi"/>
              </w:rPr>
              <w:t>Resolved</w:t>
            </w:r>
          </w:p>
        </w:tc>
        <w:tc>
          <w:tcPr>
            <w:tcW w:w="1284" w:type="dxa"/>
            <w:shd w:val="clear" w:color="auto" w:fill="auto"/>
          </w:tcPr>
          <w:p>
            <w:pPr>
              <w:spacing w:line="360" w:lineRule="auto"/>
              <w:jc w:val="both"/>
              <w:rPr>
                <w:rFonts w:ascii="Book Antiqua" w:hAnsi="Book Antiqua" w:cstheme="minorBidi"/>
              </w:rPr>
            </w:pPr>
            <w:r>
              <w:rPr>
                <w:rFonts w:ascii="Book Antiqua" w:hAnsi="Book Antiqua" w:cstheme="minorBidi"/>
              </w:rPr>
              <w:t>[</w:t>
            </w:r>
            <w:r>
              <w:rPr>
                <w:rFonts w:ascii="Book Antiqua" w:hAnsi="Book Antiqua" w:cstheme="minorBidi"/>
              </w:rPr>
              <w:fldChar w:fldCharType="begin"/>
            </w:r>
            <w:r>
              <w:rPr>
                <w:rFonts w:ascii="Book Antiqua" w:hAnsi="Book Antiqua" w:cstheme="minorBidi"/>
              </w:rPr>
              <w:instrText xml:space="preserve"> ADDIN EN.CITE &lt;EndNote&gt;&lt;Cite&gt;&lt;Author&gt;Willner&lt;/Author&gt;&lt;Year&gt;1998&lt;/Year&gt;&lt;IDText&gt;A fistula from the portal vein to the bile duct: an unusual complication of transjugular intrahepatic portosystemic shunt&lt;/IDText&gt;&lt;DisplayText&gt;&lt;style face="superscript"&gt;24&lt;/style&gt;&lt;/DisplayText&gt;&lt;record&gt;&lt;dates&gt;&lt;pub-dates&gt;&lt;date&gt;Oct&lt;/date&gt;&lt;/pub-dates&gt;&lt;year&gt;1998&lt;/year&gt;&lt;/dates&gt;&lt;keywords&gt;&lt;keyword&gt;Bacteremia&lt;/keyword&gt;&lt;keyword&gt;Bile Ducts&lt;/keyword&gt;&lt;keyword&gt;Biliary Fistula&lt;/keyword&gt;&lt;keyword&gt;Endocarditis, Bacterial&lt;/keyword&gt;&lt;keyword&gt;Female&lt;/keyword&gt;&lt;keyword&gt;Hemobilia&lt;/keyword&gt;&lt;keyword&gt;Humans&lt;/keyword&gt;&lt;keyword&gt;Middle Aged&lt;/keyword&gt;&lt;keyword&gt;Portal Vein&lt;/keyword&gt;&lt;keyword&gt;Portasystemic Shunt, Transjugular Intrahepatic&lt;/keyword&gt;&lt;keyword&gt;Vascular Fistula&lt;/keyword&gt;&lt;/keywords&gt;&lt;urls&gt;&lt;related-urls&gt;&lt;url&gt;https://www.ncbi.nlm.nih.gov/pubmed/9772063&lt;/url&gt;&lt;/related-urls&gt;&lt;/urls&gt;&lt;isbn&gt;0002-9270&lt;/isbn&gt;&lt;titles&gt;&lt;title&gt;A fistula from the portal vein to the bile duct: an unusual complication of transjugular intrahepatic portosystemic shunt&lt;/title&gt;&lt;secondary-title&gt;Am J Gastroenterol&lt;/secondary-title&gt;&lt;/titles&gt;&lt;pages&gt;1952-5&lt;/pages&gt;&lt;number&gt;10&lt;/number&gt;&lt;contributors&gt;&lt;authors&gt;&lt;author&gt;Willner, I. R.&lt;/author&gt;&lt;author&gt;El-Sakr, R.&lt;/author&gt;&lt;author&gt;Werkman, R. F.&lt;/author&gt;&lt;author&gt;Taylor, W. Z.&lt;/author&gt;&lt;author&gt;Riely, C. A.&lt;/author&gt;&lt;/authors&gt;&lt;/contributors&gt;&lt;language&gt;eng&lt;/language&gt;&lt;added-date format="utc"&gt;1584693960&lt;/added-date&gt;&lt;ref-type name="Journal Article"&gt;17&lt;/ref-type&gt;&lt;rec-number&gt;15&lt;/rec-number&gt;&lt;last-updated-date format="utc"&gt;1584693960&lt;/last-updated-date&gt;&lt;accession-num&gt;9772063&lt;/accession-num&gt;&lt;electronic-resource-num&gt;10.1111/j.1572-0241.1998.00553.x&lt;/electronic-resource-num&gt;&lt;volume&gt;93&lt;/volume&gt;&lt;/record&gt;&lt;/Cite&gt;&lt;/EndNote&gt;</w:instrText>
            </w:r>
            <w:r>
              <w:rPr>
                <w:rFonts w:ascii="Book Antiqua" w:hAnsi="Book Antiqua" w:cstheme="minorBidi"/>
              </w:rPr>
              <w:fldChar w:fldCharType="separate"/>
            </w:r>
            <w:r>
              <w:rPr>
                <w:rFonts w:ascii="Book Antiqua" w:hAnsi="Book Antiqua" w:cstheme="minorBidi"/>
              </w:rPr>
              <w:t>24</w:t>
            </w:r>
            <w:r>
              <w:rPr>
                <w:rFonts w:ascii="Book Antiqua" w:hAnsi="Book Antiqua" w:cstheme="minorBidi"/>
              </w:rPr>
              <w:fldChar w:fldCharType="end"/>
            </w:r>
            <w:r>
              <w:rPr>
                <w:rFonts w:ascii="Book Antiqua" w:hAnsi="Book Antiqua" w:cstheme="minorBidi"/>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3024" w:type="dxa"/>
            <w:tcBorders>
              <w:bottom w:val="single" w:color="auto" w:sz="4" w:space="0"/>
            </w:tcBorders>
            <w:shd w:val="clear" w:color="auto" w:fill="auto"/>
          </w:tcPr>
          <w:p>
            <w:pPr>
              <w:spacing w:line="360" w:lineRule="auto"/>
              <w:jc w:val="both"/>
              <w:rPr>
                <w:rFonts w:ascii="Book Antiqua" w:hAnsi="Book Antiqua" w:cstheme="minorBidi"/>
              </w:rPr>
            </w:pPr>
            <w:r>
              <w:rPr>
                <w:rFonts w:ascii="Book Antiqua" w:hAnsi="Book Antiqua" w:cstheme="minorBidi"/>
              </w:rPr>
              <w:t>Case 9: Gram-positive and negative bacteria, and fungi</w:t>
            </w:r>
          </w:p>
        </w:tc>
        <w:tc>
          <w:tcPr>
            <w:tcW w:w="3726" w:type="dxa"/>
            <w:tcBorders>
              <w:bottom w:val="single" w:color="auto" w:sz="4" w:space="0"/>
            </w:tcBorders>
            <w:shd w:val="clear" w:color="auto" w:fill="auto"/>
          </w:tcPr>
          <w:p>
            <w:pPr>
              <w:spacing w:line="360" w:lineRule="auto"/>
              <w:jc w:val="both"/>
              <w:rPr>
                <w:rFonts w:ascii="Book Antiqua" w:hAnsi="Book Antiqua" w:cstheme="minorBidi"/>
              </w:rPr>
            </w:pPr>
            <w:r>
              <w:rPr>
                <w:rFonts w:ascii="Book Antiqua" w:hAnsi="Book Antiqua" w:cstheme="minorBidi"/>
              </w:rPr>
              <w:t>antibiotics × 10 d-&gt; TIPS thrombectomy &amp; revision, and antibiotics × 6 wk-&gt; TIPS thrombectomy and revision, and antibiotics and antifungals for 6 wk-&gt;balloon sweep of TIPS, antifungals indefinitely with antibiotics as tolerated</w:t>
            </w:r>
          </w:p>
        </w:tc>
        <w:tc>
          <w:tcPr>
            <w:tcW w:w="1260" w:type="dxa"/>
            <w:tcBorders>
              <w:bottom w:val="single" w:color="auto" w:sz="4" w:space="0"/>
            </w:tcBorders>
            <w:shd w:val="clear" w:color="auto" w:fill="auto"/>
          </w:tcPr>
          <w:p>
            <w:pPr>
              <w:spacing w:line="360" w:lineRule="auto"/>
              <w:jc w:val="both"/>
              <w:rPr>
                <w:rFonts w:ascii="Book Antiqua" w:hAnsi="Book Antiqua" w:cstheme="minorBidi"/>
              </w:rPr>
            </w:pPr>
            <w:r>
              <w:rPr>
                <w:rFonts w:ascii="Book Antiqua" w:hAnsi="Book Antiqua" w:cstheme="minorBidi"/>
              </w:rPr>
              <w:t>Death</w:t>
            </w:r>
          </w:p>
        </w:tc>
        <w:tc>
          <w:tcPr>
            <w:tcW w:w="1284" w:type="dxa"/>
            <w:tcBorders>
              <w:bottom w:val="single" w:color="auto" w:sz="4" w:space="0"/>
            </w:tcBorders>
            <w:shd w:val="clear" w:color="auto" w:fill="auto"/>
          </w:tcPr>
          <w:p>
            <w:pPr>
              <w:spacing w:line="360" w:lineRule="auto"/>
              <w:jc w:val="both"/>
              <w:rPr>
                <w:rFonts w:ascii="Book Antiqua" w:hAnsi="Book Antiqua" w:cstheme="minorBidi"/>
              </w:rPr>
            </w:pPr>
            <w:r>
              <w:rPr>
                <w:rFonts w:ascii="Book Antiqua" w:hAnsi="Book Antiqua" w:cstheme="minorBidi"/>
              </w:rPr>
              <w:t>Current case</w:t>
            </w:r>
          </w:p>
        </w:tc>
      </w:tr>
    </w:tbl>
    <w:p>
      <w:pPr>
        <w:spacing w:line="360" w:lineRule="auto"/>
        <w:jc w:val="both"/>
        <w:rPr>
          <w:rFonts w:ascii="Book Antiqua" w:hAnsi="Book Antiqua"/>
        </w:rPr>
      </w:pPr>
      <w:r>
        <w:rPr>
          <w:rFonts w:ascii="Book Antiqua" w:hAnsi="Book Antiqua"/>
        </w:rPr>
        <w:t>TIPS: Transjugular intrahepatic portosystemic shunt.</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9761851"/>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0BF"/>
    <w:rsid w:val="00015F17"/>
    <w:rsid w:val="00022921"/>
    <w:rsid w:val="000403DD"/>
    <w:rsid w:val="000425B1"/>
    <w:rsid w:val="00042F6C"/>
    <w:rsid w:val="0004696A"/>
    <w:rsid w:val="00085104"/>
    <w:rsid w:val="0009294E"/>
    <w:rsid w:val="00094A62"/>
    <w:rsid w:val="000A5AB5"/>
    <w:rsid w:val="000A653C"/>
    <w:rsid w:val="000C2147"/>
    <w:rsid w:val="000C661A"/>
    <w:rsid w:val="000D5707"/>
    <w:rsid w:val="000D732B"/>
    <w:rsid w:val="0011560B"/>
    <w:rsid w:val="00115DAC"/>
    <w:rsid w:val="0013475D"/>
    <w:rsid w:val="00140E7B"/>
    <w:rsid w:val="00155C5A"/>
    <w:rsid w:val="0016531B"/>
    <w:rsid w:val="00187056"/>
    <w:rsid w:val="001C3E06"/>
    <w:rsid w:val="00206FFD"/>
    <w:rsid w:val="00217B34"/>
    <w:rsid w:val="00233958"/>
    <w:rsid w:val="00240033"/>
    <w:rsid w:val="00243D25"/>
    <w:rsid w:val="00260664"/>
    <w:rsid w:val="00264AFB"/>
    <w:rsid w:val="00270821"/>
    <w:rsid w:val="002739ED"/>
    <w:rsid w:val="002955CC"/>
    <w:rsid w:val="002C4CB3"/>
    <w:rsid w:val="002F4DF1"/>
    <w:rsid w:val="002F535D"/>
    <w:rsid w:val="00350DF5"/>
    <w:rsid w:val="003563F4"/>
    <w:rsid w:val="003662E0"/>
    <w:rsid w:val="0037559B"/>
    <w:rsid w:val="00391362"/>
    <w:rsid w:val="003947FD"/>
    <w:rsid w:val="003B3D92"/>
    <w:rsid w:val="003C1447"/>
    <w:rsid w:val="003C2848"/>
    <w:rsid w:val="003C6D89"/>
    <w:rsid w:val="003D7EBB"/>
    <w:rsid w:val="003E4BE1"/>
    <w:rsid w:val="003E511E"/>
    <w:rsid w:val="0041747A"/>
    <w:rsid w:val="00421718"/>
    <w:rsid w:val="004265D8"/>
    <w:rsid w:val="004351F8"/>
    <w:rsid w:val="00440406"/>
    <w:rsid w:val="00461157"/>
    <w:rsid w:val="00463AA3"/>
    <w:rsid w:val="004658FE"/>
    <w:rsid w:val="004A2133"/>
    <w:rsid w:val="004A3DBE"/>
    <w:rsid w:val="004C33FA"/>
    <w:rsid w:val="004D5679"/>
    <w:rsid w:val="004F6ECB"/>
    <w:rsid w:val="00501041"/>
    <w:rsid w:val="00506D91"/>
    <w:rsid w:val="00532C0A"/>
    <w:rsid w:val="00536E62"/>
    <w:rsid w:val="00557293"/>
    <w:rsid w:val="00571454"/>
    <w:rsid w:val="00575CD7"/>
    <w:rsid w:val="005A632E"/>
    <w:rsid w:val="005B7DB3"/>
    <w:rsid w:val="005D7414"/>
    <w:rsid w:val="006021CB"/>
    <w:rsid w:val="00637B23"/>
    <w:rsid w:val="00647A56"/>
    <w:rsid w:val="00647AAF"/>
    <w:rsid w:val="00667E0C"/>
    <w:rsid w:val="00687BAC"/>
    <w:rsid w:val="006A1920"/>
    <w:rsid w:val="006A4DBA"/>
    <w:rsid w:val="006B6C5A"/>
    <w:rsid w:val="006C65DB"/>
    <w:rsid w:val="006F3DD1"/>
    <w:rsid w:val="00724F7B"/>
    <w:rsid w:val="0074517D"/>
    <w:rsid w:val="0075197F"/>
    <w:rsid w:val="0076601C"/>
    <w:rsid w:val="007819CD"/>
    <w:rsid w:val="007954B2"/>
    <w:rsid w:val="007A3628"/>
    <w:rsid w:val="007E0A57"/>
    <w:rsid w:val="007F50FD"/>
    <w:rsid w:val="008218AC"/>
    <w:rsid w:val="00824E85"/>
    <w:rsid w:val="0084008D"/>
    <w:rsid w:val="008456C6"/>
    <w:rsid w:val="00856933"/>
    <w:rsid w:val="00864FB0"/>
    <w:rsid w:val="00885B61"/>
    <w:rsid w:val="008A58A0"/>
    <w:rsid w:val="008D3B3E"/>
    <w:rsid w:val="008E1F87"/>
    <w:rsid w:val="008E43D2"/>
    <w:rsid w:val="00924D2E"/>
    <w:rsid w:val="0093218D"/>
    <w:rsid w:val="00960BA9"/>
    <w:rsid w:val="0097233A"/>
    <w:rsid w:val="009953B3"/>
    <w:rsid w:val="00996525"/>
    <w:rsid w:val="00996B2C"/>
    <w:rsid w:val="009B2039"/>
    <w:rsid w:val="009B7989"/>
    <w:rsid w:val="009D2C9E"/>
    <w:rsid w:val="009E0F1E"/>
    <w:rsid w:val="009E3147"/>
    <w:rsid w:val="00A0108B"/>
    <w:rsid w:val="00A0618D"/>
    <w:rsid w:val="00A109D5"/>
    <w:rsid w:val="00A22616"/>
    <w:rsid w:val="00A25941"/>
    <w:rsid w:val="00A277EF"/>
    <w:rsid w:val="00A443D2"/>
    <w:rsid w:val="00A656A1"/>
    <w:rsid w:val="00A75639"/>
    <w:rsid w:val="00A77B3E"/>
    <w:rsid w:val="00A82163"/>
    <w:rsid w:val="00A94404"/>
    <w:rsid w:val="00A94584"/>
    <w:rsid w:val="00A97678"/>
    <w:rsid w:val="00AD11F5"/>
    <w:rsid w:val="00AD19D9"/>
    <w:rsid w:val="00AE6733"/>
    <w:rsid w:val="00B40A64"/>
    <w:rsid w:val="00B62BB3"/>
    <w:rsid w:val="00B751B3"/>
    <w:rsid w:val="00B90384"/>
    <w:rsid w:val="00BB5ECF"/>
    <w:rsid w:val="00BC54AE"/>
    <w:rsid w:val="00BD07D4"/>
    <w:rsid w:val="00BD43CF"/>
    <w:rsid w:val="00C0270E"/>
    <w:rsid w:val="00C114D1"/>
    <w:rsid w:val="00C76074"/>
    <w:rsid w:val="00C76A95"/>
    <w:rsid w:val="00C86FAB"/>
    <w:rsid w:val="00CA2A55"/>
    <w:rsid w:val="00CC1CFF"/>
    <w:rsid w:val="00D67233"/>
    <w:rsid w:val="00D935CC"/>
    <w:rsid w:val="00DC2E9D"/>
    <w:rsid w:val="00DC4622"/>
    <w:rsid w:val="00DF0091"/>
    <w:rsid w:val="00E054E0"/>
    <w:rsid w:val="00E457D8"/>
    <w:rsid w:val="00E65CE4"/>
    <w:rsid w:val="00EA1497"/>
    <w:rsid w:val="00EB42CE"/>
    <w:rsid w:val="00EB5F39"/>
    <w:rsid w:val="00EB7B92"/>
    <w:rsid w:val="00EB7FAC"/>
    <w:rsid w:val="00ED715A"/>
    <w:rsid w:val="00EF0B39"/>
    <w:rsid w:val="00F017A1"/>
    <w:rsid w:val="00F10982"/>
    <w:rsid w:val="00F54DF2"/>
    <w:rsid w:val="00F93C0D"/>
    <w:rsid w:val="00FA1DC2"/>
    <w:rsid w:val="00FA1F45"/>
    <w:rsid w:val="00FB0198"/>
    <w:rsid w:val="00FC6D34"/>
    <w:rsid w:val="00FC7F84"/>
    <w:rsid w:val="00FD2D78"/>
    <w:rsid w:val="00FE11BC"/>
    <w:rsid w:val="00FF28A3"/>
    <w:rsid w:val="00FF6C53"/>
    <w:rsid w:val="0E9A3B24"/>
    <w:rsid w:val="2DAA161D"/>
    <w:rsid w:val="4CD37CA0"/>
    <w:rsid w:val="5AE849B3"/>
    <w:rsid w:val="6D7F6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7"/>
    <w:semiHidden/>
    <w:unhideWhenUsed/>
    <w:qFormat/>
    <w:uiPriority w:val="0"/>
    <w:rPr>
      <w:sz w:val="18"/>
      <w:szCs w:val="18"/>
    </w:rPr>
  </w:style>
  <w:style w:type="paragraph" w:styleId="4">
    <w:name w:val="footer"/>
    <w:basedOn w:val="1"/>
    <w:link w:val="14"/>
    <w:unhideWhenUsed/>
    <w:uiPriority w:val="99"/>
    <w:pPr>
      <w:tabs>
        <w:tab w:val="center" w:pos="4153"/>
        <w:tab w:val="right" w:pos="8306"/>
      </w:tabs>
      <w:snapToGrid w:val="0"/>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table" w:styleId="8">
    <w:name w:val="Table Grid"/>
    <w:basedOn w:val="7"/>
    <w:qFormat/>
    <w:uiPriority w:val="39"/>
    <w:rPr>
      <w:rFonts w:asciiTheme="minorHAnsi" w:hAnsiTheme="minorHAnsi"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MsoCommentReference"/>
    <w:basedOn w:val="9"/>
    <w:uiPriority w:val="0"/>
  </w:style>
  <w:style w:type="table" w:customStyle="1" w:styleId="12">
    <w:name w:val="Grid Table 22"/>
    <w:basedOn w:val="7"/>
    <w:qFormat/>
    <w:uiPriority w:val="47"/>
    <w:rPr>
      <w:rFonts w:asciiTheme="minorHAnsi" w:hAnsiTheme="minorHAnsi" w:cstheme="minorBidi"/>
      <w:sz w:val="24"/>
      <w:szCs w:val="24"/>
    </w:r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13">
    <w:name w:val="页眉 字符"/>
    <w:basedOn w:val="9"/>
    <w:link w:val="5"/>
    <w:qFormat/>
    <w:uiPriority w:val="0"/>
    <w:rPr>
      <w:sz w:val="18"/>
      <w:szCs w:val="18"/>
    </w:rPr>
  </w:style>
  <w:style w:type="character" w:customStyle="1" w:styleId="14">
    <w:name w:val="页脚 字符"/>
    <w:basedOn w:val="9"/>
    <w:link w:val="4"/>
    <w:qFormat/>
    <w:uiPriority w:val="99"/>
    <w:rPr>
      <w:sz w:val="18"/>
      <w:szCs w:val="18"/>
    </w:rPr>
  </w:style>
  <w:style w:type="character" w:customStyle="1" w:styleId="15">
    <w:name w:val="批注文字 字符"/>
    <w:basedOn w:val="9"/>
    <w:link w:val="2"/>
    <w:semiHidden/>
    <w:qFormat/>
    <w:uiPriority w:val="0"/>
    <w:rPr>
      <w:sz w:val="24"/>
      <w:szCs w:val="24"/>
    </w:rPr>
  </w:style>
  <w:style w:type="character" w:customStyle="1" w:styleId="16">
    <w:name w:val="批注主题 字符"/>
    <w:basedOn w:val="15"/>
    <w:link w:val="6"/>
    <w:semiHidden/>
    <w:qFormat/>
    <w:uiPriority w:val="0"/>
    <w:rPr>
      <w:b/>
      <w:bCs/>
      <w:sz w:val="24"/>
      <w:szCs w:val="24"/>
    </w:rPr>
  </w:style>
  <w:style w:type="character" w:customStyle="1" w:styleId="17">
    <w:name w:val="批注框文本 字符"/>
    <w:basedOn w:val="9"/>
    <w:link w:val="3"/>
    <w:semiHidden/>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4301</Words>
  <Characters>26676</Characters>
  <Lines>302</Lines>
  <Paragraphs>85</Paragraphs>
  <TotalTime>2</TotalTime>
  <ScaleCrop>false</ScaleCrop>
  <LinksUpToDate>false</LinksUpToDate>
  <CharactersWithSpaces>30796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2022-03-24T20:38:00Z</dcterms:created>
  <dc:creator>Argo, Curtis K *HS</dc:creator>
  <cp:lastModifiedBy>超级喜欢粉红色</cp:lastModifiedBy>
  <dcterms:modified xsi:type="dcterms:W3CDTF">2022-04-21T00:49:02Z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E7C9A648C6104B96A8F9461D91358FD6</vt:lpwstr>
  </property>
</Properties>
</file>