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E89DD"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Name of Journal: </w:t>
      </w:r>
      <w:r w:rsidRPr="006D11E5">
        <w:rPr>
          <w:rFonts w:ascii="Book Antiqua" w:eastAsia="Book Antiqua" w:hAnsi="Book Antiqua" w:cs="Book Antiqua"/>
          <w:i/>
          <w:color w:val="000000"/>
        </w:rPr>
        <w:t>World Journal of Orthopedics</w:t>
      </w:r>
    </w:p>
    <w:p w14:paraId="265BD21B"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Manuscript NO: </w:t>
      </w:r>
      <w:r w:rsidRPr="006D11E5">
        <w:rPr>
          <w:rFonts w:ascii="Book Antiqua" w:eastAsia="Book Antiqua" w:hAnsi="Book Antiqua" w:cs="Book Antiqua"/>
          <w:color w:val="000000"/>
        </w:rPr>
        <w:t>70596</w:t>
      </w:r>
    </w:p>
    <w:p w14:paraId="2B98221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Manuscript Type: </w:t>
      </w:r>
      <w:r w:rsidRPr="006D11E5">
        <w:rPr>
          <w:rFonts w:ascii="Book Antiqua" w:eastAsia="Book Antiqua" w:hAnsi="Book Antiqua" w:cs="Book Antiqua"/>
          <w:color w:val="000000"/>
        </w:rPr>
        <w:t>CASE REPORT</w:t>
      </w:r>
    </w:p>
    <w:p w14:paraId="06607C63" w14:textId="77777777" w:rsidR="00A77B3E" w:rsidRPr="006D11E5" w:rsidRDefault="00A77B3E" w:rsidP="006D11E5">
      <w:pPr>
        <w:adjustRightInd w:val="0"/>
        <w:snapToGrid w:val="0"/>
        <w:spacing w:line="360" w:lineRule="auto"/>
        <w:jc w:val="both"/>
        <w:rPr>
          <w:rFonts w:ascii="Book Antiqua" w:hAnsi="Book Antiqua"/>
        </w:rPr>
      </w:pPr>
    </w:p>
    <w:p w14:paraId="3E90A600" w14:textId="2F5CA78B"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Intramedullary </w:t>
      </w:r>
      <w:r w:rsidR="00185D51" w:rsidRPr="006D11E5">
        <w:rPr>
          <w:rFonts w:ascii="Book Antiqua" w:eastAsia="Book Antiqua" w:hAnsi="Book Antiqua" w:cs="Book Antiqua"/>
          <w:b/>
          <w:color w:val="000000"/>
        </w:rPr>
        <w:t>bone pedestal formation contributing to femoral shaft fracture nonunion:</w:t>
      </w:r>
      <w:r w:rsidRPr="006D11E5">
        <w:rPr>
          <w:rFonts w:ascii="Book Antiqua" w:eastAsia="Book Antiqua" w:hAnsi="Book Antiqua" w:cs="Book Antiqua"/>
          <w:b/>
          <w:color w:val="000000"/>
        </w:rPr>
        <w:t xml:space="preserve"> </w:t>
      </w:r>
      <w:r w:rsidR="00185D51" w:rsidRPr="006D11E5">
        <w:rPr>
          <w:rFonts w:ascii="Book Antiqua" w:hAnsi="Book Antiqua" w:cs="Book Antiqua"/>
          <w:b/>
          <w:color w:val="000000"/>
          <w:lang w:eastAsia="zh-CN"/>
        </w:rPr>
        <w:t>A</w:t>
      </w:r>
      <w:r w:rsidR="00185D51" w:rsidRPr="006D11E5">
        <w:rPr>
          <w:rFonts w:ascii="Book Antiqua" w:eastAsia="Book Antiqua" w:hAnsi="Book Antiqua" w:cs="Book Antiqua"/>
          <w:b/>
          <w:color w:val="000000"/>
        </w:rPr>
        <w:t xml:space="preserve"> case report and review of the literature</w:t>
      </w:r>
    </w:p>
    <w:p w14:paraId="4E3D2524" w14:textId="77777777" w:rsidR="00A77B3E" w:rsidRPr="006D11E5" w:rsidRDefault="00A77B3E" w:rsidP="006D11E5">
      <w:pPr>
        <w:adjustRightInd w:val="0"/>
        <w:snapToGrid w:val="0"/>
        <w:spacing w:line="360" w:lineRule="auto"/>
        <w:jc w:val="both"/>
        <w:rPr>
          <w:rFonts w:ascii="Book Antiqua" w:hAnsi="Book Antiqua"/>
        </w:rPr>
      </w:pPr>
    </w:p>
    <w:p w14:paraId="1AC6B970" w14:textId="5F924E22" w:rsidR="00A77B3E" w:rsidRPr="006D11E5" w:rsidRDefault="00185D51" w:rsidP="006D11E5">
      <w:pPr>
        <w:adjustRightInd w:val="0"/>
        <w:snapToGrid w:val="0"/>
        <w:spacing w:line="360" w:lineRule="auto"/>
        <w:jc w:val="both"/>
        <w:rPr>
          <w:rFonts w:ascii="Book Antiqua" w:hAnsi="Book Antiqua"/>
        </w:rPr>
      </w:pPr>
      <w:proofErr w:type="spellStart"/>
      <w:r w:rsidRPr="006D11E5">
        <w:rPr>
          <w:rFonts w:ascii="Book Antiqua" w:eastAsia="Book Antiqua" w:hAnsi="Book Antiqua" w:cs="Book Antiqua"/>
          <w:color w:val="000000"/>
        </w:rPr>
        <w:t>Pasque</w:t>
      </w:r>
      <w:proofErr w:type="spellEnd"/>
      <w:r w:rsidRPr="006D11E5">
        <w:rPr>
          <w:rFonts w:ascii="Book Antiqua" w:eastAsia="Book Antiqua" w:hAnsi="Book Antiqua" w:cs="Book Antiqua"/>
          <w:color w:val="000000"/>
        </w:rPr>
        <w:t xml:space="preserve"> C</w:t>
      </w:r>
      <w:r w:rsidR="00325765" w:rsidRPr="006D11E5">
        <w:rPr>
          <w:rFonts w:ascii="Book Antiqua" w:eastAsia="Book Antiqua" w:hAnsi="Book Antiqua" w:cs="Book Antiqua"/>
          <w:color w:val="000000"/>
        </w:rPr>
        <w:t>B</w:t>
      </w:r>
      <w:r w:rsidRPr="006D11E5">
        <w:rPr>
          <w:rFonts w:ascii="Book Antiqua" w:eastAsia="Book Antiqua" w:hAnsi="Book Antiqua" w:cs="Book Antiqua"/>
          <w:color w:val="000000"/>
        </w:rPr>
        <w:t xml:space="preserve"> </w:t>
      </w:r>
      <w:r w:rsidRPr="006D11E5">
        <w:rPr>
          <w:rFonts w:ascii="Book Antiqua" w:eastAsia="Book Antiqua" w:hAnsi="Book Antiqua" w:cs="Book Antiqua"/>
          <w:i/>
          <w:iCs/>
          <w:color w:val="000000"/>
        </w:rPr>
        <w:t>et al</w:t>
      </w:r>
      <w:r w:rsidRPr="006D11E5">
        <w:rPr>
          <w:rFonts w:ascii="Book Antiqua" w:eastAsia="Book Antiqua" w:hAnsi="Book Antiqua" w:cs="Book Antiqua"/>
          <w:color w:val="000000"/>
        </w:rPr>
        <w:t xml:space="preserve">. </w:t>
      </w:r>
      <w:r w:rsidR="006315CA" w:rsidRPr="006D11E5">
        <w:rPr>
          <w:rFonts w:ascii="Book Antiqua" w:eastAsia="Book Antiqua" w:hAnsi="Book Antiqua" w:cs="Book Antiqua"/>
          <w:color w:val="000000"/>
        </w:rPr>
        <w:t>Intramedullary</w:t>
      </w:r>
      <w:r w:rsidRPr="006D11E5">
        <w:rPr>
          <w:rFonts w:ascii="Book Antiqua" w:eastAsia="Book Antiqua" w:hAnsi="Book Antiqua" w:cs="Book Antiqua"/>
          <w:color w:val="000000"/>
        </w:rPr>
        <w:t xml:space="preserve"> bone pedestal contributing to nonunion</w:t>
      </w:r>
    </w:p>
    <w:p w14:paraId="54C4AB9E" w14:textId="77777777" w:rsidR="00A77B3E" w:rsidRPr="006D11E5" w:rsidRDefault="00A77B3E" w:rsidP="006D11E5">
      <w:pPr>
        <w:adjustRightInd w:val="0"/>
        <w:snapToGrid w:val="0"/>
        <w:spacing w:line="360" w:lineRule="auto"/>
        <w:jc w:val="both"/>
        <w:rPr>
          <w:rFonts w:ascii="Book Antiqua" w:hAnsi="Book Antiqua"/>
        </w:rPr>
      </w:pPr>
    </w:p>
    <w:p w14:paraId="17F8B381" w14:textId="717E0D58"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Charles </w:t>
      </w:r>
      <w:r w:rsidR="00325765" w:rsidRPr="006D11E5">
        <w:rPr>
          <w:rFonts w:ascii="Book Antiqua" w:eastAsia="Book Antiqua" w:hAnsi="Book Antiqua" w:cs="Book Antiqua"/>
          <w:color w:val="000000"/>
        </w:rPr>
        <w:t xml:space="preserve">B </w:t>
      </w:r>
      <w:proofErr w:type="spellStart"/>
      <w:r w:rsidRPr="006D11E5">
        <w:rPr>
          <w:rFonts w:ascii="Book Antiqua" w:eastAsia="Book Antiqua" w:hAnsi="Book Antiqua" w:cs="Book Antiqua"/>
          <w:color w:val="000000"/>
        </w:rPr>
        <w:t>Pasque</w:t>
      </w:r>
      <w:proofErr w:type="spellEnd"/>
      <w:r w:rsidRPr="006D11E5">
        <w:rPr>
          <w:rFonts w:ascii="Book Antiqua" w:eastAsia="Book Antiqua" w:hAnsi="Book Antiqua" w:cs="Book Antiqua"/>
          <w:color w:val="000000"/>
        </w:rPr>
        <w:t xml:space="preserve">, Alexander </w:t>
      </w:r>
      <w:r w:rsidR="00325765" w:rsidRPr="006D11E5">
        <w:rPr>
          <w:rFonts w:ascii="Book Antiqua" w:eastAsia="Book Antiqua" w:hAnsi="Book Antiqua" w:cs="Book Antiqua"/>
          <w:color w:val="000000"/>
        </w:rPr>
        <w:t xml:space="preserve">J </w:t>
      </w:r>
      <w:r w:rsidRPr="006D11E5">
        <w:rPr>
          <w:rFonts w:ascii="Book Antiqua" w:eastAsia="Book Antiqua" w:hAnsi="Book Antiqua" w:cs="Book Antiqua"/>
          <w:color w:val="000000"/>
        </w:rPr>
        <w:t xml:space="preserve">Pappas, Chad </w:t>
      </w:r>
      <w:r w:rsidR="00325765" w:rsidRPr="006D11E5">
        <w:rPr>
          <w:rFonts w:ascii="Book Antiqua" w:eastAsia="Book Antiqua" w:hAnsi="Book Antiqua" w:cs="Book Antiqua"/>
          <w:color w:val="000000"/>
        </w:rPr>
        <w:t xml:space="preserve">A </w:t>
      </w:r>
      <w:r w:rsidRPr="006D11E5">
        <w:rPr>
          <w:rFonts w:ascii="Book Antiqua" w:eastAsia="Book Antiqua" w:hAnsi="Book Antiqua" w:cs="Book Antiqua"/>
          <w:color w:val="000000"/>
        </w:rPr>
        <w:t>Cole</w:t>
      </w:r>
      <w:r w:rsidR="00325765" w:rsidRPr="006D11E5">
        <w:rPr>
          <w:rFonts w:ascii="Book Antiqua" w:eastAsia="Book Antiqua" w:hAnsi="Book Antiqua" w:cs="Book Antiqua"/>
          <w:color w:val="000000"/>
        </w:rPr>
        <w:t xml:space="preserve"> Jr</w:t>
      </w:r>
    </w:p>
    <w:p w14:paraId="3B0B0CF1" w14:textId="77777777" w:rsidR="00A77B3E" w:rsidRPr="006D11E5" w:rsidRDefault="00A77B3E" w:rsidP="006D11E5">
      <w:pPr>
        <w:adjustRightInd w:val="0"/>
        <w:snapToGrid w:val="0"/>
        <w:spacing w:line="360" w:lineRule="auto"/>
        <w:jc w:val="both"/>
        <w:rPr>
          <w:rFonts w:ascii="Book Antiqua" w:hAnsi="Book Antiqua"/>
        </w:rPr>
      </w:pPr>
    </w:p>
    <w:p w14:paraId="31FC526B" w14:textId="49734C51"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Charles </w:t>
      </w:r>
      <w:r w:rsidR="00325765" w:rsidRPr="006D11E5">
        <w:rPr>
          <w:rFonts w:ascii="Book Antiqua" w:eastAsia="Book Antiqua" w:hAnsi="Book Antiqua" w:cs="Book Antiqua"/>
          <w:b/>
          <w:bCs/>
          <w:color w:val="000000"/>
        </w:rPr>
        <w:t xml:space="preserve">B </w:t>
      </w:r>
      <w:proofErr w:type="spellStart"/>
      <w:r w:rsidRPr="006D11E5">
        <w:rPr>
          <w:rFonts w:ascii="Book Antiqua" w:eastAsia="Book Antiqua" w:hAnsi="Book Antiqua" w:cs="Book Antiqua"/>
          <w:b/>
          <w:bCs/>
          <w:color w:val="000000"/>
        </w:rPr>
        <w:t>Pasque</w:t>
      </w:r>
      <w:proofErr w:type="spellEnd"/>
      <w:r w:rsidRPr="006D11E5">
        <w:rPr>
          <w:rFonts w:ascii="Book Antiqua" w:eastAsia="Book Antiqua" w:hAnsi="Book Antiqua" w:cs="Book Antiqua"/>
          <w:b/>
          <w:bCs/>
          <w:color w:val="000000"/>
        </w:rPr>
        <w:t xml:space="preserve">, Alexander </w:t>
      </w:r>
      <w:r w:rsidR="00325765" w:rsidRPr="006D11E5">
        <w:rPr>
          <w:rFonts w:ascii="Book Antiqua" w:eastAsia="Book Antiqua" w:hAnsi="Book Antiqua" w:cs="Book Antiqua"/>
          <w:b/>
          <w:bCs/>
          <w:color w:val="000000"/>
        </w:rPr>
        <w:t xml:space="preserve">J </w:t>
      </w:r>
      <w:r w:rsidRPr="006D11E5">
        <w:rPr>
          <w:rFonts w:ascii="Book Antiqua" w:eastAsia="Book Antiqua" w:hAnsi="Book Antiqua" w:cs="Book Antiqua"/>
          <w:b/>
          <w:bCs/>
          <w:color w:val="000000"/>
        </w:rPr>
        <w:t xml:space="preserve">Pappas, </w:t>
      </w:r>
      <w:r w:rsidRPr="006D11E5">
        <w:rPr>
          <w:rFonts w:ascii="Book Antiqua" w:eastAsia="Book Antiqua" w:hAnsi="Book Antiqua" w:cs="Book Antiqua"/>
          <w:color w:val="000000"/>
        </w:rPr>
        <w:t xml:space="preserve">Department of </w:t>
      </w:r>
      <w:proofErr w:type="spellStart"/>
      <w:r w:rsidRPr="006D11E5">
        <w:rPr>
          <w:rFonts w:ascii="Book Antiqua" w:eastAsia="Book Antiqua" w:hAnsi="Book Antiqua" w:cs="Book Antiqua"/>
          <w:color w:val="000000"/>
        </w:rPr>
        <w:t>Orthopaedic</w:t>
      </w:r>
      <w:proofErr w:type="spellEnd"/>
      <w:r w:rsidRPr="006D11E5">
        <w:rPr>
          <w:rFonts w:ascii="Book Antiqua" w:eastAsia="Book Antiqua" w:hAnsi="Book Antiqua" w:cs="Book Antiqua"/>
          <w:color w:val="000000"/>
        </w:rPr>
        <w:t xml:space="preserve"> Surgery and Rehabilitation, University of Oklahoma College of Medicine, Oklahoma City, </w:t>
      </w:r>
      <w:r w:rsidR="00185D51" w:rsidRPr="006D11E5">
        <w:rPr>
          <w:rFonts w:ascii="Book Antiqua" w:eastAsia="Book Antiqua" w:hAnsi="Book Antiqua" w:cs="Book Antiqua"/>
          <w:color w:val="000000"/>
        </w:rPr>
        <w:t>OK</w:t>
      </w:r>
      <w:r w:rsidRPr="006D11E5">
        <w:rPr>
          <w:rFonts w:ascii="Book Antiqua" w:eastAsia="Book Antiqua" w:hAnsi="Book Antiqua" w:cs="Book Antiqua"/>
          <w:color w:val="000000"/>
        </w:rPr>
        <w:t xml:space="preserve"> 73104, United States</w:t>
      </w:r>
    </w:p>
    <w:p w14:paraId="37F296AF" w14:textId="77777777" w:rsidR="00A77B3E" w:rsidRPr="006D11E5" w:rsidRDefault="00A77B3E" w:rsidP="006D11E5">
      <w:pPr>
        <w:adjustRightInd w:val="0"/>
        <w:snapToGrid w:val="0"/>
        <w:spacing w:line="360" w:lineRule="auto"/>
        <w:jc w:val="both"/>
        <w:rPr>
          <w:rFonts w:ascii="Book Antiqua" w:hAnsi="Book Antiqua"/>
        </w:rPr>
      </w:pPr>
    </w:p>
    <w:p w14:paraId="708B79CF" w14:textId="6B01F45C"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Chad </w:t>
      </w:r>
      <w:r w:rsidR="00325765" w:rsidRPr="006D11E5">
        <w:rPr>
          <w:rFonts w:ascii="Book Antiqua" w:eastAsia="Book Antiqua" w:hAnsi="Book Antiqua" w:cs="Book Antiqua"/>
          <w:b/>
          <w:bCs/>
          <w:color w:val="000000"/>
        </w:rPr>
        <w:t xml:space="preserve">A </w:t>
      </w:r>
      <w:r w:rsidRPr="006D11E5">
        <w:rPr>
          <w:rFonts w:ascii="Book Antiqua" w:eastAsia="Book Antiqua" w:hAnsi="Book Antiqua" w:cs="Book Antiqua"/>
          <w:b/>
          <w:bCs/>
          <w:color w:val="000000"/>
        </w:rPr>
        <w:t>Cole</w:t>
      </w:r>
      <w:r w:rsidR="00325765" w:rsidRPr="006D11E5">
        <w:rPr>
          <w:rFonts w:ascii="Book Antiqua" w:eastAsia="Book Antiqua" w:hAnsi="Book Antiqua" w:cs="Book Antiqua"/>
          <w:b/>
          <w:bCs/>
          <w:color w:val="000000"/>
        </w:rPr>
        <w:t xml:space="preserve"> Jr</w:t>
      </w:r>
      <w:r w:rsidRPr="006D11E5">
        <w:rPr>
          <w:rFonts w:ascii="Book Antiqua" w:eastAsia="Book Antiqua" w:hAnsi="Book Antiqua" w:cs="Book Antiqua"/>
          <w:b/>
          <w:bCs/>
          <w:color w:val="000000"/>
        </w:rPr>
        <w:t>,</w:t>
      </w:r>
      <w:r w:rsidR="0086645E" w:rsidRPr="0086645E">
        <w:t xml:space="preserve"> </w:t>
      </w:r>
      <w:r w:rsidR="0086645E" w:rsidRPr="00734B0C">
        <w:rPr>
          <w:rFonts w:ascii="Book Antiqua" w:eastAsia="Book Antiqua" w:hAnsi="Book Antiqua" w:cs="Book Antiqua"/>
          <w:color w:val="000000"/>
        </w:rPr>
        <w:t xml:space="preserve">University of Colorado School of Medicine, Aurora, </w:t>
      </w:r>
      <w:r w:rsidR="0086645E">
        <w:rPr>
          <w:rFonts w:ascii="Book Antiqua" w:eastAsia="Book Antiqua" w:hAnsi="Book Antiqua" w:cs="Book Antiqua"/>
          <w:color w:val="000000"/>
        </w:rPr>
        <w:t xml:space="preserve">CO </w:t>
      </w:r>
      <w:r w:rsidR="0086645E" w:rsidRPr="00734B0C">
        <w:rPr>
          <w:rFonts w:ascii="Book Antiqua" w:eastAsia="Book Antiqua" w:hAnsi="Book Antiqua" w:cs="Book Antiqua"/>
          <w:color w:val="000000"/>
        </w:rPr>
        <w:t>80045</w:t>
      </w:r>
      <w:r w:rsidRPr="00734B0C">
        <w:rPr>
          <w:rFonts w:ascii="Book Antiqua" w:eastAsia="Book Antiqua" w:hAnsi="Book Antiqua" w:cs="Book Antiqua"/>
          <w:color w:val="000000"/>
        </w:rPr>
        <w:t xml:space="preserve">, </w:t>
      </w:r>
      <w:r w:rsidRPr="006D11E5">
        <w:rPr>
          <w:rFonts w:ascii="Book Antiqua" w:eastAsia="Book Antiqua" w:hAnsi="Book Antiqua" w:cs="Book Antiqua"/>
          <w:color w:val="000000"/>
        </w:rPr>
        <w:t>United States</w:t>
      </w:r>
    </w:p>
    <w:p w14:paraId="31CCE9EB" w14:textId="77777777" w:rsidR="00A77B3E" w:rsidRPr="006D11E5" w:rsidRDefault="00A77B3E" w:rsidP="006D11E5">
      <w:pPr>
        <w:adjustRightInd w:val="0"/>
        <w:snapToGrid w:val="0"/>
        <w:spacing w:line="360" w:lineRule="auto"/>
        <w:jc w:val="both"/>
        <w:rPr>
          <w:rFonts w:ascii="Book Antiqua" w:hAnsi="Book Antiqua"/>
        </w:rPr>
      </w:pPr>
    </w:p>
    <w:p w14:paraId="1D36AF9E" w14:textId="72EA942B"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Author contributions: </w:t>
      </w:r>
      <w:proofErr w:type="spellStart"/>
      <w:r w:rsidRPr="006D11E5">
        <w:rPr>
          <w:rFonts w:ascii="Book Antiqua" w:eastAsia="Book Antiqua" w:hAnsi="Book Antiqua" w:cs="Book Antiqua"/>
          <w:color w:val="000000"/>
        </w:rPr>
        <w:t>Pasque</w:t>
      </w:r>
      <w:proofErr w:type="spellEnd"/>
      <w:r w:rsidRPr="006D11E5">
        <w:rPr>
          <w:rFonts w:ascii="Book Antiqua" w:eastAsia="Book Antiqua" w:hAnsi="Book Antiqua" w:cs="Book Antiqua"/>
          <w:color w:val="000000"/>
        </w:rPr>
        <w:t xml:space="preserve"> C</w:t>
      </w:r>
      <w:r w:rsidR="00D51868" w:rsidRPr="006D11E5">
        <w:rPr>
          <w:rFonts w:ascii="Book Antiqua" w:eastAsia="Book Antiqua" w:hAnsi="Book Antiqua" w:cs="Book Antiqua"/>
          <w:color w:val="000000"/>
        </w:rPr>
        <w:t>B</w:t>
      </w:r>
      <w:r w:rsidRPr="006D11E5">
        <w:rPr>
          <w:rFonts w:ascii="Book Antiqua" w:eastAsia="Book Antiqua" w:hAnsi="Book Antiqua" w:cs="Book Antiqua"/>
          <w:color w:val="000000"/>
        </w:rPr>
        <w:t xml:space="preserve"> contributed to the conceptualization, design, data collection, methodology, project administration, supervision, writing, and revising of the manuscript; Pappas A</w:t>
      </w:r>
      <w:r w:rsidR="00D51868" w:rsidRPr="006D11E5">
        <w:rPr>
          <w:rFonts w:ascii="Book Antiqua" w:eastAsia="Book Antiqua" w:hAnsi="Book Antiqua" w:cs="Book Antiqua"/>
          <w:color w:val="000000"/>
        </w:rPr>
        <w:t>J</w:t>
      </w:r>
      <w:r w:rsidRPr="006D11E5">
        <w:rPr>
          <w:rFonts w:ascii="Book Antiqua" w:eastAsia="Book Antiqua" w:hAnsi="Book Antiqua" w:cs="Book Antiqua"/>
          <w:color w:val="000000"/>
        </w:rPr>
        <w:t xml:space="preserve"> contributed to the initial data collection and writing of the manuscript; Cole </w:t>
      </w:r>
      <w:r w:rsidR="00D51868" w:rsidRPr="006D11E5">
        <w:rPr>
          <w:rFonts w:ascii="Book Antiqua" w:eastAsia="Book Antiqua" w:hAnsi="Book Antiqua" w:cs="Book Antiqua"/>
          <w:color w:val="000000"/>
        </w:rPr>
        <w:t xml:space="preserve">Jr </w:t>
      </w:r>
      <w:r w:rsidRPr="006D11E5">
        <w:rPr>
          <w:rFonts w:ascii="Book Antiqua" w:eastAsia="Book Antiqua" w:hAnsi="Book Antiqua" w:cs="Book Antiqua"/>
          <w:color w:val="000000"/>
        </w:rPr>
        <w:t>C</w:t>
      </w:r>
      <w:r w:rsidR="00D51868" w:rsidRPr="006D11E5">
        <w:rPr>
          <w:rFonts w:ascii="Book Antiqua" w:eastAsia="Book Antiqua" w:hAnsi="Book Antiqua" w:cs="Book Antiqua"/>
          <w:color w:val="000000"/>
        </w:rPr>
        <w:t>A</w:t>
      </w:r>
      <w:r w:rsidRPr="006D11E5">
        <w:rPr>
          <w:rFonts w:ascii="Book Antiqua" w:eastAsia="Book Antiqua" w:hAnsi="Book Antiqua" w:cs="Book Antiqua"/>
          <w:color w:val="000000"/>
        </w:rPr>
        <w:t xml:space="preserve"> contributed to the data analysis, literature review, and revision of the manuscript; </w:t>
      </w:r>
      <w:r w:rsidR="00571EDF" w:rsidRPr="006D11E5">
        <w:rPr>
          <w:rFonts w:ascii="Book Antiqua" w:eastAsia="Book Antiqua" w:hAnsi="Book Antiqua" w:cs="Book Antiqua"/>
          <w:color w:val="000000"/>
        </w:rPr>
        <w:t xml:space="preserve">and all </w:t>
      </w:r>
      <w:r w:rsidRPr="006D11E5">
        <w:rPr>
          <w:rFonts w:ascii="Book Antiqua" w:eastAsia="Book Antiqua" w:hAnsi="Book Antiqua" w:cs="Book Antiqua"/>
          <w:color w:val="000000"/>
        </w:rPr>
        <w:t>authors have read and approved the final manuscript.</w:t>
      </w:r>
    </w:p>
    <w:p w14:paraId="55FC12AB" w14:textId="77777777" w:rsidR="00A77B3E" w:rsidRPr="006D11E5" w:rsidRDefault="00A77B3E" w:rsidP="006D11E5">
      <w:pPr>
        <w:adjustRightInd w:val="0"/>
        <w:snapToGrid w:val="0"/>
        <w:spacing w:line="360" w:lineRule="auto"/>
        <w:jc w:val="both"/>
        <w:rPr>
          <w:rFonts w:ascii="Book Antiqua" w:hAnsi="Book Antiqua"/>
        </w:rPr>
      </w:pPr>
    </w:p>
    <w:p w14:paraId="426514E5" w14:textId="026894C2"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Corresponding author: Charles </w:t>
      </w:r>
      <w:r w:rsidR="00637596">
        <w:rPr>
          <w:rFonts w:ascii="Book Antiqua" w:eastAsia="Book Antiqua" w:hAnsi="Book Antiqua" w:cs="Book Antiqua"/>
          <w:b/>
          <w:bCs/>
          <w:color w:val="000000"/>
        </w:rPr>
        <w:t xml:space="preserve">B </w:t>
      </w:r>
      <w:proofErr w:type="spellStart"/>
      <w:r w:rsidRPr="006D11E5">
        <w:rPr>
          <w:rFonts w:ascii="Book Antiqua" w:eastAsia="Book Antiqua" w:hAnsi="Book Antiqua" w:cs="Book Antiqua"/>
          <w:b/>
          <w:bCs/>
          <w:color w:val="000000"/>
        </w:rPr>
        <w:t>Pasque</w:t>
      </w:r>
      <w:proofErr w:type="spellEnd"/>
      <w:r w:rsidRPr="006D11E5">
        <w:rPr>
          <w:rFonts w:ascii="Book Antiqua" w:eastAsia="Book Antiqua" w:hAnsi="Book Antiqua" w:cs="Book Antiqua"/>
          <w:b/>
          <w:bCs/>
          <w:color w:val="000000"/>
        </w:rPr>
        <w:t xml:space="preserve">, MD, Professor, </w:t>
      </w:r>
      <w:r w:rsidR="00325765" w:rsidRPr="006D11E5">
        <w:rPr>
          <w:rFonts w:ascii="Book Antiqua" w:eastAsia="Book Antiqua" w:hAnsi="Book Antiqua" w:cs="Book Antiqua"/>
          <w:b/>
          <w:bCs/>
          <w:color w:val="000000"/>
        </w:rPr>
        <w:t xml:space="preserve">Program Director, Team Physician, </w:t>
      </w:r>
      <w:r w:rsidRPr="006D11E5">
        <w:rPr>
          <w:rFonts w:ascii="Book Antiqua" w:eastAsia="Book Antiqua" w:hAnsi="Book Antiqua" w:cs="Book Antiqua"/>
          <w:color w:val="000000"/>
        </w:rPr>
        <w:t xml:space="preserve">Department of </w:t>
      </w:r>
      <w:proofErr w:type="spellStart"/>
      <w:r w:rsidRPr="006D11E5">
        <w:rPr>
          <w:rFonts w:ascii="Book Antiqua" w:eastAsia="Book Antiqua" w:hAnsi="Book Antiqua" w:cs="Book Antiqua"/>
          <w:color w:val="000000"/>
        </w:rPr>
        <w:t>Orthopaedic</w:t>
      </w:r>
      <w:proofErr w:type="spellEnd"/>
      <w:r w:rsidRPr="006D11E5">
        <w:rPr>
          <w:rFonts w:ascii="Book Antiqua" w:eastAsia="Book Antiqua" w:hAnsi="Book Antiqua" w:cs="Book Antiqua"/>
          <w:color w:val="000000"/>
        </w:rPr>
        <w:t xml:space="preserve"> Surgery and Rehabilitation, University of Oklahoma College of Medicine, 800 Stanton L. Young Blvd, AAT-3400, Oklahoma City, </w:t>
      </w:r>
      <w:r w:rsidR="00571EDF" w:rsidRPr="006D11E5">
        <w:rPr>
          <w:rFonts w:ascii="Book Antiqua" w:eastAsia="Book Antiqua" w:hAnsi="Book Antiqua" w:cs="Book Antiqua"/>
          <w:color w:val="000000"/>
        </w:rPr>
        <w:t>OK</w:t>
      </w:r>
      <w:r w:rsidRPr="006D11E5">
        <w:rPr>
          <w:rFonts w:ascii="Book Antiqua" w:eastAsia="Book Antiqua" w:hAnsi="Book Antiqua" w:cs="Book Antiqua"/>
          <w:color w:val="000000"/>
        </w:rPr>
        <w:t xml:space="preserve"> 73104, United States. charles-pasque@ouhsc.edu</w:t>
      </w:r>
    </w:p>
    <w:p w14:paraId="3ADF68D0" w14:textId="77777777" w:rsidR="00A77B3E" w:rsidRPr="006D11E5" w:rsidRDefault="00A77B3E" w:rsidP="006D11E5">
      <w:pPr>
        <w:adjustRightInd w:val="0"/>
        <w:snapToGrid w:val="0"/>
        <w:spacing w:line="360" w:lineRule="auto"/>
        <w:jc w:val="both"/>
        <w:rPr>
          <w:rFonts w:ascii="Book Antiqua" w:hAnsi="Book Antiqua"/>
        </w:rPr>
      </w:pPr>
    </w:p>
    <w:p w14:paraId="27C4C25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lastRenderedPageBreak/>
        <w:t xml:space="preserve">Received: </w:t>
      </w:r>
      <w:r w:rsidRPr="006D11E5">
        <w:rPr>
          <w:rFonts w:ascii="Book Antiqua" w:eastAsia="Book Antiqua" w:hAnsi="Book Antiqua" w:cs="Book Antiqua"/>
          <w:color w:val="000000"/>
        </w:rPr>
        <w:t>August 28, 2021</w:t>
      </w:r>
    </w:p>
    <w:p w14:paraId="425F4D3B" w14:textId="4FD7751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Revised: </w:t>
      </w:r>
      <w:r w:rsidR="00325765" w:rsidRPr="006D11E5">
        <w:rPr>
          <w:rFonts w:ascii="Book Antiqua" w:eastAsia="Book Antiqua" w:hAnsi="Book Antiqua" w:cs="Book Antiqua"/>
          <w:color w:val="000000"/>
        </w:rPr>
        <w:t>November 28, 2021</w:t>
      </w:r>
    </w:p>
    <w:p w14:paraId="5D22A5ED" w14:textId="7093A17D"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Accepted: </w:t>
      </w:r>
      <w:r w:rsidR="00E42C79" w:rsidRPr="00E42C79">
        <w:rPr>
          <w:rFonts w:ascii="Book Antiqua" w:eastAsia="Book Antiqua" w:hAnsi="Book Antiqua" w:cs="Book Antiqua"/>
          <w:color w:val="000000"/>
        </w:rPr>
        <w:t>April 25, 2022</w:t>
      </w:r>
    </w:p>
    <w:p w14:paraId="1544589B" w14:textId="26DB8341"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Published online: </w:t>
      </w:r>
      <w:r w:rsidR="00B10DC9">
        <w:rPr>
          <w:rFonts w:ascii="Book Antiqua" w:hAnsi="Book Antiqua" w:cs="Book Antiqua" w:hint="eastAsia"/>
          <w:bCs/>
          <w:color w:val="000000"/>
          <w:lang w:val="en-GB" w:eastAsia="zh-CN"/>
        </w:rPr>
        <w:t>May</w:t>
      </w:r>
      <w:r w:rsidR="00B10DC9" w:rsidRPr="00350BB7">
        <w:rPr>
          <w:rFonts w:ascii="Book Antiqua" w:eastAsia="Book Antiqua" w:hAnsi="Book Antiqua" w:cs="Book Antiqua"/>
          <w:bCs/>
          <w:color w:val="000000"/>
          <w:lang w:val="en-GB"/>
        </w:rPr>
        <w:t xml:space="preserve"> </w:t>
      </w:r>
      <w:r w:rsidR="00B10DC9">
        <w:rPr>
          <w:rFonts w:ascii="Book Antiqua" w:hAnsi="Book Antiqua" w:cs="Book Antiqua" w:hint="eastAsia"/>
          <w:bCs/>
          <w:color w:val="000000"/>
          <w:lang w:val="en-GB" w:eastAsia="zh-CN"/>
        </w:rPr>
        <w:t>1</w:t>
      </w:r>
      <w:r w:rsidR="00B10DC9" w:rsidRPr="00350BB7">
        <w:rPr>
          <w:rFonts w:ascii="Book Antiqua" w:eastAsia="Book Antiqua" w:hAnsi="Book Antiqua" w:cs="Book Antiqua"/>
          <w:bCs/>
          <w:color w:val="000000"/>
          <w:lang w:val="en-GB"/>
        </w:rPr>
        <w:t>8, 2022</w:t>
      </w:r>
    </w:p>
    <w:p w14:paraId="68FB47BD" w14:textId="77777777" w:rsidR="008A4F2A" w:rsidRDefault="008A4F2A">
      <w:pPr>
        <w:rPr>
          <w:rFonts w:ascii="Book Antiqua" w:eastAsia="Book Antiqua" w:hAnsi="Book Antiqua" w:cs="Book Antiqua"/>
          <w:b/>
          <w:color w:val="000000"/>
        </w:rPr>
      </w:pPr>
      <w:r>
        <w:rPr>
          <w:rFonts w:ascii="Book Antiqua" w:eastAsia="Book Antiqua" w:hAnsi="Book Antiqua" w:cs="Book Antiqua"/>
          <w:b/>
          <w:color w:val="000000"/>
        </w:rPr>
        <w:br w:type="page"/>
      </w:r>
    </w:p>
    <w:p w14:paraId="1D491336" w14:textId="07732FBE"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lastRenderedPageBreak/>
        <w:t>Abstract</w:t>
      </w:r>
    </w:p>
    <w:p w14:paraId="1772B09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BACKGROUND</w:t>
      </w:r>
    </w:p>
    <w:p w14:paraId="25ED96FB"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Femoral shaft fracture is a commonly encountered orthopedic injury that can be treated operatively with a low overall delayed/nonunion rate. In the case of delayed union after antegrade or retrograde intramedullary nail fixation, fracture dynamization is often attempted first. Nonunion after dynamization has been shown to occur due to infection and other aseptic etiologies. We present a unique case of diaphyseal femoral shaft fracture nonunion after dynamization due to intramedullary cortical bone pedestal formation at the distal tip of the nail.</w:t>
      </w:r>
    </w:p>
    <w:p w14:paraId="26C5D3E8" w14:textId="77777777" w:rsidR="00A77B3E" w:rsidRPr="006D11E5" w:rsidRDefault="00A77B3E" w:rsidP="006D11E5">
      <w:pPr>
        <w:adjustRightInd w:val="0"/>
        <w:snapToGrid w:val="0"/>
        <w:spacing w:line="360" w:lineRule="auto"/>
        <w:jc w:val="both"/>
        <w:rPr>
          <w:rFonts w:ascii="Book Antiqua" w:hAnsi="Book Antiqua"/>
        </w:rPr>
      </w:pPr>
    </w:p>
    <w:p w14:paraId="0E5F3204"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CASE SUMMARY</w:t>
      </w:r>
    </w:p>
    <w:p w14:paraId="750E88E9" w14:textId="45086D2D"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A 37-year-old male experienced a high-energy trauma to his left thigh after coming down hard during a motocross jump. Evaluation was consistent with an isolated, closed, left mid-shaft femur fracture. He was initially managed with reamed antegrade intramedullary nail fixation but had continued thigh pain. Radiographs at four months demonstrated no evidence of fracture union and failure of the distal locking screw, and dynamization by distal locking screw removal was performed. The patient continued to have pain eight months after the initial procedure and 4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after </w:t>
      </w:r>
      <w:proofErr w:type="spellStart"/>
      <w:r w:rsidRPr="006D11E5">
        <w:rPr>
          <w:rFonts w:ascii="Book Antiqua" w:eastAsia="Book Antiqua" w:hAnsi="Book Antiqua" w:cs="Book Antiqua"/>
          <w:color w:val="000000"/>
        </w:rPr>
        <w:t>dynamization</w:t>
      </w:r>
      <w:proofErr w:type="spellEnd"/>
      <w:r w:rsidRPr="006D11E5">
        <w:rPr>
          <w:rFonts w:ascii="Book Antiqua" w:eastAsia="Book Antiqua" w:hAnsi="Book Antiqua" w:cs="Book Antiqua"/>
          <w:color w:val="000000"/>
        </w:rPr>
        <w:t xml:space="preserve"> with serial radiographs continuing to demonstrate no evidence of fracture healing. The decision was made to proceed with exchange nailing for aseptic fracture nonunion. During the exchange procedure, an obstruction was encountered at the distal tip of the failed nail and was confirmed on magnified fluoroscopy to be a pedestal of cortical bone in the canal. The obstruction required further distal reaming.</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 longer and larger diameter exchange nail was placed without difficulty and without a distal locking screw to allow for dynamization at the fracture site. Post-operative radiographs showed proper fracture and hardware alignment. There was </w:t>
      </w:r>
      <w:r w:rsidR="0091657F">
        <w:rPr>
          <w:rFonts w:ascii="Book Antiqua" w:eastAsia="Book Antiqua" w:hAnsi="Book Antiqua" w:cs="Book Antiqua"/>
          <w:color w:val="000000"/>
        </w:rPr>
        <w:t>subsequently</w:t>
      </w:r>
      <w:r w:rsidR="0091657F"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radiographic evidence of callus formation at one year with subsequent fracture consolidation and resolution of thigh pain at eighteen months.</w:t>
      </w:r>
    </w:p>
    <w:p w14:paraId="49A73B18" w14:textId="77777777" w:rsidR="00A77B3E" w:rsidRPr="006D11E5" w:rsidRDefault="00A77B3E" w:rsidP="006D11E5">
      <w:pPr>
        <w:adjustRightInd w:val="0"/>
        <w:snapToGrid w:val="0"/>
        <w:spacing w:line="360" w:lineRule="auto"/>
        <w:jc w:val="both"/>
        <w:rPr>
          <w:rFonts w:ascii="Book Antiqua" w:hAnsi="Book Antiqua"/>
        </w:rPr>
      </w:pPr>
    </w:p>
    <w:p w14:paraId="2F92E9A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lastRenderedPageBreak/>
        <w:t>CONCLUSION</w:t>
      </w:r>
    </w:p>
    <w:p w14:paraId="321A6EA8"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risk of fracture nonunion caused by intramedullary bone pedestal formation can be mitigated with the use of maximum length and diameter nails and close follow up.</w:t>
      </w:r>
    </w:p>
    <w:p w14:paraId="3B13E558" w14:textId="77777777" w:rsidR="00A77B3E" w:rsidRPr="006D11E5" w:rsidRDefault="00A77B3E" w:rsidP="006D11E5">
      <w:pPr>
        <w:adjustRightInd w:val="0"/>
        <w:snapToGrid w:val="0"/>
        <w:spacing w:line="360" w:lineRule="auto"/>
        <w:jc w:val="both"/>
        <w:rPr>
          <w:rFonts w:ascii="Book Antiqua" w:hAnsi="Book Antiqua"/>
        </w:rPr>
      </w:pPr>
    </w:p>
    <w:p w14:paraId="3D39D94C" w14:textId="1832DD78" w:rsidR="00A77B3E" w:rsidRPr="006D11E5" w:rsidRDefault="006315CA" w:rsidP="006D11E5">
      <w:pPr>
        <w:adjustRightInd w:val="0"/>
        <w:snapToGrid w:val="0"/>
        <w:spacing w:line="360" w:lineRule="auto"/>
        <w:jc w:val="both"/>
        <w:rPr>
          <w:rFonts w:ascii="Book Antiqua" w:eastAsia="Book Antiqua" w:hAnsi="Book Antiqua" w:cs="Book Antiqua"/>
          <w:color w:val="000000"/>
        </w:rPr>
      </w:pPr>
      <w:r w:rsidRPr="006D11E5">
        <w:rPr>
          <w:rFonts w:ascii="Book Antiqua" w:eastAsia="Book Antiqua" w:hAnsi="Book Antiqua" w:cs="Book Antiqua"/>
          <w:b/>
          <w:bCs/>
          <w:color w:val="000000"/>
        </w:rPr>
        <w:t xml:space="preserve">Key Words: </w:t>
      </w:r>
      <w:r w:rsidRPr="006D11E5">
        <w:rPr>
          <w:rFonts w:ascii="Book Antiqua" w:eastAsia="Book Antiqua" w:hAnsi="Book Antiqua" w:cs="Book Antiqua"/>
          <w:color w:val="000000"/>
        </w:rPr>
        <w:t>Nonunion; Femoral shaft fracture; Diaphysis; Fracture fixation; Antegrade intramedullary nail</w:t>
      </w:r>
      <w:r w:rsidR="007A4B74" w:rsidRPr="006D11E5">
        <w:rPr>
          <w:rFonts w:ascii="Book Antiqua" w:eastAsia="Book Antiqua" w:hAnsi="Book Antiqua" w:cs="Book Antiqua"/>
          <w:color w:val="000000"/>
        </w:rPr>
        <w:t>; Case report</w:t>
      </w:r>
    </w:p>
    <w:p w14:paraId="72670268" w14:textId="77777777" w:rsidR="007A4B74" w:rsidRDefault="007A4B74" w:rsidP="006D11E5">
      <w:pPr>
        <w:adjustRightInd w:val="0"/>
        <w:snapToGrid w:val="0"/>
        <w:spacing w:line="360" w:lineRule="auto"/>
        <w:jc w:val="both"/>
        <w:rPr>
          <w:rFonts w:ascii="Book Antiqua" w:hAnsi="Book Antiqua"/>
          <w:lang w:eastAsia="zh-CN"/>
        </w:rPr>
      </w:pPr>
    </w:p>
    <w:p w14:paraId="61236656" w14:textId="77777777" w:rsidR="00515FB9" w:rsidRPr="00026CB8" w:rsidRDefault="00515FB9" w:rsidP="00515FB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D823EA5" w14:textId="77777777" w:rsidR="008A4F2A" w:rsidRPr="00515FB9" w:rsidRDefault="008A4F2A" w:rsidP="006D11E5">
      <w:pPr>
        <w:adjustRightInd w:val="0"/>
        <w:snapToGrid w:val="0"/>
        <w:spacing w:line="360" w:lineRule="auto"/>
        <w:jc w:val="both"/>
        <w:rPr>
          <w:rFonts w:ascii="Book Antiqua" w:hAnsi="Book Antiqua"/>
          <w:lang w:eastAsia="zh-CN"/>
        </w:rPr>
      </w:pPr>
    </w:p>
    <w:p w14:paraId="6056F3D4" w14:textId="1D2B1D37" w:rsidR="00702225" w:rsidRPr="00B650DA" w:rsidRDefault="00B10DC9" w:rsidP="00702225">
      <w:pPr>
        <w:adjustRightInd w:val="0"/>
        <w:snapToGrid w:val="0"/>
        <w:spacing w:line="360" w:lineRule="auto"/>
        <w:jc w:val="both"/>
        <w:rPr>
          <w:rFonts w:ascii="Book Antiqua" w:hAnsi="Book Antiqua" w:cs="Book Antiqua"/>
          <w:color w:val="000000"/>
          <w:lang w:eastAsia="zh-CN"/>
        </w:rPr>
      </w:pPr>
      <w:r w:rsidRPr="00222233">
        <w:rPr>
          <w:rFonts w:ascii="Book Antiqua" w:eastAsia="Book Antiqua" w:hAnsi="Book Antiqua" w:cs="Book Antiqua"/>
          <w:b/>
          <w:color w:val="000000"/>
        </w:rPr>
        <w:t xml:space="preserve">Citation: </w:t>
      </w:r>
      <w:proofErr w:type="spellStart"/>
      <w:r w:rsidR="006315CA" w:rsidRPr="006D11E5">
        <w:rPr>
          <w:rFonts w:ascii="Book Antiqua" w:eastAsia="Book Antiqua" w:hAnsi="Book Antiqua" w:cs="Book Antiqua"/>
          <w:color w:val="000000"/>
        </w:rPr>
        <w:t>Pasque</w:t>
      </w:r>
      <w:proofErr w:type="spellEnd"/>
      <w:r w:rsidR="006315CA" w:rsidRPr="006D11E5">
        <w:rPr>
          <w:rFonts w:ascii="Book Antiqua" w:eastAsia="Book Antiqua" w:hAnsi="Book Antiqua" w:cs="Book Antiqua"/>
          <w:color w:val="000000"/>
        </w:rPr>
        <w:t xml:space="preserve"> C</w:t>
      </w:r>
      <w:r w:rsidR="007312AB" w:rsidRPr="006D11E5">
        <w:rPr>
          <w:rFonts w:ascii="Book Antiqua" w:eastAsia="Book Antiqua" w:hAnsi="Book Antiqua" w:cs="Book Antiqua"/>
          <w:color w:val="000000"/>
        </w:rPr>
        <w:t>B</w:t>
      </w:r>
      <w:r w:rsidR="006315CA" w:rsidRPr="006D11E5">
        <w:rPr>
          <w:rFonts w:ascii="Book Antiqua" w:eastAsia="Book Antiqua" w:hAnsi="Book Antiqua" w:cs="Book Antiqua"/>
          <w:color w:val="000000"/>
        </w:rPr>
        <w:t>, Pappas A</w:t>
      </w:r>
      <w:r w:rsidR="007312AB" w:rsidRPr="006D11E5">
        <w:rPr>
          <w:rFonts w:ascii="Book Antiqua" w:eastAsia="Book Antiqua" w:hAnsi="Book Antiqua" w:cs="Book Antiqua"/>
          <w:color w:val="000000"/>
        </w:rPr>
        <w:t>J</w:t>
      </w:r>
      <w:r w:rsidR="006315CA" w:rsidRPr="006D11E5">
        <w:rPr>
          <w:rFonts w:ascii="Book Antiqua" w:eastAsia="Book Antiqua" w:hAnsi="Book Antiqua" w:cs="Book Antiqua"/>
          <w:color w:val="000000"/>
        </w:rPr>
        <w:t xml:space="preserve">, Cole </w:t>
      </w:r>
      <w:r w:rsidR="007312AB" w:rsidRPr="006D11E5">
        <w:rPr>
          <w:rFonts w:ascii="Book Antiqua" w:eastAsia="Book Antiqua" w:hAnsi="Book Antiqua" w:cs="Book Antiqua"/>
          <w:color w:val="000000"/>
        </w:rPr>
        <w:t xml:space="preserve">Jr </w:t>
      </w:r>
      <w:r w:rsidR="006315CA" w:rsidRPr="006D11E5">
        <w:rPr>
          <w:rFonts w:ascii="Book Antiqua" w:eastAsia="Book Antiqua" w:hAnsi="Book Antiqua" w:cs="Book Antiqua"/>
          <w:color w:val="000000"/>
        </w:rPr>
        <w:t>C</w:t>
      </w:r>
      <w:r w:rsidR="007312AB" w:rsidRPr="006D11E5">
        <w:rPr>
          <w:rFonts w:ascii="Book Antiqua" w:eastAsia="Book Antiqua" w:hAnsi="Book Antiqua" w:cs="Book Antiqua"/>
          <w:color w:val="000000"/>
        </w:rPr>
        <w:t>A</w:t>
      </w:r>
      <w:r w:rsidR="006315CA" w:rsidRPr="006D11E5">
        <w:rPr>
          <w:rFonts w:ascii="Book Antiqua" w:eastAsia="Book Antiqua" w:hAnsi="Book Antiqua" w:cs="Book Antiqua"/>
          <w:color w:val="000000"/>
        </w:rPr>
        <w:t xml:space="preserve">. </w:t>
      </w:r>
      <w:r w:rsidR="007312AB" w:rsidRPr="006D11E5">
        <w:rPr>
          <w:rFonts w:ascii="Book Antiqua" w:eastAsia="Book Antiqua" w:hAnsi="Book Antiqua" w:cs="Book Antiqua"/>
          <w:color w:val="000000"/>
        </w:rPr>
        <w:t>Intramedullary bone pedestal formation contributing to femoral shaft fracture nonunion: A case report and review of the literature</w:t>
      </w:r>
      <w:r w:rsidR="006315CA" w:rsidRPr="006D11E5">
        <w:rPr>
          <w:rFonts w:ascii="Book Antiqua" w:eastAsia="Book Antiqua" w:hAnsi="Book Antiqua" w:cs="Book Antiqua"/>
          <w:color w:val="000000"/>
        </w:rPr>
        <w:t xml:space="preserve">. </w:t>
      </w:r>
      <w:r w:rsidR="006315CA" w:rsidRPr="006D11E5">
        <w:rPr>
          <w:rFonts w:ascii="Book Antiqua" w:eastAsia="Book Antiqua" w:hAnsi="Book Antiqua" w:cs="Book Antiqua"/>
          <w:i/>
          <w:iCs/>
          <w:color w:val="000000"/>
        </w:rPr>
        <w:t xml:space="preserve">World J </w:t>
      </w:r>
      <w:proofErr w:type="spellStart"/>
      <w:r w:rsidR="006315CA" w:rsidRPr="006D11E5">
        <w:rPr>
          <w:rFonts w:ascii="Book Antiqua" w:eastAsia="Book Antiqua" w:hAnsi="Book Antiqua" w:cs="Book Antiqua"/>
          <w:i/>
          <w:iCs/>
          <w:color w:val="000000"/>
        </w:rPr>
        <w:t>Orthop</w:t>
      </w:r>
      <w:proofErr w:type="spellEnd"/>
      <w:r w:rsidR="006315CA" w:rsidRPr="006D11E5">
        <w:rPr>
          <w:rFonts w:ascii="Book Antiqua" w:eastAsia="Book Antiqua" w:hAnsi="Book Antiqua" w:cs="Book Antiqua"/>
          <w:color w:val="000000"/>
        </w:rPr>
        <w:t xml:space="preserve"> </w:t>
      </w:r>
      <w:r w:rsidR="007312AB" w:rsidRPr="006D11E5">
        <w:rPr>
          <w:rFonts w:ascii="Book Antiqua" w:eastAsia="Book Antiqua" w:hAnsi="Book Antiqua" w:cs="Book Antiqua"/>
          <w:color w:val="000000"/>
        </w:rPr>
        <w:t>2022</w:t>
      </w:r>
      <w:r w:rsidR="006315CA" w:rsidRPr="006D11E5">
        <w:rPr>
          <w:rFonts w:ascii="Book Antiqua" w:eastAsia="Book Antiqua" w:hAnsi="Book Antiqua" w:cs="Book Antiqua"/>
          <w:color w:val="000000"/>
        </w:rPr>
        <w:t>;</w:t>
      </w:r>
      <w:r w:rsidR="00702225">
        <w:rPr>
          <w:rFonts w:ascii="Book Antiqua" w:eastAsia="Book Antiqua" w:hAnsi="Book Antiqua" w:cs="Book Antiqua"/>
          <w:color w:val="000000"/>
        </w:rPr>
        <w:t xml:space="preserve"> </w:t>
      </w:r>
      <w:r w:rsidR="00702225">
        <w:rPr>
          <w:rFonts w:ascii="Book Antiqua" w:hAnsi="Book Antiqua" w:cs="Book Antiqua"/>
          <w:color w:val="000000"/>
          <w:lang w:eastAsia="zh-CN"/>
        </w:rPr>
        <w:t>13(</w:t>
      </w:r>
      <w:r w:rsidR="00702225">
        <w:rPr>
          <w:rFonts w:ascii="Book Antiqua" w:hAnsi="Book Antiqua" w:cs="Book Antiqua" w:hint="eastAsia"/>
          <w:color w:val="000000"/>
          <w:lang w:eastAsia="zh-CN"/>
        </w:rPr>
        <w:t>5</w:t>
      </w:r>
      <w:r w:rsidR="00702225">
        <w:rPr>
          <w:rFonts w:ascii="Book Antiqua" w:hAnsi="Book Antiqua" w:cs="Book Antiqua"/>
          <w:color w:val="000000"/>
          <w:lang w:eastAsia="zh-CN"/>
        </w:rPr>
        <w:t xml:space="preserve">): </w:t>
      </w:r>
      <w:r w:rsidR="00AA1F3A">
        <w:rPr>
          <w:rFonts w:ascii="Book Antiqua" w:hAnsi="Book Antiqua" w:cs="Book Antiqua" w:hint="eastAsia"/>
          <w:color w:val="000000"/>
          <w:lang w:eastAsia="zh-CN"/>
        </w:rPr>
        <w:t>528</w:t>
      </w:r>
      <w:r w:rsidR="00702225">
        <w:rPr>
          <w:rFonts w:ascii="Book Antiqua" w:hAnsi="Book Antiqua" w:cs="Book Antiqua"/>
          <w:color w:val="000000"/>
          <w:lang w:eastAsia="zh-CN"/>
        </w:rPr>
        <w:t>-</w:t>
      </w:r>
      <w:r w:rsidR="00AA1F3A">
        <w:rPr>
          <w:rFonts w:ascii="Book Antiqua" w:hAnsi="Book Antiqua" w:cs="Book Antiqua" w:hint="eastAsia"/>
          <w:color w:val="000000"/>
          <w:lang w:eastAsia="zh-CN"/>
        </w:rPr>
        <w:t>537</w:t>
      </w:r>
    </w:p>
    <w:p w14:paraId="02D504CE" w14:textId="0AA43DB6" w:rsidR="00702225" w:rsidRDefault="00702225" w:rsidP="00702225">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5</w:t>
      </w:r>
      <w:r>
        <w:rPr>
          <w:rFonts w:ascii="Book Antiqua" w:hAnsi="Book Antiqua" w:cs="Book Antiqua"/>
          <w:lang w:eastAsia="zh-CN"/>
        </w:rPr>
        <w:t>/</w:t>
      </w:r>
      <w:r w:rsidR="00AA1F3A">
        <w:rPr>
          <w:rFonts w:ascii="Book Antiqua" w:hAnsi="Book Antiqua" w:cs="Book Antiqua" w:hint="eastAsia"/>
          <w:lang w:eastAsia="zh-CN"/>
        </w:rPr>
        <w:t>528</w:t>
      </w:r>
      <w:r>
        <w:rPr>
          <w:rFonts w:ascii="Book Antiqua" w:hAnsi="Book Antiqua" w:cs="Book Antiqua"/>
          <w:lang w:eastAsia="zh-CN"/>
        </w:rPr>
        <w:t>.htm</w:t>
      </w:r>
    </w:p>
    <w:p w14:paraId="6F520449" w14:textId="29C9666A" w:rsidR="00A77B3E" w:rsidRPr="006D11E5" w:rsidRDefault="00702225" w:rsidP="00702225">
      <w:pPr>
        <w:adjustRightInd w:val="0"/>
        <w:snapToGrid w:val="0"/>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5</w:t>
      </w:r>
      <w:r>
        <w:rPr>
          <w:rFonts w:ascii="Book Antiqua" w:hAnsi="Book Antiqua" w:cs="Book Antiqua"/>
          <w:color w:val="000000"/>
          <w:lang w:eastAsia="zh-CN"/>
        </w:rPr>
        <w:t>.</w:t>
      </w:r>
      <w:r w:rsidR="00AA1F3A">
        <w:rPr>
          <w:rFonts w:ascii="Book Antiqua" w:hAnsi="Book Antiqua" w:cs="Book Antiqua" w:hint="eastAsia"/>
          <w:color w:val="000000"/>
          <w:lang w:eastAsia="zh-CN"/>
        </w:rPr>
        <w:t>528</w:t>
      </w:r>
    </w:p>
    <w:p w14:paraId="387B4FE4" w14:textId="77777777" w:rsidR="00A77B3E" w:rsidRPr="006D11E5" w:rsidRDefault="00A77B3E" w:rsidP="006D11E5">
      <w:pPr>
        <w:adjustRightInd w:val="0"/>
        <w:snapToGrid w:val="0"/>
        <w:spacing w:line="360" w:lineRule="auto"/>
        <w:jc w:val="both"/>
        <w:rPr>
          <w:rFonts w:ascii="Book Antiqua" w:hAnsi="Book Antiqua"/>
        </w:rPr>
      </w:pPr>
    </w:p>
    <w:p w14:paraId="6DB4C2E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Core Tip: </w:t>
      </w:r>
      <w:r w:rsidRPr="006D11E5">
        <w:rPr>
          <w:rFonts w:ascii="Book Antiqua" w:eastAsia="Book Antiqua" w:hAnsi="Book Antiqua" w:cs="Book Antiqua"/>
          <w:color w:val="000000"/>
        </w:rPr>
        <w:t>Femoral shaft fracture nonunion after surgical fixation is a rare complication known to be associated with infection, anatomic abnormalities, hardware failure, and other aseptic etiologies. It is now known that intramedullary bone pedestal formation can also be a cause of nonunion after fracture dynamization. In order to prevent this complication, surgeons should elect to use a maximal length intramedullary nail during initial fixation and follow up closely if the patient is showing signs of delayed union.</w:t>
      </w:r>
    </w:p>
    <w:p w14:paraId="64D64F59" w14:textId="77777777" w:rsidR="008A4F2A" w:rsidRDefault="008A4F2A">
      <w:pPr>
        <w:rPr>
          <w:rFonts w:ascii="Book Antiqua" w:hAnsi="Book Antiqua"/>
        </w:rPr>
      </w:pPr>
      <w:r>
        <w:rPr>
          <w:rFonts w:ascii="Book Antiqua" w:hAnsi="Book Antiqua"/>
        </w:rPr>
        <w:br w:type="page"/>
      </w:r>
    </w:p>
    <w:p w14:paraId="61290CBC" w14:textId="68AA3594"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lastRenderedPageBreak/>
        <w:t>INTRODUCTION</w:t>
      </w:r>
    </w:p>
    <w:p w14:paraId="7F99C156" w14:textId="6F34A099" w:rsidR="007312AB" w:rsidRPr="006D11E5" w:rsidRDefault="006315CA" w:rsidP="006D11E5">
      <w:pPr>
        <w:adjustRightInd w:val="0"/>
        <w:snapToGrid w:val="0"/>
        <w:spacing w:line="360" w:lineRule="auto"/>
        <w:jc w:val="both"/>
        <w:rPr>
          <w:rFonts w:ascii="Book Antiqua" w:eastAsia="Book Antiqua" w:hAnsi="Book Antiqua" w:cs="Book Antiqua"/>
          <w:color w:val="000000"/>
        </w:rPr>
      </w:pPr>
      <w:r w:rsidRPr="006D11E5">
        <w:rPr>
          <w:rFonts w:ascii="Book Antiqua" w:eastAsia="Book Antiqua" w:hAnsi="Book Antiqua" w:cs="Book Antiqua"/>
          <w:color w:val="000000"/>
        </w:rPr>
        <w:t xml:space="preserve">Diaphyseal femur fractures treated with reamed intramedullary nail fixation have a low incidence of </w:t>
      </w:r>
      <w:proofErr w:type="gramStart"/>
      <w:r w:rsidRPr="006D11E5">
        <w:rPr>
          <w:rFonts w:ascii="Book Antiqua" w:eastAsia="Book Antiqua" w:hAnsi="Book Antiqua" w:cs="Book Antiqua"/>
          <w:color w:val="000000"/>
        </w:rPr>
        <w:t>nonunion</w:t>
      </w:r>
      <w:r w:rsidR="007312AB" w:rsidRPr="006D11E5">
        <w:rPr>
          <w:rFonts w:ascii="Book Antiqua" w:eastAsia="Book Antiqua" w:hAnsi="Book Antiqua" w:cs="Book Antiqua"/>
          <w:color w:val="000000"/>
          <w:vertAlign w:val="superscript"/>
        </w:rPr>
        <w:t>[</w:t>
      </w:r>
      <w:proofErr w:type="gramEnd"/>
      <w:r w:rsidR="007312AB" w:rsidRPr="006D11E5">
        <w:rPr>
          <w:rFonts w:ascii="Book Antiqua" w:eastAsia="Book Antiqua" w:hAnsi="Book Antiqua" w:cs="Book Antiqua"/>
          <w:color w:val="000000"/>
          <w:vertAlign w:val="superscript"/>
        </w:rPr>
        <w:t>1-5]</w:t>
      </w:r>
      <w:r w:rsidRPr="006D11E5">
        <w:rPr>
          <w:rFonts w:ascii="Book Antiqua" w:eastAsia="Book Antiqua" w:hAnsi="Book Antiqua" w:cs="Book Antiqua"/>
          <w:color w:val="000000"/>
        </w:rPr>
        <w:t xml:space="preserve">.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have been found to occur secondary to infection and a variety of aseptic etiologies.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Aseptic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have been associated with fracture instability, distraction, malalignment, large bony defects, and open fractures. These procedure and fracture associated factors prevent adequate blood supply to the fracture site and impede the healing response. Patient factors have also been linked to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in some series. These may be factors that lead to poor blood supply such as vascular disease, diabetes, and smoking. Others have a more direct effect on the healing process by impeding the immune response and preventing the proper balance of osteoblast/osteoclast activity. These include the use of non-steroidal anti-inflammatory drugs (NSAIDs), use of steroids, advancing age, malignancy, and diabetes </w:t>
      </w:r>
      <w:proofErr w:type="gramStart"/>
      <w:r w:rsidRPr="006D11E5">
        <w:rPr>
          <w:rFonts w:ascii="Book Antiqua" w:eastAsia="Book Antiqua" w:hAnsi="Book Antiqua" w:cs="Book Antiqua"/>
          <w:color w:val="000000"/>
        </w:rPr>
        <w:t>mellitus</w:t>
      </w:r>
      <w:r w:rsidR="007312AB" w:rsidRPr="006D11E5">
        <w:rPr>
          <w:rFonts w:ascii="Book Antiqua" w:eastAsia="Book Antiqua" w:hAnsi="Book Antiqua" w:cs="Book Antiqua"/>
          <w:color w:val="000000"/>
          <w:vertAlign w:val="superscript"/>
        </w:rPr>
        <w:t>[</w:t>
      </w:r>
      <w:proofErr w:type="gramEnd"/>
      <w:r w:rsidR="007312AB" w:rsidRPr="006D11E5">
        <w:rPr>
          <w:rFonts w:ascii="Book Antiqua" w:eastAsia="Book Antiqua" w:hAnsi="Book Antiqua" w:cs="Book Antiqua"/>
          <w:color w:val="000000"/>
          <w:vertAlign w:val="superscript"/>
        </w:rPr>
        <w:t>6-11]</w:t>
      </w:r>
      <w:r w:rsidRPr="006D11E5">
        <w:rPr>
          <w:rFonts w:ascii="Book Antiqua" w:eastAsia="Book Antiqua" w:hAnsi="Book Antiqua" w:cs="Book Antiqua"/>
          <w:color w:val="000000"/>
        </w:rPr>
        <w:t>.</w:t>
      </w:r>
    </w:p>
    <w:p w14:paraId="1BE23FA8" w14:textId="279F3003"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When an aseptic fracture nonunion occurs after intramedullary nail fixation, there are multiple methods of revision that have been studied and proven to be effective. Such methods include, nail dynamization, exchange nailing, and augmentative </w:t>
      </w:r>
      <w:proofErr w:type="gramStart"/>
      <w:r w:rsidRPr="006D11E5">
        <w:rPr>
          <w:rFonts w:ascii="Book Antiqua" w:eastAsia="Book Antiqua" w:hAnsi="Book Antiqua" w:cs="Book Antiqua"/>
          <w:color w:val="000000"/>
        </w:rPr>
        <w:t>plating</w:t>
      </w:r>
      <w:r w:rsidR="007312AB" w:rsidRPr="006D11E5">
        <w:rPr>
          <w:rFonts w:ascii="Book Antiqua" w:eastAsia="Book Antiqua" w:hAnsi="Book Antiqua" w:cs="Book Antiqua"/>
          <w:color w:val="000000"/>
          <w:vertAlign w:val="superscript"/>
        </w:rPr>
        <w:t>[</w:t>
      </w:r>
      <w:proofErr w:type="gramEnd"/>
      <w:r w:rsidR="007312AB" w:rsidRPr="006D11E5">
        <w:rPr>
          <w:rFonts w:ascii="Book Antiqua" w:eastAsia="Book Antiqua" w:hAnsi="Book Antiqua" w:cs="Book Antiqua"/>
          <w:color w:val="000000"/>
          <w:vertAlign w:val="superscript"/>
        </w:rPr>
        <w:t>4,5]</w:t>
      </w:r>
      <w:r w:rsidRPr="006D11E5">
        <w:rPr>
          <w:rFonts w:ascii="Book Antiqua" w:eastAsia="Book Antiqua" w:hAnsi="Book Antiqua" w:cs="Book Antiqua"/>
          <w:color w:val="000000"/>
        </w:rPr>
        <w:t>. Causes of non-union after revision have been found to be similar to that of non-union after initial fixation, though the rare incidence of repeat non-union has led to sparse data on the topic. We present a unique case of mid-shaft femur fracture nonunion after nail dynamization due to intramedullary bone pedestal formation.</w:t>
      </w:r>
    </w:p>
    <w:p w14:paraId="51B0C65A" w14:textId="77777777" w:rsidR="00A77B3E" w:rsidRPr="006D11E5" w:rsidRDefault="00A77B3E" w:rsidP="006D11E5">
      <w:pPr>
        <w:adjustRightInd w:val="0"/>
        <w:snapToGrid w:val="0"/>
        <w:spacing w:line="360" w:lineRule="auto"/>
        <w:jc w:val="both"/>
        <w:rPr>
          <w:rFonts w:ascii="Book Antiqua" w:hAnsi="Book Antiqua"/>
        </w:rPr>
      </w:pPr>
    </w:p>
    <w:p w14:paraId="05B65EFD"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CASE PRESENTATION</w:t>
      </w:r>
    </w:p>
    <w:p w14:paraId="4066BFC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Chief complaints</w:t>
      </w:r>
    </w:p>
    <w:p w14:paraId="40D884D8"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A 37-year-old white male presented to our clinic with 5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of left thigh pain with activity.</w:t>
      </w:r>
    </w:p>
    <w:p w14:paraId="4D6D31DA" w14:textId="77777777" w:rsidR="00A77B3E" w:rsidRPr="006D11E5" w:rsidRDefault="00A77B3E" w:rsidP="006D11E5">
      <w:pPr>
        <w:adjustRightInd w:val="0"/>
        <w:snapToGrid w:val="0"/>
        <w:spacing w:line="360" w:lineRule="auto"/>
        <w:jc w:val="both"/>
        <w:rPr>
          <w:rFonts w:ascii="Book Antiqua" w:hAnsi="Book Antiqua"/>
        </w:rPr>
      </w:pPr>
    </w:p>
    <w:p w14:paraId="711E5AC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History of present illness</w:t>
      </w:r>
    </w:p>
    <w:p w14:paraId="1490C4E9" w14:textId="54B2A264" w:rsidR="007312AB"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The patient’s symptoms began when he was involved in a motocross accident in which he came down hard from a jump. He remarkably was able to hop to his car and drive himself to a nearby hospital where he was found to have an obvious deformity of the </w:t>
      </w:r>
      <w:r w:rsidRPr="006D11E5">
        <w:rPr>
          <w:rFonts w:ascii="Book Antiqua" w:eastAsia="Book Antiqua" w:hAnsi="Book Antiqua" w:cs="Book Antiqua"/>
          <w:color w:val="000000"/>
        </w:rPr>
        <w:lastRenderedPageBreak/>
        <w:t>left thigh.</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Subsequent evaluation was consistent with an isolated, closed, left mid-shaft femur fracture.</w:t>
      </w:r>
    </w:p>
    <w:p w14:paraId="51190039" w14:textId="6BBEDF7E"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The patient underwent reamed antegrade intramedullary nail fixation of his left femur fracture at an outside hospital. Post-operative recovery was unremarkable except that he continued to have problems with left thigh pain during activity. Four months after his initial surgery, he was found to have broken his single distal locking screw, and he underwent distal locking screw removal for nail dynamization at the outside hospital. Left thigh pain with activity persisted five months post-operatively prompting presentation to our clinic.</w:t>
      </w:r>
    </w:p>
    <w:p w14:paraId="472A655F" w14:textId="77777777" w:rsidR="00A77B3E" w:rsidRPr="006D11E5" w:rsidRDefault="00A77B3E" w:rsidP="006D11E5">
      <w:pPr>
        <w:adjustRightInd w:val="0"/>
        <w:snapToGrid w:val="0"/>
        <w:spacing w:line="360" w:lineRule="auto"/>
        <w:jc w:val="both"/>
        <w:rPr>
          <w:rFonts w:ascii="Book Antiqua" w:hAnsi="Book Antiqua"/>
        </w:rPr>
      </w:pPr>
    </w:p>
    <w:p w14:paraId="407FBF1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History of past illness</w:t>
      </w:r>
    </w:p>
    <w:p w14:paraId="7FD3679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patient had no relevant previous medical history.</w:t>
      </w:r>
    </w:p>
    <w:p w14:paraId="6C3A0490" w14:textId="77777777" w:rsidR="00A77B3E" w:rsidRPr="006D11E5" w:rsidRDefault="00A77B3E" w:rsidP="006D11E5">
      <w:pPr>
        <w:adjustRightInd w:val="0"/>
        <w:snapToGrid w:val="0"/>
        <w:spacing w:line="360" w:lineRule="auto"/>
        <w:jc w:val="both"/>
        <w:rPr>
          <w:rFonts w:ascii="Book Antiqua" w:hAnsi="Book Antiqua"/>
        </w:rPr>
      </w:pPr>
    </w:p>
    <w:p w14:paraId="08CDFA22"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Personal and family history</w:t>
      </w:r>
    </w:p>
    <w:p w14:paraId="61019A8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patient had no relevant personal or family medical history.</w:t>
      </w:r>
    </w:p>
    <w:p w14:paraId="15922561" w14:textId="77777777" w:rsidR="00A77B3E" w:rsidRPr="006D11E5" w:rsidRDefault="00A77B3E" w:rsidP="006D11E5">
      <w:pPr>
        <w:adjustRightInd w:val="0"/>
        <w:snapToGrid w:val="0"/>
        <w:spacing w:line="360" w:lineRule="auto"/>
        <w:jc w:val="both"/>
        <w:rPr>
          <w:rFonts w:ascii="Book Antiqua" w:hAnsi="Book Antiqua"/>
        </w:rPr>
      </w:pPr>
    </w:p>
    <w:p w14:paraId="22B0C924"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Physical examination</w:t>
      </w:r>
    </w:p>
    <w:p w14:paraId="732127D1"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patient had a well-healed incisions without evidence of infection. He had left thigh pain to palpation and with weight bearing.</w:t>
      </w:r>
    </w:p>
    <w:p w14:paraId="5A01708A" w14:textId="77777777" w:rsidR="00A77B3E" w:rsidRPr="006D11E5" w:rsidRDefault="00A77B3E" w:rsidP="006D11E5">
      <w:pPr>
        <w:adjustRightInd w:val="0"/>
        <w:snapToGrid w:val="0"/>
        <w:spacing w:line="360" w:lineRule="auto"/>
        <w:jc w:val="both"/>
        <w:rPr>
          <w:rFonts w:ascii="Book Antiqua" w:hAnsi="Book Antiqua"/>
        </w:rPr>
      </w:pPr>
    </w:p>
    <w:p w14:paraId="0447427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Laboratory examinations</w:t>
      </w:r>
    </w:p>
    <w:p w14:paraId="3CCD8B0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Baseline laboratory studies including an erythrocyte sedimentation rate were unremarkable.</w:t>
      </w:r>
    </w:p>
    <w:p w14:paraId="345B3D12" w14:textId="77777777" w:rsidR="00A77B3E" w:rsidRPr="006D11E5" w:rsidRDefault="00A77B3E" w:rsidP="006D11E5">
      <w:pPr>
        <w:adjustRightInd w:val="0"/>
        <w:snapToGrid w:val="0"/>
        <w:spacing w:line="360" w:lineRule="auto"/>
        <w:jc w:val="both"/>
        <w:rPr>
          <w:rFonts w:ascii="Book Antiqua" w:hAnsi="Book Antiqua"/>
        </w:rPr>
      </w:pPr>
    </w:p>
    <w:p w14:paraId="2B42B7D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Imaging examinations</w:t>
      </w:r>
    </w:p>
    <w:p w14:paraId="3993F7A5" w14:textId="64F6F2B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Post-operative radiographs from the outside hospital showed placement of 9 </w:t>
      </w:r>
      <w:r w:rsidR="007312AB" w:rsidRPr="006D11E5">
        <w:rPr>
          <w:rFonts w:ascii="Book Antiqua" w:eastAsia="Book Antiqua" w:hAnsi="Book Antiqua" w:cs="Book Antiqua"/>
          <w:color w:val="000000"/>
        </w:rPr>
        <w:t xml:space="preserve">mm </w:t>
      </w:r>
      <w:r w:rsidR="007312AB" w:rsidRPr="006D11E5">
        <w:rPr>
          <w:rFonts w:ascii="Book Antiqua" w:hAnsi="Book Antiqua" w:cs="Book Antiqua"/>
          <w:color w:val="000000"/>
          <w:lang w:eastAsia="zh-CN"/>
        </w:rPr>
        <w:t>×</w:t>
      </w:r>
      <w:r w:rsidRPr="006D11E5">
        <w:rPr>
          <w:rFonts w:ascii="Book Antiqua" w:eastAsia="Book Antiqua" w:hAnsi="Book Antiqua" w:cs="Book Antiqua"/>
          <w:color w:val="000000"/>
        </w:rPr>
        <w:t xml:space="preserve"> 380 mm Russell-Taylor Delta II antegrade intramedullary nail through a left transverse mid-shaft femur fracture with single distal interlocking screw (Figure 1A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 xml:space="preserve">B). Radiographs obtained four months post-operatively at the outside hospital revealed </w:t>
      </w:r>
      <w:r w:rsidRPr="006D11E5">
        <w:rPr>
          <w:rFonts w:ascii="Book Antiqua" w:eastAsia="Book Antiqua" w:hAnsi="Book Antiqua" w:cs="Book Antiqua"/>
          <w:color w:val="000000"/>
        </w:rPr>
        <w:lastRenderedPageBreak/>
        <w:t>breakage of the distal interlocking screw and no evidence of fracture union (Figure 2A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 xml:space="preserve">B). After presentation to our clinic, the decision was made to continue with normal weight bearing activity and obtain serial radiographs. Radiographs obtained 8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post-operatively continued to reveal no evidence of fracture union (Figure 3A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B).</w:t>
      </w:r>
    </w:p>
    <w:p w14:paraId="7C90396C" w14:textId="77777777" w:rsidR="00A77B3E" w:rsidRPr="006D11E5" w:rsidRDefault="00A77B3E" w:rsidP="006D11E5">
      <w:pPr>
        <w:adjustRightInd w:val="0"/>
        <w:snapToGrid w:val="0"/>
        <w:spacing w:line="360" w:lineRule="auto"/>
        <w:jc w:val="both"/>
        <w:rPr>
          <w:rFonts w:ascii="Book Antiqua" w:hAnsi="Book Antiqua"/>
        </w:rPr>
      </w:pPr>
    </w:p>
    <w:p w14:paraId="43F7E53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FINAL DIAGNOSIS</w:t>
      </w:r>
    </w:p>
    <w:p w14:paraId="18202D25"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Aseptic nonunion of left femoral shaft fracture.</w:t>
      </w:r>
    </w:p>
    <w:p w14:paraId="25709B97" w14:textId="77777777" w:rsidR="00A77B3E" w:rsidRPr="006D11E5" w:rsidRDefault="00A77B3E" w:rsidP="006D11E5">
      <w:pPr>
        <w:adjustRightInd w:val="0"/>
        <w:snapToGrid w:val="0"/>
        <w:spacing w:line="360" w:lineRule="auto"/>
        <w:jc w:val="both"/>
        <w:rPr>
          <w:rFonts w:ascii="Book Antiqua" w:hAnsi="Book Antiqua"/>
        </w:rPr>
      </w:pPr>
    </w:p>
    <w:p w14:paraId="6C0DBDB4"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TREATMENT</w:t>
      </w:r>
    </w:p>
    <w:p w14:paraId="6633980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decision was made to proceed with exchange intramedullary nailing of the left femur.</w:t>
      </w:r>
    </w:p>
    <w:p w14:paraId="645C2546" w14:textId="77777777" w:rsidR="00A77B3E" w:rsidRPr="006D11E5" w:rsidRDefault="00A77B3E" w:rsidP="006D11E5">
      <w:pPr>
        <w:adjustRightInd w:val="0"/>
        <w:snapToGrid w:val="0"/>
        <w:spacing w:line="360" w:lineRule="auto"/>
        <w:jc w:val="both"/>
        <w:rPr>
          <w:rFonts w:ascii="Book Antiqua" w:hAnsi="Book Antiqua"/>
        </w:rPr>
      </w:pPr>
    </w:p>
    <w:p w14:paraId="3E0EDB6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i/>
          <w:iCs/>
          <w:color w:val="000000"/>
        </w:rPr>
        <w:t>Surgery</w:t>
      </w:r>
    </w:p>
    <w:p w14:paraId="68A78FE4" w14:textId="38B48BA7" w:rsidR="007312AB"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During nail extraction, attempts to pass a smooth-tip guide wire through the nail prior to removal were unsuccessful due to resistance at the nail tip (Figure 4A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B).</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The nail was subsequently removed with an appropriate nail extractor.</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Following nail removal, a standard guide wire was inserted into the canal without difficulty until it reached the point in the distal femur where the nail tip was previously seated.</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Again, the guide wire met resistance.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Under magnified fluoroscopy, it appeared that there was a pedestal of cortical bone formation in the canal at this point (Figure 5</w:t>
      </w:r>
      <w:r w:rsidR="00583289">
        <w:rPr>
          <w:rFonts w:ascii="Book Antiqua" w:eastAsia="Book Antiqua" w:hAnsi="Book Antiqua" w:cs="Book Antiqua"/>
          <w:color w:val="000000"/>
        </w:rPr>
        <w:t>A</w:t>
      </w:r>
      <w:r w:rsidRPr="006D11E5">
        <w:rPr>
          <w:rFonts w:ascii="Book Antiqua" w:eastAsia="Book Antiqua" w:hAnsi="Book Antiqua" w:cs="Book Antiqua"/>
          <w:color w:val="000000"/>
        </w:rPr>
        <w:t>).</w:t>
      </w:r>
      <w:r w:rsidR="006D11E5">
        <w:rPr>
          <w:rFonts w:ascii="Book Antiqua" w:eastAsia="Book Antiqua" w:hAnsi="Book Antiqua" w:cs="Book Antiqua"/>
          <w:color w:val="000000"/>
        </w:rPr>
        <w:t xml:space="preserve"> </w:t>
      </w:r>
    </w:p>
    <w:p w14:paraId="15E9362C" w14:textId="073B5583"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In order to breach the bony pedestal, the starting reamer was used to ream past the obstruction into the distal femoral meta-diaphyseal flare (Figure </w:t>
      </w:r>
      <w:r w:rsidR="00583289">
        <w:rPr>
          <w:rFonts w:ascii="Book Antiqua" w:eastAsia="Book Antiqua" w:hAnsi="Book Antiqua" w:cs="Book Antiqua"/>
          <w:color w:val="000000"/>
        </w:rPr>
        <w:t>5B</w:t>
      </w:r>
      <w:r w:rsidRPr="006D11E5">
        <w:rPr>
          <w:rFonts w:ascii="Book Antiqua" w:eastAsia="Book Antiqua" w:hAnsi="Book Antiqua" w:cs="Book Antiqua"/>
          <w:color w:val="000000"/>
        </w:rPr>
        <w:t>).</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The ball-tip guide wire was then passed without difficulty to the </w:t>
      </w:r>
      <w:proofErr w:type="spellStart"/>
      <w:r w:rsidRPr="006D11E5">
        <w:rPr>
          <w:rFonts w:ascii="Book Antiqua" w:eastAsia="Book Antiqua" w:hAnsi="Book Antiqua" w:cs="Book Antiqua"/>
          <w:color w:val="000000"/>
        </w:rPr>
        <w:t>physeal</w:t>
      </w:r>
      <w:proofErr w:type="spellEnd"/>
      <w:r w:rsidRPr="006D11E5">
        <w:rPr>
          <w:rFonts w:ascii="Book Antiqua" w:eastAsia="Book Antiqua" w:hAnsi="Book Antiqua" w:cs="Book Antiqua"/>
          <w:color w:val="000000"/>
        </w:rPr>
        <w:t xml:space="preserve"> scar.</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The intramedullary canal was then reamed over the guide wire sequentially from 9 to 14 mm in 0.5 mm increments.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The intramedullary </w:t>
      </w:r>
      <w:proofErr w:type="spellStart"/>
      <w:r w:rsidRPr="006D11E5">
        <w:rPr>
          <w:rFonts w:ascii="Book Antiqua" w:eastAsia="Book Antiqua" w:hAnsi="Book Antiqua" w:cs="Book Antiqua"/>
          <w:color w:val="000000"/>
        </w:rPr>
        <w:t>reamings</w:t>
      </w:r>
      <w:proofErr w:type="spellEnd"/>
      <w:r w:rsidRPr="006D11E5">
        <w:rPr>
          <w:rFonts w:ascii="Book Antiqua" w:eastAsia="Book Antiqua" w:hAnsi="Book Antiqua" w:cs="Book Antiqua"/>
          <w:color w:val="000000"/>
        </w:rPr>
        <w:t xml:space="preserve"> were saved for bone grafting and then inserted to the level of the fracture with the exchange tube.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The bone graft was impacted using an 8 mm reamer at the fracture site.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 13 </w:t>
      </w:r>
      <w:r w:rsidR="007312AB" w:rsidRPr="006D11E5">
        <w:rPr>
          <w:rFonts w:ascii="Book Antiqua" w:eastAsia="Book Antiqua" w:hAnsi="Book Antiqua" w:cs="Book Antiqua"/>
          <w:color w:val="000000"/>
        </w:rPr>
        <w:t xml:space="preserve">mm </w:t>
      </w:r>
      <w:r w:rsidR="007312AB" w:rsidRPr="006D11E5">
        <w:rPr>
          <w:rFonts w:ascii="Book Antiqua" w:hAnsi="Book Antiqua" w:cs="Book Antiqua"/>
          <w:color w:val="000000"/>
          <w:lang w:eastAsia="zh-CN"/>
        </w:rPr>
        <w:t>×</w:t>
      </w:r>
      <w:r w:rsidRPr="006D11E5">
        <w:rPr>
          <w:rFonts w:ascii="Book Antiqua" w:eastAsia="Book Antiqua" w:hAnsi="Book Antiqua" w:cs="Book Antiqua"/>
          <w:color w:val="000000"/>
        </w:rPr>
        <w:t xml:space="preserve"> 420 mm Russell-Taylor antegrade femoral nail was then inserted without difficulty.</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No distal locking screws were placed to allow fracture dynamization.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Post-operative films showed adequate </w:t>
      </w:r>
      <w:r w:rsidRPr="006D11E5">
        <w:rPr>
          <w:rFonts w:ascii="Book Antiqua" w:eastAsia="Book Antiqua" w:hAnsi="Book Antiqua" w:cs="Book Antiqua"/>
          <w:color w:val="000000"/>
        </w:rPr>
        <w:lastRenderedPageBreak/>
        <w:t xml:space="preserve">fracture reduction and placement of the intramedullary nail and proximal locking screw (Figure </w:t>
      </w:r>
      <w:r w:rsidR="00583289">
        <w:rPr>
          <w:rFonts w:ascii="Book Antiqua" w:eastAsia="Book Antiqua" w:hAnsi="Book Antiqua" w:cs="Book Antiqua"/>
          <w:color w:val="000000"/>
        </w:rPr>
        <w:t>6</w:t>
      </w:r>
      <w:r w:rsidR="00583289" w:rsidRPr="006D11E5">
        <w:rPr>
          <w:rFonts w:ascii="Book Antiqua" w:eastAsia="Book Antiqua" w:hAnsi="Book Antiqua" w:cs="Book Antiqua"/>
          <w:color w:val="000000"/>
        </w:rPr>
        <w:t>A</w:t>
      </w:r>
      <w:r w:rsidR="007312AB" w:rsidRPr="006D11E5">
        <w:rPr>
          <w:rFonts w:ascii="Book Antiqua" w:hAnsi="Book Antiqua" w:cs="Book Antiqua"/>
          <w:color w:val="000000"/>
          <w:lang w:eastAsia="zh-CN"/>
        </w:rPr>
        <w:t>-</w:t>
      </w:r>
      <w:r w:rsidRPr="006D11E5">
        <w:rPr>
          <w:rFonts w:ascii="Book Antiqua" w:eastAsia="Book Antiqua" w:hAnsi="Book Antiqua" w:cs="Book Antiqua"/>
          <w:color w:val="000000"/>
        </w:rPr>
        <w:t>C).</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Figure </w:t>
      </w:r>
      <w:r w:rsidR="00DE57A7">
        <w:rPr>
          <w:rFonts w:ascii="Book Antiqua" w:eastAsia="Book Antiqua" w:hAnsi="Book Antiqua" w:cs="Book Antiqua"/>
          <w:color w:val="000000"/>
        </w:rPr>
        <w:t>5C</w:t>
      </w:r>
      <w:r w:rsidR="00DE57A7" w:rsidRPr="006D11E5">
        <w:rPr>
          <w:rFonts w:ascii="Book Antiqua" w:eastAsia="Book Antiqua" w:hAnsi="Book Antiqua" w:cs="Book Antiqua"/>
          <w:b/>
          <w:bCs/>
          <w:color w:val="000000"/>
        </w:rPr>
        <w:t xml:space="preserve"> </w:t>
      </w:r>
      <w:r w:rsidRPr="006D11E5">
        <w:rPr>
          <w:rFonts w:ascii="Book Antiqua" w:eastAsia="Book Antiqua" w:hAnsi="Book Antiqua" w:cs="Book Antiqua"/>
          <w:color w:val="000000"/>
        </w:rPr>
        <w:t>shows final nail placement (solid lines) compared to old, more proximal nail placement (dashed lines).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Intra-operative cultures were subsequently negative.</w:t>
      </w:r>
    </w:p>
    <w:p w14:paraId="2ECFF0A8" w14:textId="77777777" w:rsidR="00A77B3E" w:rsidRPr="006D11E5" w:rsidRDefault="00A77B3E" w:rsidP="006D11E5">
      <w:pPr>
        <w:adjustRightInd w:val="0"/>
        <w:snapToGrid w:val="0"/>
        <w:spacing w:line="360" w:lineRule="auto"/>
        <w:jc w:val="both"/>
        <w:rPr>
          <w:rFonts w:ascii="Book Antiqua" w:hAnsi="Book Antiqua"/>
        </w:rPr>
      </w:pPr>
    </w:p>
    <w:p w14:paraId="7A50191F"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OUTCOME AND FOLLOW-UP</w:t>
      </w:r>
    </w:p>
    <w:p w14:paraId="6DE0AE06" w14:textId="5D2B7149"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At 1 year follow-up there was evidence of callus formation at the fracture site but not full cortical consolidation (Figure </w:t>
      </w:r>
      <w:r w:rsidR="00250552">
        <w:rPr>
          <w:rFonts w:ascii="Book Antiqua" w:eastAsia="Book Antiqua" w:hAnsi="Book Antiqua" w:cs="Book Antiqua"/>
          <w:color w:val="000000"/>
        </w:rPr>
        <w:t>7</w:t>
      </w:r>
      <w:r w:rsidR="00250552" w:rsidRPr="006D11E5">
        <w:rPr>
          <w:rFonts w:ascii="Book Antiqua" w:eastAsia="Book Antiqua" w:hAnsi="Book Antiqua" w:cs="Book Antiqua"/>
          <w:color w:val="000000"/>
        </w:rPr>
        <w:t xml:space="preserve">A </w:t>
      </w:r>
      <w:r w:rsidR="007312AB" w:rsidRPr="006D11E5">
        <w:rPr>
          <w:rFonts w:ascii="Book Antiqua" w:eastAsia="Book Antiqua" w:hAnsi="Book Antiqua" w:cs="Book Antiqua"/>
          <w:color w:val="000000"/>
        </w:rPr>
        <w:t xml:space="preserve">and </w:t>
      </w:r>
      <w:r w:rsidRPr="006D11E5">
        <w:rPr>
          <w:rFonts w:ascii="Book Antiqua" w:eastAsia="Book Antiqua" w:hAnsi="Book Antiqua" w:cs="Book Antiqua"/>
          <w:color w:val="000000"/>
        </w:rPr>
        <w:t xml:space="preserve">B). By 18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the fracture appeared well consolidated, and the patient had resolution of his thigh pain (Figure</w:t>
      </w:r>
      <w:r w:rsidR="004A24A4">
        <w:rPr>
          <w:rFonts w:ascii="Book Antiqua" w:eastAsia="Book Antiqua" w:hAnsi="Book Antiqua" w:cs="Book Antiqua"/>
          <w:color w:val="000000"/>
        </w:rPr>
        <w:t xml:space="preserve"> </w:t>
      </w:r>
      <w:r w:rsidR="00250552">
        <w:rPr>
          <w:rFonts w:ascii="Book Antiqua" w:eastAsia="Book Antiqua" w:hAnsi="Book Antiqua" w:cs="Book Antiqua"/>
          <w:color w:val="000000"/>
        </w:rPr>
        <w:t>8</w:t>
      </w:r>
      <w:r w:rsidRPr="006D11E5">
        <w:rPr>
          <w:rFonts w:ascii="Book Antiqua" w:eastAsia="Book Antiqua" w:hAnsi="Book Antiqua" w:cs="Book Antiqua"/>
          <w:color w:val="000000"/>
        </w:rPr>
        <w:t>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B).</w:t>
      </w:r>
    </w:p>
    <w:p w14:paraId="5F810E72" w14:textId="77777777" w:rsidR="00A77B3E" w:rsidRPr="006D11E5" w:rsidRDefault="00A77B3E" w:rsidP="006D11E5">
      <w:pPr>
        <w:adjustRightInd w:val="0"/>
        <w:snapToGrid w:val="0"/>
        <w:spacing w:line="360" w:lineRule="auto"/>
        <w:jc w:val="both"/>
        <w:rPr>
          <w:rFonts w:ascii="Book Antiqua" w:hAnsi="Book Antiqua"/>
        </w:rPr>
      </w:pPr>
    </w:p>
    <w:p w14:paraId="7514056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DISCUSSION</w:t>
      </w:r>
    </w:p>
    <w:p w14:paraId="2C0AE7E0" w14:textId="69E0B838" w:rsidR="00A860BB"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Femoral shaft fracture nonunion is uncommon and is usually the result of aseptic etiologies.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Nonunion following reamed antegrade intramedullary nail is a rare complication, occurring in 1</w:t>
      </w:r>
      <w:r w:rsidR="00A860BB" w:rsidRPr="006D11E5">
        <w:rPr>
          <w:rFonts w:ascii="Book Antiqua" w:eastAsia="Book Antiqua" w:hAnsi="Book Antiqua" w:cs="Book Antiqua"/>
          <w:color w:val="000000"/>
        </w:rPr>
        <w:t>%</w:t>
      </w:r>
      <w:r w:rsidRPr="006D11E5">
        <w:rPr>
          <w:rFonts w:ascii="Book Antiqua" w:eastAsia="Book Antiqua" w:hAnsi="Book Antiqua" w:cs="Book Antiqua"/>
          <w:color w:val="000000"/>
        </w:rPr>
        <w:t xml:space="preserve">-2.2% of cases in early </w:t>
      </w:r>
      <w:proofErr w:type="gramStart"/>
      <w:r w:rsidRPr="006D11E5">
        <w:rPr>
          <w:rFonts w:ascii="Book Antiqua" w:eastAsia="Book Antiqua" w:hAnsi="Book Antiqua" w:cs="Book Antiqua"/>
          <w:color w:val="000000"/>
        </w:rPr>
        <w:t>series</w:t>
      </w:r>
      <w:r w:rsidR="00A860BB" w:rsidRPr="006D11E5">
        <w:rPr>
          <w:rFonts w:ascii="Book Antiqua" w:eastAsia="Book Antiqua" w:hAnsi="Book Antiqua" w:cs="Book Antiqua"/>
          <w:color w:val="000000"/>
          <w:vertAlign w:val="superscript"/>
        </w:rPr>
        <w:t>[</w:t>
      </w:r>
      <w:proofErr w:type="gramEnd"/>
      <w:r w:rsidR="00A860BB" w:rsidRPr="006D11E5">
        <w:rPr>
          <w:rFonts w:ascii="Book Antiqua" w:eastAsia="Book Antiqua" w:hAnsi="Book Antiqua" w:cs="Book Antiqua"/>
          <w:color w:val="000000"/>
          <w:vertAlign w:val="superscript"/>
        </w:rPr>
        <w:t>1-3]</w:t>
      </w:r>
      <w:r w:rsidRPr="006D11E5">
        <w:rPr>
          <w:rFonts w:ascii="Book Antiqua" w:eastAsia="Book Antiqua" w:hAnsi="Book Antiqua" w:cs="Book Antiqua"/>
          <w:color w:val="000000"/>
        </w:rPr>
        <w:t xml:space="preserve">. In a recent systematic review of 38 studies involving 2829 femoral shaft fractures, </w:t>
      </w:r>
      <w:proofErr w:type="spellStart"/>
      <w:r w:rsidRPr="006D11E5">
        <w:rPr>
          <w:rFonts w:ascii="Book Antiqua" w:eastAsia="Book Antiqua" w:hAnsi="Book Antiqua" w:cs="Book Antiqua"/>
          <w:color w:val="000000"/>
        </w:rPr>
        <w:t>Koso</w:t>
      </w:r>
      <w:proofErr w:type="spellEnd"/>
      <w:r w:rsidRPr="006D11E5">
        <w:rPr>
          <w:rFonts w:ascii="Book Antiqua" w:eastAsia="Book Antiqua" w:hAnsi="Book Antiqua" w:cs="Book Antiqua"/>
          <w:color w:val="000000"/>
        </w:rPr>
        <w:t xml:space="preserve"> </w:t>
      </w:r>
      <w:r w:rsidRPr="006D11E5">
        <w:rPr>
          <w:rFonts w:ascii="Book Antiqua" w:eastAsia="Book Antiqua" w:hAnsi="Book Antiqua" w:cs="Book Antiqua"/>
          <w:i/>
          <w:iCs/>
          <w:color w:val="000000"/>
        </w:rPr>
        <w:t>et al</w:t>
      </w:r>
      <w:r w:rsidR="008B2A58" w:rsidRPr="006D11E5">
        <w:rPr>
          <w:rFonts w:ascii="Book Antiqua" w:eastAsia="Book Antiqua" w:hAnsi="Book Antiqua" w:cs="Book Antiqua"/>
          <w:color w:val="000000"/>
          <w:vertAlign w:val="superscript"/>
        </w:rPr>
        <w:t>[4]</w:t>
      </w:r>
      <w:r w:rsidRPr="006D11E5">
        <w:rPr>
          <w:rFonts w:ascii="Book Antiqua" w:eastAsia="Book Antiqua" w:hAnsi="Book Antiqua" w:cs="Book Antiqua"/>
          <w:color w:val="000000"/>
        </w:rPr>
        <w:t xml:space="preserve"> found a 3.1% rate of nonunion after antegrade nail fixation and nonunion rates of 2.9% and 6.1% for reamed </w:t>
      </w:r>
      <w:proofErr w:type="spellStart"/>
      <w:r w:rsidRPr="006D11E5">
        <w:rPr>
          <w:rFonts w:ascii="Book Antiqua" w:eastAsia="Book Antiqua" w:hAnsi="Book Antiqua" w:cs="Book Antiqua"/>
          <w:i/>
          <w:iCs/>
          <w:color w:val="000000"/>
        </w:rPr>
        <w:t>vs</w:t>
      </w:r>
      <w:proofErr w:type="spellEnd"/>
      <w:r w:rsidRPr="006D11E5">
        <w:rPr>
          <w:rFonts w:ascii="Book Antiqua" w:eastAsia="Book Antiqua" w:hAnsi="Book Antiqua" w:cs="Book Antiqua"/>
          <w:color w:val="000000"/>
        </w:rPr>
        <w:t xml:space="preserve"> </w:t>
      </w:r>
      <w:proofErr w:type="spellStart"/>
      <w:r w:rsidRPr="006D11E5">
        <w:rPr>
          <w:rFonts w:ascii="Book Antiqua" w:eastAsia="Book Antiqua" w:hAnsi="Book Antiqua" w:cs="Book Antiqua"/>
          <w:color w:val="000000"/>
        </w:rPr>
        <w:t>unreamed</w:t>
      </w:r>
      <w:proofErr w:type="spellEnd"/>
      <w:r w:rsidRPr="006D11E5">
        <w:rPr>
          <w:rFonts w:ascii="Book Antiqua" w:eastAsia="Book Antiqua" w:hAnsi="Book Antiqua" w:cs="Book Antiqua"/>
          <w:color w:val="000000"/>
        </w:rPr>
        <w:t xml:space="preserve"> nail fixation, respectively.</w:t>
      </w:r>
    </w:p>
    <w:p w14:paraId="652547F9" w14:textId="0DCA74C0" w:rsidR="00D40753"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There are numerous methods that may be used in the treatment of femur fracture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With infections, exchange intramedullary nailing should be performed after appropriate irrigation and debridement of the canal followed by an appropriate 4–6-</w:t>
      </w:r>
      <w:r w:rsidR="008B2A58" w:rsidRPr="006D11E5">
        <w:rPr>
          <w:rFonts w:ascii="Book Antiqua" w:eastAsia="Book Antiqua" w:hAnsi="Book Antiqua" w:cs="Book Antiqua"/>
          <w:color w:val="000000"/>
        </w:rPr>
        <w:t>wk</w:t>
      </w:r>
      <w:r w:rsidRPr="006D11E5">
        <w:rPr>
          <w:rFonts w:ascii="Book Antiqua" w:eastAsia="Book Antiqua" w:hAnsi="Book Antiqua" w:cs="Book Antiqua"/>
          <w:color w:val="000000"/>
        </w:rPr>
        <w:t xml:space="preserve"> course of parenteral or oral antibiotics.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Some surgeons advocate a two-stage approach using antibiotic-impregnated beads or rods prior to final nail insertion.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Aseptic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may be treated with nail dynamization, exchange nailing (EN), or plate fixation.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Several adjuncts may be employed in combination with these techniques, including bone-grafting, electrical stimulation, and bone morphogenetic protein or other bone growth supplements.</w:t>
      </w:r>
    </w:p>
    <w:p w14:paraId="6183F947" w14:textId="77777777" w:rsidR="00C03400"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Fracture dynamization by distal locking screw removal is often attempted initially for delayed unions. This method provides the advantages of short procedure time with minimal soft-tissue dissection. Wu showed a 58% union rate with dynamization </w:t>
      </w:r>
      <w:r w:rsidRPr="006D11E5">
        <w:rPr>
          <w:rFonts w:ascii="Book Antiqua" w:eastAsia="Book Antiqua" w:hAnsi="Book Antiqua" w:cs="Book Antiqua"/>
          <w:color w:val="000000"/>
        </w:rPr>
        <w:lastRenderedPageBreak/>
        <w:t xml:space="preserve">between 4 and 12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but a high rate (21%) of femoral shortening of more than 2 </w:t>
      </w:r>
      <w:proofErr w:type="gramStart"/>
      <w:r w:rsidRPr="006D11E5">
        <w:rPr>
          <w:rFonts w:ascii="Book Antiqua" w:eastAsia="Book Antiqua" w:hAnsi="Book Antiqua" w:cs="Book Antiqua"/>
          <w:color w:val="000000"/>
        </w:rPr>
        <w:t>cm</w:t>
      </w:r>
      <w:r w:rsidR="00D40753" w:rsidRPr="006D11E5">
        <w:rPr>
          <w:rFonts w:ascii="Book Antiqua" w:eastAsia="Book Antiqua" w:hAnsi="Book Antiqua" w:cs="Book Antiqua"/>
          <w:color w:val="000000"/>
          <w:vertAlign w:val="superscript"/>
        </w:rPr>
        <w:t>[</w:t>
      </w:r>
      <w:proofErr w:type="gramEnd"/>
      <w:r w:rsidR="00D40753" w:rsidRPr="006D11E5">
        <w:rPr>
          <w:rFonts w:ascii="Book Antiqua" w:eastAsia="Book Antiqua" w:hAnsi="Book Antiqua" w:cs="Book Antiqua"/>
          <w:color w:val="000000"/>
          <w:vertAlign w:val="superscript"/>
        </w:rPr>
        <w:t>12]</w:t>
      </w:r>
      <w:r w:rsidRPr="006D11E5">
        <w:rPr>
          <w:rFonts w:ascii="Book Antiqua" w:eastAsia="Book Antiqua" w:hAnsi="Book Antiqua" w:cs="Book Antiqua"/>
          <w:color w:val="000000"/>
        </w:rPr>
        <w:t xml:space="preserve">. In one meta-analysis, Vaughn </w:t>
      </w:r>
      <w:r w:rsidRPr="006D11E5">
        <w:rPr>
          <w:rFonts w:ascii="Book Antiqua" w:eastAsia="Book Antiqua" w:hAnsi="Book Antiqua" w:cs="Book Antiqua"/>
          <w:i/>
          <w:iCs/>
          <w:color w:val="000000"/>
        </w:rPr>
        <w:t xml:space="preserve">et </w:t>
      </w:r>
      <w:proofErr w:type="gramStart"/>
      <w:r w:rsidRPr="006D11E5">
        <w:rPr>
          <w:rFonts w:ascii="Book Antiqua" w:eastAsia="Book Antiqua" w:hAnsi="Book Antiqua" w:cs="Book Antiqua"/>
          <w:i/>
          <w:iCs/>
          <w:color w:val="000000"/>
        </w:rPr>
        <w:t>al</w:t>
      </w:r>
      <w:r w:rsidR="00D40753" w:rsidRPr="006D11E5">
        <w:rPr>
          <w:rFonts w:ascii="Book Antiqua" w:eastAsia="Book Antiqua" w:hAnsi="Book Antiqua" w:cs="Book Antiqua"/>
          <w:color w:val="000000"/>
          <w:vertAlign w:val="superscript"/>
        </w:rPr>
        <w:t>[</w:t>
      </w:r>
      <w:proofErr w:type="gramEnd"/>
      <w:r w:rsidR="00D40753" w:rsidRPr="006D11E5">
        <w:rPr>
          <w:rFonts w:ascii="Book Antiqua" w:eastAsia="Book Antiqua" w:hAnsi="Book Antiqua" w:cs="Book Antiqua"/>
          <w:color w:val="000000"/>
          <w:vertAlign w:val="superscript"/>
        </w:rPr>
        <w:t>13]</w:t>
      </w:r>
      <w:r w:rsidRPr="006D11E5">
        <w:rPr>
          <w:rFonts w:ascii="Book Antiqua" w:eastAsia="Book Antiqua" w:hAnsi="Book Antiqua" w:cs="Book Antiqua"/>
          <w:color w:val="000000"/>
        </w:rPr>
        <w:t xml:space="preserve"> found a 66% (84/131) union rate with dynamization after nonunion though this rate increased to 82% (45/55) when treating delayed union.</w:t>
      </w:r>
      <w:r w:rsidR="00C03400"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This provides evidence for the importance of close follow-up after intramedullary nailing as dynamization is most effective in the earlier windows of fracture healing. A review of the literature did not yield any reports of cases of post-dynamization union failure secondary to intramedullary bone pedestal formation.</w:t>
      </w:r>
    </w:p>
    <w:p w14:paraId="6B40AAB1" w14:textId="77777777" w:rsidR="00AC5247" w:rsidRPr="006D11E5" w:rsidRDefault="006315CA" w:rsidP="006D11E5">
      <w:pPr>
        <w:adjustRightInd w:val="0"/>
        <w:snapToGrid w:val="0"/>
        <w:spacing w:line="360" w:lineRule="auto"/>
        <w:ind w:firstLineChars="100" w:firstLine="240"/>
        <w:jc w:val="both"/>
        <w:rPr>
          <w:rFonts w:ascii="Book Antiqua" w:eastAsia="Book Antiqua" w:hAnsi="Book Antiqua" w:cs="Book Antiqua"/>
          <w:color w:val="000000"/>
        </w:rPr>
      </w:pPr>
      <w:r w:rsidRPr="006D11E5">
        <w:rPr>
          <w:rFonts w:ascii="Book Antiqua" w:eastAsia="Book Antiqua" w:hAnsi="Book Antiqua" w:cs="Book Antiqua"/>
          <w:color w:val="000000"/>
        </w:rPr>
        <w:t>The treatment of femoral diaphyseal fracture nonunion or delayed union of any etiology has been found to have a varied (53</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-100%) rate of union following exchange reamed IM nail fixation (EN)</w:t>
      </w:r>
      <w:r w:rsidR="00C03400" w:rsidRPr="006D11E5">
        <w:rPr>
          <w:rFonts w:ascii="Book Antiqua" w:eastAsia="Book Antiqua" w:hAnsi="Book Antiqua" w:cs="Book Antiqua"/>
          <w:color w:val="000000"/>
          <w:vertAlign w:val="superscript"/>
        </w:rPr>
        <w:t>[5,14-25]</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Due to the infrequency of nonunion, most case series examining outcomes of EN are of relatively small cohorts (</w:t>
      </w:r>
      <w:r w:rsidRPr="006D11E5">
        <w:rPr>
          <w:rFonts w:ascii="Book Antiqua" w:eastAsia="Book Antiqua" w:hAnsi="Book Antiqua" w:cs="Book Antiqua"/>
          <w:i/>
          <w:iCs/>
          <w:color w:val="000000"/>
        </w:rPr>
        <w:t>n</w:t>
      </w:r>
      <w:r w:rsidRPr="006D11E5">
        <w:rPr>
          <w:rFonts w:ascii="Book Antiqua" w:eastAsia="Book Antiqua" w:hAnsi="Book Antiqua" w:cs="Book Antiqua"/>
          <w:color w:val="000000"/>
        </w:rPr>
        <w:t xml:space="preserve"> &lt; 105). The largest of these series showed rates of union from 86</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-100</w:t>
      </w:r>
      <w:proofErr w:type="gramStart"/>
      <w:r w:rsidRPr="006D11E5">
        <w:rPr>
          <w:rFonts w:ascii="Book Antiqua" w:eastAsia="Book Antiqua" w:hAnsi="Book Antiqua" w:cs="Book Antiqua"/>
          <w:color w:val="000000"/>
        </w:rPr>
        <w:t>%</w:t>
      </w:r>
      <w:r w:rsidR="00C03400" w:rsidRPr="006D11E5">
        <w:rPr>
          <w:rFonts w:ascii="Book Antiqua" w:eastAsia="Book Antiqua" w:hAnsi="Book Antiqua" w:cs="Book Antiqua"/>
          <w:color w:val="000000"/>
          <w:vertAlign w:val="superscript"/>
        </w:rPr>
        <w:t>[</w:t>
      </w:r>
      <w:proofErr w:type="gramEnd"/>
      <w:r w:rsidR="00C03400" w:rsidRPr="006D11E5">
        <w:rPr>
          <w:rFonts w:ascii="Book Antiqua" w:eastAsia="Book Antiqua" w:hAnsi="Book Antiqua" w:cs="Book Antiqua"/>
          <w:color w:val="000000"/>
          <w:vertAlign w:val="superscript"/>
        </w:rPr>
        <w:t>14-21]</w:t>
      </w:r>
      <w:r w:rsidRPr="006D11E5">
        <w:rPr>
          <w:rFonts w:ascii="Book Antiqua" w:eastAsia="Book Antiqua" w:hAnsi="Book Antiqua" w:cs="Book Antiqua"/>
          <w:color w:val="000000"/>
        </w:rPr>
        <w:t>. Some smaller (</w:t>
      </w:r>
      <w:r w:rsidRPr="006D11E5">
        <w:rPr>
          <w:rFonts w:ascii="Book Antiqua" w:eastAsia="Book Antiqua" w:hAnsi="Book Antiqua" w:cs="Book Antiqua"/>
          <w:i/>
          <w:iCs/>
          <w:color w:val="000000"/>
        </w:rPr>
        <w:t>n</w:t>
      </w:r>
      <w:r w:rsidRPr="006D11E5">
        <w:rPr>
          <w:rFonts w:ascii="Book Antiqua" w:eastAsia="Book Antiqua" w:hAnsi="Book Antiqua" w:cs="Book Antiqua"/>
          <w:color w:val="000000"/>
        </w:rPr>
        <w:t xml:space="preserve"> = 19) series have shown lower rates of union from 53</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-58</w:t>
      </w:r>
      <w:proofErr w:type="gramStart"/>
      <w:r w:rsidRPr="006D11E5">
        <w:rPr>
          <w:rFonts w:ascii="Book Antiqua" w:eastAsia="Book Antiqua" w:hAnsi="Book Antiqua" w:cs="Book Antiqua"/>
          <w:color w:val="000000"/>
        </w:rPr>
        <w:t>%</w:t>
      </w:r>
      <w:r w:rsidR="00C03400" w:rsidRPr="006D11E5">
        <w:rPr>
          <w:rFonts w:ascii="Book Antiqua" w:eastAsia="Book Antiqua" w:hAnsi="Book Antiqua" w:cs="Book Antiqua"/>
          <w:color w:val="000000"/>
          <w:vertAlign w:val="superscript"/>
        </w:rPr>
        <w:t>[</w:t>
      </w:r>
      <w:proofErr w:type="gramEnd"/>
      <w:r w:rsidR="00C03400" w:rsidRPr="006D11E5">
        <w:rPr>
          <w:rFonts w:ascii="Book Antiqua" w:eastAsia="Book Antiqua" w:hAnsi="Book Antiqua" w:cs="Book Antiqua"/>
          <w:color w:val="000000"/>
          <w:vertAlign w:val="superscript"/>
        </w:rPr>
        <w:t>22,23]</w:t>
      </w:r>
      <w:r w:rsidRPr="006D11E5">
        <w:rPr>
          <w:rFonts w:ascii="Book Antiqua" w:eastAsia="Book Antiqua" w:hAnsi="Book Antiqua" w:cs="Book Antiqua"/>
          <w:color w:val="000000"/>
        </w:rPr>
        <w:t>. Of note, four studies (including three meta-analyses) comparing EN to other methods of treatment for nonunion found rates of union from 64</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-86%</w:t>
      </w:r>
      <w:r w:rsidR="00C03400" w:rsidRPr="006D11E5">
        <w:rPr>
          <w:rFonts w:ascii="Book Antiqua" w:eastAsia="Book Antiqua" w:hAnsi="Book Antiqua" w:cs="Book Antiqua"/>
          <w:color w:val="000000"/>
          <w:vertAlign w:val="superscript"/>
        </w:rPr>
        <w:t>[5,13,24,25]</w:t>
      </w:r>
      <w:r w:rsidRPr="006D11E5">
        <w:rPr>
          <w:rFonts w:ascii="Book Antiqua" w:eastAsia="Book Antiqua" w:hAnsi="Book Antiqua" w:cs="Book Antiqua"/>
          <w:color w:val="000000"/>
        </w:rPr>
        <w:t xml:space="preserve">. Infected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have been shown to have union rates up to 90</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-100% with intramedullary nail fixation</w:t>
      </w:r>
      <w:r w:rsidR="00C03400" w:rsidRPr="006D11E5">
        <w:rPr>
          <w:rFonts w:ascii="Book Antiqua" w:eastAsia="Book Antiqua" w:hAnsi="Book Antiqua" w:cs="Book Antiqua"/>
          <w:color w:val="000000"/>
          <w:vertAlign w:val="superscript"/>
        </w:rPr>
        <w:t>[26-28]</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Despite some small studies reporting poor results, the majority of the literature supports EN as an effective and safe method of fixation.</w:t>
      </w:r>
    </w:p>
    <w:p w14:paraId="6846FCB0" w14:textId="76BE825F" w:rsidR="00AC5247"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Advantages of exchange intramedullary nailing include limited soft-tissue dissection and periosteal blood supply disruption, full post-operative weight-bearing, and early active rehabilitation.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Complications include persistent nonunion, infection, and hardware failure</w:t>
      </w:r>
      <w:r w:rsidR="00AC5247" w:rsidRPr="006D11E5">
        <w:rPr>
          <w:rFonts w:ascii="Book Antiqua" w:eastAsia="Book Antiqua" w:hAnsi="Book Antiqua" w:cs="Book Antiqua"/>
          <w:color w:val="000000"/>
          <w:vertAlign w:val="superscript"/>
        </w:rPr>
        <w:t>[12,21,22,26]</w:t>
      </w:r>
      <w:r w:rsidRPr="006D11E5">
        <w:rPr>
          <w:rFonts w:ascii="Book Antiqua" w:eastAsia="Book Antiqua" w:hAnsi="Book Antiqua" w:cs="Book Antiqua"/>
          <w:color w:val="000000"/>
        </w:rPr>
        <w:t>. Current recommendations call for over-reaming the canal 1-3 mm and replacing the extracted nail with one of a larger diameter</w:t>
      </w:r>
      <w:r w:rsidR="00AC5247" w:rsidRPr="006D11E5">
        <w:rPr>
          <w:rFonts w:ascii="Book Antiqua" w:eastAsia="Book Antiqua" w:hAnsi="Book Antiqua" w:cs="Book Antiqua"/>
          <w:color w:val="000000"/>
          <w:vertAlign w:val="superscript"/>
        </w:rPr>
        <w:t>[5,7,19-21,23]</w:t>
      </w:r>
      <w:r w:rsidRPr="006D11E5">
        <w:rPr>
          <w:rFonts w:ascii="Book Antiqua" w:eastAsia="Book Antiqua" w:hAnsi="Book Antiqua" w:cs="Book Antiqua"/>
          <w:color w:val="000000"/>
        </w:rPr>
        <w:t>.</w:t>
      </w:r>
    </w:p>
    <w:p w14:paraId="172EBF38" w14:textId="5D49CA66" w:rsidR="00AC5247"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Plating techniques are sometimes employed in treating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when </w:t>
      </w:r>
      <w:proofErr w:type="spellStart"/>
      <w:r w:rsidRPr="006D11E5">
        <w:rPr>
          <w:rFonts w:ascii="Book Antiqua" w:eastAsia="Book Antiqua" w:hAnsi="Book Antiqua" w:cs="Book Antiqua"/>
          <w:color w:val="000000"/>
        </w:rPr>
        <w:t>dynamization</w:t>
      </w:r>
      <w:proofErr w:type="spellEnd"/>
      <w:r w:rsidRPr="006D11E5">
        <w:rPr>
          <w:rFonts w:ascii="Book Antiqua" w:eastAsia="Book Antiqua" w:hAnsi="Book Antiqua" w:cs="Book Antiqua"/>
          <w:color w:val="000000"/>
        </w:rPr>
        <w:t xml:space="preserve"> and/or exchange nailing have failed.</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When large bony defects are present and open bone-grafting techniques are employed, plating techniques are often preferred for stabilization. Union rates of 91</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-100% are observed with various plating techniques after removal of the failed nail</w:t>
      </w:r>
      <w:r w:rsidR="00AC5247" w:rsidRPr="006D11E5">
        <w:rPr>
          <w:rFonts w:ascii="Book Antiqua" w:eastAsia="Book Antiqua" w:hAnsi="Book Antiqua" w:cs="Book Antiqua"/>
          <w:color w:val="000000"/>
          <w:vertAlign w:val="superscript"/>
        </w:rPr>
        <w:t>[29-31]</w:t>
      </w:r>
      <w:r w:rsidRPr="006D11E5">
        <w:rPr>
          <w:rFonts w:ascii="Book Antiqua" w:eastAsia="Book Antiqua" w:hAnsi="Book Antiqua" w:cs="Book Antiqua"/>
          <w:color w:val="000000"/>
        </w:rPr>
        <w:t xml:space="preserve">. Several case series have shown excellent results in patients treated with augmentative plating (AP) with retained IM nail after </w:t>
      </w:r>
      <w:r w:rsidRPr="006D11E5">
        <w:rPr>
          <w:rFonts w:ascii="Book Antiqua" w:eastAsia="Book Antiqua" w:hAnsi="Book Antiqua" w:cs="Book Antiqua"/>
          <w:color w:val="000000"/>
        </w:rPr>
        <w:lastRenderedPageBreak/>
        <w:t>femoral shaft fracture nonunion with mean union rate of 86</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-100%</w:t>
      </w:r>
      <w:r w:rsidR="00AC5247" w:rsidRPr="006D11E5">
        <w:rPr>
          <w:rFonts w:ascii="Book Antiqua" w:eastAsia="Book Antiqua" w:hAnsi="Book Antiqua" w:cs="Book Antiqua"/>
          <w:color w:val="000000"/>
          <w:vertAlign w:val="superscript"/>
        </w:rPr>
        <w:t>[24,32-36]</w:t>
      </w:r>
      <w:r w:rsidRPr="006D11E5">
        <w:rPr>
          <w:rFonts w:ascii="Book Antiqua" w:eastAsia="Book Antiqua" w:hAnsi="Book Antiqua" w:cs="Book Antiqua"/>
          <w:color w:val="000000"/>
        </w:rPr>
        <w:t xml:space="preserve">. Two recent meta-analyses have shown a significantly higher union rate following AP with retained IM nail when compared to EN alone. In a systematic review of 21 studies involving 448 cases of nonunion after IM nailing for femoral shaft fracture, Medlock </w:t>
      </w:r>
      <w:r w:rsidRPr="006D11E5">
        <w:rPr>
          <w:rFonts w:ascii="Book Antiqua" w:eastAsia="Book Antiqua" w:hAnsi="Book Antiqua" w:cs="Book Antiqua"/>
          <w:i/>
          <w:iCs/>
          <w:color w:val="000000"/>
        </w:rPr>
        <w:t>et al</w:t>
      </w:r>
      <w:r w:rsidR="00AC5247" w:rsidRPr="006D11E5">
        <w:rPr>
          <w:rFonts w:ascii="Book Antiqua" w:eastAsia="Book Antiqua" w:hAnsi="Book Antiqua" w:cs="Book Antiqua"/>
          <w:color w:val="000000"/>
          <w:vertAlign w:val="superscript"/>
        </w:rPr>
        <w:t>[25]</w:t>
      </w:r>
      <w:r w:rsidRPr="006D11E5">
        <w:rPr>
          <w:rFonts w:ascii="Book Antiqua" w:eastAsia="Book Antiqua" w:hAnsi="Book Antiqua" w:cs="Book Antiqua"/>
          <w:color w:val="000000"/>
        </w:rPr>
        <w:t xml:space="preserve"> reports union rates of 99.8% (190/191) and 74% (190/257) for AP and EN, respectively. In another systematic review of 3 studies involving 232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w:t>
      </w:r>
      <w:proofErr w:type="spellStart"/>
      <w:r w:rsidRPr="006D11E5">
        <w:rPr>
          <w:rFonts w:ascii="Book Antiqua" w:eastAsia="Book Antiqua" w:hAnsi="Book Antiqua" w:cs="Book Antiqua"/>
          <w:color w:val="000000"/>
        </w:rPr>
        <w:t>Luo</w:t>
      </w:r>
      <w:proofErr w:type="spellEnd"/>
      <w:r w:rsidRPr="006D11E5">
        <w:rPr>
          <w:rFonts w:ascii="Book Antiqua" w:eastAsia="Book Antiqua" w:hAnsi="Book Antiqua" w:cs="Book Antiqua"/>
          <w:color w:val="000000"/>
        </w:rPr>
        <w:t xml:space="preserve"> </w:t>
      </w:r>
      <w:r w:rsidRPr="006D11E5">
        <w:rPr>
          <w:rFonts w:ascii="Book Antiqua" w:eastAsia="Book Antiqua" w:hAnsi="Book Antiqua" w:cs="Book Antiqua"/>
          <w:i/>
          <w:iCs/>
          <w:color w:val="000000"/>
        </w:rPr>
        <w:t>et al</w:t>
      </w:r>
      <w:r w:rsidR="00AC5247" w:rsidRPr="006D11E5">
        <w:rPr>
          <w:rFonts w:ascii="Book Antiqua" w:eastAsia="Book Antiqua" w:hAnsi="Book Antiqua" w:cs="Book Antiqua"/>
          <w:color w:val="000000"/>
          <w:vertAlign w:val="superscript"/>
        </w:rPr>
        <w:t>[5]</w:t>
      </w:r>
      <w:r w:rsidRPr="006D11E5">
        <w:rPr>
          <w:rFonts w:ascii="Book Antiqua" w:eastAsia="Book Antiqua" w:hAnsi="Book Antiqua" w:cs="Book Antiqua"/>
          <w:color w:val="000000"/>
        </w:rPr>
        <w:t xml:space="preserve"> found union rates of 100% (113/113) and 86% (102/119) for AP and EN, respectively. Indications for AP include non-isthmic nonunion or isthmic nonunion with cortical defects or IM canal widening</w:t>
      </w:r>
      <w:r w:rsidR="00AC5247" w:rsidRPr="006D11E5">
        <w:rPr>
          <w:rFonts w:ascii="Book Antiqua" w:eastAsia="Book Antiqua" w:hAnsi="Book Antiqua" w:cs="Book Antiqua"/>
          <w:color w:val="000000"/>
          <w:vertAlign w:val="superscript"/>
        </w:rPr>
        <w:t>[37]</w:t>
      </w:r>
      <w:r w:rsidRPr="006D11E5">
        <w:rPr>
          <w:rFonts w:ascii="Book Antiqua" w:eastAsia="Book Antiqua" w:hAnsi="Book Antiqua" w:cs="Book Antiqua"/>
          <w:color w:val="000000"/>
        </w:rPr>
        <w:t>. Advantages of AP over EN include lower rates of nonunion, shorter time to union, shorter operative time, and less intra-operative blood loss. Some of the disadvantages of plating include large soft tissue dissection, increased infection rate, and increased hardware failure.</w:t>
      </w:r>
    </w:p>
    <w:p w14:paraId="68BD51D4" w14:textId="46B19350" w:rsidR="00AC5247"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Adjuncts to nonunion surgical interventions include bone-grafting, bone morphogenetic protein, electrical stimulation, and extracorporeal shock.</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When treating nonunion with AP, bone grafting is recommended and has been shown to produce excellent results with union rates of 88</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-100%</w:t>
      </w:r>
      <w:r w:rsidR="00AC5247" w:rsidRPr="006D11E5">
        <w:rPr>
          <w:rFonts w:ascii="Book Antiqua" w:eastAsia="Book Antiqua" w:hAnsi="Book Antiqua" w:cs="Book Antiqua"/>
          <w:color w:val="000000"/>
          <w:vertAlign w:val="superscript"/>
        </w:rPr>
        <w:t>[24,29,32,35-37]</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Bone grafting can be implemented through open or closed (intramedullary over-reaming) techniques with equivalent efficacy (100% union)</w:t>
      </w:r>
      <w:r w:rsidR="00AC5247" w:rsidRPr="006D11E5">
        <w:rPr>
          <w:rFonts w:ascii="Book Antiqua" w:eastAsia="Book Antiqua" w:hAnsi="Book Antiqua" w:cs="Book Antiqua"/>
          <w:color w:val="000000"/>
          <w:vertAlign w:val="superscript"/>
        </w:rPr>
        <w:t>[38]</w:t>
      </w:r>
      <w:r w:rsidRPr="006D11E5">
        <w:rPr>
          <w:rFonts w:ascii="Book Antiqua" w:eastAsia="Book Antiqua" w:hAnsi="Book Antiqua" w:cs="Book Antiqua"/>
          <w:color w:val="000000"/>
        </w:rPr>
        <w:t>.</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Closed methods have a shorter time to union</w:t>
      </w:r>
      <w:r w:rsidR="00AC5247" w:rsidRPr="006D11E5">
        <w:rPr>
          <w:rFonts w:ascii="Book Antiqua" w:eastAsia="Book Antiqua" w:hAnsi="Book Antiqua" w:cs="Book Antiqua"/>
          <w:color w:val="000000"/>
          <w:vertAlign w:val="superscript"/>
        </w:rPr>
        <w:t>[12] </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Open methods require harvest from the iliac crest or the tibial condyle.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General indications for open grafting include atrophic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large bony defects (&gt;</w:t>
      </w:r>
      <w:r w:rsidR="00AC5247"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5 mm), and fracture malalignment</w:t>
      </w:r>
      <w:r w:rsidR="00AC5247" w:rsidRPr="006D11E5">
        <w:rPr>
          <w:rFonts w:ascii="Book Antiqua" w:eastAsia="Book Antiqua" w:hAnsi="Book Antiqua" w:cs="Book Antiqua"/>
          <w:color w:val="000000"/>
          <w:vertAlign w:val="superscript"/>
        </w:rPr>
        <w:t>[33,38]</w:t>
      </w:r>
      <w:r w:rsidRPr="006D11E5">
        <w:rPr>
          <w:rFonts w:ascii="Book Antiqua" w:eastAsia="Book Antiqua" w:hAnsi="Book Antiqua" w:cs="Book Antiqua"/>
          <w:color w:val="000000"/>
        </w:rPr>
        <w:t>.</w:t>
      </w:r>
    </w:p>
    <w:p w14:paraId="7D1E6AAE" w14:textId="77777777" w:rsidR="00AC5247" w:rsidRPr="006D11E5" w:rsidRDefault="00AC5247"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Bai </w:t>
      </w:r>
      <w:r w:rsidR="006315CA" w:rsidRPr="006D11E5">
        <w:rPr>
          <w:rFonts w:ascii="Book Antiqua" w:eastAsia="Book Antiqua" w:hAnsi="Book Antiqua" w:cs="Book Antiqua"/>
          <w:i/>
          <w:iCs/>
          <w:color w:val="000000"/>
        </w:rPr>
        <w:t>et al</w:t>
      </w:r>
      <w:r w:rsidRPr="006D11E5">
        <w:rPr>
          <w:rFonts w:ascii="Book Antiqua" w:eastAsia="Book Antiqua" w:hAnsi="Book Antiqua" w:cs="Book Antiqua"/>
          <w:color w:val="000000"/>
          <w:vertAlign w:val="superscript"/>
        </w:rPr>
        <w:t>[39]</w:t>
      </w:r>
      <w:r w:rsidR="006315CA" w:rsidRPr="006D11E5">
        <w:rPr>
          <w:rFonts w:ascii="Book Antiqua" w:eastAsia="Book Antiqua" w:hAnsi="Book Antiqua" w:cs="Book Antiqua"/>
          <w:color w:val="000000"/>
        </w:rPr>
        <w:t xml:space="preserve"> obtained 16/17 fracture unions using plaster of Paris and bovine BMP composite implant at an average of 6 </w:t>
      </w:r>
      <w:proofErr w:type="spellStart"/>
      <w:r w:rsidR="006315CA" w:rsidRPr="006D11E5">
        <w:rPr>
          <w:rFonts w:ascii="Book Antiqua" w:eastAsia="Book Antiqua" w:hAnsi="Book Antiqua" w:cs="Book Antiqua"/>
          <w:color w:val="000000"/>
        </w:rPr>
        <w:t>mo</w:t>
      </w:r>
      <w:proofErr w:type="spellEnd"/>
      <w:r w:rsidR="006315CA" w:rsidRPr="006D11E5">
        <w:rPr>
          <w:rFonts w:ascii="Book Antiqua" w:eastAsia="Book Antiqua" w:hAnsi="Book Antiqua" w:cs="Book Antiqua"/>
          <w:color w:val="000000"/>
        </w:rPr>
        <w:t xml:space="preserve"> for femur fracture nonunion patients. In a systematic review comparing BMP and autologous grafting, Zhou </w:t>
      </w:r>
      <w:r w:rsidR="006315CA" w:rsidRPr="006D11E5">
        <w:rPr>
          <w:rFonts w:ascii="Book Antiqua" w:eastAsia="Book Antiqua" w:hAnsi="Book Antiqua" w:cs="Book Antiqua"/>
          <w:i/>
          <w:iCs/>
          <w:color w:val="000000"/>
        </w:rPr>
        <w:t>et al</w:t>
      </w:r>
      <w:r w:rsidRPr="006D11E5">
        <w:rPr>
          <w:rFonts w:ascii="Book Antiqua" w:eastAsia="Book Antiqua" w:hAnsi="Book Antiqua" w:cs="Book Antiqua"/>
          <w:color w:val="000000"/>
          <w:vertAlign w:val="superscript"/>
        </w:rPr>
        <w:t>[40]</w:t>
      </w:r>
      <w:r w:rsidR="006315CA" w:rsidRPr="006D11E5">
        <w:rPr>
          <w:rFonts w:ascii="Book Antiqua" w:eastAsia="Book Antiqua" w:hAnsi="Book Antiqua" w:cs="Book Antiqua"/>
          <w:color w:val="000000"/>
        </w:rPr>
        <w:t xml:space="preserve"> found BMP to have similar healing rates, improved limb function, and lower intraoperative blood loss, but with significantly higher hospitalization costs. While the literature on treatment of femoral nonunion with electrical stimulation is limited, electrical stimulation has shown some benefit for femur fractures</w:t>
      </w:r>
      <w:r w:rsidRPr="006D11E5">
        <w:rPr>
          <w:rFonts w:ascii="Book Antiqua" w:eastAsia="Book Antiqua" w:hAnsi="Book Antiqua" w:cs="Book Antiqua"/>
          <w:color w:val="000000"/>
          <w:vertAlign w:val="superscript"/>
        </w:rPr>
        <w:t>[41]</w:t>
      </w:r>
      <w:r w:rsidR="006315CA" w:rsidRPr="006D11E5">
        <w:rPr>
          <w:rFonts w:ascii="Book Antiqua" w:eastAsia="Book Antiqua" w:hAnsi="Book Antiqua" w:cs="Book Antiqua"/>
          <w:color w:val="000000"/>
        </w:rPr>
        <w:t xml:space="preserve">, but is more commonly used and more successful with the treatment of tibia fracture </w:t>
      </w:r>
      <w:proofErr w:type="spellStart"/>
      <w:r w:rsidR="006315CA"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vertAlign w:val="superscript"/>
        </w:rPr>
        <w:t>[42]</w:t>
      </w:r>
      <w:r w:rsidR="006315CA" w:rsidRPr="006D11E5">
        <w:rPr>
          <w:rFonts w:ascii="Book Antiqua" w:eastAsia="Book Antiqua" w:hAnsi="Book Antiqua" w:cs="Book Antiqua"/>
          <w:color w:val="000000"/>
        </w:rPr>
        <w:t>.</w:t>
      </w:r>
    </w:p>
    <w:p w14:paraId="6AD10322" w14:textId="68ADB274" w:rsidR="00454982"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lastRenderedPageBreak/>
        <w:t xml:space="preserve">There are several causes for the development of femoral shaft fracture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following IM nail fixation and a number of methods to treat these complications. We propose a new etiology of delayed union or nonunion due to intramedullary cortical bone pedestal formation at the IM nail tip leading to failure of dynamization following distal locking screw removal. This complication may have been prevented with the use of a longer IM nail during the initial fixation or earlier dynamization. With the nail tip resting more distally in an area of increased intramedullary diameter, there would theoretically be a decreased opportunity for formation of an intramedullary pedestal of bone that could bridge the distance between the femoral cortices. Earlier dynamization would have also decreased the time available for bone pedestal consolidation within the femoral canal. If exchange intramedullary nailing is required, it is important to ream past the previous nail tip region to allow appropriate dynamization/impaction of the fracture site. We also recommend not using distal interlocking screws in this situation unless the fracture pattern warrants it.</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Nonunion adjuncts may also be helpful such as bone graft and bone supplementation products or electrical stimulation.</w:t>
      </w:r>
    </w:p>
    <w:p w14:paraId="46D4D782" w14:textId="3BA60315"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The strengths of this case report include radiographs of the clinical course, a detailed description of the surgical techniques with deviations required to overcome the encountered complication, a discussion of how to clinically manage and prevent such pathology, and a review of all available literature on clinical management of femoral shaft fracture nonunion after intramedullary nail fixation. Weaknesses include limited access to some of the patient files from the outside hospital.</w:t>
      </w:r>
    </w:p>
    <w:p w14:paraId="6E5C7B61" w14:textId="77777777" w:rsidR="00A77B3E" w:rsidRPr="006D11E5" w:rsidRDefault="00A77B3E" w:rsidP="006D11E5">
      <w:pPr>
        <w:adjustRightInd w:val="0"/>
        <w:snapToGrid w:val="0"/>
        <w:spacing w:line="360" w:lineRule="auto"/>
        <w:jc w:val="both"/>
        <w:rPr>
          <w:rFonts w:ascii="Book Antiqua" w:hAnsi="Book Antiqua"/>
        </w:rPr>
      </w:pPr>
    </w:p>
    <w:p w14:paraId="6CF61A51"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CONCLUSION</w:t>
      </w:r>
    </w:p>
    <w:p w14:paraId="385C8CC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This case presentation and literature review covers the most recent literature on causes of femur fracture nonunion and methods of revision after intramedullary nail fixation. We propose a new etiology for femur fracture nonunion caused by intramedullary bone pedestal formation leading to failure of dynamization after distal interlocking screw removal. Through the use of intramedullary nails of maximum length and close fracture </w:t>
      </w:r>
      <w:r w:rsidRPr="006D11E5">
        <w:rPr>
          <w:rFonts w:ascii="Book Antiqua" w:eastAsia="Book Antiqua" w:hAnsi="Book Antiqua" w:cs="Book Antiqua"/>
          <w:color w:val="000000"/>
        </w:rPr>
        <w:lastRenderedPageBreak/>
        <w:t>follow-up with early intervention when delayed or nonunion of a fracture is suspected, this rare complication can be prevented.</w:t>
      </w:r>
    </w:p>
    <w:p w14:paraId="5191E27F" w14:textId="77777777" w:rsidR="00A77B3E" w:rsidRPr="006D11E5" w:rsidRDefault="00A77B3E" w:rsidP="006D11E5">
      <w:pPr>
        <w:adjustRightInd w:val="0"/>
        <w:snapToGrid w:val="0"/>
        <w:spacing w:line="360" w:lineRule="auto"/>
        <w:jc w:val="both"/>
        <w:rPr>
          <w:rFonts w:ascii="Book Antiqua" w:hAnsi="Book Antiqua"/>
        </w:rPr>
      </w:pPr>
    </w:p>
    <w:p w14:paraId="648BBA43" w14:textId="77777777" w:rsid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REFERENCES</w:t>
      </w:r>
    </w:p>
    <w:p w14:paraId="77A7F5CE" w14:textId="12CD2EDE"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 </w:t>
      </w:r>
      <w:proofErr w:type="spellStart"/>
      <w:r w:rsidRPr="006D11E5">
        <w:rPr>
          <w:rFonts w:ascii="Book Antiqua" w:hAnsi="Book Antiqua"/>
          <w:b/>
          <w:bCs/>
        </w:rPr>
        <w:t>Karadimas</w:t>
      </w:r>
      <w:proofErr w:type="spellEnd"/>
      <w:r w:rsidRPr="006D11E5">
        <w:rPr>
          <w:rFonts w:ascii="Book Antiqua" w:hAnsi="Book Antiqua"/>
          <w:b/>
          <w:bCs/>
        </w:rPr>
        <w:t xml:space="preserve"> EJ</w:t>
      </w:r>
      <w:r w:rsidRPr="006D11E5">
        <w:rPr>
          <w:rFonts w:ascii="Book Antiqua" w:hAnsi="Book Antiqua"/>
        </w:rPr>
        <w:t xml:space="preserve">, Papadimitriou G, Theodoratos G, Papanikolaou A, Maris J. The effectiveness of the antegrade reamed technique: the experience and complications from 415 traumatic femoral shaft fractures. </w:t>
      </w:r>
      <w:r w:rsidRPr="006D11E5">
        <w:rPr>
          <w:rFonts w:ascii="Book Antiqua" w:hAnsi="Book Antiqua"/>
          <w:i/>
          <w:iCs/>
        </w:rPr>
        <w:t xml:space="preserve">Strategies Trauma Limb </w:t>
      </w:r>
      <w:proofErr w:type="spellStart"/>
      <w:r w:rsidRPr="006D11E5">
        <w:rPr>
          <w:rFonts w:ascii="Book Antiqua" w:hAnsi="Book Antiqua"/>
          <w:i/>
          <w:iCs/>
        </w:rPr>
        <w:t>Reconstr</w:t>
      </w:r>
      <w:proofErr w:type="spellEnd"/>
      <w:r w:rsidRPr="006D11E5">
        <w:rPr>
          <w:rFonts w:ascii="Book Antiqua" w:hAnsi="Book Antiqua"/>
        </w:rPr>
        <w:t xml:space="preserve"> 2009; </w:t>
      </w:r>
      <w:r w:rsidRPr="006D11E5">
        <w:rPr>
          <w:rFonts w:ascii="Book Antiqua" w:hAnsi="Book Antiqua"/>
          <w:b/>
          <w:bCs/>
        </w:rPr>
        <w:t>4</w:t>
      </w:r>
      <w:r w:rsidRPr="006D11E5">
        <w:rPr>
          <w:rFonts w:ascii="Book Antiqua" w:hAnsi="Book Antiqua"/>
        </w:rPr>
        <w:t>: 113-121 [PMID: 19936887 DOI: 10.1007/s11751-009-0071-2]</w:t>
      </w:r>
    </w:p>
    <w:p w14:paraId="018DE9A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 </w:t>
      </w:r>
      <w:r w:rsidRPr="006D11E5">
        <w:rPr>
          <w:rFonts w:ascii="Book Antiqua" w:hAnsi="Book Antiqua"/>
          <w:b/>
          <w:bCs/>
        </w:rPr>
        <w:t>Winquist RA</w:t>
      </w:r>
      <w:r w:rsidRPr="006D11E5">
        <w:rPr>
          <w:rFonts w:ascii="Book Antiqua" w:hAnsi="Book Antiqua"/>
        </w:rPr>
        <w:t xml:space="preserve">, Hansen ST Jr, Clawson DK. Closed intramedullary nailing of femoral fractures. A report of five hundred and twenty cases. </w:t>
      </w:r>
      <w:r w:rsidRPr="006D11E5">
        <w:rPr>
          <w:rFonts w:ascii="Book Antiqua" w:hAnsi="Book Antiqua"/>
          <w:i/>
          <w:iCs/>
        </w:rPr>
        <w:t>J Bone Joint Surg Am</w:t>
      </w:r>
      <w:r w:rsidRPr="006D11E5">
        <w:rPr>
          <w:rFonts w:ascii="Book Antiqua" w:hAnsi="Book Antiqua"/>
        </w:rPr>
        <w:t xml:space="preserve"> 1984; </w:t>
      </w:r>
      <w:r w:rsidRPr="006D11E5">
        <w:rPr>
          <w:rFonts w:ascii="Book Antiqua" w:hAnsi="Book Antiqua"/>
          <w:b/>
          <w:bCs/>
        </w:rPr>
        <w:t>66</w:t>
      </w:r>
      <w:r w:rsidRPr="006D11E5">
        <w:rPr>
          <w:rFonts w:ascii="Book Antiqua" w:hAnsi="Book Antiqua"/>
        </w:rPr>
        <w:t>: 529-539 [PMID: 6707031 DOI: 10.2106/00004623-198466040-00006]</w:t>
      </w:r>
    </w:p>
    <w:p w14:paraId="3C48A0D4"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 </w:t>
      </w:r>
      <w:proofErr w:type="spellStart"/>
      <w:r w:rsidRPr="006D11E5">
        <w:rPr>
          <w:rFonts w:ascii="Book Antiqua" w:hAnsi="Book Antiqua"/>
          <w:b/>
          <w:bCs/>
        </w:rPr>
        <w:t>Wolinsky</w:t>
      </w:r>
      <w:proofErr w:type="spellEnd"/>
      <w:r w:rsidRPr="006D11E5">
        <w:rPr>
          <w:rFonts w:ascii="Book Antiqua" w:hAnsi="Book Antiqua"/>
          <w:b/>
          <w:bCs/>
        </w:rPr>
        <w:t xml:space="preserve"> PR</w:t>
      </w:r>
      <w:r w:rsidRPr="006D11E5">
        <w:rPr>
          <w:rFonts w:ascii="Book Antiqua" w:hAnsi="Book Antiqua"/>
        </w:rPr>
        <w:t xml:space="preserve">, McCarty E, </w:t>
      </w:r>
      <w:proofErr w:type="spellStart"/>
      <w:r w:rsidRPr="006D11E5">
        <w:rPr>
          <w:rFonts w:ascii="Book Antiqua" w:hAnsi="Book Antiqua"/>
        </w:rPr>
        <w:t>Shyr</w:t>
      </w:r>
      <w:proofErr w:type="spellEnd"/>
      <w:r w:rsidRPr="006D11E5">
        <w:rPr>
          <w:rFonts w:ascii="Book Antiqua" w:hAnsi="Book Antiqua"/>
        </w:rPr>
        <w:t xml:space="preserve"> Y, Johnson K. Reamed intramedullary nailing of the femur: 551 cases. </w:t>
      </w:r>
      <w:r w:rsidRPr="006D11E5">
        <w:rPr>
          <w:rFonts w:ascii="Book Antiqua" w:hAnsi="Book Antiqua"/>
          <w:i/>
          <w:iCs/>
        </w:rPr>
        <w:t>J Trauma</w:t>
      </w:r>
      <w:r w:rsidRPr="006D11E5">
        <w:rPr>
          <w:rFonts w:ascii="Book Antiqua" w:hAnsi="Book Antiqua"/>
        </w:rPr>
        <w:t xml:space="preserve"> 1999; </w:t>
      </w:r>
      <w:r w:rsidRPr="006D11E5">
        <w:rPr>
          <w:rFonts w:ascii="Book Antiqua" w:hAnsi="Book Antiqua"/>
          <w:b/>
          <w:bCs/>
        </w:rPr>
        <w:t>46</w:t>
      </w:r>
      <w:r w:rsidRPr="006D11E5">
        <w:rPr>
          <w:rFonts w:ascii="Book Antiqua" w:hAnsi="Book Antiqua"/>
        </w:rPr>
        <w:t>: 392-399 [PMID: 10088839 DOI: 10.1097/00005373-199903000-00007]</w:t>
      </w:r>
    </w:p>
    <w:p w14:paraId="494EA89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4 </w:t>
      </w:r>
      <w:proofErr w:type="spellStart"/>
      <w:r w:rsidRPr="006D11E5">
        <w:rPr>
          <w:rFonts w:ascii="Book Antiqua" w:hAnsi="Book Antiqua"/>
          <w:b/>
          <w:bCs/>
        </w:rPr>
        <w:t>Koso</w:t>
      </w:r>
      <w:proofErr w:type="spellEnd"/>
      <w:r w:rsidRPr="006D11E5">
        <w:rPr>
          <w:rFonts w:ascii="Book Antiqua" w:hAnsi="Book Antiqua"/>
          <w:b/>
          <w:bCs/>
        </w:rPr>
        <w:t xml:space="preserve"> RE</w:t>
      </w:r>
      <w:r w:rsidRPr="006D11E5">
        <w:rPr>
          <w:rFonts w:ascii="Book Antiqua" w:hAnsi="Book Antiqua"/>
        </w:rPr>
        <w:t xml:space="preserve">, </w:t>
      </w:r>
      <w:proofErr w:type="spellStart"/>
      <w:r w:rsidRPr="006D11E5">
        <w:rPr>
          <w:rFonts w:ascii="Book Antiqua" w:hAnsi="Book Antiqua"/>
        </w:rPr>
        <w:t>Terhoeve</w:t>
      </w:r>
      <w:proofErr w:type="spellEnd"/>
      <w:r w:rsidRPr="006D11E5">
        <w:rPr>
          <w:rFonts w:ascii="Book Antiqua" w:hAnsi="Book Antiqua"/>
        </w:rPr>
        <w:t xml:space="preserve"> C, Steen RG, </w:t>
      </w:r>
      <w:proofErr w:type="spellStart"/>
      <w:r w:rsidRPr="006D11E5">
        <w:rPr>
          <w:rFonts w:ascii="Book Antiqua" w:hAnsi="Book Antiqua"/>
        </w:rPr>
        <w:t>Zura</w:t>
      </w:r>
      <w:proofErr w:type="spellEnd"/>
      <w:r w:rsidRPr="006D11E5">
        <w:rPr>
          <w:rFonts w:ascii="Book Antiqua" w:hAnsi="Book Antiqua"/>
        </w:rPr>
        <w:t xml:space="preserve"> R. Healing, nonunion, and re-operation after internal fixation of diaphyseal and distal femoral fractures: a systematic review and meta-analysis. </w:t>
      </w:r>
      <w:proofErr w:type="spellStart"/>
      <w:r w:rsidRPr="006D11E5">
        <w:rPr>
          <w:rFonts w:ascii="Book Antiqua" w:hAnsi="Book Antiqua"/>
          <w:i/>
          <w:iCs/>
        </w:rPr>
        <w:t>Int</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rPr>
        <w:t xml:space="preserve"> 2018; </w:t>
      </w:r>
      <w:r w:rsidRPr="006D11E5">
        <w:rPr>
          <w:rFonts w:ascii="Book Antiqua" w:hAnsi="Book Antiqua"/>
          <w:b/>
          <w:bCs/>
        </w:rPr>
        <w:t>42</w:t>
      </w:r>
      <w:r w:rsidRPr="006D11E5">
        <w:rPr>
          <w:rFonts w:ascii="Book Antiqua" w:hAnsi="Book Antiqua"/>
        </w:rPr>
        <w:t>: 2675-2683 [PMID: 29516238 DOI: 10.1007/s00264-018-3864-4]</w:t>
      </w:r>
    </w:p>
    <w:p w14:paraId="69A6FB1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5 </w:t>
      </w:r>
      <w:proofErr w:type="spellStart"/>
      <w:r w:rsidRPr="006D11E5">
        <w:rPr>
          <w:rFonts w:ascii="Book Antiqua" w:hAnsi="Book Antiqua"/>
          <w:b/>
          <w:bCs/>
        </w:rPr>
        <w:t>Luo</w:t>
      </w:r>
      <w:proofErr w:type="spellEnd"/>
      <w:r w:rsidRPr="006D11E5">
        <w:rPr>
          <w:rFonts w:ascii="Book Antiqua" w:hAnsi="Book Antiqua"/>
          <w:b/>
          <w:bCs/>
        </w:rPr>
        <w:t xml:space="preserve"> H</w:t>
      </w:r>
      <w:r w:rsidRPr="006D11E5">
        <w:rPr>
          <w:rFonts w:ascii="Book Antiqua" w:hAnsi="Book Antiqua"/>
        </w:rPr>
        <w:t xml:space="preserve">, Su Y, Ding L, Xiao H, Wu M, </w:t>
      </w:r>
      <w:proofErr w:type="spellStart"/>
      <w:r w:rsidRPr="006D11E5">
        <w:rPr>
          <w:rFonts w:ascii="Book Antiqua" w:hAnsi="Book Antiqua"/>
        </w:rPr>
        <w:t>Xue</w:t>
      </w:r>
      <w:proofErr w:type="spellEnd"/>
      <w:r w:rsidRPr="006D11E5">
        <w:rPr>
          <w:rFonts w:ascii="Book Antiqua" w:hAnsi="Book Antiqua"/>
        </w:rPr>
        <w:t xml:space="preserve"> F. Exchange nailing versus augmentative plating in the treatment of femoral shaft nonunion after intramedullary nailing: a meta-analysis. </w:t>
      </w:r>
      <w:r w:rsidRPr="006D11E5">
        <w:rPr>
          <w:rFonts w:ascii="Book Antiqua" w:hAnsi="Book Antiqua"/>
          <w:i/>
          <w:iCs/>
        </w:rPr>
        <w:t>EFORT Open Rev</w:t>
      </w:r>
      <w:r w:rsidRPr="006D11E5">
        <w:rPr>
          <w:rFonts w:ascii="Book Antiqua" w:hAnsi="Book Antiqua"/>
        </w:rPr>
        <w:t xml:space="preserve"> 2019; </w:t>
      </w:r>
      <w:r w:rsidRPr="006D11E5">
        <w:rPr>
          <w:rFonts w:ascii="Book Antiqua" w:hAnsi="Book Antiqua"/>
          <w:b/>
          <w:bCs/>
        </w:rPr>
        <w:t>4</w:t>
      </w:r>
      <w:r w:rsidRPr="006D11E5">
        <w:rPr>
          <w:rFonts w:ascii="Book Antiqua" w:hAnsi="Book Antiqua"/>
        </w:rPr>
        <w:t>: 513-518 [PMID: 31538001 DOI: 10.1302/2058-5241.4.180054]</w:t>
      </w:r>
    </w:p>
    <w:p w14:paraId="45FC088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6 </w:t>
      </w:r>
      <w:proofErr w:type="spellStart"/>
      <w:r w:rsidRPr="006D11E5">
        <w:rPr>
          <w:rFonts w:ascii="Book Antiqua" w:hAnsi="Book Antiqua"/>
          <w:b/>
          <w:bCs/>
        </w:rPr>
        <w:t>Giannoudis</w:t>
      </w:r>
      <w:proofErr w:type="spellEnd"/>
      <w:r w:rsidRPr="006D11E5">
        <w:rPr>
          <w:rFonts w:ascii="Book Antiqua" w:hAnsi="Book Antiqua"/>
          <w:b/>
          <w:bCs/>
        </w:rPr>
        <w:t xml:space="preserve"> PV</w:t>
      </w:r>
      <w:r w:rsidRPr="006D11E5">
        <w:rPr>
          <w:rFonts w:ascii="Book Antiqua" w:hAnsi="Book Antiqua"/>
        </w:rPr>
        <w:t xml:space="preserve">, MacDonald DA, Matthews SJ, Smith RM, Furlong AJ, De Boer P. Nonunion of the femoral diaphysis. The influence of reaming and non-steroidal anti-inflammatory drugs. </w:t>
      </w:r>
      <w:r w:rsidRPr="006D11E5">
        <w:rPr>
          <w:rFonts w:ascii="Book Antiqua" w:hAnsi="Book Antiqua"/>
          <w:i/>
          <w:iCs/>
        </w:rPr>
        <w:t>J Bone Joint Surg Br</w:t>
      </w:r>
      <w:r w:rsidRPr="006D11E5">
        <w:rPr>
          <w:rFonts w:ascii="Book Antiqua" w:hAnsi="Book Antiqua"/>
        </w:rPr>
        <w:t xml:space="preserve"> 2000; </w:t>
      </w:r>
      <w:r w:rsidRPr="006D11E5">
        <w:rPr>
          <w:rFonts w:ascii="Book Antiqua" w:hAnsi="Book Antiqua"/>
          <w:b/>
          <w:bCs/>
        </w:rPr>
        <w:t>82</w:t>
      </w:r>
      <w:r w:rsidRPr="006D11E5">
        <w:rPr>
          <w:rFonts w:ascii="Book Antiqua" w:hAnsi="Book Antiqua"/>
        </w:rPr>
        <w:t>: 655-658 [PMID: 10963160 DOI: 10.1302/0301-620x.82b5.9899]</w:t>
      </w:r>
    </w:p>
    <w:p w14:paraId="70DF4AED"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7 </w:t>
      </w:r>
      <w:proofErr w:type="spellStart"/>
      <w:r w:rsidRPr="006D11E5">
        <w:rPr>
          <w:rFonts w:ascii="Book Antiqua" w:hAnsi="Book Antiqua"/>
          <w:b/>
          <w:bCs/>
        </w:rPr>
        <w:t>Hak</w:t>
      </w:r>
      <w:proofErr w:type="spellEnd"/>
      <w:r w:rsidRPr="006D11E5">
        <w:rPr>
          <w:rFonts w:ascii="Book Antiqua" w:hAnsi="Book Antiqua"/>
          <w:b/>
          <w:bCs/>
        </w:rPr>
        <w:t xml:space="preserve"> DJ</w:t>
      </w:r>
      <w:r w:rsidRPr="006D11E5">
        <w:rPr>
          <w:rFonts w:ascii="Book Antiqua" w:hAnsi="Book Antiqua"/>
        </w:rPr>
        <w:t xml:space="preserve">, Lee SS, Goulet JA. Success of exchange reamed intramedullary nailing for femoral shaft nonunion or delayed union.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2000; </w:t>
      </w:r>
      <w:r w:rsidRPr="006D11E5">
        <w:rPr>
          <w:rFonts w:ascii="Book Antiqua" w:hAnsi="Book Antiqua"/>
          <w:b/>
          <w:bCs/>
        </w:rPr>
        <w:t>14</w:t>
      </w:r>
      <w:r w:rsidRPr="006D11E5">
        <w:rPr>
          <w:rFonts w:ascii="Book Antiqua" w:hAnsi="Book Antiqua"/>
        </w:rPr>
        <w:t>: 178-182 [PMID: 10791668 DOI: 10.1097/00005131-200003000-00005]</w:t>
      </w:r>
    </w:p>
    <w:p w14:paraId="414A4EEC"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8 </w:t>
      </w:r>
      <w:proofErr w:type="spellStart"/>
      <w:r w:rsidRPr="006D11E5">
        <w:rPr>
          <w:rFonts w:ascii="Book Antiqua" w:hAnsi="Book Antiqua"/>
          <w:b/>
          <w:bCs/>
        </w:rPr>
        <w:t>Jeffcoach</w:t>
      </w:r>
      <w:proofErr w:type="spellEnd"/>
      <w:r w:rsidRPr="006D11E5">
        <w:rPr>
          <w:rFonts w:ascii="Book Antiqua" w:hAnsi="Book Antiqua"/>
          <w:b/>
          <w:bCs/>
        </w:rPr>
        <w:t xml:space="preserve"> DR</w:t>
      </w:r>
      <w:r w:rsidRPr="006D11E5">
        <w:rPr>
          <w:rFonts w:ascii="Book Antiqua" w:hAnsi="Book Antiqua"/>
        </w:rPr>
        <w:t xml:space="preserve">, </w:t>
      </w:r>
      <w:proofErr w:type="spellStart"/>
      <w:r w:rsidRPr="006D11E5">
        <w:rPr>
          <w:rFonts w:ascii="Book Antiqua" w:hAnsi="Book Antiqua"/>
        </w:rPr>
        <w:t>Sams</w:t>
      </w:r>
      <w:proofErr w:type="spellEnd"/>
      <w:r w:rsidRPr="006D11E5">
        <w:rPr>
          <w:rFonts w:ascii="Book Antiqua" w:hAnsi="Book Antiqua"/>
        </w:rPr>
        <w:t xml:space="preserve"> VG, Lawson CM, </w:t>
      </w:r>
      <w:proofErr w:type="spellStart"/>
      <w:r w:rsidRPr="006D11E5">
        <w:rPr>
          <w:rFonts w:ascii="Book Antiqua" w:hAnsi="Book Antiqua"/>
        </w:rPr>
        <w:t>Enderson</w:t>
      </w:r>
      <w:proofErr w:type="spellEnd"/>
      <w:r w:rsidRPr="006D11E5">
        <w:rPr>
          <w:rFonts w:ascii="Book Antiqua" w:hAnsi="Book Antiqua"/>
        </w:rPr>
        <w:t xml:space="preserve"> BL, Smith ST, Kline H, Barlow PB, Wylie DR, </w:t>
      </w:r>
      <w:proofErr w:type="spellStart"/>
      <w:r w:rsidRPr="006D11E5">
        <w:rPr>
          <w:rFonts w:ascii="Book Antiqua" w:hAnsi="Book Antiqua"/>
        </w:rPr>
        <w:t>Krumenacker</w:t>
      </w:r>
      <w:proofErr w:type="spellEnd"/>
      <w:r w:rsidRPr="006D11E5">
        <w:rPr>
          <w:rFonts w:ascii="Book Antiqua" w:hAnsi="Book Antiqua"/>
        </w:rPr>
        <w:t xml:space="preserve"> LA, </w:t>
      </w:r>
      <w:proofErr w:type="spellStart"/>
      <w:r w:rsidRPr="006D11E5">
        <w:rPr>
          <w:rFonts w:ascii="Book Antiqua" w:hAnsi="Book Antiqua"/>
        </w:rPr>
        <w:t>McMillen</w:t>
      </w:r>
      <w:proofErr w:type="spellEnd"/>
      <w:r w:rsidRPr="006D11E5">
        <w:rPr>
          <w:rFonts w:ascii="Book Antiqua" w:hAnsi="Book Antiqua"/>
        </w:rPr>
        <w:t xml:space="preserve"> JC, </w:t>
      </w:r>
      <w:proofErr w:type="spellStart"/>
      <w:r w:rsidRPr="006D11E5">
        <w:rPr>
          <w:rFonts w:ascii="Book Antiqua" w:hAnsi="Book Antiqua"/>
        </w:rPr>
        <w:t>Pyda</w:t>
      </w:r>
      <w:proofErr w:type="spellEnd"/>
      <w:r w:rsidRPr="006D11E5">
        <w:rPr>
          <w:rFonts w:ascii="Book Antiqua" w:hAnsi="Book Antiqua"/>
        </w:rPr>
        <w:t xml:space="preserve"> J, Daley BJ; University of Tennessee Medical Center, Department of Surgery. Nonsteroidal anti-inflammatory drugs' impact on nonunion and infection rates in long-bone fractures. </w:t>
      </w:r>
      <w:r w:rsidRPr="006D11E5">
        <w:rPr>
          <w:rFonts w:ascii="Book Antiqua" w:hAnsi="Book Antiqua"/>
          <w:i/>
          <w:iCs/>
        </w:rPr>
        <w:t>J Trauma Acute Care Surg</w:t>
      </w:r>
      <w:r w:rsidRPr="006D11E5">
        <w:rPr>
          <w:rFonts w:ascii="Book Antiqua" w:hAnsi="Book Antiqua"/>
        </w:rPr>
        <w:t xml:space="preserve"> 2014; </w:t>
      </w:r>
      <w:r w:rsidRPr="006D11E5">
        <w:rPr>
          <w:rFonts w:ascii="Book Antiqua" w:hAnsi="Book Antiqua"/>
          <w:b/>
          <w:bCs/>
        </w:rPr>
        <w:t>76</w:t>
      </w:r>
      <w:r w:rsidRPr="006D11E5">
        <w:rPr>
          <w:rFonts w:ascii="Book Antiqua" w:hAnsi="Book Antiqua"/>
        </w:rPr>
        <w:t>: 779-783 [PMID: 24553548 DOI: 10.1097/TA.0b013e3182aafe0d]</w:t>
      </w:r>
    </w:p>
    <w:p w14:paraId="5AC2921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9 </w:t>
      </w:r>
      <w:r w:rsidRPr="006D11E5">
        <w:rPr>
          <w:rFonts w:ascii="Book Antiqua" w:hAnsi="Book Antiqua"/>
          <w:b/>
          <w:bCs/>
        </w:rPr>
        <w:t>Wheatley BM</w:t>
      </w:r>
      <w:r w:rsidRPr="006D11E5">
        <w:rPr>
          <w:rFonts w:ascii="Book Antiqua" w:hAnsi="Book Antiqua"/>
        </w:rPr>
        <w:t xml:space="preserve">, </w:t>
      </w:r>
      <w:proofErr w:type="spellStart"/>
      <w:r w:rsidRPr="006D11E5">
        <w:rPr>
          <w:rFonts w:ascii="Book Antiqua" w:hAnsi="Book Antiqua"/>
        </w:rPr>
        <w:t>Nappo</w:t>
      </w:r>
      <w:proofErr w:type="spellEnd"/>
      <w:r w:rsidRPr="006D11E5">
        <w:rPr>
          <w:rFonts w:ascii="Book Antiqua" w:hAnsi="Book Antiqua"/>
        </w:rPr>
        <w:t xml:space="preserve"> KE, Christensen DL, Holman AM, Brooks DI, Potter BK. Effect of NSAIDs on Bone Healing Rates: A Meta-analysis. </w:t>
      </w:r>
      <w:r w:rsidRPr="006D11E5">
        <w:rPr>
          <w:rFonts w:ascii="Book Antiqua" w:hAnsi="Book Antiqua"/>
          <w:i/>
          <w:iCs/>
        </w:rPr>
        <w:t xml:space="preserve">J Am </w:t>
      </w:r>
      <w:proofErr w:type="spellStart"/>
      <w:r w:rsidRPr="006D11E5">
        <w:rPr>
          <w:rFonts w:ascii="Book Antiqua" w:hAnsi="Book Antiqua"/>
          <w:i/>
          <w:iCs/>
        </w:rPr>
        <w:t>Acad</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Surg</w:t>
      </w:r>
      <w:proofErr w:type="spellEnd"/>
      <w:r w:rsidRPr="006D11E5">
        <w:rPr>
          <w:rFonts w:ascii="Book Antiqua" w:hAnsi="Book Antiqua"/>
        </w:rPr>
        <w:t xml:space="preserve"> 2019; </w:t>
      </w:r>
      <w:r w:rsidRPr="006D11E5">
        <w:rPr>
          <w:rFonts w:ascii="Book Antiqua" w:hAnsi="Book Antiqua"/>
          <w:b/>
          <w:bCs/>
        </w:rPr>
        <w:t>27</w:t>
      </w:r>
      <w:r w:rsidRPr="006D11E5">
        <w:rPr>
          <w:rFonts w:ascii="Book Antiqua" w:hAnsi="Book Antiqua"/>
        </w:rPr>
        <w:t>: e330-e336 [PMID: 30260913 DOI: 10.5435/JAAOS-D-17-00727]</w:t>
      </w:r>
    </w:p>
    <w:p w14:paraId="756A8A50"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10 </w:t>
      </w:r>
      <w:proofErr w:type="spellStart"/>
      <w:r w:rsidRPr="006D11E5">
        <w:rPr>
          <w:rFonts w:ascii="Book Antiqua" w:hAnsi="Book Antiqua"/>
          <w:b/>
          <w:bCs/>
        </w:rPr>
        <w:t>Taitsman</w:t>
      </w:r>
      <w:proofErr w:type="spellEnd"/>
      <w:r w:rsidRPr="006D11E5">
        <w:rPr>
          <w:rFonts w:ascii="Book Antiqua" w:hAnsi="Book Antiqua"/>
          <w:b/>
          <w:bCs/>
        </w:rPr>
        <w:t xml:space="preserve"> LA</w:t>
      </w:r>
      <w:r w:rsidRPr="006D11E5">
        <w:rPr>
          <w:rFonts w:ascii="Book Antiqua" w:hAnsi="Book Antiqua"/>
        </w:rPr>
        <w:t xml:space="preserve">, Lynch JR, </w:t>
      </w:r>
      <w:proofErr w:type="spellStart"/>
      <w:r w:rsidRPr="006D11E5">
        <w:rPr>
          <w:rFonts w:ascii="Book Antiqua" w:hAnsi="Book Antiqua"/>
        </w:rPr>
        <w:t>Agel</w:t>
      </w:r>
      <w:proofErr w:type="spellEnd"/>
      <w:r w:rsidRPr="006D11E5">
        <w:rPr>
          <w:rFonts w:ascii="Book Antiqua" w:hAnsi="Book Antiqua"/>
        </w:rPr>
        <w:t xml:space="preserve"> J, </w:t>
      </w:r>
      <w:proofErr w:type="spellStart"/>
      <w:r w:rsidRPr="006D11E5">
        <w:rPr>
          <w:rFonts w:ascii="Book Antiqua" w:hAnsi="Book Antiqua"/>
        </w:rPr>
        <w:t>Barei</w:t>
      </w:r>
      <w:proofErr w:type="spellEnd"/>
      <w:r w:rsidRPr="006D11E5">
        <w:rPr>
          <w:rFonts w:ascii="Book Antiqua" w:hAnsi="Book Antiqua"/>
        </w:rPr>
        <w:t xml:space="preserve"> DP, Nork SE. Risk factors for femoral nonunion after femoral shaft fracture. </w:t>
      </w:r>
      <w:r w:rsidRPr="006D11E5">
        <w:rPr>
          <w:rFonts w:ascii="Book Antiqua" w:hAnsi="Book Antiqua"/>
          <w:i/>
          <w:iCs/>
        </w:rPr>
        <w:t>J Trauma</w:t>
      </w:r>
      <w:r w:rsidRPr="006D11E5">
        <w:rPr>
          <w:rFonts w:ascii="Book Antiqua" w:hAnsi="Book Antiqua"/>
        </w:rPr>
        <w:t xml:space="preserve"> 2009; </w:t>
      </w:r>
      <w:r w:rsidRPr="006D11E5">
        <w:rPr>
          <w:rFonts w:ascii="Book Antiqua" w:hAnsi="Book Antiqua"/>
          <w:b/>
          <w:bCs/>
        </w:rPr>
        <w:t>67</w:t>
      </w:r>
      <w:r w:rsidRPr="006D11E5">
        <w:rPr>
          <w:rFonts w:ascii="Book Antiqua" w:hAnsi="Book Antiqua"/>
        </w:rPr>
        <w:t>: 1389-1392 [PMID: 19704386 DOI: 10.1097/TA.0b013e318182afd0]</w:t>
      </w:r>
    </w:p>
    <w:p w14:paraId="13490DBC"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11 </w:t>
      </w:r>
      <w:r w:rsidRPr="006D11E5">
        <w:rPr>
          <w:rFonts w:ascii="Book Antiqua" w:hAnsi="Book Antiqua"/>
          <w:b/>
          <w:bCs/>
        </w:rPr>
        <w:t>Jiao H</w:t>
      </w:r>
      <w:r w:rsidRPr="006D11E5">
        <w:rPr>
          <w:rFonts w:ascii="Book Antiqua" w:hAnsi="Book Antiqua"/>
        </w:rPr>
        <w:t xml:space="preserve">, Xiao E, Graves DT. Diabetes and Its Effect on Bone and Fracture Healing. </w:t>
      </w:r>
      <w:proofErr w:type="spellStart"/>
      <w:r w:rsidRPr="006D11E5">
        <w:rPr>
          <w:rFonts w:ascii="Book Antiqua" w:hAnsi="Book Antiqua"/>
          <w:i/>
          <w:iCs/>
        </w:rPr>
        <w:t>Curr</w:t>
      </w:r>
      <w:proofErr w:type="spellEnd"/>
      <w:r w:rsidRPr="006D11E5">
        <w:rPr>
          <w:rFonts w:ascii="Book Antiqua" w:hAnsi="Book Antiqua"/>
          <w:i/>
          <w:iCs/>
        </w:rPr>
        <w:t xml:space="preserve"> </w:t>
      </w:r>
      <w:proofErr w:type="spellStart"/>
      <w:r w:rsidRPr="006D11E5">
        <w:rPr>
          <w:rFonts w:ascii="Book Antiqua" w:hAnsi="Book Antiqua"/>
          <w:i/>
          <w:iCs/>
        </w:rPr>
        <w:t>Osteoporos</w:t>
      </w:r>
      <w:proofErr w:type="spellEnd"/>
      <w:r w:rsidRPr="006D11E5">
        <w:rPr>
          <w:rFonts w:ascii="Book Antiqua" w:hAnsi="Book Antiqua"/>
          <w:i/>
          <w:iCs/>
        </w:rPr>
        <w:t xml:space="preserve"> Rep</w:t>
      </w:r>
      <w:r w:rsidRPr="006D11E5">
        <w:rPr>
          <w:rFonts w:ascii="Book Antiqua" w:hAnsi="Book Antiqua"/>
        </w:rPr>
        <w:t xml:space="preserve"> 2015; </w:t>
      </w:r>
      <w:r w:rsidRPr="006D11E5">
        <w:rPr>
          <w:rFonts w:ascii="Book Antiqua" w:hAnsi="Book Antiqua"/>
          <w:b/>
          <w:bCs/>
        </w:rPr>
        <w:t>13</w:t>
      </w:r>
      <w:r w:rsidRPr="006D11E5">
        <w:rPr>
          <w:rFonts w:ascii="Book Antiqua" w:hAnsi="Book Antiqua"/>
        </w:rPr>
        <w:t>: 327-335 [PMID: 26254939 DOI: 10.1007/s11914-015-0286-8]</w:t>
      </w:r>
    </w:p>
    <w:p w14:paraId="74A0A3B6"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12 </w:t>
      </w:r>
      <w:r w:rsidRPr="006D11E5">
        <w:rPr>
          <w:rFonts w:ascii="Book Antiqua" w:hAnsi="Book Antiqua"/>
          <w:b/>
          <w:bCs/>
        </w:rPr>
        <w:t>Wu CC</w:t>
      </w:r>
      <w:r w:rsidRPr="006D11E5">
        <w:rPr>
          <w:rFonts w:ascii="Book Antiqua" w:hAnsi="Book Antiqua"/>
        </w:rPr>
        <w:t xml:space="preserve">. The effect of dynamization on slowing the healing of femur shaft fractures after interlocking nailing. </w:t>
      </w:r>
      <w:r w:rsidRPr="006D11E5">
        <w:rPr>
          <w:rFonts w:ascii="Book Antiqua" w:hAnsi="Book Antiqua"/>
          <w:i/>
          <w:iCs/>
        </w:rPr>
        <w:t>J Trauma</w:t>
      </w:r>
      <w:r w:rsidRPr="006D11E5">
        <w:rPr>
          <w:rFonts w:ascii="Book Antiqua" w:hAnsi="Book Antiqua"/>
        </w:rPr>
        <w:t xml:space="preserve"> 1997; </w:t>
      </w:r>
      <w:r w:rsidRPr="006D11E5">
        <w:rPr>
          <w:rFonts w:ascii="Book Antiqua" w:hAnsi="Book Antiqua"/>
          <w:b/>
          <w:bCs/>
        </w:rPr>
        <w:t>43</w:t>
      </w:r>
      <w:r w:rsidRPr="006D11E5">
        <w:rPr>
          <w:rFonts w:ascii="Book Antiqua" w:hAnsi="Book Antiqua"/>
        </w:rPr>
        <w:t>: 263-267 [PMID: 9291371 DOI: 10.1097/00005373-199708000-00010]</w:t>
      </w:r>
    </w:p>
    <w:p w14:paraId="51B562B8"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13 </w:t>
      </w:r>
      <w:r w:rsidRPr="006D11E5">
        <w:rPr>
          <w:rFonts w:ascii="Book Antiqua" w:hAnsi="Book Antiqua"/>
          <w:b/>
          <w:bCs/>
        </w:rPr>
        <w:t>Vaughn JE</w:t>
      </w:r>
      <w:r w:rsidRPr="006D11E5">
        <w:rPr>
          <w:rFonts w:ascii="Book Antiqua" w:hAnsi="Book Antiqua"/>
        </w:rPr>
        <w:t xml:space="preserve">, Shah RV, </w:t>
      </w:r>
      <w:proofErr w:type="spellStart"/>
      <w:r w:rsidRPr="006D11E5">
        <w:rPr>
          <w:rFonts w:ascii="Book Antiqua" w:hAnsi="Book Antiqua"/>
        </w:rPr>
        <w:t>Samman</w:t>
      </w:r>
      <w:proofErr w:type="spellEnd"/>
      <w:r w:rsidRPr="006D11E5">
        <w:rPr>
          <w:rFonts w:ascii="Book Antiqua" w:hAnsi="Book Antiqua"/>
        </w:rPr>
        <w:t xml:space="preserve"> T, </w:t>
      </w:r>
      <w:proofErr w:type="spellStart"/>
      <w:r w:rsidRPr="006D11E5">
        <w:rPr>
          <w:rFonts w:ascii="Book Antiqua" w:hAnsi="Book Antiqua"/>
        </w:rPr>
        <w:t>Stirton</w:t>
      </w:r>
      <w:proofErr w:type="spellEnd"/>
      <w:r w:rsidRPr="006D11E5">
        <w:rPr>
          <w:rFonts w:ascii="Book Antiqua" w:hAnsi="Book Antiqua"/>
        </w:rPr>
        <w:t xml:space="preserve"> J, Liu J, </w:t>
      </w:r>
      <w:proofErr w:type="spellStart"/>
      <w:r w:rsidRPr="006D11E5">
        <w:rPr>
          <w:rFonts w:ascii="Book Antiqua" w:hAnsi="Book Antiqua"/>
        </w:rPr>
        <w:t>Ebraheim</w:t>
      </w:r>
      <w:proofErr w:type="spellEnd"/>
      <w:r w:rsidRPr="006D11E5">
        <w:rPr>
          <w:rFonts w:ascii="Book Antiqua" w:hAnsi="Book Antiqua"/>
        </w:rPr>
        <w:t xml:space="preserve"> NA. Systematic review of dynamization </w:t>
      </w:r>
      <w:r w:rsidRPr="006D11E5">
        <w:rPr>
          <w:rFonts w:ascii="Book Antiqua" w:hAnsi="Book Antiqua"/>
          <w:i/>
          <w:iCs/>
        </w:rPr>
        <w:t>vs</w:t>
      </w:r>
      <w:r w:rsidRPr="006D11E5">
        <w:rPr>
          <w:rFonts w:ascii="Book Antiqua" w:hAnsi="Book Antiqua"/>
        </w:rPr>
        <w:t xml:space="preserve"> exchange nailing for delayed/non-union femoral fractures. </w:t>
      </w:r>
      <w:r w:rsidRPr="006D11E5">
        <w:rPr>
          <w:rFonts w:ascii="Book Antiqua" w:hAnsi="Book Antiqua"/>
          <w:i/>
          <w:iCs/>
        </w:rPr>
        <w:t xml:space="preserve">World J </w:t>
      </w:r>
      <w:proofErr w:type="spellStart"/>
      <w:r w:rsidRPr="006D11E5">
        <w:rPr>
          <w:rFonts w:ascii="Book Antiqua" w:hAnsi="Book Antiqua"/>
          <w:i/>
          <w:iCs/>
        </w:rPr>
        <w:t>Orthop</w:t>
      </w:r>
      <w:proofErr w:type="spellEnd"/>
      <w:r w:rsidRPr="006D11E5">
        <w:rPr>
          <w:rFonts w:ascii="Book Antiqua" w:hAnsi="Book Antiqua"/>
        </w:rPr>
        <w:t xml:space="preserve"> 2018; </w:t>
      </w:r>
      <w:r w:rsidRPr="006D11E5">
        <w:rPr>
          <w:rFonts w:ascii="Book Antiqua" w:hAnsi="Book Antiqua"/>
          <w:b/>
          <w:bCs/>
        </w:rPr>
        <w:t>9</w:t>
      </w:r>
      <w:r w:rsidRPr="006D11E5">
        <w:rPr>
          <w:rFonts w:ascii="Book Antiqua" w:hAnsi="Book Antiqua"/>
        </w:rPr>
        <w:t>: 92-99 [PMID: 30079298 DOI: 10.5312/wjo.v9.i7.92]</w:t>
      </w:r>
    </w:p>
    <w:p w14:paraId="3699125F"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14 </w:t>
      </w:r>
      <w:r w:rsidRPr="006D11E5">
        <w:rPr>
          <w:rFonts w:ascii="Book Antiqua" w:hAnsi="Book Antiqua"/>
          <w:b/>
          <w:bCs/>
        </w:rPr>
        <w:t>Furlong AJ</w:t>
      </w:r>
      <w:r w:rsidRPr="006D11E5">
        <w:rPr>
          <w:rFonts w:ascii="Book Antiqua" w:hAnsi="Book Antiqua"/>
        </w:rPr>
        <w:t xml:space="preserve">, </w:t>
      </w:r>
      <w:proofErr w:type="spellStart"/>
      <w:r w:rsidRPr="006D11E5">
        <w:rPr>
          <w:rFonts w:ascii="Book Antiqua" w:hAnsi="Book Antiqua"/>
        </w:rPr>
        <w:t>Giannoudis</w:t>
      </w:r>
      <w:proofErr w:type="spellEnd"/>
      <w:r w:rsidRPr="006D11E5">
        <w:rPr>
          <w:rFonts w:ascii="Book Antiqua" w:hAnsi="Book Antiqua"/>
        </w:rPr>
        <w:t xml:space="preserve"> PV, </w:t>
      </w:r>
      <w:proofErr w:type="spellStart"/>
      <w:r w:rsidRPr="006D11E5">
        <w:rPr>
          <w:rFonts w:ascii="Book Antiqua" w:hAnsi="Book Antiqua"/>
        </w:rPr>
        <w:t>DeBoer</w:t>
      </w:r>
      <w:proofErr w:type="spellEnd"/>
      <w:r w:rsidRPr="006D11E5">
        <w:rPr>
          <w:rFonts w:ascii="Book Antiqua" w:hAnsi="Book Antiqua"/>
        </w:rPr>
        <w:t xml:space="preserve"> P, Matthews SJ, MacDonald DA, Smith RM. Exchange nailing for femoral shaft aseptic non-union. </w:t>
      </w:r>
      <w:r w:rsidRPr="006D11E5">
        <w:rPr>
          <w:rFonts w:ascii="Book Antiqua" w:hAnsi="Book Antiqua"/>
          <w:i/>
          <w:iCs/>
        </w:rPr>
        <w:t>Injury</w:t>
      </w:r>
      <w:r w:rsidRPr="006D11E5">
        <w:rPr>
          <w:rFonts w:ascii="Book Antiqua" w:hAnsi="Book Antiqua"/>
        </w:rPr>
        <w:t xml:space="preserve"> 1999; </w:t>
      </w:r>
      <w:r w:rsidRPr="006D11E5">
        <w:rPr>
          <w:rFonts w:ascii="Book Antiqua" w:hAnsi="Book Antiqua"/>
          <w:b/>
          <w:bCs/>
        </w:rPr>
        <w:t>30</w:t>
      </w:r>
      <w:r w:rsidRPr="006D11E5">
        <w:rPr>
          <w:rFonts w:ascii="Book Antiqua" w:hAnsi="Book Antiqua"/>
        </w:rPr>
        <w:t>: 245-249 [PMID: 10476292 DOI: 10.1016/s0020-1383(99)00073-x]</w:t>
      </w:r>
    </w:p>
    <w:p w14:paraId="2962A513"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15 </w:t>
      </w:r>
      <w:proofErr w:type="spellStart"/>
      <w:r w:rsidRPr="006D11E5">
        <w:rPr>
          <w:rFonts w:ascii="Book Antiqua" w:hAnsi="Book Antiqua"/>
          <w:b/>
          <w:bCs/>
        </w:rPr>
        <w:t>Hierholzer</w:t>
      </w:r>
      <w:proofErr w:type="spellEnd"/>
      <w:r w:rsidRPr="006D11E5">
        <w:rPr>
          <w:rFonts w:ascii="Book Antiqua" w:hAnsi="Book Antiqua"/>
          <w:b/>
          <w:bCs/>
        </w:rPr>
        <w:t xml:space="preserve"> C</w:t>
      </w:r>
      <w:r w:rsidRPr="006D11E5">
        <w:rPr>
          <w:rFonts w:ascii="Book Antiqua" w:hAnsi="Book Antiqua"/>
        </w:rPr>
        <w:t xml:space="preserve">, </w:t>
      </w:r>
      <w:proofErr w:type="spellStart"/>
      <w:r w:rsidRPr="006D11E5">
        <w:rPr>
          <w:rFonts w:ascii="Book Antiqua" w:hAnsi="Book Antiqua"/>
        </w:rPr>
        <w:t>Glowalla</w:t>
      </w:r>
      <w:proofErr w:type="spellEnd"/>
      <w:r w:rsidRPr="006D11E5">
        <w:rPr>
          <w:rFonts w:ascii="Book Antiqua" w:hAnsi="Book Antiqua"/>
        </w:rPr>
        <w:t xml:space="preserve"> C, </w:t>
      </w:r>
      <w:proofErr w:type="spellStart"/>
      <w:r w:rsidRPr="006D11E5">
        <w:rPr>
          <w:rFonts w:ascii="Book Antiqua" w:hAnsi="Book Antiqua"/>
        </w:rPr>
        <w:t>Herrler</w:t>
      </w:r>
      <w:proofErr w:type="spellEnd"/>
      <w:r w:rsidRPr="006D11E5">
        <w:rPr>
          <w:rFonts w:ascii="Book Antiqua" w:hAnsi="Book Antiqua"/>
        </w:rPr>
        <w:t xml:space="preserve"> M, von </w:t>
      </w:r>
      <w:proofErr w:type="spellStart"/>
      <w:r w:rsidRPr="006D11E5">
        <w:rPr>
          <w:rFonts w:ascii="Book Antiqua" w:hAnsi="Book Antiqua"/>
        </w:rPr>
        <w:t>Rüden</w:t>
      </w:r>
      <w:proofErr w:type="spellEnd"/>
      <w:r w:rsidRPr="006D11E5">
        <w:rPr>
          <w:rFonts w:ascii="Book Antiqua" w:hAnsi="Book Antiqua"/>
        </w:rPr>
        <w:t xml:space="preserve"> C, </w:t>
      </w:r>
      <w:proofErr w:type="spellStart"/>
      <w:r w:rsidRPr="006D11E5">
        <w:rPr>
          <w:rFonts w:ascii="Book Antiqua" w:hAnsi="Book Antiqua"/>
        </w:rPr>
        <w:t>Hungerer</w:t>
      </w:r>
      <w:proofErr w:type="spellEnd"/>
      <w:r w:rsidRPr="006D11E5">
        <w:rPr>
          <w:rFonts w:ascii="Book Antiqua" w:hAnsi="Book Antiqua"/>
        </w:rPr>
        <w:t xml:space="preserve"> S, </w:t>
      </w:r>
      <w:proofErr w:type="spellStart"/>
      <w:r w:rsidRPr="006D11E5">
        <w:rPr>
          <w:rFonts w:ascii="Book Antiqua" w:hAnsi="Book Antiqua"/>
        </w:rPr>
        <w:t>Bühren</w:t>
      </w:r>
      <w:proofErr w:type="spellEnd"/>
      <w:r w:rsidRPr="006D11E5">
        <w:rPr>
          <w:rFonts w:ascii="Book Antiqua" w:hAnsi="Book Antiqua"/>
        </w:rPr>
        <w:t xml:space="preserve"> V, Friederichs J. Reamed intramedullary exchange nailing: treatment of choice of aseptic femoral shaft nonunion.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Surg</w:t>
      </w:r>
      <w:proofErr w:type="spellEnd"/>
      <w:r w:rsidRPr="006D11E5">
        <w:rPr>
          <w:rFonts w:ascii="Book Antiqua" w:hAnsi="Book Antiqua"/>
          <w:i/>
          <w:iCs/>
        </w:rPr>
        <w:t xml:space="preserve"> Res</w:t>
      </w:r>
      <w:r w:rsidRPr="006D11E5">
        <w:rPr>
          <w:rFonts w:ascii="Book Antiqua" w:hAnsi="Book Antiqua"/>
        </w:rPr>
        <w:t xml:space="preserve"> 2014; </w:t>
      </w:r>
      <w:r w:rsidRPr="006D11E5">
        <w:rPr>
          <w:rFonts w:ascii="Book Antiqua" w:hAnsi="Book Antiqua"/>
          <w:b/>
          <w:bCs/>
        </w:rPr>
        <w:t>9</w:t>
      </w:r>
      <w:r w:rsidRPr="006D11E5">
        <w:rPr>
          <w:rFonts w:ascii="Book Antiqua" w:hAnsi="Book Antiqua"/>
        </w:rPr>
        <w:t>: 88 [PMID: 25300373 DOI: 10.1186/s13018-014-0088-1]</w:t>
      </w:r>
    </w:p>
    <w:p w14:paraId="48638638"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16 </w:t>
      </w:r>
      <w:proofErr w:type="spellStart"/>
      <w:r w:rsidRPr="006D11E5">
        <w:rPr>
          <w:rFonts w:ascii="Book Antiqua" w:hAnsi="Book Antiqua"/>
          <w:b/>
          <w:bCs/>
        </w:rPr>
        <w:t>Naeem-ur-Razaq</w:t>
      </w:r>
      <w:proofErr w:type="spellEnd"/>
      <w:r w:rsidRPr="006D11E5">
        <w:rPr>
          <w:rFonts w:ascii="Book Antiqua" w:hAnsi="Book Antiqua"/>
          <w:b/>
          <w:bCs/>
        </w:rPr>
        <w:t xml:space="preserve"> M</w:t>
      </w:r>
      <w:r w:rsidRPr="006D11E5">
        <w:rPr>
          <w:rFonts w:ascii="Book Antiqua" w:hAnsi="Book Antiqua"/>
        </w:rPr>
        <w:t xml:space="preserve">, </w:t>
      </w:r>
      <w:proofErr w:type="spellStart"/>
      <w:r w:rsidRPr="006D11E5">
        <w:rPr>
          <w:rFonts w:ascii="Book Antiqua" w:hAnsi="Book Antiqua"/>
        </w:rPr>
        <w:t>Qasim</w:t>
      </w:r>
      <w:proofErr w:type="spellEnd"/>
      <w:r w:rsidRPr="006D11E5">
        <w:rPr>
          <w:rFonts w:ascii="Book Antiqua" w:hAnsi="Book Antiqua"/>
        </w:rPr>
        <w:t xml:space="preserve"> M, Sultan S. Exchange nailing for non-union of femoral shaft fractures. </w:t>
      </w:r>
      <w:r w:rsidRPr="006D11E5">
        <w:rPr>
          <w:rFonts w:ascii="Book Antiqua" w:hAnsi="Book Antiqua"/>
          <w:i/>
          <w:iCs/>
        </w:rPr>
        <w:t xml:space="preserve">J </w:t>
      </w:r>
      <w:proofErr w:type="spellStart"/>
      <w:r w:rsidRPr="006D11E5">
        <w:rPr>
          <w:rFonts w:ascii="Book Antiqua" w:hAnsi="Book Antiqua"/>
          <w:i/>
          <w:iCs/>
        </w:rPr>
        <w:t>Ayub</w:t>
      </w:r>
      <w:proofErr w:type="spellEnd"/>
      <w:r w:rsidRPr="006D11E5">
        <w:rPr>
          <w:rFonts w:ascii="Book Antiqua" w:hAnsi="Book Antiqua"/>
          <w:i/>
          <w:iCs/>
        </w:rPr>
        <w:t xml:space="preserve"> Med </w:t>
      </w:r>
      <w:proofErr w:type="spellStart"/>
      <w:r w:rsidRPr="006D11E5">
        <w:rPr>
          <w:rFonts w:ascii="Book Antiqua" w:hAnsi="Book Antiqua"/>
          <w:i/>
          <w:iCs/>
        </w:rPr>
        <w:t>Coll</w:t>
      </w:r>
      <w:proofErr w:type="spellEnd"/>
      <w:r w:rsidRPr="006D11E5">
        <w:rPr>
          <w:rFonts w:ascii="Book Antiqua" w:hAnsi="Book Antiqua"/>
          <w:i/>
          <w:iCs/>
        </w:rPr>
        <w:t xml:space="preserve"> Abbottabad</w:t>
      </w:r>
      <w:r w:rsidRPr="006D11E5">
        <w:rPr>
          <w:rFonts w:ascii="Book Antiqua" w:hAnsi="Book Antiqua"/>
        </w:rPr>
        <w:t xml:space="preserve"> 2010; </w:t>
      </w:r>
      <w:r w:rsidRPr="006D11E5">
        <w:rPr>
          <w:rFonts w:ascii="Book Antiqua" w:hAnsi="Book Antiqua"/>
          <w:b/>
          <w:bCs/>
        </w:rPr>
        <w:t>22</w:t>
      </w:r>
      <w:r w:rsidRPr="006D11E5">
        <w:rPr>
          <w:rFonts w:ascii="Book Antiqua" w:hAnsi="Book Antiqua"/>
        </w:rPr>
        <w:t>: 106-109 [PMID: 22338431 DOI: 10.2739/kurumemedj.20.125]</w:t>
      </w:r>
    </w:p>
    <w:p w14:paraId="2D20F4A7" w14:textId="2D1437BC"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17 </w:t>
      </w:r>
      <w:r w:rsidRPr="006D11E5">
        <w:rPr>
          <w:rFonts w:ascii="Book Antiqua" w:hAnsi="Book Antiqua"/>
          <w:b/>
          <w:bCs/>
        </w:rPr>
        <w:t>Oh I</w:t>
      </w:r>
      <w:r w:rsidRPr="006D11E5">
        <w:rPr>
          <w:rFonts w:ascii="Book Antiqua" w:hAnsi="Book Antiqua"/>
        </w:rPr>
        <w:t xml:space="preserve">, </w:t>
      </w:r>
      <w:proofErr w:type="spellStart"/>
      <w:r w:rsidRPr="006D11E5">
        <w:rPr>
          <w:rFonts w:ascii="Book Antiqua" w:hAnsi="Book Antiqua"/>
        </w:rPr>
        <w:t>Nahigian</w:t>
      </w:r>
      <w:proofErr w:type="spellEnd"/>
      <w:r w:rsidRPr="006D11E5">
        <w:rPr>
          <w:rFonts w:ascii="Book Antiqua" w:hAnsi="Book Antiqua"/>
        </w:rPr>
        <w:t xml:space="preserve"> SH, </w:t>
      </w:r>
      <w:proofErr w:type="spellStart"/>
      <w:r w:rsidRPr="006D11E5">
        <w:rPr>
          <w:rFonts w:ascii="Book Antiqua" w:hAnsi="Book Antiqua"/>
        </w:rPr>
        <w:t>Rascher</w:t>
      </w:r>
      <w:proofErr w:type="spellEnd"/>
      <w:r w:rsidRPr="006D11E5">
        <w:rPr>
          <w:rFonts w:ascii="Book Antiqua" w:hAnsi="Book Antiqua"/>
        </w:rPr>
        <w:t xml:space="preserve"> JJ, </w:t>
      </w:r>
      <w:proofErr w:type="spellStart"/>
      <w:r w:rsidRPr="006D11E5">
        <w:rPr>
          <w:rFonts w:ascii="Book Antiqua" w:hAnsi="Book Antiqua"/>
        </w:rPr>
        <w:t>Farrall</w:t>
      </w:r>
      <w:proofErr w:type="spellEnd"/>
      <w:r w:rsidRPr="006D11E5">
        <w:rPr>
          <w:rFonts w:ascii="Book Antiqua" w:hAnsi="Book Antiqua"/>
        </w:rPr>
        <w:t xml:space="preserve"> JP. Closed intramedullary nailing for ununited femoral shaft fractures. </w:t>
      </w:r>
      <w:proofErr w:type="spellStart"/>
      <w:r w:rsidRPr="006D11E5">
        <w:rPr>
          <w:rFonts w:ascii="Book Antiqua" w:hAnsi="Book Antiqua"/>
          <w:i/>
          <w:iCs/>
        </w:rPr>
        <w:t>Clin</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1975</w:t>
      </w:r>
      <w:r w:rsidR="008A4F2A">
        <w:rPr>
          <w:rFonts w:ascii="Book Antiqua" w:hAnsi="Book Antiqua" w:hint="eastAsia"/>
          <w:lang w:eastAsia="zh-CN"/>
        </w:rPr>
        <w:t>;</w:t>
      </w:r>
      <w:r w:rsidRPr="006D11E5">
        <w:rPr>
          <w:rFonts w:ascii="Book Antiqua" w:hAnsi="Book Antiqua"/>
        </w:rPr>
        <w:t xml:space="preserve"> 206-215 [PMID: 1126078 DOI: 10.1097/00003086-197501000-00032]</w:t>
      </w:r>
    </w:p>
    <w:p w14:paraId="64566A2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18 </w:t>
      </w:r>
      <w:proofErr w:type="spellStart"/>
      <w:r w:rsidRPr="006D11E5">
        <w:rPr>
          <w:rFonts w:ascii="Book Antiqua" w:hAnsi="Book Antiqua"/>
          <w:b/>
          <w:bCs/>
        </w:rPr>
        <w:t>Shroeder</w:t>
      </w:r>
      <w:proofErr w:type="spellEnd"/>
      <w:r w:rsidRPr="006D11E5">
        <w:rPr>
          <w:rFonts w:ascii="Book Antiqua" w:hAnsi="Book Antiqua"/>
          <w:b/>
          <w:bCs/>
        </w:rPr>
        <w:t xml:space="preserve"> JE</w:t>
      </w:r>
      <w:r w:rsidRPr="006D11E5">
        <w:rPr>
          <w:rFonts w:ascii="Book Antiqua" w:hAnsi="Book Antiqua"/>
        </w:rPr>
        <w:t xml:space="preserve">, </w:t>
      </w:r>
      <w:proofErr w:type="spellStart"/>
      <w:r w:rsidRPr="006D11E5">
        <w:rPr>
          <w:rFonts w:ascii="Book Antiqua" w:hAnsi="Book Antiqua"/>
        </w:rPr>
        <w:t>Mosheiff</w:t>
      </w:r>
      <w:proofErr w:type="spellEnd"/>
      <w:r w:rsidRPr="006D11E5">
        <w:rPr>
          <w:rFonts w:ascii="Book Antiqua" w:hAnsi="Book Antiqua"/>
        </w:rPr>
        <w:t xml:space="preserve"> R, </w:t>
      </w:r>
      <w:proofErr w:type="spellStart"/>
      <w:r w:rsidRPr="006D11E5">
        <w:rPr>
          <w:rFonts w:ascii="Book Antiqua" w:hAnsi="Book Antiqua"/>
        </w:rPr>
        <w:t>Khoury</w:t>
      </w:r>
      <w:proofErr w:type="spellEnd"/>
      <w:r w:rsidRPr="006D11E5">
        <w:rPr>
          <w:rFonts w:ascii="Book Antiqua" w:hAnsi="Book Antiqua"/>
        </w:rPr>
        <w:t xml:space="preserve"> A, </w:t>
      </w:r>
      <w:proofErr w:type="spellStart"/>
      <w:r w:rsidRPr="006D11E5">
        <w:rPr>
          <w:rFonts w:ascii="Book Antiqua" w:hAnsi="Book Antiqua"/>
        </w:rPr>
        <w:t>Liebergall</w:t>
      </w:r>
      <w:proofErr w:type="spellEnd"/>
      <w:r w:rsidRPr="006D11E5">
        <w:rPr>
          <w:rFonts w:ascii="Book Antiqua" w:hAnsi="Book Antiqua"/>
        </w:rPr>
        <w:t xml:space="preserve"> M, Weil YA. The outcome of closed, intramedullary exchange nailing with reamed insertion in the treatment of femoral shaft </w:t>
      </w:r>
      <w:proofErr w:type="spellStart"/>
      <w:r w:rsidRPr="006D11E5">
        <w:rPr>
          <w:rFonts w:ascii="Book Antiqua" w:hAnsi="Book Antiqua"/>
        </w:rPr>
        <w:t>nonunions</w:t>
      </w:r>
      <w:proofErr w:type="spellEnd"/>
      <w:r w:rsidRPr="006D11E5">
        <w:rPr>
          <w:rFonts w:ascii="Book Antiqua" w:hAnsi="Book Antiqua"/>
        </w:rPr>
        <w:t xml:space="preserve">.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2009; </w:t>
      </w:r>
      <w:r w:rsidRPr="006D11E5">
        <w:rPr>
          <w:rFonts w:ascii="Book Antiqua" w:hAnsi="Book Antiqua"/>
          <w:b/>
          <w:bCs/>
        </w:rPr>
        <w:t>23</w:t>
      </w:r>
      <w:r w:rsidRPr="006D11E5">
        <w:rPr>
          <w:rFonts w:ascii="Book Antiqua" w:hAnsi="Book Antiqua"/>
        </w:rPr>
        <w:t>: 653-657 [PMID: 19897987 DOI: 10.1097/BOT.0b013e3181a2a337]</w:t>
      </w:r>
    </w:p>
    <w:p w14:paraId="62326E6B" w14:textId="67E7A973"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19 </w:t>
      </w:r>
      <w:r w:rsidRPr="006D11E5">
        <w:rPr>
          <w:rFonts w:ascii="Book Antiqua" w:hAnsi="Book Antiqua"/>
          <w:b/>
          <w:bCs/>
        </w:rPr>
        <w:t>Webb LX</w:t>
      </w:r>
      <w:r w:rsidRPr="006D11E5">
        <w:rPr>
          <w:rFonts w:ascii="Book Antiqua" w:hAnsi="Book Antiqua"/>
        </w:rPr>
        <w:t xml:space="preserve">, Winquist RA, Hansen ST. Intramedullary nailing and reaming for delayed union or nonunion of the femoral shaft. A report of 105 consecutive cases. </w:t>
      </w:r>
      <w:proofErr w:type="spellStart"/>
      <w:r w:rsidRPr="006D11E5">
        <w:rPr>
          <w:rFonts w:ascii="Book Antiqua" w:hAnsi="Book Antiqua"/>
          <w:i/>
          <w:iCs/>
        </w:rPr>
        <w:t>Clin</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1986</w:t>
      </w:r>
      <w:r w:rsidR="008A4F2A">
        <w:rPr>
          <w:rFonts w:ascii="Book Antiqua" w:hAnsi="Book Antiqua" w:hint="eastAsia"/>
          <w:lang w:eastAsia="zh-CN"/>
        </w:rPr>
        <w:t>;</w:t>
      </w:r>
      <w:r w:rsidRPr="006D11E5">
        <w:rPr>
          <w:rFonts w:ascii="Book Antiqua" w:hAnsi="Book Antiqua"/>
        </w:rPr>
        <w:t xml:space="preserve"> 133-141 [PMID: 3769279 DOI: 10.1097/00003086-198611000-00015]</w:t>
      </w:r>
    </w:p>
    <w:p w14:paraId="43C2F76E"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20 </w:t>
      </w:r>
      <w:r w:rsidRPr="006D11E5">
        <w:rPr>
          <w:rFonts w:ascii="Book Antiqua" w:hAnsi="Book Antiqua"/>
          <w:b/>
          <w:bCs/>
        </w:rPr>
        <w:t>Wu CC</w:t>
      </w:r>
      <w:r w:rsidRPr="006D11E5">
        <w:rPr>
          <w:rFonts w:ascii="Book Antiqua" w:hAnsi="Book Antiqua"/>
        </w:rPr>
        <w:t xml:space="preserve">, Chen WJ. Exchange nailing for aseptic nonunion of the femoral shaft. </w:t>
      </w:r>
      <w:proofErr w:type="spellStart"/>
      <w:r w:rsidRPr="006D11E5">
        <w:rPr>
          <w:rFonts w:ascii="Book Antiqua" w:hAnsi="Book Antiqua"/>
          <w:i/>
          <w:iCs/>
        </w:rPr>
        <w:t>Int</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rPr>
        <w:t xml:space="preserve"> 2002; </w:t>
      </w:r>
      <w:r w:rsidRPr="006D11E5">
        <w:rPr>
          <w:rFonts w:ascii="Book Antiqua" w:hAnsi="Book Antiqua"/>
          <w:b/>
          <w:bCs/>
        </w:rPr>
        <w:t>26</w:t>
      </w:r>
      <w:r w:rsidRPr="006D11E5">
        <w:rPr>
          <w:rFonts w:ascii="Book Antiqua" w:hAnsi="Book Antiqua"/>
        </w:rPr>
        <w:t>: 80-84 [PMID: 12078882 DOI: 10.1007/s00264-001-0313-5]</w:t>
      </w:r>
    </w:p>
    <w:p w14:paraId="299B1AC4"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21 </w:t>
      </w:r>
      <w:r w:rsidRPr="006D11E5">
        <w:rPr>
          <w:rFonts w:ascii="Book Antiqua" w:hAnsi="Book Antiqua"/>
          <w:b/>
          <w:bCs/>
        </w:rPr>
        <w:t>Swanson EA</w:t>
      </w:r>
      <w:r w:rsidRPr="006D11E5">
        <w:rPr>
          <w:rFonts w:ascii="Book Antiqua" w:hAnsi="Book Antiqua"/>
        </w:rPr>
        <w:t xml:space="preserve">, Garrard EC, Bernstein DT, </w:t>
      </w:r>
      <w:proofErr w:type="spellStart"/>
      <w:r w:rsidRPr="006D11E5">
        <w:rPr>
          <w:rFonts w:ascii="Book Antiqua" w:hAnsi="Book Antiqua"/>
        </w:rPr>
        <w:t>O</w:t>
      </w:r>
      <w:r w:rsidRPr="006D11E5">
        <w:rPr>
          <w:rFonts w:ascii="Book Antiqua" w:hAnsi="Book Antiqua" w:cs="Book Antiqua"/>
        </w:rPr>
        <w:t>ʼ</w:t>
      </w:r>
      <w:r w:rsidRPr="006D11E5">
        <w:rPr>
          <w:rFonts w:ascii="Book Antiqua" w:hAnsi="Book Antiqua"/>
        </w:rPr>
        <w:t>Connor</w:t>
      </w:r>
      <w:proofErr w:type="spellEnd"/>
      <w:r w:rsidRPr="006D11E5">
        <w:rPr>
          <w:rFonts w:ascii="Book Antiqua" w:hAnsi="Book Antiqua"/>
        </w:rPr>
        <w:t xml:space="preserve"> DP, Brinker MR. Results of a systematic approach to exchange nailing for the treatment of aseptic femoral </w:t>
      </w:r>
      <w:proofErr w:type="spellStart"/>
      <w:r w:rsidRPr="006D11E5">
        <w:rPr>
          <w:rFonts w:ascii="Book Antiqua" w:hAnsi="Book Antiqua"/>
        </w:rPr>
        <w:t>nonunions</w:t>
      </w:r>
      <w:proofErr w:type="spellEnd"/>
      <w:r w:rsidRPr="006D11E5">
        <w:rPr>
          <w:rFonts w:ascii="Book Antiqua" w:hAnsi="Book Antiqua"/>
        </w:rPr>
        <w:t xml:space="preserve">.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2015; </w:t>
      </w:r>
      <w:r w:rsidRPr="006D11E5">
        <w:rPr>
          <w:rFonts w:ascii="Book Antiqua" w:hAnsi="Book Antiqua"/>
          <w:b/>
          <w:bCs/>
        </w:rPr>
        <w:t>29</w:t>
      </w:r>
      <w:r w:rsidRPr="006D11E5">
        <w:rPr>
          <w:rFonts w:ascii="Book Antiqua" w:hAnsi="Book Antiqua"/>
        </w:rPr>
        <w:t>: 21-27 [PMID: 24978947 DOI: 10.1097/BOT.0000000000000166]</w:t>
      </w:r>
    </w:p>
    <w:p w14:paraId="3E5EA8F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22 </w:t>
      </w:r>
      <w:proofErr w:type="spellStart"/>
      <w:r w:rsidRPr="006D11E5">
        <w:rPr>
          <w:rFonts w:ascii="Book Antiqua" w:hAnsi="Book Antiqua"/>
          <w:b/>
          <w:bCs/>
        </w:rPr>
        <w:t>Banaszkiewicz</w:t>
      </w:r>
      <w:proofErr w:type="spellEnd"/>
      <w:r w:rsidRPr="006D11E5">
        <w:rPr>
          <w:rFonts w:ascii="Book Antiqua" w:hAnsi="Book Antiqua"/>
          <w:b/>
          <w:bCs/>
        </w:rPr>
        <w:t xml:space="preserve"> PA</w:t>
      </w:r>
      <w:r w:rsidRPr="006D11E5">
        <w:rPr>
          <w:rFonts w:ascii="Book Antiqua" w:hAnsi="Book Antiqua"/>
        </w:rPr>
        <w:t xml:space="preserve">, </w:t>
      </w:r>
      <w:proofErr w:type="spellStart"/>
      <w:r w:rsidRPr="006D11E5">
        <w:rPr>
          <w:rFonts w:ascii="Book Antiqua" w:hAnsi="Book Antiqua"/>
        </w:rPr>
        <w:t>Sabboubeh</w:t>
      </w:r>
      <w:proofErr w:type="spellEnd"/>
      <w:r w:rsidRPr="006D11E5">
        <w:rPr>
          <w:rFonts w:ascii="Book Antiqua" w:hAnsi="Book Antiqua"/>
        </w:rPr>
        <w:t xml:space="preserve"> A, McLeod I, </w:t>
      </w:r>
      <w:proofErr w:type="spellStart"/>
      <w:r w:rsidRPr="006D11E5">
        <w:rPr>
          <w:rFonts w:ascii="Book Antiqua" w:hAnsi="Book Antiqua"/>
        </w:rPr>
        <w:t>Maffulli</w:t>
      </w:r>
      <w:proofErr w:type="spellEnd"/>
      <w:r w:rsidRPr="006D11E5">
        <w:rPr>
          <w:rFonts w:ascii="Book Antiqua" w:hAnsi="Book Antiqua"/>
        </w:rPr>
        <w:t xml:space="preserve"> N. Femoral exchange nailing for aseptic non-union: not the end to all problems. </w:t>
      </w:r>
      <w:r w:rsidRPr="006D11E5">
        <w:rPr>
          <w:rFonts w:ascii="Book Antiqua" w:hAnsi="Book Antiqua"/>
          <w:i/>
          <w:iCs/>
        </w:rPr>
        <w:t>Injury</w:t>
      </w:r>
      <w:r w:rsidRPr="006D11E5">
        <w:rPr>
          <w:rFonts w:ascii="Book Antiqua" w:hAnsi="Book Antiqua"/>
        </w:rPr>
        <w:t xml:space="preserve"> 2003; </w:t>
      </w:r>
      <w:r w:rsidRPr="006D11E5">
        <w:rPr>
          <w:rFonts w:ascii="Book Antiqua" w:hAnsi="Book Antiqua"/>
          <w:b/>
          <w:bCs/>
        </w:rPr>
        <w:t>34</w:t>
      </w:r>
      <w:r w:rsidRPr="006D11E5">
        <w:rPr>
          <w:rFonts w:ascii="Book Antiqua" w:hAnsi="Book Antiqua"/>
        </w:rPr>
        <w:t>: 349-356 [PMID: 12719163 DOI: 10.1016/s0020-1383(02)00191-2]</w:t>
      </w:r>
    </w:p>
    <w:p w14:paraId="50841A4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23 </w:t>
      </w:r>
      <w:proofErr w:type="spellStart"/>
      <w:r w:rsidRPr="006D11E5">
        <w:rPr>
          <w:rFonts w:ascii="Book Antiqua" w:hAnsi="Book Antiqua"/>
          <w:b/>
          <w:bCs/>
        </w:rPr>
        <w:t>Weresh</w:t>
      </w:r>
      <w:proofErr w:type="spellEnd"/>
      <w:r w:rsidRPr="006D11E5">
        <w:rPr>
          <w:rFonts w:ascii="Book Antiqua" w:hAnsi="Book Antiqua"/>
          <w:b/>
          <w:bCs/>
        </w:rPr>
        <w:t xml:space="preserve"> MJ</w:t>
      </w:r>
      <w:r w:rsidRPr="006D11E5">
        <w:rPr>
          <w:rFonts w:ascii="Book Antiqua" w:hAnsi="Book Antiqua"/>
        </w:rPr>
        <w:t xml:space="preserve">, </w:t>
      </w:r>
      <w:proofErr w:type="spellStart"/>
      <w:r w:rsidRPr="006D11E5">
        <w:rPr>
          <w:rFonts w:ascii="Book Antiqua" w:hAnsi="Book Antiqua"/>
        </w:rPr>
        <w:t>Hakanson</w:t>
      </w:r>
      <w:proofErr w:type="spellEnd"/>
      <w:r w:rsidRPr="006D11E5">
        <w:rPr>
          <w:rFonts w:ascii="Book Antiqua" w:hAnsi="Book Antiqua"/>
        </w:rPr>
        <w:t xml:space="preserve"> R, Stover MD, Sims SH, </w:t>
      </w:r>
      <w:proofErr w:type="spellStart"/>
      <w:r w:rsidRPr="006D11E5">
        <w:rPr>
          <w:rFonts w:ascii="Book Antiqua" w:hAnsi="Book Antiqua"/>
        </w:rPr>
        <w:t>Kellam</w:t>
      </w:r>
      <w:proofErr w:type="spellEnd"/>
      <w:r w:rsidRPr="006D11E5">
        <w:rPr>
          <w:rFonts w:ascii="Book Antiqua" w:hAnsi="Book Antiqua"/>
        </w:rPr>
        <w:t xml:space="preserve"> JF, </w:t>
      </w:r>
      <w:proofErr w:type="spellStart"/>
      <w:r w:rsidRPr="006D11E5">
        <w:rPr>
          <w:rFonts w:ascii="Book Antiqua" w:hAnsi="Book Antiqua"/>
        </w:rPr>
        <w:t>Bosse</w:t>
      </w:r>
      <w:proofErr w:type="spellEnd"/>
      <w:r w:rsidRPr="006D11E5">
        <w:rPr>
          <w:rFonts w:ascii="Book Antiqua" w:hAnsi="Book Antiqua"/>
        </w:rPr>
        <w:t xml:space="preserve"> MJ. Failure of exchange reamed intramedullary nails for ununited femoral shaft fractures.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2000; </w:t>
      </w:r>
      <w:r w:rsidRPr="006D11E5">
        <w:rPr>
          <w:rFonts w:ascii="Book Antiqua" w:hAnsi="Book Antiqua"/>
          <w:b/>
          <w:bCs/>
        </w:rPr>
        <w:t>14</w:t>
      </w:r>
      <w:r w:rsidRPr="006D11E5">
        <w:rPr>
          <w:rFonts w:ascii="Book Antiqua" w:hAnsi="Book Antiqua"/>
        </w:rPr>
        <w:t>: 335-338 [PMID: 10926240 DOI: 10.1097/00005131-200006000-00005]</w:t>
      </w:r>
    </w:p>
    <w:p w14:paraId="76F1629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24 </w:t>
      </w:r>
      <w:r w:rsidRPr="006D11E5">
        <w:rPr>
          <w:rFonts w:ascii="Book Antiqua" w:hAnsi="Book Antiqua"/>
          <w:b/>
          <w:bCs/>
        </w:rPr>
        <w:t>Lai PJ</w:t>
      </w:r>
      <w:r w:rsidRPr="006D11E5">
        <w:rPr>
          <w:rFonts w:ascii="Book Antiqua" w:hAnsi="Book Antiqua"/>
        </w:rPr>
        <w:t xml:space="preserve">, Hsu YH, Chou YC, </w:t>
      </w:r>
      <w:proofErr w:type="spellStart"/>
      <w:r w:rsidRPr="006D11E5">
        <w:rPr>
          <w:rFonts w:ascii="Book Antiqua" w:hAnsi="Book Antiqua"/>
        </w:rPr>
        <w:t>Yeh</w:t>
      </w:r>
      <w:proofErr w:type="spellEnd"/>
      <w:r w:rsidRPr="006D11E5">
        <w:rPr>
          <w:rFonts w:ascii="Book Antiqua" w:hAnsi="Book Antiqua"/>
        </w:rPr>
        <w:t xml:space="preserve"> WL, </w:t>
      </w:r>
      <w:proofErr w:type="spellStart"/>
      <w:r w:rsidRPr="006D11E5">
        <w:rPr>
          <w:rFonts w:ascii="Book Antiqua" w:hAnsi="Book Antiqua"/>
        </w:rPr>
        <w:t>Ueng</w:t>
      </w:r>
      <w:proofErr w:type="spellEnd"/>
      <w:r w:rsidRPr="006D11E5">
        <w:rPr>
          <w:rFonts w:ascii="Book Antiqua" w:hAnsi="Book Antiqua"/>
        </w:rPr>
        <w:t xml:space="preserve"> SWN, Yu YH. Augmentative </w:t>
      </w:r>
      <w:proofErr w:type="spellStart"/>
      <w:r w:rsidRPr="006D11E5">
        <w:rPr>
          <w:rFonts w:ascii="Book Antiqua" w:hAnsi="Book Antiqua"/>
        </w:rPr>
        <w:t>antirotational</w:t>
      </w:r>
      <w:proofErr w:type="spellEnd"/>
      <w:r w:rsidRPr="006D11E5">
        <w:rPr>
          <w:rFonts w:ascii="Book Antiqua" w:hAnsi="Book Antiqua"/>
        </w:rPr>
        <w:t xml:space="preserve"> plating provided a significantly higher union rate than exchanging reamed nailing in treatment for femoral shaft aseptic atrophic nonunion - retrospective cohort study. </w:t>
      </w:r>
      <w:r w:rsidRPr="006D11E5">
        <w:rPr>
          <w:rFonts w:ascii="Book Antiqua" w:hAnsi="Book Antiqua"/>
          <w:i/>
          <w:iCs/>
        </w:rPr>
        <w:t xml:space="preserve">BMC </w:t>
      </w:r>
      <w:proofErr w:type="spellStart"/>
      <w:r w:rsidRPr="006D11E5">
        <w:rPr>
          <w:rFonts w:ascii="Book Antiqua" w:hAnsi="Book Antiqua"/>
          <w:i/>
          <w:iCs/>
        </w:rPr>
        <w:t>Musculoskelet</w:t>
      </w:r>
      <w:proofErr w:type="spellEnd"/>
      <w:r w:rsidRPr="006D11E5">
        <w:rPr>
          <w:rFonts w:ascii="Book Antiqua" w:hAnsi="Book Antiqua"/>
          <w:i/>
          <w:iCs/>
        </w:rPr>
        <w:t xml:space="preserve"> </w:t>
      </w:r>
      <w:proofErr w:type="spellStart"/>
      <w:r w:rsidRPr="006D11E5">
        <w:rPr>
          <w:rFonts w:ascii="Book Antiqua" w:hAnsi="Book Antiqua"/>
          <w:i/>
          <w:iCs/>
        </w:rPr>
        <w:t>Disord</w:t>
      </w:r>
      <w:proofErr w:type="spellEnd"/>
      <w:r w:rsidRPr="006D11E5">
        <w:rPr>
          <w:rFonts w:ascii="Book Antiqua" w:hAnsi="Book Antiqua"/>
        </w:rPr>
        <w:t xml:space="preserve"> 2019; </w:t>
      </w:r>
      <w:r w:rsidRPr="006D11E5">
        <w:rPr>
          <w:rFonts w:ascii="Book Antiqua" w:hAnsi="Book Antiqua"/>
          <w:b/>
          <w:bCs/>
        </w:rPr>
        <w:t>20</w:t>
      </w:r>
      <w:r w:rsidRPr="006D11E5">
        <w:rPr>
          <w:rFonts w:ascii="Book Antiqua" w:hAnsi="Book Antiqua"/>
        </w:rPr>
        <w:t>: 127 [PMID: 30909909 DOI: 10.1186/s12891-019-2514-3]</w:t>
      </w:r>
    </w:p>
    <w:p w14:paraId="255F6524"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25 </w:t>
      </w:r>
      <w:r w:rsidRPr="006D11E5">
        <w:rPr>
          <w:rFonts w:ascii="Book Antiqua" w:hAnsi="Book Antiqua"/>
          <w:b/>
          <w:bCs/>
        </w:rPr>
        <w:t>Medlock G</w:t>
      </w:r>
      <w:r w:rsidRPr="006D11E5">
        <w:rPr>
          <w:rFonts w:ascii="Book Antiqua" w:hAnsi="Book Antiqua"/>
        </w:rPr>
        <w:t xml:space="preserve">, Stevenson IM, Johnstone AJ. Uniting the un-united: should established non-unions of femoral shaft fractures initially treated with IM nails be treated by plate augmentation instead of exchange IM nailing? A systematic review. </w:t>
      </w:r>
      <w:r w:rsidRPr="006D11E5">
        <w:rPr>
          <w:rFonts w:ascii="Book Antiqua" w:hAnsi="Book Antiqua"/>
          <w:i/>
          <w:iCs/>
        </w:rPr>
        <w:t xml:space="preserve">Strategies Trauma Limb </w:t>
      </w:r>
      <w:proofErr w:type="spellStart"/>
      <w:r w:rsidRPr="006D11E5">
        <w:rPr>
          <w:rFonts w:ascii="Book Antiqua" w:hAnsi="Book Antiqua"/>
          <w:i/>
          <w:iCs/>
        </w:rPr>
        <w:t>Reconstr</w:t>
      </w:r>
      <w:proofErr w:type="spellEnd"/>
      <w:r w:rsidRPr="006D11E5">
        <w:rPr>
          <w:rFonts w:ascii="Book Antiqua" w:hAnsi="Book Antiqua"/>
        </w:rPr>
        <w:t xml:space="preserve"> 2018; </w:t>
      </w:r>
      <w:r w:rsidRPr="006D11E5">
        <w:rPr>
          <w:rFonts w:ascii="Book Antiqua" w:hAnsi="Book Antiqua"/>
          <w:b/>
          <w:bCs/>
        </w:rPr>
        <w:t>13</w:t>
      </w:r>
      <w:r w:rsidRPr="006D11E5">
        <w:rPr>
          <w:rFonts w:ascii="Book Antiqua" w:hAnsi="Book Antiqua"/>
        </w:rPr>
        <w:t>: 119-128 [PMID: 30426320 DOI: 10.1007/s11751-018-0323-0]</w:t>
      </w:r>
    </w:p>
    <w:p w14:paraId="57B7D158" w14:textId="21937D28"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26 </w:t>
      </w:r>
      <w:r w:rsidRPr="006D11E5">
        <w:rPr>
          <w:rFonts w:ascii="Book Antiqua" w:hAnsi="Book Antiqua"/>
          <w:b/>
          <w:bCs/>
        </w:rPr>
        <w:t>Klemm KW</w:t>
      </w:r>
      <w:r w:rsidRPr="006D11E5">
        <w:rPr>
          <w:rFonts w:ascii="Book Antiqua" w:hAnsi="Book Antiqua"/>
        </w:rPr>
        <w:t xml:space="preserve">. Treatment of infected pseudarthrosis of the femur and tibia with an interlocking nail. </w:t>
      </w:r>
      <w:proofErr w:type="spellStart"/>
      <w:r w:rsidRPr="006D11E5">
        <w:rPr>
          <w:rFonts w:ascii="Book Antiqua" w:hAnsi="Book Antiqua"/>
          <w:i/>
          <w:iCs/>
        </w:rPr>
        <w:t>Clin</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1986</w:t>
      </w:r>
      <w:r w:rsidR="008A4F2A">
        <w:rPr>
          <w:rFonts w:ascii="Book Antiqua" w:hAnsi="Book Antiqua" w:hint="eastAsia"/>
          <w:lang w:eastAsia="zh-CN"/>
        </w:rPr>
        <w:t>;</w:t>
      </w:r>
      <w:r w:rsidRPr="006D11E5">
        <w:rPr>
          <w:rFonts w:ascii="Book Antiqua" w:hAnsi="Book Antiqua"/>
        </w:rPr>
        <w:t xml:space="preserve"> 174-181 [PMID: 3769283 DOI: 10.1097/00003086-198611000-00019]</w:t>
      </w:r>
    </w:p>
    <w:p w14:paraId="41E710CF"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27 </w:t>
      </w:r>
      <w:proofErr w:type="spellStart"/>
      <w:r w:rsidRPr="006D11E5">
        <w:rPr>
          <w:rFonts w:ascii="Book Antiqua" w:hAnsi="Book Antiqua"/>
          <w:b/>
          <w:bCs/>
        </w:rPr>
        <w:t>Pradhan</w:t>
      </w:r>
      <w:proofErr w:type="spellEnd"/>
      <w:r w:rsidRPr="006D11E5">
        <w:rPr>
          <w:rFonts w:ascii="Book Antiqua" w:hAnsi="Book Antiqua"/>
          <w:b/>
          <w:bCs/>
        </w:rPr>
        <w:t xml:space="preserve"> C</w:t>
      </w:r>
      <w:r w:rsidRPr="006D11E5">
        <w:rPr>
          <w:rFonts w:ascii="Book Antiqua" w:hAnsi="Book Antiqua"/>
        </w:rPr>
        <w:t xml:space="preserve">, </w:t>
      </w:r>
      <w:proofErr w:type="spellStart"/>
      <w:r w:rsidRPr="006D11E5">
        <w:rPr>
          <w:rFonts w:ascii="Book Antiqua" w:hAnsi="Book Antiqua"/>
        </w:rPr>
        <w:t>Patil</w:t>
      </w:r>
      <w:proofErr w:type="spellEnd"/>
      <w:r w:rsidRPr="006D11E5">
        <w:rPr>
          <w:rFonts w:ascii="Book Antiqua" w:hAnsi="Book Antiqua"/>
        </w:rPr>
        <w:t xml:space="preserve"> A, </w:t>
      </w:r>
      <w:proofErr w:type="spellStart"/>
      <w:r w:rsidRPr="006D11E5">
        <w:rPr>
          <w:rFonts w:ascii="Book Antiqua" w:hAnsi="Book Antiqua"/>
        </w:rPr>
        <w:t>Puram</w:t>
      </w:r>
      <w:proofErr w:type="spellEnd"/>
      <w:r w:rsidRPr="006D11E5">
        <w:rPr>
          <w:rFonts w:ascii="Book Antiqua" w:hAnsi="Book Antiqua"/>
        </w:rPr>
        <w:t xml:space="preserve"> C, </w:t>
      </w:r>
      <w:proofErr w:type="spellStart"/>
      <w:r w:rsidRPr="006D11E5">
        <w:rPr>
          <w:rFonts w:ascii="Book Antiqua" w:hAnsi="Book Antiqua"/>
        </w:rPr>
        <w:t>Attarde</w:t>
      </w:r>
      <w:proofErr w:type="spellEnd"/>
      <w:r w:rsidRPr="006D11E5">
        <w:rPr>
          <w:rFonts w:ascii="Book Antiqua" w:hAnsi="Book Antiqua"/>
        </w:rPr>
        <w:t xml:space="preserve"> D, </w:t>
      </w:r>
      <w:proofErr w:type="spellStart"/>
      <w:r w:rsidRPr="006D11E5">
        <w:rPr>
          <w:rFonts w:ascii="Book Antiqua" w:hAnsi="Book Antiqua"/>
        </w:rPr>
        <w:t>Sancheti</w:t>
      </w:r>
      <w:proofErr w:type="spellEnd"/>
      <w:r w:rsidRPr="006D11E5">
        <w:rPr>
          <w:rFonts w:ascii="Book Antiqua" w:hAnsi="Book Antiqua"/>
        </w:rPr>
        <w:t xml:space="preserve"> P, </w:t>
      </w:r>
      <w:proofErr w:type="spellStart"/>
      <w:r w:rsidRPr="006D11E5">
        <w:rPr>
          <w:rFonts w:ascii="Book Antiqua" w:hAnsi="Book Antiqua"/>
        </w:rPr>
        <w:t>Shyam</w:t>
      </w:r>
      <w:proofErr w:type="spellEnd"/>
      <w:r w:rsidRPr="006D11E5">
        <w:rPr>
          <w:rFonts w:ascii="Book Antiqua" w:hAnsi="Book Antiqua"/>
        </w:rPr>
        <w:t xml:space="preserve"> A. Can antibiotic impregnated cement nail achieve both infection control and bony union in infected diaphyseal femoral non-unions? </w:t>
      </w:r>
      <w:r w:rsidRPr="006D11E5">
        <w:rPr>
          <w:rFonts w:ascii="Book Antiqua" w:hAnsi="Book Antiqua"/>
          <w:i/>
          <w:iCs/>
        </w:rPr>
        <w:t>Injury</w:t>
      </w:r>
      <w:r w:rsidRPr="006D11E5">
        <w:rPr>
          <w:rFonts w:ascii="Book Antiqua" w:hAnsi="Book Antiqua"/>
        </w:rPr>
        <w:t xml:space="preserve"> 2017; </w:t>
      </w:r>
      <w:r w:rsidRPr="006D11E5">
        <w:rPr>
          <w:rFonts w:ascii="Book Antiqua" w:hAnsi="Book Antiqua"/>
          <w:b/>
          <w:bCs/>
        </w:rPr>
        <w:t>48 Suppl 2</w:t>
      </w:r>
      <w:r w:rsidRPr="006D11E5">
        <w:rPr>
          <w:rFonts w:ascii="Book Antiqua" w:hAnsi="Book Antiqua"/>
        </w:rPr>
        <w:t>: S66-S71 [PMID: 28802424 DOI: 10.1016/S0020-1383(17)30497-7]</w:t>
      </w:r>
    </w:p>
    <w:p w14:paraId="587CA7FE"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28 </w:t>
      </w:r>
      <w:proofErr w:type="spellStart"/>
      <w:r w:rsidRPr="006D11E5">
        <w:rPr>
          <w:rFonts w:ascii="Book Antiqua" w:hAnsi="Book Antiqua"/>
          <w:b/>
          <w:bCs/>
        </w:rPr>
        <w:t>Thonse</w:t>
      </w:r>
      <w:proofErr w:type="spellEnd"/>
      <w:r w:rsidRPr="006D11E5">
        <w:rPr>
          <w:rFonts w:ascii="Book Antiqua" w:hAnsi="Book Antiqua"/>
          <w:b/>
          <w:bCs/>
        </w:rPr>
        <w:t xml:space="preserve"> R</w:t>
      </w:r>
      <w:r w:rsidRPr="006D11E5">
        <w:rPr>
          <w:rFonts w:ascii="Book Antiqua" w:hAnsi="Book Antiqua"/>
        </w:rPr>
        <w:t xml:space="preserve">, Conway J. Antibiotic cement-coated interlocking nail for the treatment of infected </w:t>
      </w:r>
      <w:proofErr w:type="spellStart"/>
      <w:r w:rsidRPr="006D11E5">
        <w:rPr>
          <w:rFonts w:ascii="Book Antiqua" w:hAnsi="Book Antiqua"/>
        </w:rPr>
        <w:t>nonunions</w:t>
      </w:r>
      <w:proofErr w:type="spellEnd"/>
      <w:r w:rsidRPr="006D11E5">
        <w:rPr>
          <w:rFonts w:ascii="Book Antiqua" w:hAnsi="Book Antiqua"/>
        </w:rPr>
        <w:t xml:space="preserve"> and segmental bone defects.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2007; </w:t>
      </w:r>
      <w:r w:rsidRPr="006D11E5">
        <w:rPr>
          <w:rFonts w:ascii="Book Antiqua" w:hAnsi="Book Antiqua"/>
          <w:b/>
          <w:bCs/>
        </w:rPr>
        <w:t>21</w:t>
      </w:r>
      <w:r w:rsidRPr="006D11E5">
        <w:rPr>
          <w:rFonts w:ascii="Book Antiqua" w:hAnsi="Book Antiqua"/>
        </w:rPr>
        <w:t>: 258-268 [PMID: 17414554 DOI: 10.1097/BOT.0b013e31803ea9e6]</w:t>
      </w:r>
    </w:p>
    <w:p w14:paraId="4145B076"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29 </w:t>
      </w:r>
      <w:r w:rsidRPr="006D11E5">
        <w:rPr>
          <w:rFonts w:ascii="Book Antiqua" w:hAnsi="Book Antiqua"/>
          <w:b/>
          <w:bCs/>
        </w:rPr>
        <w:t>Xing W</w:t>
      </w:r>
      <w:r w:rsidRPr="006D11E5">
        <w:rPr>
          <w:rFonts w:ascii="Book Antiqua" w:hAnsi="Book Antiqua"/>
        </w:rPr>
        <w:t xml:space="preserve">, Pan Z, Sun L, Sun L, Zhang C, Zhang Z, Feng W, Liu C. Sliding bone graft combined with double locking plate fixation for the treatment of femoral shaft nonunion. </w:t>
      </w:r>
      <w:r w:rsidRPr="006D11E5">
        <w:rPr>
          <w:rFonts w:ascii="Book Antiqua" w:hAnsi="Book Antiqua"/>
          <w:i/>
          <w:iCs/>
        </w:rPr>
        <w:t>J Int Med Res</w:t>
      </w:r>
      <w:r w:rsidRPr="006D11E5">
        <w:rPr>
          <w:rFonts w:ascii="Book Antiqua" w:hAnsi="Book Antiqua"/>
        </w:rPr>
        <w:t xml:space="preserve"> 2019; </w:t>
      </w:r>
      <w:r w:rsidRPr="006D11E5">
        <w:rPr>
          <w:rFonts w:ascii="Book Antiqua" w:hAnsi="Book Antiqua"/>
          <w:b/>
          <w:bCs/>
        </w:rPr>
        <w:t>47</w:t>
      </w:r>
      <w:r w:rsidRPr="006D11E5">
        <w:rPr>
          <w:rFonts w:ascii="Book Antiqua" w:hAnsi="Book Antiqua"/>
        </w:rPr>
        <w:t>: 2034-2044 [PMID: 30890016 DOI: 10.1177/0300060519835334]</w:t>
      </w:r>
    </w:p>
    <w:p w14:paraId="298F7C0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30 </w:t>
      </w:r>
      <w:r w:rsidRPr="006D11E5">
        <w:rPr>
          <w:rFonts w:ascii="Book Antiqua" w:hAnsi="Book Antiqua"/>
          <w:b/>
          <w:bCs/>
        </w:rPr>
        <w:t>Peng Y</w:t>
      </w:r>
      <w:r w:rsidRPr="006D11E5">
        <w:rPr>
          <w:rFonts w:ascii="Book Antiqua" w:hAnsi="Book Antiqua"/>
        </w:rPr>
        <w:t xml:space="preserve">, Ji X, Zhang L, Tang P. Double locking plate fixation for femoral shaft nonunion. </w:t>
      </w:r>
      <w:proofErr w:type="spellStart"/>
      <w:r w:rsidRPr="006D11E5">
        <w:rPr>
          <w:rFonts w:ascii="Book Antiqua" w:hAnsi="Book Antiqua"/>
          <w:i/>
          <w:iCs/>
        </w:rPr>
        <w:t>Eur</w:t>
      </w:r>
      <w:proofErr w:type="spellEnd"/>
      <w:r w:rsidRPr="006D11E5">
        <w:rPr>
          <w:rFonts w:ascii="Book Antiqua" w:hAnsi="Book Antiqua"/>
          <w:i/>
          <w:iCs/>
        </w:rPr>
        <w:t xml:space="preserve"> J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Surg</w:t>
      </w:r>
      <w:proofErr w:type="spellEnd"/>
      <w:r w:rsidRPr="006D11E5">
        <w:rPr>
          <w:rFonts w:ascii="Book Antiqua" w:hAnsi="Book Antiqua"/>
          <w:i/>
          <w:iCs/>
        </w:rPr>
        <w:t xml:space="preserve"> </w:t>
      </w:r>
      <w:proofErr w:type="spellStart"/>
      <w:r w:rsidRPr="006D11E5">
        <w:rPr>
          <w:rFonts w:ascii="Book Antiqua" w:hAnsi="Book Antiqua"/>
          <w:i/>
          <w:iCs/>
        </w:rPr>
        <w:t>Traumatol</w:t>
      </w:r>
      <w:proofErr w:type="spellEnd"/>
      <w:r w:rsidRPr="006D11E5">
        <w:rPr>
          <w:rFonts w:ascii="Book Antiqua" w:hAnsi="Book Antiqua"/>
        </w:rPr>
        <w:t xml:space="preserve"> 2016; </w:t>
      </w:r>
      <w:r w:rsidRPr="006D11E5">
        <w:rPr>
          <w:rFonts w:ascii="Book Antiqua" w:hAnsi="Book Antiqua"/>
          <w:b/>
          <w:bCs/>
        </w:rPr>
        <w:t>26</w:t>
      </w:r>
      <w:r w:rsidRPr="006D11E5">
        <w:rPr>
          <w:rFonts w:ascii="Book Antiqua" w:hAnsi="Book Antiqua"/>
        </w:rPr>
        <w:t>: 501-507 [PMID: 27142853 DOI: 10.1007/s00590-016-1765-z]</w:t>
      </w:r>
    </w:p>
    <w:p w14:paraId="009503BD"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31 </w:t>
      </w:r>
      <w:proofErr w:type="spellStart"/>
      <w:r w:rsidRPr="006D11E5">
        <w:rPr>
          <w:rFonts w:ascii="Book Antiqua" w:hAnsi="Book Antiqua"/>
          <w:b/>
          <w:bCs/>
        </w:rPr>
        <w:t>Bellabarba</w:t>
      </w:r>
      <w:proofErr w:type="spellEnd"/>
      <w:r w:rsidRPr="006D11E5">
        <w:rPr>
          <w:rFonts w:ascii="Book Antiqua" w:hAnsi="Book Antiqua"/>
          <w:b/>
          <w:bCs/>
        </w:rPr>
        <w:t xml:space="preserve"> C</w:t>
      </w:r>
      <w:r w:rsidRPr="006D11E5">
        <w:rPr>
          <w:rFonts w:ascii="Book Antiqua" w:hAnsi="Book Antiqua"/>
        </w:rPr>
        <w:t xml:space="preserve">, Ricci WM, </w:t>
      </w:r>
      <w:proofErr w:type="spellStart"/>
      <w:r w:rsidRPr="006D11E5">
        <w:rPr>
          <w:rFonts w:ascii="Book Antiqua" w:hAnsi="Book Antiqua"/>
        </w:rPr>
        <w:t>Bolhofner</w:t>
      </w:r>
      <w:proofErr w:type="spellEnd"/>
      <w:r w:rsidRPr="006D11E5">
        <w:rPr>
          <w:rFonts w:ascii="Book Antiqua" w:hAnsi="Book Antiqua"/>
        </w:rPr>
        <w:t xml:space="preserve"> BR. Results of indirect reduction and plating of femoral shaft </w:t>
      </w:r>
      <w:proofErr w:type="spellStart"/>
      <w:r w:rsidRPr="006D11E5">
        <w:rPr>
          <w:rFonts w:ascii="Book Antiqua" w:hAnsi="Book Antiqua"/>
        </w:rPr>
        <w:t>nonunions</w:t>
      </w:r>
      <w:proofErr w:type="spellEnd"/>
      <w:r w:rsidRPr="006D11E5">
        <w:rPr>
          <w:rFonts w:ascii="Book Antiqua" w:hAnsi="Book Antiqua"/>
        </w:rPr>
        <w:t xml:space="preserve"> after intramedullary nailing.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2001; </w:t>
      </w:r>
      <w:r w:rsidRPr="006D11E5">
        <w:rPr>
          <w:rFonts w:ascii="Book Antiqua" w:hAnsi="Book Antiqua"/>
          <w:b/>
          <w:bCs/>
        </w:rPr>
        <w:t>15</w:t>
      </w:r>
      <w:r w:rsidRPr="006D11E5">
        <w:rPr>
          <w:rFonts w:ascii="Book Antiqua" w:hAnsi="Book Antiqua"/>
        </w:rPr>
        <w:t>: 254-263 [PMID: 11371790 DOI: 10.1097/00005131-200105000-00004]</w:t>
      </w:r>
    </w:p>
    <w:p w14:paraId="6FBD272C"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32 </w:t>
      </w:r>
      <w:r w:rsidRPr="006D11E5">
        <w:rPr>
          <w:rFonts w:ascii="Book Antiqua" w:hAnsi="Book Antiqua"/>
          <w:b/>
          <w:bCs/>
        </w:rPr>
        <w:t>Mittal KK</w:t>
      </w:r>
      <w:r w:rsidRPr="006D11E5">
        <w:rPr>
          <w:rFonts w:ascii="Book Antiqua" w:hAnsi="Book Antiqua"/>
        </w:rPr>
        <w:t xml:space="preserve">, Gupta H, Kaushik N. Reunion of post nail aseptic non-union of diaphyseal femoral fractures by augmentation plating, decortication and bone grafting - Replacement for exchange nailing. </w:t>
      </w:r>
      <w:r w:rsidRPr="006D11E5">
        <w:rPr>
          <w:rFonts w:ascii="Book Antiqua" w:hAnsi="Book Antiqua"/>
          <w:i/>
          <w:iCs/>
        </w:rPr>
        <w:t>Injury</w:t>
      </w:r>
      <w:r w:rsidRPr="006D11E5">
        <w:rPr>
          <w:rFonts w:ascii="Book Antiqua" w:hAnsi="Book Antiqua"/>
        </w:rPr>
        <w:t xml:space="preserve"> 2021; </w:t>
      </w:r>
      <w:r w:rsidRPr="006D11E5">
        <w:rPr>
          <w:rFonts w:ascii="Book Antiqua" w:hAnsi="Book Antiqua"/>
          <w:b/>
          <w:bCs/>
        </w:rPr>
        <w:t>52</w:t>
      </w:r>
      <w:r w:rsidRPr="006D11E5">
        <w:rPr>
          <w:rFonts w:ascii="Book Antiqua" w:hAnsi="Book Antiqua"/>
        </w:rPr>
        <w:t>: 1529-1533 [PMID: 33059926 DOI: 10.1016/j.injury.2020.10.036]</w:t>
      </w:r>
    </w:p>
    <w:p w14:paraId="4694C80F"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33 </w:t>
      </w:r>
      <w:proofErr w:type="spellStart"/>
      <w:r w:rsidRPr="006D11E5">
        <w:rPr>
          <w:rFonts w:ascii="Book Antiqua" w:hAnsi="Book Antiqua"/>
          <w:b/>
          <w:bCs/>
        </w:rPr>
        <w:t>Ueng</w:t>
      </w:r>
      <w:proofErr w:type="spellEnd"/>
      <w:r w:rsidRPr="006D11E5">
        <w:rPr>
          <w:rFonts w:ascii="Book Antiqua" w:hAnsi="Book Antiqua"/>
          <w:b/>
          <w:bCs/>
        </w:rPr>
        <w:t xml:space="preserve"> SW</w:t>
      </w:r>
      <w:r w:rsidRPr="006D11E5">
        <w:rPr>
          <w:rFonts w:ascii="Book Antiqua" w:hAnsi="Book Antiqua"/>
        </w:rPr>
        <w:t xml:space="preserve">, Chao EK, Lee SS, Shih CH. Augmentative plate fixation for the management of femoral nonunion after intramedullary nailing. </w:t>
      </w:r>
      <w:r w:rsidRPr="006D11E5">
        <w:rPr>
          <w:rFonts w:ascii="Book Antiqua" w:hAnsi="Book Antiqua"/>
          <w:i/>
          <w:iCs/>
        </w:rPr>
        <w:t>J Trauma</w:t>
      </w:r>
      <w:r w:rsidRPr="006D11E5">
        <w:rPr>
          <w:rFonts w:ascii="Book Antiqua" w:hAnsi="Book Antiqua"/>
        </w:rPr>
        <w:t xml:space="preserve"> 1997; </w:t>
      </w:r>
      <w:r w:rsidRPr="006D11E5">
        <w:rPr>
          <w:rFonts w:ascii="Book Antiqua" w:hAnsi="Book Antiqua"/>
          <w:b/>
          <w:bCs/>
        </w:rPr>
        <w:t>43</w:t>
      </w:r>
      <w:r w:rsidRPr="006D11E5">
        <w:rPr>
          <w:rFonts w:ascii="Book Antiqua" w:hAnsi="Book Antiqua"/>
        </w:rPr>
        <w:t>: 640-644 [PMID: 9356061 DOI: 10.1097/00005373-199710000-00013]</w:t>
      </w:r>
    </w:p>
    <w:p w14:paraId="54CBBD3E"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34 </w:t>
      </w:r>
      <w:proofErr w:type="spellStart"/>
      <w:r w:rsidRPr="006D11E5">
        <w:rPr>
          <w:rFonts w:ascii="Book Antiqua" w:hAnsi="Book Antiqua"/>
          <w:b/>
          <w:bCs/>
        </w:rPr>
        <w:t>Uliana</w:t>
      </w:r>
      <w:proofErr w:type="spellEnd"/>
      <w:r w:rsidRPr="006D11E5">
        <w:rPr>
          <w:rFonts w:ascii="Book Antiqua" w:hAnsi="Book Antiqua"/>
          <w:b/>
          <w:bCs/>
        </w:rPr>
        <w:t xml:space="preserve"> CS</w:t>
      </w:r>
      <w:r w:rsidRPr="006D11E5">
        <w:rPr>
          <w:rFonts w:ascii="Book Antiqua" w:hAnsi="Book Antiqua"/>
        </w:rPr>
        <w:t xml:space="preserve">, </w:t>
      </w:r>
      <w:proofErr w:type="spellStart"/>
      <w:r w:rsidRPr="006D11E5">
        <w:rPr>
          <w:rFonts w:ascii="Book Antiqua" w:hAnsi="Book Antiqua"/>
        </w:rPr>
        <w:t>Bidolegui</w:t>
      </w:r>
      <w:proofErr w:type="spellEnd"/>
      <w:r w:rsidRPr="006D11E5">
        <w:rPr>
          <w:rFonts w:ascii="Book Antiqua" w:hAnsi="Book Antiqua"/>
        </w:rPr>
        <w:t xml:space="preserve"> F, Kojima K, Giordano V. Augmentation plating leaving the nail in situ is an excellent option for treating femoral shaft nonunion after IM nailing: a </w:t>
      </w:r>
      <w:proofErr w:type="spellStart"/>
      <w:r w:rsidRPr="006D11E5">
        <w:rPr>
          <w:rFonts w:ascii="Book Antiqua" w:hAnsi="Book Antiqua"/>
        </w:rPr>
        <w:lastRenderedPageBreak/>
        <w:t>multicentre</w:t>
      </w:r>
      <w:proofErr w:type="spellEnd"/>
      <w:r w:rsidRPr="006D11E5">
        <w:rPr>
          <w:rFonts w:ascii="Book Antiqua" w:hAnsi="Book Antiqua"/>
        </w:rPr>
        <w:t xml:space="preserve"> study. </w:t>
      </w:r>
      <w:proofErr w:type="spellStart"/>
      <w:r w:rsidRPr="006D11E5">
        <w:rPr>
          <w:rFonts w:ascii="Book Antiqua" w:hAnsi="Book Antiqua"/>
          <w:i/>
          <w:iCs/>
        </w:rPr>
        <w:t>Eur</w:t>
      </w:r>
      <w:proofErr w:type="spellEnd"/>
      <w:r w:rsidRPr="006D11E5">
        <w:rPr>
          <w:rFonts w:ascii="Book Antiqua" w:hAnsi="Book Antiqua"/>
          <w:i/>
          <w:iCs/>
        </w:rPr>
        <w:t xml:space="preserve"> J Trauma </w:t>
      </w:r>
      <w:proofErr w:type="spellStart"/>
      <w:r w:rsidRPr="006D11E5">
        <w:rPr>
          <w:rFonts w:ascii="Book Antiqua" w:hAnsi="Book Antiqua"/>
          <w:i/>
          <w:iCs/>
        </w:rPr>
        <w:t>Emerg</w:t>
      </w:r>
      <w:proofErr w:type="spellEnd"/>
      <w:r w:rsidRPr="006D11E5">
        <w:rPr>
          <w:rFonts w:ascii="Book Antiqua" w:hAnsi="Book Antiqua"/>
          <w:i/>
          <w:iCs/>
        </w:rPr>
        <w:t xml:space="preserve"> Surg</w:t>
      </w:r>
      <w:r w:rsidRPr="006D11E5">
        <w:rPr>
          <w:rFonts w:ascii="Book Antiqua" w:hAnsi="Book Antiqua"/>
        </w:rPr>
        <w:t xml:space="preserve"> 2021; </w:t>
      </w:r>
      <w:r w:rsidRPr="006D11E5">
        <w:rPr>
          <w:rFonts w:ascii="Book Antiqua" w:hAnsi="Book Antiqua"/>
          <w:b/>
          <w:bCs/>
        </w:rPr>
        <w:t>47</w:t>
      </w:r>
      <w:r w:rsidRPr="006D11E5">
        <w:rPr>
          <w:rFonts w:ascii="Book Antiqua" w:hAnsi="Book Antiqua"/>
        </w:rPr>
        <w:t>: 1895-1901 [PMID: 32107562 DOI: 10.1007/s00068-020-01333-0]</w:t>
      </w:r>
    </w:p>
    <w:p w14:paraId="2727CC8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35 </w:t>
      </w:r>
      <w:proofErr w:type="spellStart"/>
      <w:r w:rsidRPr="006D11E5">
        <w:rPr>
          <w:rFonts w:ascii="Book Antiqua" w:hAnsi="Book Antiqua"/>
          <w:b/>
          <w:bCs/>
        </w:rPr>
        <w:t>Ru</w:t>
      </w:r>
      <w:proofErr w:type="spellEnd"/>
      <w:r w:rsidRPr="006D11E5">
        <w:rPr>
          <w:rFonts w:ascii="Book Antiqua" w:hAnsi="Book Antiqua"/>
          <w:b/>
          <w:bCs/>
        </w:rPr>
        <w:t xml:space="preserve"> JY</w:t>
      </w:r>
      <w:r w:rsidRPr="006D11E5">
        <w:rPr>
          <w:rFonts w:ascii="Book Antiqua" w:hAnsi="Book Antiqua"/>
        </w:rPr>
        <w:t xml:space="preserve">, </w:t>
      </w:r>
      <w:proofErr w:type="spellStart"/>
      <w:r w:rsidRPr="006D11E5">
        <w:rPr>
          <w:rFonts w:ascii="Book Antiqua" w:hAnsi="Book Antiqua"/>
        </w:rPr>
        <w:t>Niu</w:t>
      </w:r>
      <w:proofErr w:type="spellEnd"/>
      <w:r w:rsidRPr="006D11E5">
        <w:rPr>
          <w:rFonts w:ascii="Book Antiqua" w:hAnsi="Book Antiqua"/>
        </w:rPr>
        <w:t xml:space="preserve"> YF, Cong Y, Kang WB, </w:t>
      </w:r>
      <w:proofErr w:type="spellStart"/>
      <w:r w:rsidRPr="006D11E5">
        <w:rPr>
          <w:rFonts w:ascii="Book Antiqua" w:hAnsi="Book Antiqua"/>
        </w:rPr>
        <w:t>Cang</w:t>
      </w:r>
      <w:proofErr w:type="spellEnd"/>
      <w:r w:rsidRPr="006D11E5">
        <w:rPr>
          <w:rFonts w:ascii="Book Antiqua" w:hAnsi="Book Antiqua"/>
        </w:rPr>
        <w:t xml:space="preserve"> HB, Zhao JN. Exchanging reamed nailing versus augmentative compression plating with autogenous bone grafting for aseptic femoral shaft nonunion: a retrospective cohort study. </w:t>
      </w:r>
      <w:proofErr w:type="spellStart"/>
      <w:r w:rsidRPr="006D11E5">
        <w:rPr>
          <w:rFonts w:ascii="Book Antiqua" w:hAnsi="Book Antiqua"/>
          <w:i/>
          <w:iCs/>
        </w:rPr>
        <w:t>Acta</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Traumatol</w:t>
      </w:r>
      <w:proofErr w:type="spellEnd"/>
      <w:r w:rsidRPr="006D11E5">
        <w:rPr>
          <w:rFonts w:ascii="Book Antiqua" w:hAnsi="Book Antiqua"/>
          <w:i/>
          <w:iCs/>
        </w:rPr>
        <w:t xml:space="preserve"> </w:t>
      </w:r>
      <w:proofErr w:type="spellStart"/>
      <w:r w:rsidRPr="006D11E5">
        <w:rPr>
          <w:rFonts w:ascii="Book Antiqua" w:hAnsi="Book Antiqua"/>
          <w:i/>
          <w:iCs/>
        </w:rPr>
        <w:t>Turc</w:t>
      </w:r>
      <w:proofErr w:type="spellEnd"/>
      <w:r w:rsidRPr="006D11E5">
        <w:rPr>
          <w:rFonts w:ascii="Book Antiqua" w:hAnsi="Book Antiqua"/>
        </w:rPr>
        <w:t xml:space="preserve"> 2015; </w:t>
      </w:r>
      <w:r w:rsidRPr="006D11E5">
        <w:rPr>
          <w:rFonts w:ascii="Book Antiqua" w:hAnsi="Book Antiqua"/>
          <w:b/>
          <w:bCs/>
        </w:rPr>
        <w:t>49</w:t>
      </w:r>
      <w:r w:rsidRPr="006D11E5">
        <w:rPr>
          <w:rFonts w:ascii="Book Antiqua" w:hAnsi="Book Antiqua"/>
        </w:rPr>
        <w:t>: 668-675 [PMID: 26511695 DOI: 10.3944/AOTT.2015.14.0404]</w:t>
      </w:r>
    </w:p>
    <w:p w14:paraId="3CDE9BE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36 </w:t>
      </w:r>
      <w:r w:rsidRPr="006D11E5">
        <w:rPr>
          <w:rFonts w:ascii="Book Antiqua" w:hAnsi="Book Antiqua"/>
          <w:b/>
          <w:bCs/>
        </w:rPr>
        <w:t>Choi YS</w:t>
      </w:r>
      <w:r w:rsidRPr="006D11E5">
        <w:rPr>
          <w:rFonts w:ascii="Book Antiqua" w:hAnsi="Book Antiqua"/>
        </w:rPr>
        <w:t xml:space="preserve">, Kim KS. Plate augmentation leaving the nail in situ and bone grafting for non-union of femoral shaft fractures. </w:t>
      </w:r>
      <w:proofErr w:type="spellStart"/>
      <w:r w:rsidRPr="006D11E5">
        <w:rPr>
          <w:rFonts w:ascii="Book Antiqua" w:hAnsi="Book Antiqua"/>
          <w:i/>
          <w:iCs/>
        </w:rPr>
        <w:t>Int</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rPr>
        <w:t xml:space="preserve"> 2005; </w:t>
      </w:r>
      <w:r w:rsidRPr="006D11E5">
        <w:rPr>
          <w:rFonts w:ascii="Book Antiqua" w:hAnsi="Book Antiqua"/>
          <w:b/>
          <w:bCs/>
        </w:rPr>
        <w:t>29</w:t>
      </w:r>
      <w:r w:rsidRPr="006D11E5">
        <w:rPr>
          <w:rFonts w:ascii="Book Antiqua" w:hAnsi="Book Antiqua"/>
        </w:rPr>
        <w:t>: 287-290 [PMID: 16132986 DOI: 10.1007/s00264-005-0668-0]</w:t>
      </w:r>
    </w:p>
    <w:p w14:paraId="430EE719"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37 </w:t>
      </w:r>
      <w:r w:rsidRPr="006D11E5">
        <w:rPr>
          <w:rFonts w:ascii="Book Antiqua" w:hAnsi="Book Antiqua"/>
          <w:b/>
          <w:bCs/>
        </w:rPr>
        <w:t>Park J</w:t>
      </w:r>
      <w:r w:rsidRPr="006D11E5">
        <w:rPr>
          <w:rFonts w:ascii="Book Antiqua" w:hAnsi="Book Antiqua"/>
        </w:rPr>
        <w:t xml:space="preserve">, Yang KH. Indications and outcomes of augmentation plating with decortication and autogenous bone grafting for femoral shaft </w:t>
      </w:r>
      <w:proofErr w:type="spellStart"/>
      <w:r w:rsidRPr="006D11E5">
        <w:rPr>
          <w:rFonts w:ascii="Book Antiqua" w:hAnsi="Book Antiqua"/>
        </w:rPr>
        <w:t>nonunions</w:t>
      </w:r>
      <w:proofErr w:type="spellEnd"/>
      <w:r w:rsidRPr="006D11E5">
        <w:rPr>
          <w:rFonts w:ascii="Book Antiqua" w:hAnsi="Book Antiqua"/>
        </w:rPr>
        <w:t xml:space="preserve">. </w:t>
      </w:r>
      <w:r w:rsidRPr="006D11E5">
        <w:rPr>
          <w:rFonts w:ascii="Book Antiqua" w:hAnsi="Book Antiqua"/>
          <w:i/>
          <w:iCs/>
        </w:rPr>
        <w:t>Injury</w:t>
      </w:r>
      <w:r w:rsidRPr="006D11E5">
        <w:rPr>
          <w:rFonts w:ascii="Book Antiqua" w:hAnsi="Book Antiqua"/>
        </w:rPr>
        <w:t xml:space="preserve"> 2013; </w:t>
      </w:r>
      <w:r w:rsidRPr="006D11E5">
        <w:rPr>
          <w:rFonts w:ascii="Book Antiqua" w:hAnsi="Book Antiqua"/>
          <w:b/>
          <w:bCs/>
        </w:rPr>
        <w:t>44</w:t>
      </w:r>
      <w:r w:rsidRPr="006D11E5">
        <w:rPr>
          <w:rFonts w:ascii="Book Antiqua" w:hAnsi="Book Antiqua"/>
        </w:rPr>
        <w:t>: 1820-1825 [PMID: 23510754 DOI: 10.1016/j.injury.2013.02.021]</w:t>
      </w:r>
    </w:p>
    <w:p w14:paraId="2DC47430"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38 </w:t>
      </w:r>
      <w:r w:rsidRPr="006D11E5">
        <w:rPr>
          <w:rFonts w:ascii="Book Antiqua" w:hAnsi="Book Antiqua"/>
          <w:b/>
          <w:bCs/>
        </w:rPr>
        <w:t>Wu CC</w:t>
      </w:r>
      <w:r w:rsidRPr="006D11E5">
        <w:rPr>
          <w:rFonts w:ascii="Book Antiqua" w:hAnsi="Book Antiqua"/>
        </w:rPr>
        <w:t xml:space="preserve">, Chen WJ. Treatment of femoral shaft aseptic </w:t>
      </w:r>
      <w:proofErr w:type="spellStart"/>
      <w:r w:rsidRPr="006D11E5">
        <w:rPr>
          <w:rFonts w:ascii="Book Antiqua" w:hAnsi="Book Antiqua"/>
        </w:rPr>
        <w:t>nonunions</w:t>
      </w:r>
      <w:proofErr w:type="spellEnd"/>
      <w:r w:rsidRPr="006D11E5">
        <w:rPr>
          <w:rFonts w:ascii="Book Antiqua" w:hAnsi="Book Antiqua"/>
        </w:rPr>
        <w:t xml:space="preserve">: comparison between closed and open bone-grafting techniques. </w:t>
      </w:r>
      <w:r w:rsidRPr="006D11E5">
        <w:rPr>
          <w:rFonts w:ascii="Book Antiqua" w:hAnsi="Book Antiqua"/>
          <w:i/>
          <w:iCs/>
        </w:rPr>
        <w:t>J Trauma</w:t>
      </w:r>
      <w:r w:rsidRPr="006D11E5">
        <w:rPr>
          <w:rFonts w:ascii="Book Antiqua" w:hAnsi="Book Antiqua"/>
        </w:rPr>
        <w:t xml:space="preserve"> 1997; </w:t>
      </w:r>
      <w:r w:rsidRPr="006D11E5">
        <w:rPr>
          <w:rFonts w:ascii="Book Antiqua" w:hAnsi="Book Antiqua"/>
          <w:b/>
          <w:bCs/>
        </w:rPr>
        <w:t>43</w:t>
      </w:r>
      <w:r w:rsidRPr="006D11E5">
        <w:rPr>
          <w:rFonts w:ascii="Book Antiqua" w:hAnsi="Book Antiqua"/>
        </w:rPr>
        <w:t>: 112-116 [PMID: 9253919 DOI: 10.1097/00005373-199707000-00026]</w:t>
      </w:r>
    </w:p>
    <w:p w14:paraId="64AA2190"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39 </w:t>
      </w:r>
      <w:proofErr w:type="spellStart"/>
      <w:r w:rsidRPr="006D11E5">
        <w:rPr>
          <w:rFonts w:ascii="Book Antiqua" w:hAnsi="Book Antiqua"/>
          <w:b/>
          <w:bCs/>
        </w:rPr>
        <w:t>Kujala</w:t>
      </w:r>
      <w:proofErr w:type="spellEnd"/>
      <w:r w:rsidRPr="006D11E5">
        <w:rPr>
          <w:rFonts w:ascii="Book Antiqua" w:hAnsi="Book Antiqua"/>
          <w:b/>
          <w:bCs/>
        </w:rPr>
        <w:t xml:space="preserve"> S</w:t>
      </w:r>
      <w:r w:rsidRPr="006D11E5">
        <w:rPr>
          <w:rFonts w:ascii="Book Antiqua" w:hAnsi="Book Antiqua"/>
        </w:rPr>
        <w:t xml:space="preserve">, </w:t>
      </w:r>
      <w:proofErr w:type="spellStart"/>
      <w:r w:rsidRPr="006D11E5">
        <w:rPr>
          <w:rFonts w:ascii="Book Antiqua" w:hAnsi="Book Antiqua"/>
        </w:rPr>
        <w:t>Raatikainen</w:t>
      </w:r>
      <w:proofErr w:type="spellEnd"/>
      <w:r w:rsidRPr="006D11E5">
        <w:rPr>
          <w:rFonts w:ascii="Book Antiqua" w:hAnsi="Book Antiqua"/>
        </w:rPr>
        <w:t xml:space="preserve"> T, </w:t>
      </w:r>
      <w:proofErr w:type="spellStart"/>
      <w:r w:rsidRPr="006D11E5">
        <w:rPr>
          <w:rFonts w:ascii="Book Antiqua" w:hAnsi="Book Antiqua"/>
        </w:rPr>
        <w:t>Ryhänen</w:t>
      </w:r>
      <w:proofErr w:type="spellEnd"/>
      <w:r w:rsidRPr="006D11E5">
        <w:rPr>
          <w:rFonts w:ascii="Book Antiqua" w:hAnsi="Book Antiqua"/>
        </w:rPr>
        <w:t xml:space="preserve"> J, </w:t>
      </w:r>
      <w:proofErr w:type="spellStart"/>
      <w:r w:rsidRPr="006D11E5">
        <w:rPr>
          <w:rFonts w:ascii="Book Antiqua" w:hAnsi="Book Antiqua"/>
        </w:rPr>
        <w:t>Kaarela</w:t>
      </w:r>
      <w:proofErr w:type="spellEnd"/>
      <w:r w:rsidRPr="006D11E5">
        <w:rPr>
          <w:rFonts w:ascii="Book Antiqua" w:hAnsi="Book Antiqua"/>
        </w:rPr>
        <w:t xml:space="preserve"> O, </w:t>
      </w:r>
      <w:proofErr w:type="spellStart"/>
      <w:r w:rsidRPr="006D11E5">
        <w:rPr>
          <w:rFonts w:ascii="Book Antiqua" w:hAnsi="Book Antiqua"/>
        </w:rPr>
        <w:t>Jalovaara</w:t>
      </w:r>
      <w:proofErr w:type="spellEnd"/>
      <w:r w:rsidRPr="006D11E5">
        <w:rPr>
          <w:rFonts w:ascii="Book Antiqua" w:hAnsi="Book Antiqua"/>
        </w:rPr>
        <w:t xml:space="preserve"> P. Composite implant of native bovine bone morphogenetic protein (BMP) and </w:t>
      </w:r>
      <w:proofErr w:type="spellStart"/>
      <w:r w:rsidRPr="006D11E5">
        <w:rPr>
          <w:rFonts w:ascii="Book Antiqua" w:hAnsi="Book Antiqua"/>
        </w:rPr>
        <w:t>biocoral</w:t>
      </w:r>
      <w:proofErr w:type="spellEnd"/>
      <w:r w:rsidRPr="006D11E5">
        <w:rPr>
          <w:rFonts w:ascii="Book Antiqua" w:hAnsi="Book Antiqua"/>
        </w:rPr>
        <w:t xml:space="preserve"> in the treatment of scaphoid </w:t>
      </w:r>
      <w:proofErr w:type="spellStart"/>
      <w:r w:rsidRPr="006D11E5">
        <w:rPr>
          <w:rFonts w:ascii="Book Antiqua" w:hAnsi="Book Antiqua"/>
        </w:rPr>
        <w:t>nonunions</w:t>
      </w:r>
      <w:proofErr w:type="spellEnd"/>
      <w:r w:rsidRPr="006D11E5">
        <w:rPr>
          <w:rFonts w:ascii="Book Antiqua" w:hAnsi="Book Antiqua"/>
        </w:rPr>
        <w:t xml:space="preserve">--a preliminary study. </w:t>
      </w:r>
      <w:proofErr w:type="spellStart"/>
      <w:r w:rsidRPr="006D11E5">
        <w:rPr>
          <w:rFonts w:ascii="Book Antiqua" w:hAnsi="Book Antiqua"/>
          <w:i/>
          <w:iCs/>
        </w:rPr>
        <w:t>Scand</w:t>
      </w:r>
      <w:proofErr w:type="spellEnd"/>
      <w:r w:rsidRPr="006D11E5">
        <w:rPr>
          <w:rFonts w:ascii="Book Antiqua" w:hAnsi="Book Antiqua"/>
          <w:i/>
          <w:iCs/>
        </w:rPr>
        <w:t xml:space="preserve"> J </w:t>
      </w:r>
      <w:proofErr w:type="spellStart"/>
      <w:r w:rsidRPr="006D11E5">
        <w:rPr>
          <w:rFonts w:ascii="Book Antiqua" w:hAnsi="Book Antiqua"/>
          <w:i/>
          <w:iCs/>
        </w:rPr>
        <w:t>Surg</w:t>
      </w:r>
      <w:proofErr w:type="spellEnd"/>
      <w:r w:rsidRPr="006D11E5">
        <w:rPr>
          <w:rFonts w:ascii="Book Antiqua" w:hAnsi="Book Antiqua"/>
        </w:rPr>
        <w:t xml:space="preserve"> 2002; </w:t>
      </w:r>
      <w:r w:rsidRPr="006D11E5">
        <w:rPr>
          <w:rFonts w:ascii="Book Antiqua" w:hAnsi="Book Antiqua"/>
          <w:b/>
          <w:bCs/>
        </w:rPr>
        <w:t>91</w:t>
      </w:r>
      <w:r w:rsidRPr="006D11E5">
        <w:rPr>
          <w:rFonts w:ascii="Book Antiqua" w:hAnsi="Book Antiqua"/>
        </w:rPr>
        <w:t>: 186-190 [PMID: 12164521 DOI: 10.1177/145749690209100210]</w:t>
      </w:r>
    </w:p>
    <w:p w14:paraId="6DD6802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40 </w:t>
      </w:r>
      <w:r w:rsidRPr="006D11E5">
        <w:rPr>
          <w:rFonts w:ascii="Book Antiqua" w:hAnsi="Book Antiqua"/>
          <w:b/>
          <w:bCs/>
        </w:rPr>
        <w:t>Zhou YQ</w:t>
      </w:r>
      <w:r w:rsidRPr="006D11E5">
        <w:rPr>
          <w:rFonts w:ascii="Book Antiqua" w:hAnsi="Book Antiqua"/>
        </w:rPr>
        <w:t xml:space="preserve">, Tu HL, Duan YJ, Chen X. Comparison of bone morphogenetic protein and autologous grafting in the treatment of limb long bone nonunion: a systematic review and meta-analysis.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Surg</w:t>
      </w:r>
      <w:proofErr w:type="spellEnd"/>
      <w:r w:rsidRPr="006D11E5">
        <w:rPr>
          <w:rFonts w:ascii="Book Antiqua" w:hAnsi="Book Antiqua"/>
          <w:i/>
          <w:iCs/>
        </w:rPr>
        <w:t xml:space="preserve"> Res</w:t>
      </w:r>
      <w:r w:rsidRPr="006D11E5">
        <w:rPr>
          <w:rFonts w:ascii="Book Antiqua" w:hAnsi="Book Antiqua"/>
        </w:rPr>
        <w:t xml:space="preserve"> 2020; </w:t>
      </w:r>
      <w:r w:rsidRPr="006D11E5">
        <w:rPr>
          <w:rFonts w:ascii="Book Antiqua" w:hAnsi="Book Antiqua"/>
          <w:b/>
          <w:bCs/>
        </w:rPr>
        <w:t>15</w:t>
      </w:r>
      <w:r w:rsidRPr="006D11E5">
        <w:rPr>
          <w:rFonts w:ascii="Book Antiqua" w:hAnsi="Book Antiqua"/>
        </w:rPr>
        <w:t>: 288 [PMID: 32727538 DOI: 10.1186/s13018-020-01805-4]</w:t>
      </w:r>
    </w:p>
    <w:p w14:paraId="58FE64A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41 </w:t>
      </w:r>
      <w:proofErr w:type="spellStart"/>
      <w:r w:rsidRPr="006D11E5">
        <w:rPr>
          <w:rFonts w:ascii="Book Antiqua" w:hAnsi="Book Antiqua"/>
          <w:b/>
          <w:bCs/>
        </w:rPr>
        <w:t>Khalifeh</w:t>
      </w:r>
      <w:proofErr w:type="spellEnd"/>
      <w:r w:rsidRPr="006D11E5">
        <w:rPr>
          <w:rFonts w:ascii="Book Antiqua" w:hAnsi="Book Antiqua"/>
          <w:b/>
          <w:bCs/>
        </w:rPr>
        <w:t xml:space="preserve"> JM</w:t>
      </w:r>
      <w:r w:rsidRPr="006D11E5">
        <w:rPr>
          <w:rFonts w:ascii="Book Antiqua" w:hAnsi="Book Antiqua"/>
        </w:rPr>
        <w:t xml:space="preserve">, </w:t>
      </w:r>
      <w:proofErr w:type="spellStart"/>
      <w:r w:rsidRPr="006D11E5">
        <w:rPr>
          <w:rFonts w:ascii="Book Antiqua" w:hAnsi="Book Antiqua"/>
        </w:rPr>
        <w:t>Zohny</w:t>
      </w:r>
      <w:proofErr w:type="spellEnd"/>
      <w:r w:rsidRPr="006D11E5">
        <w:rPr>
          <w:rFonts w:ascii="Book Antiqua" w:hAnsi="Book Antiqua"/>
        </w:rPr>
        <w:t xml:space="preserve"> Z, </w:t>
      </w:r>
      <w:proofErr w:type="spellStart"/>
      <w:r w:rsidRPr="006D11E5">
        <w:rPr>
          <w:rFonts w:ascii="Book Antiqua" w:hAnsi="Book Antiqua"/>
        </w:rPr>
        <w:t>MacEwan</w:t>
      </w:r>
      <w:proofErr w:type="spellEnd"/>
      <w:r w:rsidRPr="006D11E5">
        <w:rPr>
          <w:rFonts w:ascii="Book Antiqua" w:hAnsi="Book Antiqua"/>
        </w:rPr>
        <w:t xml:space="preserve"> M, Stephen M, Johnston W, Gamble P, Zeng Y, Yan Y, Ray WZ. Electrical Stimulation and Bone Healing: A Review of Current Technology and Clinical Applications. </w:t>
      </w:r>
      <w:r w:rsidRPr="006D11E5">
        <w:rPr>
          <w:rFonts w:ascii="Book Antiqua" w:hAnsi="Book Antiqua"/>
          <w:i/>
          <w:iCs/>
        </w:rPr>
        <w:t xml:space="preserve">IEEE Rev Biomed </w:t>
      </w:r>
      <w:proofErr w:type="spellStart"/>
      <w:r w:rsidRPr="006D11E5">
        <w:rPr>
          <w:rFonts w:ascii="Book Antiqua" w:hAnsi="Book Antiqua"/>
          <w:i/>
          <w:iCs/>
        </w:rPr>
        <w:t>Eng</w:t>
      </w:r>
      <w:proofErr w:type="spellEnd"/>
      <w:r w:rsidRPr="006D11E5">
        <w:rPr>
          <w:rFonts w:ascii="Book Antiqua" w:hAnsi="Book Antiqua"/>
        </w:rPr>
        <w:t xml:space="preserve"> 2018; </w:t>
      </w:r>
      <w:r w:rsidRPr="006D11E5">
        <w:rPr>
          <w:rFonts w:ascii="Book Antiqua" w:hAnsi="Book Antiqua"/>
          <w:b/>
          <w:bCs/>
        </w:rPr>
        <w:t>11</w:t>
      </w:r>
      <w:r w:rsidRPr="006D11E5">
        <w:rPr>
          <w:rFonts w:ascii="Book Antiqua" w:hAnsi="Book Antiqua"/>
        </w:rPr>
        <w:t>: 217-232 [PMID: 29994564 DOI: 10.1109/RBME.2018.2799189]</w:t>
      </w:r>
    </w:p>
    <w:p w14:paraId="32674B08" w14:textId="3CE94FEA"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42 </w:t>
      </w:r>
      <w:r w:rsidRPr="006D11E5">
        <w:rPr>
          <w:rFonts w:ascii="Book Antiqua" w:hAnsi="Book Antiqua"/>
          <w:b/>
          <w:bCs/>
        </w:rPr>
        <w:t>Connolly JF</w:t>
      </w:r>
      <w:r w:rsidRPr="006D11E5">
        <w:rPr>
          <w:rFonts w:ascii="Book Antiqua" w:hAnsi="Book Antiqua"/>
        </w:rPr>
        <w:t xml:space="preserve">. Selection, evaluation and indications for electrical stimulation of ununited fractures. </w:t>
      </w:r>
      <w:proofErr w:type="spellStart"/>
      <w:r w:rsidRPr="006D11E5">
        <w:rPr>
          <w:rFonts w:ascii="Book Antiqua" w:hAnsi="Book Antiqua"/>
          <w:i/>
          <w:iCs/>
        </w:rPr>
        <w:t>Clin</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1981</w:t>
      </w:r>
      <w:r w:rsidR="008A4F2A">
        <w:rPr>
          <w:rFonts w:ascii="Book Antiqua" w:hAnsi="Book Antiqua" w:hint="eastAsia"/>
          <w:lang w:eastAsia="zh-CN"/>
        </w:rPr>
        <w:t>;</w:t>
      </w:r>
      <w:r w:rsidRPr="006D11E5">
        <w:rPr>
          <w:rFonts w:ascii="Book Antiqua" w:hAnsi="Book Antiqua"/>
        </w:rPr>
        <w:t xml:space="preserve"> 39-53 [PMID: 6975690 DOI: 10.1097/00003086-198111000-00007]</w:t>
      </w:r>
    </w:p>
    <w:p w14:paraId="10418AD6" w14:textId="67D93524" w:rsidR="00A77B3E" w:rsidRPr="006D11E5" w:rsidRDefault="00A77B3E" w:rsidP="006D11E5">
      <w:pPr>
        <w:adjustRightInd w:val="0"/>
        <w:snapToGrid w:val="0"/>
        <w:spacing w:line="360" w:lineRule="auto"/>
        <w:jc w:val="both"/>
        <w:rPr>
          <w:rFonts w:ascii="Book Antiqua" w:hAnsi="Book Antiqua"/>
          <w:lang w:eastAsia="zh-CN"/>
        </w:rPr>
        <w:sectPr w:rsidR="00A77B3E" w:rsidRPr="006D11E5">
          <w:footerReference w:type="default" r:id="rId7"/>
          <w:pgSz w:w="12240" w:h="15840"/>
          <w:pgMar w:top="1440" w:right="1440" w:bottom="1440" w:left="1440" w:header="720" w:footer="720" w:gutter="0"/>
          <w:cols w:space="720"/>
          <w:docGrid w:linePitch="360"/>
        </w:sectPr>
      </w:pPr>
    </w:p>
    <w:p w14:paraId="01F0AACF" w14:textId="77777777" w:rsidR="006D11E5" w:rsidRPr="006D11E5" w:rsidRDefault="006D11E5" w:rsidP="006D11E5">
      <w:pPr>
        <w:adjustRightInd w:val="0"/>
        <w:snapToGrid w:val="0"/>
        <w:spacing w:line="360" w:lineRule="auto"/>
        <w:jc w:val="both"/>
        <w:rPr>
          <w:rFonts w:ascii="Book Antiqua" w:eastAsia="Book Antiqua" w:hAnsi="Book Antiqua" w:cs="Book Antiqua"/>
          <w:b/>
          <w:color w:val="000000"/>
        </w:rPr>
      </w:pPr>
    </w:p>
    <w:p w14:paraId="3D7800D8" w14:textId="6565801C"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Footnotes</w:t>
      </w:r>
    </w:p>
    <w:p w14:paraId="3FC534C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Informed consent statement: </w:t>
      </w:r>
      <w:r w:rsidRPr="006D11E5">
        <w:rPr>
          <w:rFonts w:ascii="Book Antiqua" w:eastAsia="Book Antiqua" w:hAnsi="Book Antiqua" w:cs="Book Antiqua"/>
          <w:color w:val="000000"/>
        </w:rPr>
        <w:t>Informed written consent was obtained from the patient for publication of this report and any accompanying images.</w:t>
      </w:r>
    </w:p>
    <w:p w14:paraId="0B86E674" w14:textId="77777777" w:rsidR="00A77B3E" w:rsidRPr="006D11E5" w:rsidRDefault="00A77B3E" w:rsidP="006D11E5">
      <w:pPr>
        <w:adjustRightInd w:val="0"/>
        <w:snapToGrid w:val="0"/>
        <w:spacing w:line="360" w:lineRule="auto"/>
        <w:jc w:val="both"/>
        <w:rPr>
          <w:rFonts w:ascii="Book Antiqua" w:hAnsi="Book Antiqua"/>
        </w:rPr>
      </w:pPr>
    </w:p>
    <w:p w14:paraId="5143A50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Conflict-of-interest statement: </w:t>
      </w:r>
      <w:r w:rsidRPr="006D11E5">
        <w:rPr>
          <w:rFonts w:ascii="Book Antiqua" w:eastAsia="Book Antiqua" w:hAnsi="Book Antiqua" w:cs="Book Antiqua"/>
          <w:color w:val="000000"/>
        </w:rPr>
        <w:t>Each of the authors declare no conflict of interest.</w:t>
      </w:r>
    </w:p>
    <w:p w14:paraId="2B1F539D" w14:textId="77777777" w:rsidR="00A77B3E" w:rsidRPr="006D11E5" w:rsidRDefault="00A77B3E" w:rsidP="006D11E5">
      <w:pPr>
        <w:adjustRightInd w:val="0"/>
        <w:snapToGrid w:val="0"/>
        <w:spacing w:line="360" w:lineRule="auto"/>
        <w:jc w:val="both"/>
        <w:rPr>
          <w:rFonts w:ascii="Book Antiqua" w:hAnsi="Book Antiqua"/>
        </w:rPr>
      </w:pPr>
    </w:p>
    <w:p w14:paraId="6BD785D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CARE Checklist (2016) statement: </w:t>
      </w:r>
      <w:r w:rsidRPr="006D11E5">
        <w:rPr>
          <w:rFonts w:ascii="Book Antiqua" w:eastAsia="Book Antiqua" w:hAnsi="Book Antiqua" w:cs="Book Antiqua"/>
          <w:color w:val="000000"/>
        </w:rPr>
        <w:t>The CARE checklist (2016) statement has been correctly completed. The file was previously sent to the reviewer.</w:t>
      </w:r>
    </w:p>
    <w:p w14:paraId="4636D18A" w14:textId="77777777" w:rsidR="00A77B3E" w:rsidRPr="006D11E5" w:rsidRDefault="00A77B3E" w:rsidP="006D11E5">
      <w:pPr>
        <w:adjustRightInd w:val="0"/>
        <w:snapToGrid w:val="0"/>
        <w:spacing w:line="360" w:lineRule="auto"/>
        <w:jc w:val="both"/>
        <w:rPr>
          <w:rFonts w:ascii="Book Antiqua" w:hAnsi="Book Antiqua"/>
        </w:rPr>
      </w:pPr>
    </w:p>
    <w:p w14:paraId="401170C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Open-Access: </w:t>
      </w:r>
      <w:r w:rsidRPr="006D11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D11E5">
        <w:rPr>
          <w:rFonts w:ascii="Book Antiqua" w:eastAsia="Book Antiqua" w:hAnsi="Book Antiqua" w:cs="Book Antiqua"/>
          <w:color w:val="000000"/>
        </w:rPr>
        <w:t>NonCommercial</w:t>
      </w:r>
      <w:proofErr w:type="spellEnd"/>
      <w:r w:rsidRPr="006D11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204D5E" w14:textId="77777777" w:rsidR="00A77B3E" w:rsidRPr="006D11E5" w:rsidRDefault="00A77B3E" w:rsidP="006D11E5">
      <w:pPr>
        <w:adjustRightInd w:val="0"/>
        <w:snapToGrid w:val="0"/>
        <w:spacing w:line="360" w:lineRule="auto"/>
        <w:jc w:val="both"/>
        <w:rPr>
          <w:rFonts w:ascii="Book Antiqua" w:hAnsi="Book Antiqua"/>
        </w:rPr>
      </w:pPr>
    </w:p>
    <w:p w14:paraId="0A450F81"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Provenance and peer review: </w:t>
      </w:r>
      <w:r w:rsidRPr="006D11E5">
        <w:rPr>
          <w:rFonts w:ascii="Book Antiqua" w:eastAsia="Book Antiqua" w:hAnsi="Book Antiqua" w:cs="Book Antiqua"/>
          <w:color w:val="000000"/>
        </w:rPr>
        <w:t>Unsolicited article; Externally peer reviewed.</w:t>
      </w:r>
    </w:p>
    <w:p w14:paraId="1670813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Peer-review model: </w:t>
      </w:r>
      <w:r w:rsidRPr="006D11E5">
        <w:rPr>
          <w:rFonts w:ascii="Book Antiqua" w:eastAsia="Book Antiqua" w:hAnsi="Book Antiqua" w:cs="Book Antiqua"/>
          <w:color w:val="000000"/>
        </w:rPr>
        <w:t>Single blind</w:t>
      </w:r>
    </w:p>
    <w:p w14:paraId="7518C030" w14:textId="77777777" w:rsidR="00A77B3E" w:rsidRPr="006D11E5" w:rsidRDefault="00A77B3E" w:rsidP="006D11E5">
      <w:pPr>
        <w:adjustRightInd w:val="0"/>
        <w:snapToGrid w:val="0"/>
        <w:spacing w:line="360" w:lineRule="auto"/>
        <w:jc w:val="both"/>
        <w:rPr>
          <w:rFonts w:ascii="Book Antiqua" w:hAnsi="Book Antiqua"/>
        </w:rPr>
      </w:pPr>
    </w:p>
    <w:p w14:paraId="5191E2A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Peer-review started: </w:t>
      </w:r>
      <w:r w:rsidRPr="006D11E5">
        <w:rPr>
          <w:rFonts w:ascii="Book Antiqua" w:eastAsia="Book Antiqua" w:hAnsi="Book Antiqua" w:cs="Book Antiqua"/>
          <w:color w:val="000000"/>
        </w:rPr>
        <w:t>August 28, 2021</w:t>
      </w:r>
    </w:p>
    <w:p w14:paraId="64B10C3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First decision: </w:t>
      </w:r>
      <w:r w:rsidRPr="006D11E5">
        <w:rPr>
          <w:rFonts w:ascii="Book Antiqua" w:eastAsia="Book Antiqua" w:hAnsi="Book Antiqua" w:cs="Book Antiqua"/>
          <w:color w:val="000000"/>
        </w:rPr>
        <w:t>November 17, 2021</w:t>
      </w:r>
    </w:p>
    <w:p w14:paraId="772D8060" w14:textId="5DAB8A84"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Article in press: </w:t>
      </w:r>
      <w:r w:rsidR="008A4F2A" w:rsidRPr="00E42C79">
        <w:rPr>
          <w:rFonts w:ascii="Book Antiqua" w:eastAsia="Book Antiqua" w:hAnsi="Book Antiqua" w:cs="Book Antiqua"/>
          <w:color w:val="000000"/>
        </w:rPr>
        <w:t>April 25, 2022</w:t>
      </w:r>
    </w:p>
    <w:p w14:paraId="27A2D524" w14:textId="77777777" w:rsidR="00A77B3E" w:rsidRPr="006D11E5" w:rsidRDefault="00A77B3E" w:rsidP="006D11E5">
      <w:pPr>
        <w:adjustRightInd w:val="0"/>
        <w:snapToGrid w:val="0"/>
        <w:spacing w:line="360" w:lineRule="auto"/>
        <w:jc w:val="both"/>
        <w:rPr>
          <w:rFonts w:ascii="Book Antiqua" w:hAnsi="Book Antiqua"/>
        </w:rPr>
      </w:pPr>
    </w:p>
    <w:p w14:paraId="2CD7A012"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Specialty type: </w:t>
      </w:r>
      <w:r w:rsidRPr="006D11E5">
        <w:rPr>
          <w:rFonts w:ascii="Book Antiqua" w:eastAsia="Book Antiqua" w:hAnsi="Book Antiqua" w:cs="Book Antiqua"/>
          <w:color w:val="000000"/>
        </w:rPr>
        <w:t>Orthopedics</w:t>
      </w:r>
    </w:p>
    <w:p w14:paraId="67248BC8"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Country/Territory of origin: </w:t>
      </w:r>
      <w:r w:rsidRPr="006D11E5">
        <w:rPr>
          <w:rFonts w:ascii="Book Antiqua" w:eastAsia="Book Antiqua" w:hAnsi="Book Antiqua" w:cs="Book Antiqua"/>
          <w:color w:val="000000"/>
        </w:rPr>
        <w:t>United States</w:t>
      </w:r>
    </w:p>
    <w:p w14:paraId="00136F2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Peer-review report’s scientific quality classification</w:t>
      </w:r>
    </w:p>
    <w:p w14:paraId="049C939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A (Excellent): 0</w:t>
      </w:r>
    </w:p>
    <w:p w14:paraId="05D7194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lastRenderedPageBreak/>
        <w:t>Grade B (Very good): B</w:t>
      </w:r>
    </w:p>
    <w:p w14:paraId="27F2290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C (Good): C</w:t>
      </w:r>
    </w:p>
    <w:p w14:paraId="101CF6F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D (Fair): 0</w:t>
      </w:r>
    </w:p>
    <w:p w14:paraId="423A0D1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E (Poor): 0</w:t>
      </w:r>
    </w:p>
    <w:p w14:paraId="4814CBCD" w14:textId="77777777" w:rsidR="00A77B3E" w:rsidRPr="006D11E5" w:rsidRDefault="00A77B3E" w:rsidP="006D11E5">
      <w:pPr>
        <w:adjustRightInd w:val="0"/>
        <w:snapToGrid w:val="0"/>
        <w:spacing w:line="360" w:lineRule="auto"/>
        <w:jc w:val="both"/>
        <w:rPr>
          <w:rFonts w:ascii="Book Antiqua" w:hAnsi="Book Antiqua"/>
        </w:rPr>
      </w:pPr>
    </w:p>
    <w:p w14:paraId="3D759C2A" w14:textId="5654F606" w:rsidR="00A77B3E" w:rsidRPr="006D11E5" w:rsidRDefault="006315CA" w:rsidP="006D11E5">
      <w:pPr>
        <w:adjustRightInd w:val="0"/>
        <w:snapToGrid w:val="0"/>
        <w:spacing w:line="360" w:lineRule="auto"/>
        <w:jc w:val="both"/>
        <w:rPr>
          <w:rFonts w:ascii="Book Antiqua" w:eastAsia="宋体" w:hAnsi="Book Antiqua" w:cs="宋体"/>
          <w:color w:val="000000"/>
          <w:lang w:eastAsia="zh-CN"/>
        </w:rPr>
      </w:pPr>
      <w:r w:rsidRPr="006D11E5">
        <w:rPr>
          <w:rFonts w:ascii="Book Antiqua" w:eastAsia="Book Antiqua" w:hAnsi="Book Antiqua" w:cs="Book Antiqua"/>
          <w:b/>
          <w:color w:val="000000"/>
        </w:rPr>
        <w:t xml:space="preserve">P-Reviewer: </w:t>
      </w:r>
      <w:r w:rsidRPr="006D11E5">
        <w:rPr>
          <w:rFonts w:ascii="Book Antiqua" w:eastAsia="Book Antiqua" w:hAnsi="Book Antiqua" w:cs="Book Antiqua"/>
          <w:color w:val="000000"/>
        </w:rPr>
        <w:t xml:space="preserve">Hosseini MS, </w:t>
      </w:r>
      <w:r w:rsidR="0046104B" w:rsidRPr="0046104B">
        <w:rPr>
          <w:rFonts w:ascii="Book Antiqua" w:eastAsia="Book Antiqua" w:hAnsi="Book Antiqua" w:cs="Book Antiqua"/>
          <w:color w:val="000000"/>
        </w:rPr>
        <w:t>Iran</w:t>
      </w:r>
      <w:r w:rsidR="0046104B">
        <w:rPr>
          <w:rFonts w:ascii="Book Antiqua" w:eastAsia="Book Antiqua" w:hAnsi="Book Antiqua" w:cs="Book Antiqua"/>
          <w:color w:val="000000"/>
        </w:rPr>
        <w:t xml:space="preserve">; </w:t>
      </w:r>
      <w:r w:rsidRPr="006D11E5">
        <w:rPr>
          <w:rFonts w:ascii="Book Antiqua" w:eastAsia="Book Antiqua" w:hAnsi="Book Antiqua" w:cs="Book Antiqua"/>
          <w:color w:val="000000"/>
        </w:rPr>
        <w:t>Wang YJ</w:t>
      </w:r>
      <w:r w:rsidR="0046104B">
        <w:rPr>
          <w:rFonts w:ascii="Book Antiqua" w:eastAsia="Book Antiqua" w:hAnsi="Book Antiqua" w:cs="Book Antiqua"/>
          <w:color w:val="000000"/>
        </w:rPr>
        <w:t xml:space="preserve">, </w:t>
      </w:r>
      <w:r w:rsidR="0046104B" w:rsidRPr="0046104B">
        <w:rPr>
          <w:rFonts w:ascii="Book Antiqua" w:eastAsia="Book Antiqua" w:hAnsi="Book Antiqua" w:cs="Book Antiqua"/>
          <w:color w:val="000000"/>
        </w:rPr>
        <w:t>China</w:t>
      </w:r>
      <w:r w:rsidRPr="006D11E5">
        <w:rPr>
          <w:rFonts w:ascii="Book Antiqua" w:eastAsia="Book Antiqua" w:hAnsi="Book Antiqua" w:cs="Book Antiqua"/>
          <w:b/>
          <w:color w:val="000000"/>
        </w:rPr>
        <w:t xml:space="preserve"> S-Editor: </w:t>
      </w:r>
      <w:r w:rsidR="006D11E5" w:rsidRPr="006D11E5">
        <w:rPr>
          <w:rFonts w:ascii="Book Antiqua" w:eastAsia="Book Antiqua" w:hAnsi="Book Antiqua" w:cs="Book Antiqua"/>
          <w:color w:val="000000"/>
        </w:rPr>
        <w:t>W</w:t>
      </w:r>
      <w:r w:rsidR="006D11E5" w:rsidRPr="006D11E5">
        <w:rPr>
          <w:rFonts w:ascii="Book Antiqua" w:eastAsia="宋体" w:hAnsi="Book Antiqua" w:cs="宋体"/>
          <w:color w:val="000000"/>
          <w:lang w:eastAsia="zh-CN"/>
        </w:rPr>
        <w:t>ang JL</w:t>
      </w:r>
      <w:r w:rsidRPr="006D11E5">
        <w:rPr>
          <w:rFonts w:ascii="Book Antiqua" w:eastAsia="Book Antiqua" w:hAnsi="Book Antiqua" w:cs="Book Antiqua"/>
          <w:b/>
          <w:color w:val="000000"/>
        </w:rPr>
        <w:t xml:space="preserve"> L-Editor: </w:t>
      </w:r>
      <w:r w:rsidR="006D11E5" w:rsidRPr="006D11E5">
        <w:rPr>
          <w:rFonts w:ascii="Book Antiqua" w:eastAsia="Book Antiqua" w:hAnsi="Book Antiqua" w:cs="Book Antiqua"/>
          <w:bCs/>
          <w:color w:val="000000"/>
        </w:rPr>
        <w:t>A</w:t>
      </w:r>
      <w:r w:rsidRPr="006D11E5">
        <w:rPr>
          <w:rFonts w:ascii="Book Antiqua" w:eastAsia="Book Antiqua" w:hAnsi="Book Antiqua" w:cs="Book Antiqua"/>
          <w:b/>
          <w:color w:val="000000"/>
        </w:rPr>
        <w:t xml:space="preserve"> P-Editor: </w:t>
      </w:r>
      <w:r w:rsidR="006D11E5" w:rsidRPr="006D11E5">
        <w:rPr>
          <w:rFonts w:ascii="Book Antiqua" w:eastAsia="Book Antiqua" w:hAnsi="Book Antiqua" w:cs="Book Antiqua"/>
          <w:color w:val="000000"/>
        </w:rPr>
        <w:t>W</w:t>
      </w:r>
      <w:r w:rsidR="006D11E5" w:rsidRPr="006D11E5">
        <w:rPr>
          <w:rFonts w:ascii="Book Antiqua" w:eastAsia="宋体" w:hAnsi="Book Antiqua" w:cs="宋体"/>
          <w:color w:val="000000"/>
          <w:lang w:eastAsia="zh-CN"/>
        </w:rPr>
        <w:t>ang JL</w:t>
      </w:r>
    </w:p>
    <w:p w14:paraId="740CF975" w14:textId="77777777" w:rsidR="008A4F2A" w:rsidRDefault="008A4F2A">
      <w:pPr>
        <w:rPr>
          <w:rFonts w:ascii="Book Antiqua" w:eastAsia="Book Antiqua" w:hAnsi="Book Antiqua" w:cs="Book Antiqua"/>
          <w:b/>
          <w:color w:val="000000"/>
        </w:rPr>
      </w:pPr>
      <w:r>
        <w:rPr>
          <w:rFonts w:ascii="Book Antiqua" w:eastAsia="Book Antiqua" w:hAnsi="Book Antiqua" w:cs="Book Antiqua"/>
          <w:b/>
          <w:color w:val="000000"/>
        </w:rPr>
        <w:br w:type="page"/>
      </w:r>
    </w:p>
    <w:p w14:paraId="56C8B2E2" w14:textId="18EDC0DF"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lastRenderedPageBreak/>
        <w:t>Figure Legends</w:t>
      </w:r>
    </w:p>
    <w:p w14:paraId="2D771B4E"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18A7ABC5" wp14:editId="046E26C1">
            <wp:extent cx="4826026" cy="41199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26026" cy="4119981"/>
                    </a:xfrm>
                    <a:prstGeom prst="rect">
                      <a:avLst/>
                    </a:prstGeom>
                    <a:noFill/>
                    <a:ln>
                      <a:noFill/>
                    </a:ln>
                  </pic:spPr>
                </pic:pic>
              </a:graphicData>
            </a:graphic>
          </wp:inline>
        </w:drawing>
      </w:r>
    </w:p>
    <w:p w14:paraId="6C836A41" w14:textId="31DE054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Figure 1 Post-operative radiographs of the left femur from outside hospital.</w:t>
      </w:r>
      <w:r w:rsidRPr="008A4F2A">
        <w:rPr>
          <w:rFonts w:ascii="Book Antiqua" w:eastAsia="Book Antiqua" w:hAnsi="Book Antiqua" w:cs="Book Antiqua"/>
          <w:b/>
          <w:color w:val="000000"/>
        </w:rPr>
        <w:t xml:space="preserve"> </w:t>
      </w:r>
      <w:r w:rsidRPr="006D11E5">
        <w:rPr>
          <w:rFonts w:ascii="Book Antiqua" w:eastAsia="Book Antiqua" w:hAnsi="Book Antiqua" w:cs="Book Antiqua"/>
          <w:color w:val="000000"/>
        </w:rPr>
        <w:t xml:space="preserve">A: </w:t>
      </w:r>
      <w:r w:rsidR="00CC3347" w:rsidRPr="00CC3347">
        <w:rPr>
          <w:rFonts w:ascii="Book Antiqua" w:eastAsia="Book Antiqua" w:hAnsi="Book Antiqua" w:cs="Book Antiqua"/>
          <w:color w:val="000000"/>
        </w:rPr>
        <w:t>Anterior-posterior</w:t>
      </w:r>
      <w:r w:rsidR="00CC3347"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showing transverse mid-shaft femur fracture with some comminution and Russell-Taylor Delta II 9 x 380 mm antegrade nail with single distal interlocking screw</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B: Lateral radiograph showing th</w:t>
      </w:r>
      <w:r w:rsidRPr="008A4F2A">
        <w:rPr>
          <w:rFonts w:ascii="Book Antiqua" w:eastAsia="Book Antiqua" w:hAnsi="Book Antiqua" w:cs="Book Antiqua"/>
          <w:color w:val="000000"/>
        </w:rPr>
        <w:t>e same</w:t>
      </w:r>
      <w:r w:rsidR="00E42C79" w:rsidRPr="008A4F2A">
        <w:rPr>
          <w:rFonts w:ascii="Book Antiqua" w:eastAsia="Book Antiqua" w:hAnsi="Book Antiqua" w:cs="Book Antiqua"/>
          <w:color w:val="000000"/>
        </w:rPr>
        <w:t>.</w:t>
      </w:r>
    </w:p>
    <w:p w14:paraId="77796EA7" w14:textId="77777777" w:rsidR="008A4F2A" w:rsidRDefault="008A4F2A">
      <w:pPr>
        <w:rPr>
          <w:rFonts w:ascii="Book Antiqua" w:hAnsi="Book Antiqua"/>
        </w:rPr>
      </w:pPr>
      <w:r>
        <w:rPr>
          <w:rFonts w:ascii="Book Antiqua" w:hAnsi="Book Antiqua"/>
        </w:rPr>
        <w:br w:type="page"/>
      </w:r>
    </w:p>
    <w:p w14:paraId="3AA46143" w14:textId="30CB048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EA75625" wp14:editId="2C0B0759">
            <wp:extent cx="4213113" cy="43720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13113" cy="4372099"/>
                    </a:xfrm>
                    <a:prstGeom prst="rect">
                      <a:avLst/>
                    </a:prstGeom>
                    <a:noFill/>
                    <a:ln>
                      <a:noFill/>
                    </a:ln>
                  </pic:spPr>
                </pic:pic>
              </a:graphicData>
            </a:graphic>
          </wp:inline>
        </w:drawing>
      </w:r>
    </w:p>
    <w:p w14:paraId="20A24A0A" w14:textId="3858CFE4"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2 Radiographs of the left femur from outside hospital obtained 4 </w:t>
      </w:r>
      <w:proofErr w:type="spellStart"/>
      <w:proofErr w:type="gramStart"/>
      <w:r w:rsidRPr="006D11E5">
        <w:rPr>
          <w:rFonts w:ascii="Book Antiqua" w:eastAsia="Book Antiqua" w:hAnsi="Book Antiqua" w:cs="Book Antiqua"/>
          <w:b/>
          <w:bCs/>
          <w:color w:val="000000"/>
        </w:rPr>
        <w:t>mo</w:t>
      </w:r>
      <w:proofErr w:type="spellEnd"/>
      <w:proofErr w:type="gramEnd"/>
      <w:r w:rsidRPr="006D11E5">
        <w:rPr>
          <w:rFonts w:ascii="Book Antiqua" w:eastAsia="Book Antiqua" w:hAnsi="Book Antiqua" w:cs="Book Antiqua"/>
          <w:b/>
          <w:bCs/>
          <w:color w:val="000000"/>
        </w:rPr>
        <w:t xml:space="preserve"> post-operatively.</w:t>
      </w:r>
      <w:r w:rsidRPr="008A4F2A">
        <w:rPr>
          <w:rFonts w:ascii="Book Antiqua" w:eastAsia="Book Antiqua" w:hAnsi="Book Antiqua" w:cs="Book Antiqua"/>
          <w:b/>
          <w:color w:val="000000"/>
        </w:rPr>
        <w:t xml:space="preserve"> </w:t>
      </w:r>
      <w:r w:rsidRPr="006D11E5">
        <w:rPr>
          <w:rFonts w:ascii="Book Antiqua" w:eastAsia="Book Antiqua" w:hAnsi="Book Antiqua" w:cs="Book Antiqua"/>
          <w:color w:val="000000"/>
        </w:rPr>
        <w:t xml:space="preserve">A: </w:t>
      </w:r>
      <w:r w:rsidR="00CC3347" w:rsidRPr="00CC3347">
        <w:rPr>
          <w:rFonts w:ascii="Book Antiqua" w:eastAsia="Book Antiqua" w:hAnsi="Book Antiqua" w:cs="Book Antiqua"/>
          <w:color w:val="000000"/>
        </w:rPr>
        <w:t>Anterior-posterior</w:t>
      </w:r>
      <w:r w:rsidR="00CC3347">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showing broken distal interlocking screw and poor fracture healing</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B: Lateral radiograph showing the same.</w:t>
      </w:r>
    </w:p>
    <w:p w14:paraId="3DF98A0F" w14:textId="77777777" w:rsidR="008A4F2A" w:rsidRDefault="008A4F2A">
      <w:pPr>
        <w:rPr>
          <w:rFonts w:ascii="Book Antiqua" w:hAnsi="Book Antiqua"/>
        </w:rPr>
      </w:pPr>
      <w:r>
        <w:rPr>
          <w:rFonts w:ascii="Book Antiqua" w:hAnsi="Book Antiqua"/>
        </w:rPr>
        <w:br w:type="page"/>
      </w:r>
    </w:p>
    <w:p w14:paraId="6A91F81D" w14:textId="066DD10D"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621518A" wp14:editId="67B9F5D6">
            <wp:extent cx="3952506" cy="44203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52506" cy="4420389"/>
                    </a:xfrm>
                    <a:prstGeom prst="rect">
                      <a:avLst/>
                    </a:prstGeom>
                    <a:noFill/>
                    <a:ln>
                      <a:noFill/>
                    </a:ln>
                  </pic:spPr>
                </pic:pic>
              </a:graphicData>
            </a:graphic>
          </wp:inline>
        </w:drawing>
      </w:r>
    </w:p>
    <w:p w14:paraId="30A3074D" w14:textId="33AB8074"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3 Radiographs of the left femur obtained 8 </w:t>
      </w:r>
      <w:proofErr w:type="spellStart"/>
      <w:r w:rsidRPr="006D11E5">
        <w:rPr>
          <w:rFonts w:ascii="Book Antiqua" w:eastAsia="Book Antiqua" w:hAnsi="Book Antiqua" w:cs="Book Antiqua"/>
          <w:b/>
          <w:bCs/>
          <w:color w:val="000000"/>
        </w:rPr>
        <w:t>mo</w:t>
      </w:r>
      <w:proofErr w:type="spellEnd"/>
      <w:r w:rsidRPr="006D11E5">
        <w:rPr>
          <w:rFonts w:ascii="Book Antiqua" w:eastAsia="Book Antiqua" w:hAnsi="Book Antiqua" w:cs="Book Antiqua"/>
          <w:b/>
          <w:bCs/>
          <w:color w:val="000000"/>
        </w:rPr>
        <w:t xml:space="preserve"> post-operatively. </w:t>
      </w:r>
      <w:r w:rsidRPr="006D11E5">
        <w:rPr>
          <w:rFonts w:ascii="Book Antiqua" w:eastAsia="Book Antiqua" w:hAnsi="Book Antiqua" w:cs="Book Antiqua"/>
          <w:color w:val="000000"/>
        </w:rPr>
        <w:t xml:space="preserve">A: </w:t>
      </w:r>
      <w:r w:rsidR="003A552E"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showing continued poor evidence of fracture healing despite prior distal interlocking screw removal</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B: Lateral radiograph showing the same. </w:t>
      </w:r>
    </w:p>
    <w:p w14:paraId="04F45043" w14:textId="77777777" w:rsidR="008A4F2A" w:rsidRDefault="008A4F2A">
      <w:pPr>
        <w:rPr>
          <w:rFonts w:ascii="Book Antiqua" w:hAnsi="Book Antiqua"/>
        </w:rPr>
      </w:pPr>
      <w:r>
        <w:rPr>
          <w:rFonts w:ascii="Book Antiqua" w:hAnsi="Book Antiqua"/>
        </w:rPr>
        <w:br w:type="page"/>
      </w:r>
    </w:p>
    <w:p w14:paraId="4DD20D4D" w14:textId="29322CFB"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CB89866" wp14:editId="3183CE5C">
            <wp:extent cx="5931841" cy="4239471"/>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31841" cy="4239471"/>
                    </a:xfrm>
                    <a:prstGeom prst="rect">
                      <a:avLst/>
                    </a:prstGeom>
                    <a:noFill/>
                    <a:ln>
                      <a:noFill/>
                    </a:ln>
                  </pic:spPr>
                </pic:pic>
              </a:graphicData>
            </a:graphic>
          </wp:inline>
        </w:drawing>
      </w:r>
    </w:p>
    <w:p w14:paraId="5710914B" w14:textId="1D294B1F"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4 Illustration and radiograph of left femur obtained intra-operatively. </w:t>
      </w:r>
      <w:r w:rsidRPr="006D11E5">
        <w:rPr>
          <w:rFonts w:ascii="Book Antiqua" w:eastAsia="Book Antiqua" w:hAnsi="Book Antiqua" w:cs="Book Antiqua"/>
          <w:color w:val="000000"/>
        </w:rPr>
        <w:t>A: Illustration of bone pedestal at tip of intramedullary nail blocking guide rod passage</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B: Radiograph showing guide rod tip (inside intramedullary nail) unable to pass intramedullary bone pedestal (outlined).</w:t>
      </w:r>
    </w:p>
    <w:p w14:paraId="72DD94F8" w14:textId="77777777" w:rsidR="008A4F2A" w:rsidRDefault="008A4F2A">
      <w:pPr>
        <w:rPr>
          <w:rFonts w:ascii="Book Antiqua" w:hAnsi="Book Antiqua"/>
        </w:rPr>
      </w:pPr>
      <w:r>
        <w:rPr>
          <w:rFonts w:ascii="Book Antiqua" w:hAnsi="Book Antiqua"/>
        </w:rPr>
        <w:br w:type="page"/>
      </w:r>
    </w:p>
    <w:p w14:paraId="7DADEE0A" w14:textId="76674561" w:rsidR="004744ED" w:rsidRDefault="004744ED" w:rsidP="00583289">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1CEBECC" wp14:editId="6EAF434C">
            <wp:extent cx="5963126" cy="282258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63126" cy="2822589"/>
                    </a:xfrm>
                    <a:prstGeom prst="rect">
                      <a:avLst/>
                    </a:prstGeom>
                    <a:noFill/>
                    <a:ln>
                      <a:noFill/>
                    </a:ln>
                  </pic:spPr>
                </pic:pic>
              </a:graphicData>
            </a:graphic>
          </wp:inline>
        </w:drawing>
      </w:r>
    </w:p>
    <w:p w14:paraId="557220B5" w14:textId="1B82A2D8" w:rsidR="00583289" w:rsidRPr="006D11E5" w:rsidRDefault="006315CA" w:rsidP="00583289">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Figure 5 Illustration of left femur intra-operatively.</w:t>
      </w:r>
      <w:r w:rsidRPr="008A4F2A">
        <w:rPr>
          <w:rFonts w:ascii="Book Antiqua" w:eastAsia="Book Antiqua" w:hAnsi="Book Antiqua" w:cs="Book Antiqua"/>
          <w:b/>
          <w:color w:val="000000"/>
        </w:rPr>
        <w:t xml:space="preserve"> </w:t>
      </w:r>
      <w:r w:rsidR="00583289">
        <w:rPr>
          <w:rFonts w:ascii="Book Antiqua" w:eastAsia="Book Antiqua" w:hAnsi="Book Antiqua" w:cs="Book Antiqua"/>
          <w:color w:val="000000"/>
        </w:rPr>
        <w:t xml:space="preserve">A: </w:t>
      </w:r>
      <w:r w:rsidRPr="006D11E5">
        <w:rPr>
          <w:rFonts w:ascii="Book Antiqua" w:eastAsia="Book Antiqua" w:hAnsi="Book Antiqua" w:cs="Book Antiqua"/>
          <w:color w:val="000000"/>
        </w:rPr>
        <w:t>Showing femur after intramedullary nail removal. Guide rod tip still unable to pass distally in canal due to intramedullary bone pedestal</w:t>
      </w:r>
      <w:r w:rsidR="00583289">
        <w:rPr>
          <w:rFonts w:ascii="Book Antiqua" w:eastAsia="Book Antiqua" w:hAnsi="Book Antiqua" w:cs="Book Antiqua"/>
          <w:color w:val="000000"/>
        </w:rPr>
        <w:t xml:space="preserve">; B: </w:t>
      </w:r>
      <w:r w:rsidRPr="006D11E5">
        <w:rPr>
          <w:rFonts w:ascii="Book Antiqua" w:eastAsia="Book Antiqua" w:hAnsi="Book Antiqua" w:cs="Book Antiqua"/>
          <w:color w:val="000000"/>
        </w:rPr>
        <w:t>Showing starting reamer used to breach intramedullary bone pedestal</w:t>
      </w:r>
      <w:r w:rsidR="00583289">
        <w:rPr>
          <w:rFonts w:ascii="Book Antiqua" w:eastAsia="Book Antiqua" w:hAnsi="Book Antiqua" w:cs="Book Antiqua"/>
          <w:color w:val="000000"/>
        </w:rPr>
        <w:t xml:space="preserve">; C: </w:t>
      </w:r>
      <w:r w:rsidR="00583289" w:rsidRPr="006D11E5">
        <w:rPr>
          <w:rFonts w:ascii="Book Antiqua" w:eastAsia="Book Antiqua" w:hAnsi="Book Antiqua" w:cs="Book Antiqua"/>
          <w:color w:val="000000"/>
        </w:rPr>
        <w:t>Showing new nail (solid lines) at area of wider, more distal meta-diaphyseal bone compared to old nail (dotted lines) at area of more proximal, narrow diaphyseal bone.</w:t>
      </w:r>
    </w:p>
    <w:p w14:paraId="1E130AA8" w14:textId="77777777" w:rsidR="008A4F2A" w:rsidRDefault="008A4F2A">
      <w:pPr>
        <w:rPr>
          <w:rFonts w:ascii="Book Antiqua" w:hAnsi="Book Antiqua"/>
        </w:rPr>
      </w:pPr>
      <w:r>
        <w:rPr>
          <w:rFonts w:ascii="Book Antiqua" w:hAnsi="Book Antiqua"/>
        </w:rPr>
        <w:br w:type="page"/>
      </w:r>
    </w:p>
    <w:p w14:paraId="59028F25" w14:textId="39A8DC2A"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2A4AF61" wp14:editId="7AB1CDB2">
            <wp:extent cx="5828542" cy="228600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28542" cy="2286000"/>
                    </a:xfrm>
                    <a:prstGeom prst="rect">
                      <a:avLst/>
                    </a:prstGeom>
                    <a:noFill/>
                    <a:ln>
                      <a:noFill/>
                    </a:ln>
                  </pic:spPr>
                </pic:pic>
              </a:graphicData>
            </a:graphic>
          </wp:inline>
        </w:drawing>
      </w:r>
    </w:p>
    <w:p w14:paraId="137E5939" w14:textId="13EFD720"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w:t>
      </w:r>
      <w:r w:rsidR="000B7A24">
        <w:rPr>
          <w:rFonts w:ascii="Book Antiqua" w:eastAsia="Book Antiqua" w:hAnsi="Book Antiqua" w:cs="Book Antiqua"/>
          <w:b/>
          <w:bCs/>
          <w:color w:val="000000"/>
        </w:rPr>
        <w:t>6</w:t>
      </w:r>
      <w:r w:rsidR="000B7A24" w:rsidRPr="006D11E5">
        <w:rPr>
          <w:rFonts w:ascii="Book Antiqua" w:eastAsia="Book Antiqua" w:hAnsi="Book Antiqua" w:cs="Book Antiqua"/>
          <w:b/>
          <w:bCs/>
          <w:color w:val="000000"/>
        </w:rPr>
        <w:t xml:space="preserve"> </w:t>
      </w:r>
      <w:r w:rsidRPr="006D11E5">
        <w:rPr>
          <w:rFonts w:ascii="Book Antiqua" w:eastAsia="Book Antiqua" w:hAnsi="Book Antiqua" w:cs="Book Antiqua"/>
          <w:b/>
          <w:bCs/>
          <w:color w:val="000000"/>
        </w:rPr>
        <w:t>Illustration and fluoroscopic radiographs of left femur obtained intra-operatively.</w:t>
      </w:r>
      <w:r w:rsidRPr="008A4F2A">
        <w:rPr>
          <w:rFonts w:ascii="Book Antiqua" w:eastAsia="Book Antiqua" w:hAnsi="Book Antiqua" w:cs="Book Antiqua"/>
          <w:b/>
          <w:color w:val="000000"/>
        </w:rPr>
        <w:t xml:space="preserve"> </w:t>
      </w:r>
      <w:r w:rsidRPr="006D11E5">
        <w:rPr>
          <w:rFonts w:ascii="Book Antiqua" w:eastAsia="Book Antiqua" w:hAnsi="Book Antiqua" w:cs="Book Antiqua"/>
          <w:color w:val="000000"/>
        </w:rPr>
        <w:t>A: Illustration showing intramedullary nail placed past bone pedestal</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B: </w:t>
      </w:r>
      <w:r w:rsidR="00A846B0"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showing new, larger diameter intramedullary nail placed past bone pedestal</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C: Lateral radiograph showing the same. </w:t>
      </w:r>
    </w:p>
    <w:p w14:paraId="396BDBE8" w14:textId="77777777" w:rsidR="008A4F2A" w:rsidRDefault="008A4F2A">
      <w:pPr>
        <w:rPr>
          <w:rFonts w:ascii="Book Antiqua" w:hAnsi="Book Antiqua"/>
        </w:rPr>
      </w:pPr>
      <w:r>
        <w:rPr>
          <w:rFonts w:ascii="Book Antiqua" w:hAnsi="Book Antiqua"/>
        </w:rPr>
        <w:br w:type="page"/>
      </w:r>
    </w:p>
    <w:p w14:paraId="5691ACCE" w14:textId="5B8C88E0"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D079A56" wp14:editId="052A7377">
            <wp:extent cx="4495897" cy="4211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95897" cy="4211185"/>
                    </a:xfrm>
                    <a:prstGeom prst="rect">
                      <a:avLst/>
                    </a:prstGeom>
                    <a:noFill/>
                    <a:ln>
                      <a:noFill/>
                    </a:ln>
                  </pic:spPr>
                </pic:pic>
              </a:graphicData>
            </a:graphic>
          </wp:inline>
        </w:drawing>
      </w:r>
    </w:p>
    <w:p w14:paraId="1F0DD764" w14:textId="2BDAA2E9"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w:t>
      </w:r>
      <w:r w:rsidR="000B7A24">
        <w:rPr>
          <w:rFonts w:ascii="Book Antiqua" w:eastAsia="Book Antiqua" w:hAnsi="Book Antiqua" w:cs="Book Antiqua"/>
          <w:b/>
          <w:bCs/>
          <w:color w:val="000000"/>
        </w:rPr>
        <w:t>7</w:t>
      </w:r>
      <w:r w:rsidR="000B7A24" w:rsidRPr="006D11E5">
        <w:rPr>
          <w:rFonts w:ascii="Book Antiqua" w:eastAsia="Book Antiqua" w:hAnsi="Book Antiqua" w:cs="Book Antiqua"/>
          <w:b/>
          <w:bCs/>
          <w:color w:val="000000"/>
        </w:rPr>
        <w:t xml:space="preserve"> </w:t>
      </w:r>
      <w:r w:rsidRPr="006D11E5">
        <w:rPr>
          <w:rFonts w:ascii="Book Antiqua" w:eastAsia="Book Antiqua" w:hAnsi="Book Antiqua" w:cs="Book Antiqua"/>
          <w:b/>
          <w:bCs/>
          <w:color w:val="000000"/>
        </w:rPr>
        <w:t>Fluoroscopic radiographs of left femur obtained intra-operatively</w:t>
      </w:r>
      <w:r w:rsidRPr="008A4F2A">
        <w:rPr>
          <w:rFonts w:ascii="Book Antiqua" w:eastAsia="Book Antiqua" w:hAnsi="Book Antiqua" w:cs="Book Antiqua"/>
          <w:b/>
          <w:color w:val="000000"/>
        </w:rPr>
        <w:t xml:space="preserve">. </w:t>
      </w:r>
      <w:r w:rsidRPr="006D11E5">
        <w:rPr>
          <w:rFonts w:ascii="Book Antiqua" w:eastAsia="Book Antiqua" w:hAnsi="Book Antiqua" w:cs="Book Antiqua"/>
          <w:color w:val="000000"/>
        </w:rPr>
        <w:t xml:space="preserve">A: </w:t>
      </w:r>
      <w:r w:rsidR="0098674C"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one year post-operatively showing early callous formation but incomplete fracture healing</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B: Lateral radiograph showing the same but at increased magnification.</w:t>
      </w:r>
    </w:p>
    <w:p w14:paraId="275DF960" w14:textId="77777777" w:rsidR="008A4F2A" w:rsidRDefault="008A4F2A">
      <w:pPr>
        <w:rPr>
          <w:rFonts w:ascii="Book Antiqua" w:hAnsi="Book Antiqua"/>
        </w:rPr>
      </w:pPr>
      <w:r>
        <w:rPr>
          <w:rFonts w:ascii="Book Antiqua" w:hAnsi="Book Antiqua"/>
        </w:rPr>
        <w:br w:type="page"/>
      </w:r>
    </w:p>
    <w:p w14:paraId="281987DB" w14:textId="79E027A6" w:rsidR="004744ED" w:rsidRDefault="004744ED" w:rsidP="006D11E5">
      <w:pPr>
        <w:adjustRightInd w:val="0"/>
        <w:snapToGrid w:val="0"/>
        <w:spacing w:line="360" w:lineRule="auto"/>
        <w:jc w:val="both"/>
        <w:rPr>
          <w:rFonts w:ascii="Book Antiqua" w:eastAsia="Book Antiqua" w:hAnsi="Book Antiqua" w:cs="Book Antiqua"/>
          <w:b/>
          <w:bCs/>
          <w:color w:val="000000"/>
        </w:rPr>
      </w:pPr>
      <w:bookmarkStart w:id="0" w:name="_GoBack"/>
      <w:r>
        <w:rPr>
          <w:noProof/>
          <w:lang w:eastAsia="zh-CN"/>
        </w:rPr>
        <w:lastRenderedPageBreak/>
        <w:drawing>
          <wp:inline distT="0" distB="0" distL="0" distR="0" wp14:anchorId="09FA9054" wp14:editId="183F5CCB">
            <wp:extent cx="4653007" cy="411755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53007" cy="4117558"/>
                    </a:xfrm>
                    <a:prstGeom prst="rect">
                      <a:avLst/>
                    </a:prstGeom>
                    <a:noFill/>
                    <a:ln>
                      <a:noFill/>
                    </a:ln>
                  </pic:spPr>
                </pic:pic>
              </a:graphicData>
            </a:graphic>
          </wp:inline>
        </w:drawing>
      </w:r>
      <w:bookmarkEnd w:id="0"/>
    </w:p>
    <w:p w14:paraId="161A2C7D" w14:textId="47DD97D7" w:rsidR="008A4F2A" w:rsidRDefault="006315CA" w:rsidP="006D11E5">
      <w:pPr>
        <w:adjustRightInd w:val="0"/>
        <w:snapToGrid w:val="0"/>
        <w:spacing w:line="360" w:lineRule="auto"/>
        <w:jc w:val="both"/>
        <w:rPr>
          <w:rFonts w:ascii="Book Antiqua" w:eastAsia="Book Antiqua" w:hAnsi="Book Antiqua" w:cs="Book Antiqua"/>
          <w:color w:val="000000"/>
        </w:rPr>
      </w:pPr>
      <w:r w:rsidRPr="006D11E5">
        <w:rPr>
          <w:rFonts w:ascii="Book Antiqua" w:eastAsia="Book Antiqua" w:hAnsi="Book Antiqua" w:cs="Book Antiqua"/>
          <w:b/>
          <w:bCs/>
          <w:color w:val="000000"/>
        </w:rPr>
        <w:t xml:space="preserve">Figure </w:t>
      </w:r>
      <w:r w:rsidR="000B7A24">
        <w:rPr>
          <w:rFonts w:ascii="Book Antiqua" w:eastAsia="Book Antiqua" w:hAnsi="Book Antiqua" w:cs="Book Antiqua"/>
          <w:b/>
          <w:bCs/>
          <w:color w:val="000000"/>
        </w:rPr>
        <w:t>8</w:t>
      </w:r>
      <w:r w:rsidR="000B7A24" w:rsidRPr="006D11E5">
        <w:rPr>
          <w:rFonts w:ascii="Book Antiqua" w:eastAsia="Book Antiqua" w:hAnsi="Book Antiqua" w:cs="Book Antiqua"/>
          <w:b/>
          <w:bCs/>
          <w:color w:val="000000"/>
        </w:rPr>
        <w:t xml:space="preserve"> </w:t>
      </w:r>
      <w:r w:rsidRPr="006D11E5">
        <w:rPr>
          <w:rFonts w:ascii="Book Antiqua" w:eastAsia="Book Antiqua" w:hAnsi="Book Antiqua" w:cs="Book Antiqua"/>
          <w:b/>
          <w:bCs/>
          <w:color w:val="000000"/>
        </w:rPr>
        <w:t xml:space="preserve">Radiographs of the left femur obtained 18 </w:t>
      </w:r>
      <w:proofErr w:type="spellStart"/>
      <w:proofErr w:type="gramStart"/>
      <w:r w:rsidRPr="006D11E5">
        <w:rPr>
          <w:rFonts w:ascii="Book Antiqua" w:eastAsia="Book Antiqua" w:hAnsi="Book Antiqua" w:cs="Book Antiqua"/>
          <w:b/>
          <w:bCs/>
          <w:color w:val="000000"/>
        </w:rPr>
        <w:t>mo</w:t>
      </w:r>
      <w:proofErr w:type="spellEnd"/>
      <w:proofErr w:type="gramEnd"/>
      <w:r w:rsidRPr="006D11E5">
        <w:rPr>
          <w:rFonts w:ascii="Book Antiqua" w:eastAsia="Book Antiqua" w:hAnsi="Book Antiqua" w:cs="Book Antiqua"/>
          <w:b/>
          <w:bCs/>
          <w:color w:val="000000"/>
        </w:rPr>
        <w:t xml:space="preserve"> post-operatively.</w:t>
      </w:r>
      <w:r w:rsidRPr="008A4F2A">
        <w:rPr>
          <w:rFonts w:ascii="Book Antiqua" w:eastAsia="Book Antiqua" w:hAnsi="Book Antiqua" w:cs="Book Antiqua"/>
          <w:b/>
          <w:color w:val="000000"/>
        </w:rPr>
        <w:t xml:space="preserve"> </w:t>
      </w:r>
      <w:r w:rsidRPr="006D11E5">
        <w:rPr>
          <w:rFonts w:ascii="Book Antiqua" w:eastAsia="Book Antiqua" w:hAnsi="Book Antiqua" w:cs="Book Antiqua"/>
          <w:color w:val="000000"/>
        </w:rPr>
        <w:t xml:space="preserve">A: </w:t>
      </w:r>
      <w:r w:rsidR="00640182"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showing evidence of good fracture healing</w:t>
      </w:r>
      <w:r w:rsidR="009B3537">
        <w:rPr>
          <w:rFonts w:ascii="Book Antiqua" w:hAnsi="Book Antiqua" w:cs="Book Antiqua" w:hint="eastAsia"/>
          <w:color w:val="000000"/>
          <w:lang w:eastAsia="zh-CN"/>
        </w:rPr>
        <w:t>;</w:t>
      </w:r>
      <w:r w:rsidRPr="006D11E5">
        <w:rPr>
          <w:rFonts w:ascii="Book Antiqua" w:eastAsia="Book Antiqua" w:hAnsi="Book Antiqua" w:cs="Book Antiqua"/>
          <w:color w:val="000000"/>
        </w:rPr>
        <w:t xml:space="preserve"> B: Lateral radiograph showing the same. </w:t>
      </w:r>
    </w:p>
    <w:p w14:paraId="3B3DBABD" w14:textId="77777777" w:rsidR="008A4F2A" w:rsidRDefault="008A4F2A">
      <w:pPr>
        <w:rPr>
          <w:rFonts w:ascii="Book Antiqua" w:eastAsia="Book Antiqua" w:hAnsi="Book Antiqua" w:cs="Book Antiqua"/>
          <w:color w:val="000000"/>
        </w:rPr>
      </w:pPr>
      <w:r>
        <w:rPr>
          <w:rFonts w:ascii="Book Antiqua" w:eastAsia="Book Antiqua" w:hAnsi="Book Antiqua" w:cs="Book Antiqua"/>
          <w:color w:val="000000"/>
        </w:rPr>
        <w:br w:type="page"/>
      </w:r>
    </w:p>
    <w:p w14:paraId="010C1725" w14:textId="77777777" w:rsidR="00515FB9" w:rsidRDefault="00515FB9" w:rsidP="00515FB9">
      <w:pPr>
        <w:jc w:val="center"/>
        <w:rPr>
          <w:rFonts w:ascii="Book Antiqua" w:hAnsi="Book Antiqua"/>
        </w:rPr>
      </w:pPr>
    </w:p>
    <w:p w14:paraId="47E08DC7" w14:textId="77777777" w:rsidR="00515FB9" w:rsidRDefault="00515FB9" w:rsidP="00515FB9">
      <w:pPr>
        <w:jc w:val="center"/>
        <w:rPr>
          <w:rFonts w:ascii="Book Antiqua" w:hAnsi="Book Antiqua"/>
        </w:rPr>
      </w:pPr>
    </w:p>
    <w:p w14:paraId="0CABF300" w14:textId="77777777" w:rsidR="00515FB9" w:rsidRDefault="00515FB9" w:rsidP="00515FB9">
      <w:pPr>
        <w:jc w:val="center"/>
        <w:rPr>
          <w:rFonts w:ascii="Book Antiqua" w:hAnsi="Book Antiqua"/>
        </w:rPr>
      </w:pPr>
    </w:p>
    <w:p w14:paraId="3B95EE90" w14:textId="77777777" w:rsidR="00515FB9" w:rsidRDefault="00515FB9" w:rsidP="00515FB9">
      <w:pPr>
        <w:jc w:val="center"/>
        <w:rPr>
          <w:rFonts w:ascii="Book Antiqua" w:hAnsi="Book Antiqua"/>
        </w:rPr>
      </w:pPr>
    </w:p>
    <w:p w14:paraId="01EDE08F" w14:textId="77777777" w:rsidR="00515FB9" w:rsidRDefault="00515FB9" w:rsidP="00515FB9">
      <w:pPr>
        <w:jc w:val="center"/>
        <w:rPr>
          <w:rFonts w:ascii="Book Antiqua" w:hAnsi="Book Antiqua"/>
        </w:rPr>
      </w:pPr>
    </w:p>
    <w:p w14:paraId="1DCC840D" w14:textId="77777777" w:rsidR="00515FB9" w:rsidRDefault="00515FB9" w:rsidP="00515FB9">
      <w:pPr>
        <w:jc w:val="center"/>
        <w:rPr>
          <w:rFonts w:ascii="Book Antiqua" w:hAnsi="Book Antiqua"/>
        </w:rPr>
      </w:pPr>
      <w:r>
        <w:rPr>
          <w:rFonts w:ascii="Book Antiqua" w:hAnsi="Book Antiqua"/>
          <w:noProof/>
          <w:lang w:eastAsia="zh-CN"/>
        </w:rPr>
        <w:drawing>
          <wp:inline distT="0" distB="0" distL="0" distR="0" wp14:anchorId="5305C54D" wp14:editId="1F6F0D64">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9F29FBF" w14:textId="77777777" w:rsidR="00515FB9" w:rsidRDefault="00515FB9" w:rsidP="00515FB9">
      <w:pPr>
        <w:jc w:val="center"/>
        <w:rPr>
          <w:rFonts w:ascii="Book Antiqua" w:hAnsi="Book Antiqua"/>
        </w:rPr>
      </w:pPr>
    </w:p>
    <w:p w14:paraId="7BE735A1" w14:textId="77777777" w:rsidR="00515FB9" w:rsidRPr="00763D22" w:rsidRDefault="00515FB9" w:rsidP="00515FB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0015A1F" w14:textId="77777777" w:rsidR="00515FB9" w:rsidRPr="00763D22" w:rsidRDefault="00515FB9" w:rsidP="00515FB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EB4208" w14:textId="77777777" w:rsidR="00515FB9" w:rsidRPr="00763D22" w:rsidRDefault="00515FB9" w:rsidP="00515FB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25126F7" w14:textId="77777777" w:rsidR="00515FB9" w:rsidRPr="00763D22" w:rsidRDefault="00515FB9" w:rsidP="00515FB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E50A787" w14:textId="77777777" w:rsidR="00515FB9" w:rsidRPr="00763D22" w:rsidRDefault="00515FB9" w:rsidP="00515FB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3798B3" w14:textId="77777777" w:rsidR="00515FB9" w:rsidRPr="00763D22" w:rsidRDefault="00515FB9" w:rsidP="00515FB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AE9B669" w14:textId="77777777" w:rsidR="00515FB9" w:rsidRDefault="00515FB9" w:rsidP="00515FB9">
      <w:pPr>
        <w:jc w:val="center"/>
        <w:rPr>
          <w:rFonts w:ascii="Book Antiqua" w:hAnsi="Book Antiqua"/>
        </w:rPr>
      </w:pPr>
    </w:p>
    <w:p w14:paraId="0307BA82" w14:textId="77777777" w:rsidR="00515FB9" w:rsidRDefault="00515FB9" w:rsidP="00515FB9">
      <w:pPr>
        <w:jc w:val="center"/>
        <w:rPr>
          <w:rFonts w:ascii="Book Antiqua" w:hAnsi="Book Antiqua"/>
        </w:rPr>
      </w:pPr>
    </w:p>
    <w:p w14:paraId="5A8AB0F7" w14:textId="77777777" w:rsidR="00515FB9" w:rsidRDefault="00515FB9" w:rsidP="00515FB9">
      <w:pPr>
        <w:jc w:val="center"/>
        <w:rPr>
          <w:rFonts w:ascii="Book Antiqua" w:hAnsi="Book Antiqua"/>
        </w:rPr>
      </w:pPr>
    </w:p>
    <w:p w14:paraId="15B3E63A" w14:textId="77777777" w:rsidR="00515FB9" w:rsidRDefault="00515FB9" w:rsidP="00515FB9">
      <w:pPr>
        <w:jc w:val="center"/>
        <w:rPr>
          <w:rFonts w:ascii="Book Antiqua" w:hAnsi="Book Antiqua"/>
        </w:rPr>
      </w:pPr>
      <w:r>
        <w:rPr>
          <w:rFonts w:ascii="Book Antiqua" w:hAnsi="Book Antiqua"/>
          <w:noProof/>
          <w:lang w:eastAsia="zh-CN"/>
        </w:rPr>
        <w:drawing>
          <wp:inline distT="0" distB="0" distL="0" distR="0" wp14:anchorId="026176D2" wp14:editId="70180052">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93F82B" w14:textId="77777777" w:rsidR="00515FB9" w:rsidRDefault="00515FB9" w:rsidP="00515FB9">
      <w:pPr>
        <w:jc w:val="center"/>
        <w:rPr>
          <w:rFonts w:ascii="Book Antiqua" w:hAnsi="Book Antiqua"/>
        </w:rPr>
      </w:pPr>
    </w:p>
    <w:p w14:paraId="14A44CD6" w14:textId="77777777" w:rsidR="00515FB9" w:rsidRDefault="00515FB9" w:rsidP="00515FB9">
      <w:pPr>
        <w:jc w:val="center"/>
        <w:rPr>
          <w:rFonts w:ascii="Book Antiqua" w:hAnsi="Book Antiqua"/>
        </w:rPr>
      </w:pPr>
    </w:p>
    <w:p w14:paraId="7E245E98" w14:textId="77777777" w:rsidR="00515FB9" w:rsidRDefault="00515FB9" w:rsidP="00515FB9">
      <w:pPr>
        <w:jc w:val="center"/>
        <w:rPr>
          <w:rFonts w:ascii="Book Antiqua" w:hAnsi="Book Antiqua"/>
        </w:rPr>
      </w:pPr>
    </w:p>
    <w:p w14:paraId="544DD78B" w14:textId="77777777" w:rsidR="00515FB9" w:rsidRDefault="00515FB9" w:rsidP="00515FB9">
      <w:pPr>
        <w:jc w:val="center"/>
        <w:rPr>
          <w:rFonts w:ascii="Book Antiqua" w:hAnsi="Book Antiqua"/>
        </w:rPr>
      </w:pPr>
    </w:p>
    <w:p w14:paraId="4952BFBE" w14:textId="77777777" w:rsidR="00515FB9" w:rsidRDefault="00515FB9" w:rsidP="00515FB9">
      <w:pPr>
        <w:jc w:val="center"/>
        <w:rPr>
          <w:rFonts w:ascii="Book Antiqua" w:hAnsi="Book Antiqua"/>
        </w:rPr>
      </w:pPr>
    </w:p>
    <w:p w14:paraId="0692CA79" w14:textId="77777777" w:rsidR="00515FB9" w:rsidRDefault="00515FB9" w:rsidP="00515FB9">
      <w:pPr>
        <w:jc w:val="center"/>
        <w:rPr>
          <w:rFonts w:ascii="Book Antiqua" w:hAnsi="Book Antiqua"/>
        </w:rPr>
      </w:pPr>
    </w:p>
    <w:p w14:paraId="486E2D64" w14:textId="77777777" w:rsidR="00515FB9" w:rsidRDefault="00515FB9" w:rsidP="00515FB9">
      <w:pPr>
        <w:jc w:val="center"/>
        <w:rPr>
          <w:rFonts w:ascii="Book Antiqua" w:hAnsi="Book Antiqua"/>
        </w:rPr>
      </w:pPr>
    </w:p>
    <w:p w14:paraId="45D04053" w14:textId="77777777" w:rsidR="00515FB9" w:rsidRDefault="00515FB9" w:rsidP="00515FB9">
      <w:pPr>
        <w:jc w:val="center"/>
        <w:rPr>
          <w:rFonts w:ascii="Book Antiqua" w:hAnsi="Book Antiqua"/>
        </w:rPr>
      </w:pPr>
    </w:p>
    <w:p w14:paraId="614098AD" w14:textId="77777777" w:rsidR="00515FB9" w:rsidRDefault="00515FB9" w:rsidP="00515FB9">
      <w:pPr>
        <w:jc w:val="center"/>
        <w:rPr>
          <w:rFonts w:ascii="Book Antiqua" w:hAnsi="Book Antiqua"/>
        </w:rPr>
      </w:pPr>
    </w:p>
    <w:p w14:paraId="062E0D9A" w14:textId="77777777" w:rsidR="00515FB9" w:rsidRPr="00763D22" w:rsidRDefault="00515FB9" w:rsidP="00515FB9">
      <w:pPr>
        <w:jc w:val="right"/>
        <w:rPr>
          <w:rFonts w:ascii="Book Antiqua" w:hAnsi="Book Antiqua"/>
          <w:color w:val="000000" w:themeColor="text1"/>
        </w:rPr>
      </w:pPr>
    </w:p>
    <w:p w14:paraId="2FCC7DE0" w14:textId="77777777" w:rsidR="00515FB9" w:rsidRPr="00763D22" w:rsidRDefault="00515FB9" w:rsidP="00515FB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E9B5647" w14:textId="77777777" w:rsidR="00A77B3E" w:rsidRPr="006D11E5" w:rsidRDefault="00A77B3E" w:rsidP="006D11E5">
      <w:pPr>
        <w:adjustRightInd w:val="0"/>
        <w:snapToGrid w:val="0"/>
        <w:spacing w:line="360" w:lineRule="auto"/>
        <w:jc w:val="both"/>
        <w:rPr>
          <w:rFonts w:ascii="Book Antiqua" w:hAnsi="Book Antiqua"/>
        </w:rPr>
      </w:pPr>
    </w:p>
    <w:sectPr w:rsidR="00A77B3E" w:rsidRPr="006D11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B9464" w14:textId="77777777" w:rsidR="005A234B" w:rsidRDefault="005A234B" w:rsidP="00325765">
      <w:r>
        <w:separator/>
      </w:r>
    </w:p>
  </w:endnote>
  <w:endnote w:type="continuationSeparator" w:id="0">
    <w:p w14:paraId="22C56703" w14:textId="77777777" w:rsidR="005A234B" w:rsidRDefault="005A234B" w:rsidP="0032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327437"/>
      <w:docPartObj>
        <w:docPartGallery w:val="Page Numbers (Bottom of Page)"/>
        <w:docPartUnique/>
      </w:docPartObj>
    </w:sdtPr>
    <w:sdtEndPr/>
    <w:sdtContent>
      <w:sdt>
        <w:sdtPr>
          <w:id w:val="-1769616900"/>
          <w:docPartObj>
            <w:docPartGallery w:val="Page Numbers (Top of Page)"/>
            <w:docPartUnique/>
          </w:docPartObj>
        </w:sdtPr>
        <w:sdtEndPr/>
        <w:sdtContent>
          <w:p w14:paraId="5B120A2B" w14:textId="1A35925B" w:rsidR="00325765" w:rsidRDefault="0032576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94C68">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94C68">
              <w:rPr>
                <w:b/>
                <w:bCs/>
                <w:noProof/>
              </w:rPr>
              <w:t>28</w:t>
            </w:r>
            <w:r>
              <w:rPr>
                <w:b/>
                <w:bCs/>
                <w:sz w:val="24"/>
                <w:szCs w:val="24"/>
              </w:rPr>
              <w:fldChar w:fldCharType="end"/>
            </w:r>
          </w:p>
        </w:sdtContent>
      </w:sdt>
    </w:sdtContent>
  </w:sdt>
  <w:p w14:paraId="4B9FA16F" w14:textId="77777777" w:rsidR="00325765" w:rsidRDefault="003257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CA77D" w14:textId="77777777" w:rsidR="005A234B" w:rsidRDefault="005A234B" w:rsidP="00325765">
      <w:r>
        <w:separator/>
      </w:r>
    </w:p>
  </w:footnote>
  <w:footnote w:type="continuationSeparator" w:id="0">
    <w:p w14:paraId="42582FB4" w14:textId="77777777" w:rsidR="005A234B" w:rsidRDefault="005A234B" w:rsidP="00325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7A24"/>
    <w:rsid w:val="000D698F"/>
    <w:rsid w:val="00145804"/>
    <w:rsid w:val="00185D51"/>
    <w:rsid w:val="00235401"/>
    <w:rsid w:val="00250552"/>
    <w:rsid w:val="00321732"/>
    <w:rsid w:val="00325765"/>
    <w:rsid w:val="003A4C65"/>
    <w:rsid w:val="003A552E"/>
    <w:rsid w:val="00401327"/>
    <w:rsid w:val="00454982"/>
    <w:rsid w:val="004602DC"/>
    <w:rsid w:val="0046104B"/>
    <w:rsid w:val="004744ED"/>
    <w:rsid w:val="00486FBC"/>
    <w:rsid w:val="004A24A4"/>
    <w:rsid w:val="00515FB9"/>
    <w:rsid w:val="00571EDF"/>
    <w:rsid w:val="00583289"/>
    <w:rsid w:val="005A234B"/>
    <w:rsid w:val="005C4C77"/>
    <w:rsid w:val="006315CA"/>
    <w:rsid w:val="00637596"/>
    <w:rsid w:val="00640182"/>
    <w:rsid w:val="00674FF3"/>
    <w:rsid w:val="006A5949"/>
    <w:rsid w:val="006D11E5"/>
    <w:rsid w:val="00702225"/>
    <w:rsid w:val="00726F64"/>
    <w:rsid w:val="007312AB"/>
    <w:rsid w:val="00734B0C"/>
    <w:rsid w:val="007A4B74"/>
    <w:rsid w:val="007F3432"/>
    <w:rsid w:val="00821469"/>
    <w:rsid w:val="00845DB2"/>
    <w:rsid w:val="008460D1"/>
    <w:rsid w:val="0086645E"/>
    <w:rsid w:val="008A4F2A"/>
    <w:rsid w:val="008B2A58"/>
    <w:rsid w:val="0091657F"/>
    <w:rsid w:val="0098674C"/>
    <w:rsid w:val="00994C68"/>
    <w:rsid w:val="009B3537"/>
    <w:rsid w:val="00A77B3E"/>
    <w:rsid w:val="00A846B0"/>
    <w:rsid w:val="00A860BB"/>
    <w:rsid w:val="00AA1F3A"/>
    <w:rsid w:val="00AB50C8"/>
    <w:rsid w:val="00AC0029"/>
    <w:rsid w:val="00AC5247"/>
    <w:rsid w:val="00B10DC9"/>
    <w:rsid w:val="00B901D3"/>
    <w:rsid w:val="00C03400"/>
    <w:rsid w:val="00CA2A55"/>
    <w:rsid w:val="00CC3347"/>
    <w:rsid w:val="00D40753"/>
    <w:rsid w:val="00D51868"/>
    <w:rsid w:val="00DE57A7"/>
    <w:rsid w:val="00E01022"/>
    <w:rsid w:val="00E340FC"/>
    <w:rsid w:val="00E42C79"/>
    <w:rsid w:val="00F54702"/>
    <w:rsid w:val="00FA3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4C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257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25765"/>
    <w:rPr>
      <w:sz w:val="18"/>
      <w:szCs w:val="18"/>
    </w:rPr>
  </w:style>
  <w:style w:type="paragraph" w:styleId="a4">
    <w:name w:val="footer"/>
    <w:basedOn w:val="a"/>
    <w:link w:val="Char0"/>
    <w:uiPriority w:val="99"/>
    <w:unhideWhenUsed/>
    <w:rsid w:val="00325765"/>
    <w:pPr>
      <w:tabs>
        <w:tab w:val="center" w:pos="4153"/>
        <w:tab w:val="right" w:pos="8306"/>
      </w:tabs>
      <w:snapToGrid w:val="0"/>
    </w:pPr>
    <w:rPr>
      <w:sz w:val="18"/>
      <w:szCs w:val="18"/>
    </w:rPr>
  </w:style>
  <w:style w:type="character" w:customStyle="1" w:styleId="Char0">
    <w:name w:val="页脚 Char"/>
    <w:basedOn w:val="a0"/>
    <w:link w:val="a4"/>
    <w:uiPriority w:val="99"/>
    <w:rsid w:val="00325765"/>
    <w:rPr>
      <w:sz w:val="18"/>
      <w:szCs w:val="18"/>
    </w:rPr>
  </w:style>
  <w:style w:type="paragraph" w:styleId="a5">
    <w:name w:val="Revision"/>
    <w:hidden/>
    <w:uiPriority w:val="99"/>
    <w:semiHidden/>
    <w:rsid w:val="00734B0C"/>
    <w:rPr>
      <w:sz w:val="24"/>
      <w:szCs w:val="24"/>
    </w:rPr>
  </w:style>
  <w:style w:type="paragraph" w:styleId="a6">
    <w:name w:val="Balloon Text"/>
    <w:basedOn w:val="a"/>
    <w:link w:val="Char1"/>
    <w:rsid w:val="008A4F2A"/>
    <w:rPr>
      <w:sz w:val="18"/>
      <w:szCs w:val="18"/>
    </w:rPr>
  </w:style>
  <w:style w:type="character" w:customStyle="1" w:styleId="Char1">
    <w:name w:val="批注框文本 Char"/>
    <w:basedOn w:val="a0"/>
    <w:link w:val="a6"/>
    <w:rsid w:val="008A4F2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257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25765"/>
    <w:rPr>
      <w:sz w:val="18"/>
      <w:szCs w:val="18"/>
    </w:rPr>
  </w:style>
  <w:style w:type="paragraph" w:styleId="a4">
    <w:name w:val="footer"/>
    <w:basedOn w:val="a"/>
    <w:link w:val="Char0"/>
    <w:uiPriority w:val="99"/>
    <w:unhideWhenUsed/>
    <w:rsid w:val="00325765"/>
    <w:pPr>
      <w:tabs>
        <w:tab w:val="center" w:pos="4153"/>
        <w:tab w:val="right" w:pos="8306"/>
      </w:tabs>
      <w:snapToGrid w:val="0"/>
    </w:pPr>
    <w:rPr>
      <w:sz w:val="18"/>
      <w:szCs w:val="18"/>
    </w:rPr>
  </w:style>
  <w:style w:type="character" w:customStyle="1" w:styleId="Char0">
    <w:name w:val="页脚 Char"/>
    <w:basedOn w:val="a0"/>
    <w:link w:val="a4"/>
    <w:uiPriority w:val="99"/>
    <w:rsid w:val="00325765"/>
    <w:rPr>
      <w:sz w:val="18"/>
      <w:szCs w:val="18"/>
    </w:rPr>
  </w:style>
  <w:style w:type="paragraph" w:styleId="a5">
    <w:name w:val="Revision"/>
    <w:hidden/>
    <w:uiPriority w:val="99"/>
    <w:semiHidden/>
    <w:rsid w:val="00734B0C"/>
    <w:rPr>
      <w:sz w:val="24"/>
      <w:szCs w:val="24"/>
    </w:rPr>
  </w:style>
  <w:style w:type="paragraph" w:styleId="a6">
    <w:name w:val="Balloon Text"/>
    <w:basedOn w:val="a"/>
    <w:link w:val="Char1"/>
    <w:rsid w:val="008A4F2A"/>
    <w:rPr>
      <w:sz w:val="18"/>
      <w:szCs w:val="18"/>
    </w:rPr>
  </w:style>
  <w:style w:type="character" w:customStyle="1" w:styleId="Char1">
    <w:name w:val="批注框文本 Char"/>
    <w:basedOn w:val="a0"/>
    <w:link w:val="a6"/>
    <w:rsid w:val="008A4F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4954</Words>
  <Characters>28240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15</cp:revision>
  <dcterms:created xsi:type="dcterms:W3CDTF">2022-04-25T20:28:00Z</dcterms:created>
  <dcterms:modified xsi:type="dcterms:W3CDTF">2022-05-12T13:34:00Z</dcterms:modified>
</cp:coreProperties>
</file>