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="Book Antiqua" w:hAnsi="Book Antiqua"/>
        </w:rPr>
      </w:pPr>
      <w:bookmarkStart w:id="0" w:name="_Hlk102206732"/>
      <w:bookmarkEnd w:id="0"/>
      <w:r>
        <w:rPr>
          <w:rFonts w:ascii="Book Antiqua" w:hAnsi="Book Antiqua" w:eastAsia="Book Antiqua" w:cs="Book Antiqua"/>
          <w:b/>
          <w:color w:val="000000"/>
        </w:rPr>
        <w:t xml:space="preserve">Name of Journal: </w:t>
      </w:r>
      <w:r>
        <w:rPr>
          <w:rFonts w:ascii="Book Antiqua" w:hAnsi="Book Antiqua" w:eastAsia="Book Antiqua" w:cs="Book Antiqua"/>
          <w:i/>
          <w:color w:val="000000"/>
        </w:rPr>
        <w:t>World Journal of Clinical Cases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olor w:val="000000"/>
        </w:rPr>
        <w:t xml:space="preserve">Manuscript NO: </w:t>
      </w:r>
      <w:r>
        <w:rPr>
          <w:rFonts w:ascii="Book Antiqua" w:hAnsi="Book Antiqua" w:eastAsia="Book Antiqua" w:cs="Book Antiqua"/>
          <w:color w:val="000000"/>
        </w:rPr>
        <w:t>70647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olor w:val="000000"/>
        </w:rPr>
        <w:t xml:space="preserve">Manuscript Type: </w:t>
      </w:r>
      <w:r>
        <w:rPr>
          <w:rFonts w:ascii="Book Antiqua" w:hAnsi="Book Antiqua" w:eastAsia="Book Antiqua" w:cs="Book Antiqua"/>
          <w:color w:val="000000"/>
        </w:rPr>
        <w:t>CASE REPORT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>Endoscopic ultrasound radiofrequency ablation of pancreatic insulinoma in elderly patients: Three case reports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 xml:space="preserve">Rossi G </w:t>
      </w:r>
      <w:r>
        <w:rPr>
          <w:rFonts w:ascii="Book Antiqua" w:hAnsi="Book Antiqua" w:eastAsia="Book Antiqua" w:cs="Book Antiqua"/>
          <w:i/>
          <w:iCs/>
          <w:color w:val="000000"/>
        </w:rPr>
        <w:t>et al</w:t>
      </w:r>
      <w:r>
        <w:rPr>
          <w:rFonts w:ascii="Book Antiqua" w:hAnsi="Book Antiqua" w:eastAsia="Book Antiqua" w:cs="Book Antiqua"/>
          <w:color w:val="000000"/>
        </w:rPr>
        <w:t>. EUS RFA of insulinoma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  <w:lang w:val="it-IT"/>
        </w:rPr>
      </w:pPr>
      <w:r>
        <w:rPr>
          <w:rFonts w:ascii="Book Antiqua" w:hAnsi="Book Antiqua" w:eastAsia="Book Antiqua" w:cs="Book Antiqua"/>
          <w:color w:val="000000"/>
          <w:lang w:val="it-IT"/>
        </w:rPr>
        <w:t>Gemma Rossi, Maria Chiara Petrone, Gabriele Capurso, Stefano Partelli, Massimo Falconi, Paolo Giorgio Arcidiacono</w:t>
      </w:r>
    </w:p>
    <w:p>
      <w:pPr>
        <w:spacing w:line="360" w:lineRule="auto"/>
        <w:jc w:val="both"/>
        <w:rPr>
          <w:rFonts w:ascii="Book Antiqua" w:hAnsi="Book Antiqua"/>
          <w:lang w:val="it-IT"/>
        </w:rPr>
      </w:pPr>
    </w:p>
    <w:p>
      <w:pPr>
        <w:spacing w:line="360" w:lineRule="auto"/>
        <w:jc w:val="both"/>
        <w:rPr>
          <w:rFonts w:ascii="Book Antiqua" w:hAnsi="Book Antiqua"/>
          <w:lang w:val="it-IT"/>
        </w:rPr>
      </w:pPr>
      <w:r>
        <w:rPr>
          <w:rFonts w:ascii="Book Antiqua" w:hAnsi="Book Antiqua" w:eastAsia="Book Antiqua" w:cs="Book Antiqua"/>
          <w:b/>
          <w:bCs/>
          <w:color w:val="000000"/>
          <w:lang w:val="it-IT"/>
        </w:rPr>
        <w:t xml:space="preserve">Gemma Rossi, Maria Chiara Petrone, Gabriele Capurso, Paolo Giorgio Arcidiacono, </w:t>
      </w:r>
      <w:r>
        <w:rPr>
          <w:rFonts w:ascii="Book Antiqua" w:hAnsi="Book Antiqua" w:eastAsia="Book Antiqua" w:cs="Book Antiqua"/>
          <w:color w:val="000000"/>
          <w:lang w:val="it-IT"/>
        </w:rPr>
        <w:t>Division of Pancreato-Biliary Endoscopy and Endosonography, Pancreas Translational and Clinical Research Center, San Raffaele Scientific Institute IRCCS, Vita-Salute San Raffaele University, Milano 20132, Italy</w:t>
      </w:r>
    </w:p>
    <w:p>
      <w:pPr>
        <w:spacing w:line="360" w:lineRule="auto"/>
        <w:jc w:val="both"/>
        <w:rPr>
          <w:rFonts w:ascii="Book Antiqua" w:hAnsi="Book Antiqua"/>
          <w:lang w:val="it-IT"/>
        </w:rPr>
      </w:pPr>
    </w:p>
    <w:p>
      <w:pPr>
        <w:spacing w:line="360" w:lineRule="auto"/>
        <w:jc w:val="both"/>
        <w:rPr>
          <w:rFonts w:ascii="Book Antiqua" w:hAnsi="Book Antiqua"/>
          <w:lang w:val="it-IT"/>
        </w:rPr>
      </w:pPr>
      <w:r>
        <w:rPr>
          <w:rFonts w:ascii="Book Antiqua" w:hAnsi="Book Antiqua" w:eastAsia="Book Antiqua" w:cs="Book Antiqua"/>
          <w:b/>
          <w:bCs/>
          <w:color w:val="000000"/>
          <w:lang w:val="it-IT"/>
        </w:rPr>
        <w:t xml:space="preserve">Stefano Partelli, Massimo Falconi, </w:t>
      </w:r>
      <w:r>
        <w:rPr>
          <w:rFonts w:ascii="Book Antiqua" w:hAnsi="Book Antiqua" w:eastAsia="Book Antiqua" w:cs="Book Antiqua"/>
          <w:color w:val="000000"/>
          <w:lang w:val="it-IT"/>
        </w:rPr>
        <w:t>Department of Pancreatic Surgery, Pancreas Translational and Clinical Research Center, San Raffaele Scientific Institute IRCCS, Vita-Salute San Raffaele University, Milano 20132, Italy</w:t>
      </w:r>
    </w:p>
    <w:p>
      <w:pPr>
        <w:spacing w:line="360" w:lineRule="auto"/>
        <w:jc w:val="both"/>
        <w:rPr>
          <w:rFonts w:ascii="Book Antiqua" w:hAnsi="Book Antiqua" w:eastAsia="Book Antiqua" w:cs="Book Antiqua"/>
          <w:color w:val="000000"/>
          <w:lang w:val="it-IT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Author contributions: </w:t>
      </w:r>
      <w:r>
        <w:rPr>
          <w:rFonts w:ascii="Book Antiqua" w:hAnsi="Book Antiqua" w:eastAsia="Book Antiqua" w:cs="Book Antiqua"/>
          <w:color w:val="000000"/>
        </w:rPr>
        <w:t>Rossi G, Petrone MC, Capurso G, Arcidiacono PG</w:t>
      </w:r>
      <w:r>
        <w:rPr>
          <w:rFonts w:ascii="Book Antiqua" w:hAnsi="Book Antiqua" w:eastAsia="Book Antiqua" w:cs="Book Antiqua"/>
          <w:i/>
          <w:iCs/>
          <w:color w:val="000000"/>
        </w:rPr>
        <w:t xml:space="preserve"> </w:t>
      </w:r>
      <w:r>
        <w:rPr>
          <w:rFonts w:ascii="Book Antiqua" w:hAnsi="Book Antiqua" w:eastAsia="Book Antiqua" w:cs="Book Antiqua"/>
          <w:iCs/>
          <w:color w:val="000000"/>
        </w:rPr>
        <w:t xml:space="preserve">made </w:t>
      </w:r>
      <w:r>
        <w:rPr>
          <w:rFonts w:ascii="Book Antiqua" w:hAnsi="Book Antiqua" w:eastAsia="Book Antiqua" w:cs="Book Antiqua"/>
          <w:color w:val="000000"/>
        </w:rPr>
        <w:t>substantial contributions to conception and design of the study, acquisition of data, or analysis and interpretation of data; Rossi G, Petrone MC, Capurso G, Partelli S, Falconi M, Arcidiacono PG drafted the article or made critical revisions related to important intellectual content of the manuscript; and all authors provided final approval of the version of the article to be published.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Corresponding author: Gabriele Capurso, MD, PhD, Chief Doctor, </w:t>
      </w:r>
      <w:r>
        <w:rPr>
          <w:rFonts w:ascii="Book Antiqua" w:hAnsi="Book Antiqua" w:eastAsia="Book Antiqua" w:cs="Book Antiqua"/>
          <w:color w:val="000000"/>
        </w:rPr>
        <w:t xml:space="preserve">Division of Pancreato-Biliary Endoscopy and Endosonography, Pancreas Translational and Clinical Research Center, San Raffaele Scientific Institute IRCCS, Vita-Salute San Raffaele University, </w:t>
      </w:r>
      <w:r>
        <w:rPr>
          <w:rFonts w:ascii="Book Antiqua" w:hAnsi="Book Antiqua" w:eastAsia="Book Antiqua" w:cs="Book Antiqua"/>
          <w:i/>
          <w:iCs/>
          <w:color w:val="000000"/>
        </w:rPr>
        <w:t>Via</w:t>
      </w:r>
      <w:r>
        <w:rPr>
          <w:rFonts w:ascii="Book Antiqua" w:hAnsi="Book Antiqua" w:eastAsia="Book Antiqua" w:cs="Book Antiqua"/>
          <w:color w:val="000000"/>
        </w:rPr>
        <w:t xml:space="preserve"> Olgettina 60, Milano 20132, Italy. capurso.gabriele@hsr.it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Received: </w:t>
      </w:r>
      <w:r>
        <w:rPr>
          <w:rFonts w:ascii="Book Antiqua" w:hAnsi="Book Antiqua" w:eastAsia="Book Antiqua" w:cs="Book Antiqua"/>
          <w:color w:val="000000"/>
        </w:rPr>
        <w:t>August 12, 2021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Revised: </w:t>
      </w:r>
      <w:r>
        <w:rPr>
          <w:rFonts w:ascii="Book Antiqua" w:hAnsi="Book Antiqua" w:eastAsia="Book Antiqua" w:cs="Book Antiqua"/>
          <w:color w:val="000000"/>
        </w:rPr>
        <w:t>October 16, 2021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Accepted: 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Published online: </w:t>
      </w:r>
    </w:p>
    <w:p>
      <w:pPr>
        <w:spacing w:line="360" w:lineRule="auto"/>
        <w:jc w:val="both"/>
        <w:rPr>
          <w:rFonts w:ascii="Book Antiqua" w:hAnsi="Book Antiqua" w:eastAsia="Book Antiqua" w:cs="Book Antiqua"/>
          <w:b/>
          <w:color w:val="000000"/>
        </w:rPr>
      </w:pPr>
    </w:p>
    <w:p>
      <w:pPr>
        <w:spacing w:line="360" w:lineRule="auto"/>
        <w:jc w:val="both"/>
        <w:rPr>
          <w:rFonts w:ascii="Book Antiqua" w:hAnsi="Book Antiqua" w:eastAsia="Book Antiqua" w:cs="Book Antiqua"/>
          <w:b/>
          <w:color w:val="000000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olor w:val="000000"/>
        </w:rPr>
        <w:t>Abstract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BACKGROUND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Endoscopic ultrasound (EUS)-guided radiofrequency ablation (RFA) has recently been proposed as a local treatment for functional pancreatic neuroendocrine neoplasms in patients unfit for surgery, in order to obtain clinical syndrome regression. Data on the safety and long-term effectiveness of this approach are scarce, and EUS-RFA procedures are not standardized.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CASE SUMMARY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The present case series reports 3 elderly patients with a pancreatic insulinoma and comorbidities, locally treated by EUS-guided RFA with clinical success in terms of hypoglycemic symptoms. RFA procedures were performed during deep sedation, under EUS control with a 19 G needle, an electrode 5-mm in size at a power of 30 W and multiple RFA applications during the same session in order to treat the whole area of the lesions. Immediate relief of symptoms was evident in 2 patients after the first EUS-RFA, while in the third patient a second endoscopic treatment was needed. All 3 patients are symptom-free without need of medications after 24 mo of follow-up with imaging follow-up showing no disease recurrence. A single adverse event of intraprocedural bleeding occurred, which was successfully treated endoscopically.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CONCLUSION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EUS-RFA represents an effective and safe alternative to surgery for the treatment of insulinomas in elderly patients at high surgical risk. However, larger multicenter studies with longer follow-up are needed in order to better assess its safety and clinical success.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Key Words: </w:t>
      </w:r>
      <w:r>
        <w:rPr>
          <w:rFonts w:ascii="Book Antiqua" w:hAnsi="Book Antiqua" w:eastAsia="Book Antiqua" w:cs="Book Antiqua"/>
          <w:color w:val="000000"/>
        </w:rPr>
        <w:t>Endoscopic ultrasound; Radiofrequency ablation; Insulinomas; Neuroendocrine neoplasms; Ablative therapies; Case report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 w:eastAsia="Book Antiqua" w:cs="Book Antiqua"/>
          <w:color w:val="000000"/>
        </w:rPr>
      </w:pPr>
      <w:r>
        <w:rPr>
          <w:rFonts w:hint="eastAsia" w:ascii="Book Antiqua" w:hAnsi="Book Antiqua" w:eastAsia="Book Antiqua" w:cs="Book Antiqua"/>
          <w:b/>
          <w:color w:val="000000"/>
        </w:rPr>
        <w:t>©</w:t>
      </w:r>
      <w:r>
        <w:rPr>
          <w:rFonts w:ascii="Book Antiqua" w:hAnsi="Book Antiqua" w:eastAsia="Book Antiqua" w:cs="Book Antiqua"/>
          <w:b/>
          <w:color w:val="000000"/>
        </w:rPr>
        <w:t>The</w:t>
      </w:r>
      <w:r>
        <w:rPr>
          <w:rFonts w:ascii="Book Antiqua" w:hAnsi="Book Antiqua" w:eastAsia="Book Antiqua" w:cs="Book Antiqua"/>
          <w:color w:val="000000"/>
        </w:rPr>
        <w:t xml:space="preserve"> </w:t>
      </w:r>
      <w:r>
        <w:rPr>
          <w:rFonts w:ascii="Book Antiqua" w:hAnsi="Book Antiqua" w:eastAsia="Book Antiqua" w:cs="Book Antiqua"/>
          <w:b/>
          <w:color w:val="000000"/>
        </w:rPr>
        <w:t>Author(s) 202</w:t>
      </w:r>
      <w:r>
        <w:rPr>
          <w:rFonts w:hint="eastAsia" w:ascii="Book Antiqua" w:hAnsi="Book Antiqua" w:cs="Book Antiqua"/>
          <w:b/>
          <w:color w:val="000000"/>
          <w:lang w:val="en-US" w:eastAsia="zh-CN"/>
        </w:rPr>
        <w:t>2</w:t>
      </w:r>
      <w:r>
        <w:rPr>
          <w:rFonts w:ascii="Book Antiqua" w:hAnsi="Book Antiqua" w:eastAsia="Book Antiqua" w:cs="Book Antiqua"/>
          <w:b/>
          <w:color w:val="000000"/>
        </w:rPr>
        <w:t xml:space="preserve">. </w:t>
      </w:r>
      <w:r>
        <w:rPr>
          <w:rFonts w:ascii="Book Antiqua" w:hAnsi="Book Antiqua" w:eastAsia="Book Antiqua" w:cs="Book Antiqua"/>
          <w:color w:val="000000"/>
        </w:rPr>
        <w:t>Published by Baishideng Publishing Group Inc. All rights reserved.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hint="eastAsia" w:ascii="Book Antiqua" w:hAnsi="Book Antiqua" w:eastAsia="Book Antiqua" w:cs="Book Antiqua"/>
          <w:color w:val="000000"/>
        </w:rPr>
      </w:pPr>
      <w:r>
        <w:rPr>
          <w:rFonts w:hint="eastAsia" w:ascii="Book Antiqua" w:hAnsi="Book Antiqua" w:eastAsia="宋体" w:cs="Book Antiqua"/>
          <w:b/>
          <w:bCs/>
          <w:color w:val="000000"/>
          <w:lang w:val="en-US" w:eastAsia="zh-CN"/>
        </w:rPr>
        <w:t>Citation</w:t>
      </w:r>
      <w:r>
        <w:rPr>
          <w:rFonts w:hint="eastAsia" w:ascii="Book Antiqua" w:hAnsi="Book Antiqua" w:eastAsia="宋体" w:cs="Book Antiqua"/>
          <w:color w:val="000000"/>
          <w:lang w:val="en-US" w:eastAsia="zh-CN"/>
        </w:rPr>
        <w:t xml:space="preserve">: </w:t>
      </w:r>
      <w:r>
        <w:rPr>
          <w:rFonts w:ascii="Book Antiqua" w:hAnsi="Book Antiqua" w:eastAsia="Book Antiqua" w:cs="Book Antiqua"/>
          <w:color w:val="000000"/>
          <w:lang w:val="it-IT"/>
        </w:rPr>
        <w:t xml:space="preserve">Rossi G, Petrone MC, Capurso G, Partelli S, Falconi M, Arcidiacono PG. </w:t>
      </w:r>
      <w:r>
        <w:rPr>
          <w:rFonts w:ascii="Book Antiqua" w:hAnsi="Book Antiqua" w:eastAsia="Book Antiqua" w:cs="Book Antiqua"/>
          <w:color w:val="000000"/>
        </w:rPr>
        <w:t xml:space="preserve">Endoscopic ultrasound radiofrequency ablation of pancreatic insulinoma in elderly patients: Three case reports. </w:t>
      </w:r>
      <w:r>
        <w:rPr>
          <w:rFonts w:ascii="Book Antiqua" w:hAnsi="Book Antiqua" w:eastAsia="Book Antiqua" w:cs="Book Antiqua"/>
          <w:i/>
          <w:iCs/>
          <w:color w:val="000000"/>
        </w:rPr>
        <w:t>World J Clin Cases</w:t>
      </w:r>
      <w:r>
        <w:rPr>
          <w:rFonts w:ascii="Book Antiqua" w:hAnsi="Book Antiqua" w:eastAsia="Book Antiqua" w:cs="Book Antiqua"/>
          <w:color w:val="000000"/>
        </w:rPr>
        <w:t xml:space="preserve"> 2022; </w:t>
      </w:r>
      <w:r>
        <w:rPr>
          <w:rFonts w:hint="eastAsia" w:ascii="Book Antiqua" w:hAnsi="Book Antiqua" w:eastAsia="Book Antiqua" w:cs="Book Antiqua"/>
          <w:color w:val="000000"/>
        </w:rPr>
        <w:t xml:space="preserve">10(19): </w:t>
      </w:r>
      <w:r>
        <w:rPr>
          <w:rFonts w:hint="default" w:ascii="Book Antiqua" w:hAnsi="Book Antiqua" w:eastAsia="Book Antiqua" w:cs="Book Antiqu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6514-6519</w:t>
      </w:r>
    </w:p>
    <w:p>
      <w:pPr>
        <w:spacing w:line="360" w:lineRule="auto"/>
        <w:jc w:val="both"/>
        <w:rPr>
          <w:rFonts w:hint="eastAsia" w:ascii="Book Antiqua" w:hAnsi="Book Antiqua" w:eastAsia="Book Antiqua" w:cs="Book Antiqua"/>
          <w:color w:val="000000"/>
        </w:rPr>
      </w:pPr>
      <w:r>
        <w:rPr>
          <w:rFonts w:hint="eastAsia" w:ascii="Book Antiqua" w:hAnsi="Book Antiqua" w:eastAsia="Book Antiqua" w:cs="Book Antiqua"/>
          <w:b/>
          <w:bCs/>
          <w:color w:val="000000"/>
        </w:rPr>
        <w:t>URL</w:t>
      </w:r>
      <w:r>
        <w:rPr>
          <w:rFonts w:hint="eastAsia" w:ascii="Book Antiqua" w:hAnsi="Book Antiqua" w:eastAsia="Book Antiqua" w:cs="Book Antiqua"/>
          <w:color w:val="000000"/>
        </w:rPr>
        <w:t>: https://www.wjgnet.com/2307-8960/full/v10/i19/</w:t>
      </w:r>
      <w:r>
        <w:rPr>
          <w:rFonts w:hint="default" w:ascii="Book Antiqua" w:hAnsi="Book Antiqua" w:eastAsia="Book Antiqua" w:cs="Book Antiqu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6514</w:t>
      </w:r>
      <w:r>
        <w:rPr>
          <w:rFonts w:hint="eastAsia" w:ascii="Book Antiqua" w:hAnsi="Book Antiqua" w:eastAsia="Book Antiqua" w:cs="Book Antiqua"/>
          <w:color w:val="000000"/>
        </w:rPr>
        <w:t xml:space="preserve">.htm </w:t>
      </w:r>
    </w:p>
    <w:p>
      <w:pPr>
        <w:spacing w:line="360" w:lineRule="auto"/>
        <w:jc w:val="both"/>
        <w:rPr>
          <w:rFonts w:hint="eastAsia" w:ascii="Book Antiqua" w:hAnsi="Book Antiqua" w:eastAsia="Book Antiqua" w:cs="Book Antiqua"/>
          <w:color w:val="000000"/>
        </w:rPr>
      </w:pPr>
      <w:r>
        <w:rPr>
          <w:rFonts w:hint="eastAsia" w:ascii="Book Antiqua" w:hAnsi="Book Antiqua" w:eastAsia="Book Antiqua" w:cs="Book Antiqua"/>
          <w:b/>
          <w:bCs/>
          <w:color w:val="000000"/>
        </w:rPr>
        <w:t>DOI</w:t>
      </w:r>
      <w:r>
        <w:rPr>
          <w:rFonts w:hint="eastAsia" w:ascii="Book Antiqua" w:hAnsi="Book Antiqua" w:eastAsia="Book Antiqua" w:cs="Book Antiqua"/>
          <w:color w:val="000000"/>
        </w:rPr>
        <w:t>: https://dx.doi.org/10.12998/wjcc.v10.i19.</w:t>
      </w:r>
      <w:r>
        <w:rPr>
          <w:rFonts w:hint="default" w:ascii="Book Antiqua" w:hAnsi="Book Antiqua" w:eastAsia="Book Antiqua" w:cs="Book Antiqu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6514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Core Tip: </w:t>
      </w:r>
      <w:r>
        <w:rPr>
          <w:rFonts w:ascii="Book Antiqua" w:hAnsi="Book Antiqua" w:eastAsia="Book Antiqua" w:cs="Book Antiqua"/>
          <w:color w:val="000000"/>
        </w:rPr>
        <w:t>Endoscopic ultrasound (EUS)-guided radiofrequency ablation (RFA) has been proposed as a local treatment for functional pancreatic neuroendocrine neoplasms in patients unfit for surgery. However, data on safety and long-term effectiveness are scarce and procedures are not standardized. The present case series reports 3 elderly patients with comorbidities diagnosed with a pancreatic insulinoma who received local treatment by EUS-guided RFA with a standardized protocol, with clinical success in terms of hypoglycemic symptoms over a relatively long follow-up. Effective EUS-RFA represents an alternative to surgery for the treatment of insulinoma in elderly patients at high surgical risk. However, larger multicenter studies with longer follow-up are needed in order to assess the safety and clinical success of this treatment.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aps/>
          <w:color w:val="000000"/>
          <w:u w:val="single"/>
        </w:rPr>
        <w:t>INTRODUCTION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The incidence of pancreatic neuroendocrine neoplasms (p-NENs) has increased over the last decades due to advances in imaging methods</w:t>
      </w:r>
      <w:r>
        <w:rPr>
          <w:rFonts w:ascii="Book Antiqua" w:hAnsi="Book Antiqua" w:eastAsia="Book Antiqua" w:cs="Book Antiqua"/>
          <w:color w:val="000000"/>
          <w:vertAlign w:val="superscript"/>
        </w:rPr>
        <w:t>[1]</w:t>
      </w:r>
      <w:r>
        <w:rPr>
          <w:rFonts w:ascii="Book Antiqua" w:hAnsi="Book Antiqua" w:eastAsia="Book Antiqua" w:cs="Book Antiqua"/>
          <w:color w:val="000000"/>
        </w:rPr>
        <w:t>. Non-functional p-NENs that were typically diagnosed at advanced stages when the volume of the lesions determined symptoms, are now often incidentally diagnosed as small (&lt; 2 cm) lesions and whether any treatment should be pursued is debatable</w:t>
      </w:r>
      <w:r>
        <w:rPr>
          <w:rFonts w:ascii="Book Antiqua" w:hAnsi="Book Antiqua" w:eastAsia="Book Antiqua" w:cs="Book Antiqua"/>
          <w:color w:val="000000"/>
          <w:vertAlign w:val="superscript"/>
        </w:rPr>
        <w:t>[2]</w:t>
      </w:r>
      <w:r>
        <w:rPr>
          <w:rFonts w:ascii="Book Antiqua" w:hAnsi="Book Antiqua" w:eastAsia="Book Antiqua" w:cs="Book Antiqua"/>
          <w:color w:val="000000"/>
        </w:rPr>
        <w:t>.</w:t>
      </w:r>
    </w:p>
    <w:p>
      <w:pPr>
        <w:spacing w:line="360" w:lineRule="auto"/>
        <w:ind w:firstLine="240" w:firstLineChars="100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Functional p-NENs (F-pNENs) are usually recognized at early stages, due to the presence of a specific syndrome</w:t>
      </w:r>
      <w:r>
        <w:rPr>
          <w:rFonts w:ascii="Book Antiqua" w:hAnsi="Book Antiqua" w:eastAsia="Book Antiqua" w:cs="Book Antiqua"/>
          <w:color w:val="000000"/>
          <w:vertAlign w:val="superscript"/>
        </w:rPr>
        <w:t>[3]</w:t>
      </w:r>
      <w:r>
        <w:rPr>
          <w:rFonts w:ascii="Book Antiqua" w:hAnsi="Book Antiqua" w:eastAsia="Book Antiqua" w:cs="Book Antiqua"/>
          <w:color w:val="000000"/>
        </w:rPr>
        <w:t>. Surgery is always indicated in symptomatic cases as the gold standard. However, given the high morbidity and mortality of pancreatic surgery, alternative treatments such as endoscopic ultrasound (EUS)-guided radiofrequency ablation (RFA) can be considered in order to obtain resolution of the syndrome in elderly patients with comorbidities and high surgical risks. The current literature</w:t>
      </w:r>
      <w:r>
        <w:rPr>
          <w:rFonts w:ascii="Book Antiqua" w:hAnsi="Book Antiqua" w:eastAsia="Book Antiqua" w:cs="Book Antiqua"/>
          <w:color w:val="000000"/>
          <w:vertAlign w:val="superscript"/>
        </w:rPr>
        <w:t xml:space="preserve">[4] </w:t>
      </w:r>
      <w:r>
        <w:rPr>
          <w:rFonts w:ascii="Book Antiqua" w:hAnsi="Book Antiqua" w:eastAsia="Book Antiqua" w:cs="Book Antiqua"/>
          <w:color w:val="000000"/>
        </w:rPr>
        <w:t>is scarce regarding data on EUS-RFA treatment of F-pNENs. Therefore, safety concerns remain and long-term data on the efficacy of this treatment are needed</w:t>
      </w:r>
      <w:r>
        <w:rPr>
          <w:rFonts w:ascii="Book Antiqua" w:hAnsi="Book Antiqua" w:eastAsia="Book Antiqua" w:cs="Book Antiqua"/>
          <w:color w:val="000000"/>
          <w:vertAlign w:val="superscript"/>
        </w:rPr>
        <w:t>[5]</w:t>
      </w:r>
      <w:r>
        <w:rPr>
          <w:rFonts w:ascii="Book Antiqua" w:hAnsi="Book Antiqua" w:eastAsia="Book Antiqua" w:cs="Book Antiqua"/>
          <w:color w:val="000000"/>
        </w:rPr>
        <w:t>. Moreover, specific RFA settings (particularly in terms of ablation power) are not standardized.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aps/>
          <w:color w:val="000000"/>
          <w:u w:val="single"/>
        </w:rPr>
        <w:t>CASE PRESENTATION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i/>
          <w:color w:val="000000"/>
        </w:rPr>
        <w:t>Chief complaints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This is a case series presenting data on the feasibility, safety and clinical efficacy of EUS-guided RFA to induce relief of the clinical syndrome in 3 elderly patients with symptomatic pancreatic insulinomas at high surgical risk.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i/>
          <w:color w:val="000000"/>
        </w:rPr>
        <w:t>History of present illness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Three elderly patients with symptomatic pancreatic insulinomas underwent a total of 4 EUS-RFA procedures performed after failure or limited control with medical treatments.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>Case 1</w:t>
      </w:r>
      <w:r>
        <w:rPr>
          <w:rFonts w:ascii="Book Antiqua" w:hAnsi="Book Antiqua"/>
          <w:b/>
          <w:bCs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eastAsia="Book Antiqua" w:cs="Book Antiqua"/>
          <w:color w:val="000000"/>
        </w:rPr>
        <w:t>An 84-year-old male patient had repeated episodes of syncope for 3 years, associated with blood glucose &lt; 20 mg/dL and neuroglycopenic symptoms with prompt relief of symptoms following the administration of glucose. The diagnosis of insulinoma was supported by a preoperative fasting test.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Case 2: </w:t>
      </w:r>
      <w:r>
        <w:rPr>
          <w:rFonts w:ascii="Book Antiqua" w:hAnsi="Book Antiqua" w:eastAsia="Book Antiqua" w:cs="Book Antiqua"/>
          <w:color w:val="000000"/>
        </w:rPr>
        <w:t>An 82-year-old male patient, with 2 previous episodes of syncope and marked hypoglycemia (glucose = 38 and 32 mg/dL) was referred to our center. A fasting test confirmed the diagnosis of insulinoma with glucose and C-peptide levels (glucose 40 mg/dL, C-peptide 0.7 ng/mL).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Case 3: </w:t>
      </w:r>
      <w:r>
        <w:rPr>
          <w:rFonts w:ascii="Book Antiqua" w:hAnsi="Book Antiqua" w:eastAsia="Book Antiqua" w:cs="Book Antiqua"/>
          <w:color w:val="000000"/>
        </w:rPr>
        <w:t>An 84-year-old female patient was referred to our center after two years of symptomatic hypoglycemic episodes (glucose &lt; 30 mg/dL). A fasting test was suggestive of pancreatic insulinoma, with neuroglycopenic symptoms after fasting associated with levels of glucose 30 mg/dL and C-peptide 0.9 ng/mL (normal values: 1.1-4.4 ng/mL).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i/>
          <w:color w:val="000000"/>
        </w:rPr>
        <w:t>History of past illness</w:t>
      </w:r>
    </w:p>
    <w:p>
      <w:pPr>
        <w:spacing w:line="360" w:lineRule="auto"/>
        <w:jc w:val="both"/>
        <w:rPr>
          <w:rFonts w:ascii="Book Antiqua" w:hAnsi="Book Antiqua" w:eastAsia="Book Antiqua" w:cs="Book Antiqua"/>
          <w:color w:val="000000"/>
        </w:rPr>
      </w:pPr>
      <w:r>
        <w:rPr>
          <w:rFonts w:ascii="Book Antiqua" w:hAnsi="Book Antiqua" w:eastAsia="Book Antiqua" w:cs="Book Antiqua"/>
          <w:b/>
          <w:bCs/>
          <w:color w:val="000000"/>
        </w:rPr>
        <w:t>Case 1:</w:t>
      </w:r>
      <w:r>
        <w:rPr>
          <w:rFonts w:ascii="Book Antiqua" w:hAnsi="Book Antiqua" w:eastAsia="Book Antiqua" w:cs="Book Antiqua"/>
          <w:color w:val="000000"/>
        </w:rPr>
        <w:t xml:space="preserve"> The patient had chronic renal failure and severe ischemic heart disease.</w:t>
      </w:r>
    </w:p>
    <w:p>
      <w:pPr>
        <w:spacing w:line="360" w:lineRule="auto"/>
        <w:jc w:val="both"/>
        <w:rPr>
          <w:rFonts w:ascii="Book Antiqua" w:hAnsi="Book Antiqua" w:eastAsia="Book Antiqua" w:cs="Book Antiqua"/>
          <w:color w:val="000000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>Case 2 and case 3:</w:t>
      </w:r>
      <w:r>
        <w:rPr>
          <w:rFonts w:ascii="Book Antiqua" w:hAnsi="Book Antiqua" w:eastAsia="Book Antiqua" w:cs="Book Antiqua"/>
          <w:color w:val="000000"/>
        </w:rPr>
        <w:t xml:space="preserve"> These 2 patients were affected by severe chronic obstructive pneumopathy disease.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i/>
          <w:color w:val="000000"/>
        </w:rPr>
        <w:t>Personal and family history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No family history of NENs was present in these cases.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i/>
          <w:color w:val="000000"/>
        </w:rPr>
        <w:t>Physical examination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Case 1 had moderate obesity. The other two patients did not present specific signs at physical examination.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i/>
          <w:color w:val="000000"/>
        </w:rPr>
        <w:t>Laboratory examinations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All three patients had consistent and constant neuroglycopenic symptoms and diagnosis was supported by elevated insulin, C-peptide and proinsulin blood levels at the preoperative fasting test. The same plasma markers were monitored after EUS-guided RFA to support the relief of hypoglycemic symptoms and clinical syndrome.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i/>
          <w:color w:val="000000"/>
        </w:rPr>
        <w:t>Imaging examinations</w:t>
      </w:r>
    </w:p>
    <w:p>
      <w:pPr>
        <w:spacing w:line="360" w:lineRule="auto"/>
        <w:jc w:val="both"/>
        <w:rPr>
          <w:rFonts w:ascii="Book Antiqua" w:hAnsi="Book Antiqua" w:eastAsia="Book Antiqua" w:cs="Book Antiqua"/>
          <w:color w:val="000000"/>
        </w:rPr>
      </w:pPr>
      <w:r>
        <w:rPr>
          <w:rFonts w:ascii="Book Antiqua" w:hAnsi="Book Antiqua" w:eastAsia="Book Antiqua" w:cs="Book Antiqua"/>
          <w:color w:val="000000"/>
        </w:rPr>
        <w:t>All the patients underwent magnetic resonance imaging (MRI) with administration of contrast medium and the lesions were diagnosed as likely p-NENs ranging in size from 9 to 14 mm.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aps/>
          <w:color w:val="000000"/>
          <w:u w:val="single"/>
        </w:rPr>
        <w:t>MULTIDISCIPLINARY EXPERT CONSULTATION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The patients were referred to our multidisciplinary neuroendocrine tumor board, and due to their age and comorbidities it was decided to treat the lesions with EUS-RFA at the Hospital’s Endosonography Unit.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aps/>
          <w:color w:val="000000"/>
          <w:u w:val="single"/>
        </w:rPr>
        <w:t>FINAL DIAGNOSIS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A cytological diagnosis of insulinoma was obtained with EUS-FNA in case 2. In case 1 and case 3 the clinical, biochemical and radiological findings were considered typical for insulinoma and multidisciplinary evaluation considered biopsies unnecessary as cited in international guidelines</w:t>
      </w:r>
      <w:r>
        <w:rPr>
          <w:rFonts w:ascii="Book Antiqua" w:hAnsi="Book Antiqua" w:eastAsia="Book Antiqua" w:cs="Book Antiqua"/>
          <w:color w:val="000000"/>
          <w:vertAlign w:val="superscript"/>
        </w:rPr>
        <w:t>[2,6]</w:t>
      </w:r>
      <w:r>
        <w:rPr>
          <w:rFonts w:ascii="Book Antiqua" w:hAnsi="Book Antiqua" w:eastAsia="Book Antiqua" w:cs="Book Antiqua"/>
          <w:color w:val="000000"/>
        </w:rPr>
        <w:t>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aps/>
          <w:color w:val="000000"/>
          <w:u w:val="single"/>
        </w:rPr>
        <w:t>TREATMENT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During the endoscopic procedure the patients underwent deep sedation and were placed in the left lateral position. In each case, RFA was delivered by a 19-gauge needle (EUSRA; STARmed Co., Ltd., Goyang, Korea), with a 5 mm-active monopolar electrode on the distal part of the probe (delivering the ablation). The needle was inserted in the operative channel of a therapeutic EUS-scope (Pentax EG-3870UTK or Pentax 38J10UT), connected to an ultrasound platform (Hitachi Arietta 750 or Hitachi Arietta 850). The needle was also connected to a RFA generator (VIVA; STARmed Co., Ltd., Goyang, Korea) delivering the thermal energy to ablate the lesions and was also connected to a peristaltic pump infusing cold saline solution (at 0 °C, to avoid tissue charring around the probe, maximizing the lesion ablation volume). Figure 1 describes the RFA system. The generator was set at 30 W of power in all procedures and treatment was applied for different times depending on tissue impedance (system was stopped at impedance &gt; 500 Ω, resulting in an ineffective treatment), until a complete “cloud effect” was obtained in the lesion area (multiple RFA applications were performed during the same endoscopic session). Each patient underwent a computed tomography (CT) scan 24-72 h after the RFA procedure, in order to assess the size of the necrotic area inside the lesions and exclude complications.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  <w:i/>
          <w:iCs/>
          <w:lang w:eastAsia="zh-CN"/>
        </w:rPr>
      </w:pPr>
      <w:r>
        <w:rPr>
          <w:rFonts w:ascii="Book Antiqua" w:hAnsi="Book Antiqua" w:eastAsia="Book Antiqua" w:cs="Book Antiqua"/>
          <w:b/>
          <w:bCs/>
          <w:i/>
          <w:iCs/>
          <w:color w:val="000000"/>
        </w:rPr>
        <w:t>Case 1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One single endoscopic session was conducted with 4 subsequent EUS-RFA applications at 3 W for 12-16-12-10 s each and stopped when the impedance increased.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  <w:i/>
          <w:iCs/>
        </w:rPr>
      </w:pPr>
      <w:r>
        <w:rPr>
          <w:rFonts w:ascii="Book Antiqua" w:hAnsi="Book Antiqua" w:eastAsia="Book Antiqua" w:cs="Book Antiqua"/>
          <w:b/>
          <w:bCs/>
          <w:i/>
          <w:iCs/>
          <w:color w:val="000000"/>
        </w:rPr>
        <w:t>Case 2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A first RFA procedure was performed with 3 applications lasting 20, 15 and 15 s each at a power of 30 W. Complete relief of symptoms was not obtained, while a 72-h CT scan showed a 7 mm hypodense necrotic area. Blood tests were consistent with ablation failure. A second EUS-RFA session was performed after 1 mo. Four RFA applications were carried out for 10, 8, 6, and 8 s, respectively, until complete covering of the pancreatic insulinoma by a hyperechoic cloud was observed. Possibly due to the proximity between the lesion and gastroduodenal artery (Figure 2A), immediate post-procedural bleeding was endoscopically evidenced with a submucosal hematoma located at the superior duodenal genus, due to a side-branch artery injury. Bleeding was immediately treated by mechanical (metallic clip) and injective (adrenalin dilution: 1:10000) hemostatic therapy with success (Figure 2B).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  <w:i/>
          <w:iCs/>
        </w:rPr>
      </w:pPr>
      <w:r>
        <w:rPr>
          <w:rFonts w:ascii="Book Antiqua" w:hAnsi="Book Antiqua" w:eastAsia="Book Antiqua" w:cs="Book Antiqua"/>
          <w:b/>
          <w:bCs/>
          <w:i/>
          <w:iCs/>
          <w:color w:val="000000"/>
        </w:rPr>
        <w:t>Case 3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The procedure was performed by 3 applications lasting 6 s each at the standard power of 30 W.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aps/>
          <w:color w:val="000000"/>
          <w:u w:val="single"/>
        </w:rPr>
        <w:t>OUTCOME AND FOLLOW-UP</w:t>
      </w:r>
    </w:p>
    <w:p>
      <w:pPr>
        <w:spacing w:line="360" w:lineRule="auto"/>
        <w:jc w:val="both"/>
        <w:rPr>
          <w:rFonts w:ascii="Book Antiqua" w:hAnsi="Book Antiqua"/>
          <w:i/>
          <w:iCs/>
        </w:rPr>
      </w:pPr>
      <w:r>
        <w:rPr>
          <w:rFonts w:ascii="Book Antiqua" w:hAnsi="Book Antiqua" w:eastAsia="Book Antiqua" w:cs="Book Antiqua"/>
          <w:b/>
          <w:bCs/>
          <w:i/>
          <w:iCs/>
          <w:color w:val="000000"/>
        </w:rPr>
        <w:t>Case 1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No immediate or late complications occurred and immediate clinical success with syndrome relief was obtained. A CT scan performed 48-h after the procedure showed a 14 mm hypodense necrotic area in the pancreatic tail, as the outcome of the procedure. A subsequent diagnostic EUS performed after 3 mo, showed a total non-vascularized 12 mm area on contrast enhancement (Sonovue</w:t>
      </w:r>
      <w:r>
        <w:rPr>
          <w:rFonts w:ascii="Book Antiqua" w:hAnsi="Book Antiqua" w:eastAsia="Book Antiqua" w:cs="Book Antiqua"/>
          <w:color w:val="000000"/>
          <w:vertAlign w:val="superscript"/>
        </w:rPr>
        <w:t>®</w:t>
      </w:r>
      <w:r>
        <w:rPr>
          <w:rFonts w:ascii="Book Antiqua" w:hAnsi="Book Antiqua" w:eastAsia="Book Antiqua" w:cs="Book Antiqua"/>
          <w:color w:val="000000"/>
        </w:rPr>
        <w:t>, Bracco) at the site of the previous RFA (Video). The patient is still asymptomatic (with mild hyperglycemia), after 27-mo of clinical follow-up. No further radiological examinations were performed due to chronic renal failure and related-risks of CT or MRI-contrast medium administration.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  <w:i/>
          <w:iCs/>
        </w:rPr>
      </w:pPr>
      <w:r>
        <w:rPr>
          <w:rFonts w:ascii="Book Antiqua" w:hAnsi="Book Antiqua" w:eastAsia="Book Antiqua" w:cs="Book Antiqua"/>
          <w:b/>
          <w:bCs/>
          <w:i/>
          <w:iCs/>
          <w:color w:val="000000"/>
        </w:rPr>
        <w:t>Case 2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The patient showed relief of hypoglycemic symptoms immediately after the second procedure with normalization of glucose blood levels. A CT scan performed 72 h after RFA revealed an 8-mm hypodense necrotic area at the site of the lesion, without evidence of bleeding (Figure 2C). The patient refused further radiological follow-up and complete symptom relief persists at 24 mo with normalization of biochemical tests.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  <w:i/>
          <w:iCs/>
        </w:rPr>
      </w:pPr>
      <w:r>
        <w:rPr>
          <w:rFonts w:ascii="Book Antiqua" w:hAnsi="Book Antiqua" w:eastAsia="Book Antiqua" w:cs="Book Antiqua"/>
          <w:b/>
          <w:bCs/>
          <w:i/>
          <w:iCs/>
          <w:color w:val="000000"/>
        </w:rPr>
        <w:t>Case 3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A CT scan with contrast enhancement was performed 72 h after RFA and confirmed the presence of a 13-mm necrotic area inside the lesion, and complete relief from hypoglycemic symptoms was obtained. After 15 mo the patient remains asymptomatic without the need for treatment. A contrast-enhanced MRI performed 14 mo after the procedure confirmed the complete disappearance of the treated lesion in the pancreatic body.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aps/>
          <w:color w:val="000000"/>
          <w:u w:val="single"/>
        </w:rPr>
        <w:t>DISCUSSION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EUS-RFA represents a potentially useful and safe option to treat insulinomas and related symptoms in patients at high surgical risk, especially in cases of pancreatic head/neck lesions, requiring a Whipple resection. EUS-RFA is relatively safe, although specific care needs to be paid to the bleeding risk of such hypervascularized lesions. Usually RFA-related complications can be endoscopically treated by a highly experienced endoscopist. In the present series, EUS-RFA led to symptom relief during a relatively long follow-up, with a single endoscopic session in 2 patients and 2 endoscopic sessions in the remaining patient. Notably, while most of the published case series on this topic did not present specific and standardized ablation settings</w:t>
      </w:r>
      <w:r>
        <w:rPr>
          <w:rFonts w:ascii="Book Antiqua" w:hAnsi="Book Antiqua" w:eastAsia="Book Antiqua" w:cs="Book Antiqua"/>
          <w:color w:val="000000"/>
          <w:vertAlign w:val="superscript"/>
        </w:rPr>
        <w:t>[7-10]</w:t>
      </w:r>
      <w:r>
        <w:rPr>
          <w:rFonts w:ascii="Book Antiqua" w:hAnsi="Book Antiqua" w:eastAsia="Book Antiqua" w:cs="Book Antiqua"/>
          <w:color w:val="000000"/>
        </w:rPr>
        <w:t xml:space="preserve">, in the present study we standardized the setting of the ablation power in line with previous </w:t>
      </w:r>
      <w:r>
        <w:rPr>
          <w:rFonts w:ascii="Book Antiqua" w:hAnsi="Book Antiqua" w:eastAsia="Book Antiqua" w:cs="Book Antiqua"/>
          <w:i/>
          <w:iCs/>
          <w:color w:val="000000"/>
        </w:rPr>
        <w:t>ex-vivo</w:t>
      </w:r>
      <w:r>
        <w:rPr>
          <w:rFonts w:ascii="Book Antiqua" w:hAnsi="Book Antiqua" w:eastAsia="Book Antiqua" w:cs="Book Antiqua"/>
          <w:color w:val="000000"/>
        </w:rPr>
        <w:t xml:space="preserve"> animal</w:t>
      </w:r>
      <w:r>
        <w:rPr>
          <w:rFonts w:ascii="Book Antiqua" w:hAnsi="Book Antiqua" w:eastAsia="Book Antiqua" w:cs="Book Antiqua"/>
          <w:color w:val="000000"/>
          <w:vertAlign w:val="superscript"/>
        </w:rPr>
        <w:t>[11]</w:t>
      </w:r>
      <w:r>
        <w:rPr>
          <w:rFonts w:ascii="Book Antiqua" w:hAnsi="Book Antiqua" w:eastAsia="Book Antiqua" w:cs="Book Antiqua"/>
          <w:color w:val="000000"/>
        </w:rPr>
        <w:t xml:space="preserve"> and human studies (unpublished data), with the application of 30 W and stopping energy delivery when tissue impedance increased. All 3 patients are symptom-free after more than 12 mo of clinical and biochemical follow-up and the lesion is no longer visible after 14 mo in one of the patients who underwent radiological examination.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aps/>
          <w:color w:val="000000"/>
          <w:u w:val="single"/>
        </w:rPr>
        <w:t>CONCLUSION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Larger multicenter studies with a longer and standardized follow-up are needed in order to confirm the safety and long-term clinical success of EUS-RFA in patients with p-NENs. The results of a large ongoing multicenter study endorsed by the European Neuroendocrine Tumour Society are eagerly awaited (</w:t>
      </w:r>
      <w:r>
        <w:rPr>
          <w:rFonts w:ascii="Book Antiqua" w:hAnsi="Book Antiqua" w:eastAsia="Book Antiqua" w:cs="Book Antiqua"/>
          <w:color w:val="000000"/>
          <w:shd w:val="clear" w:color="auto" w:fill="FFFFFF"/>
        </w:rPr>
        <w:t>ClinicalTrials.gov Identifier: NCT03834701)</w:t>
      </w:r>
      <w:r>
        <w:rPr>
          <w:rFonts w:ascii="Book Antiqua" w:hAnsi="Book Antiqua" w:eastAsia="Book Antiqua" w:cs="Book Antiqua"/>
          <w:color w:val="000000"/>
        </w:rPr>
        <w:t>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olor w:val="000000"/>
        </w:rPr>
        <w:t>REFERENCES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 xml:space="preserve">1 </w:t>
      </w:r>
      <w:r>
        <w:rPr>
          <w:rFonts w:ascii="Book Antiqua" w:hAnsi="Book Antiqua" w:eastAsia="Book Antiqua" w:cs="Book Antiqua"/>
          <w:b/>
          <w:bCs/>
          <w:color w:val="000000"/>
        </w:rPr>
        <w:t>Fitzgerald TL</w:t>
      </w:r>
      <w:r>
        <w:rPr>
          <w:rFonts w:ascii="Book Antiqua" w:hAnsi="Book Antiqua" w:eastAsia="Book Antiqua" w:cs="Book Antiqua"/>
          <w:color w:val="000000"/>
        </w:rPr>
        <w:t xml:space="preserve">, Hickner ZJ, Schmitz M, Kort EJ. Changing incidence of pancreatic neoplasms: a 16-year review of statewide tumor registry. </w:t>
      </w:r>
      <w:r>
        <w:rPr>
          <w:rFonts w:ascii="Book Antiqua" w:hAnsi="Book Antiqua" w:eastAsia="Book Antiqua" w:cs="Book Antiqua"/>
          <w:i/>
          <w:iCs/>
          <w:color w:val="000000"/>
        </w:rPr>
        <w:t>Pancreas</w:t>
      </w:r>
      <w:r>
        <w:rPr>
          <w:rFonts w:ascii="Book Antiqua" w:hAnsi="Book Antiqua" w:eastAsia="Book Antiqua" w:cs="Book Antiqua"/>
          <w:color w:val="000000"/>
        </w:rPr>
        <w:t xml:space="preserve"> 2008; </w:t>
      </w:r>
      <w:r>
        <w:rPr>
          <w:rFonts w:ascii="Book Antiqua" w:hAnsi="Book Antiqua" w:eastAsia="Book Antiqua" w:cs="Book Antiqua"/>
          <w:b/>
          <w:bCs/>
          <w:color w:val="000000"/>
        </w:rPr>
        <w:t>37</w:t>
      </w:r>
      <w:r>
        <w:rPr>
          <w:rFonts w:ascii="Book Antiqua" w:hAnsi="Book Antiqua" w:eastAsia="Book Antiqua" w:cs="Book Antiqua"/>
          <w:color w:val="000000"/>
        </w:rPr>
        <w:t>: 134-138 [PMID: 18665072 DOI: 10.1097/MPA.0b013e318163a329]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 xml:space="preserve">2 </w:t>
      </w:r>
      <w:r>
        <w:rPr>
          <w:rFonts w:ascii="Book Antiqua" w:hAnsi="Book Antiqua" w:eastAsia="Book Antiqua" w:cs="Book Antiqua"/>
          <w:b/>
          <w:bCs/>
          <w:color w:val="000000"/>
        </w:rPr>
        <w:t>Falconi M</w:t>
      </w:r>
      <w:r>
        <w:rPr>
          <w:rFonts w:ascii="Book Antiqua" w:hAnsi="Book Antiqua" w:eastAsia="Book Antiqua" w:cs="Book Antiqua"/>
          <w:color w:val="000000"/>
        </w:rPr>
        <w:t xml:space="preserve">, Eriksson B, Kaltsas G, Bartsch DK, Capdevila J, Caplin M, Kos-Kudla B, Kwekkeboom D, Rindi G, Klöppel G, Reed N, Kianmanesh R, Jensen RT; Vienna Consensus Conference participants. ENETS Consensus Guidelines Update for the Management of Patients with Functional Pancreatic Neuroendocrine Tumors and Non-Functional Pancreatic Neuroendocrine Tumors. </w:t>
      </w:r>
      <w:r>
        <w:rPr>
          <w:rFonts w:ascii="Book Antiqua" w:hAnsi="Book Antiqua" w:eastAsia="Book Antiqua" w:cs="Book Antiqua"/>
          <w:i/>
          <w:iCs/>
          <w:color w:val="000000"/>
        </w:rPr>
        <w:t>Neuroendocrinology</w:t>
      </w:r>
      <w:r>
        <w:rPr>
          <w:rFonts w:ascii="Book Antiqua" w:hAnsi="Book Antiqua" w:eastAsia="Book Antiqua" w:cs="Book Antiqua"/>
          <w:color w:val="000000"/>
        </w:rPr>
        <w:t xml:space="preserve"> 2016; </w:t>
      </w:r>
      <w:r>
        <w:rPr>
          <w:rFonts w:ascii="Book Antiqua" w:hAnsi="Book Antiqua" w:eastAsia="Book Antiqua" w:cs="Book Antiqua"/>
          <w:b/>
          <w:bCs/>
          <w:color w:val="000000"/>
        </w:rPr>
        <w:t>103</w:t>
      </w:r>
      <w:r>
        <w:rPr>
          <w:rFonts w:ascii="Book Antiqua" w:hAnsi="Book Antiqua" w:eastAsia="Book Antiqua" w:cs="Book Antiqua"/>
          <w:color w:val="000000"/>
        </w:rPr>
        <w:t>: 153-171 [PMID: 26742109 DOI: 10.1159/000443171]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 xml:space="preserve">3 </w:t>
      </w:r>
      <w:r>
        <w:rPr>
          <w:rFonts w:ascii="Book Antiqua" w:hAnsi="Book Antiqua" w:eastAsia="Book Antiqua" w:cs="Book Antiqua"/>
          <w:b/>
          <w:bCs/>
          <w:color w:val="000000"/>
        </w:rPr>
        <w:t>Lee DW</w:t>
      </w:r>
      <w:r>
        <w:rPr>
          <w:rFonts w:ascii="Book Antiqua" w:hAnsi="Book Antiqua" w:eastAsia="Book Antiqua" w:cs="Book Antiqua"/>
          <w:color w:val="000000"/>
        </w:rPr>
        <w:t xml:space="preserve">, Kim MK, Kim HG. Diagnosis of Pancreatic Neuroendocrine Tumors. </w:t>
      </w:r>
      <w:r>
        <w:rPr>
          <w:rFonts w:ascii="Book Antiqua" w:hAnsi="Book Antiqua" w:eastAsia="Book Antiqua" w:cs="Book Antiqua"/>
          <w:i/>
          <w:iCs/>
          <w:color w:val="000000"/>
        </w:rPr>
        <w:t>Clin Endosc</w:t>
      </w:r>
      <w:r>
        <w:rPr>
          <w:rFonts w:ascii="Book Antiqua" w:hAnsi="Book Antiqua" w:eastAsia="Book Antiqua" w:cs="Book Antiqua"/>
          <w:color w:val="000000"/>
        </w:rPr>
        <w:t xml:space="preserve"> 2017; </w:t>
      </w:r>
      <w:r>
        <w:rPr>
          <w:rFonts w:ascii="Book Antiqua" w:hAnsi="Book Antiqua" w:eastAsia="Book Antiqua" w:cs="Book Antiqua"/>
          <w:b/>
          <w:bCs/>
          <w:color w:val="000000"/>
        </w:rPr>
        <w:t>50</w:t>
      </w:r>
      <w:r>
        <w:rPr>
          <w:rFonts w:ascii="Book Antiqua" w:hAnsi="Book Antiqua" w:eastAsia="Book Antiqua" w:cs="Book Antiqua"/>
          <w:color w:val="000000"/>
        </w:rPr>
        <w:t>: 537-545 [PMID: 29207856 DOI: 10.5946/ce.2017.131]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 xml:space="preserve">4 </w:t>
      </w:r>
      <w:r>
        <w:rPr>
          <w:rFonts w:ascii="Book Antiqua" w:hAnsi="Book Antiqua" w:eastAsia="Book Antiqua" w:cs="Book Antiqua"/>
          <w:b/>
          <w:bCs/>
          <w:color w:val="000000"/>
        </w:rPr>
        <w:t>Imperatore N</w:t>
      </w:r>
      <w:r>
        <w:rPr>
          <w:rFonts w:ascii="Book Antiqua" w:hAnsi="Book Antiqua" w:eastAsia="Book Antiqua" w:cs="Book Antiqua"/>
          <w:color w:val="000000"/>
        </w:rPr>
        <w:t xml:space="preserve">, de Nucci G, Mandelli ED, de Leone A, Zito FP, Lombardi G, Manes G. Endoscopic ultrasound-guided radiofrequency ablation of pancreatic neuroendocrine tumors: a systematic review of the literature. </w:t>
      </w:r>
      <w:r>
        <w:rPr>
          <w:rFonts w:ascii="Book Antiqua" w:hAnsi="Book Antiqua" w:eastAsia="Book Antiqua" w:cs="Book Antiqua"/>
          <w:i/>
          <w:iCs/>
          <w:color w:val="000000"/>
        </w:rPr>
        <w:t>Endosc Int Open</w:t>
      </w:r>
      <w:r>
        <w:rPr>
          <w:rFonts w:ascii="Book Antiqua" w:hAnsi="Book Antiqua" w:eastAsia="Book Antiqua" w:cs="Book Antiqua"/>
          <w:color w:val="000000"/>
        </w:rPr>
        <w:t xml:space="preserve"> 2020; </w:t>
      </w:r>
      <w:r>
        <w:rPr>
          <w:rFonts w:ascii="Book Antiqua" w:hAnsi="Book Antiqua" w:eastAsia="Book Antiqua" w:cs="Book Antiqua"/>
          <w:b/>
          <w:bCs/>
          <w:color w:val="000000"/>
        </w:rPr>
        <w:t>8</w:t>
      </w:r>
      <w:r>
        <w:rPr>
          <w:rFonts w:ascii="Book Antiqua" w:hAnsi="Book Antiqua" w:eastAsia="Book Antiqua" w:cs="Book Antiqua"/>
          <w:color w:val="000000"/>
        </w:rPr>
        <w:t>: E1759-E1764 [PMID: 33269308 DOI: 10.1055/a-1261-9605]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 xml:space="preserve">5 </w:t>
      </w:r>
      <w:r>
        <w:rPr>
          <w:rFonts w:ascii="Book Antiqua" w:hAnsi="Book Antiqua" w:eastAsia="Book Antiqua" w:cs="Book Antiqua"/>
          <w:b/>
          <w:bCs/>
          <w:color w:val="000000"/>
        </w:rPr>
        <w:t>Larghi A</w:t>
      </w:r>
      <w:r>
        <w:rPr>
          <w:rFonts w:ascii="Book Antiqua" w:hAnsi="Book Antiqua" w:eastAsia="Book Antiqua" w:cs="Book Antiqua"/>
          <w:color w:val="000000"/>
        </w:rPr>
        <w:t xml:space="preserve">, Rizzatti G, Rimbaş M, Crino SF, Gasbarrini A, Costamagna G. EUS-guided radiofrequency ablation as an alternative to surgery for pancreatic neuroendocrine neoplasms: Who should we treat? </w:t>
      </w:r>
      <w:r>
        <w:rPr>
          <w:rFonts w:ascii="Book Antiqua" w:hAnsi="Book Antiqua" w:eastAsia="Book Antiqua" w:cs="Book Antiqua"/>
          <w:i/>
          <w:iCs/>
          <w:color w:val="000000"/>
        </w:rPr>
        <w:t>Endosc Ultrasound</w:t>
      </w:r>
      <w:r>
        <w:rPr>
          <w:rFonts w:ascii="Book Antiqua" w:hAnsi="Book Antiqua" w:eastAsia="Book Antiqua" w:cs="Book Antiqua"/>
          <w:color w:val="000000"/>
        </w:rPr>
        <w:t xml:space="preserve"> 2019; </w:t>
      </w:r>
      <w:r>
        <w:rPr>
          <w:rFonts w:ascii="Book Antiqua" w:hAnsi="Book Antiqua" w:eastAsia="Book Antiqua" w:cs="Book Antiqua"/>
          <w:b/>
          <w:bCs/>
          <w:color w:val="000000"/>
        </w:rPr>
        <w:t>8</w:t>
      </w:r>
      <w:r>
        <w:rPr>
          <w:rFonts w:ascii="Book Antiqua" w:hAnsi="Book Antiqua" w:eastAsia="Book Antiqua" w:cs="Book Antiqua"/>
          <w:color w:val="000000"/>
        </w:rPr>
        <w:t>: 220-226 [PMID: 31249164 DOI: 10.4103/eus.eus_28_19]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 xml:space="preserve">6 </w:t>
      </w:r>
      <w:r>
        <w:rPr>
          <w:rFonts w:ascii="Book Antiqua" w:hAnsi="Book Antiqua" w:eastAsia="Book Antiqua" w:cs="Book Antiqua"/>
          <w:b/>
          <w:bCs/>
          <w:color w:val="000000"/>
        </w:rPr>
        <w:t>Jensen RT</w:t>
      </w:r>
      <w:r>
        <w:rPr>
          <w:rFonts w:ascii="Book Antiqua" w:hAnsi="Book Antiqua" w:eastAsia="Book Antiqua" w:cs="Book Antiqua"/>
          <w:color w:val="000000"/>
        </w:rPr>
        <w:t xml:space="preserve">, Cadiot G, Brandi ML, de Herder WW, Kaltsas G, Komminoth P, Scoazec JY, Salazar R, Sauvanet A, Kianmanesh R; Barcelona Consensus Conference participants. ENETS Consensus Guidelines for the management of patients with digestive neuroendocrine neoplasms: functional pancreatic endocrine tumor syndromes. </w:t>
      </w:r>
      <w:r>
        <w:rPr>
          <w:rFonts w:ascii="Book Antiqua" w:hAnsi="Book Antiqua" w:eastAsia="Book Antiqua" w:cs="Book Antiqua"/>
          <w:i/>
          <w:iCs/>
          <w:color w:val="000000"/>
        </w:rPr>
        <w:t>Neuroendocrinology</w:t>
      </w:r>
      <w:r>
        <w:rPr>
          <w:rFonts w:ascii="Book Antiqua" w:hAnsi="Book Antiqua" w:eastAsia="Book Antiqua" w:cs="Book Antiqua"/>
          <w:color w:val="000000"/>
        </w:rPr>
        <w:t xml:space="preserve"> 2012; </w:t>
      </w:r>
      <w:r>
        <w:rPr>
          <w:rFonts w:ascii="Book Antiqua" w:hAnsi="Book Antiqua" w:eastAsia="Book Antiqua" w:cs="Book Antiqua"/>
          <w:b/>
          <w:bCs/>
          <w:color w:val="000000"/>
        </w:rPr>
        <w:t>95</w:t>
      </w:r>
      <w:r>
        <w:rPr>
          <w:rFonts w:ascii="Book Antiqua" w:hAnsi="Book Antiqua" w:eastAsia="Book Antiqua" w:cs="Book Antiqua"/>
          <w:color w:val="000000"/>
        </w:rPr>
        <w:t>: 98-119 [PMID: 22261919 DOI: 10.1159/000335591]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 xml:space="preserve">7 </w:t>
      </w:r>
      <w:r>
        <w:rPr>
          <w:rFonts w:ascii="Book Antiqua" w:hAnsi="Book Antiqua" w:eastAsia="Book Antiqua" w:cs="Book Antiqua"/>
          <w:b/>
          <w:bCs/>
          <w:color w:val="000000"/>
        </w:rPr>
        <w:t>Lakhtakia S</w:t>
      </w:r>
      <w:r>
        <w:rPr>
          <w:rFonts w:ascii="Book Antiqua" w:hAnsi="Book Antiqua" w:eastAsia="Book Antiqua" w:cs="Book Antiqua"/>
          <w:color w:val="000000"/>
        </w:rPr>
        <w:t xml:space="preserve">, Ramchandani M, Galasso D, Gupta R, Venugopal S, Kalpala R, Reddy DN. EUS-guided radiofrequency ablation for management of pancreatic insulinoma by using a novel needle electrode (with videos). </w:t>
      </w:r>
      <w:r>
        <w:rPr>
          <w:rFonts w:ascii="Book Antiqua" w:hAnsi="Book Antiqua" w:eastAsia="Book Antiqua" w:cs="Book Antiqua"/>
          <w:i/>
          <w:iCs/>
          <w:color w:val="000000"/>
        </w:rPr>
        <w:t>Gastrointest Endosc</w:t>
      </w:r>
      <w:r>
        <w:rPr>
          <w:rFonts w:ascii="Book Antiqua" w:hAnsi="Book Antiqua" w:eastAsia="Book Antiqua" w:cs="Book Antiqua"/>
          <w:color w:val="000000"/>
        </w:rPr>
        <w:t xml:space="preserve"> 2016; </w:t>
      </w:r>
      <w:r>
        <w:rPr>
          <w:rFonts w:ascii="Book Antiqua" w:hAnsi="Book Antiqua" w:eastAsia="Book Antiqua" w:cs="Book Antiqua"/>
          <w:b/>
          <w:bCs/>
          <w:color w:val="000000"/>
        </w:rPr>
        <w:t>83</w:t>
      </w:r>
      <w:r>
        <w:rPr>
          <w:rFonts w:ascii="Book Antiqua" w:hAnsi="Book Antiqua" w:eastAsia="Book Antiqua" w:cs="Book Antiqua"/>
          <w:color w:val="000000"/>
        </w:rPr>
        <w:t>: 234-239 [PMID: 26394384 DOI: 10.1016/j.gie.2015.08.085]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 xml:space="preserve">8 </w:t>
      </w:r>
      <w:r>
        <w:rPr>
          <w:rFonts w:ascii="Book Antiqua" w:hAnsi="Book Antiqua" w:eastAsia="Book Antiqua" w:cs="Book Antiqua"/>
          <w:b/>
          <w:bCs/>
          <w:color w:val="000000"/>
        </w:rPr>
        <w:t>Choi JH</w:t>
      </w:r>
      <w:r>
        <w:rPr>
          <w:rFonts w:ascii="Book Antiqua" w:hAnsi="Book Antiqua" w:eastAsia="Book Antiqua" w:cs="Book Antiqua"/>
          <w:color w:val="000000"/>
        </w:rPr>
        <w:t xml:space="preserve">, Seo DW, Song TJ, Park DH, Lee SS, Lee SK, Kim MH. Endoscopic ultrasound-guided radiofrequency ablation for management of benign solid pancreatic tumors. </w:t>
      </w:r>
      <w:r>
        <w:rPr>
          <w:rFonts w:ascii="Book Antiqua" w:hAnsi="Book Antiqua" w:eastAsia="Book Antiqua" w:cs="Book Antiqua"/>
          <w:i/>
          <w:iCs/>
          <w:color w:val="000000"/>
        </w:rPr>
        <w:t>Endoscopy</w:t>
      </w:r>
      <w:r>
        <w:rPr>
          <w:rFonts w:ascii="Book Antiqua" w:hAnsi="Book Antiqua" w:eastAsia="Book Antiqua" w:cs="Book Antiqua"/>
          <w:color w:val="000000"/>
        </w:rPr>
        <w:t xml:space="preserve"> 2018; </w:t>
      </w:r>
      <w:r>
        <w:rPr>
          <w:rFonts w:ascii="Book Antiqua" w:hAnsi="Book Antiqua" w:eastAsia="Book Antiqua" w:cs="Book Antiqua"/>
          <w:b/>
          <w:bCs/>
          <w:color w:val="000000"/>
        </w:rPr>
        <w:t>50</w:t>
      </w:r>
      <w:r>
        <w:rPr>
          <w:rFonts w:ascii="Book Antiqua" w:hAnsi="Book Antiqua" w:eastAsia="Book Antiqua" w:cs="Book Antiqua"/>
          <w:color w:val="000000"/>
        </w:rPr>
        <w:t>: 1099-1104 [PMID: 29727904 DOI: 10.1055/a-0583-8387]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 xml:space="preserve">9 </w:t>
      </w:r>
      <w:r>
        <w:rPr>
          <w:rFonts w:ascii="Book Antiqua" w:hAnsi="Book Antiqua" w:eastAsia="Book Antiqua" w:cs="Book Antiqua"/>
          <w:b/>
          <w:bCs/>
          <w:color w:val="000000"/>
        </w:rPr>
        <w:t>Oleinikov K</w:t>
      </w:r>
      <w:r>
        <w:rPr>
          <w:rFonts w:ascii="Book Antiqua" w:hAnsi="Book Antiqua" w:eastAsia="Book Antiqua" w:cs="Book Antiqua"/>
          <w:color w:val="000000"/>
        </w:rPr>
        <w:t xml:space="preserve">, Dancour A, Epshtein J, Benson A, Mazeh H, Tal I, Matalon S, Benbassat CA, Livovsky DM, Goldin E, Gross DJ, Jacob H, Grozinsky-Glasberg S. Endoscopic Ultrasound-Guided Radiofrequency Ablation: A New Therapeutic Approach for Pancreatic Neuroendocrine Tumors. </w:t>
      </w:r>
      <w:r>
        <w:rPr>
          <w:rFonts w:ascii="Book Antiqua" w:hAnsi="Book Antiqua" w:eastAsia="Book Antiqua" w:cs="Book Antiqua"/>
          <w:i/>
          <w:iCs/>
          <w:color w:val="000000"/>
        </w:rPr>
        <w:t>J Clin Endocrinol Metab</w:t>
      </w:r>
      <w:r>
        <w:rPr>
          <w:rFonts w:ascii="Book Antiqua" w:hAnsi="Book Antiqua" w:eastAsia="Book Antiqua" w:cs="Book Antiqua"/>
          <w:color w:val="000000"/>
        </w:rPr>
        <w:t xml:space="preserve"> 2019; </w:t>
      </w:r>
      <w:r>
        <w:rPr>
          <w:rFonts w:ascii="Book Antiqua" w:hAnsi="Book Antiqua" w:eastAsia="Book Antiqua" w:cs="Book Antiqua"/>
          <w:b/>
          <w:bCs/>
          <w:color w:val="000000"/>
        </w:rPr>
        <w:t>104</w:t>
      </w:r>
      <w:r>
        <w:rPr>
          <w:rFonts w:ascii="Book Antiqua" w:hAnsi="Book Antiqua" w:eastAsia="Book Antiqua" w:cs="Book Antiqua"/>
          <w:color w:val="000000"/>
        </w:rPr>
        <w:t>: 2637-2647 [PMID: 31102458 DOI: 10.1210/jc.2019-00282]</w:t>
      </w:r>
    </w:p>
    <w:p>
      <w:pPr>
        <w:spacing w:line="360" w:lineRule="auto"/>
        <w:jc w:val="both"/>
        <w:rPr>
          <w:rFonts w:ascii="Book Antiqua" w:hAnsi="Book Antiqua"/>
          <w:lang w:val="it-IT"/>
        </w:rPr>
      </w:pPr>
      <w:r>
        <w:rPr>
          <w:rFonts w:ascii="Book Antiqua" w:hAnsi="Book Antiqua" w:eastAsia="Book Antiqua" w:cs="Book Antiqua"/>
          <w:color w:val="000000"/>
        </w:rPr>
        <w:t xml:space="preserve">10 </w:t>
      </w:r>
      <w:r>
        <w:rPr>
          <w:rFonts w:ascii="Book Antiqua" w:hAnsi="Book Antiqua" w:eastAsia="Book Antiqua" w:cs="Book Antiqua"/>
          <w:b/>
          <w:bCs/>
          <w:color w:val="000000"/>
        </w:rPr>
        <w:t>Furnica RM</w:t>
      </w:r>
      <w:r>
        <w:rPr>
          <w:rFonts w:ascii="Book Antiqua" w:hAnsi="Book Antiqua" w:eastAsia="Book Antiqua" w:cs="Book Antiqua"/>
          <w:color w:val="000000"/>
        </w:rPr>
        <w:t xml:space="preserve">, Deprez P, Maiter D, Vandeleene B, Borbath I. Endoscopic ultrasound-guided radiofrequency ablation: An effective and safe alternative for the treatment of benign insulinoma. </w:t>
      </w:r>
      <w:r>
        <w:rPr>
          <w:rFonts w:ascii="Book Antiqua" w:hAnsi="Book Antiqua" w:eastAsia="Book Antiqua" w:cs="Book Antiqua"/>
          <w:i/>
          <w:iCs/>
          <w:color w:val="000000"/>
          <w:lang w:val="it-IT"/>
        </w:rPr>
        <w:t>Ann Endocrinol (Paris)</w:t>
      </w:r>
      <w:r>
        <w:rPr>
          <w:rFonts w:ascii="Book Antiqua" w:hAnsi="Book Antiqua" w:eastAsia="Book Antiqua" w:cs="Book Antiqua"/>
          <w:color w:val="000000"/>
          <w:lang w:val="it-IT"/>
        </w:rPr>
        <w:t xml:space="preserve"> 2020; </w:t>
      </w:r>
      <w:r>
        <w:rPr>
          <w:rFonts w:ascii="Book Antiqua" w:hAnsi="Book Antiqua" w:eastAsia="Book Antiqua" w:cs="Book Antiqua"/>
          <w:b/>
          <w:bCs/>
          <w:color w:val="000000"/>
          <w:lang w:val="it-IT"/>
        </w:rPr>
        <w:t>81</w:t>
      </w:r>
      <w:r>
        <w:rPr>
          <w:rFonts w:ascii="Book Antiqua" w:hAnsi="Book Antiqua" w:eastAsia="Book Antiqua" w:cs="Book Antiqua"/>
          <w:color w:val="000000"/>
          <w:lang w:val="it-IT"/>
        </w:rPr>
        <w:t>: 567-571 [PMID: 33285105 DOI: 10.1016/j.ando.2020.11.009]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  <w:lang w:val="it-IT"/>
        </w:rPr>
        <w:t xml:space="preserve">11 </w:t>
      </w:r>
      <w:r>
        <w:rPr>
          <w:rFonts w:ascii="Book Antiqua" w:hAnsi="Book Antiqua" w:eastAsia="Book Antiqua" w:cs="Book Antiqua"/>
          <w:b/>
          <w:bCs/>
          <w:color w:val="000000"/>
          <w:lang w:val="it-IT"/>
        </w:rPr>
        <w:t>Rossi G,</w:t>
      </w:r>
      <w:r>
        <w:rPr>
          <w:rFonts w:ascii="Book Antiqua" w:hAnsi="Book Antiqua" w:eastAsia="Book Antiqua" w:cs="Book Antiqua"/>
          <w:color w:val="000000"/>
          <w:lang w:val="it-IT"/>
        </w:rPr>
        <w:t xml:space="preserve"> Petrone MC; Capurso G, Albarello L, Testoni SGG, Archibugi L, Lena MS, Doglioni C, Arcidiacono PG. </w:t>
      </w:r>
      <w:r>
        <w:rPr>
          <w:rFonts w:ascii="Book Antiqua" w:hAnsi="Book Antiqua" w:eastAsia="Book Antiqua" w:cs="Book Antiqua"/>
          <w:color w:val="000000"/>
        </w:rPr>
        <w:t xml:space="preserve">Standardization of a Radiofrequency Ablation Tool in an Ex-Vivo Porcine Liver Model. </w:t>
      </w:r>
      <w:r>
        <w:rPr>
          <w:rFonts w:ascii="Book Antiqua" w:hAnsi="Book Antiqua" w:eastAsia="Book Antiqua" w:cs="Book Antiqua"/>
          <w:i/>
          <w:iCs/>
          <w:color w:val="000000"/>
        </w:rPr>
        <w:t>Gastrointest Disord</w:t>
      </w:r>
      <w:r>
        <w:rPr>
          <w:rFonts w:ascii="Book Antiqua" w:hAnsi="Book Antiqua" w:eastAsia="Book Antiqua" w:cs="Book Antiqua"/>
          <w:color w:val="000000"/>
        </w:rPr>
        <w:t xml:space="preserve"> 2020; </w:t>
      </w:r>
      <w:r>
        <w:rPr>
          <w:rFonts w:ascii="Book Antiqua" w:hAnsi="Book Antiqua" w:eastAsia="Book Antiqua" w:cs="Book Antiqua"/>
          <w:b/>
          <w:bCs/>
          <w:color w:val="000000"/>
        </w:rPr>
        <w:t>2</w:t>
      </w:r>
      <w:r>
        <w:rPr>
          <w:rFonts w:ascii="Book Antiqua" w:hAnsi="Book Antiqua" w:eastAsia="Book Antiqua" w:cs="Book Antiqua"/>
          <w:color w:val="000000"/>
        </w:rPr>
        <w:t>: 300-309 [DOI: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eastAsia="Book Antiqua" w:cs="Book Antiqua"/>
          <w:color w:val="000000"/>
        </w:rPr>
        <w:t>10.3390/gidisord2030027]</w:t>
      </w:r>
    </w:p>
    <w:p>
      <w:pPr>
        <w:spacing w:line="360" w:lineRule="auto"/>
        <w:jc w:val="both"/>
        <w:rPr>
          <w:rFonts w:ascii="Book Antiqua" w:hAnsi="Book Antiqua"/>
        </w:rPr>
        <w:sectPr>
          <w:footerReference r:id="rId3" w:type="default"/>
          <w:pgSz w:w="12240" w:h="15840"/>
          <w:pgMar w:top="1440" w:right="1440" w:bottom="1440" w:left="1440" w:header="720" w:footer="720" w:gutter="0"/>
          <w:cols w:space="720" w:num="1"/>
          <w:docGrid w:linePitch="360" w:charSpace="0"/>
        </w:sect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olor w:val="000000"/>
        </w:rPr>
        <w:t>Footnotes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Informed consent statement: </w:t>
      </w:r>
      <w:r>
        <w:rPr>
          <w:rFonts w:ascii="Book Antiqua" w:hAnsi="Book Antiqua" w:eastAsia="Book Antiqua" w:cs="Book Antiqua"/>
          <w:color w:val="000000"/>
        </w:rPr>
        <w:t>All three patients included in the present case series gave their consent prior to study inclusion.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Conflict-of-interest statement: </w:t>
      </w:r>
      <w:r>
        <w:rPr>
          <w:rFonts w:ascii="Book Antiqua" w:hAnsi="Book Antiqua" w:eastAsia="Book Antiqua" w:cs="Book Antiqua"/>
          <w:color w:val="000000"/>
        </w:rPr>
        <w:t>The authors have note conflicts of interest to declare.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CARE Checklist (2016) statement: </w:t>
      </w:r>
      <w:r>
        <w:rPr>
          <w:rFonts w:ascii="Book Antiqua" w:hAnsi="Book Antiqua" w:eastAsia="Book Antiqua" w:cs="Book Antiqua"/>
          <w:color w:val="000000"/>
        </w:rPr>
        <w:t>The authors have read the CARE Checklist (2016), and the manuscript was prepared and revised according to the CARE Checklist (2016).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bCs/>
          <w:color w:val="000000"/>
        </w:rPr>
        <w:t xml:space="preserve">Open-Access: </w:t>
      </w:r>
      <w:r>
        <w:rPr>
          <w:rFonts w:ascii="Book Antiqua" w:hAnsi="Book Antiqua" w:eastAsia="Book Antiqua" w:cs="Book Antiqua"/>
          <w:color w:val="000000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olor w:val="000000"/>
        </w:rPr>
        <w:t xml:space="preserve">Provenance and peer review: </w:t>
      </w:r>
      <w:r>
        <w:rPr>
          <w:rFonts w:ascii="Book Antiqua" w:hAnsi="Book Antiqua"/>
        </w:rPr>
        <w:t>Unsolicited</w:t>
      </w:r>
      <w:r>
        <w:rPr>
          <w:rFonts w:ascii="Book Antiqua" w:hAnsi="Book Antiqua" w:eastAsia="Book Antiqua" w:cs="Book Antiqua"/>
          <w:color w:val="000000"/>
        </w:rPr>
        <w:t xml:space="preserve"> article; Externally peer reviewed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olor w:val="000000"/>
        </w:rPr>
        <w:t xml:space="preserve">Peer-review model: </w:t>
      </w:r>
      <w:r>
        <w:rPr>
          <w:rFonts w:ascii="Book Antiqua" w:hAnsi="Book Antiqua" w:eastAsia="Book Antiqua" w:cs="Book Antiqua"/>
          <w:color w:val="000000"/>
        </w:rPr>
        <w:t>Single blind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olor w:val="000000"/>
        </w:rPr>
        <w:t xml:space="preserve">Peer-review started: </w:t>
      </w:r>
      <w:r>
        <w:rPr>
          <w:rFonts w:ascii="Book Antiqua" w:hAnsi="Book Antiqua" w:eastAsia="Book Antiqua" w:cs="Book Antiqua"/>
          <w:color w:val="000000"/>
        </w:rPr>
        <w:t>August 12, 2021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olor w:val="000000"/>
        </w:rPr>
        <w:t xml:space="preserve">First decision: </w:t>
      </w:r>
      <w:r>
        <w:rPr>
          <w:rFonts w:ascii="Book Antiqua" w:hAnsi="Book Antiqua" w:eastAsia="Book Antiqua" w:cs="Book Antiqua"/>
          <w:color w:val="000000"/>
        </w:rPr>
        <w:t>October 3, 2021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olor w:val="000000"/>
        </w:rPr>
        <w:t xml:space="preserve">Article in press: 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olor w:val="000000"/>
        </w:rPr>
        <w:t xml:space="preserve">Specialty type: </w:t>
      </w:r>
      <w:bookmarkStart w:id="1" w:name="OLE_LINK1762"/>
      <w:bookmarkStart w:id="2" w:name="OLE_LINK1890"/>
      <w:bookmarkStart w:id="3" w:name="OLE_LINK293"/>
      <w:bookmarkStart w:id="4" w:name="OLE_LINK1741"/>
      <w:bookmarkStart w:id="5" w:name="OLE_LINK1973"/>
      <w:bookmarkStart w:id="6" w:name="OLE_LINK1740"/>
      <w:bookmarkStart w:id="7" w:name="OLE_LINK1739"/>
      <w:bookmarkStart w:id="8" w:name="OLE_LINK1988"/>
      <w:bookmarkStart w:id="9" w:name="OLE_LINK2005"/>
      <w:r>
        <w:rPr>
          <w:rFonts w:ascii="Book Antiqua" w:hAnsi="Book Antiqua" w:eastAsia="微软雅黑" w:cs="宋体"/>
        </w:rPr>
        <w:t>Medicine, research and experimental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olor w:val="000000"/>
        </w:rPr>
        <w:t xml:space="preserve">Country/Territory of origin: </w:t>
      </w:r>
      <w:r>
        <w:rPr>
          <w:rFonts w:ascii="Book Antiqua" w:hAnsi="Book Antiqua" w:eastAsia="Book Antiqua" w:cs="Book Antiqua"/>
          <w:color w:val="000000"/>
        </w:rPr>
        <w:t>Italy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b/>
          <w:color w:val="000000"/>
        </w:rPr>
        <w:t>Peer-review report’s scientific quality classification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Grade A (Excellent): 0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Grade B (Very good): 0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Grade C (Good): C, C, C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Grade D (Fair): 0</w:t>
      </w:r>
    </w:p>
    <w:p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eastAsia="Book Antiqua" w:cs="Book Antiqua"/>
          <w:color w:val="000000"/>
        </w:rPr>
        <w:t>Grade E (Poor): 0</w:t>
      </w: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 w:eastAsia="Book Antiqua" w:cs="Book Antiqua"/>
          <w:b/>
          <w:color w:val="000000"/>
        </w:rPr>
      </w:pPr>
      <w:r>
        <w:rPr>
          <w:rFonts w:ascii="Book Antiqua" w:hAnsi="Book Antiqua" w:eastAsia="Book Antiqua" w:cs="Book Antiqua"/>
          <w:b/>
          <w:color w:val="000000"/>
        </w:rPr>
        <w:t xml:space="preserve">P-Reviewer: </w:t>
      </w:r>
      <w:r>
        <w:rPr>
          <w:rFonts w:ascii="Book Antiqua" w:hAnsi="Book Antiqua" w:eastAsia="Book Antiqua" w:cs="Book Antiqua"/>
          <w:color w:val="000000"/>
        </w:rPr>
        <w:t>Kuraoka N, Japan; Rathnaswami A, India; Rathnaswami A, India</w:t>
      </w:r>
      <w:r>
        <w:rPr>
          <w:rFonts w:ascii="Book Antiqua" w:hAnsi="Book Antiqua" w:eastAsia="Book Antiqua" w:cs="Book Antiqua"/>
          <w:b/>
          <w:color w:val="000000"/>
        </w:rPr>
        <w:t xml:space="preserve"> A-Editor: </w:t>
      </w:r>
      <w:r>
        <w:rPr>
          <w:rFonts w:ascii="Book Antiqua" w:hAnsi="Book Antiqua" w:eastAsia="Book Antiqua" w:cs="Book Antiqua"/>
          <w:bCs/>
          <w:color w:val="000000"/>
        </w:rPr>
        <w:t>Makker J</w:t>
      </w:r>
      <w:r>
        <w:rPr>
          <w:rFonts w:ascii="Book Antiqua" w:hAnsi="Book Antiqua" w:eastAsia="Book Antiqua" w:cs="Book Antiqua"/>
          <w:b/>
          <w:color w:val="000000"/>
        </w:rPr>
        <w:t xml:space="preserve"> S-Editor: </w:t>
      </w:r>
      <w:r>
        <w:rPr>
          <w:rFonts w:ascii="Book Antiqua" w:hAnsi="Book Antiqua" w:eastAsia="Book Antiqua" w:cs="Book Antiqua"/>
          <w:color w:val="000000"/>
        </w:rPr>
        <w:t>Wang JJ</w:t>
      </w:r>
      <w:r>
        <w:rPr>
          <w:rFonts w:ascii="Book Antiqua" w:hAnsi="Book Antiqua" w:eastAsia="Book Antiqua" w:cs="Book Antiqua"/>
          <w:b/>
          <w:color w:val="000000"/>
        </w:rPr>
        <w:t xml:space="preserve"> L-Editor: </w:t>
      </w:r>
      <w:r>
        <w:rPr>
          <w:rFonts w:ascii="Book Antiqua" w:hAnsi="Book Antiqua" w:eastAsia="Book Antiqua" w:cs="Book Antiqua"/>
          <w:color w:val="000000"/>
        </w:rPr>
        <w:t xml:space="preserve">Webster JR </w:t>
      </w:r>
      <w:r>
        <w:rPr>
          <w:rFonts w:ascii="Book Antiqua" w:hAnsi="Book Antiqua" w:eastAsia="Book Antiqua" w:cs="Book Antiqua"/>
          <w:b/>
          <w:color w:val="000000"/>
        </w:rPr>
        <w:t>P-Editor:</w:t>
      </w:r>
      <w:r>
        <w:rPr>
          <w:rFonts w:ascii="Book Antiqua" w:hAnsi="Book Antiqua" w:eastAsia="Book Antiqua" w:cs="Book Antiqua"/>
          <w:color w:val="000000"/>
        </w:rPr>
        <w:t xml:space="preserve"> </w:t>
      </w:r>
    </w:p>
    <w:p>
      <w:pPr>
        <w:spacing w:line="360" w:lineRule="auto"/>
        <w:jc w:val="both"/>
        <w:rPr>
          <w:rFonts w:ascii="Book Antiqua" w:hAnsi="Book Antiqua" w:eastAsia="Book Antiqua" w:cs="Book Antiqua"/>
          <w:b/>
          <w:color w:val="000000"/>
        </w:rPr>
      </w:pPr>
    </w:p>
    <w:p>
      <w:pPr>
        <w:spacing w:line="360" w:lineRule="auto"/>
        <w:jc w:val="both"/>
        <w:rPr>
          <w:rFonts w:ascii="Book Antiqua" w:hAnsi="Book Antiqua" w:eastAsia="Book Antiqua" w:cs="Book Antiqua"/>
          <w:b/>
          <w:color w:val="000000"/>
        </w:rPr>
      </w:pPr>
    </w:p>
    <w:p>
      <w:pPr>
        <w:spacing w:line="360" w:lineRule="auto"/>
        <w:jc w:val="both"/>
        <w:rPr>
          <w:rFonts w:ascii="Book Antiqua" w:hAnsi="Book Antiqua" w:eastAsia="Book Antiqua" w:cs="Book Antiqua"/>
          <w:b/>
          <w:color w:val="000000"/>
        </w:rPr>
      </w:pPr>
      <w:r>
        <w:rPr>
          <w:rFonts w:ascii="Book Antiqua" w:hAnsi="Book Antiqua" w:eastAsia="Book Antiqua" w:cs="Book Antiqua"/>
          <w:b/>
          <w:color w:val="000000"/>
        </w:rPr>
        <w:t>Figure Legends</w:t>
      </w:r>
    </w:p>
    <w:p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drawing>
          <wp:inline distT="0" distB="0" distL="114300" distR="114300">
            <wp:extent cx="5772785" cy="4184650"/>
            <wp:effectExtent l="0" t="0" r="3175" b="6350"/>
            <wp:docPr id="2" name="图片 2" descr="WJCC-10-6514-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JCC-10-6514-g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Book Antiqua" w:hAnsi="Book Antiqua" w:eastAsia="Book Antiqua" w:cs="Book Antiqua"/>
          <w:color w:val="000000"/>
        </w:rPr>
      </w:pPr>
      <w:r>
        <w:rPr>
          <w:rFonts w:ascii="Book Antiqua" w:hAnsi="Book Antiqua" w:eastAsia="Book Antiqua" w:cs="Book Antiqua"/>
          <w:b/>
          <w:bCs/>
          <w:color w:val="000000"/>
          <w:shd w:val="clear" w:color="auto" w:fill="FFFFFF"/>
        </w:rPr>
        <w:t>Figure 1 Radiofrequency ablation system.</w:t>
      </w:r>
      <w:r>
        <w:rPr>
          <w:rFonts w:ascii="Book Antiqua" w:hAnsi="Book Antiqua" w:eastAsia="Book Antiqua" w:cs="Book Antiqua"/>
          <w:color w:val="000000"/>
          <w:shd w:val="clear" w:color="auto" w:fill="FFFFFF"/>
        </w:rPr>
        <w:t xml:space="preserve"> A: Needle, similar to an endoscopic ultrasound fine needle aspiration or biopsy needle; B: Peristaltic pump which can infuse during the ablation, the electrode with chilled solution, maximizing volume ablation; C: Electrode on the distal needle tip, delivering radiofrequency ablation; D: Radiofrequency generator, with the possibility to monitor ablation parameters: Power, time, impedance. </w:t>
      </w:r>
      <w:bookmarkStart w:id="10" w:name="OLE_LINK2933"/>
      <w:bookmarkStart w:id="11" w:name="OLE_LINK2930"/>
      <w:r>
        <w:rPr>
          <w:rFonts w:ascii="Book Antiqua" w:hAnsi="Book Antiqua"/>
        </w:rPr>
        <w:t xml:space="preserve">A-D: </w:t>
      </w:r>
      <w:bookmarkStart w:id="12" w:name="_Hlk72858302"/>
      <w:bookmarkStart w:id="13" w:name="OLE_LINK1862"/>
      <w:bookmarkStart w:id="14" w:name="OLE_LINK2008"/>
      <w:r>
        <w:rPr>
          <w:rFonts w:ascii="Book Antiqua" w:hAnsi="Book Antiqua"/>
        </w:rPr>
        <w:t xml:space="preserve">Citation: </w:t>
      </w:r>
      <w:r>
        <w:rPr>
          <w:rFonts w:ascii="Book Antiqua" w:hAnsi="Book Antiqua" w:eastAsia="Book Antiqua" w:cs="Book Antiqua"/>
          <w:bCs/>
          <w:color w:val="000000"/>
          <w:lang w:val="it-IT"/>
        </w:rPr>
        <w:t>Rossi G,</w:t>
      </w:r>
      <w:r>
        <w:rPr>
          <w:rFonts w:ascii="Book Antiqua" w:hAnsi="Book Antiqua" w:eastAsia="Book Antiqua" w:cs="Book Antiqua"/>
          <w:color w:val="000000"/>
          <w:lang w:val="it-IT"/>
        </w:rPr>
        <w:t xml:space="preserve"> Petrone MC; Capurso G, Albarello L, Testoni SGG, Archibugi L, Lena MS, Doglioni C, Arcidiacono PG. </w:t>
      </w:r>
      <w:r>
        <w:rPr>
          <w:rFonts w:ascii="Book Antiqua" w:hAnsi="Book Antiqua" w:eastAsia="Book Antiqua" w:cs="Book Antiqua"/>
          <w:color w:val="000000"/>
        </w:rPr>
        <w:t xml:space="preserve">Standardization of a Radiofrequency Ablation Tool in an Ex-Vivo Porcine Liver Model. </w:t>
      </w:r>
      <w:r>
        <w:rPr>
          <w:rFonts w:ascii="Book Antiqua" w:hAnsi="Book Antiqua" w:eastAsia="Book Antiqua" w:cs="Book Antiqua"/>
          <w:i/>
          <w:iCs/>
          <w:color w:val="000000"/>
        </w:rPr>
        <w:t>Gastrointest Disord</w:t>
      </w:r>
      <w:r>
        <w:rPr>
          <w:rFonts w:ascii="Book Antiqua" w:hAnsi="Book Antiqua" w:eastAsia="Book Antiqua" w:cs="Book Antiqua"/>
          <w:color w:val="000000"/>
        </w:rPr>
        <w:t xml:space="preserve"> 2020; 2: 300-309. </w:t>
      </w:r>
      <w:r>
        <w:rPr>
          <w:rFonts w:ascii="Book Antiqua" w:hAnsi="Book Antiqua"/>
        </w:rPr>
        <w:t>Copyright© The Authors 2020. Published by MDPI.</w:t>
      </w:r>
      <w:bookmarkEnd w:id="10"/>
      <w:bookmarkEnd w:id="11"/>
      <w:bookmarkEnd w:id="12"/>
      <w:r>
        <w:rPr>
          <w:rFonts w:ascii="Book Antiqua" w:hAnsi="Book Antiqua"/>
        </w:rPr>
        <w:t xml:space="preserve"> No special permission is required to reuse all or part of article published by MDPI, including figures and tables, see https://www.mdpi.com/openaccess#Permissions. The authors have obtained the permission for figure using from </w:t>
      </w:r>
      <w:r>
        <w:rPr>
          <w:rFonts w:ascii="Book Antiqua" w:hAnsi="Book Antiqua" w:eastAsia="Book Antiqua" w:cs="Book Antiqua"/>
          <w:bCs/>
          <w:color w:val="000000"/>
          <w:lang w:val="it-IT"/>
        </w:rPr>
        <w:t>Rossi G</w:t>
      </w:r>
      <w:r>
        <w:rPr>
          <w:rFonts w:ascii="Book Antiqua" w:hAnsi="Book Antiqua"/>
        </w:rPr>
        <w:t xml:space="preserve"> (Supplementary material).</w:t>
      </w:r>
    </w:p>
    <w:bookmarkEnd w:id="13"/>
    <w:bookmarkEnd w:id="14"/>
    <w:p>
      <w:pPr>
        <w:spacing w:line="360" w:lineRule="auto"/>
        <w:jc w:val="both"/>
        <w:rPr>
          <w:rFonts w:ascii="Book Antiqua" w:hAnsi="Book Antiqua" w:eastAsia="Book Antiqua" w:cs="Book Antiqua"/>
          <w:color w:val="000000"/>
          <w:shd w:val="clear" w:color="auto" w:fill="FFFFFF"/>
        </w:rPr>
      </w:pPr>
    </w:p>
    <w:p>
      <w:pPr>
        <w:spacing w:line="360" w:lineRule="auto"/>
        <w:jc w:val="both"/>
        <w:rPr>
          <w:rFonts w:ascii="Book Antiqua" w:hAnsi="Book Antiqua"/>
        </w:rPr>
      </w:pPr>
    </w:p>
    <w:p>
      <w:pPr>
        <w:spacing w:line="360" w:lineRule="auto"/>
        <w:jc w:val="both"/>
        <w:rPr>
          <w:rFonts w:ascii="Book Antiqua" w:hAnsi="Book Antiqua" w:eastAsia="Book Antiqua" w:cs="Book Antiqua"/>
          <w:b/>
          <w:bCs/>
          <w:color w:val="000000"/>
          <w:shd w:val="clear" w:color="auto" w:fill="FFFFFF"/>
        </w:rPr>
      </w:pPr>
      <w:r>
        <w:rPr>
          <w:rFonts w:ascii="Book Antiqua" w:hAnsi="Book Antiqua"/>
          <w:lang w:val="en-GB" w:eastAsia="zh-CN"/>
        </w:rPr>
        <w:drawing>
          <wp:inline distT="0" distB="0" distL="114300" distR="114300">
            <wp:extent cx="6054090" cy="1680845"/>
            <wp:effectExtent l="0" t="0" r="11430" b="10795"/>
            <wp:docPr id="3" name="图片 3" descr="WJCC-10-6514-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JCC-10-6514-g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lang w:val="en-GB" w:eastAsia="zh-CN"/>
        </w:rPr>
        <w:t xml:space="preserve"> </w:t>
      </w:r>
    </w:p>
    <w:p>
      <w:pPr>
        <w:spacing w:line="360" w:lineRule="auto"/>
        <w:jc w:val="both"/>
        <w:rPr>
          <w:rFonts w:ascii="Book Antiqua" w:hAnsi="Book Antiqua" w:eastAsia="Book Antiqua" w:cs="Book Antiqua"/>
          <w:color w:val="000000"/>
        </w:rPr>
        <w:sectPr>
          <w:pgSz w:w="12240" w:h="15840"/>
          <w:pgMar w:top="1440" w:right="1440" w:bottom="1440" w:left="1440" w:header="720" w:footer="720" w:gutter="0"/>
          <w:cols w:space="720" w:num="1"/>
          <w:docGrid w:linePitch="360" w:charSpace="0"/>
        </w:sectPr>
      </w:pPr>
      <w:r>
        <w:rPr>
          <w:rFonts w:ascii="Book Antiqua" w:hAnsi="Book Antiqua" w:eastAsia="Book Antiqua" w:cs="Book Antiqua"/>
          <w:b/>
          <w:bCs/>
          <w:color w:val="000000"/>
          <w:shd w:val="clear" w:color="auto" w:fill="FFFFFF"/>
        </w:rPr>
        <w:t xml:space="preserve">Figure 2 Case 2 imaging. </w:t>
      </w:r>
      <w:r>
        <w:rPr>
          <w:rFonts w:ascii="Book Antiqua" w:hAnsi="Book Antiqua" w:eastAsia="Book Antiqua" w:cs="Book Antiqua"/>
          <w:color w:val="000000"/>
          <w:shd w:val="clear" w:color="auto" w:fill="FFFFFF"/>
        </w:rPr>
        <w:t>A: A hyper-vascularized lesion compatible with an insulinoma, extremely close to the gastroduodenal artery is visible; B:</w:t>
      </w:r>
      <w:r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eastAsia="Book Antiqua" w:cs="Book Antiqua"/>
          <w:color w:val="000000"/>
          <w:shd w:val="clear" w:color="auto" w:fill="FFFFFF"/>
        </w:rPr>
        <w:t>Submucosal bleeding after radiofrequency ablation, treated by endoscopic hemostasis; C:</w:t>
      </w:r>
      <w:r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eastAsia="Book Antiqua" w:cs="Book Antiqua"/>
          <w:color w:val="000000"/>
          <w:shd w:val="clear" w:color="auto" w:fill="FFFFFF"/>
        </w:rPr>
        <w:t>Computed tomography s</w:t>
      </w:r>
      <w:r>
        <w:rPr>
          <w:rFonts w:ascii="Book Antiqua" w:hAnsi="Book Antiqua" w:eastAsia="Book Antiqua" w:cs="Book Antiqua"/>
          <w:color w:val="000000"/>
        </w:rPr>
        <w:t>can 72 h after radiofrequency ablation: An 8 mm hypodense necrotic area at the previous lesion location, without signs of bleeding.</w:t>
      </w:r>
      <w:bookmarkStart w:id="15" w:name="_GoBack"/>
      <w:bookmarkEnd w:id="15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drawing>
          <wp:inline distT="0" distB="0" distL="0" distR="0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tLeast"/>
        <w:ind w:left="240" w:leftChars="100"/>
        <w:jc w:val="center"/>
        <w:textAlignment w:val="auto"/>
        <w:rPr>
          <w:rFonts w:ascii="Book Antiqua" w:hAnsi="Book Antiqua" w:eastAsia="Garamond-Bold" w:cs="Garamond-Bold"/>
          <w:b/>
          <w:bCs/>
          <w:color w:val="000000"/>
          <w:sz w:val="28"/>
          <w:szCs w:val="28"/>
        </w:rPr>
      </w:pPr>
      <w:r>
        <w:rPr>
          <w:rFonts w:ascii="Book Antiqua" w:hAnsi="Book Antiqua" w:eastAsia="TimesNewRomanPSMT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hAnsi="Book Antiqua" w:eastAsia="Garamond-Bold" w:cs="Garamond-Bold"/>
          <w:b/>
          <w:bCs/>
          <w:color w:val="000000"/>
          <w:sz w:val="28"/>
          <w:szCs w:val="28"/>
        </w:rPr>
        <w:t>Baishideng Publishing Group Inc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240" w:leftChars="100"/>
        <w:jc w:val="center"/>
        <w:textAlignment w:val="auto"/>
        <w:rPr>
          <w:rFonts w:ascii="Book Antiqua" w:hAnsi="Book Antiqua" w:eastAsia="TimesNewRomanPSMT" w:cs="Garamond"/>
          <w:color w:val="000000"/>
          <w:sz w:val="28"/>
          <w:szCs w:val="28"/>
        </w:rPr>
      </w:pPr>
      <w:r>
        <w:rPr>
          <w:rFonts w:ascii="Book Antiqua" w:hAnsi="Book Antiqua" w:eastAsia="TimesNewRomanPSMT" w:cs="Garamond"/>
          <w:color w:val="000000"/>
          <w:sz w:val="28"/>
          <w:szCs w:val="28"/>
        </w:rPr>
        <w:t>7041 Koll Center Parkway, Suite 160, Pleasanton, CA 94566, USA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240" w:leftChars="100"/>
        <w:jc w:val="center"/>
        <w:textAlignment w:val="auto"/>
        <w:rPr>
          <w:rFonts w:ascii="Book Antiqua" w:hAnsi="Book Antiqua" w:eastAsia="TimesNewRomanPSMT" w:cs="Garamond"/>
          <w:color w:val="000000"/>
          <w:sz w:val="28"/>
          <w:szCs w:val="28"/>
        </w:rPr>
      </w:pPr>
      <w:r>
        <w:rPr>
          <w:rFonts w:ascii="Book Antiqua" w:hAnsi="Book Antiqua" w:eastAsia="Garamond-Bold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hAnsi="Book Antiqua" w:eastAsia="TimesNewRomanPSMT" w:cs="Garamond"/>
          <w:color w:val="000000"/>
          <w:sz w:val="28"/>
          <w:szCs w:val="28"/>
        </w:rPr>
        <w:t>+1-925-3991568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240" w:leftChars="100"/>
        <w:jc w:val="center"/>
        <w:textAlignment w:val="auto"/>
        <w:rPr>
          <w:rFonts w:ascii="Book Antiqua" w:hAnsi="Book Antiqua" w:eastAsia="TimesNewRomanPSMT" w:cs="Garamond"/>
          <w:color w:val="D56400"/>
          <w:sz w:val="28"/>
          <w:szCs w:val="28"/>
        </w:rPr>
      </w:pPr>
      <w:r>
        <w:rPr>
          <w:rFonts w:ascii="Book Antiqua" w:hAnsi="Book Antiqua" w:eastAsia="Garamond-Bold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hAnsi="Book Antiqua" w:eastAsia="TimesNewRomanPSMT" w:cs="Garamond"/>
          <w:color w:val="D56400"/>
          <w:sz w:val="28"/>
          <w:szCs w:val="28"/>
        </w:rPr>
        <w:t>bpgoffice@wjgnet.com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240" w:leftChars="100"/>
        <w:jc w:val="center"/>
        <w:textAlignment w:val="auto"/>
        <w:rPr>
          <w:rFonts w:ascii="Book Antiqua" w:hAnsi="Book Antiqua" w:eastAsia="TimesNewRomanPSMT" w:cs="Garamond"/>
          <w:color w:val="D56400"/>
          <w:sz w:val="28"/>
          <w:szCs w:val="28"/>
        </w:rPr>
      </w:pPr>
      <w:r>
        <w:rPr>
          <w:rFonts w:ascii="Book Antiqua" w:hAnsi="Book Antiqua" w:eastAsia="Garamond-Bold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hAnsi="Book Antiqua" w:eastAsia="TimesNewRomanPSMT" w:cs="Garamond"/>
          <w:color w:val="D56400"/>
          <w:sz w:val="28"/>
          <w:szCs w:val="28"/>
        </w:rPr>
        <w:t>https://www.f6publishing.com/helpdesk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  <w:r>
        <w:rPr>
          <w:rFonts w:ascii="Book Antiqua" w:hAnsi="Book Antiqua" w:eastAsia="TimesNewRomanPSMT" w:cs="Garamond"/>
          <w:color w:val="D56400"/>
          <w:sz w:val="28"/>
          <w:szCs w:val="28"/>
        </w:rPr>
        <w:t>https://www.wjgnet.com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drawing>
          <wp:inline distT="0" distB="0" distL="0" distR="0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center"/>
        <w:textAlignment w:val="auto"/>
        <w:rPr>
          <w:rFonts w:ascii="Book Antiqua" w:hAnsi="Book Antiqu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ind w:left="240" w:leftChars="100"/>
        <w:jc w:val="right"/>
        <w:textAlignment w:val="auto"/>
        <w:rPr>
          <w:rFonts w:ascii="Book Antiqua" w:hAnsi="Book Antiqu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jc w:val="center"/>
        <w:textAlignment w:val="auto"/>
        <w:rPr>
          <w:rFonts w:ascii="Book Antiqua" w:hAnsi="Book Antiqua"/>
          <w:shd w:val="clear" w:color="auto" w:fill="FFFFFF"/>
          <w:lang w:eastAsia="zh-CN"/>
        </w:rPr>
      </w:pPr>
      <w:r>
        <w:rPr>
          <w:rFonts w:ascii="Book Antiqua" w:hAnsi="Book Antiqua" w:eastAsia="BookAntiqua-Bold" w:cs="BookAntiqua-Bold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© 202</w:t>
      </w:r>
      <w:r>
        <w:rPr>
          <w:rFonts w:hint="eastAsia" w:ascii="Book Antiqua" w:hAnsi="Book Antiqua" w:cs="BookAntiqua-Bold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Book Antiqua" w:hAnsi="Book Antiqua" w:eastAsia="BookAntiqua-Bold" w:cs="BookAntiqua-Bold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Baishideng Publishing Group Inc. All rights reserved.</w:t>
      </w:r>
    </w:p>
    <w:p>
      <w:pPr>
        <w:rPr>
          <w:rFonts w:hint="eastAsia" w:ascii="Book Antiqua" w:hAnsi="Book Antiqua" w:eastAsia="宋体" w:cs="Book Antiqua"/>
          <w:b/>
          <w:bCs/>
          <w:color w:val="000000"/>
          <w:lang w:val="en-US" w:eastAsia="zh-CN"/>
        </w:rPr>
      </w:pPr>
    </w:p>
    <w:p>
      <w:pPr>
        <w:spacing w:line="360" w:lineRule="auto"/>
        <w:jc w:val="both"/>
        <w:rPr>
          <w:rFonts w:ascii="Book Antiqua" w:hAnsi="Book Antiqua" w:eastAsia="Book Antiqua" w:cs="Book Antiqua"/>
          <w:color w:val="00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Garamond-Bold">
    <w:altName w:val="等线"/>
    <w:panose1 w:val="00000000000000000000"/>
    <w:charset w:val="00"/>
    <w:family w:val="auto"/>
    <w:pitch w:val="default"/>
    <w:sig w:usb0="00000000" w:usb1="00000000" w:usb2="00000010" w:usb3="00000000" w:csb0="0004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NewRomanPSMT">
    <w:altName w:val="宋体"/>
    <w:panose1 w:val="00000000000000000000"/>
    <w:charset w:val="86"/>
    <w:family w:val="auto"/>
    <w:pitch w:val="default"/>
    <w:sig w:usb0="00000000" w:usb1="00000000" w:usb2="00000010" w:usb3="00000000" w:csb0="00060002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BookAntiqua-Bold">
    <w:altName w:val="Calibri"/>
    <w:panose1 w:val="00000000000000000000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Book Antiqua" w:hAnsi="Book Antiqua"/>
        <w:color w:val="000000" w:themeColor="text1"/>
        <w:sz w:val="24"/>
        <w:szCs w:val="24"/>
        <w14:textFill>
          <w14:solidFill>
            <w14:schemeClr w14:val="tx1"/>
          </w14:solidFill>
        </w14:textFill>
      </w:rPr>
    </w:pPr>
    <w:r>
      <w:rPr>
        <w:rFonts w:ascii="Book Antiqua" w:hAnsi="Book Antiqua"/>
        <w:color w:val="000000" w:themeColor="text1"/>
        <w:sz w:val="24"/>
        <w:szCs w:val="24"/>
        <w:lang w:val="zh-CN" w:eastAsia="zh-CN"/>
        <w14:textFill>
          <w14:solidFill>
            <w14:schemeClr w14:val="tx1"/>
          </w14:solidFill>
        </w14:textFill>
      </w:rPr>
      <w:t xml:space="preserve"> </w:t>
    </w:r>
    <w:r>
      <w:rPr>
        <w:rFonts w:ascii="Book Antiqua" w:hAnsi="Book Antiqua"/>
        <w:color w:val="000000" w:themeColor="text1"/>
        <w:sz w:val="24"/>
        <w:szCs w:val="24"/>
        <w14:textFill>
          <w14:solidFill>
            <w14:schemeClr w14:val="tx1"/>
          </w14:solidFill>
        </w14:textFill>
      </w:rPr>
      <w:fldChar w:fldCharType="begin"/>
    </w:r>
    <w:r>
      <w:rPr>
        <w:rFonts w:ascii="Book Antiqua" w:hAnsi="Book Antiqua"/>
        <w:color w:val="000000" w:themeColor="text1"/>
        <w:sz w:val="24"/>
        <w:szCs w:val="24"/>
        <w14:textFill>
          <w14:solidFill>
            <w14:schemeClr w14:val="tx1"/>
          </w14:solidFill>
        </w14:textFill>
      </w:rPr>
      <w:instrText xml:space="preserve">PAGE  \* Arabic  \* MERGEFORMAT</w:instrText>
    </w:r>
    <w:r>
      <w:rPr>
        <w:rFonts w:ascii="Book Antiqua" w:hAnsi="Book Antiqua"/>
        <w:color w:val="000000" w:themeColor="text1"/>
        <w:sz w:val="24"/>
        <w:szCs w:val="24"/>
        <w14:textFill>
          <w14:solidFill>
            <w14:schemeClr w14:val="tx1"/>
          </w14:solidFill>
        </w14:textFill>
      </w:rPr>
      <w:fldChar w:fldCharType="separate"/>
    </w:r>
    <w:r>
      <w:rPr>
        <w:rFonts w:ascii="Book Antiqua" w:hAnsi="Book Antiqua"/>
        <w:color w:val="000000" w:themeColor="text1"/>
        <w:sz w:val="24"/>
        <w:szCs w:val="24"/>
        <w:lang w:val="zh-CN" w:eastAsia="zh-CN"/>
        <w14:textFill>
          <w14:solidFill>
            <w14:schemeClr w14:val="tx1"/>
          </w14:solidFill>
        </w14:textFill>
      </w:rPr>
      <w:t>14</w:t>
    </w:r>
    <w:r>
      <w:rPr>
        <w:rFonts w:ascii="Book Antiqua" w:hAnsi="Book Antiqua"/>
        <w:color w:val="000000" w:themeColor="text1"/>
        <w:sz w:val="24"/>
        <w:szCs w:val="24"/>
        <w14:textFill>
          <w14:solidFill>
            <w14:schemeClr w14:val="tx1"/>
          </w14:solidFill>
        </w14:textFill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 w:eastAsia="zh-CN"/>
        <w14:textFill>
          <w14:solidFill>
            <w14:schemeClr w14:val="tx1"/>
          </w14:solidFill>
        </w14:textFill>
      </w:rPr>
      <w:t xml:space="preserve"> / </w:t>
    </w:r>
    <w:r>
      <w:rPr>
        <w:rFonts w:ascii="Book Antiqua" w:hAnsi="Book Antiqua"/>
        <w:color w:val="000000" w:themeColor="text1"/>
        <w:sz w:val="24"/>
        <w:szCs w:val="24"/>
        <w14:textFill>
          <w14:solidFill>
            <w14:schemeClr w14:val="tx1"/>
          </w14:solidFill>
        </w14:textFill>
      </w:rPr>
      <w:fldChar w:fldCharType="begin"/>
    </w:r>
    <w:r>
      <w:rPr>
        <w:rFonts w:ascii="Book Antiqua" w:hAnsi="Book Antiqua"/>
        <w:color w:val="000000" w:themeColor="text1"/>
        <w:sz w:val="24"/>
        <w:szCs w:val="24"/>
        <w14:textFill>
          <w14:solidFill>
            <w14:schemeClr w14:val="tx1"/>
          </w14:solidFill>
        </w14:textFill>
      </w:rPr>
      <w:instrText xml:space="preserve">NUMPAGES  \* Arabic  \* MERGEFORMAT</w:instrText>
    </w:r>
    <w:r>
      <w:rPr>
        <w:rFonts w:ascii="Book Antiqua" w:hAnsi="Book Antiqua"/>
        <w:color w:val="000000" w:themeColor="text1"/>
        <w:sz w:val="24"/>
        <w:szCs w:val="24"/>
        <w14:textFill>
          <w14:solidFill>
            <w14:schemeClr w14:val="tx1"/>
          </w14:solidFill>
        </w14:textFill>
      </w:rPr>
      <w:fldChar w:fldCharType="separate"/>
    </w:r>
    <w:r>
      <w:rPr>
        <w:rFonts w:ascii="Book Antiqua" w:hAnsi="Book Antiqua"/>
        <w:color w:val="000000" w:themeColor="text1"/>
        <w:sz w:val="24"/>
        <w:szCs w:val="24"/>
        <w:lang w:val="zh-CN" w:eastAsia="zh-CN"/>
        <w14:textFill>
          <w14:solidFill>
            <w14:schemeClr w14:val="tx1"/>
          </w14:solidFill>
        </w14:textFill>
      </w:rPr>
      <w:t>14</w:t>
    </w:r>
    <w:r>
      <w:rPr>
        <w:rFonts w:ascii="Book Antiqua" w:hAnsi="Book Antiqua"/>
        <w:color w:val="000000" w:themeColor="text1"/>
        <w:sz w:val="24"/>
        <w:szCs w:val="24"/>
        <w14:textFill>
          <w14:solidFill>
            <w14:schemeClr w14:val="tx1"/>
          </w14:solidFill>
        </w14:textFill>
      </w:rP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283"/>
  <w:noPunctuationKerning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xMjQ0YTQ0ZmU3OTI5ZWNhNzI4MzQxYjA4YWJlOTIifQ=="/>
  </w:docVars>
  <w:rsids>
    <w:rsidRoot w:val="00A77B3E"/>
    <w:rsid w:val="00033593"/>
    <w:rsid w:val="00051AD2"/>
    <w:rsid w:val="00076A40"/>
    <w:rsid w:val="00127054"/>
    <w:rsid w:val="0014067A"/>
    <w:rsid w:val="00181DAC"/>
    <w:rsid w:val="001E3992"/>
    <w:rsid w:val="00204902"/>
    <w:rsid w:val="002A229E"/>
    <w:rsid w:val="002D06E4"/>
    <w:rsid w:val="00377EA9"/>
    <w:rsid w:val="00395118"/>
    <w:rsid w:val="003A50E4"/>
    <w:rsid w:val="003B0631"/>
    <w:rsid w:val="0040672C"/>
    <w:rsid w:val="004202E2"/>
    <w:rsid w:val="00466745"/>
    <w:rsid w:val="0049616D"/>
    <w:rsid w:val="004C5465"/>
    <w:rsid w:val="004E5B8D"/>
    <w:rsid w:val="004F7F62"/>
    <w:rsid w:val="0051053C"/>
    <w:rsid w:val="005143B1"/>
    <w:rsid w:val="005E0530"/>
    <w:rsid w:val="00676151"/>
    <w:rsid w:val="006A6F40"/>
    <w:rsid w:val="00752F4A"/>
    <w:rsid w:val="00773D77"/>
    <w:rsid w:val="007848B5"/>
    <w:rsid w:val="0083481A"/>
    <w:rsid w:val="00836EBC"/>
    <w:rsid w:val="008A6D35"/>
    <w:rsid w:val="0091108C"/>
    <w:rsid w:val="009708B2"/>
    <w:rsid w:val="009B7222"/>
    <w:rsid w:val="00A63AA5"/>
    <w:rsid w:val="00A74C0F"/>
    <w:rsid w:val="00A77B3E"/>
    <w:rsid w:val="00AC2C22"/>
    <w:rsid w:val="00B107A5"/>
    <w:rsid w:val="00B45C79"/>
    <w:rsid w:val="00BB08C0"/>
    <w:rsid w:val="00BD6FC0"/>
    <w:rsid w:val="00CA2A55"/>
    <w:rsid w:val="00D2775E"/>
    <w:rsid w:val="00DB0BB5"/>
    <w:rsid w:val="00DB5C8C"/>
    <w:rsid w:val="00E07140"/>
    <w:rsid w:val="00E21ADB"/>
    <w:rsid w:val="00E45FE2"/>
    <w:rsid w:val="00E6147C"/>
    <w:rsid w:val="00E6334E"/>
    <w:rsid w:val="00E815EC"/>
    <w:rsid w:val="00E92875"/>
    <w:rsid w:val="00EA740F"/>
    <w:rsid w:val="00ED5631"/>
    <w:rsid w:val="00F139B0"/>
    <w:rsid w:val="00F262E7"/>
    <w:rsid w:val="00FB5915"/>
    <w:rsid w:val="00FD670D"/>
    <w:rsid w:val="00FD6953"/>
    <w:rsid w:val="00FF70F8"/>
    <w:rsid w:val="01F63CDD"/>
    <w:rsid w:val="786A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semiHidden="0" w:name="annotation text"/>
    <w:lsdException w:qFormat="1" w:uiPriority="0" w:semiHidden="0" w:name="header"/>
    <w:lsdException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en-US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unhideWhenUsed/>
    <w:uiPriority w:val="0"/>
  </w:style>
  <w:style w:type="paragraph" w:styleId="3">
    <w:name w:val="Balloon Text"/>
    <w:basedOn w:val="1"/>
    <w:link w:val="15"/>
    <w:qFormat/>
    <w:uiPriority w:val="0"/>
    <w:rPr>
      <w:rFonts w:ascii="Segoe UI" w:hAnsi="Segoe UI" w:cs="Segoe UI"/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4"/>
    <w:semiHidden/>
    <w:unhideWhenUsed/>
    <w:qFormat/>
    <w:uiPriority w:val="0"/>
    <w:rPr>
      <w:b/>
      <w:bCs/>
    </w:rPr>
  </w:style>
  <w:style w:type="character" w:styleId="9">
    <w:name w:val="annotation reference"/>
    <w:basedOn w:val="8"/>
    <w:semiHidden/>
    <w:unhideWhenUsed/>
    <w:qFormat/>
    <w:uiPriority w:val="0"/>
    <w:rPr>
      <w:sz w:val="21"/>
      <w:szCs w:val="21"/>
    </w:rPr>
  </w:style>
  <w:style w:type="character" w:customStyle="1" w:styleId="10">
    <w:name w:val="页眉 字符"/>
    <w:basedOn w:val="8"/>
    <w:link w:val="5"/>
    <w:qFormat/>
    <w:uiPriority w:val="0"/>
    <w:rPr>
      <w:sz w:val="18"/>
      <w:szCs w:val="18"/>
    </w:rPr>
  </w:style>
  <w:style w:type="character" w:customStyle="1" w:styleId="11">
    <w:name w:val="页脚 字符"/>
    <w:basedOn w:val="8"/>
    <w:link w:val="4"/>
    <w:uiPriority w:val="99"/>
    <w:rPr>
      <w:sz w:val="18"/>
      <w:szCs w:val="18"/>
    </w:rPr>
  </w:style>
  <w:style w:type="paragraph" w:customStyle="1" w:styleId="12">
    <w:name w:val="Revision"/>
    <w:hidden/>
    <w:semiHidden/>
    <w:qFormat/>
    <w:uiPriority w:val="99"/>
    <w:rPr>
      <w:rFonts w:ascii="Times New Roman" w:hAnsi="Times New Roman" w:cs="Times New Roman" w:eastAsiaTheme="minorEastAsia"/>
      <w:sz w:val="24"/>
      <w:szCs w:val="24"/>
      <w:lang w:val="en-US" w:eastAsia="en-US" w:bidi="ar-SA"/>
    </w:rPr>
  </w:style>
  <w:style w:type="character" w:customStyle="1" w:styleId="13">
    <w:name w:val="批注文字 字符"/>
    <w:basedOn w:val="8"/>
    <w:link w:val="2"/>
    <w:uiPriority w:val="0"/>
    <w:rPr>
      <w:sz w:val="24"/>
      <w:szCs w:val="24"/>
    </w:rPr>
  </w:style>
  <w:style w:type="character" w:customStyle="1" w:styleId="14">
    <w:name w:val="批注主题 字符"/>
    <w:basedOn w:val="13"/>
    <w:link w:val="6"/>
    <w:semiHidden/>
    <w:qFormat/>
    <w:uiPriority w:val="0"/>
    <w:rPr>
      <w:b/>
      <w:bCs/>
      <w:sz w:val="24"/>
      <w:szCs w:val="24"/>
    </w:rPr>
  </w:style>
  <w:style w:type="character" w:customStyle="1" w:styleId="15">
    <w:name w:val="批注框文本 字符"/>
    <w:basedOn w:val="8"/>
    <w:link w:val="3"/>
    <w:qFormat/>
    <w:uiPriority w:val="0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E20B-E89B-48DA-A778-CCDAF639F4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15</Pages>
  <Words>2973</Words>
  <Characters>17793</Characters>
  <Lines>144</Lines>
  <Paragraphs>40</Paragraphs>
  <TotalTime>0</TotalTime>
  <ScaleCrop>false</ScaleCrop>
  <LinksUpToDate>false</LinksUpToDate>
  <CharactersWithSpaces>20659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2022-05-11T06:47:00Z</dcterms:created>
  <dc:creator>Rossi Gemma</dc:creator>
  <cp:lastModifiedBy>晓晨</cp:lastModifiedBy>
  <dcterms:modified xsi:type="dcterms:W3CDTF">2022-06-24T01:37:44Z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1E38726E589B47129ED052338306B5EF</vt:lpwstr>
  </property>
</Properties>
</file>