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9A8E3"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60DED0"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70866</w:t>
      </w:r>
    </w:p>
    <w:p w14:paraId="04509CF2"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3A1990D" w14:textId="77777777" w:rsidR="00FA3684" w:rsidRDefault="00FA3684">
      <w:pPr>
        <w:spacing w:line="360" w:lineRule="auto"/>
        <w:jc w:val="both"/>
        <w:rPr>
          <w:rFonts w:ascii="Book Antiqua" w:hAnsi="Book Antiqua"/>
        </w:rPr>
      </w:pPr>
    </w:p>
    <w:p w14:paraId="097956DA" w14:textId="77777777" w:rsidR="00FA3684" w:rsidRDefault="00471DDD">
      <w:pPr>
        <w:spacing w:line="360" w:lineRule="auto"/>
        <w:jc w:val="both"/>
        <w:rPr>
          <w:rFonts w:ascii="Book Antiqua" w:hAnsi="Book Antiqua"/>
          <w:lang w:eastAsia="zh-CN"/>
        </w:rPr>
      </w:pPr>
      <w:bookmarkStart w:id="0" w:name="OLE_LINK621"/>
      <w:bookmarkStart w:id="1" w:name="OLE_LINK615"/>
      <w:bookmarkStart w:id="2" w:name="OLE_LINK616"/>
      <w:r>
        <w:rPr>
          <w:rFonts w:ascii="Book Antiqua" w:eastAsia="Book Antiqua" w:hAnsi="Book Antiqua" w:cs="Book Antiqua"/>
          <w:b/>
          <w:color w:val="000000"/>
        </w:rPr>
        <w:t>Intramedullary nailing for pathological fractures of the proximal humerus caused by multiple myeloma: A case report and review</w:t>
      </w:r>
      <w:r>
        <w:rPr>
          <w:rFonts w:ascii="Book Antiqua" w:hAnsi="Book Antiqua" w:cs="Book Antiqua"/>
          <w:b/>
          <w:color w:val="000000"/>
          <w:lang w:eastAsia="zh-CN"/>
        </w:rPr>
        <w:t xml:space="preserve"> of </w:t>
      </w:r>
      <w:r>
        <w:rPr>
          <w:rFonts w:ascii="Book Antiqua" w:eastAsia="Book Antiqua" w:hAnsi="Book Antiqua" w:cs="Book Antiqua"/>
          <w:b/>
          <w:color w:val="000000"/>
        </w:rPr>
        <w:t>literature</w:t>
      </w:r>
    </w:p>
    <w:bookmarkEnd w:id="0"/>
    <w:bookmarkEnd w:id="1"/>
    <w:bookmarkEnd w:id="2"/>
    <w:p w14:paraId="0F05957B" w14:textId="77777777" w:rsidR="00FA3684" w:rsidRDefault="00FA3684">
      <w:pPr>
        <w:spacing w:line="360" w:lineRule="auto"/>
        <w:jc w:val="both"/>
        <w:rPr>
          <w:rFonts w:ascii="Book Antiqua" w:hAnsi="Book Antiqua"/>
        </w:rPr>
      </w:pPr>
    </w:p>
    <w:p w14:paraId="64445092"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 xml:space="preserve">Xu </w:t>
      </w:r>
      <w:r>
        <w:rPr>
          <w:rFonts w:ascii="Book Antiqua" w:hAnsi="Book Antiqua" w:cs="Book Antiqua" w:hint="eastAsia"/>
          <w:color w:val="000000"/>
          <w:lang w:eastAsia="zh-CN"/>
        </w:rPr>
        <w:t xml:space="preserve">GQ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Forty </w:t>
      </w:r>
      <w:r>
        <w:rPr>
          <w:rFonts w:ascii="Book Antiqua" w:eastAsia="Book Antiqua" w:hAnsi="Book Antiqua" w:cs="Book Antiqua"/>
          <w:color w:val="000000"/>
        </w:rPr>
        <w:t>mo</w:t>
      </w:r>
      <w:r>
        <w:rPr>
          <w:rFonts w:ascii="Book Antiqua" w:hAnsi="Book Antiqua" w:cs="Book Antiqua" w:hint="eastAsia"/>
          <w:color w:val="000000"/>
          <w:lang w:eastAsia="zh-CN"/>
        </w:rPr>
        <w:t>nths</w:t>
      </w:r>
      <w:r>
        <w:rPr>
          <w:rFonts w:ascii="Book Antiqua" w:hAnsi="Book Antiqua" w:cs="Book Antiqua"/>
          <w:color w:val="000000"/>
          <w:lang w:eastAsia="zh-CN"/>
        </w:rPr>
        <w:t xml:space="preserve"> </w:t>
      </w:r>
      <w:r>
        <w:rPr>
          <w:rFonts w:ascii="Book Antiqua" w:eastAsia="Book Antiqua" w:hAnsi="Book Antiqua" w:cs="Book Antiqua"/>
          <w:color w:val="000000"/>
        </w:rPr>
        <w:t>follow-up of pathological fractures</w:t>
      </w:r>
    </w:p>
    <w:p w14:paraId="2BD3D66B" w14:textId="77777777" w:rsidR="00FA3684" w:rsidRDefault="00FA3684">
      <w:pPr>
        <w:spacing w:line="360" w:lineRule="auto"/>
        <w:jc w:val="both"/>
        <w:rPr>
          <w:rFonts w:ascii="Book Antiqua" w:hAnsi="Book Antiqua"/>
        </w:rPr>
      </w:pPr>
    </w:p>
    <w:p w14:paraId="78D5977E" w14:textId="77777777" w:rsidR="00FA3684" w:rsidRDefault="00471DDD">
      <w:pPr>
        <w:spacing w:line="360" w:lineRule="auto"/>
        <w:jc w:val="both"/>
        <w:rPr>
          <w:rFonts w:ascii="Book Antiqua" w:hAnsi="Book Antiqua"/>
        </w:rPr>
      </w:pPr>
      <w:bookmarkStart w:id="3" w:name="OLE_LINK870"/>
      <w:bookmarkStart w:id="4" w:name="OLE_LINK869"/>
      <w:r>
        <w:rPr>
          <w:rFonts w:ascii="Book Antiqua" w:eastAsia="Book Antiqua" w:hAnsi="Book Antiqua" w:cs="Book Antiqua"/>
          <w:color w:val="000000"/>
        </w:rPr>
        <w:t>Guo</w:t>
      </w:r>
      <w:r>
        <w:rPr>
          <w:rFonts w:ascii="Book Antiqua" w:hAnsi="Book Antiqua" w:cs="Book Antiqua"/>
          <w:color w:val="000000"/>
          <w:lang w:eastAsia="zh-CN"/>
        </w:rPr>
        <w:t>-</w:t>
      </w:r>
      <w:r>
        <w:rPr>
          <w:rFonts w:ascii="Book Antiqua" w:eastAsia="Book Antiqua" w:hAnsi="Book Antiqua" w:cs="Book Antiqua"/>
          <w:color w:val="000000"/>
        </w:rPr>
        <w:t>Qiang</w:t>
      </w:r>
      <w:bookmarkEnd w:id="3"/>
      <w:bookmarkEnd w:id="4"/>
      <w:r>
        <w:rPr>
          <w:rFonts w:ascii="Book Antiqua" w:eastAsia="Book Antiqua" w:hAnsi="Book Antiqua" w:cs="Book Antiqua"/>
          <w:color w:val="000000"/>
        </w:rPr>
        <w:t xml:space="preserve"> Xu, Gang Wang, </w:t>
      </w:r>
      <w:bookmarkStart w:id="5" w:name="OLE_LINK872"/>
      <w:bookmarkStart w:id="6" w:name="OLE_LINK871"/>
      <w:r>
        <w:rPr>
          <w:rFonts w:ascii="Book Antiqua" w:eastAsia="Book Antiqua" w:hAnsi="Book Antiqua" w:cs="Book Antiqua"/>
          <w:color w:val="000000"/>
        </w:rPr>
        <w:t>Xiao</w:t>
      </w:r>
      <w:r>
        <w:rPr>
          <w:rFonts w:ascii="Book Antiqua" w:hAnsi="Book Antiqua" w:cs="Book Antiqua"/>
          <w:color w:val="000000"/>
          <w:lang w:eastAsia="zh-CN"/>
        </w:rPr>
        <w:t>-</w:t>
      </w:r>
      <w:r>
        <w:rPr>
          <w:rFonts w:ascii="Book Antiqua" w:eastAsia="Book Antiqua" w:hAnsi="Book Antiqua" w:cs="Book Antiqua"/>
          <w:color w:val="000000"/>
        </w:rPr>
        <w:t>Dong</w:t>
      </w:r>
      <w:bookmarkEnd w:id="5"/>
      <w:bookmarkEnd w:id="6"/>
      <w:r>
        <w:rPr>
          <w:rFonts w:ascii="Book Antiqua" w:eastAsia="Book Antiqua" w:hAnsi="Book Antiqua" w:cs="Book Antiqua"/>
          <w:color w:val="000000"/>
        </w:rPr>
        <w:t xml:space="preserve"> Bai, </w:t>
      </w:r>
      <w:bookmarkStart w:id="7" w:name="OLE_LINK873"/>
      <w:bookmarkStart w:id="8" w:name="OLE_LINK874"/>
      <w:r>
        <w:rPr>
          <w:rFonts w:ascii="Book Antiqua" w:eastAsia="Book Antiqua" w:hAnsi="Book Antiqua" w:cs="Book Antiqua"/>
          <w:color w:val="000000"/>
        </w:rPr>
        <w:t>Xin</w:t>
      </w:r>
      <w:r>
        <w:rPr>
          <w:rFonts w:ascii="Book Antiqua" w:hAnsi="Book Antiqua" w:cs="Book Antiqua"/>
          <w:color w:val="000000"/>
          <w:lang w:eastAsia="zh-CN"/>
        </w:rPr>
        <w:t>-</w:t>
      </w:r>
      <w:r>
        <w:rPr>
          <w:rFonts w:ascii="Book Antiqua" w:eastAsia="Book Antiqua" w:hAnsi="Book Antiqua" w:cs="Book Antiqua"/>
          <w:color w:val="000000"/>
        </w:rPr>
        <w:t>Jia</w:t>
      </w:r>
      <w:bookmarkEnd w:id="7"/>
      <w:bookmarkEnd w:id="8"/>
      <w:r>
        <w:rPr>
          <w:rFonts w:ascii="Book Antiqua" w:eastAsia="Book Antiqua" w:hAnsi="Book Antiqua" w:cs="Book Antiqua"/>
          <w:color w:val="000000"/>
        </w:rPr>
        <w:t xml:space="preserve"> Wang</w:t>
      </w:r>
    </w:p>
    <w:p w14:paraId="3521A7B2" w14:textId="77777777" w:rsidR="00FA3684" w:rsidRDefault="00FA3684">
      <w:pPr>
        <w:spacing w:line="360" w:lineRule="auto"/>
        <w:jc w:val="both"/>
        <w:rPr>
          <w:rFonts w:ascii="Book Antiqua" w:hAnsi="Book Antiqua"/>
        </w:rPr>
      </w:pPr>
    </w:p>
    <w:p w14:paraId="672B394B"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 xml:space="preserve">Guo-Qiang Xu, Gang Wang, Xiao-Dong Bai, </w:t>
      </w:r>
      <w:r>
        <w:rPr>
          <w:rFonts w:ascii="Book Antiqua" w:eastAsia="Book Antiqua" w:hAnsi="Book Antiqua" w:cs="Book Antiqua"/>
          <w:color w:val="000000"/>
        </w:rPr>
        <w:t xml:space="preserve">Department of Orthopedics, Beijing Friendship Hospital, Capital Medical University, Beijing 100050, </w:t>
      </w:r>
      <w:bookmarkStart w:id="9" w:name="OLE_LINK618"/>
      <w:bookmarkStart w:id="10" w:name="OLE_LINK617"/>
      <w:r>
        <w:rPr>
          <w:rFonts w:ascii="Book Antiqua" w:eastAsia="Book Antiqua" w:hAnsi="Book Antiqua" w:cs="Book Antiqua"/>
          <w:color w:val="000000"/>
        </w:rPr>
        <w:t>China</w:t>
      </w:r>
      <w:bookmarkEnd w:id="9"/>
      <w:bookmarkEnd w:id="10"/>
    </w:p>
    <w:p w14:paraId="0041E617" w14:textId="77777777" w:rsidR="00FA3684" w:rsidRDefault="00FA3684">
      <w:pPr>
        <w:spacing w:line="360" w:lineRule="auto"/>
        <w:jc w:val="both"/>
        <w:rPr>
          <w:rFonts w:ascii="Book Antiqua" w:hAnsi="Book Antiqua"/>
          <w:lang w:eastAsia="zh-CN"/>
        </w:rPr>
      </w:pPr>
    </w:p>
    <w:p w14:paraId="7B24ACC9" w14:textId="77777777" w:rsidR="00FA3684" w:rsidRDefault="00471DDD">
      <w:pPr>
        <w:spacing w:line="360" w:lineRule="auto"/>
        <w:jc w:val="both"/>
        <w:rPr>
          <w:rFonts w:ascii="Book Antiqua" w:hAnsi="Book Antiqua"/>
        </w:rPr>
      </w:pPr>
      <w:bookmarkStart w:id="11" w:name="OLE_LINK860"/>
      <w:bookmarkStart w:id="12" w:name="OLE_LINK861"/>
      <w:r>
        <w:rPr>
          <w:rFonts w:ascii="Book Antiqua" w:eastAsia="Book Antiqua" w:hAnsi="Book Antiqua" w:cs="Book Antiqua"/>
          <w:b/>
          <w:bCs/>
          <w:color w:val="000000"/>
        </w:rPr>
        <w:t>Xin-Jia Wang</w:t>
      </w:r>
      <w:bookmarkEnd w:id="11"/>
      <w:bookmarkEnd w:id="12"/>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Pediatrics, Beijing Friendship Hospital, Capital Medical University, Beijing 100050, China</w:t>
      </w:r>
    </w:p>
    <w:p w14:paraId="49059035" w14:textId="77777777" w:rsidR="00FA3684" w:rsidRDefault="00FA3684">
      <w:pPr>
        <w:spacing w:line="360" w:lineRule="auto"/>
        <w:jc w:val="both"/>
        <w:rPr>
          <w:rFonts w:ascii="Book Antiqua" w:hAnsi="Book Antiqua"/>
        </w:rPr>
      </w:pPr>
    </w:p>
    <w:p w14:paraId="757A2CC6" w14:textId="77777777" w:rsidR="00FA3684" w:rsidRDefault="00471DD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w:t>
      </w:r>
      <w:r>
        <w:rPr>
          <w:rFonts w:ascii="Book Antiqua" w:hAnsi="Book Antiqua" w:cs="Book Antiqua"/>
          <w:color w:val="000000"/>
          <w:lang w:eastAsia="zh-CN"/>
        </w:rPr>
        <w:t xml:space="preserve"> GQ </w:t>
      </w:r>
      <w:r>
        <w:rPr>
          <w:rFonts w:ascii="Book Antiqua" w:eastAsia="Book Antiqua" w:hAnsi="Book Antiqua" w:cs="Book Antiqua"/>
          <w:color w:val="000000"/>
        </w:rPr>
        <w:t>wrote and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edited the article; Wang </w:t>
      </w:r>
      <w:r>
        <w:rPr>
          <w:rFonts w:ascii="Book Antiqua" w:hAnsi="Book Antiqua" w:cs="Book Antiqua"/>
          <w:color w:val="000000"/>
          <w:lang w:eastAsia="zh-CN"/>
        </w:rPr>
        <w:t xml:space="preserve">G </w:t>
      </w:r>
      <w:r>
        <w:rPr>
          <w:rFonts w:ascii="Book Antiqua" w:eastAsia="Book Antiqua" w:hAnsi="Book Antiqua" w:cs="Book Antiqua"/>
          <w:color w:val="000000"/>
        </w:rPr>
        <w:t xml:space="preserve">reviewed the literature; Bai </w:t>
      </w:r>
      <w:r>
        <w:rPr>
          <w:rFonts w:ascii="Book Antiqua" w:hAnsi="Book Antiqua" w:cs="Book Antiqua"/>
          <w:color w:val="000000"/>
          <w:lang w:eastAsia="zh-CN"/>
        </w:rPr>
        <w:t xml:space="preserve">XD </w:t>
      </w:r>
      <w:r>
        <w:rPr>
          <w:rFonts w:ascii="Book Antiqua" w:eastAsia="Book Antiqua" w:hAnsi="Book Antiqua" w:cs="Book Antiqua"/>
          <w:color w:val="000000"/>
        </w:rPr>
        <w:t>collected information on the current case</w:t>
      </w:r>
      <w:r>
        <w:rPr>
          <w:rFonts w:ascii="Book Antiqua" w:hAnsi="Book Antiqua" w:cs="Book Antiqua"/>
          <w:color w:val="000000"/>
          <w:lang w:eastAsia="zh-CN"/>
        </w:rPr>
        <w:t>;</w:t>
      </w:r>
      <w:r>
        <w:rPr>
          <w:rFonts w:ascii="Book Antiqua" w:eastAsia="Book Antiqua" w:hAnsi="Book Antiqua" w:cs="Book Antiqua"/>
          <w:color w:val="000000"/>
        </w:rPr>
        <w:t xml:space="preserve"> Wang </w:t>
      </w:r>
      <w:r>
        <w:rPr>
          <w:rFonts w:ascii="Book Antiqua" w:hAnsi="Book Antiqua" w:cs="Book Antiqua"/>
          <w:color w:val="000000"/>
          <w:lang w:eastAsia="zh-CN"/>
        </w:rPr>
        <w:t xml:space="preserve">XJ </w:t>
      </w:r>
      <w:r>
        <w:rPr>
          <w:rFonts w:ascii="Book Antiqua" w:eastAsia="Book Antiqua" w:hAnsi="Book Antiqua" w:cs="Book Antiqua"/>
          <w:color w:val="000000"/>
        </w:rPr>
        <w:t>revised the manuscript for important intellectual content</w:t>
      </w:r>
      <w:r>
        <w:rPr>
          <w:rFonts w:ascii="Book Antiqua" w:hAnsi="Book Antiqua" w:cs="Book Antiqua"/>
          <w:color w:val="000000"/>
          <w:lang w:eastAsia="zh-CN"/>
        </w:rPr>
        <w:t>; and</w:t>
      </w:r>
      <w:r>
        <w:rPr>
          <w:rFonts w:ascii="Book Antiqua" w:eastAsia="Book Antiqua" w:hAnsi="Book Antiqua" w:cs="Book Antiqua"/>
          <w:color w:val="000000"/>
        </w:rPr>
        <w:t xml:space="preserve"> All authors gave final approval of the version to be submitted.</w:t>
      </w:r>
    </w:p>
    <w:p w14:paraId="6B149ADE" w14:textId="77777777" w:rsidR="00FA3684" w:rsidRDefault="00FA3684">
      <w:pPr>
        <w:spacing w:line="360" w:lineRule="auto"/>
        <w:jc w:val="both"/>
        <w:rPr>
          <w:rFonts w:ascii="Book Antiqua" w:hAnsi="Book Antiqua"/>
          <w:lang w:eastAsia="zh-CN"/>
        </w:rPr>
      </w:pPr>
    </w:p>
    <w:p w14:paraId="10862911"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 xml:space="preserve">Corresponding author: Xin-Jia Wang, BMed, Doctor, Associate Chief Physician, </w:t>
      </w:r>
      <w:r>
        <w:rPr>
          <w:rFonts w:ascii="Book Antiqua" w:eastAsia="Book Antiqua" w:hAnsi="Book Antiqua" w:cs="Book Antiqua"/>
          <w:color w:val="000000"/>
        </w:rPr>
        <w:t>Department of Pediatrics, Beijing Friendship Hospital, Capital Medical University, 95 Yonganlu, Xicheng District, Beijing 100050, China. docxjwang@163.com</w:t>
      </w:r>
    </w:p>
    <w:p w14:paraId="05E232BE" w14:textId="77777777" w:rsidR="00FA3684" w:rsidRDefault="00FA3684">
      <w:pPr>
        <w:spacing w:line="360" w:lineRule="auto"/>
        <w:jc w:val="both"/>
        <w:rPr>
          <w:rFonts w:ascii="Book Antiqua" w:hAnsi="Book Antiqua"/>
        </w:rPr>
      </w:pPr>
    </w:p>
    <w:p w14:paraId="51C15407"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3, 2021</w:t>
      </w:r>
    </w:p>
    <w:p w14:paraId="00C16272" w14:textId="77777777" w:rsidR="00FA3684" w:rsidRDefault="00471DDD">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February</w:t>
      </w:r>
      <w:r>
        <w:rPr>
          <w:rFonts w:ascii="Book Antiqua" w:hAnsi="Book Antiqua" w:cs="Book Antiqua"/>
          <w:bCs/>
          <w:color w:val="000000"/>
          <w:lang w:eastAsia="zh-CN"/>
        </w:rPr>
        <w:t xml:space="preserve"> 9, 2022</w:t>
      </w:r>
    </w:p>
    <w:p w14:paraId="15EA50FC"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Accepted:</w:t>
      </w:r>
      <w:r>
        <w:t xml:space="preserve"> </w:t>
      </w:r>
      <w:r w:rsidRPr="00075D43">
        <w:rPr>
          <w:rFonts w:ascii="Book Antiqua" w:eastAsia="Book Antiqua" w:hAnsi="Book Antiqua" w:cs="Book Antiqua"/>
          <w:color w:val="000000"/>
        </w:rPr>
        <w:t>February 27, 2022</w:t>
      </w:r>
    </w:p>
    <w:p w14:paraId="59319569" w14:textId="77777777" w:rsidR="00FA3684" w:rsidRDefault="00471DDD">
      <w:pPr>
        <w:spacing w:line="360" w:lineRule="auto"/>
        <w:jc w:val="both"/>
        <w:rPr>
          <w:rFonts w:ascii="Book Antiqua" w:eastAsia="宋体" w:hAnsi="Book Antiqua"/>
          <w:lang w:eastAsia="zh-CN"/>
        </w:rPr>
      </w:pPr>
      <w:r>
        <w:rPr>
          <w:rFonts w:ascii="Book Antiqua" w:eastAsia="Book Antiqua" w:hAnsi="Book Antiqua" w:cs="Book Antiqua"/>
          <w:b/>
          <w:bCs/>
          <w:color w:val="000000"/>
        </w:rPr>
        <w:lastRenderedPageBreak/>
        <w:t>Published online:</w:t>
      </w:r>
      <w:r>
        <w:rPr>
          <w:rFonts w:ascii="Book Antiqua" w:eastAsia="宋体" w:hAnsi="Book Antiqua" w:cs="Book Antiqua" w:hint="eastAsia"/>
          <w:b/>
          <w:bCs/>
          <w:color w:val="000000"/>
          <w:lang w:eastAsia="zh-CN"/>
        </w:rPr>
        <w:t xml:space="preserve"> </w:t>
      </w:r>
      <w:r w:rsidRPr="00075D43">
        <w:rPr>
          <w:rFonts w:ascii="Book Antiqua" w:eastAsia="Book Antiqua" w:hAnsi="Book Antiqua" w:cs="Book Antiqua"/>
          <w:color w:val="000000"/>
          <w:shd w:val="clear" w:color="auto" w:fill="FFFFFF"/>
        </w:rPr>
        <w:t>April 16, 2022</w:t>
      </w:r>
    </w:p>
    <w:p w14:paraId="5E3DB585" w14:textId="77777777" w:rsidR="00FA3684" w:rsidRDefault="00FA3684">
      <w:pPr>
        <w:spacing w:line="360" w:lineRule="auto"/>
        <w:jc w:val="both"/>
        <w:rPr>
          <w:rFonts w:ascii="Book Antiqua" w:hAnsi="Book Antiqua"/>
        </w:rPr>
      </w:pPr>
    </w:p>
    <w:p w14:paraId="0069A5B5" w14:textId="77777777" w:rsidR="00FA3684" w:rsidRDefault="00FA3684">
      <w:pPr>
        <w:spacing w:line="360" w:lineRule="auto"/>
        <w:jc w:val="both"/>
        <w:rPr>
          <w:rFonts w:ascii="Book Antiqua" w:hAnsi="Book Antiqua"/>
        </w:rPr>
        <w:sectPr w:rsidR="00FA3684">
          <w:footerReference w:type="default" r:id="rId7"/>
          <w:pgSz w:w="12240" w:h="15840"/>
          <w:pgMar w:top="1440" w:right="1440" w:bottom="1440" w:left="1440" w:header="720" w:footer="720" w:gutter="0"/>
          <w:cols w:space="720"/>
          <w:docGrid w:linePitch="360"/>
        </w:sectPr>
      </w:pPr>
    </w:p>
    <w:p w14:paraId="7006C3ED"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E975DA0"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BACKGROUND</w:t>
      </w:r>
    </w:p>
    <w:p w14:paraId="1FEF9506" w14:textId="77777777" w:rsidR="00FA3684" w:rsidRDefault="00471DDD">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Multiple myeloma </w:t>
      </w:r>
      <w:r>
        <w:rPr>
          <w:rFonts w:ascii="Book Antiqua" w:hAnsi="Book Antiqua" w:cs="Book Antiqua"/>
          <w:color w:val="000000"/>
          <w:shd w:val="clear" w:color="auto" w:fill="FFFFFF"/>
          <w:lang w:eastAsia="zh-CN"/>
        </w:rPr>
        <w:t xml:space="preserve">(MM) </w:t>
      </w:r>
      <w:r>
        <w:rPr>
          <w:rFonts w:ascii="Book Antiqua" w:eastAsia="Book Antiqua" w:hAnsi="Book Antiqua" w:cs="Book Antiqua"/>
          <w:color w:val="000000"/>
          <w:shd w:val="clear" w:color="auto" w:fill="FFFFFF"/>
        </w:rPr>
        <w:t>bone disease (MMBD) is indicative of</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MM, and</w:t>
      </w:r>
      <w:proofErr w:type="gramEnd"/>
      <w:r>
        <w:rPr>
          <w:rFonts w:ascii="Book Antiqua" w:eastAsia="Book Antiqua" w:hAnsi="Book Antiqua" w:cs="Book Antiqua"/>
          <w:color w:val="000000"/>
        </w:rPr>
        <w:t xml:space="preserve"> reduces patient life quality. In addition to oncological, antineoplastic systemic therapy, surgical therapy in patients with MM is an essential treatment within the framework of supportive therapy measures and involves orthopedic tumor surgery. Nevertheless, there are few reports on</w:t>
      </w:r>
      <w:r>
        <w:rPr>
          <w:rFonts w:ascii="Book Antiqua" w:eastAsia="Book Antiqua" w:hAnsi="Book Antiqua" w:cs="Book Antiqua"/>
          <w:color w:val="000000"/>
          <w:shd w:val="clear" w:color="auto" w:fill="FFFFFF"/>
        </w:rPr>
        <w:t xml:space="preserve"> intramedullary (IM) nailing in the treatment of MM-induced proximal humeral fracture to prevent fixation loss. We here describe a case of pathological fracture of the proximal humerus caused by MM successfully treated with IM nailing without removal of tumors and a review of the current literature.</w:t>
      </w:r>
    </w:p>
    <w:p w14:paraId="4534CF1C" w14:textId="77777777" w:rsidR="00FA3684" w:rsidRDefault="00FA3684">
      <w:pPr>
        <w:spacing w:line="360" w:lineRule="auto"/>
        <w:jc w:val="both"/>
        <w:rPr>
          <w:rFonts w:ascii="Book Antiqua" w:hAnsi="Book Antiqua"/>
        </w:rPr>
      </w:pPr>
    </w:p>
    <w:p w14:paraId="15FA4D66"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CASE SUMMARY</w:t>
      </w:r>
    </w:p>
    <w:p w14:paraId="3E780EEE" w14:textId="77777777" w:rsidR="00FA3684" w:rsidRDefault="00471DDD">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A 64-year-old male patient complaining of serious left shoulder pain and limited movement was admitted. The patient was finally diagnosed </w:t>
      </w:r>
      <w:r>
        <w:rPr>
          <w:rStyle w:val="15"/>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MM (IgAλ, IIIA/II). After treatment of the pathological fracture with IM nailing, the patient's function </w:t>
      </w:r>
      <w:proofErr w:type="gramStart"/>
      <w:r>
        <w:rPr>
          <w:rFonts w:ascii="Book Antiqua" w:eastAsia="Book Antiqua" w:hAnsi="Book Antiqua" w:cs="Book Antiqua"/>
          <w:color w:val="000000"/>
          <w:shd w:val="clear" w:color="auto" w:fill="FFFFFF"/>
        </w:rPr>
        <w:t>recovered</w:t>
      </w:r>
      <w:proofErr w:type="gramEnd"/>
      <w:r>
        <w:rPr>
          <w:rFonts w:ascii="Book Antiqua" w:eastAsia="Book Antiqua" w:hAnsi="Book Antiqua" w:cs="Book Antiqua"/>
          <w:color w:val="000000"/>
          <w:shd w:val="clear" w:color="auto" w:fill="FFFFFF"/>
        </w:rPr>
        <w:t xml:space="preserve"> and his pain was rapidly relieved. Histopathological examination demonstrated plasma cell myeloma. The patient received chemotherapy in the Hematology Department. The humeral fracture displayed good union during the 40-mo follow-up, with complete healing of the fracture, and the clinical outcome was satisfactory. At the most recent follow-up, the patient's function was assessed using the Musculoskeletal Tumor Society score, which was 29.</w:t>
      </w:r>
    </w:p>
    <w:p w14:paraId="1EE1A83D" w14:textId="77777777" w:rsidR="00FA3684" w:rsidRDefault="00FA3684">
      <w:pPr>
        <w:spacing w:line="360" w:lineRule="auto"/>
        <w:jc w:val="both"/>
        <w:rPr>
          <w:rFonts w:ascii="Book Antiqua" w:hAnsi="Book Antiqua"/>
        </w:rPr>
      </w:pPr>
    </w:p>
    <w:p w14:paraId="51FFF597"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CONCLUSION</w:t>
      </w:r>
    </w:p>
    <w:p w14:paraId="637D7BFE" w14:textId="77777777" w:rsidR="00FA3684" w:rsidRDefault="00471DDD">
      <w:pPr>
        <w:spacing w:line="360" w:lineRule="auto"/>
        <w:jc w:val="both"/>
        <w:rPr>
          <w:rFonts w:ascii="Book Antiqua" w:hAnsi="Book Antiqua"/>
        </w:rPr>
      </w:pPr>
      <w:r>
        <w:rPr>
          <w:rFonts w:ascii="Book Antiqua" w:eastAsia="Book Antiqua" w:hAnsi="Book Antiqua" w:cs="Book Antiqua"/>
          <w:color w:val="000000"/>
          <w:shd w:val="clear" w:color="auto" w:fill="FFFFFF"/>
        </w:rPr>
        <w:t>Early surgery should be performed for the fracture of the proximal humerus caused by MM. IM nailing can be used without removal of tumors. Bone cement augmentation for bone defects</w:t>
      </w:r>
      <w:r>
        <w:rPr>
          <w:rFonts w:ascii="Book Antiqua" w:eastAsia="Book Antiqua" w:hAnsi="Book Antiqua" w:cs="Book Antiqua"/>
          <w:color w:val="000000"/>
        </w:rPr>
        <w:t xml:space="preserve"> and local adjuvant thera</w:t>
      </w:r>
      <w:r>
        <w:rPr>
          <w:rFonts w:ascii="Book Antiqua" w:eastAsia="Book Antiqua" w:hAnsi="Book Antiqua" w:cs="Book Antiqua"/>
          <w:color w:val="000000"/>
          <w:shd w:val="clear" w:color="auto" w:fill="FFFFFF"/>
        </w:rPr>
        <w:t>py can also be employed.</w:t>
      </w:r>
    </w:p>
    <w:p w14:paraId="600AACD1" w14:textId="77777777" w:rsidR="00FA3684" w:rsidRDefault="00FA3684">
      <w:pPr>
        <w:spacing w:line="360" w:lineRule="auto"/>
        <w:jc w:val="both"/>
        <w:rPr>
          <w:rFonts w:ascii="Book Antiqua" w:hAnsi="Book Antiqua"/>
        </w:rPr>
      </w:pPr>
    </w:p>
    <w:p w14:paraId="1494BD33"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Multiple myeloma; Bone disease; Pathological fractures; Intramedullary nailing; Surgical therapy; Case report</w:t>
      </w:r>
    </w:p>
    <w:p w14:paraId="292AF6E4" w14:textId="77777777" w:rsidR="00FA3684" w:rsidRDefault="00FA3684">
      <w:pPr>
        <w:spacing w:line="360" w:lineRule="auto"/>
        <w:jc w:val="both"/>
        <w:rPr>
          <w:rFonts w:ascii="Book Antiqua" w:hAnsi="Book Antiqua"/>
        </w:rPr>
      </w:pPr>
    </w:p>
    <w:p w14:paraId="2FEA0931" w14:textId="77777777" w:rsidR="005E4EE0" w:rsidRPr="00E61B50" w:rsidRDefault="005E4EE0" w:rsidP="005E4EE0">
      <w:pPr>
        <w:spacing w:line="360" w:lineRule="auto"/>
        <w:jc w:val="both"/>
        <w:rPr>
          <w:rFonts w:ascii="Book Antiqua" w:eastAsia="Book Antiqua" w:hAnsi="Book Antiqua" w:cs="Book Antiqua"/>
          <w:color w:val="000000"/>
        </w:rPr>
      </w:pPr>
      <w:bookmarkStart w:id="13" w:name="_Hlk88512344"/>
      <w:bookmarkStart w:id="14" w:name="_Hlk88512883"/>
      <w:bookmarkStart w:id="15" w:name="_Hlk88513225"/>
      <w:bookmarkStart w:id="16"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13"/>
      <w:r w:rsidRPr="00E61B50">
        <w:rPr>
          <w:rFonts w:ascii="Book Antiqua" w:eastAsia="Book Antiqua" w:hAnsi="Book Antiqua" w:cs="Book Antiqua"/>
          <w:color w:val="000000"/>
        </w:rPr>
        <w:t xml:space="preserve"> </w:t>
      </w:r>
    </w:p>
    <w:bookmarkEnd w:id="14"/>
    <w:p w14:paraId="406F75E4" w14:textId="77777777" w:rsidR="005E4EE0" w:rsidRPr="00E61B50" w:rsidRDefault="005E4EE0" w:rsidP="005E4EE0">
      <w:pPr>
        <w:spacing w:line="360" w:lineRule="auto"/>
        <w:jc w:val="both"/>
        <w:rPr>
          <w:lang w:eastAsia="zh-CN"/>
        </w:rPr>
      </w:pPr>
    </w:p>
    <w:p w14:paraId="0B95D3AC" w14:textId="0F0A848C" w:rsidR="00075D43" w:rsidRDefault="005E4EE0" w:rsidP="005E4EE0">
      <w:pPr>
        <w:spacing w:line="360" w:lineRule="auto"/>
        <w:jc w:val="both"/>
        <w:rPr>
          <w:rFonts w:ascii="Book Antiqua" w:hAnsi="Book Antiqua"/>
        </w:rPr>
      </w:pPr>
      <w:bookmarkStart w:id="17" w:name="_Hlk88512899"/>
      <w:bookmarkStart w:id="18" w:name="_Hlk88512352"/>
      <w:bookmarkEnd w:id="15"/>
      <w:r w:rsidRPr="00E61B50">
        <w:rPr>
          <w:rFonts w:ascii="Book Antiqua" w:hAnsi="Book Antiqua" w:cs="Book Antiqua" w:hint="eastAsia"/>
          <w:b/>
          <w:color w:val="000000"/>
          <w:lang w:eastAsia="zh-CN"/>
        </w:rPr>
        <w:t>Citation:</w:t>
      </w:r>
      <w:bookmarkEnd w:id="16"/>
      <w:bookmarkEnd w:id="17"/>
      <w:r w:rsidRPr="00E61B50">
        <w:rPr>
          <w:rFonts w:ascii="Book Antiqua" w:hAnsi="Book Antiqua" w:cs="Book Antiqua" w:hint="eastAsia"/>
          <w:color w:val="000000"/>
          <w:lang w:eastAsia="zh-CN"/>
        </w:rPr>
        <w:t xml:space="preserve"> </w:t>
      </w:r>
      <w:bookmarkEnd w:id="18"/>
      <w:r w:rsidR="00471DDD">
        <w:rPr>
          <w:rFonts w:ascii="Book Antiqua" w:eastAsia="Book Antiqua" w:hAnsi="Book Antiqua" w:cs="Book Antiqua"/>
          <w:color w:val="000000"/>
        </w:rPr>
        <w:t>Xu GQ, Wang G, Bai XD, Wang XJ. Intramedullary nailing for pathological fractures of the proximal humerus caused by multiple myeloma: A case report and review</w:t>
      </w:r>
      <w:r w:rsidR="00471DDD">
        <w:rPr>
          <w:rFonts w:ascii="Book Antiqua" w:hAnsi="Book Antiqua" w:cs="Book Antiqua"/>
          <w:color w:val="000000"/>
          <w:lang w:eastAsia="zh-CN"/>
        </w:rPr>
        <w:t xml:space="preserve"> of </w:t>
      </w:r>
      <w:r w:rsidR="00471DDD">
        <w:rPr>
          <w:rFonts w:ascii="Book Antiqua" w:eastAsia="Book Antiqua" w:hAnsi="Book Antiqua" w:cs="Book Antiqua"/>
          <w:color w:val="000000"/>
        </w:rPr>
        <w:t xml:space="preserve">literature. </w:t>
      </w:r>
      <w:r w:rsidR="00471DDD">
        <w:rPr>
          <w:rFonts w:ascii="Book Antiqua" w:eastAsia="Book Antiqua" w:hAnsi="Book Antiqua" w:cs="Book Antiqua"/>
          <w:i/>
          <w:iCs/>
          <w:color w:val="000000"/>
        </w:rPr>
        <w:t>World J Clin Cases</w:t>
      </w:r>
      <w:r w:rsidR="00471DDD">
        <w:rPr>
          <w:rFonts w:ascii="Book Antiqua" w:eastAsia="Book Antiqua" w:hAnsi="Book Antiqua" w:cs="Book Antiqua"/>
          <w:color w:val="000000"/>
        </w:rPr>
        <w:t xml:space="preserve"> 2022; </w:t>
      </w:r>
      <w:r w:rsidR="00471DDD">
        <w:rPr>
          <w:rFonts w:ascii="Book Antiqua" w:hAnsi="Book Antiqua" w:hint="eastAsia"/>
        </w:rPr>
        <w:t xml:space="preserve">10(11): </w:t>
      </w:r>
      <w:r w:rsidR="00075D43">
        <w:rPr>
          <w:rFonts w:ascii="Book Antiqua" w:hAnsi="Book Antiqua"/>
        </w:rPr>
        <w:t>3518-3526</w:t>
      </w:r>
    </w:p>
    <w:p w14:paraId="720EE5A8" w14:textId="0D30F142" w:rsidR="00075D43" w:rsidRDefault="00471DDD">
      <w:pPr>
        <w:spacing w:line="360" w:lineRule="auto"/>
        <w:jc w:val="both"/>
        <w:rPr>
          <w:rFonts w:ascii="Book Antiqua" w:hAnsi="Book Antiqua"/>
        </w:rPr>
      </w:pPr>
      <w:r w:rsidRPr="00075D43">
        <w:rPr>
          <w:rFonts w:ascii="Book Antiqua" w:hAnsi="Book Antiqua" w:hint="eastAsia"/>
          <w:b/>
          <w:bCs/>
        </w:rPr>
        <w:t>URL:</w:t>
      </w:r>
      <w:r>
        <w:rPr>
          <w:rFonts w:ascii="Book Antiqua" w:hAnsi="Book Antiqua" w:hint="eastAsia"/>
        </w:rPr>
        <w:t xml:space="preserve"> </w:t>
      </w:r>
      <w:hyperlink r:id="rId8" w:history="1">
        <w:r w:rsidR="00075D43" w:rsidRPr="003B4382">
          <w:rPr>
            <w:rStyle w:val="aa"/>
            <w:rFonts w:ascii="Book Antiqua" w:hAnsi="Book Antiqua" w:hint="eastAsia"/>
          </w:rPr>
          <w:t>https://www.wjgnet.com/2307-8960/full/v10/i11/</w:t>
        </w:r>
        <w:r w:rsidR="00075D43" w:rsidRPr="003B4382">
          <w:rPr>
            <w:rStyle w:val="aa"/>
            <w:rFonts w:ascii="Book Antiqua" w:hAnsi="Book Antiqua"/>
          </w:rPr>
          <w:t>3518</w:t>
        </w:r>
        <w:r w:rsidR="00075D43" w:rsidRPr="003B4382">
          <w:rPr>
            <w:rStyle w:val="aa"/>
            <w:rFonts w:ascii="Book Antiqua" w:hAnsi="Book Antiqua" w:hint="eastAsia"/>
          </w:rPr>
          <w:t>.htm</w:t>
        </w:r>
      </w:hyperlink>
    </w:p>
    <w:p w14:paraId="05F33C6C" w14:textId="00C8E54E" w:rsidR="00FA3684" w:rsidRDefault="00471DDD">
      <w:pPr>
        <w:spacing w:line="360" w:lineRule="auto"/>
        <w:jc w:val="both"/>
        <w:rPr>
          <w:rFonts w:ascii="Book Antiqua" w:hAnsi="Book Antiqua"/>
        </w:rPr>
      </w:pPr>
      <w:r w:rsidRPr="00075D43">
        <w:rPr>
          <w:rFonts w:ascii="Book Antiqua" w:hAnsi="Book Antiqua" w:hint="eastAsia"/>
          <w:b/>
          <w:bCs/>
        </w:rPr>
        <w:t>DOI:</w:t>
      </w:r>
      <w:r>
        <w:rPr>
          <w:rFonts w:ascii="Book Antiqua" w:hAnsi="Book Antiqua" w:hint="eastAsia"/>
        </w:rPr>
        <w:t xml:space="preserve"> </w:t>
      </w:r>
      <w:hyperlink r:id="rId9" w:history="1">
        <w:r w:rsidR="00075D43" w:rsidRPr="003B4382">
          <w:rPr>
            <w:rStyle w:val="aa"/>
            <w:rFonts w:ascii="Book Antiqua" w:hAnsi="Book Antiqua"/>
          </w:rPr>
          <w:t>https://dx.doi.org/10.12998/wjcc.v10.i11.3518</w:t>
        </w:r>
      </w:hyperlink>
    </w:p>
    <w:p w14:paraId="5F61BD65" w14:textId="77777777" w:rsidR="00FA3684" w:rsidRDefault="00FA3684">
      <w:pPr>
        <w:spacing w:line="360" w:lineRule="auto"/>
        <w:jc w:val="both"/>
        <w:rPr>
          <w:rFonts w:ascii="Book Antiqua" w:hAnsi="Book Antiqua"/>
        </w:rPr>
      </w:pPr>
    </w:p>
    <w:p w14:paraId="43ABB471"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9" w:name="OLE_LINK619"/>
      <w:bookmarkStart w:id="20" w:name="OLE_LINK620"/>
      <w:r>
        <w:rPr>
          <w:rFonts w:ascii="Book Antiqua" w:eastAsia="Book Antiqua" w:hAnsi="Book Antiqua" w:cs="Book Antiqua"/>
          <w:color w:val="000000"/>
          <w:shd w:val="clear" w:color="auto" w:fill="FFFFFF"/>
        </w:rPr>
        <w:t xml:space="preserve">We report a case of a patient who was eventually diagnosed </w:t>
      </w:r>
      <w:r>
        <w:rPr>
          <w:rStyle w:val="15"/>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w:t>
      </w:r>
      <w:r>
        <w:rPr>
          <w:rFonts w:ascii="Book Antiqua" w:eastAsia="Book Antiqua" w:hAnsi="Book Antiqua" w:cs="Book Antiqua"/>
          <w:color w:val="000000"/>
          <w:shd w:val="clear" w:color="auto" w:fill="FFFFFF"/>
        </w:rPr>
        <w:t>ultiple myeloma (</w:t>
      </w:r>
      <w:r>
        <w:rPr>
          <w:rFonts w:ascii="Book Antiqua" w:eastAsia="Book Antiqua" w:hAnsi="Book Antiqua" w:cs="Book Antiqua"/>
          <w:color w:val="000000"/>
        </w:rPr>
        <w:t>MM)</w:t>
      </w:r>
      <w:r>
        <w:rPr>
          <w:rFonts w:ascii="Book Antiqua" w:eastAsia="Book Antiqua" w:hAnsi="Book Antiqua" w:cs="Book Antiqua"/>
          <w:color w:val="000000"/>
          <w:shd w:val="clear" w:color="auto" w:fill="FFFFFF"/>
        </w:rPr>
        <w:t>. After treatment of the pathological fracture with intramedullary (IM) nailing and chemotherapy in the Hematology Department, the humeral fracture displayed good union during the 40-mo follow-up, with complete healing of the fracture, and the clinical outcome was satisfactory. This case report and review of the literature demonstrates early surgery should be performed for the fracture of the proximal humerus caused by MM. IM nailing can be used without removal of tumors. Bone cement augmentation for bone defects and local adjuvant therapy can also be employed.</w:t>
      </w:r>
    </w:p>
    <w:bookmarkEnd w:id="19"/>
    <w:bookmarkEnd w:id="20"/>
    <w:p w14:paraId="2D362A58" w14:textId="77777777" w:rsidR="00FA3684" w:rsidRDefault="00471DDD">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12033CE6"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Multiple myeloma (MM) is a type of plasma cell dyscrasia that is characterized by immortalized monoclonal plasma cell proliferation within the bone marrow. Different to bone metastasis, no new bone is formed in the osteolytic bone disease of MM</w:t>
      </w:r>
      <w:r>
        <w:rPr>
          <w:rFonts w:ascii="Book Antiqua" w:eastAsia="Book Antiqua" w:hAnsi="Book Antiqua" w:cs="Book Antiqua"/>
          <w:color w:val="000000"/>
          <w:vertAlign w:val="superscript"/>
        </w:rPr>
        <w:t>[1]</w:t>
      </w:r>
      <w:r>
        <w:rPr>
          <w:rFonts w:ascii="Book Antiqua" w:eastAsia="Book Antiqua" w:hAnsi="Book Antiqua" w:cs="Book Antiqua"/>
          <w:color w:val="000000"/>
        </w:rPr>
        <w:t>. Complications of osteolysis include fractures of the long bones, which often occur in the proximal humerus and femur, usually after minor trauma or can be atraumatic, and vertebral body fractures</w:t>
      </w:r>
      <w:r>
        <w:rPr>
          <w:rFonts w:ascii="Book Antiqua" w:eastAsia="Book Antiqua" w:hAnsi="Book Antiqua" w:cs="Book Antiqua"/>
          <w:color w:val="000000"/>
          <w:vertAlign w:val="superscript"/>
        </w:rPr>
        <w:t>[2]</w:t>
      </w:r>
      <w:r>
        <w:rPr>
          <w:rFonts w:ascii="Book Antiqua" w:eastAsia="Book Antiqua" w:hAnsi="Book Antiqua" w:cs="Book Antiqua"/>
          <w:color w:val="000000"/>
        </w:rPr>
        <w:t>. The clinical presentation and radiological features are non-specific, making it more difficult to diagnose. Therefore, some scholars have indicated that MM is an important disease that should not be ignored in the differential diagnosis of skeletal pain, even if no typical symptoms are identified initially, particularly in the elderly</w:t>
      </w:r>
      <w:r>
        <w:rPr>
          <w:rFonts w:ascii="Book Antiqua" w:eastAsia="Book Antiqua" w:hAnsi="Book Antiqua" w:cs="Book Antiqua"/>
          <w:color w:val="000000"/>
          <w:vertAlign w:val="superscript"/>
        </w:rPr>
        <w:t>[3]</w:t>
      </w:r>
      <w:r>
        <w:rPr>
          <w:rFonts w:ascii="Book Antiqua" w:eastAsia="Book Antiqua" w:hAnsi="Book Antiqua" w:cs="Book Antiqua"/>
          <w:color w:val="000000"/>
        </w:rPr>
        <w:t>. Intramedullary (IM) nailing is a technique used to treat humeral diaphysis fractures with minimal invasion, and it is advantageous in small lesions, reduces operation time, there is little soft tissue dissection, and results in early recovery</w:t>
      </w:r>
      <w:r>
        <w:rPr>
          <w:rFonts w:ascii="Book Antiqua" w:eastAsia="Book Antiqua" w:hAnsi="Book Antiqua" w:cs="Book Antiqua"/>
          <w:color w:val="000000"/>
          <w:vertAlign w:val="superscript"/>
        </w:rPr>
        <w:t>[4]</w:t>
      </w:r>
      <w:r>
        <w:rPr>
          <w:rFonts w:ascii="Book Antiqua" w:eastAsia="Book Antiqua" w:hAnsi="Book Antiqua" w:cs="Book Antiqua"/>
          <w:color w:val="000000"/>
        </w:rPr>
        <w:t>. However, there is controversy as to whether IM nailing should be used to treat proximal humeral fractures as it may lead to fixation loss</w:t>
      </w:r>
      <w:r>
        <w:rPr>
          <w:rFonts w:ascii="Book Antiqua" w:eastAsia="Book Antiqua" w:hAnsi="Book Antiqua" w:cs="Book Antiqua"/>
          <w:color w:val="000000"/>
          <w:vertAlign w:val="superscript"/>
        </w:rPr>
        <w:t>[5]</w:t>
      </w:r>
      <w:r>
        <w:rPr>
          <w:rFonts w:ascii="Book Antiqua" w:eastAsia="Book Antiqua" w:hAnsi="Book Antiqua" w:cs="Book Antiqua"/>
          <w:color w:val="000000"/>
        </w:rPr>
        <w:t>. As a result, IM nailing is currently restricted to the treatment of diaphyseal fractures</w:t>
      </w:r>
      <w:r>
        <w:rPr>
          <w:rFonts w:ascii="Book Antiqua" w:eastAsia="Book Antiqua" w:hAnsi="Book Antiqua" w:cs="Book Antiqua"/>
          <w:color w:val="000000"/>
          <w:vertAlign w:val="superscript"/>
        </w:rPr>
        <w:t>[4,6-10]</w:t>
      </w:r>
      <w:r>
        <w:rPr>
          <w:rFonts w:ascii="Book Antiqua" w:eastAsia="Book Antiqua" w:hAnsi="Book Antiqua" w:cs="Book Antiqua"/>
          <w:color w:val="000000"/>
        </w:rPr>
        <w:t xml:space="preserve">. To date, few studies have described the techniques applied in proximal humeral fractures, particularly if the skeletal defect is not augmented by the application of bone cement. We here describe a 64-year-old male patient suffering from </w:t>
      </w:r>
      <w:r>
        <w:rPr>
          <w:rFonts w:ascii="Book Antiqua" w:eastAsia="Book Antiqua" w:hAnsi="Book Antiqua" w:cs="Book Antiqua"/>
          <w:color w:val="000000"/>
          <w:shd w:val="clear" w:color="auto" w:fill="FFFFFF"/>
        </w:rPr>
        <w:t>MM bone disease (</w:t>
      </w:r>
      <w:r>
        <w:rPr>
          <w:rFonts w:ascii="Book Antiqua" w:eastAsia="Book Antiqua" w:hAnsi="Book Antiqua" w:cs="Book Antiqua"/>
          <w:color w:val="000000"/>
        </w:rPr>
        <w:t>MMBD) in the proximal humerus. He received combined therapy with IM nailing and chemotherapy. Related reports of MMBD are also reviewed.</w:t>
      </w:r>
    </w:p>
    <w:p w14:paraId="21440F9C" w14:textId="77777777" w:rsidR="00FA3684" w:rsidRDefault="00FA3684">
      <w:pPr>
        <w:spacing w:line="360" w:lineRule="auto"/>
        <w:jc w:val="both"/>
        <w:rPr>
          <w:rFonts w:ascii="Book Antiqua" w:hAnsi="Book Antiqua"/>
        </w:rPr>
      </w:pPr>
    </w:p>
    <w:p w14:paraId="4B179529" w14:textId="77777777" w:rsidR="00FA3684" w:rsidRDefault="00471DD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2C2164A" w14:textId="77777777" w:rsidR="00FA3684" w:rsidRDefault="00471DDD">
      <w:pPr>
        <w:spacing w:line="360" w:lineRule="auto"/>
        <w:jc w:val="both"/>
        <w:rPr>
          <w:rFonts w:ascii="Book Antiqua" w:hAnsi="Book Antiqua"/>
        </w:rPr>
      </w:pPr>
      <w:r>
        <w:rPr>
          <w:rFonts w:ascii="Book Antiqua" w:eastAsia="Book Antiqua" w:hAnsi="Book Antiqua" w:cs="Book Antiqua"/>
          <w:b/>
          <w:i/>
          <w:color w:val="000000"/>
        </w:rPr>
        <w:t>Chief complaints</w:t>
      </w:r>
    </w:p>
    <w:p w14:paraId="4ADE1143"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 xml:space="preserve"> 64-year-old man who came to our emergency department complaining of left shoulder pain.</w:t>
      </w:r>
    </w:p>
    <w:p w14:paraId="44492542" w14:textId="77777777" w:rsidR="00FA3684" w:rsidRDefault="00FA3684">
      <w:pPr>
        <w:spacing w:line="360" w:lineRule="auto"/>
        <w:jc w:val="both"/>
        <w:rPr>
          <w:rFonts w:ascii="Book Antiqua" w:hAnsi="Book Antiqua"/>
        </w:rPr>
      </w:pPr>
    </w:p>
    <w:p w14:paraId="452740B9" w14:textId="77777777" w:rsidR="00FA3684" w:rsidRDefault="00471DDD">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DEADAB1" w14:textId="77777777" w:rsidR="00FA3684" w:rsidRDefault="00471DDD">
      <w:pPr>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He had mild left shoulder trauma due to accidental falling from the standing position while walking 3 h ago.</w:t>
      </w:r>
    </w:p>
    <w:p w14:paraId="05D477D8" w14:textId="77777777" w:rsidR="00FA3684" w:rsidRDefault="00FA3684">
      <w:pPr>
        <w:spacing w:line="360" w:lineRule="auto"/>
        <w:jc w:val="both"/>
        <w:rPr>
          <w:rFonts w:ascii="Book Antiqua" w:hAnsi="Book Antiqua"/>
        </w:rPr>
      </w:pPr>
    </w:p>
    <w:p w14:paraId="43064E25" w14:textId="77777777" w:rsidR="00FA3684" w:rsidRDefault="00471DDD">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3F0AF84" w14:textId="77777777" w:rsidR="00FA3684" w:rsidRDefault="00471DDD">
      <w:pPr>
        <w:spacing w:line="360" w:lineRule="auto"/>
        <w:jc w:val="both"/>
        <w:rPr>
          <w:rFonts w:ascii="Book Antiqua" w:hAnsi="Book Antiqua"/>
        </w:rPr>
      </w:pPr>
      <w:r>
        <w:rPr>
          <w:rFonts w:ascii="Book Antiqua" w:eastAsia="Book Antiqua" w:hAnsi="Book Antiqua" w:cs="Book Antiqua"/>
          <w:color w:val="000000"/>
          <w:shd w:val="clear" w:color="auto" w:fill="FFFFFF"/>
        </w:rPr>
        <w:t>His past medical history included atrial fibrillation treated with aspirin enteric-coated tablets (Bayer S.P.A), metoprolol succinate sustained-release tablets (AstraZeneca AB), and chronic atrophic gastritis.</w:t>
      </w:r>
    </w:p>
    <w:p w14:paraId="238A3F22" w14:textId="77777777" w:rsidR="00FA3684" w:rsidRDefault="00FA3684">
      <w:pPr>
        <w:spacing w:line="360" w:lineRule="auto"/>
        <w:jc w:val="both"/>
        <w:rPr>
          <w:rFonts w:ascii="Book Antiqua" w:hAnsi="Book Antiqua"/>
        </w:rPr>
      </w:pPr>
    </w:p>
    <w:p w14:paraId="09A4CF93" w14:textId="77777777" w:rsidR="00FA3684" w:rsidRDefault="00471DDD">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2BBF42D" w14:textId="77777777" w:rsidR="00FA3684" w:rsidRDefault="00471DDD">
      <w:pPr>
        <w:spacing w:line="360" w:lineRule="auto"/>
        <w:jc w:val="both"/>
        <w:rPr>
          <w:rFonts w:ascii="Book Antiqua" w:hAnsi="Book Antiqua"/>
        </w:rPr>
      </w:pPr>
      <w:r>
        <w:rPr>
          <w:rFonts w:ascii="Book Antiqua" w:eastAsia="Book Antiqua" w:hAnsi="Book Antiqua" w:cs="Book Antiqua"/>
          <w:color w:val="000000"/>
          <w:shd w:val="clear" w:color="auto" w:fill="FFFFFF"/>
        </w:rPr>
        <w:t>The patient denied a history of smoking, alcohol consumption, drug intake, and a family history of pathological fracture or osteoporosis.</w:t>
      </w:r>
    </w:p>
    <w:p w14:paraId="4F93178C" w14:textId="77777777" w:rsidR="00FA3684" w:rsidRDefault="00FA3684">
      <w:pPr>
        <w:spacing w:line="360" w:lineRule="auto"/>
        <w:jc w:val="both"/>
        <w:rPr>
          <w:rFonts w:ascii="Book Antiqua" w:hAnsi="Book Antiqua"/>
        </w:rPr>
      </w:pPr>
    </w:p>
    <w:p w14:paraId="58FB2E59" w14:textId="77777777" w:rsidR="00FA3684" w:rsidRDefault="00471DDD">
      <w:pPr>
        <w:spacing w:line="360" w:lineRule="auto"/>
        <w:jc w:val="both"/>
        <w:rPr>
          <w:rFonts w:ascii="Book Antiqua" w:hAnsi="Book Antiqua"/>
        </w:rPr>
      </w:pPr>
      <w:r>
        <w:rPr>
          <w:rFonts w:ascii="Book Antiqua" w:eastAsia="Book Antiqua" w:hAnsi="Book Antiqua" w:cs="Book Antiqua"/>
          <w:b/>
          <w:i/>
          <w:color w:val="000000"/>
        </w:rPr>
        <w:t>Physical examination</w:t>
      </w:r>
    </w:p>
    <w:p w14:paraId="372DFA07" w14:textId="77777777" w:rsidR="00FA3684" w:rsidRDefault="00471DDD">
      <w:pPr>
        <w:spacing w:line="360" w:lineRule="auto"/>
        <w:jc w:val="both"/>
        <w:rPr>
          <w:rFonts w:ascii="Book Antiqua" w:hAnsi="Book Antiqua"/>
        </w:rPr>
      </w:pPr>
      <w:r>
        <w:rPr>
          <w:rFonts w:ascii="Book Antiqua" w:eastAsia="Book Antiqua" w:hAnsi="Book Antiqua" w:cs="Book Antiqua"/>
          <w:color w:val="000000"/>
          <w:shd w:val="clear" w:color="auto" w:fill="FFFFFF"/>
        </w:rPr>
        <w:t>Physical examination demonstrated swelling of the left shoulder, localized tenderness, percussion pain on the proximal humerus, and limited shoulder motion. The muscular tone of the upper limb was normal with no hypoesthesia. Physiological reflexes were present without pathological reflexes.</w:t>
      </w:r>
    </w:p>
    <w:p w14:paraId="79DDB562" w14:textId="77777777" w:rsidR="00FA3684" w:rsidRDefault="00FA3684">
      <w:pPr>
        <w:spacing w:line="360" w:lineRule="auto"/>
        <w:jc w:val="both"/>
        <w:rPr>
          <w:rFonts w:ascii="Book Antiqua" w:hAnsi="Book Antiqua"/>
        </w:rPr>
      </w:pPr>
    </w:p>
    <w:p w14:paraId="49845E72" w14:textId="77777777" w:rsidR="00FA3684" w:rsidRDefault="00471DDD">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6282057"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 xml:space="preserve">In contrast, routine laboratory evaluation on admission, </w:t>
      </w:r>
      <w:proofErr w:type="gramStart"/>
      <w:r>
        <w:rPr>
          <w:rFonts w:ascii="Book Antiqua" w:eastAsia="Book Antiqua" w:hAnsi="Book Antiqua" w:cs="Book Antiqua"/>
          <w:color w:val="000000"/>
        </w:rPr>
        <w:t>with the exception of</w:t>
      </w:r>
      <w:proofErr w:type="gramEnd"/>
      <w:r>
        <w:rPr>
          <w:rFonts w:ascii="Book Antiqua" w:eastAsia="Book Antiqua" w:hAnsi="Book Antiqua" w:cs="Book Antiqua"/>
          <w:color w:val="000000"/>
        </w:rPr>
        <w:t xml:space="preserve"> anemia, was unremarkable. Hematopoiesis accounted for 40%, the ratio of granulocytes to erythrocytes was approximately 2:1, and megakaryocytes were 2-7/high power field. Multifocal plasmacytoid cell aggregation was also observed. Immunochemistry showed CD38 (+), kappa (+), lambda (+); MPO (+), CD61 (+) and CK (-) (Figure </w:t>
      </w:r>
      <w:r>
        <w:rPr>
          <w:rFonts w:ascii="Book Antiqua" w:hAnsi="Book Antiqua" w:cs="Book Antiqua" w:hint="eastAsia"/>
          <w:color w:val="000000"/>
          <w:lang w:eastAsia="zh-CN"/>
        </w:rPr>
        <w:t>1</w:t>
      </w:r>
      <w:r>
        <w:rPr>
          <w:rFonts w:ascii="Book Antiqua" w:eastAsia="Book Antiqua" w:hAnsi="Book Antiqua" w:cs="Book Antiqua"/>
          <w:color w:val="000000"/>
        </w:rPr>
        <w:t>).</w:t>
      </w:r>
    </w:p>
    <w:p w14:paraId="7C6D9D24" w14:textId="77777777" w:rsidR="00FA3684" w:rsidRDefault="00FA3684">
      <w:pPr>
        <w:spacing w:line="360" w:lineRule="auto"/>
        <w:jc w:val="both"/>
        <w:rPr>
          <w:rFonts w:ascii="Book Antiqua" w:hAnsi="Book Antiqua"/>
        </w:rPr>
      </w:pPr>
    </w:p>
    <w:p w14:paraId="143271E1" w14:textId="77777777" w:rsidR="00FA3684" w:rsidRDefault="00471DDD">
      <w:pPr>
        <w:spacing w:line="360" w:lineRule="auto"/>
        <w:jc w:val="both"/>
        <w:rPr>
          <w:rFonts w:ascii="Book Antiqua" w:hAnsi="Book Antiqua"/>
        </w:rPr>
      </w:pPr>
      <w:r>
        <w:rPr>
          <w:rFonts w:ascii="Book Antiqua" w:eastAsia="Book Antiqua" w:hAnsi="Book Antiqua" w:cs="Book Antiqua"/>
          <w:b/>
          <w:i/>
          <w:color w:val="000000"/>
        </w:rPr>
        <w:t>Imaging examinations</w:t>
      </w:r>
    </w:p>
    <w:p w14:paraId="6E478BB1" w14:textId="77777777" w:rsidR="00FA3684" w:rsidRDefault="00471DDD">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Initial X-ray films of the left shoulder were obtained, which showed only a comminuted fracture and degenerative changes in the upper left humerus (Figure </w:t>
      </w:r>
      <w:r>
        <w:rPr>
          <w:rFonts w:ascii="Book Antiqua" w:hAnsi="Book Antiqua" w:cs="Book Antiqua" w:hint="eastAsia"/>
          <w:color w:val="000000"/>
          <w:shd w:val="clear" w:color="auto" w:fill="FFFFFF"/>
          <w:lang w:eastAsia="zh-CN"/>
        </w:rPr>
        <w:t>2</w:t>
      </w:r>
      <w:r>
        <w:rPr>
          <w:rFonts w:ascii="Book Antiqua" w:eastAsia="Book Antiqua" w:hAnsi="Book Antiqua" w:cs="Book Antiqua"/>
          <w:color w:val="000000"/>
          <w:shd w:val="clear" w:color="auto" w:fill="FFFFFF"/>
        </w:rPr>
        <w:t xml:space="preserve">). Magnetic resonance imaging (MRI) was then performed and showed an abnormal signal intensity </w:t>
      </w:r>
      <w:r>
        <w:rPr>
          <w:rFonts w:ascii="Book Antiqua" w:eastAsia="Book Antiqua" w:hAnsi="Book Antiqua" w:cs="Book Antiqua"/>
          <w:color w:val="000000"/>
          <w:shd w:val="clear" w:color="auto" w:fill="FFFFFF"/>
        </w:rPr>
        <w:lastRenderedPageBreak/>
        <w:t xml:space="preserve">of the proximal humerus associated with a comminuted fracture, and multiple soft tissue masses around the fracture, ranging from 4.8 cm to 3.9 cm, which presented as hypointensity and </w:t>
      </w:r>
      <w:r>
        <w:rPr>
          <w:rStyle w:val="15"/>
          <w:rFonts w:ascii="Book Antiqua" w:eastAsia="Book Antiqua" w:hAnsi="Book Antiqua" w:cs="Book Antiqua"/>
          <w:color w:val="000000"/>
          <w:shd w:val="clear" w:color="auto" w:fill="FFFFFF"/>
        </w:rPr>
        <w:t xml:space="preserve">isointensity, as well as </w:t>
      </w:r>
      <w:r>
        <w:rPr>
          <w:rFonts w:ascii="Book Antiqua" w:eastAsia="Book Antiqua" w:hAnsi="Book Antiqua" w:cs="Book Antiqua"/>
          <w:color w:val="000000"/>
          <w:shd w:val="clear" w:color="auto" w:fill="FFFFFF"/>
        </w:rPr>
        <w:t xml:space="preserve">hybrid hyperintensity on T1-weighted (T1-W) and T2-W images, respectively. The left humerus, glenoid, and clavicle had multiple sheet-like hyperintensity on T2-W images (Figure </w:t>
      </w:r>
      <w:r>
        <w:rPr>
          <w:rFonts w:ascii="Book Antiqua" w:hAnsi="Book Antiqua" w:cs="Book Antiqua" w:hint="eastAsia"/>
          <w:color w:val="000000"/>
          <w:shd w:val="clear" w:color="auto" w:fill="FFFFFF"/>
          <w:lang w:eastAsia="zh-CN"/>
        </w:rPr>
        <w:t>2</w:t>
      </w:r>
      <w:r>
        <w:rPr>
          <w:rFonts w:ascii="Book Antiqua" w:eastAsia="Book Antiqua" w:hAnsi="Book Antiqua" w:cs="Book Antiqua"/>
          <w:color w:val="000000"/>
          <w:shd w:val="clear" w:color="auto" w:fill="FFFFFF"/>
        </w:rPr>
        <w:t>). A</w:t>
      </w:r>
      <w:r>
        <w:rPr>
          <w:rFonts w:ascii="Book Antiqua" w:eastAsia="Book Antiqua" w:hAnsi="Book Antiqua" w:cs="Book Antiqua"/>
          <w:color w:val="000000"/>
        </w:rPr>
        <w:t xml:space="preserve"> neoplastic lesion with radiological characteristics was highly suspected.</w:t>
      </w:r>
    </w:p>
    <w:p w14:paraId="49C70607"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 xml:space="preserve">      Further laboratory tests and imaging examinations were performed. Computed tomography (CT) scans and X-ray examinations revealed multiple areas of reduced bone density throughout the body. In addition, high 18-F-fluorodeoxyglucose metabolism was observed in several ribs on bone scans, and in the fifth lumbar vertebra (L5), and left proximal humerus (Figure </w:t>
      </w:r>
      <w:r>
        <w:rPr>
          <w:rFonts w:ascii="Book Antiqua" w:hAnsi="Book Antiqua" w:cs="Book Antiqua" w:hint="eastAsia"/>
          <w:color w:val="000000"/>
          <w:lang w:eastAsia="zh-CN"/>
        </w:rPr>
        <w:t>3</w:t>
      </w:r>
      <w:r>
        <w:rPr>
          <w:rFonts w:ascii="Book Antiqua" w:eastAsia="Book Antiqua" w:hAnsi="Book Antiqua" w:cs="Book Antiqua"/>
          <w:color w:val="000000"/>
        </w:rPr>
        <w:t>).</w:t>
      </w:r>
    </w:p>
    <w:p w14:paraId="733F16C7" w14:textId="77777777" w:rsidR="00FA3684" w:rsidRDefault="00FA3684">
      <w:pPr>
        <w:spacing w:line="360" w:lineRule="auto"/>
        <w:jc w:val="both"/>
        <w:rPr>
          <w:rFonts w:ascii="Book Antiqua" w:hAnsi="Book Antiqua"/>
        </w:rPr>
      </w:pPr>
    </w:p>
    <w:p w14:paraId="5659C122" w14:textId="77777777" w:rsidR="00FA3684" w:rsidRDefault="00471DD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C532478"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Plasma cell myeloma was diagnosed following bone marrow aspirate and trephine.</w:t>
      </w:r>
    </w:p>
    <w:p w14:paraId="2CAAF7BF" w14:textId="77777777" w:rsidR="00FA3684" w:rsidRDefault="00FA3684">
      <w:pPr>
        <w:spacing w:line="360" w:lineRule="auto"/>
        <w:jc w:val="both"/>
        <w:rPr>
          <w:rFonts w:ascii="Book Antiqua" w:hAnsi="Book Antiqua"/>
        </w:rPr>
      </w:pPr>
    </w:p>
    <w:p w14:paraId="35EF204C" w14:textId="77777777" w:rsidR="00FA3684" w:rsidRDefault="00471DDD">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31B6C925"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 xml:space="preserve">Following consultation with anesthesiologists and medical oncologists regarding the perioperative risks as well as the life expectancy of the patient, locked IM nailing (Sanatmetal Orthopaedic &amp; Traumatologic Equipment Manufacturer Ltd.) was chosen for strong fixation of the humeral fracture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trans-deltoid muscle approach. With the greater trochanter as the entry point, an IM nail was </w:t>
      </w:r>
      <w:r>
        <w:rPr>
          <w:rFonts w:ascii="Book Antiqua" w:eastAsia="Book Antiqua" w:hAnsi="Book Antiqua" w:cs="Book Antiqua"/>
          <w:color w:val="000000"/>
          <w:shd w:val="clear" w:color="auto" w:fill="FFFFFF"/>
        </w:rPr>
        <w:t>directly inserted into the humeral medullary cavity without the removal of tumors. The bone defect was not augmented with bone cement</w:t>
      </w:r>
      <w:r>
        <w:rPr>
          <w:rFonts w:ascii="Book Antiqua" w:eastAsia="Book Antiqua" w:hAnsi="Book Antiqua" w:cs="Book Antiqua"/>
          <w:color w:val="000000"/>
        </w:rPr>
        <w:t>. No local adjuvant therapy was administered. We inserted the nail with great caution to avoid impingement of the acromion or rotator cuff tendons by the proximal end of the nail. We also inserted 3 proximal screws as well as 2 distal interlocking screws. On the day after surgery, the patient was encouraged to move his shoulder gently. One week after surgery, the patient was encouraged to perform passive stretching as well as gravity-resistance exercises.</w:t>
      </w:r>
    </w:p>
    <w:p w14:paraId="4C4F597F" w14:textId="77777777" w:rsidR="00FA3684" w:rsidRDefault="00FA3684">
      <w:pPr>
        <w:spacing w:line="360" w:lineRule="auto"/>
        <w:jc w:val="both"/>
        <w:rPr>
          <w:rFonts w:ascii="Book Antiqua" w:hAnsi="Book Antiqua"/>
        </w:rPr>
      </w:pPr>
    </w:p>
    <w:p w14:paraId="1B293ACD" w14:textId="77777777" w:rsidR="00FA3684" w:rsidRDefault="00471DDD">
      <w:pPr>
        <w:spacing w:line="360" w:lineRule="auto"/>
        <w:jc w:val="both"/>
        <w:rPr>
          <w:rFonts w:ascii="Book Antiqua" w:hAnsi="Book Antiqua"/>
        </w:rPr>
      </w:pPr>
      <w:r>
        <w:rPr>
          <w:rFonts w:ascii="Book Antiqua" w:eastAsia="Book Antiqua" w:hAnsi="Book Antiqua" w:cs="Book Antiqua"/>
          <w:b/>
          <w:caps/>
          <w:color w:val="000000"/>
          <w:u w:val="single"/>
        </w:rPr>
        <w:lastRenderedPageBreak/>
        <w:t>OUTCOME AND FOLLOW-UP</w:t>
      </w:r>
    </w:p>
    <w:p w14:paraId="17C17FE6"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 xml:space="preserve">After surgery, the patient achieved continuous pain relief and improved activity of the left upper limb, and no complications were reported. At 24 h postoperatively, the visual analog score declined by 7 points to 2. Histopathological examination of the sample revealed MM (IgAλ, IIIA/II). One week postoperatively, the patient received regular dexamethasone and bortezomib chemotherapy at the Department of Hematology. At the 40-mo follow-up, the humeral fracture showed favorable complete lesion healing (Figure 4), and the patient reported no pain. </w:t>
      </w:r>
      <w:r>
        <w:rPr>
          <w:rFonts w:ascii="Book Antiqua" w:eastAsia="Book Antiqua" w:hAnsi="Book Antiqua" w:cs="Book Antiqua"/>
          <w:color w:val="000000"/>
          <w:shd w:val="clear" w:color="auto" w:fill="FFFFFF"/>
        </w:rPr>
        <w:t>The Musculoskeletal Tumor Society score was 29</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 comparison with the contralateral shoulder, forward flexion, and abduction were limited at the terminal 10°, while complete external and internal adduction and rotation were achieved. No adverse events occurred.</w:t>
      </w:r>
    </w:p>
    <w:p w14:paraId="75546195" w14:textId="77777777" w:rsidR="00FA3684" w:rsidRDefault="00FA3684">
      <w:pPr>
        <w:spacing w:line="360" w:lineRule="auto"/>
        <w:jc w:val="both"/>
        <w:rPr>
          <w:rFonts w:ascii="Book Antiqua" w:hAnsi="Book Antiqua"/>
        </w:rPr>
      </w:pPr>
    </w:p>
    <w:p w14:paraId="413098D3" w14:textId="77777777" w:rsidR="00FA3684" w:rsidRDefault="00471DD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063AEB3"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MM accounts for 1% of cancer cases, and approximately 10% of hematologic cancer cases</w:t>
      </w:r>
      <w:r>
        <w:rPr>
          <w:rFonts w:ascii="Book Antiqua" w:eastAsia="Book Antiqua" w:hAnsi="Book Antiqua" w:cs="Book Antiqua"/>
          <w:color w:val="000000"/>
          <w:vertAlign w:val="superscript"/>
        </w:rPr>
        <w:t>[12]</w:t>
      </w:r>
      <w:r>
        <w:rPr>
          <w:rFonts w:ascii="Book Antiqua" w:eastAsia="Book Antiqua" w:hAnsi="Book Antiqua" w:cs="Book Antiqua"/>
          <w:color w:val="000000"/>
        </w:rPr>
        <w:t>. MM has a relatively higher morbidity in males than in females, and morbidity is two-fold higher in blacks than in Caucasians</w:t>
      </w:r>
      <w:r>
        <w:rPr>
          <w:rFonts w:ascii="Book Antiqua" w:eastAsia="Book Antiqua" w:hAnsi="Book Antiqua" w:cs="Book Antiqua"/>
          <w:color w:val="000000"/>
          <w:vertAlign w:val="superscript"/>
        </w:rPr>
        <w:t>[13,14]</w:t>
      </w:r>
      <w:r>
        <w:rPr>
          <w:rFonts w:ascii="Book Antiqua" w:eastAsia="Book Antiqua" w:hAnsi="Book Antiqua" w:cs="Book Antiqua"/>
          <w:color w:val="000000"/>
        </w:rPr>
        <w:t>. MM affects the older population, and 70% of cases are diagnosed when they are 60 years and older</w:t>
      </w:r>
      <w:r>
        <w:rPr>
          <w:rFonts w:ascii="Book Antiqua" w:eastAsia="Book Antiqua" w:hAnsi="Book Antiqua" w:cs="Book Antiqua"/>
          <w:color w:val="000000"/>
          <w:vertAlign w:val="superscript"/>
        </w:rPr>
        <w:t>[15]</w:t>
      </w:r>
      <w:r>
        <w:rPr>
          <w:rFonts w:ascii="Book Antiqua" w:eastAsia="Book Antiqua" w:hAnsi="Book Antiqua" w:cs="Book Antiqua"/>
          <w:color w:val="000000"/>
        </w:rPr>
        <w:t>. MM is a type of plasma cell dyscrasia that is characterized by immortalized monoclonal plasma cell growth within the bone marrow. Nearly all MM cases progress from the asymptomatic monoclonal gammopathy of undetermined significance (MGUS) at the pre-malignant stage</w:t>
      </w:r>
      <w:r>
        <w:rPr>
          <w:rFonts w:ascii="Book Antiqua" w:eastAsia="Book Antiqua" w:hAnsi="Book Antiqua" w:cs="Book Antiqua"/>
          <w:color w:val="000000"/>
          <w:vertAlign w:val="superscript"/>
        </w:rPr>
        <w:t>[16,17]</w:t>
      </w:r>
      <w:r>
        <w:rPr>
          <w:rFonts w:ascii="Book Antiqua" w:eastAsia="Book Antiqua" w:hAnsi="Book Antiqua" w:cs="Book Antiqua"/>
          <w:color w:val="000000"/>
        </w:rPr>
        <w:t>. Moreover, MGUS will further develop into MM or associated cancers at an annual growth rate of 1%</w:t>
      </w:r>
      <w:r>
        <w:rPr>
          <w:rFonts w:ascii="Book Antiqua" w:eastAsia="Book Antiqua" w:hAnsi="Book Antiqua" w:cs="Book Antiqua"/>
          <w:color w:val="000000"/>
          <w:vertAlign w:val="superscript"/>
        </w:rPr>
        <w:t>[18,19]</w:t>
      </w:r>
      <w:r>
        <w:rPr>
          <w:rFonts w:ascii="Book Antiqua" w:eastAsia="Book Antiqua" w:hAnsi="Book Antiqua" w:cs="Book Antiqua"/>
          <w:color w:val="000000"/>
        </w:rPr>
        <w:t>.</w:t>
      </w:r>
    </w:p>
    <w:p w14:paraId="0B31A68D"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Bone lesions induced by MM are indicative of MM, and they reduce patient life quality. About 80% of cases have osteolytic bone disorders when diagnosed, which are linked to a higher risk of skeletal-related events (SREs) that increase morbidity and mortality</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Approximately 60% of MM cases develop fractures </w:t>
      </w:r>
      <w:proofErr w:type="gramStart"/>
      <w:r>
        <w:rPr>
          <w:rFonts w:ascii="Book Antiqua" w:eastAsia="Book Antiqua" w:hAnsi="Book Antiqua" w:cs="Book Antiqua"/>
          <w:color w:val="000000"/>
        </w:rPr>
        <w:t>during the course of</w:t>
      </w:r>
      <w:proofErr w:type="gramEnd"/>
      <w:r>
        <w:rPr>
          <w:rFonts w:ascii="Book Antiqua" w:eastAsia="Book Antiqua" w:hAnsi="Book Antiqua" w:cs="Book Antiqua"/>
          <w:color w:val="000000"/>
        </w:rPr>
        <w:t xml:space="preserve"> the disease</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uncoupled bone-remodeling process lays the pathogenic foundation for bone disorders associated with myeloma. The myeloma cell-bone microenvironment interaction will eventually activate osteoclasts while suppressing osteoblasts, giving rise </w:t>
      </w:r>
      <w:r>
        <w:rPr>
          <w:rFonts w:ascii="Book Antiqua" w:eastAsia="Book Antiqua" w:hAnsi="Book Antiqua" w:cs="Book Antiqua"/>
          <w:color w:val="000000"/>
        </w:rPr>
        <w:lastRenderedPageBreak/>
        <w:t xml:space="preserve">to bone loss. Multiple intercellular, as well as intracellular signal transduction pathways, participate in the complicated course of MM. The crosstalk mediated by myeloma across diverse molecular pathways forms </w:t>
      </w:r>
      <w:proofErr w:type="gramStart"/>
      <w:r>
        <w:rPr>
          <w:rFonts w:ascii="Book Antiqua" w:eastAsia="Book Antiqua" w:hAnsi="Book Antiqua" w:cs="Book Antiqua"/>
          <w:color w:val="000000"/>
        </w:rPr>
        <w:t>a forward feedback</w:t>
      </w:r>
      <w:proofErr w:type="gramEnd"/>
      <w:r>
        <w:rPr>
          <w:rFonts w:ascii="Book Antiqua" w:eastAsia="Book Antiqua" w:hAnsi="Book Antiqua" w:cs="Book Antiqua"/>
          <w:color w:val="000000"/>
        </w:rPr>
        <w:t xml:space="preserve"> to maintain the survival of myeloma cells and the decomposition of bone, even after reaching the disease plateau</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0ACF386F"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MM is diagnosed when at least one myeloma defining event (MDE) and at least 10% clonal plasma cells are detected during bone marrow examinations or when plasmacytoma is detected in biopsy samples. MDEs are constituted by the recognized CRAB (</w:t>
      </w:r>
      <w:r>
        <w:rPr>
          <w:rFonts w:ascii="Book Antiqua" w:eastAsia="Book Antiqua" w:hAnsi="Book Antiqua" w:cs="Book Antiqua"/>
          <w:color w:val="000000"/>
          <w:shd w:val="clear" w:color="auto" w:fill="FFFFFF"/>
        </w:rPr>
        <w:t>hyperCalcaemia, Renal failure, Anaemia, Bony lesions</w:t>
      </w:r>
      <w:r>
        <w:rPr>
          <w:rFonts w:ascii="Book Antiqua" w:eastAsia="Book Antiqua" w:hAnsi="Book Antiqua" w:cs="Book Antiqua"/>
          <w:color w:val="000000"/>
        </w:rPr>
        <w:t>) characteristics and 3 representative biomarkers, including more than one focal lesion detected by MRI, ≥</w:t>
      </w:r>
      <w:r>
        <w:rPr>
          <w:rFonts w:ascii="Book Antiqua" w:hAnsi="Book Antiqua" w:cs="Book Antiqua"/>
          <w:color w:val="000000"/>
          <w:lang w:eastAsia="zh-CN"/>
        </w:rPr>
        <w:t xml:space="preserve"> </w:t>
      </w:r>
      <w:r>
        <w:rPr>
          <w:rFonts w:ascii="Book Antiqua" w:eastAsia="Book Antiqua" w:hAnsi="Book Antiqua" w:cs="Book Antiqua"/>
          <w:color w:val="000000"/>
        </w:rPr>
        <w:t>60% plasma cells in clonal bone marrow, as well as ≥100 free light chains (FLC) in serum</w:t>
      </w:r>
      <w:r>
        <w:rPr>
          <w:rFonts w:ascii="Book Antiqua" w:eastAsia="Book Antiqua" w:hAnsi="Book Antiqua" w:cs="Book Antiqua"/>
          <w:color w:val="000000"/>
          <w:vertAlign w:val="superscript"/>
        </w:rPr>
        <w:t>[23]</w:t>
      </w:r>
      <w:r>
        <w:rPr>
          <w:rFonts w:ascii="Book Antiqua" w:eastAsia="Book Antiqua" w:hAnsi="Book Antiqua" w:cs="Book Antiqua"/>
          <w:color w:val="000000"/>
        </w:rPr>
        <w:t>. In the case of suspected MM in the clinic, M protein testing is recommended by combining serum immunofixation, serum protein electrophoresis, as well as serum FLC assay</w:t>
      </w:r>
      <w:r>
        <w:rPr>
          <w:rFonts w:ascii="Book Antiqua" w:eastAsia="Book Antiqua" w:hAnsi="Book Antiqua" w:cs="Book Antiqua"/>
          <w:color w:val="000000"/>
          <w:vertAlign w:val="superscript"/>
        </w:rPr>
        <w:t>[24]</w:t>
      </w:r>
      <w:r>
        <w:rPr>
          <w:rFonts w:ascii="Book Antiqua" w:eastAsia="Book Antiqua" w:hAnsi="Book Antiqua" w:cs="Book Antiqua"/>
          <w:color w:val="000000"/>
        </w:rPr>
        <w:t>. About 2% of MM cases develop the non-secretory disorder with no M protein detected in the above-mentioned tests</w:t>
      </w:r>
      <w:r>
        <w:rPr>
          <w:rFonts w:ascii="Book Antiqua" w:eastAsia="Book Antiqua" w:hAnsi="Book Antiqua" w:cs="Book Antiqua"/>
          <w:color w:val="000000"/>
          <w:vertAlign w:val="superscript"/>
        </w:rPr>
        <w:t>[25]</w:t>
      </w:r>
      <w:r>
        <w:rPr>
          <w:rFonts w:ascii="Book Antiqua" w:eastAsia="Book Antiqua" w:hAnsi="Book Antiqua" w:cs="Book Antiqua"/>
          <w:color w:val="000000"/>
        </w:rPr>
        <w:t>. Positron emission tomography/computed tomography and low-dose whole-body CT scans are the best techniques for assessing bone disorder severity</w:t>
      </w:r>
      <w:r>
        <w:rPr>
          <w:rFonts w:ascii="Book Antiqua" w:eastAsia="Book Antiqua" w:hAnsi="Book Antiqua" w:cs="Book Antiqua"/>
          <w:color w:val="000000"/>
          <w:vertAlign w:val="superscript"/>
        </w:rPr>
        <w:t>[24,26]</w:t>
      </w:r>
      <w:r>
        <w:rPr>
          <w:rFonts w:ascii="Book Antiqua" w:eastAsia="Book Antiqua" w:hAnsi="Book Antiqua" w:cs="Book Antiqua"/>
          <w:color w:val="000000"/>
        </w:rPr>
        <w:t xml:space="preserve">, which can show the changes in bones and soft tissues more </w:t>
      </w:r>
      <w:proofErr w:type="gramStart"/>
      <w:r>
        <w:rPr>
          <w:rFonts w:ascii="Book Antiqua" w:eastAsia="Book Antiqua" w:hAnsi="Book Antiqua" w:cs="Book Antiqua"/>
          <w:color w:val="000000"/>
        </w:rPr>
        <w:t>clearly, and</w:t>
      </w:r>
      <w:proofErr w:type="gramEnd"/>
      <w:r>
        <w:rPr>
          <w:rFonts w:ascii="Book Antiqua" w:eastAsia="Book Antiqua" w:hAnsi="Book Antiqua" w:cs="Book Antiqua"/>
          <w:color w:val="000000"/>
        </w:rPr>
        <w:t xml:space="preserve"> display the boundaries of the lesion. Plain radiographs are usually non-specific and can even underestimate the extent of the </w:t>
      </w:r>
      <w:proofErr w:type="gramStart"/>
      <w:r>
        <w:rPr>
          <w:rFonts w:ascii="Book Antiqua" w:eastAsia="Book Antiqua" w:hAnsi="Book Antiqua" w:cs="Book Antiqua"/>
          <w:color w:val="000000"/>
        </w:rPr>
        <w:t>lesion, and</w:t>
      </w:r>
      <w:proofErr w:type="gramEnd"/>
      <w:r>
        <w:rPr>
          <w:rFonts w:ascii="Book Antiqua" w:eastAsia="Book Antiqua" w:hAnsi="Book Antiqua" w:cs="Book Antiqua"/>
          <w:color w:val="000000"/>
        </w:rPr>
        <w:t xml:space="preserve"> are performed only when no other advanced imaging can be accessed. MRI is a particularly useful imaging technique of choice due to its noninvasive nature and greater anatomic detail, particularly when smoldering MM is suspected, to eliminate the risk of the focal lesion in the bone marrow observed before the occurrence of the actual osteolytic disorder. MRI also greatly contributes to the assessment of suspected cord compression and extramedullary disorder, and when it is necessary to visualize a certain symptomatic region. Although the diagnosis of MM is easy, based on blood and kidney tests and X-rays, in some cases an accurate diagnosis can only be made by pathology</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4AB4A792"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MM can result in progressive relapse. MM may recur with clinical symptoms or with biochemical disorders. Holistic and multidisciplinary treatment is needed for each MM patient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Treatment involves multiple factors, which requires collaboration between </w:t>
      </w:r>
      <w:r>
        <w:rPr>
          <w:rFonts w:ascii="Book Antiqua" w:eastAsia="Book Antiqua" w:hAnsi="Book Antiqua" w:cs="Book Antiqua"/>
          <w:color w:val="000000"/>
        </w:rPr>
        <w:lastRenderedPageBreak/>
        <w:t>radiotherapists, orthopedic surgeons, radiologists, hematologists, and anesthesiologists. In this regard, it is necessary to construct a prognostic model to predict disease stage, evaluate the patient’s general condition, and determine underlying chronic disorders or possible adjuvant treatments</w:t>
      </w:r>
      <w:r>
        <w:rPr>
          <w:rFonts w:ascii="Book Antiqua" w:eastAsia="Book Antiqua" w:hAnsi="Book Antiqua" w:cs="Book Antiqua"/>
          <w:color w:val="000000"/>
          <w:vertAlign w:val="superscript"/>
        </w:rPr>
        <w:t>[2]</w:t>
      </w:r>
      <w:r>
        <w:rPr>
          <w:rFonts w:ascii="Book Antiqua" w:eastAsia="Book Antiqua" w:hAnsi="Book Antiqua" w:cs="Book Antiqua"/>
          <w:color w:val="000000"/>
        </w:rPr>
        <w:t>. To optimize the outcomes for individuals, elucidating the most suitable maintenance treatment or continuous therapy for the specific patient group is important. It is also important to consider the clinical safety, effectiveness, tolerability, life quality, convenience, feasibility, and long-time treatment burden in patients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p>
    <w:p w14:paraId="0F8D71E6"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In addition to oncological and antineoplastic systemic therapy, surgical therapy in patients with MM is an essential treatment within the framework of supportive therapy measures and involves orthopedic tumor surgery. For SREs related to myeloma, surgery is mainly performed to maintain and restore skeletal function and recovery, reduce patient suffering such as pain, and improve patient mobility as well as life quality</w:t>
      </w:r>
      <w:r>
        <w:rPr>
          <w:rFonts w:ascii="Book Antiqua" w:eastAsia="Book Antiqua" w:hAnsi="Book Antiqua" w:cs="Book Antiqua"/>
          <w:color w:val="000000"/>
          <w:vertAlign w:val="superscript"/>
        </w:rPr>
        <w:t>[28,29]</w:t>
      </w:r>
      <w:r>
        <w:rPr>
          <w:rFonts w:ascii="Book Antiqua" w:eastAsia="Book Antiqua" w:hAnsi="Book Antiqua" w:cs="Book Antiqua"/>
          <w:color w:val="000000"/>
        </w:rPr>
        <w:t>. There is a need for surgical intervention not only for the care and treatment of stability-threatening bone lesions and pathological fractures but also for the treatment of tumor-related complications, such as neurological deficits, possible paraplegia, or in the case of conservative therapy, refractory bone pain. The surgical methods and timing of treatment should be decided individually depending on the risk and prognostic outcomes of myeloma cases</w:t>
      </w:r>
      <w:r>
        <w:rPr>
          <w:rFonts w:ascii="Book Antiqua" w:eastAsia="Book Antiqua" w:hAnsi="Book Antiqua" w:cs="Book Antiqua"/>
          <w:color w:val="000000"/>
          <w:vertAlign w:val="superscript"/>
        </w:rPr>
        <w:t>[28]</w:t>
      </w:r>
      <w:r>
        <w:rPr>
          <w:rFonts w:ascii="Book Antiqua" w:eastAsia="Book Antiqua" w:hAnsi="Book Antiqua" w:cs="Book Antiqua"/>
          <w:color w:val="000000"/>
        </w:rPr>
        <w:t>. Osteolysis of non-supporting skeletal sections such as the ribs, skull, or scapula does not usually require surgical treatment. The physical status grade established by the American Society of Anesthesiologists (ASA) has been extensively used to evaluate the patient's general condition or anesthesia tolerance. Ultrasound-guided intercostal brachial plexus block provides an alternative to general anesthesia for patients with pathologic humeral fractures caused by MM with systemic presentation and chest infections</w:t>
      </w:r>
      <w:r>
        <w:rPr>
          <w:rFonts w:ascii="Book Antiqua" w:eastAsia="Book Antiqua" w:hAnsi="Book Antiqua" w:cs="Book Antiqua"/>
          <w:color w:val="000000"/>
          <w:vertAlign w:val="superscript"/>
        </w:rPr>
        <w:t>[30]</w:t>
      </w:r>
      <w:r>
        <w:rPr>
          <w:rFonts w:ascii="Book Antiqua" w:eastAsia="Book Antiqua" w:hAnsi="Book Antiqua" w:cs="Book Antiqua"/>
          <w:color w:val="000000"/>
        </w:rPr>
        <w:t>. However, patients with &lt;</w:t>
      </w:r>
      <w:r>
        <w:rPr>
          <w:rFonts w:ascii="Book Antiqua" w:hAnsi="Book Antiqua" w:cs="Book Antiqua"/>
          <w:color w:val="000000"/>
          <w:lang w:eastAsia="zh-CN"/>
        </w:rPr>
        <w:t xml:space="preserve"> </w:t>
      </w:r>
      <w:r>
        <w:rPr>
          <w:rFonts w:ascii="Book Antiqua" w:eastAsia="Book Antiqua" w:hAnsi="Book Antiqua" w:cs="Book Antiqua"/>
          <w:color w:val="000000"/>
        </w:rPr>
        <w:t>2 mo survival or ASA</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 will be treated using conservative methods instead of surgery</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405739AE"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Surgery is usually conducted to treat MM-induced proximal humeral fractures, to relieve patient suffering and recover bone function and mobility, as well as patient life quality. However, surgical strategies are complicated and demanding</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6D4C99BB"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lastRenderedPageBreak/>
        <w:t>Shoulder pain and bone damage due to pathological fractures of the proximal humerus caused by MM can be treated using either the simple bone cement technique or percutaneous microwave ablation and cementoplasty</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2EB28CC0"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Endoprosthetic reconstruction has been extensively used to treat proximal humeral fractures, but it does not achieve a satisfactory effect on impaired function. The prosthesis can be a good way of relieving pain and fixing the fracture, but it has poor functional recovery compared with other treatments</w:t>
      </w:r>
      <w:r>
        <w:rPr>
          <w:rFonts w:ascii="Book Antiqua" w:eastAsia="Book Antiqua" w:hAnsi="Book Antiqua" w:cs="Book Antiqua"/>
          <w:color w:val="000000"/>
          <w:vertAlign w:val="superscript"/>
        </w:rPr>
        <w:t>[7,34-36]</w:t>
      </w:r>
      <w:r>
        <w:rPr>
          <w:rFonts w:ascii="Book Antiqua" w:eastAsia="Book Antiqua" w:hAnsi="Book Antiqua" w:cs="Book Antiqua"/>
          <w:color w:val="000000"/>
        </w:rPr>
        <w:t>. In addition, more tendons and muscles are sacrificed during resection, which inevitably impairs function</w:t>
      </w:r>
      <w:r>
        <w:rPr>
          <w:rFonts w:ascii="Book Antiqua" w:eastAsia="Book Antiqua" w:hAnsi="Book Antiqua" w:cs="Book Antiqua"/>
          <w:color w:val="000000"/>
          <w:vertAlign w:val="superscript"/>
        </w:rPr>
        <w:t>[35]</w:t>
      </w:r>
      <w:r>
        <w:rPr>
          <w:rFonts w:ascii="Book Antiqua" w:eastAsia="Book Antiqua" w:hAnsi="Book Antiqua" w:cs="Book Antiqua"/>
          <w:color w:val="000000"/>
        </w:rPr>
        <w:t>. Also, plate fixation is associated with numerous drawbacks, such as short protection length, massive soft tissue stripping, and risk of nerve injury</w:t>
      </w:r>
      <w:r>
        <w:rPr>
          <w:rFonts w:ascii="Book Antiqua" w:eastAsia="Book Antiqua" w:hAnsi="Book Antiqua" w:cs="Book Antiqua"/>
          <w:color w:val="000000"/>
          <w:vertAlign w:val="superscript"/>
        </w:rPr>
        <w:t>[9,37,38]</w:t>
      </w:r>
      <w:r>
        <w:rPr>
          <w:rFonts w:ascii="Book Antiqua" w:eastAsia="Book Antiqua" w:hAnsi="Book Antiqua" w:cs="Book Antiqua"/>
          <w:color w:val="000000"/>
        </w:rPr>
        <w:t>. Local relapse may give rise to fixation loss or the need for a second operation</w:t>
      </w:r>
      <w:r>
        <w:rPr>
          <w:rFonts w:ascii="Book Antiqua" w:eastAsia="Book Antiqua" w:hAnsi="Book Antiqua" w:cs="Book Antiqua"/>
          <w:color w:val="000000"/>
          <w:vertAlign w:val="superscript"/>
        </w:rPr>
        <w:t>[34,39]</w:t>
      </w:r>
      <w:r>
        <w:rPr>
          <w:rFonts w:ascii="Book Antiqua" w:eastAsia="Book Antiqua" w:hAnsi="Book Antiqua" w:cs="Book Antiqua"/>
          <w:color w:val="000000"/>
        </w:rPr>
        <w:t>. As a result, plates are restricted in the treatment of metastasis.</w:t>
      </w:r>
    </w:p>
    <w:p w14:paraId="12CE784C"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IM nailing is thought to be unsuitable for treating proximal humeral fractures due to the bone defect and thin cortex following curettage</w:t>
      </w:r>
      <w:r>
        <w:rPr>
          <w:rFonts w:ascii="Book Antiqua" w:eastAsia="Book Antiqua" w:hAnsi="Book Antiqua" w:cs="Book Antiqua"/>
          <w:color w:val="000000"/>
          <w:vertAlign w:val="superscript"/>
        </w:rPr>
        <w:t>[34]</w:t>
      </w:r>
      <w:r>
        <w:rPr>
          <w:rFonts w:ascii="Book Antiqua" w:eastAsia="Book Antiqua" w:hAnsi="Book Antiqua" w:cs="Book Antiqua"/>
          <w:color w:val="000000"/>
        </w:rPr>
        <w:t>. Therefore, at present, IM nailing is restricted to the treatment of diaphyseal fractures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Our results revealed that IM nailing is an efficient and robust method for treating proximal humeral fractures. IM nailing to fix proximal humeral fractures is advantageous due to its decreased operation time, can be used to treat small lesions, decreased soft tissue dissection, and early recovery. </w:t>
      </w:r>
    </w:p>
    <w:p w14:paraId="15E9A738"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 xml:space="preserve">In this case, we performed IM nailing to treat a proximal humeral fracture, without bone cement to augment the lesion. At follow-up visits, our patient had marked pain relief and improved shoulder function. At the 40-mo follow-up, the patient had a favorably healed humeral fracture, complete lesion healing was observed, and no pain was reported by the patient. In comparison with the contralateral shoulder, the forward flexion and abduction were limited at the terminal 10°, and complete external and internal adduction and rotation were achieved. </w:t>
      </w:r>
    </w:p>
    <w:p w14:paraId="3FC0DE3E"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Despite it being generally incurable, the long-time survival of MM patients is greatly improved as more treatments have recently been developed. In addition, improved survival is also associated with early treatment</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As suggested by randomized </w:t>
      </w:r>
      <w:r>
        <w:rPr>
          <w:rFonts w:ascii="Book Antiqua" w:eastAsia="Book Antiqua" w:hAnsi="Book Antiqua" w:cs="Book Antiqua"/>
          <w:color w:val="000000"/>
        </w:rPr>
        <w:lastRenderedPageBreak/>
        <w:t>controlled trials which used modern treatments, MM has a median survival of about 6 years. An appropriate treatment for metastases is needed to prolong patient survival</w:t>
      </w:r>
      <w:r>
        <w:rPr>
          <w:rFonts w:ascii="Book Antiqua" w:eastAsia="Book Antiqua" w:hAnsi="Book Antiqua" w:cs="Book Antiqua"/>
          <w:color w:val="000000"/>
          <w:vertAlign w:val="superscript"/>
        </w:rPr>
        <w:t>[41]</w:t>
      </w:r>
      <w:r>
        <w:rPr>
          <w:rFonts w:ascii="Book Antiqua" w:eastAsia="Book Antiqua" w:hAnsi="Book Antiqua" w:cs="Book Antiqua"/>
          <w:color w:val="000000"/>
        </w:rPr>
        <w:t>.</w:t>
      </w:r>
    </w:p>
    <w:p w14:paraId="651AD4A0" w14:textId="77777777" w:rsidR="00FA3684" w:rsidRDefault="00471DDD">
      <w:pPr>
        <w:spacing w:line="360" w:lineRule="auto"/>
        <w:ind w:firstLine="480"/>
        <w:jc w:val="both"/>
        <w:rPr>
          <w:rFonts w:ascii="Book Antiqua" w:hAnsi="Book Antiqua"/>
        </w:rPr>
      </w:pPr>
      <w:r>
        <w:rPr>
          <w:rFonts w:ascii="Book Antiqua" w:eastAsia="Book Antiqua" w:hAnsi="Book Antiqua" w:cs="Book Antiqua"/>
          <w:color w:val="000000"/>
        </w:rPr>
        <w:t>Although this technique achieved a satisfactory effect, few reports describe this method for the treatment of pathological fractures of the proximal humerus caused by MM. Therefore, it is necessary to conduct studies with a large sample size to further validate its efficacy and to identify the surgical indications and related complications.</w:t>
      </w:r>
    </w:p>
    <w:p w14:paraId="515BF1BD" w14:textId="77777777" w:rsidR="00FA3684" w:rsidRDefault="00471DDD">
      <w:pPr>
        <w:spacing w:line="360" w:lineRule="auto"/>
        <w:ind w:firstLineChars="100" w:firstLine="240"/>
        <w:jc w:val="both"/>
        <w:rPr>
          <w:rFonts w:ascii="Book Antiqua" w:hAnsi="Book Antiqua"/>
        </w:rPr>
      </w:pPr>
      <w:r>
        <w:rPr>
          <w:rFonts w:ascii="Book Antiqua" w:eastAsia="Book Antiqua" w:hAnsi="Book Antiqua" w:cs="Book Antiqua"/>
          <w:color w:val="000000"/>
        </w:rPr>
        <w:t>Our patient was satisfied with his current functional recovery and treatment of the primary disease and agreed to publication of this report, in the hope that more patients suffering from the same disease may benefit.</w:t>
      </w:r>
    </w:p>
    <w:p w14:paraId="4F55C3EA" w14:textId="77777777" w:rsidR="00FA3684" w:rsidRDefault="00FA3684">
      <w:pPr>
        <w:spacing w:line="360" w:lineRule="auto"/>
        <w:jc w:val="both"/>
        <w:rPr>
          <w:rFonts w:ascii="Book Antiqua" w:hAnsi="Book Antiqua"/>
        </w:rPr>
      </w:pPr>
    </w:p>
    <w:p w14:paraId="2849C333" w14:textId="77777777" w:rsidR="00FA3684" w:rsidRDefault="00471DD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0D2312D" w14:textId="77777777" w:rsidR="00FA3684" w:rsidRDefault="00471DDD">
      <w:pPr>
        <w:spacing w:line="360" w:lineRule="auto"/>
        <w:jc w:val="both"/>
        <w:rPr>
          <w:rFonts w:ascii="Book Antiqua" w:hAnsi="Book Antiqua"/>
        </w:rPr>
      </w:pPr>
      <w:r>
        <w:rPr>
          <w:rFonts w:ascii="Book Antiqua" w:eastAsia="Book Antiqua" w:hAnsi="Book Antiqua" w:cs="Book Antiqua"/>
          <w:color w:val="000000"/>
          <w:shd w:val="clear" w:color="auto" w:fill="FFFFFF"/>
        </w:rPr>
        <w:t>When a pathological fracture of the proximal humerus caused by multiple myeloma occurs, early surgical treatment is indicated, which can effectively relieve pain and allow early movement. IM nailing can be performed for this type of fracture, without removal of tumors, bone cement augmentation for the bone defect,</w:t>
      </w:r>
      <w:r>
        <w:rPr>
          <w:rFonts w:ascii="Book Antiqua" w:eastAsia="Book Antiqua" w:hAnsi="Book Antiqua" w:cs="Book Antiqua"/>
          <w:color w:val="000000"/>
        </w:rPr>
        <w:t xml:space="preserve"> or local adjuvant therapy. Moreover, patients can receive combined therapy and have a good prognosis.</w:t>
      </w:r>
    </w:p>
    <w:p w14:paraId="0AB5674A" w14:textId="77777777" w:rsidR="00FA3684" w:rsidRDefault="00FA3684">
      <w:pPr>
        <w:spacing w:line="360" w:lineRule="auto"/>
        <w:jc w:val="both"/>
        <w:rPr>
          <w:rFonts w:ascii="Book Antiqua" w:hAnsi="Book Antiqua"/>
        </w:rPr>
      </w:pPr>
    </w:p>
    <w:p w14:paraId="6C48307C"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REFERENCES</w:t>
      </w:r>
    </w:p>
    <w:p w14:paraId="28790480"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Roodman GD</w:t>
      </w:r>
      <w:r>
        <w:rPr>
          <w:rFonts w:ascii="Book Antiqua" w:hAnsi="Book Antiqua"/>
        </w:rPr>
        <w:t xml:space="preserve">. Pathogenesis of myeloma bone disease. </w:t>
      </w:r>
      <w:r>
        <w:rPr>
          <w:rFonts w:ascii="Book Antiqua" w:hAnsi="Book Antiqua"/>
          <w:i/>
          <w:iCs/>
        </w:rPr>
        <w:t>Leukemia</w:t>
      </w:r>
      <w:r>
        <w:rPr>
          <w:rFonts w:ascii="Book Antiqua" w:hAnsi="Book Antiqua"/>
        </w:rPr>
        <w:t xml:space="preserve"> 2009; </w:t>
      </w:r>
      <w:r>
        <w:rPr>
          <w:rFonts w:ascii="Book Antiqua" w:hAnsi="Book Antiqua"/>
          <w:b/>
          <w:bCs/>
        </w:rPr>
        <w:t>23</w:t>
      </w:r>
      <w:r>
        <w:rPr>
          <w:rFonts w:ascii="Book Antiqua" w:hAnsi="Book Antiqua"/>
        </w:rPr>
        <w:t>: 435-441 [PMID: 19039321 DOI: 10.1038/leu.2008.336]</w:t>
      </w:r>
    </w:p>
    <w:p w14:paraId="45AE7B4A"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Guzik G</w:t>
      </w:r>
      <w:r>
        <w:rPr>
          <w:rFonts w:ascii="Book Antiqua" w:hAnsi="Book Antiqua"/>
        </w:rPr>
        <w:t xml:space="preserve">. Oncological and functional results of the surgical treatment of vertebral metastases in patients with multiple myeloma". </w:t>
      </w:r>
      <w:r>
        <w:rPr>
          <w:rFonts w:ascii="Book Antiqua" w:hAnsi="Book Antiqua"/>
          <w:i/>
          <w:iCs/>
        </w:rPr>
        <w:t>BMC Surg</w:t>
      </w:r>
      <w:r>
        <w:rPr>
          <w:rFonts w:ascii="Book Antiqua" w:hAnsi="Book Antiqua"/>
        </w:rPr>
        <w:t xml:space="preserve"> 2017; </w:t>
      </w:r>
      <w:r>
        <w:rPr>
          <w:rFonts w:ascii="Book Antiqua" w:hAnsi="Book Antiqua"/>
          <w:b/>
          <w:bCs/>
        </w:rPr>
        <w:t>17</w:t>
      </w:r>
      <w:r>
        <w:rPr>
          <w:rFonts w:ascii="Book Antiqua" w:hAnsi="Book Antiqua"/>
        </w:rPr>
        <w:t>: 92 [PMID: 28830484 DOI: 10.1186/s12893-017-0288-9]</w:t>
      </w:r>
    </w:p>
    <w:p w14:paraId="51BCA916"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Yilmaz E</w:t>
      </w:r>
      <w:r>
        <w:rPr>
          <w:rFonts w:ascii="Book Antiqua" w:hAnsi="Book Antiqua"/>
        </w:rPr>
        <w:t xml:space="preserve">. Presentation of multiple myeloma occurring in the humerus after strain: a case report. </w:t>
      </w:r>
      <w:r>
        <w:rPr>
          <w:rFonts w:ascii="Book Antiqua" w:hAnsi="Book Antiqua"/>
          <w:i/>
          <w:iCs/>
        </w:rPr>
        <w:t>Clin Rheumatol</w:t>
      </w:r>
      <w:r>
        <w:rPr>
          <w:rFonts w:ascii="Book Antiqua" w:hAnsi="Book Antiqua"/>
        </w:rPr>
        <w:t xml:space="preserve"> 2021; </w:t>
      </w:r>
      <w:r>
        <w:rPr>
          <w:rFonts w:ascii="Book Antiqua" w:hAnsi="Book Antiqua"/>
          <w:b/>
          <w:bCs/>
        </w:rPr>
        <w:t>40</w:t>
      </w:r>
      <w:r>
        <w:rPr>
          <w:rFonts w:ascii="Book Antiqua" w:hAnsi="Book Antiqua"/>
        </w:rPr>
        <w:t>: 389-392 [PMID: 32613389 DOI: 10.1007/s10067-020-05256-4]</w:t>
      </w:r>
    </w:p>
    <w:p w14:paraId="4DAF9DB6"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Frassica FJ</w:t>
      </w:r>
      <w:r>
        <w:rPr>
          <w:rFonts w:ascii="Book Antiqua" w:hAnsi="Book Antiqua"/>
        </w:rPr>
        <w:t xml:space="preserve">, Frassica DA. Evaluation and treatment of metastases to the humerus. </w:t>
      </w:r>
      <w:r>
        <w:rPr>
          <w:rFonts w:ascii="Book Antiqua" w:hAnsi="Book Antiqua"/>
          <w:i/>
          <w:iCs/>
        </w:rPr>
        <w:t>Clin Orthop Relat Res</w:t>
      </w:r>
      <w:r>
        <w:rPr>
          <w:rFonts w:ascii="Book Antiqua" w:hAnsi="Book Antiqua"/>
        </w:rPr>
        <w:t xml:space="preserve"> 2003: S212-S218 [PMID: 14600613 DOI: 10.1097/01.blo.0000093052.96273.a7]</w:t>
      </w:r>
    </w:p>
    <w:p w14:paraId="65423E75"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5 </w:t>
      </w:r>
      <w:r>
        <w:rPr>
          <w:rFonts w:ascii="Book Antiqua" w:hAnsi="Book Antiqua"/>
          <w:b/>
          <w:bCs/>
        </w:rPr>
        <w:t>Weiss KR</w:t>
      </w:r>
      <w:r>
        <w:rPr>
          <w:rFonts w:ascii="Book Antiqua" w:hAnsi="Book Antiqua"/>
        </w:rPr>
        <w:t xml:space="preserve">, Bhumbra R, Biau DJ, Griffin AM, Deheshi B, Wunder JS, Ferguson PC. Fixation of pathological humeral fractures by the cemented plate technique. </w:t>
      </w:r>
      <w:r>
        <w:rPr>
          <w:rFonts w:ascii="Book Antiqua" w:hAnsi="Book Antiqua"/>
          <w:i/>
          <w:iCs/>
        </w:rPr>
        <w:t>J Bone Joint Surg Br</w:t>
      </w:r>
      <w:r>
        <w:rPr>
          <w:rFonts w:ascii="Book Antiqua" w:hAnsi="Book Antiqua"/>
        </w:rPr>
        <w:t xml:space="preserve"> 2011; </w:t>
      </w:r>
      <w:r>
        <w:rPr>
          <w:rFonts w:ascii="Book Antiqua" w:hAnsi="Book Antiqua"/>
          <w:b/>
          <w:bCs/>
        </w:rPr>
        <w:t>93</w:t>
      </w:r>
      <w:r>
        <w:rPr>
          <w:rFonts w:ascii="Book Antiqua" w:hAnsi="Book Antiqua"/>
        </w:rPr>
        <w:t>: 1093-1097 [PMID: 21768635 DOI: 10.1302/0301-620X.93B8.26194]</w:t>
      </w:r>
    </w:p>
    <w:p w14:paraId="39630B8F"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Laitinen M</w:t>
      </w:r>
      <w:r>
        <w:rPr>
          <w:rFonts w:ascii="Book Antiqua" w:hAnsi="Book Antiqua"/>
        </w:rPr>
        <w:t xml:space="preserve">, Nieminen J, Pakarinen TK. Treatment of pathological humerus shaft fractures with intramedullary nails with or without cement fixation. </w:t>
      </w:r>
      <w:r>
        <w:rPr>
          <w:rFonts w:ascii="Book Antiqua" w:hAnsi="Book Antiqua"/>
          <w:i/>
          <w:iCs/>
        </w:rPr>
        <w:t>Arch Orthop Trauma Surg</w:t>
      </w:r>
      <w:r>
        <w:rPr>
          <w:rFonts w:ascii="Book Antiqua" w:hAnsi="Book Antiqua"/>
        </w:rPr>
        <w:t xml:space="preserve"> 2011; </w:t>
      </w:r>
      <w:r>
        <w:rPr>
          <w:rFonts w:ascii="Book Antiqua" w:hAnsi="Book Antiqua"/>
          <w:b/>
          <w:bCs/>
        </w:rPr>
        <w:t>131</w:t>
      </w:r>
      <w:r>
        <w:rPr>
          <w:rFonts w:ascii="Book Antiqua" w:hAnsi="Book Antiqua"/>
        </w:rPr>
        <w:t>: 503-508 [PMID: 20740287 DOI: 10.1007/s00402-010-1172-6]</w:t>
      </w:r>
    </w:p>
    <w:p w14:paraId="27BF4CDC"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Camnasio F</w:t>
      </w:r>
      <w:r>
        <w:rPr>
          <w:rFonts w:ascii="Book Antiqua" w:hAnsi="Book Antiqua"/>
        </w:rPr>
        <w:t xml:space="preserve">, Scotti C, Peretti GM, Fontana F, Fraschini G. Prosthetic joint replacement for long bone metastases: analysis of 154 cases. </w:t>
      </w:r>
      <w:r>
        <w:rPr>
          <w:rFonts w:ascii="Book Antiqua" w:hAnsi="Book Antiqua"/>
          <w:i/>
          <w:iCs/>
        </w:rPr>
        <w:t>Arch Orthop Trauma Surg</w:t>
      </w:r>
      <w:r>
        <w:rPr>
          <w:rFonts w:ascii="Book Antiqua" w:hAnsi="Book Antiqua"/>
        </w:rPr>
        <w:t xml:space="preserve"> 2008; </w:t>
      </w:r>
      <w:r>
        <w:rPr>
          <w:rFonts w:ascii="Book Antiqua" w:hAnsi="Book Antiqua"/>
          <w:b/>
          <w:bCs/>
        </w:rPr>
        <w:t>128</w:t>
      </w:r>
      <w:r>
        <w:rPr>
          <w:rFonts w:ascii="Book Antiqua" w:hAnsi="Book Antiqua"/>
        </w:rPr>
        <w:t>: 787-793 [PMID: 17922282 DOI: 10.1007/s00402-007-0464-y]</w:t>
      </w:r>
    </w:p>
    <w:p w14:paraId="70F45A94"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Capanna R</w:t>
      </w:r>
      <w:r>
        <w:rPr>
          <w:rFonts w:ascii="Book Antiqua" w:hAnsi="Book Antiqua"/>
        </w:rPr>
        <w:t xml:space="preserve">, Campanacci DA. The treatment of metastases in the appendicular skeleton. </w:t>
      </w:r>
      <w:r>
        <w:rPr>
          <w:rFonts w:ascii="Book Antiqua" w:hAnsi="Book Antiqua"/>
          <w:i/>
          <w:iCs/>
        </w:rPr>
        <w:t>J Bone Joint Surg Br</w:t>
      </w:r>
      <w:r>
        <w:rPr>
          <w:rFonts w:ascii="Book Antiqua" w:hAnsi="Book Antiqua"/>
        </w:rPr>
        <w:t xml:space="preserve"> 2001; </w:t>
      </w:r>
      <w:r>
        <w:rPr>
          <w:rFonts w:ascii="Book Antiqua" w:hAnsi="Book Antiqua"/>
          <w:b/>
          <w:bCs/>
        </w:rPr>
        <w:t>83</w:t>
      </w:r>
      <w:r>
        <w:rPr>
          <w:rFonts w:ascii="Book Antiqua" w:hAnsi="Book Antiqua"/>
        </w:rPr>
        <w:t>: 471-481 [PMID: 11380113 DOI: 10.1302/0301-620x.83b4.12202]</w:t>
      </w:r>
    </w:p>
    <w:p w14:paraId="6943C49E"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Sarahrudi K</w:t>
      </w:r>
      <w:r>
        <w:rPr>
          <w:rFonts w:ascii="Book Antiqua" w:hAnsi="Book Antiqua"/>
        </w:rPr>
        <w:t xml:space="preserve">, Wolf H, Funovics P, Pajenda G, Hausmann JT, Vécsei V. Surgical treatment of pathological fractures of the shaft of the humerus. </w:t>
      </w:r>
      <w:r>
        <w:rPr>
          <w:rFonts w:ascii="Book Antiqua" w:hAnsi="Book Antiqua"/>
          <w:i/>
          <w:iCs/>
        </w:rPr>
        <w:t>J Trauma</w:t>
      </w:r>
      <w:r>
        <w:rPr>
          <w:rFonts w:ascii="Book Antiqua" w:hAnsi="Book Antiqua"/>
        </w:rPr>
        <w:t xml:space="preserve"> 2009; </w:t>
      </w:r>
      <w:r>
        <w:rPr>
          <w:rFonts w:ascii="Book Antiqua" w:hAnsi="Book Antiqua"/>
          <w:b/>
          <w:bCs/>
        </w:rPr>
        <w:t>66</w:t>
      </w:r>
      <w:r>
        <w:rPr>
          <w:rFonts w:ascii="Book Antiqua" w:hAnsi="Book Antiqua"/>
        </w:rPr>
        <w:t>: 789-794 [PMID: 19276754 DOI: 10.1097/TA.0b013e3181692132]</w:t>
      </w:r>
    </w:p>
    <w:p w14:paraId="67DACE1E"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Atesok K</w:t>
      </w:r>
      <w:r>
        <w:rPr>
          <w:rFonts w:ascii="Book Antiqua" w:hAnsi="Book Antiqua"/>
        </w:rPr>
        <w:t xml:space="preserve">, Liebergall M, Sucher E, Temper M, Mosheiff R, Peyser A. Treatment of pathological humeral shaft fractures with unreamed humeral nail. </w:t>
      </w:r>
      <w:r>
        <w:rPr>
          <w:rFonts w:ascii="Book Antiqua" w:hAnsi="Book Antiqua"/>
          <w:i/>
          <w:iCs/>
        </w:rPr>
        <w:t>Ann Surg Oncol</w:t>
      </w:r>
      <w:r>
        <w:rPr>
          <w:rFonts w:ascii="Book Antiqua" w:hAnsi="Book Antiqua"/>
        </w:rPr>
        <w:t xml:space="preserve"> 2007; </w:t>
      </w:r>
      <w:r>
        <w:rPr>
          <w:rFonts w:ascii="Book Antiqua" w:hAnsi="Book Antiqua"/>
          <w:b/>
          <w:bCs/>
        </w:rPr>
        <w:t>14</w:t>
      </w:r>
      <w:r>
        <w:rPr>
          <w:rFonts w:ascii="Book Antiqua" w:hAnsi="Book Antiqua"/>
        </w:rPr>
        <w:t>: 1493-1498 [PMID: 17211731 DOI: 10.1245/s10434-006-9257-8]</w:t>
      </w:r>
    </w:p>
    <w:p w14:paraId="5022443E"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Enneking WF</w:t>
      </w:r>
      <w:r>
        <w:rPr>
          <w:rFonts w:ascii="Book Antiqua" w:hAnsi="Book Antiqua"/>
        </w:rPr>
        <w:t xml:space="preserve">, Dunham W, Gebhardt MC, Malawar M, Pritchard DJ. A system for the functional evaluation of reconstructive procedures after surgical treatment of tumors of the musculoskeletal system. </w:t>
      </w:r>
      <w:r>
        <w:rPr>
          <w:rFonts w:ascii="Book Antiqua" w:hAnsi="Book Antiqua"/>
          <w:i/>
          <w:iCs/>
        </w:rPr>
        <w:t>Clin Orthop Relat Res</w:t>
      </w:r>
      <w:r>
        <w:rPr>
          <w:rFonts w:ascii="Book Antiqua" w:hAnsi="Book Antiqua"/>
        </w:rPr>
        <w:t xml:space="preserve"> 1993: 241-246 [PMID: 8425352 DOI: 10.1007/978-1-4471-5451-8_128]</w:t>
      </w:r>
    </w:p>
    <w:p w14:paraId="4DA0D537"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Rajkumar SV</w:t>
      </w:r>
      <w:r>
        <w:rPr>
          <w:rFonts w:ascii="Book Antiqua" w:hAnsi="Book Antiqua"/>
        </w:rPr>
        <w:t xml:space="preserve">, Dimopoulos MA, Palumbo A, Blade J, Merlini G, Mateos MV, Kumar S, Hillengass J, Kastritis E, Richardson P, Landgren O, Paiva B, Dispenzieri A, Weiss B, LeLeu X, Zweegman S, Lonial S, Rosinol L, Zamagni E, Jagannath S, Sezer O, Kristinsson SY, Caers J, Usmani SZ, Lahuerta JJ, Johnsen HE, Beksac M, Cavo M, Goldschmidt H, Terpos E, Kyle RA, Anderson KC, Durie BG, Miguel JF. International Myeloma Working Group updated criteria for the diagnosis of multiple myeloma. </w:t>
      </w:r>
      <w:r>
        <w:rPr>
          <w:rFonts w:ascii="Book Antiqua" w:hAnsi="Book Antiqua"/>
          <w:i/>
          <w:iCs/>
        </w:rPr>
        <w:t>Lancet Oncol</w:t>
      </w:r>
      <w:r>
        <w:rPr>
          <w:rFonts w:ascii="Book Antiqua" w:hAnsi="Book Antiqua"/>
        </w:rPr>
        <w:t xml:space="preserve"> 2014; </w:t>
      </w:r>
      <w:r>
        <w:rPr>
          <w:rFonts w:ascii="Book Antiqua" w:hAnsi="Book Antiqua"/>
          <w:b/>
          <w:bCs/>
        </w:rPr>
        <w:t>15</w:t>
      </w:r>
      <w:r>
        <w:rPr>
          <w:rFonts w:ascii="Book Antiqua" w:hAnsi="Book Antiqua"/>
        </w:rPr>
        <w:t>: e538-e548 [PMID: 25439696 DOI: 10.1016/S1470-2045(14)70442-5]</w:t>
      </w:r>
    </w:p>
    <w:p w14:paraId="2E207EE4"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13 </w:t>
      </w:r>
      <w:r>
        <w:rPr>
          <w:rFonts w:ascii="Book Antiqua" w:hAnsi="Book Antiqua"/>
          <w:b/>
          <w:bCs/>
        </w:rPr>
        <w:t>Landgren O</w:t>
      </w:r>
      <w:r>
        <w:rPr>
          <w:rFonts w:ascii="Book Antiqua" w:hAnsi="Book Antiqua"/>
        </w:rPr>
        <w:t xml:space="preserve">, Weiss BM. Patterns of monoclonal gammopathy of undetermined significance and multiple myeloma in various ethnic/racial groups: support for genetic factors in pathogenesis. </w:t>
      </w:r>
      <w:r>
        <w:rPr>
          <w:rFonts w:ascii="Book Antiqua" w:hAnsi="Book Antiqua"/>
          <w:i/>
          <w:iCs/>
        </w:rPr>
        <w:t>Leukemia</w:t>
      </w:r>
      <w:r>
        <w:rPr>
          <w:rFonts w:ascii="Book Antiqua" w:hAnsi="Book Antiqua"/>
        </w:rPr>
        <w:t xml:space="preserve"> 2009; </w:t>
      </w:r>
      <w:r>
        <w:rPr>
          <w:rFonts w:ascii="Book Antiqua" w:hAnsi="Book Antiqua"/>
          <w:b/>
          <w:bCs/>
        </w:rPr>
        <w:t>23</w:t>
      </w:r>
      <w:r>
        <w:rPr>
          <w:rFonts w:ascii="Book Antiqua" w:hAnsi="Book Antiqua"/>
        </w:rPr>
        <w:t>: 1691-1697 [PMID: 19587704 DOI: 10.1038/leu.2009.134]</w:t>
      </w:r>
    </w:p>
    <w:p w14:paraId="2FB0B77D"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Landgren O</w:t>
      </w:r>
      <w:r>
        <w:rPr>
          <w:rFonts w:ascii="Book Antiqua" w:hAnsi="Book Antiqua"/>
        </w:rPr>
        <w:t xml:space="preserve">, Graubard BI, Katzmann JA, Kyle RA, Ahmadizadeh I, Clark R, Kumar SK, Dispenzieri A, Greenberg AJ, Therneau TM, Melton LJ 3rd, Caporaso N, Korde N, Roschewski M, Costello R, McQuillan GM, Rajkumar SV. Racial disparities in the prevalence of monoclonal gammopathies: a population-based study of 12,482 persons from the National Health and Nutritional Examination Survey. </w:t>
      </w:r>
      <w:r>
        <w:rPr>
          <w:rFonts w:ascii="Book Antiqua" w:hAnsi="Book Antiqua"/>
          <w:i/>
          <w:iCs/>
        </w:rPr>
        <w:t>Leukemia</w:t>
      </w:r>
      <w:r>
        <w:rPr>
          <w:rFonts w:ascii="Book Antiqua" w:hAnsi="Book Antiqua"/>
        </w:rPr>
        <w:t xml:space="preserve"> 2014; </w:t>
      </w:r>
      <w:r>
        <w:rPr>
          <w:rFonts w:ascii="Book Antiqua" w:hAnsi="Book Antiqua"/>
          <w:b/>
          <w:bCs/>
        </w:rPr>
        <w:t>28</w:t>
      </w:r>
      <w:r>
        <w:rPr>
          <w:rFonts w:ascii="Book Antiqua" w:hAnsi="Book Antiqua"/>
        </w:rPr>
        <w:t>: 1537-1542 [PMID: 24441287 DOI: 10.1038/leu.2014.34]</w:t>
      </w:r>
    </w:p>
    <w:p w14:paraId="297BF4E7"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Chavda SJ</w:t>
      </w:r>
      <w:r>
        <w:rPr>
          <w:rFonts w:ascii="Book Antiqua" w:hAnsi="Book Antiqua"/>
        </w:rPr>
        <w:t xml:space="preserve">, Yong K. Multiple myeloma. </w:t>
      </w:r>
      <w:r>
        <w:rPr>
          <w:rFonts w:ascii="Book Antiqua" w:hAnsi="Book Antiqua"/>
          <w:i/>
          <w:iCs/>
        </w:rPr>
        <w:t>Br J Hosp Med (Lond)</w:t>
      </w:r>
      <w:r>
        <w:rPr>
          <w:rFonts w:ascii="Book Antiqua" w:hAnsi="Book Antiqua"/>
        </w:rPr>
        <w:t xml:space="preserve"> 2017; </w:t>
      </w:r>
      <w:r>
        <w:rPr>
          <w:rFonts w:ascii="Book Antiqua" w:hAnsi="Book Antiqua"/>
          <w:b/>
          <w:bCs/>
        </w:rPr>
        <w:t>78</w:t>
      </w:r>
      <w:r>
        <w:rPr>
          <w:rFonts w:ascii="Book Antiqua" w:hAnsi="Book Antiqua"/>
        </w:rPr>
        <w:t>: C21-C27 [PMID: 28165783 DOI: 10.12968/hmed.2017.78.2.C21]</w:t>
      </w:r>
    </w:p>
    <w:p w14:paraId="136F0821"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Landgren O</w:t>
      </w:r>
      <w:r>
        <w:rPr>
          <w:rFonts w:ascii="Book Antiqua" w:hAnsi="Book Antiqua"/>
        </w:rPr>
        <w:t xml:space="preserve">, Kyle RA, Pfeiffer RM, Katzmann JA, Caporaso NE, Hayes RB, Dispenzieri A, Kumar S, Clark RJ, Baris D, Hoover R, Rajkumar SV. Monoclonal gammopathy of undetermined significance (MGUS) consistently precedes multiple myeloma: a prospective study. </w:t>
      </w:r>
      <w:r>
        <w:rPr>
          <w:rFonts w:ascii="Book Antiqua" w:hAnsi="Book Antiqua"/>
          <w:i/>
          <w:iCs/>
        </w:rPr>
        <w:t>Blood</w:t>
      </w:r>
      <w:r>
        <w:rPr>
          <w:rFonts w:ascii="Book Antiqua" w:hAnsi="Book Antiqua"/>
        </w:rPr>
        <w:t xml:space="preserve"> 2009; </w:t>
      </w:r>
      <w:r>
        <w:rPr>
          <w:rFonts w:ascii="Book Antiqua" w:hAnsi="Book Antiqua"/>
          <w:b/>
          <w:bCs/>
        </w:rPr>
        <w:t>113</w:t>
      </w:r>
      <w:r>
        <w:rPr>
          <w:rFonts w:ascii="Book Antiqua" w:hAnsi="Book Antiqua"/>
        </w:rPr>
        <w:t>: 5412-5417 [PMID: 19179464 DOI: 10.1182/blood-2008-12-194241]</w:t>
      </w:r>
    </w:p>
    <w:p w14:paraId="25979509"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Weiss BM</w:t>
      </w:r>
      <w:r>
        <w:rPr>
          <w:rFonts w:ascii="Book Antiqua" w:hAnsi="Book Antiqua"/>
        </w:rPr>
        <w:t xml:space="preserve">, Abadie J, Verma P, Howard RS, Kuehl WM. A monoclonal gammopathy precedes multiple myeloma in most patients. </w:t>
      </w:r>
      <w:r>
        <w:rPr>
          <w:rFonts w:ascii="Book Antiqua" w:hAnsi="Book Antiqua"/>
          <w:i/>
          <w:iCs/>
        </w:rPr>
        <w:t>Blood</w:t>
      </w:r>
      <w:r>
        <w:rPr>
          <w:rFonts w:ascii="Book Antiqua" w:hAnsi="Book Antiqua"/>
        </w:rPr>
        <w:t xml:space="preserve"> 2009; </w:t>
      </w:r>
      <w:r>
        <w:rPr>
          <w:rFonts w:ascii="Book Antiqua" w:hAnsi="Book Antiqua"/>
          <w:b/>
          <w:bCs/>
        </w:rPr>
        <w:t>113</w:t>
      </w:r>
      <w:r>
        <w:rPr>
          <w:rFonts w:ascii="Book Antiqua" w:hAnsi="Book Antiqua"/>
        </w:rPr>
        <w:t>: 5418-5422 [PMID: 19234139 DOI: 10.1182/blood-2008-12-195008]</w:t>
      </w:r>
    </w:p>
    <w:p w14:paraId="433D32D7"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Kyle RA</w:t>
      </w:r>
      <w:r>
        <w:rPr>
          <w:rFonts w:ascii="Book Antiqua" w:hAnsi="Book Antiqua"/>
        </w:rPr>
        <w:t xml:space="preserve">, Therneau TM, Rajkumar SV, Offord JR, Larson DR, Plevak MF, Melton LJ 3rd. A long-term study of prognosis in monoclonal gammopathy of undetermined significance. </w:t>
      </w:r>
      <w:r>
        <w:rPr>
          <w:rFonts w:ascii="Book Antiqua" w:hAnsi="Book Antiqua"/>
          <w:i/>
          <w:iCs/>
        </w:rPr>
        <w:t>N Engl J Med</w:t>
      </w:r>
      <w:r>
        <w:rPr>
          <w:rFonts w:ascii="Book Antiqua" w:hAnsi="Book Antiqua"/>
        </w:rPr>
        <w:t xml:space="preserve"> 2002; </w:t>
      </w:r>
      <w:r>
        <w:rPr>
          <w:rFonts w:ascii="Book Antiqua" w:hAnsi="Book Antiqua"/>
          <w:b/>
          <w:bCs/>
        </w:rPr>
        <w:t>346</w:t>
      </w:r>
      <w:r>
        <w:rPr>
          <w:rFonts w:ascii="Book Antiqua" w:hAnsi="Book Antiqua"/>
        </w:rPr>
        <w:t>: 564-569 [PMID: 11856795 DOI: 10.1056/NEJMoa01133202]</w:t>
      </w:r>
    </w:p>
    <w:p w14:paraId="1DD44144"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Kyle RA</w:t>
      </w:r>
      <w:r>
        <w:rPr>
          <w:rFonts w:ascii="Book Antiqua" w:hAnsi="Book Antiqua"/>
        </w:rPr>
        <w:t xml:space="preserve">, Larson DR, Therneau TM, Dispenzieri A, Kumar S, Cerhan JR, Rajkumar SV. Long-Term Follow-up of Monoclonal Gammopathy of Undetermined Significance. </w:t>
      </w:r>
      <w:r>
        <w:rPr>
          <w:rFonts w:ascii="Book Antiqua" w:hAnsi="Book Antiqua"/>
          <w:i/>
          <w:iCs/>
        </w:rPr>
        <w:t>N Engl J Med</w:t>
      </w:r>
      <w:r>
        <w:rPr>
          <w:rFonts w:ascii="Book Antiqua" w:hAnsi="Book Antiqua"/>
        </w:rPr>
        <w:t xml:space="preserve"> 2018; </w:t>
      </w:r>
      <w:r>
        <w:rPr>
          <w:rFonts w:ascii="Book Antiqua" w:hAnsi="Book Antiqua"/>
          <w:b/>
          <w:bCs/>
        </w:rPr>
        <w:t>378</w:t>
      </w:r>
      <w:r>
        <w:rPr>
          <w:rFonts w:ascii="Book Antiqua" w:hAnsi="Book Antiqua"/>
        </w:rPr>
        <w:t>: 241-249 [PMID: 29342381 DOI: 10.1056/NEJMoa1709974]</w:t>
      </w:r>
    </w:p>
    <w:p w14:paraId="72D89B67"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Terpos E</w:t>
      </w:r>
      <w:r>
        <w:rPr>
          <w:rFonts w:ascii="Book Antiqua" w:hAnsi="Book Antiqua"/>
        </w:rPr>
        <w:t xml:space="preserve">, Morgan G, Dimopoulos MA, Drake MT, Lentzsch S, Raje N, Sezer O, García-Sanz R, Shimizu K, Turesson I, Reiman T, Jurczyszyn A, Merlini G, Spencer A, Leleu X, </w:t>
      </w:r>
      <w:r>
        <w:rPr>
          <w:rFonts w:ascii="Book Antiqua" w:hAnsi="Book Antiqua"/>
        </w:rPr>
        <w:lastRenderedPageBreak/>
        <w:t xml:space="preserve">Cavo M, Munshi N, Rajkumar SV, Durie BG, Roodman GD. International Myeloma Working Group recommendations for the treatment of multiple myeloma-related bone disease. </w:t>
      </w:r>
      <w:r>
        <w:rPr>
          <w:rFonts w:ascii="Book Antiqua" w:hAnsi="Book Antiqua"/>
          <w:i/>
          <w:iCs/>
        </w:rPr>
        <w:t>J Clin Oncol</w:t>
      </w:r>
      <w:r>
        <w:rPr>
          <w:rFonts w:ascii="Book Antiqua" w:hAnsi="Book Antiqua"/>
        </w:rPr>
        <w:t xml:space="preserve"> 2013; </w:t>
      </w:r>
      <w:r>
        <w:rPr>
          <w:rFonts w:ascii="Book Antiqua" w:hAnsi="Book Antiqua"/>
          <w:b/>
          <w:bCs/>
        </w:rPr>
        <w:t>31</w:t>
      </w:r>
      <w:r>
        <w:rPr>
          <w:rFonts w:ascii="Book Antiqua" w:hAnsi="Book Antiqua"/>
        </w:rPr>
        <w:t>: 2347-2357 [PMID: 23690408 DOI: 10.1200/JCO.2012.47.7901]</w:t>
      </w:r>
    </w:p>
    <w:p w14:paraId="7ACEA61E"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Terpos E</w:t>
      </w:r>
      <w:r>
        <w:rPr>
          <w:rFonts w:ascii="Book Antiqua" w:hAnsi="Book Antiqua"/>
        </w:rPr>
        <w:t xml:space="preserve">, Berenson J, Cook RJ, Lipton A, Coleman RE. Prognostic variables for survival and skeletal complications in patients with multiple myeloma osteolytic bone disease. </w:t>
      </w:r>
      <w:r>
        <w:rPr>
          <w:rFonts w:ascii="Book Antiqua" w:hAnsi="Book Antiqua"/>
          <w:i/>
          <w:iCs/>
        </w:rPr>
        <w:t>Leukemia</w:t>
      </w:r>
      <w:r>
        <w:rPr>
          <w:rFonts w:ascii="Book Antiqua" w:hAnsi="Book Antiqua"/>
        </w:rPr>
        <w:t xml:space="preserve"> 2010; </w:t>
      </w:r>
      <w:r>
        <w:rPr>
          <w:rFonts w:ascii="Book Antiqua" w:hAnsi="Book Antiqua"/>
          <w:b/>
          <w:bCs/>
        </w:rPr>
        <w:t>24</w:t>
      </w:r>
      <w:r>
        <w:rPr>
          <w:rFonts w:ascii="Book Antiqua" w:hAnsi="Book Antiqua"/>
        </w:rPr>
        <w:t>: 1043-1049 [PMID: 20376081 DOI: 10.1038/leu.2010.62]</w:t>
      </w:r>
    </w:p>
    <w:p w14:paraId="64C7B5B9"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Terpos E</w:t>
      </w:r>
      <w:r>
        <w:rPr>
          <w:rFonts w:ascii="Book Antiqua" w:hAnsi="Book Antiqua"/>
        </w:rPr>
        <w:t xml:space="preserve">, Ntanasis-Stathopoulos I, Gavriatopoulou M, Dimopoulos MA. Pathogenesis of bone disease in multiple myeloma: from bench to bedside. </w:t>
      </w:r>
      <w:r>
        <w:rPr>
          <w:rFonts w:ascii="Book Antiqua" w:hAnsi="Book Antiqua"/>
          <w:i/>
          <w:iCs/>
        </w:rPr>
        <w:t>Blood Cancer J</w:t>
      </w:r>
      <w:r>
        <w:rPr>
          <w:rFonts w:ascii="Book Antiqua" w:hAnsi="Book Antiqua"/>
        </w:rPr>
        <w:t xml:space="preserve"> 2018; </w:t>
      </w:r>
      <w:r>
        <w:rPr>
          <w:rFonts w:ascii="Book Antiqua" w:hAnsi="Book Antiqua"/>
          <w:b/>
          <w:bCs/>
        </w:rPr>
        <w:t>8</w:t>
      </w:r>
      <w:r>
        <w:rPr>
          <w:rFonts w:ascii="Book Antiqua" w:hAnsi="Book Antiqua"/>
        </w:rPr>
        <w:t>: 7 [PMID: 29330358 DOI: 10.1038/s41408-017-0037-4]</w:t>
      </w:r>
    </w:p>
    <w:p w14:paraId="5C93588A"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Dimopoulos MA</w:t>
      </w:r>
      <w:r>
        <w:rPr>
          <w:rFonts w:ascii="Book Antiqua" w:hAnsi="Book Antiqua"/>
        </w:rPr>
        <w:t xml:space="preserve">, Jakubowiak AJ, McCarthy PL, Orlowski RZ, Attal M, Bladé J, Goldschmidt H, Weisel KC, Ramasamy K, Zweegman S, Spencer A, Huang JSY, Lu J, Sunami K, Iida S, Chng WJ, Holstein SA, Rocci A, Skacel T, Labotka R, Palumbo A, Anderson KC. Developments in continuous therapy and maintenance treatment approaches for patients with newly diagnosed multiple myeloma. </w:t>
      </w:r>
      <w:r>
        <w:rPr>
          <w:rFonts w:ascii="Book Antiqua" w:hAnsi="Book Antiqua"/>
          <w:i/>
          <w:iCs/>
        </w:rPr>
        <w:t>Blood Cancer J</w:t>
      </w:r>
      <w:r>
        <w:rPr>
          <w:rFonts w:ascii="Book Antiqua" w:hAnsi="Book Antiqua"/>
        </w:rPr>
        <w:t xml:space="preserve"> 2020; </w:t>
      </w:r>
      <w:r>
        <w:rPr>
          <w:rFonts w:ascii="Book Antiqua" w:hAnsi="Book Antiqua"/>
          <w:b/>
          <w:bCs/>
        </w:rPr>
        <w:t>10</w:t>
      </w:r>
      <w:r>
        <w:rPr>
          <w:rFonts w:ascii="Book Antiqua" w:hAnsi="Book Antiqua"/>
        </w:rPr>
        <w:t>: 17 [PMID: 32054831 DOI: 10.1038/s41408-020-0273-x]</w:t>
      </w:r>
    </w:p>
    <w:p w14:paraId="1BB89A46"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Lakshman A</w:t>
      </w:r>
      <w:r>
        <w:rPr>
          <w:rFonts w:ascii="Book Antiqua" w:hAnsi="Book Antiqua"/>
        </w:rPr>
        <w:t xml:space="preserve">, Paul S, Rajkumar SV, Ketterling RP, Greipp PT, Dispenzieri A, Gertz MA, Buadi FK, Lacy MQ, Dingli D, Fonder AL, Hayman SR, Hobbs MA, Gonsalves WI, Hwa YL, Kapoor P, Leung N, Go RS, Lin Y, Kourelis TV, Warsame R, Lust JA, Russell SJ, Zeldenrust SR, Kyle RA, Kumar SK. Prognostic significance of interphase FISH in monoclonal gammopathy of undetermined significance. </w:t>
      </w:r>
      <w:r>
        <w:rPr>
          <w:rFonts w:ascii="Book Antiqua" w:hAnsi="Book Antiqua"/>
          <w:i/>
          <w:iCs/>
        </w:rPr>
        <w:t>Leukemia</w:t>
      </w:r>
      <w:r>
        <w:rPr>
          <w:rFonts w:ascii="Book Antiqua" w:hAnsi="Book Antiqua"/>
        </w:rPr>
        <w:t xml:space="preserve"> 2018; </w:t>
      </w:r>
      <w:r>
        <w:rPr>
          <w:rFonts w:ascii="Book Antiqua" w:hAnsi="Book Antiqua"/>
          <w:b/>
          <w:bCs/>
        </w:rPr>
        <w:t>32</w:t>
      </w:r>
      <w:r>
        <w:rPr>
          <w:rFonts w:ascii="Book Antiqua" w:hAnsi="Book Antiqua"/>
        </w:rPr>
        <w:t>: 1811-1815 [PMID: 29568092 DOI: 10.1038/s41375-018-0030-3]</w:t>
      </w:r>
    </w:p>
    <w:p w14:paraId="140337BD"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Chawla SS</w:t>
      </w:r>
      <w:r>
        <w:rPr>
          <w:rFonts w:ascii="Book Antiqua" w:hAnsi="Book Antiqua"/>
        </w:rPr>
        <w:t xml:space="preserve">, Kumar SK, Dispenzieri A, Greenberg AJ, Larson DR, Kyle RA, Lacy MQ, Gertz MA, Rajkumar SV. Clinical course and prognosis of non-secretory multiple myeloma. </w:t>
      </w:r>
      <w:r>
        <w:rPr>
          <w:rFonts w:ascii="Book Antiqua" w:hAnsi="Book Antiqua"/>
          <w:i/>
          <w:iCs/>
        </w:rPr>
        <w:t>Eur J Haematol</w:t>
      </w:r>
      <w:r>
        <w:rPr>
          <w:rFonts w:ascii="Book Antiqua" w:hAnsi="Book Antiqua"/>
        </w:rPr>
        <w:t xml:space="preserve"> 2015; </w:t>
      </w:r>
      <w:r>
        <w:rPr>
          <w:rFonts w:ascii="Book Antiqua" w:hAnsi="Book Antiqua"/>
          <w:b/>
          <w:bCs/>
        </w:rPr>
        <w:t>95</w:t>
      </w:r>
      <w:r>
        <w:rPr>
          <w:rFonts w:ascii="Book Antiqua" w:hAnsi="Book Antiqua"/>
        </w:rPr>
        <w:t>: 57-64 [PMID: 25382589 DOI: 10.1111/ejh.12478]</w:t>
      </w:r>
    </w:p>
    <w:p w14:paraId="5A7E0C00"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Hillengass J</w:t>
      </w:r>
      <w:r>
        <w:rPr>
          <w:rFonts w:ascii="Book Antiqua" w:hAnsi="Book Antiqua"/>
        </w:rPr>
        <w:t xml:space="preserve">, Usmani S, Rajkumar SV, Durie BGM, Mateos MV, Lonial S, Joao C, Anderson KC, García-Sanz R, Riva E, Du J, van de Donk N, Berdeja JG, Terpos E, Zamagni E, Kyle RA, San Miguel J, Goldschmidt H, Giralt S, Kumar S, Raje N, Ludwig H, Ocio E, Schots R, Einsele H, Schjesvold F, Chen WM, Abildgaard N, Lipe BC, Dytfeld D, Wirk BM, Drake M, Cavo M, Lahuerta JJ, Lentzsch S. International myeloma working </w:t>
      </w:r>
      <w:r>
        <w:rPr>
          <w:rFonts w:ascii="Book Antiqua" w:hAnsi="Book Antiqua"/>
        </w:rPr>
        <w:lastRenderedPageBreak/>
        <w:t xml:space="preserve">group consensus recommendations on imaging in monoclonal plasma cell disorders. </w:t>
      </w:r>
      <w:r>
        <w:rPr>
          <w:rFonts w:ascii="Book Antiqua" w:hAnsi="Book Antiqua"/>
          <w:i/>
          <w:iCs/>
        </w:rPr>
        <w:t>Lancet Oncol</w:t>
      </w:r>
      <w:r>
        <w:rPr>
          <w:rFonts w:ascii="Book Antiqua" w:hAnsi="Book Antiqua"/>
        </w:rPr>
        <w:t xml:space="preserve"> 2019; </w:t>
      </w:r>
      <w:r>
        <w:rPr>
          <w:rFonts w:ascii="Book Antiqua" w:hAnsi="Book Antiqua"/>
          <w:b/>
          <w:bCs/>
        </w:rPr>
        <w:t>20</w:t>
      </w:r>
      <w:r>
        <w:rPr>
          <w:rFonts w:ascii="Book Antiqua" w:hAnsi="Book Antiqua"/>
        </w:rPr>
        <w:t>: e302-e312 [PMID: 31162104 DOI: 10.1016/S1470-2045(19)30309-2]</w:t>
      </w:r>
    </w:p>
    <w:p w14:paraId="309F3AA3"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Alexa O</w:t>
      </w:r>
      <w:r>
        <w:rPr>
          <w:rFonts w:ascii="Book Antiqua" w:hAnsi="Book Antiqua"/>
        </w:rPr>
        <w:t xml:space="preserve">, Veliceasa B. Multiple myeloma with bilateral humerus location. Case report. </w:t>
      </w:r>
      <w:r>
        <w:rPr>
          <w:rFonts w:ascii="Book Antiqua" w:hAnsi="Book Antiqua"/>
          <w:i/>
          <w:iCs/>
        </w:rPr>
        <w:t>Rev Med Chir Soc Med Nat Iasi</w:t>
      </w:r>
      <w:r>
        <w:rPr>
          <w:rFonts w:ascii="Book Antiqua" w:hAnsi="Book Antiqua"/>
        </w:rPr>
        <w:t xml:space="preserve"> 2013; </w:t>
      </w:r>
      <w:r>
        <w:rPr>
          <w:rFonts w:ascii="Book Antiqua" w:hAnsi="Book Antiqua"/>
          <w:b/>
          <w:bCs/>
        </w:rPr>
        <w:t>117</w:t>
      </w:r>
      <w:r>
        <w:rPr>
          <w:rFonts w:ascii="Book Antiqua" w:hAnsi="Book Antiqua"/>
        </w:rPr>
        <w:t>: 160-164 [PMID: 24505909 DOI: 10.1049/ic.2007.0836]</w:t>
      </w:r>
    </w:p>
    <w:p w14:paraId="67994280"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Takei T</w:t>
      </w:r>
      <w:r>
        <w:rPr>
          <w:rFonts w:ascii="Book Antiqua" w:hAnsi="Book Antiqua"/>
        </w:rPr>
        <w:t xml:space="preserve">, Coles M. Treatment of pathologic fracture and surgical value of prognostic factors in multiple myeloma. </w:t>
      </w:r>
      <w:r>
        <w:rPr>
          <w:rFonts w:ascii="Book Antiqua" w:hAnsi="Book Antiqua"/>
          <w:i/>
          <w:iCs/>
        </w:rPr>
        <w:t>Int Surg</w:t>
      </w:r>
      <w:r>
        <w:rPr>
          <w:rFonts w:ascii="Book Antiqua" w:hAnsi="Book Antiqua"/>
        </w:rPr>
        <w:t xml:space="preserve"> 1996; </w:t>
      </w:r>
      <w:r>
        <w:rPr>
          <w:rFonts w:ascii="Book Antiqua" w:hAnsi="Book Antiqua"/>
          <w:b/>
          <w:bCs/>
        </w:rPr>
        <w:t>81</w:t>
      </w:r>
      <w:r>
        <w:rPr>
          <w:rFonts w:ascii="Book Antiqua" w:hAnsi="Book Antiqua"/>
        </w:rPr>
        <w:t>: 403-406 [PMID: 9127806 DOI: 10.1016/S0901-5027(06)80042-1]</w:t>
      </w:r>
    </w:p>
    <w:p w14:paraId="7D9906AE"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Dürr HR</w:t>
      </w:r>
      <w:r>
        <w:rPr>
          <w:rFonts w:ascii="Book Antiqua" w:hAnsi="Book Antiqua"/>
        </w:rPr>
        <w:t xml:space="preserve">, Kühne JH, Hagena FW, Moser T, Refior HJ. Surgical treatment for myeloma of the bone. A retrospective analysis of 22 cases. </w:t>
      </w:r>
      <w:r>
        <w:rPr>
          <w:rFonts w:ascii="Book Antiqua" w:hAnsi="Book Antiqua"/>
          <w:i/>
          <w:iCs/>
        </w:rPr>
        <w:t>Arch Orthop Trauma Surg</w:t>
      </w:r>
      <w:r>
        <w:rPr>
          <w:rFonts w:ascii="Book Antiqua" w:hAnsi="Book Antiqua"/>
        </w:rPr>
        <w:t xml:space="preserve"> 1997; </w:t>
      </w:r>
      <w:r>
        <w:rPr>
          <w:rFonts w:ascii="Book Antiqua" w:hAnsi="Book Antiqua"/>
          <w:b/>
          <w:bCs/>
        </w:rPr>
        <w:t>116</w:t>
      </w:r>
      <w:r>
        <w:rPr>
          <w:rFonts w:ascii="Book Antiqua" w:hAnsi="Book Antiqua"/>
        </w:rPr>
        <w:t>: 463-469 [PMID: 9352039 DOI: 10.1007/BF00387578]</w:t>
      </w:r>
    </w:p>
    <w:p w14:paraId="72A24DC6"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Hamal PK</w:t>
      </w:r>
      <w:r>
        <w:rPr>
          <w:rFonts w:ascii="Book Antiqua" w:hAnsi="Book Antiqua"/>
        </w:rPr>
        <w:t xml:space="preserve">, Lamichhane B, Pokhrel N, Singh J, Yadav RK. Ultrasound-Guided Interscalene Brachial Plexus Block for Pathological Humerus Fracture due to Multiple Myeloma with Systemic Manifestation: Useful Option for Management in Low-Income Countries. </w:t>
      </w:r>
      <w:r>
        <w:rPr>
          <w:rFonts w:ascii="Book Antiqua" w:hAnsi="Book Antiqua"/>
          <w:i/>
          <w:iCs/>
        </w:rPr>
        <w:t>Case Rep Anesthesiol</w:t>
      </w:r>
      <w:r>
        <w:rPr>
          <w:rFonts w:ascii="Book Antiqua" w:hAnsi="Book Antiqua"/>
        </w:rPr>
        <w:t xml:space="preserve"> 2020; </w:t>
      </w:r>
      <w:r>
        <w:rPr>
          <w:rFonts w:ascii="Book Antiqua" w:hAnsi="Book Antiqua"/>
          <w:b/>
          <w:bCs/>
        </w:rPr>
        <w:t>2020</w:t>
      </w:r>
      <w:r>
        <w:rPr>
          <w:rFonts w:ascii="Book Antiqua" w:hAnsi="Book Antiqua"/>
        </w:rPr>
        <w:t>: 9892580 [PMID: 33123386 DOI: 10.1155/2020/9892580]</w:t>
      </w:r>
    </w:p>
    <w:p w14:paraId="578E9BD7"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Choi ES</w:t>
      </w:r>
      <w:r>
        <w:rPr>
          <w:rFonts w:ascii="Book Antiqua" w:hAnsi="Book Antiqua"/>
        </w:rPr>
        <w:t xml:space="preserve">, Han I, Cho HS, Park IW, Park JW, Kim HS. Intramedullary Nailing for Pathological Fractures of the Proximal Humerus. </w:t>
      </w:r>
      <w:r>
        <w:rPr>
          <w:rFonts w:ascii="Book Antiqua" w:hAnsi="Book Antiqua"/>
          <w:i/>
          <w:iCs/>
        </w:rPr>
        <w:t>Clin Orthop Surg</w:t>
      </w:r>
      <w:r>
        <w:rPr>
          <w:rFonts w:ascii="Book Antiqua" w:hAnsi="Book Antiqua"/>
        </w:rPr>
        <w:t xml:space="preserve"> 2016; </w:t>
      </w:r>
      <w:r>
        <w:rPr>
          <w:rFonts w:ascii="Book Antiqua" w:hAnsi="Book Antiqua"/>
          <w:b/>
          <w:bCs/>
        </w:rPr>
        <w:t>8</w:t>
      </w:r>
      <w:r>
        <w:rPr>
          <w:rFonts w:ascii="Book Antiqua" w:hAnsi="Book Antiqua"/>
        </w:rPr>
        <w:t>: 458-464 [PMID: 27904730 DOI: 10.4055/cios.2016.8.4.458]</w:t>
      </w:r>
    </w:p>
    <w:p w14:paraId="14FD6B23"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Kehrer M</w:t>
      </w:r>
      <w:r>
        <w:rPr>
          <w:rFonts w:ascii="Book Antiqua" w:hAnsi="Book Antiqua"/>
        </w:rPr>
        <w:t xml:space="preserve">, Koob S, Kehrer A, Wirtz DC, Schmolders J. Multiple Myeloma - Current Standards in Surgical Treatment. </w:t>
      </w:r>
      <w:r>
        <w:rPr>
          <w:rFonts w:ascii="Book Antiqua" w:hAnsi="Book Antiqua"/>
          <w:i/>
          <w:iCs/>
        </w:rPr>
        <w:t>Z Orthop Unfall</w:t>
      </w:r>
      <w:r>
        <w:rPr>
          <w:rFonts w:ascii="Book Antiqua" w:hAnsi="Book Antiqua"/>
        </w:rPr>
        <w:t xml:space="preserve"> 2019; </w:t>
      </w:r>
      <w:r>
        <w:rPr>
          <w:rFonts w:ascii="Book Antiqua" w:hAnsi="Book Antiqua"/>
          <w:b/>
          <w:bCs/>
        </w:rPr>
        <w:t>157</w:t>
      </w:r>
      <w:r>
        <w:rPr>
          <w:rFonts w:ascii="Book Antiqua" w:hAnsi="Book Antiqua"/>
        </w:rPr>
        <w:t>: 164-172 [PMID: 30064148 DOI: 10.1055/a-0639-5742]</w:t>
      </w:r>
    </w:p>
    <w:p w14:paraId="5903E3FF"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Deib G</w:t>
      </w:r>
      <w:r>
        <w:rPr>
          <w:rFonts w:ascii="Book Antiqua" w:hAnsi="Book Antiqua"/>
        </w:rPr>
        <w:t xml:space="preserve">, Deldar B, Hui F, Barr JS, Khan MA. Percutaneous Microwave Ablation and Cementoplasty: Clinical Utility in the Treatment of Painful Extraspinal Osseous Metastatic Disease and Myeloma. </w:t>
      </w:r>
      <w:r>
        <w:rPr>
          <w:rFonts w:ascii="Book Antiqua" w:hAnsi="Book Antiqua"/>
          <w:i/>
          <w:iCs/>
        </w:rPr>
        <w:t>AJR Am J Roentgenol</w:t>
      </w:r>
      <w:r>
        <w:rPr>
          <w:rFonts w:ascii="Book Antiqua" w:hAnsi="Book Antiqua"/>
        </w:rPr>
        <w:t xml:space="preserve"> 2019: 1-8 [PMID: 30917019 DOI: 10.2214/AJR.18.20386]</w:t>
      </w:r>
    </w:p>
    <w:p w14:paraId="054E9604"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Siegel HJ</w:t>
      </w:r>
      <w:r>
        <w:rPr>
          <w:rFonts w:ascii="Book Antiqua" w:hAnsi="Book Antiqua"/>
        </w:rPr>
        <w:t xml:space="preserve">, Lopez-Ben R, Mann JP, Ponce BA. Pathological fractures of the proximal humerus treated with a proximal humeral locking plate and bone cement. </w:t>
      </w:r>
      <w:r>
        <w:rPr>
          <w:rFonts w:ascii="Book Antiqua" w:hAnsi="Book Antiqua"/>
          <w:i/>
          <w:iCs/>
        </w:rPr>
        <w:t>J Bone Joint Surg Br</w:t>
      </w:r>
      <w:r>
        <w:rPr>
          <w:rFonts w:ascii="Book Antiqua" w:hAnsi="Book Antiqua"/>
        </w:rPr>
        <w:t xml:space="preserve"> 2010; </w:t>
      </w:r>
      <w:r>
        <w:rPr>
          <w:rFonts w:ascii="Book Antiqua" w:hAnsi="Book Antiqua"/>
          <w:b/>
          <w:bCs/>
        </w:rPr>
        <w:t>92</w:t>
      </w:r>
      <w:r>
        <w:rPr>
          <w:rFonts w:ascii="Book Antiqua" w:hAnsi="Book Antiqua"/>
        </w:rPr>
        <w:t>: 707-712 [PMID: 20436010 DOI: 10.1302/0301-620X.92B5.23246]</w:t>
      </w:r>
    </w:p>
    <w:p w14:paraId="32DDCBE7"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35 </w:t>
      </w:r>
      <w:r>
        <w:rPr>
          <w:rFonts w:ascii="Book Antiqua" w:hAnsi="Book Antiqua"/>
          <w:b/>
          <w:bCs/>
        </w:rPr>
        <w:t>Bickels J</w:t>
      </w:r>
      <w:r>
        <w:rPr>
          <w:rFonts w:ascii="Book Antiqua" w:hAnsi="Book Antiqua"/>
        </w:rPr>
        <w:t xml:space="preserve">, Kollender Y, Wittig JC, Meller I, Malawer MM. Function after resection of humeral metastases: analysis of 59 consecutive patients. </w:t>
      </w:r>
      <w:r>
        <w:rPr>
          <w:rFonts w:ascii="Book Antiqua" w:hAnsi="Book Antiqua"/>
          <w:i/>
          <w:iCs/>
        </w:rPr>
        <w:t>Clin Orthop Relat Res</w:t>
      </w:r>
      <w:r>
        <w:rPr>
          <w:rFonts w:ascii="Book Antiqua" w:hAnsi="Book Antiqua"/>
        </w:rPr>
        <w:t xml:space="preserve"> 2005: 201-208 [PMID: 16056050 DOI: 10.1097/01.blo.0000165857.12676.00]</w:t>
      </w:r>
    </w:p>
    <w:p w14:paraId="01E43C75"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Piccioli A</w:t>
      </w:r>
      <w:r>
        <w:rPr>
          <w:rFonts w:ascii="Book Antiqua" w:hAnsi="Book Antiqua"/>
        </w:rPr>
        <w:t xml:space="preserve">, Maccauro G, Rossi B, Scaramuzzo L, Frenos F, Capanna R. Surgical treatment of pathologic fractures of humerus. </w:t>
      </w:r>
      <w:r>
        <w:rPr>
          <w:rFonts w:ascii="Book Antiqua" w:hAnsi="Book Antiqua"/>
          <w:i/>
          <w:iCs/>
        </w:rPr>
        <w:t>Injury</w:t>
      </w:r>
      <w:r>
        <w:rPr>
          <w:rFonts w:ascii="Book Antiqua" w:hAnsi="Book Antiqua"/>
        </w:rPr>
        <w:t xml:space="preserve"> 2010; </w:t>
      </w:r>
      <w:r>
        <w:rPr>
          <w:rFonts w:ascii="Book Antiqua" w:hAnsi="Book Antiqua"/>
          <w:b/>
          <w:bCs/>
        </w:rPr>
        <w:t>41</w:t>
      </w:r>
      <w:r>
        <w:rPr>
          <w:rFonts w:ascii="Book Antiqua" w:hAnsi="Book Antiqua"/>
        </w:rPr>
        <w:t>: 1112-1116 [PMID: 20828692 DOI: 10.1016/j.injury.2010.08.015]</w:t>
      </w:r>
    </w:p>
    <w:p w14:paraId="2BEFF852"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Karataglis D</w:t>
      </w:r>
      <w:r>
        <w:rPr>
          <w:rFonts w:ascii="Book Antiqua" w:hAnsi="Book Antiqua"/>
        </w:rPr>
        <w:t xml:space="preserve">, Stavridis SI, Petsatodis G, Papadopoulos P, Christodoulou A. New trends in fixation of proximal humeral fractures: a review. </w:t>
      </w:r>
      <w:r>
        <w:rPr>
          <w:rFonts w:ascii="Book Antiqua" w:hAnsi="Book Antiqua"/>
          <w:i/>
          <w:iCs/>
        </w:rPr>
        <w:t>Injury</w:t>
      </w:r>
      <w:r>
        <w:rPr>
          <w:rFonts w:ascii="Book Antiqua" w:hAnsi="Book Antiqua"/>
        </w:rPr>
        <w:t xml:space="preserve"> 2011; </w:t>
      </w:r>
      <w:r>
        <w:rPr>
          <w:rFonts w:ascii="Book Antiqua" w:hAnsi="Book Antiqua"/>
          <w:b/>
          <w:bCs/>
        </w:rPr>
        <w:t>42</w:t>
      </w:r>
      <w:r>
        <w:rPr>
          <w:rFonts w:ascii="Book Antiqua" w:hAnsi="Book Antiqua"/>
        </w:rPr>
        <w:t>: 330-338 [PMID: 21093859 DOI: 10.1016/j.injury.2010.10.016]</w:t>
      </w:r>
    </w:p>
    <w:p w14:paraId="301634E3"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Young AA</w:t>
      </w:r>
      <w:r>
        <w:rPr>
          <w:rFonts w:ascii="Book Antiqua" w:hAnsi="Book Antiqua"/>
        </w:rPr>
        <w:t xml:space="preserve">, Hughes JS. Locked intramedullary nailing for treatment of displaced proximal humerus fractures. </w:t>
      </w:r>
      <w:r>
        <w:rPr>
          <w:rFonts w:ascii="Book Antiqua" w:hAnsi="Book Antiqua"/>
          <w:i/>
          <w:iCs/>
        </w:rPr>
        <w:t>Orthop Clin North Am</w:t>
      </w:r>
      <w:r>
        <w:rPr>
          <w:rFonts w:ascii="Book Antiqua" w:hAnsi="Book Antiqua"/>
        </w:rPr>
        <w:t xml:space="preserve"> 2008; </w:t>
      </w:r>
      <w:r>
        <w:rPr>
          <w:rFonts w:ascii="Book Antiqua" w:hAnsi="Book Antiqua"/>
          <w:b/>
          <w:bCs/>
        </w:rPr>
        <w:t>39</w:t>
      </w:r>
      <w:r>
        <w:rPr>
          <w:rFonts w:ascii="Book Antiqua" w:hAnsi="Book Antiqua"/>
        </w:rPr>
        <w:t>: 417-428, v-vi [PMID: 18803972 DOI: 10.1016/j.ocl.2008.05.001]</w:t>
      </w:r>
    </w:p>
    <w:p w14:paraId="5EF7C3CD"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39 </w:t>
      </w:r>
      <w:r>
        <w:rPr>
          <w:rFonts w:ascii="Book Antiqua" w:hAnsi="Book Antiqua"/>
          <w:b/>
          <w:bCs/>
        </w:rPr>
        <w:t>Dijkstra S</w:t>
      </w:r>
      <w:r>
        <w:rPr>
          <w:rFonts w:ascii="Book Antiqua" w:hAnsi="Book Antiqua"/>
        </w:rPr>
        <w:t xml:space="preserve">, Stapert J, Boxma H, Wiggers T. Treatment of pathological fractures of the humeral shaft due to bone metastases: a comparison of intramedullary locking nail and plate osteosynthesis with adjunctive bone cement. </w:t>
      </w:r>
      <w:r>
        <w:rPr>
          <w:rFonts w:ascii="Book Antiqua" w:hAnsi="Book Antiqua"/>
          <w:i/>
          <w:iCs/>
        </w:rPr>
        <w:t>Eur J Surg Oncol</w:t>
      </w:r>
      <w:r>
        <w:rPr>
          <w:rFonts w:ascii="Book Antiqua" w:hAnsi="Book Antiqua"/>
        </w:rPr>
        <w:t xml:space="preserve"> 1996; </w:t>
      </w:r>
      <w:r>
        <w:rPr>
          <w:rFonts w:ascii="Book Antiqua" w:hAnsi="Book Antiqua"/>
          <w:b/>
          <w:bCs/>
        </w:rPr>
        <w:t>22</w:t>
      </w:r>
      <w:r>
        <w:rPr>
          <w:rFonts w:ascii="Book Antiqua" w:hAnsi="Book Antiqua"/>
        </w:rPr>
        <w:t>: 621-626 [PMID: 9005151 DOI: 10.1016/s0748-7983(96)92450-6]</w:t>
      </w:r>
    </w:p>
    <w:p w14:paraId="621F796B"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Vaishya R</w:t>
      </w:r>
      <w:r>
        <w:rPr>
          <w:rFonts w:ascii="Book Antiqua" w:hAnsi="Book Antiqua"/>
        </w:rPr>
        <w:t xml:space="preserve">, Vijay V, Agarwal AK. Healing of pathological fracture in a case of multiple myeloma. </w:t>
      </w:r>
      <w:r>
        <w:rPr>
          <w:rFonts w:ascii="Book Antiqua" w:hAnsi="Book Antiqua"/>
          <w:i/>
          <w:iCs/>
        </w:rPr>
        <w:t>BMJ Case Rep</w:t>
      </w:r>
      <w:r>
        <w:rPr>
          <w:rFonts w:ascii="Book Antiqua" w:hAnsi="Book Antiqua"/>
        </w:rPr>
        <w:t xml:space="preserve"> 2017; </w:t>
      </w:r>
      <w:r>
        <w:rPr>
          <w:rFonts w:ascii="Book Antiqua" w:hAnsi="Book Antiqua"/>
          <w:b/>
          <w:bCs/>
        </w:rPr>
        <w:t>2017</w:t>
      </w:r>
      <w:r>
        <w:rPr>
          <w:rFonts w:ascii="Book Antiqua" w:hAnsi="Book Antiqua"/>
        </w:rPr>
        <w:t xml:space="preserve"> [PMID: 28073880 DOI: 10.1136/bcr-2016-218672]</w:t>
      </w:r>
    </w:p>
    <w:p w14:paraId="6C81F7ED" w14:textId="77777777" w:rsidR="00FA3684" w:rsidRDefault="00471DDD">
      <w:pPr>
        <w:pStyle w:val="a9"/>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Thai DM</w:t>
      </w:r>
      <w:r>
        <w:rPr>
          <w:rFonts w:ascii="Book Antiqua" w:hAnsi="Book Antiqua"/>
        </w:rPr>
        <w:t xml:space="preserve">, Kitagawa Y, Choong PF. Outcome of surgical management of bony metastases to the humerus and shoulder girdle: a retrospective analysis of 93 patients. </w:t>
      </w:r>
      <w:r>
        <w:rPr>
          <w:rFonts w:ascii="Book Antiqua" w:hAnsi="Book Antiqua"/>
          <w:i/>
          <w:iCs/>
        </w:rPr>
        <w:t>Int Semin Surg Oncol</w:t>
      </w:r>
      <w:r>
        <w:rPr>
          <w:rFonts w:ascii="Book Antiqua" w:hAnsi="Book Antiqua"/>
        </w:rPr>
        <w:t xml:space="preserve"> 2006; </w:t>
      </w:r>
      <w:r>
        <w:rPr>
          <w:rFonts w:ascii="Book Antiqua" w:hAnsi="Book Antiqua"/>
          <w:b/>
          <w:bCs/>
        </w:rPr>
        <w:t>3</w:t>
      </w:r>
      <w:r>
        <w:rPr>
          <w:rFonts w:ascii="Book Antiqua" w:hAnsi="Book Antiqua"/>
        </w:rPr>
        <w:t>: 5 [PMID: 16509975 DOI: 10.1186/1477-7800-3-5]</w:t>
      </w:r>
    </w:p>
    <w:p w14:paraId="51113B2E" w14:textId="77777777" w:rsidR="00FA3684" w:rsidRDefault="00FA3684">
      <w:pPr>
        <w:spacing w:line="360" w:lineRule="auto"/>
        <w:jc w:val="both"/>
        <w:rPr>
          <w:rFonts w:ascii="Book Antiqua" w:hAnsi="Book Antiqua" w:cs="Book Antiqua"/>
          <w:color w:val="000000"/>
          <w:lang w:eastAsia="zh-CN"/>
        </w:rPr>
      </w:pPr>
    </w:p>
    <w:p w14:paraId="1D1825C3" w14:textId="77777777" w:rsidR="00FA3684" w:rsidRDefault="00FA3684">
      <w:pPr>
        <w:spacing w:line="360" w:lineRule="auto"/>
        <w:jc w:val="both"/>
        <w:rPr>
          <w:rFonts w:ascii="Book Antiqua" w:hAnsi="Book Antiqua"/>
          <w:lang w:eastAsia="zh-CN"/>
        </w:rPr>
        <w:sectPr w:rsidR="00FA3684">
          <w:pgSz w:w="12240" w:h="15840"/>
          <w:pgMar w:top="1440" w:right="1440" w:bottom="1440" w:left="1440" w:header="720" w:footer="720" w:gutter="0"/>
          <w:cols w:space="720"/>
          <w:docGrid w:linePitch="360"/>
        </w:sectPr>
      </w:pPr>
    </w:p>
    <w:p w14:paraId="426D5958"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80964F3"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consented to the publication of this report. Written consent for publication was obtained for all potentially identifying data and accompanying images and these are available for review from the editor of this journal.</w:t>
      </w:r>
    </w:p>
    <w:p w14:paraId="1B72B245" w14:textId="77777777" w:rsidR="00FA3684" w:rsidRDefault="00FA3684">
      <w:pPr>
        <w:spacing w:line="360" w:lineRule="auto"/>
        <w:jc w:val="both"/>
        <w:rPr>
          <w:rFonts w:ascii="Book Antiqua" w:hAnsi="Book Antiqua"/>
        </w:rPr>
      </w:pPr>
    </w:p>
    <w:p w14:paraId="1A2DBB70"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677C7E45" w14:textId="77777777" w:rsidR="00FA3684" w:rsidRDefault="00FA3684">
      <w:pPr>
        <w:spacing w:line="360" w:lineRule="auto"/>
        <w:jc w:val="both"/>
        <w:rPr>
          <w:rFonts w:ascii="Book Antiqua" w:hAnsi="Book Antiqua"/>
        </w:rPr>
      </w:pPr>
    </w:p>
    <w:p w14:paraId="2E04FAF4"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01C2CF9" w14:textId="77777777" w:rsidR="00FA3684" w:rsidRDefault="00FA3684">
      <w:pPr>
        <w:spacing w:line="360" w:lineRule="auto"/>
        <w:jc w:val="both"/>
        <w:rPr>
          <w:rFonts w:ascii="Book Antiqua" w:hAnsi="Book Antiqua"/>
        </w:rPr>
      </w:pPr>
    </w:p>
    <w:p w14:paraId="23F60721" w14:textId="77777777" w:rsidR="00FA3684" w:rsidRDefault="00471DD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7C3915" w14:textId="77777777" w:rsidR="00FA3684" w:rsidRDefault="00FA3684">
      <w:pPr>
        <w:spacing w:line="360" w:lineRule="auto"/>
        <w:jc w:val="both"/>
        <w:rPr>
          <w:rFonts w:ascii="Book Antiqua" w:hAnsi="Book Antiqua"/>
        </w:rPr>
      </w:pPr>
    </w:p>
    <w:p w14:paraId="28A6A808"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C8906BC"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FD42D3E" w14:textId="77777777" w:rsidR="00FA3684" w:rsidRDefault="00FA3684">
      <w:pPr>
        <w:spacing w:line="360" w:lineRule="auto"/>
        <w:jc w:val="both"/>
        <w:rPr>
          <w:rFonts w:ascii="Book Antiqua" w:hAnsi="Book Antiqua"/>
        </w:rPr>
      </w:pPr>
    </w:p>
    <w:p w14:paraId="19D8804A"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3, 2021</w:t>
      </w:r>
    </w:p>
    <w:p w14:paraId="21BE456A"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2021</w:t>
      </w:r>
    </w:p>
    <w:p w14:paraId="1B79C5A2" w14:textId="77777777" w:rsidR="00FA3684" w:rsidRDefault="00471DDD">
      <w:pPr>
        <w:spacing w:line="360" w:lineRule="auto"/>
        <w:jc w:val="both"/>
        <w:rPr>
          <w:rFonts w:ascii="Book Antiqua" w:eastAsia="宋体" w:hAnsi="Book Antiqua"/>
          <w:lang w:eastAsia="zh-CN"/>
        </w:rPr>
      </w:pPr>
      <w:r>
        <w:rPr>
          <w:rFonts w:ascii="Book Antiqua" w:eastAsia="Book Antiqua" w:hAnsi="Book Antiqua" w:cs="Book Antiqua"/>
          <w:b/>
          <w:color w:val="000000"/>
        </w:rPr>
        <w:t>Article in press:</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February 27, 2022</w:t>
      </w:r>
    </w:p>
    <w:p w14:paraId="299F8E53" w14:textId="77777777" w:rsidR="00FA3684" w:rsidRDefault="00FA3684">
      <w:pPr>
        <w:spacing w:line="360" w:lineRule="auto"/>
        <w:jc w:val="both"/>
        <w:rPr>
          <w:rFonts w:ascii="Book Antiqua" w:hAnsi="Book Antiqua"/>
        </w:rPr>
      </w:pPr>
    </w:p>
    <w:p w14:paraId="6923E203"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20A28175"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4D1C5B" w14:textId="77777777" w:rsidR="00FA3684" w:rsidRDefault="00471DD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A458109"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Grade A (Excellent): 0</w:t>
      </w:r>
    </w:p>
    <w:p w14:paraId="67741607"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Grade B (Very good): 0</w:t>
      </w:r>
    </w:p>
    <w:p w14:paraId="6B7DE9A0"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14:paraId="58788C38"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Grade D (Fair): 0</w:t>
      </w:r>
    </w:p>
    <w:p w14:paraId="23A82C2B" w14:textId="77777777" w:rsidR="00FA3684" w:rsidRDefault="00471DDD">
      <w:pPr>
        <w:spacing w:line="360" w:lineRule="auto"/>
        <w:jc w:val="both"/>
        <w:rPr>
          <w:rFonts w:ascii="Book Antiqua" w:hAnsi="Book Antiqua"/>
        </w:rPr>
      </w:pPr>
      <w:r>
        <w:rPr>
          <w:rFonts w:ascii="Book Antiqua" w:eastAsia="Book Antiqua" w:hAnsi="Book Antiqua" w:cs="Book Antiqua"/>
          <w:color w:val="000000"/>
        </w:rPr>
        <w:t>Grade E (Poor): 0</w:t>
      </w:r>
    </w:p>
    <w:p w14:paraId="05B32FB6" w14:textId="77777777" w:rsidR="00FA3684" w:rsidRDefault="00FA3684">
      <w:pPr>
        <w:spacing w:line="360" w:lineRule="auto"/>
        <w:jc w:val="both"/>
        <w:rPr>
          <w:rFonts w:ascii="Book Antiqua" w:hAnsi="Book Antiqua"/>
        </w:rPr>
      </w:pPr>
    </w:p>
    <w:p w14:paraId="463A1489" w14:textId="77777777" w:rsidR="00FA3684" w:rsidRDefault="00471DD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Greco T, </w:t>
      </w:r>
      <w:r>
        <w:rPr>
          <w:rFonts w:ascii="Book Antiqua" w:hAnsi="Book Antiqua" w:cs="Book Antiqua" w:hint="eastAsia"/>
          <w:color w:val="000000"/>
          <w:lang w:eastAsia="zh-CN"/>
        </w:rPr>
        <w:t xml:space="preserve">Italy; </w:t>
      </w:r>
      <w:r>
        <w:rPr>
          <w:rFonts w:ascii="Book Antiqua" w:eastAsia="Book Antiqua" w:hAnsi="Book Antiqua" w:cs="Book Antiqua"/>
          <w:color w:val="000000"/>
        </w:rPr>
        <w:t>Solarino G</w:t>
      </w:r>
      <w:r>
        <w:rPr>
          <w:rFonts w:ascii="Book Antiqua" w:hAnsi="Book Antiqua" w:cs="Book Antiqua" w:hint="eastAsia"/>
          <w:color w:val="000000"/>
          <w:lang w:eastAsia="zh-CN"/>
        </w:rPr>
        <w:t>, Italy</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Ma YJ</w:t>
      </w:r>
    </w:p>
    <w:p w14:paraId="3D32A72F" w14:textId="77777777" w:rsidR="00FA3684" w:rsidRDefault="00471DDD">
      <w:pPr>
        <w:spacing w:line="360" w:lineRule="auto"/>
        <w:jc w:val="both"/>
        <w:rPr>
          <w:rFonts w:ascii="Book Antiqua" w:hAnsi="Book Antiqua"/>
        </w:rPr>
        <w:sectPr w:rsidR="00FA368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B4480A0" w14:textId="77777777" w:rsidR="00FA3684" w:rsidRDefault="00471DD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E07700F" w14:textId="6F24F209" w:rsidR="00FA3684" w:rsidRDefault="00BE3695">
      <w:pPr>
        <w:spacing w:line="360" w:lineRule="auto"/>
        <w:jc w:val="both"/>
        <w:rPr>
          <w:rFonts w:ascii="Book Antiqua" w:hAnsi="Book Antiqua"/>
          <w:lang w:eastAsia="zh-CN"/>
        </w:rPr>
      </w:pPr>
      <w:r>
        <w:rPr>
          <w:rFonts w:ascii="Book Antiqua" w:hAnsi="Book Antiqua"/>
          <w:noProof/>
          <w:lang w:eastAsia="zh-CN"/>
        </w:rPr>
        <w:drawing>
          <wp:inline distT="0" distB="0" distL="0" distR="0" wp14:anchorId="0EE4B9D4" wp14:editId="3A4B205A">
            <wp:extent cx="2884170" cy="2039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4170" cy="2039620"/>
                    </a:xfrm>
                    <a:prstGeom prst="rect">
                      <a:avLst/>
                    </a:prstGeom>
                    <a:noFill/>
                    <a:ln>
                      <a:noFill/>
                    </a:ln>
                  </pic:spPr>
                </pic:pic>
              </a:graphicData>
            </a:graphic>
          </wp:inline>
        </w:drawing>
      </w:r>
    </w:p>
    <w:p w14:paraId="2E62EBE8" w14:textId="77777777" w:rsidR="00FA3684" w:rsidRDefault="00471DD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1</w:t>
      </w:r>
      <w:r>
        <w:rPr>
          <w:rFonts w:ascii="Book Antiqua" w:eastAsia="Book Antiqua" w:hAnsi="Book Antiqua" w:cs="Book Antiqua"/>
          <w:b/>
          <w:bCs/>
          <w:color w:val="000000"/>
        </w:rPr>
        <w:t xml:space="preserve"> Plasma cell myeloma was diagnosed following bone marrow aspirate and trephine.</w:t>
      </w:r>
    </w:p>
    <w:p w14:paraId="2400F1E2" w14:textId="2B89E78C" w:rsidR="00FA3684" w:rsidRDefault="00471DDD">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BE3695">
        <w:rPr>
          <w:rFonts w:ascii="Book Antiqua" w:hAnsi="Book Antiqua" w:cs="Book Antiqua"/>
          <w:b/>
          <w:bCs/>
          <w:noProof/>
          <w:color w:val="000000"/>
          <w:lang w:eastAsia="zh-CN"/>
        </w:rPr>
        <w:lastRenderedPageBreak/>
        <w:drawing>
          <wp:inline distT="0" distB="0" distL="0" distR="0" wp14:anchorId="3EA629BF" wp14:editId="122B8B41">
            <wp:extent cx="3657600" cy="41643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4164330"/>
                    </a:xfrm>
                    <a:prstGeom prst="rect">
                      <a:avLst/>
                    </a:prstGeom>
                    <a:noFill/>
                    <a:ln>
                      <a:noFill/>
                    </a:ln>
                  </pic:spPr>
                </pic:pic>
              </a:graphicData>
            </a:graphic>
          </wp:inline>
        </w:drawing>
      </w:r>
    </w:p>
    <w:p w14:paraId="534C3355" w14:textId="77777777" w:rsidR="00FA3684" w:rsidRDefault="00471DDD">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2</w:t>
      </w:r>
      <w:r>
        <w:rPr>
          <w:rFonts w:ascii="Book Antiqua" w:eastAsia="Book Antiqua" w:hAnsi="Book Antiqua" w:cs="Book Antiqua"/>
          <w:b/>
          <w:bCs/>
          <w:color w:val="000000"/>
        </w:rPr>
        <w:t xml:space="preserve"> Preoperative X-ray films and magnetic resonance imaging</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B: </w:t>
      </w:r>
      <w:r>
        <w:rPr>
          <w:rFonts w:ascii="Book Antiqua" w:eastAsia="Book Antiqua" w:hAnsi="Book Antiqua" w:cs="Book Antiqua"/>
          <w:color w:val="000000"/>
        </w:rPr>
        <w:t>X-ray films (</w:t>
      </w:r>
      <w:r>
        <w:rPr>
          <w:rFonts w:ascii="Book Antiqua" w:eastAsia="Book Antiqua" w:hAnsi="Book Antiqua" w:cs="Book Antiqua"/>
          <w:caps/>
          <w:color w:val="000000"/>
        </w:rPr>
        <w:t>a, b</w:t>
      </w:r>
      <w:r>
        <w:rPr>
          <w:rFonts w:ascii="Book Antiqua" w:eastAsia="Book Antiqua" w:hAnsi="Book Antiqua" w:cs="Book Antiqua"/>
          <w:color w:val="000000"/>
        </w:rPr>
        <w:t>) of the left shoulder revealed only a comminuted fracture and degenerative changes in the upper left humerus</w:t>
      </w:r>
      <w:r>
        <w:rPr>
          <w:rFonts w:ascii="Book Antiqua" w:hAnsi="Book Antiqua" w:cs="Book Antiqua" w:hint="eastAsia"/>
          <w:color w:val="000000"/>
          <w:lang w:eastAsia="zh-CN"/>
        </w:rPr>
        <w:t xml:space="preserve">; C, D: </w:t>
      </w:r>
      <w:r>
        <w:rPr>
          <w:rFonts w:ascii="Book Antiqua" w:eastAsia="Book Antiqua" w:hAnsi="Book Antiqua" w:cs="Book Antiqua"/>
          <w:color w:val="000000"/>
        </w:rPr>
        <w:t>Multiple soft tissue masses around the fracture presented as hypointensity and isointensity on T1 weighted (T1-W) images (</w:t>
      </w:r>
      <w:r>
        <w:rPr>
          <w:rFonts w:ascii="Book Antiqua" w:eastAsia="Book Antiqua" w:hAnsi="Book Antiqua" w:cs="Book Antiqua"/>
          <w:caps/>
          <w:color w:val="000000"/>
        </w:rPr>
        <w:t>c</w:t>
      </w:r>
      <w:r>
        <w:rPr>
          <w:rFonts w:ascii="Book Antiqua" w:eastAsia="Book Antiqua" w:hAnsi="Book Antiqua" w:cs="Book Antiqua"/>
          <w:color w:val="000000"/>
        </w:rPr>
        <w:t xml:space="preserve">) and hybrid hyperintensity on T2-W </w:t>
      </w:r>
      <w:r>
        <w:rPr>
          <w:rFonts w:ascii="Book Antiqua" w:eastAsia="Book Antiqua" w:hAnsi="Book Antiqua" w:cs="Book Antiqua"/>
          <w:color w:val="000000"/>
          <w:shd w:val="clear" w:color="auto" w:fill="FFFFFF"/>
        </w:rPr>
        <w:t>images (</w:t>
      </w:r>
      <w:r>
        <w:rPr>
          <w:rFonts w:ascii="Book Antiqua" w:eastAsia="Book Antiqua" w:hAnsi="Book Antiqua" w:cs="Book Antiqua"/>
          <w:caps/>
          <w:color w:val="000000"/>
          <w:shd w:val="clear" w:color="auto" w:fill="FFFFFF"/>
        </w:rPr>
        <w:t>d</w:t>
      </w:r>
      <w:r>
        <w:rPr>
          <w:rFonts w:ascii="Book Antiqua" w:eastAsia="Book Antiqua" w:hAnsi="Book Antiqua" w:cs="Book Antiqua"/>
          <w:color w:val="000000"/>
          <w:shd w:val="clear" w:color="auto" w:fill="FFFFFF"/>
        </w:rPr>
        <w:t>).</w:t>
      </w:r>
    </w:p>
    <w:p w14:paraId="2D5A219E" w14:textId="7FEE10D8" w:rsidR="00FA3684" w:rsidRDefault="00471DDD">
      <w:pPr>
        <w:spacing w:line="360" w:lineRule="auto"/>
        <w:jc w:val="both"/>
        <w:rPr>
          <w:rFonts w:ascii="Book Antiqua" w:hAnsi="Book Antiqua"/>
          <w:lang w:eastAsia="zh-CN"/>
        </w:rPr>
      </w:pPr>
      <w:r>
        <w:rPr>
          <w:rFonts w:ascii="Book Antiqua" w:hAnsi="Book Antiqua"/>
          <w:lang w:eastAsia="zh-CN"/>
        </w:rPr>
        <w:br w:type="page"/>
      </w:r>
      <w:r w:rsidR="00BE3695">
        <w:rPr>
          <w:rFonts w:ascii="Book Antiqua" w:hAnsi="Book Antiqua"/>
          <w:noProof/>
          <w:lang w:eastAsia="zh-CN"/>
        </w:rPr>
        <w:lastRenderedPageBreak/>
        <w:drawing>
          <wp:inline distT="0" distB="0" distL="0" distR="0" wp14:anchorId="4178530A" wp14:editId="6A4F5147">
            <wp:extent cx="3608070" cy="25184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8070" cy="2518410"/>
                    </a:xfrm>
                    <a:prstGeom prst="rect">
                      <a:avLst/>
                    </a:prstGeom>
                    <a:noFill/>
                    <a:ln>
                      <a:noFill/>
                    </a:ln>
                  </pic:spPr>
                </pic:pic>
              </a:graphicData>
            </a:graphic>
          </wp:inline>
        </w:drawing>
      </w:r>
    </w:p>
    <w:p w14:paraId="75C866CA" w14:textId="77777777" w:rsidR="00FA3684" w:rsidRDefault="00471DD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3</w:t>
      </w:r>
      <w:r>
        <w:rPr>
          <w:rFonts w:ascii="Book Antiqua" w:eastAsia="Book Antiqua" w:hAnsi="Book Antiqua" w:cs="Book Antiqua"/>
          <w:b/>
          <w:bCs/>
          <w:color w:val="000000"/>
        </w:rPr>
        <w:t xml:space="preserve"> Bone scan showed high metabolism of 18-F fluorodeoxyglucose in multiple ribs, the fifth lumbar vertebra (L5), and left proximal humerus</w:t>
      </w:r>
      <w:r>
        <w:rPr>
          <w:rFonts w:ascii="Book Antiqua" w:eastAsia="Book Antiqua" w:hAnsi="Book Antiqua" w:cs="Book Antiqua"/>
          <w:color w:val="000000"/>
        </w:rPr>
        <w:t>.</w:t>
      </w:r>
    </w:p>
    <w:p w14:paraId="241C3CA9" w14:textId="2C7B4B57" w:rsidR="00FA3684" w:rsidRDefault="00471DDD">
      <w:pPr>
        <w:spacing w:line="360" w:lineRule="auto"/>
        <w:jc w:val="both"/>
        <w:rPr>
          <w:rFonts w:ascii="Book Antiqua" w:hAnsi="Book Antiqua"/>
          <w:lang w:eastAsia="zh-CN"/>
        </w:rPr>
      </w:pPr>
      <w:r>
        <w:rPr>
          <w:rFonts w:ascii="Book Antiqua" w:hAnsi="Book Antiqua"/>
          <w:lang w:eastAsia="zh-CN"/>
        </w:rPr>
        <w:br w:type="page"/>
      </w:r>
      <w:r w:rsidR="00BE3695">
        <w:rPr>
          <w:rFonts w:ascii="Book Antiqua" w:hAnsi="Book Antiqua"/>
          <w:noProof/>
          <w:lang w:eastAsia="zh-CN"/>
        </w:rPr>
        <w:lastRenderedPageBreak/>
        <w:drawing>
          <wp:inline distT="0" distB="0" distL="0" distR="0" wp14:anchorId="4B08D928" wp14:editId="74063063">
            <wp:extent cx="5711190" cy="4128770"/>
            <wp:effectExtent l="0" t="0" r="381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1190" cy="4128770"/>
                    </a:xfrm>
                    <a:prstGeom prst="rect">
                      <a:avLst/>
                    </a:prstGeom>
                    <a:noFill/>
                    <a:ln>
                      <a:noFill/>
                    </a:ln>
                  </pic:spPr>
                </pic:pic>
              </a:graphicData>
            </a:graphic>
          </wp:inline>
        </w:drawing>
      </w:r>
    </w:p>
    <w:p w14:paraId="6A4FDACF" w14:textId="72F7EE50" w:rsidR="00692581" w:rsidRDefault="00471DDD">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Figure 4 Postoperative X-ray films.</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B: </w:t>
      </w:r>
      <w:r>
        <w:rPr>
          <w:rFonts w:ascii="Book Antiqua" w:eastAsia="Book Antiqua" w:hAnsi="Book Antiqua" w:cs="Book Antiqua"/>
          <w:color w:val="000000"/>
        </w:rPr>
        <w:t>Postoperative X-ray films of the left shoulder</w:t>
      </w:r>
      <w:r>
        <w:rPr>
          <w:rFonts w:ascii="Book Antiqua" w:hAnsi="Book Antiqua" w:cs="Book Antiqua" w:hint="eastAsia"/>
          <w:color w:val="000000"/>
          <w:lang w:eastAsia="zh-CN"/>
        </w:rPr>
        <w:t xml:space="preserve">; C-I: </w:t>
      </w:r>
      <w:r>
        <w:rPr>
          <w:rFonts w:ascii="Book Antiqua" w:eastAsia="Book Antiqua" w:hAnsi="Book Antiqua" w:cs="Book Antiqua"/>
          <w:color w:val="000000"/>
        </w:rPr>
        <w:t>Follow-up at 6 mo (</w:t>
      </w:r>
      <w:r>
        <w:rPr>
          <w:rFonts w:ascii="Book Antiqua" w:eastAsia="Book Antiqua" w:hAnsi="Book Antiqua" w:cs="Book Antiqua"/>
          <w:caps/>
          <w:color w:val="000000"/>
        </w:rPr>
        <w:t>c, d</w:t>
      </w:r>
      <w:r>
        <w:rPr>
          <w:rFonts w:ascii="Book Antiqua" w:eastAsia="Book Antiqua" w:hAnsi="Book Antiqua" w:cs="Book Antiqua"/>
          <w:color w:val="000000"/>
        </w:rPr>
        <w:t>), 15 mo (</w:t>
      </w:r>
      <w:r>
        <w:rPr>
          <w:rFonts w:ascii="Book Antiqua" w:eastAsia="Book Antiqua" w:hAnsi="Book Antiqua" w:cs="Book Antiqua"/>
          <w:caps/>
          <w:color w:val="000000"/>
        </w:rPr>
        <w:t>e, f</w:t>
      </w:r>
      <w:r>
        <w:rPr>
          <w:rFonts w:ascii="Book Antiqua" w:eastAsia="Book Antiqua" w:hAnsi="Book Antiqua" w:cs="Book Antiqua"/>
          <w:color w:val="000000"/>
        </w:rPr>
        <w:t>) and 40 mo (</w:t>
      </w:r>
      <w:r>
        <w:rPr>
          <w:rFonts w:ascii="Book Antiqua" w:eastAsia="Book Antiqua" w:hAnsi="Book Antiqua" w:cs="Book Antiqua"/>
          <w:caps/>
          <w:color w:val="000000"/>
        </w:rPr>
        <w:t>h, i</w:t>
      </w:r>
      <w:r>
        <w:rPr>
          <w:rFonts w:ascii="Book Antiqua" w:eastAsia="Book Antiqua" w:hAnsi="Book Antiqua" w:cs="Book Antiqua"/>
          <w:color w:val="000000"/>
        </w:rPr>
        <w:t>) after surgery. T</w:t>
      </w:r>
      <w:r>
        <w:rPr>
          <w:rFonts w:ascii="Book Antiqua" w:eastAsia="Book Antiqua" w:hAnsi="Book Antiqua" w:cs="Book Antiqua"/>
          <w:color w:val="000000"/>
          <w:shd w:val="clear" w:color="auto" w:fill="FFFFFF"/>
        </w:rPr>
        <w:t>he proximal humerus fracture eventually healed.</w:t>
      </w:r>
    </w:p>
    <w:p w14:paraId="2C7E7776" w14:textId="77777777" w:rsidR="00692581" w:rsidRDefault="00692581">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0AB9C236" w14:textId="77777777" w:rsidR="00692581" w:rsidRPr="00CC78C2" w:rsidRDefault="00692581" w:rsidP="00692581">
      <w:pPr>
        <w:ind w:leftChars="100" w:left="240"/>
        <w:jc w:val="center"/>
        <w:rPr>
          <w:rFonts w:ascii="Book Antiqua" w:hAnsi="Book Antiqua"/>
          <w:lang w:val="pt-BR" w:eastAsia="zh-CN"/>
        </w:rPr>
      </w:pPr>
      <w:bookmarkStart w:id="21" w:name="_Hlk88512952"/>
    </w:p>
    <w:p w14:paraId="135C4B04" w14:textId="77777777" w:rsidR="00692581" w:rsidRPr="00CC78C2" w:rsidRDefault="00692581" w:rsidP="00692581">
      <w:pPr>
        <w:ind w:leftChars="100" w:left="240"/>
        <w:jc w:val="center"/>
        <w:rPr>
          <w:rFonts w:ascii="Book Antiqua" w:hAnsi="Book Antiqua"/>
          <w:lang w:val="pt-BR" w:eastAsia="zh-CN"/>
        </w:rPr>
      </w:pPr>
    </w:p>
    <w:p w14:paraId="56B6912C" w14:textId="77777777" w:rsidR="00692581" w:rsidRPr="00CC78C2" w:rsidRDefault="00692581" w:rsidP="00692581">
      <w:pPr>
        <w:ind w:leftChars="100" w:left="240"/>
        <w:jc w:val="center"/>
        <w:rPr>
          <w:rFonts w:ascii="Book Antiqua" w:hAnsi="Book Antiqua"/>
          <w:lang w:val="pt-BR" w:eastAsia="zh-CN"/>
        </w:rPr>
      </w:pPr>
    </w:p>
    <w:p w14:paraId="34EC3215" w14:textId="77777777" w:rsidR="00692581" w:rsidRPr="00CC78C2" w:rsidRDefault="00692581" w:rsidP="00692581">
      <w:pPr>
        <w:ind w:leftChars="100" w:left="240"/>
        <w:jc w:val="center"/>
        <w:rPr>
          <w:rFonts w:ascii="Book Antiqua" w:hAnsi="Book Antiqua"/>
          <w:lang w:val="pt-BR" w:eastAsia="zh-CN"/>
        </w:rPr>
      </w:pPr>
    </w:p>
    <w:p w14:paraId="644A1516" w14:textId="77777777" w:rsidR="00692581" w:rsidRDefault="00692581" w:rsidP="00692581">
      <w:pPr>
        <w:ind w:leftChars="100" w:left="240"/>
        <w:jc w:val="center"/>
        <w:rPr>
          <w:rFonts w:ascii="Book Antiqua" w:hAnsi="Book Antiqua"/>
          <w:lang w:eastAsia="zh-CN"/>
        </w:rPr>
      </w:pPr>
      <w:r>
        <w:rPr>
          <w:rFonts w:ascii="Book Antiqua" w:hAnsi="Book Antiqua"/>
          <w:noProof/>
          <w:lang w:eastAsia="zh-CN"/>
        </w:rPr>
        <w:drawing>
          <wp:inline distT="0" distB="0" distL="0" distR="0" wp14:anchorId="47EE3A38" wp14:editId="193C4911">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17D572" w14:textId="77777777" w:rsidR="00692581" w:rsidRDefault="00692581" w:rsidP="00692581">
      <w:pPr>
        <w:ind w:leftChars="100" w:left="240"/>
        <w:jc w:val="center"/>
        <w:rPr>
          <w:rFonts w:ascii="Book Antiqua" w:hAnsi="Book Antiqua"/>
          <w:lang w:eastAsia="zh-CN"/>
        </w:rPr>
      </w:pPr>
    </w:p>
    <w:p w14:paraId="726431D4" w14:textId="77777777" w:rsidR="00692581" w:rsidRPr="00763D22" w:rsidRDefault="00692581" w:rsidP="00692581">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8D893CC" w14:textId="77777777" w:rsidR="00692581" w:rsidRPr="00763D22" w:rsidRDefault="00692581" w:rsidP="0069258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7AA9D4C" w14:textId="77777777" w:rsidR="00692581" w:rsidRPr="00763D22" w:rsidRDefault="00692581" w:rsidP="0069258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761628B" w14:textId="77777777" w:rsidR="00692581" w:rsidRPr="00763D22" w:rsidRDefault="00692581" w:rsidP="0069258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E0E6B1B" w14:textId="77777777" w:rsidR="00692581" w:rsidRPr="00763D22" w:rsidRDefault="00692581" w:rsidP="0069258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A2FA0E9" w14:textId="77777777" w:rsidR="00692581" w:rsidRPr="00763D22" w:rsidRDefault="00692581" w:rsidP="00692581">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03CC3AB" w14:textId="77777777" w:rsidR="00692581" w:rsidRDefault="00692581" w:rsidP="00692581">
      <w:pPr>
        <w:ind w:leftChars="100" w:left="240"/>
        <w:jc w:val="center"/>
        <w:rPr>
          <w:rFonts w:ascii="Book Antiqua" w:hAnsi="Book Antiqua"/>
          <w:lang w:eastAsia="zh-CN"/>
        </w:rPr>
      </w:pPr>
    </w:p>
    <w:p w14:paraId="362B335D" w14:textId="77777777" w:rsidR="00692581" w:rsidRDefault="00692581" w:rsidP="00692581">
      <w:pPr>
        <w:ind w:leftChars="100" w:left="240"/>
        <w:jc w:val="center"/>
        <w:rPr>
          <w:rFonts w:ascii="Book Antiqua" w:hAnsi="Book Antiqua"/>
          <w:lang w:eastAsia="zh-CN"/>
        </w:rPr>
      </w:pPr>
    </w:p>
    <w:p w14:paraId="325E5220" w14:textId="77777777" w:rsidR="00692581" w:rsidRDefault="00692581" w:rsidP="00692581">
      <w:pPr>
        <w:ind w:leftChars="100" w:left="240"/>
        <w:jc w:val="center"/>
        <w:rPr>
          <w:rFonts w:ascii="Book Antiqua" w:hAnsi="Book Antiqua"/>
          <w:lang w:eastAsia="zh-CN"/>
        </w:rPr>
      </w:pPr>
    </w:p>
    <w:p w14:paraId="67816798" w14:textId="77777777" w:rsidR="00692581" w:rsidRDefault="00692581" w:rsidP="00692581">
      <w:pPr>
        <w:ind w:leftChars="100" w:left="240"/>
        <w:jc w:val="center"/>
        <w:rPr>
          <w:rFonts w:ascii="Book Antiqua" w:hAnsi="Book Antiqua"/>
          <w:lang w:eastAsia="zh-CN"/>
        </w:rPr>
      </w:pPr>
      <w:r>
        <w:rPr>
          <w:rFonts w:ascii="Book Antiqua" w:hAnsi="Book Antiqua"/>
          <w:noProof/>
          <w:lang w:eastAsia="zh-CN"/>
        </w:rPr>
        <w:drawing>
          <wp:inline distT="0" distB="0" distL="0" distR="0" wp14:anchorId="38CBD908" wp14:editId="7F51E92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70277B" w14:textId="77777777" w:rsidR="00692581" w:rsidRDefault="00692581" w:rsidP="00692581">
      <w:pPr>
        <w:ind w:leftChars="100" w:left="240"/>
        <w:jc w:val="center"/>
        <w:rPr>
          <w:rFonts w:ascii="Book Antiqua" w:hAnsi="Book Antiqua"/>
          <w:lang w:eastAsia="zh-CN"/>
        </w:rPr>
      </w:pPr>
    </w:p>
    <w:p w14:paraId="6BA77DC9" w14:textId="77777777" w:rsidR="00692581" w:rsidRDefault="00692581" w:rsidP="00692581">
      <w:pPr>
        <w:ind w:leftChars="100" w:left="240"/>
        <w:jc w:val="center"/>
        <w:rPr>
          <w:rFonts w:ascii="Book Antiqua" w:hAnsi="Book Antiqua"/>
          <w:lang w:eastAsia="zh-CN"/>
        </w:rPr>
      </w:pPr>
    </w:p>
    <w:p w14:paraId="13917BA3" w14:textId="77777777" w:rsidR="00692581" w:rsidRDefault="00692581" w:rsidP="00692581">
      <w:pPr>
        <w:ind w:leftChars="100" w:left="240"/>
        <w:jc w:val="center"/>
        <w:rPr>
          <w:rFonts w:ascii="Book Antiqua" w:hAnsi="Book Antiqua"/>
          <w:lang w:eastAsia="zh-CN"/>
        </w:rPr>
      </w:pPr>
    </w:p>
    <w:p w14:paraId="4F40DA2E" w14:textId="77777777" w:rsidR="00692581" w:rsidRDefault="00692581" w:rsidP="00692581">
      <w:pPr>
        <w:ind w:leftChars="100" w:left="240"/>
        <w:jc w:val="center"/>
        <w:rPr>
          <w:rFonts w:ascii="Book Antiqua" w:hAnsi="Book Antiqua"/>
          <w:lang w:eastAsia="zh-CN"/>
        </w:rPr>
      </w:pPr>
    </w:p>
    <w:p w14:paraId="05FEF8DF" w14:textId="77777777" w:rsidR="00692581" w:rsidRDefault="00692581" w:rsidP="00692581">
      <w:pPr>
        <w:ind w:leftChars="100" w:left="240"/>
        <w:jc w:val="center"/>
        <w:rPr>
          <w:rFonts w:ascii="Book Antiqua" w:hAnsi="Book Antiqua"/>
          <w:lang w:eastAsia="zh-CN"/>
        </w:rPr>
      </w:pPr>
    </w:p>
    <w:p w14:paraId="219E348B" w14:textId="77777777" w:rsidR="00692581" w:rsidRDefault="00692581" w:rsidP="00692581">
      <w:pPr>
        <w:ind w:leftChars="100" w:left="240"/>
        <w:jc w:val="center"/>
        <w:rPr>
          <w:rFonts w:ascii="Book Antiqua" w:hAnsi="Book Antiqua"/>
          <w:lang w:eastAsia="zh-CN"/>
        </w:rPr>
      </w:pPr>
    </w:p>
    <w:p w14:paraId="4D526E72" w14:textId="77777777" w:rsidR="00692581" w:rsidRDefault="00692581" w:rsidP="00692581">
      <w:pPr>
        <w:ind w:leftChars="100" w:left="240"/>
        <w:jc w:val="center"/>
        <w:rPr>
          <w:rFonts w:ascii="Book Antiqua" w:hAnsi="Book Antiqua"/>
          <w:lang w:eastAsia="zh-CN"/>
        </w:rPr>
      </w:pPr>
    </w:p>
    <w:p w14:paraId="6E63DCDC" w14:textId="77777777" w:rsidR="00692581" w:rsidRDefault="00692581" w:rsidP="00692581">
      <w:pPr>
        <w:ind w:leftChars="100" w:left="240"/>
        <w:jc w:val="center"/>
        <w:rPr>
          <w:rFonts w:ascii="Book Antiqua" w:hAnsi="Book Antiqua"/>
          <w:lang w:eastAsia="zh-CN"/>
        </w:rPr>
      </w:pPr>
    </w:p>
    <w:p w14:paraId="081CCEC6" w14:textId="77777777" w:rsidR="00692581" w:rsidRDefault="00692581" w:rsidP="00692581">
      <w:pPr>
        <w:ind w:leftChars="100" w:left="240"/>
        <w:jc w:val="center"/>
        <w:rPr>
          <w:rFonts w:ascii="Book Antiqua" w:hAnsi="Book Antiqua"/>
          <w:lang w:eastAsia="zh-CN"/>
        </w:rPr>
      </w:pPr>
    </w:p>
    <w:p w14:paraId="5435364E" w14:textId="77777777" w:rsidR="00692581" w:rsidRPr="00763D22" w:rsidRDefault="00692581" w:rsidP="00692581">
      <w:pPr>
        <w:ind w:leftChars="100" w:left="240"/>
        <w:jc w:val="right"/>
        <w:rPr>
          <w:rFonts w:ascii="Book Antiqua" w:hAnsi="Book Antiqua"/>
          <w:color w:val="000000" w:themeColor="text1"/>
          <w:lang w:eastAsia="zh-CN"/>
        </w:rPr>
      </w:pPr>
    </w:p>
    <w:p w14:paraId="187126E7" w14:textId="77777777" w:rsidR="00692581" w:rsidRPr="00763D22" w:rsidRDefault="00692581" w:rsidP="00692581">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1"/>
    </w:p>
    <w:p w14:paraId="4BEA34C9" w14:textId="77777777" w:rsidR="00FA3684" w:rsidRDefault="00FA3684">
      <w:pPr>
        <w:spacing w:line="360" w:lineRule="auto"/>
        <w:jc w:val="both"/>
        <w:rPr>
          <w:rFonts w:ascii="Book Antiqua" w:hAnsi="Book Antiqua"/>
        </w:rPr>
      </w:pPr>
    </w:p>
    <w:sectPr w:rsidR="00FA36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CA39B" w14:textId="77777777" w:rsidR="00CD11CE" w:rsidRDefault="00CD11CE">
      <w:r>
        <w:separator/>
      </w:r>
    </w:p>
  </w:endnote>
  <w:endnote w:type="continuationSeparator" w:id="0">
    <w:p w14:paraId="2BB24A4B" w14:textId="77777777" w:rsidR="00CD11CE" w:rsidRDefault="00CD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428234"/>
      <w:docPartObj>
        <w:docPartGallery w:val="AutoText"/>
      </w:docPartObj>
    </w:sdtPr>
    <w:sdtEndPr/>
    <w:sdtContent>
      <w:sdt>
        <w:sdtPr>
          <w:id w:val="98381352"/>
          <w:docPartObj>
            <w:docPartGallery w:val="AutoText"/>
          </w:docPartObj>
        </w:sdtPr>
        <w:sdtEndPr/>
        <w:sdtContent>
          <w:p w14:paraId="7651F012" w14:textId="77777777" w:rsidR="00FA3684" w:rsidRDefault="00471DDD">
            <w:pPr>
              <w:pStyle w:val="a5"/>
              <w:jc w:val="right"/>
            </w:pPr>
            <w:r>
              <w:rPr>
                <w:rFonts w:ascii="Book Antiqua" w:hAnsi="Book Antiqua"/>
                <w:lang w:val="zh-CN" w:eastAsia="zh-CN"/>
              </w:rPr>
              <w:t xml:space="preserve"> </w:t>
            </w:r>
            <w:r>
              <w:rPr>
                <w:rFonts w:ascii="Book Antiqua" w:hAnsi="Book Antiqua"/>
                <w:b/>
                <w:bCs/>
                <w:sz w:val="24"/>
                <w:szCs w:val="24"/>
              </w:rPr>
              <w:fldChar w:fldCharType="begin"/>
            </w:r>
            <w:r>
              <w:rPr>
                <w:rFonts w:ascii="Book Antiqua" w:hAnsi="Book Antiqua"/>
                <w:b/>
                <w:bCs/>
              </w:rPr>
              <w:instrText>PAGE</w:instrText>
            </w:r>
            <w:r>
              <w:rPr>
                <w:rFonts w:ascii="Book Antiqua" w:hAnsi="Book Antiqua"/>
                <w:b/>
                <w:bCs/>
                <w:sz w:val="24"/>
                <w:szCs w:val="24"/>
              </w:rPr>
              <w:fldChar w:fldCharType="separate"/>
            </w:r>
            <w:r>
              <w:rPr>
                <w:rFonts w:ascii="Book Antiqua" w:hAnsi="Book Antiqua"/>
                <w:b/>
                <w:bCs/>
              </w:rPr>
              <w:t>1</w:t>
            </w:r>
            <w:r>
              <w:rPr>
                <w:rFonts w:ascii="Book Antiqua" w:hAnsi="Book Antiqua"/>
                <w:b/>
                <w:bCs/>
                <w:sz w:val="24"/>
                <w:szCs w:val="24"/>
              </w:rPr>
              <w:fldChar w:fldCharType="end"/>
            </w:r>
            <w:r>
              <w:rPr>
                <w:rFonts w:ascii="Book Antiqua" w:hAnsi="Book Antiqua"/>
                <w:lang w:val="zh-CN" w:eastAsia="zh-CN"/>
              </w:rPr>
              <w:t xml:space="preserve"> / </w:t>
            </w:r>
            <w:r>
              <w:rPr>
                <w:rFonts w:ascii="Book Antiqua" w:hAnsi="Book Antiqua"/>
                <w:b/>
                <w:bCs/>
                <w:sz w:val="24"/>
                <w:szCs w:val="24"/>
              </w:rPr>
              <w:fldChar w:fldCharType="begin"/>
            </w:r>
            <w:r>
              <w:rPr>
                <w:rFonts w:ascii="Book Antiqua" w:hAnsi="Book Antiqua"/>
                <w:b/>
                <w:bCs/>
              </w:rPr>
              <w:instrText>NUMPAGES</w:instrText>
            </w:r>
            <w:r>
              <w:rPr>
                <w:rFonts w:ascii="Book Antiqua" w:hAnsi="Book Antiqua"/>
                <w:b/>
                <w:bCs/>
                <w:sz w:val="24"/>
                <w:szCs w:val="24"/>
              </w:rPr>
              <w:fldChar w:fldCharType="separate"/>
            </w:r>
            <w:r>
              <w:rPr>
                <w:rFonts w:ascii="Book Antiqua" w:hAnsi="Book Antiqua"/>
                <w:b/>
                <w:bCs/>
              </w:rPr>
              <w:t>24</w:t>
            </w:r>
            <w:r>
              <w:rPr>
                <w:rFonts w:ascii="Book Antiqua" w:hAnsi="Book Antiqua"/>
                <w:b/>
                <w:bCs/>
                <w:sz w:val="24"/>
                <w:szCs w:val="24"/>
              </w:rPr>
              <w:fldChar w:fldCharType="end"/>
            </w:r>
          </w:p>
        </w:sdtContent>
      </w:sdt>
    </w:sdtContent>
  </w:sdt>
  <w:p w14:paraId="4073D46E" w14:textId="77777777" w:rsidR="00FA3684" w:rsidRDefault="00FA36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DCFA1" w14:textId="77777777" w:rsidR="00CD11CE" w:rsidRDefault="00CD11CE">
      <w:r>
        <w:separator/>
      </w:r>
    </w:p>
  </w:footnote>
  <w:footnote w:type="continuationSeparator" w:id="0">
    <w:p w14:paraId="79503C79" w14:textId="77777777" w:rsidR="00CD11CE" w:rsidRDefault="00CD11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4E39"/>
    <w:rsid w:val="00075D43"/>
    <w:rsid w:val="00096C87"/>
    <w:rsid w:val="001D4BF6"/>
    <w:rsid w:val="001F0FBD"/>
    <w:rsid w:val="001F48A4"/>
    <w:rsid w:val="002F1B26"/>
    <w:rsid w:val="004646C3"/>
    <w:rsid w:val="00464F5B"/>
    <w:rsid w:val="00471DDD"/>
    <w:rsid w:val="004D3A44"/>
    <w:rsid w:val="0052435E"/>
    <w:rsid w:val="005B3A16"/>
    <w:rsid w:val="005E4EE0"/>
    <w:rsid w:val="00692581"/>
    <w:rsid w:val="00784F17"/>
    <w:rsid w:val="007D630D"/>
    <w:rsid w:val="00A77B3E"/>
    <w:rsid w:val="00AC48E5"/>
    <w:rsid w:val="00B17A28"/>
    <w:rsid w:val="00BC7659"/>
    <w:rsid w:val="00BE3695"/>
    <w:rsid w:val="00C21E46"/>
    <w:rsid w:val="00C5378A"/>
    <w:rsid w:val="00C9597B"/>
    <w:rsid w:val="00CA2A55"/>
    <w:rsid w:val="00CD11CE"/>
    <w:rsid w:val="00D52110"/>
    <w:rsid w:val="00DB7A44"/>
    <w:rsid w:val="00E87C8F"/>
    <w:rsid w:val="00EA2AA7"/>
    <w:rsid w:val="00F82244"/>
    <w:rsid w:val="00FA3684"/>
    <w:rsid w:val="7BE95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EA2E56"/>
  <w15:docId w15:val="{92829146-7F68-44E1-93AE-FE5D41C8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spacing w:before="100" w:beforeAutospacing="1" w:after="100" w:afterAutospacing="1"/>
    </w:pPr>
    <w:rPr>
      <w:rFonts w:ascii="宋体" w:eastAsia="宋体" w:hAnsi="宋体" w:cs="宋体"/>
      <w:lang w:eastAsia="zh-CN"/>
    </w:rPr>
  </w:style>
  <w:style w:type="character" w:styleId="aa">
    <w:name w:val="Hyperlink"/>
    <w:basedOn w:val="a0"/>
    <w:unhideWhenUsed/>
    <w:rPr>
      <w:color w:val="0000FF"/>
      <w:u w:val="single"/>
    </w:rPr>
  </w:style>
  <w:style w:type="character" w:customStyle="1" w:styleId="15">
    <w:name w:val="15"/>
    <w:basedOn w:val="a0"/>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character" w:styleId="ab">
    <w:name w:val="Unresolved Mention"/>
    <w:basedOn w:val="a0"/>
    <w:uiPriority w:val="99"/>
    <w:semiHidden/>
    <w:unhideWhenUsed/>
    <w:rsid w:val="00075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11/3518.ht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dx.doi.org/10.12998/wjcc.v10.i11.3518"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5004</Words>
  <Characters>28523</Characters>
  <Application>Microsoft Office Word</Application>
  <DocSecurity>0</DocSecurity>
  <Lines>237</Lines>
  <Paragraphs>66</Paragraphs>
  <ScaleCrop>false</ScaleCrop>
  <Company/>
  <LinksUpToDate>false</LinksUpToDate>
  <CharactersWithSpaces>33461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6</cp:revision>
  <dcterms:created xsi:type="dcterms:W3CDTF">2022-02-27T02:48:00Z</dcterms:created>
  <dcterms:modified xsi:type="dcterms:W3CDTF">2022-04-08T03:24:00Z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E543C8A36E4745649CE74DBC3F6CC841</vt:lpwstr>
  </property>
</Properties>
</file>