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E2FD0"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5D352C"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71128</w:t>
      </w:r>
    </w:p>
    <w:p w14:paraId="59CDC781"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66B76B5" w14:textId="77777777" w:rsidR="00F119D2" w:rsidRDefault="00F119D2">
      <w:pPr>
        <w:spacing w:line="360" w:lineRule="auto"/>
        <w:jc w:val="both"/>
        <w:rPr>
          <w:rFonts w:ascii="Book Antiqua" w:hAnsi="Book Antiqua"/>
        </w:rPr>
      </w:pPr>
    </w:p>
    <w:p w14:paraId="23B5C53D" w14:textId="77777777" w:rsidR="00F119D2" w:rsidRDefault="008C5469">
      <w:pPr>
        <w:spacing w:line="360" w:lineRule="auto"/>
        <w:jc w:val="both"/>
        <w:rPr>
          <w:rFonts w:ascii="Book Antiqua" w:hAnsi="Book Antiqua"/>
          <w:b/>
          <w:bCs/>
        </w:rPr>
      </w:pPr>
      <w:r>
        <w:rPr>
          <w:rFonts w:ascii="Book Antiqua" w:hAnsi="Book Antiqua"/>
          <w:b/>
          <w:bCs/>
        </w:rPr>
        <w:t xml:space="preserve">Multicentric </w:t>
      </w:r>
      <w:proofErr w:type="spellStart"/>
      <w:r>
        <w:rPr>
          <w:rFonts w:ascii="Book Antiqua" w:hAnsi="Book Antiqua"/>
          <w:b/>
          <w:bCs/>
        </w:rPr>
        <w:t>reticulohistiocytosis</w:t>
      </w:r>
      <w:proofErr w:type="spellEnd"/>
      <w:r>
        <w:rPr>
          <w:rFonts w:ascii="Book Antiqua" w:hAnsi="Book Antiqua"/>
          <w:b/>
          <w:bCs/>
        </w:rPr>
        <w:t xml:space="preserve"> with prominent skin lesions and arthritis: A case report</w:t>
      </w:r>
    </w:p>
    <w:p w14:paraId="0F5C7394" w14:textId="77777777" w:rsidR="00F119D2" w:rsidRDefault="00F119D2">
      <w:pPr>
        <w:spacing w:line="360" w:lineRule="auto"/>
        <w:jc w:val="both"/>
        <w:rPr>
          <w:rFonts w:ascii="Book Antiqua" w:hAnsi="Book Antiqua"/>
        </w:rPr>
      </w:pPr>
    </w:p>
    <w:p w14:paraId="68CAB401"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Xu XL </w:t>
      </w:r>
      <w:r>
        <w:rPr>
          <w:rFonts w:ascii="Book Antiqua" w:eastAsia="Book Antiqua" w:hAnsi="Book Antiqua" w:cs="Book Antiqua"/>
          <w:i/>
          <w:iCs/>
          <w:color w:val="000000"/>
        </w:rPr>
        <w:t>et al.</w:t>
      </w:r>
      <w:r>
        <w:rPr>
          <w:rFonts w:ascii="Book Antiqua" w:eastAsia="Book Antiqua" w:hAnsi="Book Antiqua" w:cs="Book Antiqua"/>
          <w:color w:val="000000"/>
        </w:rPr>
        <w:t xml:space="preserve"> Multicentric </w:t>
      </w:r>
      <w:proofErr w:type="spellStart"/>
      <w:r>
        <w:rPr>
          <w:rFonts w:ascii="Book Antiqua" w:eastAsia="Book Antiqua" w:hAnsi="Book Antiqua" w:cs="Book Antiqua"/>
          <w:color w:val="000000"/>
        </w:rPr>
        <w:t>reticulohistiocytosis</w:t>
      </w:r>
      <w:proofErr w:type="spellEnd"/>
    </w:p>
    <w:p w14:paraId="43686FE4" w14:textId="77777777" w:rsidR="00F119D2" w:rsidRDefault="00F119D2">
      <w:pPr>
        <w:spacing w:line="360" w:lineRule="auto"/>
        <w:jc w:val="both"/>
        <w:rPr>
          <w:rFonts w:ascii="Book Antiqua" w:hAnsi="Book Antiqua"/>
        </w:rPr>
      </w:pPr>
    </w:p>
    <w:p w14:paraId="18995C64"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Xiao-Li Xu, Xiao-Hong Liang, Juan Liu, Xu Deng, Lu Zhang,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-Gang Wang</w:t>
      </w:r>
    </w:p>
    <w:p w14:paraId="4E7A24A5" w14:textId="77777777" w:rsidR="00F119D2" w:rsidRDefault="00F119D2">
      <w:pPr>
        <w:spacing w:line="360" w:lineRule="auto"/>
        <w:jc w:val="both"/>
        <w:rPr>
          <w:rFonts w:ascii="Book Antiqua" w:hAnsi="Book Antiqua"/>
        </w:rPr>
      </w:pPr>
    </w:p>
    <w:p w14:paraId="3EDCB03F"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Xiao-Li Xu, Xiao-Hong Liang,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-Gang Wang, </w:t>
      </w:r>
      <w:r>
        <w:rPr>
          <w:rFonts w:ascii="Book Antiqua" w:eastAsia="Book Antiqua" w:hAnsi="Book Antiqua" w:cs="Book Antiqua"/>
          <w:color w:val="000000"/>
        </w:rPr>
        <w:t>Department of Geriatrics, The Third Affiliated Hospital of Soochow University, Changzhou 213003, Jiangsu Province, China</w:t>
      </w:r>
    </w:p>
    <w:p w14:paraId="336246B7" w14:textId="77777777" w:rsidR="00F119D2" w:rsidRDefault="00F119D2">
      <w:pPr>
        <w:spacing w:line="360" w:lineRule="auto"/>
        <w:jc w:val="both"/>
        <w:rPr>
          <w:rFonts w:ascii="Book Antiqua" w:hAnsi="Book Antiqua"/>
        </w:rPr>
      </w:pPr>
    </w:p>
    <w:p w14:paraId="5C3FAE8C"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Juan Liu, </w:t>
      </w:r>
      <w:r>
        <w:rPr>
          <w:rFonts w:ascii="Book Antiqua" w:eastAsia="Book Antiqua" w:hAnsi="Book Antiqua" w:cs="Book Antiqua"/>
          <w:color w:val="000000"/>
        </w:rPr>
        <w:t>Jiangsu Engineering Research Center for Tumor Immunotherapy, The Third Affiliated Hospital of Soochow University, Changzhou 213003, Jiangsu Province, China</w:t>
      </w:r>
    </w:p>
    <w:p w14:paraId="1218296C" w14:textId="77777777" w:rsidR="00F119D2" w:rsidRDefault="00F119D2">
      <w:pPr>
        <w:spacing w:line="360" w:lineRule="auto"/>
        <w:jc w:val="both"/>
        <w:rPr>
          <w:rFonts w:ascii="Book Antiqua" w:hAnsi="Book Antiqua"/>
        </w:rPr>
      </w:pPr>
    </w:p>
    <w:p w14:paraId="43F9D1AD"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Xu Deng, </w:t>
      </w:r>
      <w:r>
        <w:rPr>
          <w:rFonts w:ascii="Book Antiqua" w:eastAsia="Book Antiqua" w:hAnsi="Book Antiqua" w:cs="Book Antiqua"/>
          <w:color w:val="000000"/>
        </w:rPr>
        <w:t>Department of Pathology, The Third Affiliated Hospital of Soochow University, Changzhou 213003, Jiangsu Province, China</w:t>
      </w:r>
    </w:p>
    <w:p w14:paraId="61EDB196" w14:textId="77777777" w:rsidR="00F119D2" w:rsidRDefault="00F119D2">
      <w:pPr>
        <w:spacing w:line="360" w:lineRule="auto"/>
        <w:jc w:val="both"/>
        <w:rPr>
          <w:rFonts w:ascii="Book Antiqua" w:hAnsi="Book Antiqua"/>
        </w:rPr>
      </w:pPr>
    </w:p>
    <w:p w14:paraId="76C2BC3A"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Lu Zhang, </w:t>
      </w:r>
      <w:r>
        <w:rPr>
          <w:rFonts w:ascii="Book Antiqua" w:eastAsia="Book Antiqua" w:hAnsi="Book Antiqua" w:cs="Book Antiqua"/>
          <w:color w:val="000000"/>
        </w:rPr>
        <w:t>Department of Rheumatology and Immunology, The Third Affiliated Hospital of Soochow University, Changzhou 213003, Jiangsu Province, China</w:t>
      </w:r>
    </w:p>
    <w:p w14:paraId="27BBFD20" w14:textId="77777777" w:rsidR="00F119D2" w:rsidRDefault="00F119D2">
      <w:pPr>
        <w:spacing w:line="360" w:lineRule="auto"/>
        <w:jc w:val="both"/>
        <w:rPr>
          <w:rFonts w:ascii="Book Antiqua" w:hAnsi="Book Antiqua"/>
        </w:rPr>
      </w:pPr>
    </w:p>
    <w:p w14:paraId="71EA786F"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Xu XL</w:t>
      </w:r>
      <w:r>
        <w:rPr>
          <w:rFonts w:ascii="Book Antiqua" w:eastAsia="Book Antiqua" w:hAnsi="Book Antiqua" w:cs="Book Antiqua"/>
          <w:color w:val="000000"/>
        </w:rPr>
        <w:t xml:space="preserve">, Liang XH, and Liu J </w:t>
      </w:r>
      <w:r>
        <w:rPr>
          <w:rFonts w:ascii="Book Antiqua" w:eastAsia="Book Antiqua" w:hAnsi="Book Antiqua" w:cs="Book Antiqua"/>
          <w:color w:val="000000"/>
          <w:shd w:val="clear" w:color="auto" w:fill="FFFFFF"/>
        </w:rPr>
        <w:t>contributed to the conception of the study;</w:t>
      </w:r>
      <w:r>
        <w:rPr>
          <w:rFonts w:ascii="Book Antiqua" w:eastAsia="Book Antiqua" w:hAnsi="Book Antiqua" w:cs="Book Antiqua"/>
          <w:color w:val="000000"/>
        </w:rPr>
        <w:t xml:space="preserve"> Deng X participated in the pathological examination and analysis of the patients; Lu J </w:t>
      </w:r>
      <w:r>
        <w:rPr>
          <w:rFonts w:ascii="Book Antiqua" w:eastAsia="Book Antiqua" w:hAnsi="Book Antiqua" w:cs="Book Antiqua"/>
          <w:color w:val="000000"/>
          <w:shd w:val="clear" w:color="auto" w:fill="FFFFFF"/>
        </w:rPr>
        <w:t xml:space="preserve">performed the data analyses; Liang XH and Wang ZG helped perform the analysis with constructive discussions; Xu XL </w:t>
      </w:r>
      <w:r>
        <w:rPr>
          <w:rFonts w:ascii="Book Antiqua" w:eastAsia="Book Antiqua" w:hAnsi="Book Antiqua" w:cs="Book Antiqua"/>
          <w:color w:val="000000"/>
        </w:rPr>
        <w:t>wrote the manuscript; all authors have read and approved the final manuscript.</w:t>
      </w:r>
    </w:p>
    <w:p w14:paraId="4B1B22EC" w14:textId="77777777" w:rsidR="00F119D2" w:rsidRDefault="00F119D2">
      <w:pPr>
        <w:spacing w:line="360" w:lineRule="auto"/>
        <w:jc w:val="both"/>
        <w:rPr>
          <w:rFonts w:ascii="Book Antiqua" w:hAnsi="Book Antiqua"/>
        </w:rPr>
      </w:pPr>
    </w:p>
    <w:p w14:paraId="6B17A773"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the National Natural Science Foundation of China</w:t>
      </w:r>
      <w:r>
        <w:rPr>
          <w:rFonts w:ascii="Book Antiqua" w:hAnsi="Book Antiqua" w:cs="Book Antiqua"/>
          <w:color w:val="000000"/>
          <w:lang w:eastAsia="zh-CN"/>
        </w:rPr>
        <w:t xml:space="preserve">, </w:t>
      </w:r>
      <w:r>
        <w:rPr>
          <w:rFonts w:ascii="Book Antiqua" w:eastAsia="Book Antiqua" w:hAnsi="Book Antiqua" w:cs="Book Antiqua"/>
          <w:color w:val="000000"/>
        </w:rPr>
        <w:t>No. 81770212; and Youth Science and Technology Project of Changzhou Health and Wellness Committee</w:t>
      </w:r>
      <w:r>
        <w:rPr>
          <w:rFonts w:ascii="Book Antiqua" w:hAnsi="Book Antiqua" w:cs="Book Antiqua"/>
          <w:color w:val="000000"/>
          <w:lang w:eastAsia="zh-CN"/>
        </w:rPr>
        <w:t xml:space="preserve">, No. </w:t>
      </w:r>
      <w:r>
        <w:rPr>
          <w:rFonts w:ascii="Book Antiqua" w:eastAsia="Book Antiqua" w:hAnsi="Book Antiqua" w:cs="Book Antiqua"/>
          <w:color w:val="000000"/>
        </w:rPr>
        <w:t>QN201611.</w:t>
      </w:r>
    </w:p>
    <w:p w14:paraId="057FE051" w14:textId="77777777" w:rsidR="00F119D2" w:rsidRDefault="00F119D2">
      <w:pPr>
        <w:spacing w:line="360" w:lineRule="auto"/>
        <w:jc w:val="both"/>
        <w:rPr>
          <w:rFonts w:ascii="Book Antiqua" w:hAnsi="Book Antiqua"/>
        </w:rPr>
      </w:pPr>
    </w:p>
    <w:p w14:paraId="15CD2885"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-Gang Wang, MD, Doctor, </w:t>
      </w:r>
      <w:r>
        <w:rPr>
          <w:rFonts w:ascii="Book Antiqua" w:eastAsia="Book Antiqua" w:hAnsi="Book Antiqua" w:cs="Book Antiqua"/>
          <w:color w:val="000000"/>
        </w:rPr>
        <w:t xml:space="preserve">Department of Geriatrics, The Third Affiliated Hospital of Soochow University, No. 185 </w:t>
      </w:r>
      <w:proofErr w:type="spellStart"/>
      <w:r>
        <w:rPr>
          <w:rFonts w:ascii="Book Antiqua" w:eastAsia="Book Antiqua" w:hAnsi="Book Antiqua" w:cs="Book Antiqua"/>
          <w:color w:val="000000"/>
        </w:rPr>
        <w:t>Juqian</w:t>
      </w:r>
      <w:proofErr w:type="spellEnd"/>
      <w:r>
        <w:rPr>
          <w:rFonts w:ascii="Book Antiqua" w:eastAsia="Book Antiqua" w:hAnsi="Book Antiqua" w:cs="Book Antiqua"/>
          <w:color w:val="000000"/>
        </w:rPr>
        <w:t xml:space="preserve"> Street, Changzhou 213003, Jiangsu Province, China. wangzhigang_cz@163.com</w:t>
      </w:r>
    </w:p>
    <w:p w14:paraId="7A98266B" w14:textId="77777777" w:rsidR="00F119D2" w:rsidRDefault="00F119D2">
      <w:pPr>
        <w:spacing w:line="360" w:lineRule="auto"/>
        <w:jc w:val="both"/>
        <w:rPr>
          <w:rFonts w:ascii="Book Antiqua" w:hAnsi="Book Antiqua"/>
        </w:rPr>
      </w:pPr>
    </w:p>
    <w:p w14:paraId="3A06C83D"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3, 2021</w:t>
      </w:r>
    </w:p>
    <w:p w14:paraId="313C9F42"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14, 2021</w:t>
      </w:r>
    </w:p>
    <w:p w14:paraId="7DB66B4F" w14:textId="637ACE5E"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6-17T08:31:00Z">
        <w:r w:rsidR="00BC274B" w:rsidRPr="00BC274B">
          <w:rPr>
            <w:rFonts w:ascii="Book Antiqua" w:eastAsia="Book Antiqua" w:hAnsi="Book Antiqua" w:cs="Book Antiqua"/>
            <w:b/>
            <w:bCs/>
            <w:color w:val="000000"/>
          </w:rPr>
          <w:t>June 17, 2022</w:t>
        </w:r>
      </w:ins>
    </w:p>
    <w:p w14:paraId="5A3FA8B6"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738476D" w14:textId="77777777" w:rsidR="00F119D2" w:rsidRDefault="00F119D2">
      <w:pPr>
        <w:spacing w:line="360" w:lineRule="auto"/>
        <w:jc w:val="both"/>
        <w:rPr>
          <w:rFonts w:ascii="Book Antiqua" w:hAnsi="Book Antiqua"/>
        </w:rPr>
        <w:sectPr w:rsidR="00F119D2">
          <w:footerReference w:type="default" r:id="rId8"/>
          <w:pgSz w:w="12240" w:h="15840"/>
          <w:pgMar w:top="1440" w:right="1440" w:bottom="1440" w:left="1440" w:header="720" w:footer="720" w:gutter="0"/>
          <w:cols w:space="720"/>
          <w:docGrid w:linePitch="360"/>
        </w:sectPr>
      </w:pPr>
    </w:p>
    <w:p w14:paraId="2518FD5C"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ABC8751"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BACKGROUND</w:t>
      </w:r>
    </w:p>
    <w:p w14:paraId="3DA0008C"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(MRH) is a rare non-Langerhans histiocytosis of unknown etiology characterized by papulonodular skin lesions and progressive, erosive arthritis. To date, there have been approximately 300 cases of MRH reported worldwide.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patients are Caucasian from western countries, and Asian patients are rare. Here, we report a case of MRH in a Chinese patient.</w:t>
      </w:r>
    </w:p>
    <w:p w14:paraId="3E41D7B2" w14:textId="77777777" w:rsidR="00F119D2" w:rsidRDefault="00F119D2">
      <w:pPr>
        <w:spacing w:line="360" w:lineRule="auto"/>
        <w:jc w:val="both"/>
        <w:rPr>
          <w:rFonts w:ascii="Book Antiqua" w:hAnsi="Book Antiqua"/>
        </w:rPr>
      </w:pPr>
    </w:p>
    <w:p w14:paraId="7EFCA386"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CASE SUMMARY</w:t>
      </w:r>
    </w:p>
    <w:p w14:paraId="3D1A400B"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A 38-year-old male was admitted to the hospital with a rash that had persisted for over 2 years and bilateral knee pain for over 1 year. The patient’s symptoms had previously been misdiagnosed as eczema when there were only skin symptoms and was finally diagnosed as MRH after a skin biopsy of the left upper back. The patient was treated with glucocorticoids combined with an immunosuppressive regimen. While the skin lesions on both arms, abdomen, and back subsided, the skin lesions on the rest of the body did not increase. The interphalangeal joints of both thumbs and bilateral knee joints remained swollen and painful. </w:t>
      </w:r>
    </w:p>
    <w:p w14:paraId="3317C348" w14:textId="77777777" w:rsidR="00F119D2" w:rsidRDefault="00F119D2">
      <w:pPr>
        <w:spacing w:line="360" w:lineRule="auto"/>
        <w:jc w:val="both"/>
        <w:rPr>
          <w:rFonts w:ascii="Book Antiqua" w:hAnsi="Book Antiqua"/>
        </w:rPr>
      </w:pPr>
    </w:p>
    <w:p w14:paraId="31AB8077"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CONCLUSION</w:t>
      </w:r>
    </w:p>
    <w:p w14:paraId="1B6C30DF"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The case will help clinicians better identify and treat this disease in the absence of epidemiological studies or randomized controlled data.</w:t>
      </w:r>
    </w:p>
    <w:p w14:paraId="209B941C" w14:textId="77777777" w:rsidR="00F119D2" w:rsidRDefault="00F119D2">
      <w:pPr>
        <w:spacing w:line="360" w:lineRule="auto"/>
        <w:jc w:val="both"/>
        <w:rPr>
          <w:rFonts w:ascii="Book Antiqua" w:hAnsi="Book Antiqua"/>
        </w:rPr>
      </w:pPr>
    </w:p>
    <w:p w14:paraId="0B8DB963"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Papulonodular skin lesions; Arthritis; CD68; Case report</w:t>
      </w:r>
    </w:p>
    <w:p w14:paraId="570DBBD1" w14:textId="77777777" w:rsidR="00F119D2" w:rsidRDefault="00F119D2">
      <w:pPr>
        <w:spacing w:line="360" w:lineRule="auto"/>
        <w:jc w:val="both"/>
        <w:rPr>
          <w:rFonts w:ascii="Book Antiqua" w:hAnsi="Book Antiqua"/>
        </w:rPr>
      </w:pPr>
    </w:p>
    <w:p w14:paraId="44EB2B40" w14:textId="77777777" w:rsidR="00F119D2" w:rsidRDefault="008C5469">
      <w:pPr>
        <w:spacing w:line="360" w:lineRule="auto"/>
        <w:jc w:val="both"/>
        <w:rPr>
          <w:rFonts w:ascii="Book Antiqua" w:hAnsi="Book Antiqua"/>
          <w:b/>
          <w:bCs/>
        </w:rPr>
      </w:pPr>
      <w:r>
        <w:rPr>
          <w:rFonts w:ascii="Book Antiqua" w:eastAsia="Book Antiqua" w:hAnsi="Book Antiqua" w:cs="Book Antiqua"/>
          <w:color w:val="000000"/>
        </w:rPr>
        <w:t xml:space="preserve">Xu XL, Liang XH, Liu J, Deng X, Zhang L, Wang ZG. </w:t>
      </w:r>
      <w:r>
        <w:rPr>
          <w:rFonts w:ascii="Book Antiqua" w:hAnsi="Book Antiqua"/>
        </w:rPr>
        <w:t xml:space="preserve">Multicentric </w:t>
      </w:r>
      <w:proofErr w:type="spellStart"/>
      <w:r>
        <w:rPr>
          <w:rFonts w:ascii="Book Antiqua" w:hAnsi="Book Antiqua"/>
        </w:rPr>
        <w:t>reticulohistiocytosis</w:t>
      </w:r>
      <w:proofErr w:type="spellEnd"/>
      <w:r>
        <w:rPr>
          <w:rFonts w:ascii="Book Antiqua" w:hAnsi="Book Antiqua"/>
        </w:rPr>
        <w:t xml:space="preserve"> with prominent skin lesions and arthritis: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CE7066D" w14:textId="77777777" w:rsidR="00F119D2" w:rsidRDefault="00F119D2">
      <w:pPr>
        <w:spacing w:line="360" w:lineRule="auto"/>
        <w:jc w:val="both"/>
        <w:rPr>
          <w:rFonts w:ascii="Book Antiqua" w:hAnsi="Book Antiqua"/>
        </w:rPr>
      </w:pPr>
    </w:p>
    <w:p w14:paraId="15EE44B7"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(MRH) is a rare non-Langerhans histiocytosis of unknown etiology characterized by papulonodular skin lesions and progressive, erosive arthritis. To date, there have been approximately 300 cases of MRH reported worldwide. However,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patients are Caucasian from western countries, and Asian patients are rare. Here, we report a case of MRH in a Chinese patient. We also review the relevant literature and comprehensively analyze the clinical characteristics of MRH. This case report and comprehensive analysis will help clinicians better identify and treat this disease in the absence of epidemiological studies or randomized controlled data.</w:t>
      </w:r>
    </w:p>
    <w:p w14:paraId="70CECE09" w14:textId="77777777" w:rsidR="00F119D2" w:rsidRDefault="00F119D2">
      <w:pPr>
        <w:spacing w:line="360" w:lineRule="auto"/>
        <w:jc w:val="both"/>
        <w:rPr>
          <w:rFonts w:ascii="Book Antiqua" w:hAnsi="Book Antiqua"/>
        </w:rPr>
      </w:pPr>
    </w:p>
    <w:p w14:paraId="48C319E4" w14:textId="77777777" w:rsidR="00F119D2" w:rsidRDefault="008C5469">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FC52BF2"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(MRH) is a rare multisystemic disease of unknown etiology characterized by papulonodular skin lesions and erosive arthritis. MRH is classified as non-Langerhans cell histiocytosis class II b according to the recommendations of the Histiocyte Society. There is currently no published data on the incidence and prevalence of MRH. To date, there have been approximately 300 reported cases of MRH worldwide. Moreover,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patients are Caucasian from western countries and Asian patients are rare. Here, we report a case of MRH in China and provide a comprehensive analysis of the clinical characteristics of MRH.</w:t>
      </w:r>
    </w:p>
    <w:p w14:paraId="4A33E73D" w14:textId="77777777" w:rsidR="00F119D2" w:rsidRDefault="00F119D2">
      <w:pPr>
        <w:spacing w:line="360" w:lineRule="auto"/>
        <w:jc w:val="both"/>
        <w:rPr>
          <w:rFonts w:ascii="Book Antiqua" w:hAnsi="Book Antiqua"/>
        </w:rPr>
      </w:pPr>
    </w:p>
    <w:p w14:paraId="443AE09B" w14:textId="77777777" w:rsidR="00F119D2" w:rsidRDefault="008C5469">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1C78529" w14:textId="77777777" w:rsidR="00F119D2" w:rsidRDefault="008C5469">
      <w:pPr>
        <w:spacing w:line="360" w:lineRule="auto"/>
        <w:jc w:val="both"/>
        <w:rPr>
          <w:rFonts w:ascii="Book Antiqua" w:hAnsi="Book Antiqua"/>
        </w:rPr>
      </w:pPr>
      <w:r>
        <w:rPr>
          <w:rFonts w:ascii="Book Antiqua" w:eastAsia="Book Antiqua" w:hAnsi="Book Antiqua" w:cs="Book Antiqua"/>
          <w:b/>
          <w:i/>
          <w:color w:val="000000"/>
        </w:rPr>
        <w:t>Chief complaints</w:t>
      </w:r>
    </w:p>
    <w:p w14:paraId="7E4C2A1E"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A 38-year-old male was admitted to our hospital with a rash that had persisted for over two years and bilateral knee pain for over one year.</w:t>
      </w:r>
    </w:p>
    <w:p w14:paraId="4AF8B1E4" w14:textId="77777777" w:rsidR="00F119D2" w:rsidRDefault="00F119D2">
      <w:pPr>
        <w:spacing w:line="360" w:lineRule="auto"/>
        <w:jc w:val="both"/>
        <w:rPr>
          <w:rFonts w:ascii="Book Antiqua" w:hAnsi="Book Antiqua"/>
        </w:rPr>
      </w:pPr>
    </w:p>
    <w:p w14:paraId="41CD4E5F" w14:textId="77777777" w:rsidR="00F119D2" w:rsidRDefault="008C5469">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C44647B"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In May 2017, a small red dotted rash appeared on the inner side of the patient’s right thigh slightly above the skin surface, without itching. By September 2017, the rash on the patient’s right thigh had gradually increased in size from a small dot to a </w:t>
      </w:r>
      <w:r>
        <w:rPr>
          <w:rFonts w:ascii="Book Antiqua" w:eastAsia="Book Antiqua" w:hAnsi="Book Antiqua" w:cs="Book Antiqua"/>
          <w:color w:val="000000"/>
        </w:rPr>
        <w:lastRenderedPageBreak/>
        <w:t xml:space="preserve">chrysanthemum-like pattern. In July 2018, millet-like, brownish-red papules appeared on the left thigh, symmetrically positioned with the right leg. This was followed by the appearance of similar rashes on the back of the ear, neck, shoulder, and back. The patient was diagnosed with eczema by a foreign hospital and was prescribed an ointment (details unknown) for external application without improvement. In September 2018, he was diagnosed with MRH following a skin biopsy obtained from the left upper back in our hospital. In November 2018, the patient was administered oral treatment with </w:t>
      </w:r>
      <w:proofErr w:type="spellStart"/>
      <w:r>
        <w:rPr>
          <w:rFonts w:ascii="Book Antiqua" w:eastAsia="Book Antiqua" w:hAnsi="Book Antiqua" w:cs="Book Antiqua"/>
          <w:color w:val="000000"/>
        </w:rPr>
        <w:t>tripterygium</w:t>
      </w:r>
      <w:proofErr w:type="spellEnd"/>
      <w:r>
        <w:rPr>
          <w:rFonts w:ascii="Book Antiqua" w:eastAsia="Book Antiqua" w:hAnsi="Book Antiqua" w:cs="Book Antiqua"/>
          <w:color w:val="000000"/>
        </w:rPr>
        <w:t xml:space="preserve"> glycosides for two months at Peking Union Medical College Hospital (exact dosage unknown). He subsequently ceased taking the medicine upon the development of liver damage. From September 2019, red </w:t>
      </w:r>
      <w:proofErr w:type="gramStart"/>
      <w:r>
        <w:rPr>
          <w:rFonts w:ascii="Book Antiqua" w:eastAsia="Book Antiqua" w:hAnsi="Book Antiqua" w:cs="Book Antiqua"/>
          <w:color w:val="000000"/>
        </w:rPr>
        <w:t>macules</w:t>
      </w:r>
      <w:proofErr w:type="gramEnd"/>
      <w:r>
        <w:rPr>
          <w:rFonts w:ascii="Book Antiqua" w:eastAsia="Book Antiqua" w:hAnsi="Book Antiqua" w:cs="Book Antiqua"/>
          <w:color w:val="000000"/>
        </w:rPr>
        <w:t xml:space="preserve"> and millet-like brown-red papules appeared on the anterior chest area, waist, and abdomen. After re-visiting our hospital, he began taking 8 mg/d oral methylprednisolone, and was administered 0.6 g cyclophosphamide in October 2019 by venous transfusion. Subsequently, the patient took 8 mg/d oral methylprednisolone irregularly without improvement of the skin lesions and joint symptoms. In January 2020, multiple round and oval nodules that were brownish red, hard, with a smooth surface, no rupture, approximately 2-8 mm in size appeared on the back of both hands. The patient had difficulty making a fist with both hands and exhibited a deformity in the distal interphalangeal joints of both hands in flexion. Beginning in July 2020, sesame-sized </w:t>
      </w:r>
      <w:proofErr w:type="spellStart"/>
      <w:r>
        <w:rPr>
          <w:rFonts w:ascii="Book Antiqua" w:eastAsia="Book Antiqua" w:hAnsi="Book Antiqua" w:cs="Book Antiqua"/>
          <w:color w:val="000000"/>
        </w:rPr>
        <w:t>maculopapules</w:t>
      </w:r>
      <w:proofErr w:type="spellEnd"/>
      <w:r>
        <w:rPr>
          <w:rFonts w:ascii="Book Antiqua" w:eastAsia="Book Antiqua" w:hAnsi="Book Antiqua" w:cs="Book Antiqua"/>
          <w:color w:val="000000"/>
        </w:rPr>
        <w:t xml:space="preserve"> appeared on </w:t>
      </w:r>
      <w:proofErr w:type="gramStart"/>
      <w:r>
        <w:rPr>
          <w:rFonts w:ascii="Book Antiqua" w:eastAsia="Book Antiqua" w:hAnsi="Book Antiqua" w:cs="Book Antiqua"/>
          <w:color w:val="000000"/>
        </w:rPr>
        <w:t>both of the patient’s</w:t>
      </w:r>
      <w:proofErr w:type="gramEnd"/>
      <w:r>
        <w:rPr>
          <w:rFonts w:ascii="Book Antiqua" w:eastAsia="Book Antiqua" w:hAnsi="Book Antiqua" w:cs="Book Antiqua"/>
          <w:color w:val="000000"/>
        </w:rPr>
        <w:t xml:space="preserve"> arms; pain in both knees was aggravated with swelling; and squatting was limited. The patient had no fever, myalgia, oral ulcers, or Raynaud's phenomenon, was in good spirits, and had no loss of appetite. No significant changes were observed regarding the patient’s weight throughout the course of the illness. </w:t>
      </w:r>
    </w:p>
    <w:p w14:paraId="66CFB7F2" w14:textId="77777777" w:rsidR="00F119D2" w:rsidRDefault="00F119D2">
      <w:pPr>
        <w:spacing w:line="360" w:lineRule="auto"/>
        <w:jc w:val="both"/>
        <w:rPr>
          <w:rFonts w:ascii="Book Antiqua" w:hAnsi="Book Antiqua"/>
        </w:rPr>
      </w:pPr>
    </w:p>
    <w:p w14:paraId="49D0A318" w14:textId="77777777" w:rsidR="00F119D2" w:rsidRDefault="008C5469">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40DA3F0"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The patient had no previous medical history.</w:t>
      </w:r>
    </w:p>
    <w:p w14:paraId="7A570E51" w14:textId="77777777" w:rsidR="00F119D2" w:rsidRDefault="00F119D2">
      <w:pPr>
        <w:spacing w:line="360" w:lineRule="auto"/>
        <w:jc w:val="both"/>
        <w:rPr>
          <w:rFonts w:ascii="Book Antiqua" w:hAnsi="Book Antiqua"/>
        </w:rPr>
      </w:pPr>
    </w:p>
    <w:p w14:paraId="78CD3B59" w14:textId="77777777" w:rsidR="00F119D2" w:rsidRDefault="008C5469">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746AC455" w14:textId="77777777" w:rsidR="00F119D2" w:rsidRDefault="008C5469">
      <w:pPr>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The patient denied a history of smoking and alcohol consumption; denied drug addiction; no history of exposure to industrial poisons, dust, and radioactive substances. There is no similar family history and family genetic disease is denied.</w:t>
      </w:r>
    </w:p>
    <w:p w14:paraId="3EFAEC96" w14:textId="77777777" w:rsidR="00F119D2" w:rsidRDefault="00F119D2">
      <w:pPr>
        <w:spacing w:line="360" w:lineRule="auto"/>
        <w:jc w:val="both"/>
        <w:rPr>
          <w:rFonts w:ascii="Book Antiqua" w:hAnsi="Book Antiqua"/>
        </w:rPr>
      </w:pPr>
    </w:p>
    <w:p w14:paraId="3B530C23" w14:textId="77777777" w:rsidR="00F119D2" w:rsidRDefault="008C5469">
      <w:pPr>
        <w:spacing w:line="360" w:lineRule="auto"/>
        <w:jc w:val="both"/>
        <w:rPr>
          <w:rFonts w:ascii="Book Antiqua" w:hAnsi="Book Antiqua"/>
        </w:rPr>
      </w:pPr>
      <w:r>
        <w:rPr>
          <w:rFonts w:ascii="Book Antiqua" w:eastAsia="Book Antiqua" w:hAnsi="Book Antiqua" w:cs="Book Antiqua"/>
          <w:b/>
          <w:i/>
          <w:color w:val="000000"/>
        </w:rPr>
        <w:t>Physical examination</w:t>
      </w:r>
    </w:p>
    <w:p w14:paraId="7C0565CA"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On physical examination, the patient was in a good general condition. A brownish-red maculopapular rash densely covered behind the ears, neck, shoulder, anterior chest, back, waist, abdomen, arms, and inner thighs. Multiple round and oval nodules, 2-8 mm in size, reddish-brown, hard, without rupture, and without pressure pain were observed on the back of both hands (Figure 1) and was associated with poor mobility. The oral mucosa and tongue were not involved. Grade V muscle strength of the extremities was observed. The patient had a "gooseneck-like" deformity involving 2-5 fingers of both hands, swelling of the interphalangeal joints of both thumbs, difficulty making a fist, swelling of the bilateral knee joints with pressure-associated pain, and limited capacity for squatting.</w:t>
      </w:r>
    </w:p>
    <w:p w14:paraId="761EF6BB" w14:textId="77777777" w:rsidR="00F119D2" w:rsidRDefault="00F119D2">
      <w:pPr>
        <w:spacing w:line="360" w:lineRule="auto"/>
        <w:jc w:val="both"/>
        <w:rPr>
          <w:rFonts w:ascii="Book Antiqua" w:hAnsi="Book Antiqua"/>
        </w:rPr>
      </w:pPr>
    </w:p>
    <w:p w14:paraId="1CEC69FC" w14:textId="77777777" w:rsidR="00F119D2" w:rsidRDefault="008C5469">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4AA9A60"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The laboratory tests revealed that liver function, biochemistry, blood lipid level, erythrocyte sedimentation rate, tumor markers, and thyroid function were normal. The complete set of autoantibodies was negative. The patient was negative for anti-keratin antibodies and anti-cyclic citrullinated peptide antibodies &lt; 5 </w:t>
      </w:r>
      <w:r>
        <w:rPr>
          <w:rFonts w:ascii="Book Antiqua" w:eastAsia="SimSun" w:hAnsi="Book Antiqua" w:cs="Book Antiqua" w:hint="eastAsia"/>
          <w:color w:val="000000"/>
          <w:lang w:eastAsia="zh-CN"/>
        </w:rPr>
        <w:t>relative units</w:t>
      </w:r>
      <w:r w:rsidR="00684C32">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w:t>
      </w:r>
      <w:r>
        <w:rPr>
          <w:rFonts w:ascii="Book Antiqua" w:eastAsia="Book Antiqua" w:hAnsi="Book Antiqua" w:cs="Book Antiqua"/>
          <w:color w:val="000000"/>
        </w:rPr>
        <w:t>R</w:t>
      </w:r>
      <w:r>
        <w:rPr>
          <w:rFonts w:ascii="Book Antiqua" w:eastAsia="SimSun" w:hAnsi="Book Antiqua" w:cs="Book Antiqua" w:hint="eastAsia"/>
          <w:color w:val="000000"/>
          <w:lang w:eastAsia="zh-CN"/>
        </w:rPr>
        <w:t>U)</w:t>
      </w:r>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Anti-anti-neutrophil cytoplasmic antibody (anti-ANCA) was negative, anti-myeloperoxidase (anti-MPO), and anti-proteinase 3 (anti-PR3) were &lt; 20 R</w:t>
      </w:r>
      <w:r>
        <w:rPr>
          <w:rFonts w:ascii="Book Antiqua" w:eastAsia="SimSun" w:hAnsi="Book Antiqua" w:cs="Book Antiqua" w:hint="eastAsia"/>
          <w:color w:val="000000"/>
          <w:lang w:eastAsia="zh-CN"/>
        </w:rPr>
        <w:t>U</w:t>
      </w:r>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Routine blood count: platelets 361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monocyte count 0.63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Bone turnover marker: type I collagen carboxy-terminal peptide 1198.00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Immune function: immunoglobulin G 16.3 g/L, and C3 0.76 g/L. </w:t>
      </w:r>
    </w:p>
    <w:p w14:paraId="0FF126B3" w14:textId="77777777" w:rsidR="00F119D2" w:rsidRDefault="00F119D2">
      <w:pPr>
        <w:spacing w:line="360" w:lineRule="auto"/>
        <w:jc w:val="both"/>
        <w:rPr>
          <w:rFonts w:ascii="Book Antiqua" w:hAnsi="Book Antiqua"/>
        </w:rPr>
      </w:pPr>
    </w:p>
    <w:p w14:paraId="316661FE" w14:textId="77777777" w:rsidR="00F119D2" w:rsidRDefault="008C5469">
      <w:pPr>
        <w:spacing w:line="360" w:lineRule="auto"/>
        <w:jc w:val="both"/>
        <w:rPr>
          <w:rFonts w:ascii="Book Antiqua" w:hAnsi="Book Antiqua"/>
        </w:rPr>
      </w:pPr>
      <w:r>
        <w:rPr>
          <w:rFonts w:ascii="Book Antiqua" w:eastAsia="Book Antiqua" w:hAnsi="Book Antiqua" w:cs="Book Antiqua"/>
          <w:b/>
          <w:i/>
          <w:color w:val="000000"/>
        </w:rPr>
        <w:t>Imaging examinations</w:t>
      </w:r>
    </w:p>
    <w:p w14:paraId="3FCA1342"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lastRenderedPageBreak/>
        <w:t>Radiographs of both hands revealed that multiple interphalangeal joints and the intercarpal joints of both hands were narrowed. In addition, the bone density of the constituent bones of the joints was reduced, cystic translucent areas were observed, and the left radial carpal joint was narrowed (Figure 2A). Knee MRI revealed a Grade 2 injury to the anterior and posterior angles of the medial and lateral menisci of the left knee; degeneration of the left knee, osteochondral injury to the patellofemoral articular surface; dotted film shadow of the synovial membrane around the left knee; possible synovitis; and effusion in the left knee joint cavity and suprapatellar bursa (Figure 2B). Chest CT revealed interstitial inflammation in both lungs; bilateral interlobular cleft nodules with recommended follow-up; fibrous foci in both lower lobes of the lungs; and cystic foci in the right subscapularis muscle (Figure 2C).</w:t>
      </w:r>
    </w:p>
    <w:p w14:paraId="4651977A" w14:textId="77777777" w:rsidR="00F119D2" w:rsidRDefault="00F119D2">
      <w:pPr>
        <w:spacing w:line="360" w:lineRule="auto"/>
        <w:jc w:val="both"/>
        <w:rPr>
          <w:rFonts w:ascii="Book Antiqua" w:hAnsi="Book Antiqua"/>
        </w:rPr>
      </w:pPr>
    </w:p>
    <w:p w14:paraId="432D0E9E" w14:textId="77777777" w:rsidR="00F119D2" w:rsidRDefault="008C5469">
      <w:pPr>
        <w:spacing w:line="360" w:lineRule="auto"/>
        <w:jc w:val="both"/>
        <w:rPr>
          <w:rFonts w:ascii="Book Antiqua" w:hAnsi="Book Antiqua"/>
        </w:rPr>
      </w:pPr>
      <w:r>
        <w:rPr>
          <w:rFonts w:ascii="Book Antiqua" w:eastAsia="Book Antiqua" w:hAnsi="Book Antiqua" w:cs="Book Antiqua"/>
          <w:b/>
          <w:bCs/>
          <w:caps/>
          <w:color w:val="000000"/>
          <w:u w:val="single"/>
        </w:rPr>
        <w:t>Pathological examination</w:t>
      </w:r>
    </w:p>
    <w:p w14:paraId="3296A16F"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Microscopic, pathological analysis of a skin biopsy taken from the left upper back revealed that the epidermis was generally normal. The dermal papillae showed an increase in the number of histiocytes and multinucleated giant cells with abundant cell cytoplasm and hairy glass-like changes, with a little lymphatic and eosinophilic infiltration around them (Figure 3A). Immunohistochemistry showed CD68(+), CD1</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and S100(-) (Figure 3B-D). In an iliac bone aspiration biopsy, the morphological analysis of the bone marrow cells did not exhibit any significant abnormalities in the granulocyte-red-macro triad. The pathological examination revealed hematopoiesis. There was an approximately 40%:60% fat, granulocyte-red ratio &lt; 2.5:1, </w:t>
      </w:r>
      <w:proofErr w:type="spellStart"/>
      <w:r>
        <w:rPr>
          <w:rFonts w:ascii="Book Antiqua" w:eastAsia="Book Antiqua" w:hAnsi="Book Antiqua" w:cs="Book Antiqua"/>
          <w:color w:val="000000"/>
        </w:rPr>
        <w:t>Alip</w:t>
      </w:r>
      <w:proofErr w:type="spellEnd"/>
      <w:r>
        <w:rPr>
          <w:rFonts w:ascii="Book Antiqua" w:eastAsia="Book Antiqua" w:hAnsi="Book Antiqua" w:cs="Book Antiqua"/>
          <w:color w:val="000000"/>
        </w:rPr>
        <w:t>-, and scattered megakaryocyte lineage, with no obvious tumor component.</w:t>
      </w:r>
    </w:p>
    <w:p w14:paraId="57BBF797" w14:textId="77777777" w:rsidR="00F119D2" w:rsidRDefault="00F119D2">
      <w:pPr>
        <w:spacing w:line="360" w:lineRule="auto"/>
        <w:jc w:val="both"/>
        <w:rPr>
          <w:rFonts w:ascii="Book Antiqua" w:hAnsi="Book Antiqua"/>
        </w:rPr>
      </w:pPr>
    </w:p>
    <w:p w14:paraId="611634A5" w14:textId="77777777" w:rsidR="00F119D2" w:rsidRDefault="008C5469">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BEE8126"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The final diagnosis of the presented case is MRH. </w:t>
      </w:r>
    </w:p>
    <w:p w14:paraId="77DD5529" w14:textId="77777777" w:rsidR="00F119D2" w:rsidRDefault="00F119D2">
      <w:pPr>
        <w:spacing w:line="360" w:lineRule="auto"/>
        <w:jc w:val="both"/>
        <w:rPr>
          <w:rFonts w:ascii="Book Antiqua" w:hAnsi="Book Antiqua"/>
        </w:rPr>
      </w:pPr>
    </w:p>
    <w:p w14:paraId="0118F53E" w14:textId="77777777" w:rsidR="00F119D2" w:rsidRDefault="008C5469">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3584FC01"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lastRenderedPageBreak/>
        <w:t xml:space="preserve">As treatment, the patient began taking 16 mg/d oral methylprednisolone tablets regularly </w:t>
      </w:r>
      <w:proofErr w:type="gramStart"/>
      <w:r>
        <w:rPr>
          <w:rFonts w:ascii="Book Antiqua" w:eastAsia="Book Antiqua" w:hAnsi="Book Antiqua" w:cs="Book Antiqua"/>
          <w:color w:val="000000"/>
        </w:rPr>
        <w:t>on</w:t>
      </w:r>
      <w:proofErr w:type="gramEnd"/>
      <w:r>
        <w:rPr>
          <w:rFonts w:ascii="Book Antiqua" w:eastAsia="Book Antiqua" w:hAnsi="Book Antiqua" w:cs="Book Antiqua"/>
          <w:color w:val="000000"/>
        </w:rPr>
        <w:t xml:space="preserve"> November 2020. The methylprednisolone was reduced to 12 mg/d during February 2021-April 2021, and methylprednisolone was reduced to 8 mg/d from May 2021 onwards. On 30 November and 15 December 2020, 0.4 g cyclophosphamide was intravenously administered once. On 29 December 2020 and 26 January 2021, 0.6 g cyclophosphamide was intravenously administered once. Since then, 0.8 g cyclophosphamide has been administered regularly every month, and blood count, liver, and kidney function have been monitored (Figure 4).</w:t>
      </w:r>
    </w:p>
    <w:p w14:paraId="49C479D9" w14:textId="77777777" w:rsidR="00F119D2" w:rsidRDefault="00F119D2">
      <w:pPr>
        <w:spacing w:line="360" w:lineRule="auto"/>
        <w:jc w:val="both"/>
        <w:rPr>
          <w:rFonts w:ascii="Book Antiqua" w:hAnsi="Book Antiqua"/>
        </w:rPr>
      </w:pPr>
    </w:p>
    <w:p w14:paraId="118343B7" w14:textId="77777777" w:rsidR="00F119D2" w:rsidRDefault="008C5469">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3C97AB3"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At present, skin lesions on both arms, abdomen, and back had subsided, while the skin lesions on the rest of the body had not increased elsewhere. The interphalangeal joints of both thumbs and bilateral knee joints remained swollen and painful. Thus, we recommend TNF-α antagonists as treatment for patients who are under consideration. The patient treatment and follow up are ongoing.</w:t>
      </w:r>
    </w:p>
    <w:p w14:paraId="13752036" w14:textId="77777777" w:rsidR="00F119D2" w:rsidRDefault="00F119D2">
      <w:pPr>
        <w:spacing w:line="360" w:lineRule="auto"/>
        <w:jc w:val="both"/>
        <w:rPr>
          <w:rFonts w:ascii="Book Antiqua" w:hAnsi="Book Antiqua"/>
        </w:rPr>
      </w:pPr>
    </w:p>
    <w:p w14:paraId="0F6182C6" w14:textId="77777777" w:rsidR="00F119D2" w:rsidRDefault="008C5469">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AE2A086" w14:textId="77777777" w:rsidR="00F119D2" w:rsidRDefault="008C546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MRH is a rare multisystemic granulomatous disease and non-Langerhans histiocytosis. Papulonodular skin lesions and destructive arthritis are the two prominent features of MRH. MRH was first identified and reported by Weber and </w:t>
      </w:r>
      <w:proofErr w:type="spellStart"/>
      <w:r>
        <w:rPr>
          <w:rFonts w:ascii="Book Antiqua" w:eastAsia="Book Antiqua" w:hAnsi="Book Antiqua" w:cs="Book Antiqua"/>
          <w:color w:val="000000"/>
        </w:rPr>
        <w:t>Frudenthal</w:t>
      </w:r>
      <w:proofErr w:type="spellEnd"/>
      <w:r>
        <w:rPr>
          <w:rFonts w:ascii="Book Antiqua" w:eastAsia="Book Antiqua" w:hAnsi="Book Antiqua" w:cs="Book Antiqua"/>
          <w:color w:val="000000"/>
        </w:rPr>
        <w:t xml:space="preserve"> in 1937 and termed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by Goltz and </w:t>
      </w:r>
      <w:proofErr w:type="spellStart"/>
      <w:r>
        <w:rPr>
          <w:rFonts w:ascii="Book Antiqua" w:eastAsia="Book Antiqua" w:hAnsi="Book Antiqua" w:cs="Book Antiqua"/>
          <w:color w:val="000000"/>
        </w:rPr>
        <w:t>Laymon</w:t>
      </w:r>
      <w:proofErr w:type="spellEnd"/>
      <w:r>
        <w:rPr>
          <w:rFonts w:ascii="Book Antiqua" w:eastAsia="Book Antiqua" w:hAnsi="Book Antiqua" w:cs="Book Antiqua"/>
          <w:color w:val="000000"/>
        </w:rPr>
        <w:t xml:space="preserve"> in 1954</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While the pathogenesis of MRH remains unclear and may be related to the infiltration of a large number of macrophages in the skin and synovial tissues, it may also be associated with the differentiation of monocytes into osteoclasts, which ultimately leads to joint </w:t>
      </w:r>
      <w:proofErr w:type="gramStart"/>
      <w:r>
        <w:rPr>
          <w:rFonts w:ascii="Book Antiqua" w:eastAsia="Book Antiqua" w:hAnsi="Book Antiqua" w:cs="Book Antiqua"/>
          <w:color w:val="000000"/>
        </w:rPr>
        <w:t>destruction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To date, there have been approximately 300 cases of MRH reported worldwide. The data demonstrate that most patients are Caucasian and from western countries, whereas Asian patients are rare. The peak age at onset is 40-50 years old, with a male to female ratio of 1:3</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5335102B" w14:textId="77777777" w:rsidR="00F119D2" w:rsidRDefault="00F119D2">
      <w:pPr>
        <w:spacing w:line="360" w:lineRule="auto"/>
        <w:jc w:val="both"/>
        <w:rPr>
          <w:rFonts w:ascii="Book Antiqua" w:hAnsi="Book Antiqua"/>
        </w:rPr>
      </w:pPr>
    </w:p>
    <w:p w14:paraId="35BA1325" w14:textId="77777777" w:rsidR="00F119D2" w:rsidRDefault="008C5469">
      <w:pPr>
        <w:spacing w:line="360" w:lineRule="auto"/>
        <w:jc w:val="both"/>
        <w:rPr>
          <w:rFonts w:ascii="Book Antiqua" w:hAnsi="Book Antiqua"/>
          <w:i/>
          <w:iCs/>
        </w:rPr>
      </w:pPr>
      <w:r>
        <w:rPr>
          <w:rFonts w:ascii="Book Antiqua" w:eastAsia="Book Antiqua" w:hAnsi="Book Antiqua" w:cs="Book Antiqua"/>
          <w:b/>
          <w:bCs/>
          <w:i/>
          <w:iCs/>
          <w:color w:val="000000"/>
        </w:rPr>
        <w:lastRenderedPageBreak/>
        <w:t>Skin lesions</w:t>
      </w:r>
    </w:p>
    <w:p w14:paraId="3E7D3DE5"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The skin is the most frequently involved site of MRH. Skin lesions may be the first symptom and are primarily distributed on the face, scalp, behind the ears, neck, anterior chest, back, waist, and </w:t>
      </w:r>
      <w:proofErr w:type="spellStart"/>
      <w:proofErr w:type="gramStart"/>
      <w:r>
        <w:rPr>
          <w:rFonts w:ascii="Book Antiqua" w:eastAsia="Book Antiqua" w:hAnsi="Book Antiqua" w:cs="Book Antiqua"/>
          <w:color w:val="000000"/>
        </w:rPr>
        <w:t>abdo</w:t>
      </w:r>
      <w:proofErr w:type="spellEnd"/>
      <w:r>
        <w:rPr>
          <w:rFonts w:ascii="Book Antiqua" w:eastAsia="Book Antiqua" w:hAnsi="Book Antiqua" w:cs="Book Antiqua"/>
          <w:color w:val="000000"/>
        </w:rPr>
        <w:t>{</w:t>
      </w:r>
      <w:proofErr w:type="spellStart"/>
      <w:proofErr w:type="gramEnd"/>
      <w:r>
        <w:rPr>
          <w:rFonts w:ascii="Book Antiqua" w:eastAsia="Book Antiqua" w:hAnsi="Book Antiqua" w:cs="Book Antiqua"/>
          <w:color w:val="000000"/>
        </w:rPr>
        <w:t>Adamopoulos</w:t>
      </w:r>
      <w:proofErr w:type="spellEnd"/>
      <w:r>
        <w:rPr>
          <w:rFonts w:ascii="Book Antiqua" w:eastAsia="Book Antiqua" w:hAnsi="Book Antiqua" w:cs="Book Antiqua"/>
          <w:color w:val="000000"/>
        </w:rPr>
        <w:t xml:space="preserve">, 2006 #12}men, arms, hands, and thigh. The manifestations of skin lesions include </w:t>
      </w:r>
      <w:proofErr w:type="spellStart"/>
      <w:r>
        <w:rPr>
          <w:rFonts w:ascii="Book Antiqua" w:eastAsia="Book Antiqua" w:hAnsi="Book Antiqua" w:cs="Book Antiqua"/>
          <w:color w:val="000000"/>
        </w:rPr>
        <w:t>papular</w:t>
      </w:r>
      <w:proofErr w:type="spellEnd"/>
      <w:r>
        <w:rPr>
          <w:rFonts w:ascii="Book Antiqua" w:eastAsia="Book Antiqua" w:hAnsi="Book Antiqua" w:cs="Book Antiqua"/>
          <w:color w:val="000000"/>
        </w:rPr>
        <w:t xml:space="preserve"> nodules and macules. </w:t>
      </w:r>
      <w:proofErr w:type="spellStart"/>
      <w:r>
        <w:rPr>
          <w:rFonts w:ascii="Book Antiqua" w:eastAsia="Book Antiqua" w:hAnsi="Book Antiqua" w:cs="Book Antiqua"/>
          <w:color w:val="000000"/>
        </w:rPr>
        <w:t>Papular</w:t>
      </w:r>
      <w:proofErr w:type="spellEnd"/>
      <w:r>
        <w:rPr>
          <w:rFonts w:ascii="Book Antiqua" w:eastAsia="Book Antiqua" w:hAnsi="Book Antiqua" w:cs="Book Antiqua"/>
          <w:color w:val="000000"/>
        </w:rPr>
        <w:t xml:space="preserve"> nodules appear above the skin surface, are hemispherical in shape, hard in texture, millet to soy size, and are usually not accompanied by pruritus. The </w:t>
      </w:r>
      <w:proofErr w:type="spellStart"/>
      <w:r>
        <w:rPr>
          <w:rFonts w:ascii="Book Antiqua" w:eastAsia="Book Antiqua" w:hAnsi="Book Antiqua" w:cs="Book Antiqua"/>
          <w:color w:val="000000"/>
        </w:rPr>
        <w:t>papular</w:t>
      </w:r>
      <w:proofErr w:type="spellEnd"/>
      <w:r>
        <w:rPr>
          <w:rFonts w:ascii="Book Antiqua" w:eastAsia="Book Antiqua" w:hAnsi="Book Antiqua" w:cs="Book Antiqua"/>
          <w:color w:val="000000"/>
        </w:rPr>
        <w:t xml:space="preserve"> nodules can be of various colors, including skin color, red, and reddish-brown. The small papules are arranged in a linear "coral bead" pattern at the nail folds. In severe cases, facial lesions may have a "lion-like appearance"</w:t>
      </w:r>
      <w:r>
        <w:rPr>
          <w:rFonts w:ascii="Book Antiqua" w:eastAsia="Book Antiqua" w:hAnsi="Book Antiqua" w:cs="Book Antiqua"/>
          <w:color w:val="000000"/>
          <w:vertAlign w:val="superscript"/>
        </w:rPr>
        <w:t>[5]</w:t>
      </w:r>
      <w:r>
        <w:rPr>
          <w:rFonts w:ascii="Book Antiqua" w:eastAsia="Book Antiqua" w:hAnsi="Book Antiqua" w:cs="Book Antiqua"/>
          <w:color w:val="000000"/>
        </w:rPr>
        <w:t>. Macula is another form of skin lesions that manifest as brown-red and purplish red edematous spots, similar in morphology and distribution to dermatomyositis rash, which is occasionally accompanied by dermatomyositis, and can easily be misdiagnosed. In addition, MRH can also involve mucous membranes (</w:t>
      </w:r>
      <w:r>
        <w:rPr>
          <w:rFonts w:ascii="Book Antiqua" w:eastAsia="Book Antiqua" w:hAnsi="Book Antiqua" w:cs="Book Antiqua"/>
          <w:i/>
          <w:iCs/>
          <w:color w:val="000000"/>
        </w:rPr>
        <w:t>e.g.,</w:t>
      </w:r>
      <w:r>
        <w:rPr>
          <w:rFonts w:ascii="Book Antiqua" w:eastAsia="Book Antiqua" w:hAnsi="Book Antiqua" w:cs="Book Antiqua"/>
          <w:color w:val="000000"/>
        </w:rPr>
        <w:t xml:space="preserve"> oral mucosa, gingival mucosa, and laryngeal mucosa). </w:t>
      </w:r>
    </w:p>
    <w:p w14:paraId="65BC50A8" w14:textId="77777777" w:rsidR="00F119D2" w:rsidRDefault="00F119D2">
      <w:pPr>
        <w:spacing w:line="360" w:lineRule="auto"/>
        <w:jc w:val="both"/>
        <w:rPr>
          <w:rFonts w:ascii="Book Antiqua" w:hAnsi="Book Antiqua"/>
        </w:rPr>
      </w:pPr>
    </w:p>
    <w:p w14:paraId="046F2E67" w14:textId="77777777" w:rsidR="00F119D2" w:rsidRDefault="008C5469">
      <w:pPr>
        <w:spacing w:line="360" w:lineRule="auto"/>
        <w:jc w:val="both"/>
        <w:rPr>
          <w:rFonts w:ascii="Book Antiqua" w:hAnsi="Book Antiqua"/>
          <w:i/>
          <w:iCs/>
        </w:rPr>
      </w:pPr>
      <w:r>
        <w:rPr>
          <w:rFonts w:ascii="Book Antiqua" w:eastAsia="Book Antiqua" w:hAnsi="Book Antiqua" w:cs="Book Antiqua"/>
          <w:b/>
          <w:bCs/>
          <w:i/>
          <w:iCs/>
          <w:color w:val="000000"/>
        </w:rPr>
        <w:t>MRH-associated arthritis</w:t>
      </w:r>
    </w:p>
    <w:p w14:paraId="3853D213"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Arthritis is one of the predominant clinical symptoms of MRH and can appear as the first symptom of </w:t>
      </w:r>
      <w:proofErr w:type="gramStart"/>
      <w:r>
        <w:rPr>
          <w:rFonts w:ascii="Book Antiqua" w:eastAsia="Book Antiqua" w:hAnsi="Book Antiqua" w:cs="Book Antiqua"/>
          <w:color w:val="000000"/>
        </w:rPr>
        <w:t>MRH, and</w:t>
      </w:r>
      <w:proofErr w:type="gramEnd"/>
      <w:r>
        <w:rPr>
          <w:rFonts w:ascii="Book Antiqua" w:eastAsia="Book Antiqua" w:hAnsi="Book Antiqua" w:cs="Book Antiqua"/>
          <w:color w:val="000000"/>
        </w:rPr>
        <w:t xml:space="preserve"> can occur simultaneously with skin lesions. MRH-associated arthritis can be characterized as diffuse, symmetric, progressive, and destructive. MRH is </w:t>
      </w:r>
      <w:proofErr w:type="gramStart"/>
      <w:r>
        <w:rPr>
          <w:rFonts w:ascii="Book Antiqua" w:eastAsia="Book Antiqua" w:hAnsi="Book Antiqua" w:cs="Book Antiqua"/>
          <w:color w:val="000000"/>
        </w:rPr>
        <w:t>most commonly involved</w:t>
      </w:r>
      <w:proofErr w:type="gramEnd"/>
      <w:r>
        <w:rPr>
          <w:rFonts w:ascii="Book Antiqua" w:eastAsia="Book Antiqua" w:hAnsi="Book Antiqua" w:cs="Book Antiqua"/>
          <w:color w:val="000000"/>
        </w:rPr>
        <w:t xml:space="preserve"> in the hand joints, especially the distal interphalangeal joint, followed by the knee joint, the shoulder, elbow, hip, ankle, and metatarsophalangeal joint. The affected joints exhibit swelling, pain, an increase in skin temperature, joint effusion, and some patients can also experience morning stiffness. Joint erosion is characterized by the gradual progression from the joint edges to the entire joint surface, eventually leading to an enlargement of the joint cavity, loss of articular cartilage, and resorption of subchondral bone. Unlike other forms of inflammatory arthritis, MRH is mainly free of bone loss and abnormal new bone </w:t>
      </w:r>
      <w:proofErr w:type="gramStart"/>
      <w:r>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However, joint destruction progresses rapidly and can eventually lead to </w:t>
      </w:r>
      <w:r>
        <w:rPr>
          <w:rFonts w:ascii="Book Antiqua" w:eastAsia="Book Antiqua" w:hAnsi="Book Antiqua" w:cs="Book Antiqua"/>
          <w:color w:val="000000"/>
        </w:rPr>
        <w:lastRenderedPageBreak/>
        <w:t xml:space="preserve">joint deformities, hypofunction, or loss. Without prompt and effective treatment, this destruction of the proximal interphalangeal and distal interphalangeal joints may result in “opera-glass </w:t>
      </w:r>
      <w:proofErr w:type="gramStart"/>
      <w:r>
        <w:rPr>
          <w:rFonts w:ascii="Book Antiqua" w:eastAsia="Book Antiqua" w:hAnsi="Book Antiqua" w:cs="Book Antiqua"/>
          <w:color w:val="000000"/>
        </w:rPr>
        <w:t>hand”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has also been reported that some patients with severe hip destruction require hip </w:t>
      </w:r>
      <w:proofErr w:type="gramStart"/>
      <w:r>
        <w:rPr>
          <w:rFonts w:ascii="Book Antiqua" w:eastAsia="Book Antiqua" w:hAnsi="Book Antiqua" w:cs="Book Antiqua"/>
          <w:color w:val="000000"/>
        </w:rPr>
        <w:t>arthroplasty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Therefore, X-ray examination can play an important role in the early detection of MRH and in the screening of MRH from other types of arthritis.</w:t>
      </w:r>
    </w:p>
    <w:p w14:paraId="02AF06A3" w14:textId="77777777" w:rsidR="00F119D2" w:rsidRDefault="00F119D2">
      <w:pPr>
        <w:spacing w:line="360" w:lineRule="auto"/>
        <w:jc w:val="both"/>
        <w:rPr>
          <w:rFonts w:ascii="Book Antiqua" w:hAnsi="Book Antiqua"/>
        </w:rPr>
      </w:pPr>
    </w:p>
    <w:p w14:paraId="0F9E45A1" w14:textId="77777777" w:rsidR="00F119D2" w:rsidRDefault="008C5469">
      <w:pPr>
        <w:spacing w:line="360" w:lineRule="auto"/>
        <w:jc w:val="both"/>
        <w:rPr>
          <w:rFonts w:ascii="Book Antiqua" w:hAnsi="Book Antiqua"/>
          <w:i/>
          <w:iCs/>
        </w:rPr>
      </w:pPr>
      <w:r>
        <w:rPr>
          <w:rFonts w:ascii="Book Antiqua" w:eastAsia="Book Antiqua" w:hAnsi="Book Antiqua" w:cs="Book Antiqua"/>
          <w:b/>
          <w:bCs/>
          <w:i/>
          <w:iCs/>
          <w:color w:val="000000"/>
        </w:rPr>
        <w:t>Other clinical manifestations</w:t>
      </w:r>
    </w:p>
    <w:p w14:paraId="45E1DDA0"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MRH can involve additional organs. Patients with muscle involvement present with myalgia or decreased muscle strength. Electromyography may exhibit myogenic lesions in some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Patients with lung involvement exhibited dyspnea, pulmonary nodules, pleural effusion, or pulmonary interstitial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Patients with heart involvement have been reported as having pericardial effusion and </w:t>
      </w:r>
      <w:proofErr w:type="gramStart"/>
      <w:r>
        <w:rPr>
          <w:rFonts w:ascii="Book Antiqua" w:eastAsia="Book Antiqua" w:hAnsi="Book Antiqua" w:cs="Book Antiqua"/>
          <w:color w:val="000000"/>
        </w:rPr>
        <w:t>myocarditis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Patients with laryngeal involvement exhibit hoarseness, foreign body sensation in the larynx, or laryngeal </w:t>
      </w:r>
      <w:proofErr w:type="gramStart"/>
      <w:r>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addition, patients with thyroid involvement showed </w:t>
      </w:r>
      <w:proofErr w:type="gramStart"/>
      <w:r>
        <w:rPr>
          <w:rFonts w:ascii="Book Antiqua" w:eastAsia="Book Antiqua" w:hAnsi="Book Antiqua" w:cs="Book Antiqua"/>
          <w:color w:val="000000"/>
        </w:rPr>
        <w:t>hypothyroidism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Thrombosis has also been reported in patients with </w:t>
      </w:r>
      <w:proofErr w:type="gramStart"/>
      <w:r>
        <w:rPr>
          <w:rFonts w:ascii="Book Antiqua" w:eastAsia="Book Antiqua" w:hAnsi="Book Antiqua" w:cs="Book Antiqua"/>
          <w:color w:val="000000"/>
        </w:rPr>
        <w:t>MRH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A small number of patients have extensive systemic involvement of the larynx, lungs, spleen, and plasma membranes at the same time. In addition to organ involvement, MRH may also present with systemic symptoms, including fatigue, fever, and weight loss.</w:t>
      </w:r>
    </w:p>
    <w:p w14:paraId="05000D15" w14:textId="77777777" w:rsidR="00F119D2" w:rsidRDefault="00F119D2">
      <w:pPr>
        <w:spacing w:line="360" w:lineRule="auto"/>
        <w:jc w:val="both"/>
        <w:rPr>
          <w:rFonts w:ascii="Book Antiqua" w:hAnsi="Book Antiqua"/>
        </w:rPr>
      </w:pPr>
    </w:p>
    <w:p w14:paraId="6E029CD1" w14:textId="77777777" w:rsidR="00F119D2" w:rsidRDefault="008C5469">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Laboratory results </w:t>
      </w:r>
    </w:p>
    <w:p w14:paraId="7546F4FC"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The laboratory tests for patients with MRH are nonspecific. Some patients may have increased leukocytes, decreased hemoglobin, accelerated sedimentation, and elevated lipids. Positivity for rheumatoid factor, anti-cyclic citrullinated antibodies, and antinuclear antibodies is rare, except for the combination with a systemic autoimmune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3E315983" w14:textId="77777777" w:rsidR="00F119D2" w:rsidRDefault="00F119D2">
      <w:pPr>
        <w:spacing w:line="360" w:lineRule="auto"/>
        <w:jc w:val="both"/>
        <w:rPr>
          <w:rFonts w:ascii="Book Antiqua" w:hAnsi="Book Antiqua"/>
        </w:rPr>
      </w:pPr>
    </w:p>
    <w:p w14:paraId="0643DB13" w14:textId="77777777" w:rsidR="00F119D2" w:rsidRDefault="008C5469">
      <w:pPr>
        <w:spacing w:line="360" w:lineRule="auto"/>
        <w:jc w:val="both"/>
        <w:rPr>
          <w:rFonts w:ascii="Book Antiqua" w:hAnsi="Book Antiqua"/>
          <w:i/>
          <w:iCs/>
        </w:rPr>
      </w:pPr>
      <w:r>
        <w:rPr>
          <w:rFonts w:ascii="Book Antiqua" w:eastAsia="Book Antiqua" w:hAnsi="Book Antiqua" w:cs="Book Antiqua"/>
          <w:b/>
          <w:bCs/>
          <w:i/>
          <w:iCs/>
          <w:color w:val="000000"/>
        </w:rPr>
        <w:t xml:space="preserve">Histopathology </w:t>
      </w:r>
    </w:p>
    <w:p w14:paraId="74380B44"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lastRenderedPageBreak/>
        <w:t xml:space="preserve">The diagnosis of MRH is primarily based on a biopsy of the skin or synovial tissue. The histopathological manifestations include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histiocytes and multinucleated giant cells with an eosinophilic cytoplasm and hairy glass-like changes. Immunohistochemistry indicated that the macrophage marker CD68 is positive, which may be considered an essential criterion for MRH characterization. The Langerhans cell tissue markers S-100, CD1a and B cell markers CD19 and CD20 are negative. It has been reported that vimentin, CD45, CD43, Mac387, and lysozyme are positive in varying degrees in some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251525B8" w14:textId="77777777" w:rsidR="00F119D2" w:rsidRDefault="00F119D2">
      <w:pPr>
        <w:spacing w:line="360" w:lineRule="auto"/>
        <w:jc w:val="both"/>
        <w:rPr>
          <w:rFonts w:ascii="Book Antiqua" w:hAnsi="Book Antiqua"/>
        </w:rPr>
      </w:pPr>
    </w:p>
    <w:p w14:paraId="3754BA9E" w14:textId="77777777" w:rsidR="00F119D2" w:rsidRDefault="008C5469">
      <w:pPr>
        <w:spacing w:line="360" w:lineRule="auto"/>
        <w:jc w:val="both"/>
        <w:rPr>
          <w:rFonts w:ascii="Book Antiqua" w:hAnsi="Book Antiqua"/>
          <w:i/>
          <w:iCs/>
        </w:rPr>
      </w:pPr>
      <w:r>
        <w:rPr>
          <w:rFonts w:ascii="Book Antiqua" w:eastAsia="Book Antiqua" w:hAnsi="Book Antiqua" w:cs="Book Antiqua"/>
          <w:b/>
          <w:bCs/>
          <w:i/>
          <w:iCs/>
          <w:color w:val="000000"/>
        </w:rPr>
        <w:t>MRH-associated diseases</w:t>
      </w:r>
    </w:p>
    <w:p w14:paraId="488810C5"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Patients with MRH may also have a variety of systemic autoimmune diseases including systemic lupus erythematosus, rheumatoid arthritis, Sjogren's syndrome, dermatomyositis, hypothyroidism, diabetes, and </w:t>
      </w:r>
      <w:proofErr w:type="gramStart"/>
      <w:r>
        <w:rPr>
          <w:rFonts w:ascii="Book Antiqua" w:eastAsia="Book Antiqua" w:hAnsi="Book Antiqua" w:cs="Book Antiqua"/>
          <w:color w:val="000000"/>
        </w:rPr>
        <w:t>tuberculosis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10,11,16,17]</w:t>
      </w:r>
      <w:r>
        <w:rPr>
          <w:rFonts w:ascii="Book Antiqua" w:eastAsia="Book Antiqua" w:hAnsi="Book Antiqua" w:cs="Book Antiqua"/>
          <w:color w:val="000000"/>
        </w:rPr>
        <w:t xml:space="preserve">. It is important to note that MRH can be associated with malignancies and the combination rate can be as high as 25%, covering almost all solid tumors and hematologic malignant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3,18]</w:t>
      </w:r>
      <w:r>
        <w:rPr>
          <w:rFonts w:ascii="Book Antiqua" w:eastAsia="Book Antiqua" w:hAnsi="Book Antiqua" w:cs="Book Antiqua"/>
          <w:color w:val="000000"/>
        </w:rPr>
        <w:t xml:space="preserve">. It has been reported that some patients have also experienced remission of the skin and joint symptoms following tumor treatment; thus, MRH is considered to be a paraneoplastic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While this view remains controversial, clinicians should be on alert for the presence of malignancies in patients with MRH. </w:t>
      </w:r>
    </w:p>
    <w:p w14:paraId="26F83973" w14:textId="77777777" w:rsidR="00F119D2" w:rsidRDefault="00F119D2">
      <w:pPr>
        <w:spacing w:line="360" w:lineRule="auto"/>
        <w:jc w:val="both"/>
        <w:rPr>
          <w:rFonts w:ascii="Book Antiqua" w:hAnsi="Book Antiqua"/>
        </w:rPr>
      </w:pPr>
    </w:p>
    <w:p w14:paraId="1BC0A920" w14:textId="77777777" w:rsidR="00F119D2" w:rsidRDefault="008C5469">
      <w:pPr>
        <w:spacing w:line="360" w:lineRule="auto"/>
        <w:jc w:val="both"/>
        <w:rPr>
          <w:rFonts w:ascii="Book Antiqua" w:hAnsi="Book Antiqua"/>
          <w:i/>
          <w:iCs/>
        </w:rPr>
      </w:pPr>
      <w:r>
        <w:rPr>
          <w:rFonts w:ascii="Book Antiqua" w:eastAsia="Book Antiqua" w:hAnsi="Book Antiqua" w:cs="Book Antiqua"/>
          <w:b/>
          <w:bCs/>
          <w:i/>
          <w:iCs/>
          <w:color w:val="000000"/>
        </w:rPr>
        <w:t>Differential diagnosis</w:t>
      </w:r>
    </w:p>
    <w:p w14:paraId="4924FAE1"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MRH is prone to be misdiagnosed as a systemic autoimmune disease due to similar skin and joint symptoms. MRH is also misdiagnosed as it often coexists with systemic autoimmune diseases, including rheumatoid arthritis, dermatomyositis, Sjogren's syndrome, fibroblastic rheumatism, and systemic lupus erythematosus. The diseases </w:t>
      </w:r>
      <w:proofErr w:type="gramStart"/>
      <w:r>
        <w:rPr>
          <w:rFonts w:ascii="Book Antiqua" w:eastAsia="Book Antiqua" w:hAnsi="Book Antiqua" w:cs="Book Antiqua"/>
          <w:color w:val="000000"/>
        </w:rPr>
        <w:t>most commonly confused</w:t>
      </w:r>
      <w:proofErr w:type="gramEnd"/>
      <w:r>
        <w:rPr>
          <w:rFonts w:ascii="Book Antiqua" w:eastAsia="Book Antiqua" w:hAnsi="Book Antiqua" w:cs="Book Antiqua"/>
          <w:color w:val="000000"/>
        </w:rPr>
        <w:t xml:space="preserve"> with MRH include rheumatoid arthritis and dermatomyositis. Here, we will summarize the key points that distinguish MRH from these two diseases based on relevant literature and clinical experience. Unlike rheumatoid arthritis, joint destruction in MRH is rapid, and the distal interphalangeal </w:t>
      </w:r>
      <w:r>
        <w:rPr>
          <w:rFonts w:ascii="Book Antiqua" w:eastAsia="Book Antiqua" w:hAnsi="Book Antiqua" w:cs="Book Antiqua"/>
          <w:color w:val="000000"/>
        </w:rPr>
        <w:lastRenderedPageBreak/>
        <w:t xml:space="preserve">joints can be involved during the early stages. MRH is mostly free of bone loss and abnormal new bone </w:t>
      </w:r>
      <w:proofErr w:type="gramStart"/>
      <w:r>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synovial biopsy can effectively distinguish MRH from rheumatoid arthritis (Table 1). Unlike dermatomyositis, the main skin lesions in MRH are </w:t>
      </w:r>
      <w:proofErr w:type="spellStart"/>
      <w:r>
        <w:rPr>
          <w:rFonts w:ascii="Book Antiqua" w:eastAsia="Book Antiqua" w:hAnsi="Book Antiqua" w:cs="Book Antiqua"/>
          <w:color w:val="000000"/>
        </w:rPr>
        <w:t>papular</w:t>
      </w:r>
      <w:proofErr w:type="spellEnd"/>
      <w:r>
        <w:rPr>
          <w:rFonts w:ascii="Book Antiqua" w:eastAsia="Book Antiqua" w:hAnsi="Book Antiqua" w:cs="Book Antiqua"/>
          <w:color w:val="000000"/>
        </w:rPr>
        <w:t xml:space="preserve"> nodules and macules, whereas </w:t>
      </w:r>
      <w:proofErr w:type="spellStart"/>
      <w:r>
        <w:rPr>
          <w:rFonts w:ascii="Book Antiqua" w:eastAsia="Book Antiqua" w:hAnsi="Book Antiqua" w:cs="Book Antiqua"/>
          <w:color w:val="000000"/>
          <w:shd w:val="clear" w:color="auto" w:fill="FFFFFF"/>
        </w:rPr>
        <w:t>Gottron</w:t>
      </w:r>
      <w:proofErr w:type="spellEnd"/>
      <w:r>
        <w:rPr>
          <w:rFonts w:ascii="Book Antiqua" w:eastAsia="Book Antiqua" w:hAnsi="Book Antiqua" w:cs="Book Antiqua"/>
          <w:color w:val="000000"/>
          <w:shd w:val="clear" w:color="auto" w:fill="FFFFFF"/>
        </w:rPr>
        <w:t xml:space="preserve"> papules, heliotrope rash, </w:t>
      </w:r>
      <w:proofErr w:type="spellStart"/>
      <w:r>
        <w:rPr>
          <w:rFonts w:ascii="Book Antiqua" w:eastAsia="Book Antiqua" w:hAnsi="Book Antiqua" w:cs="Book Antiqua"/>
          <w:color w:val="000000"/>
          <w:shd w:val="clear" w:color="auto" w:fill="FFFFFF"/>
        </w:rPr>
        <w:t>Gottron</w:t>
      </w:r>
      <w:proofErr w:type="spellEnd"/>
      <w:r>
        <w:rPr>
          <w:rFonts w:ascii="Book Antiqua" w:eastAsia="Book Antiqua" w:hAnsi="Book Antiqua" w:cs="Book Antiqua"/>
          <w:color w:val="000000"/>
          <w:shd w:val="clear" w:color="auto" w:fill="FFFFFF"/>
        </w:rPr>
        <w:t xml:space="preserve"> signs, erythema along the light site, heterochromia, nail fold changes, scalp involvement, and skin calcification </w:t>
      </w:r>
      <w:r>
        <w:rPr>
          <w:rFonts w:ascii="Book Antiqua" w:eastAsia="Book Antiqua" w:hAnsi="Book Antiqua" w:cs="Book Antiqua"/>
          <w:color w:val="000000"/>
        </w:rPr>
        <w:t xml:space="preserve">are observed in dermatomyositis. The histopathological manifestations of MRH consist of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histiocytes and multinucleated giant cells with an eosinophilic cytoplasm and hairy glass-like changes. In contrast, the histopathological manifestations of dermatomyositis are dominated by the sporadic or focal infiltration of lymphocytes, plasma cells, and histiocytes. Moreover, the musculoskeletal symptoms of MRH are featured as arthritis, whereas proximal muscle weakness is observed in </w:t>
      </w:r>
      <w:proofErr w:type="gramStart"/>
      <w:r>
        <w:rPr>
          <w:rFonts w:ascii="Book Antiqua" w:eastAsia="Book Antiqua" w:hAnsi="Book Antiqua" w:cs="Book Antiqua"/>
          <w:color w:val="000000"/>
        </w:rPr>
        <w:t>dermatomyositis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20,21] </w:t>
      </w:r>
      <w:r>
        <w:rPr>
          <w:rFonts w:ascii="Book Antiqua" w:eastAsia="Book Antiqua" w:hAnsi="Book Antiqua" w:cs="Book Antiqua"/>
          <w:color w:val="000000"/>
        </w:rPr>
        <w:t>(Table 2).</w:t>
      </w:r>
    </w:p>
    <w:p w14:paraId="2AB963CE" w14:textId="77777777" w:rsidR="00F119D2" w:rsidRDefault="00F119D2">
      <w:pPr>
        <w:spacing w:line="360" w:lineRule="auto"/>
        <w:jc w:val="both"/>
        <w:rPr>
          <w:rFonts w:ascii="Book Antiqua" w:hAnsi="Book Antiqua"/>
        </w:rPr>
      </w:pPr>
    </w:p>
    <w:p w14:paraId="2536960D" w14:textId="77777777" w:rsidR="00F119D2" w:rsidRDefault="008C5469">
      <w:pPr>
        <w:spacing w:line="360" w:lineRule="auto"/>
        <w:jc w:val="both"/>
        <w:rPr>
          <w:rFonts w:ascii="Book Antiqua" w:hAnsi="Book Antiqua"/>
          <w:i/>
          <w:iCs/>
        </w:rPr>
      </w:pPr>
      <w:r>
        <w:rPr>
          <w:rFonts w:ascii="Book Antiqua" w:eastAsia="Book Antiqua" w:hAnsi="Book Antiqua" w:cs="Book Antiqua"/>
          <w:b/>
          <w:bCs/>
          <w:i/>
          <w:iCs/>
          <w:color w:val="000000"/>
        </w:rPr>
        <w:t>Treatment and prognosis</w:t>
      </w:r>
    </w:p>
    <w:p w14:paraId="3A273DC0"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There is currently no consensus regarding the treatment of MRH, which mainly consists of empirical and individualized therapy. The initial treatment of MRH patients primarily consists of glucocorticoids combined with immunosuppressants regimens. Commonly used immunosuppressants include methotrexate, cyclophosphamide, hydroxychloroquine, and leflunomide. These combination regimens provide</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 xml:space="preserve">varying degrees of relief for the skin lesions and early joint symptoms; however, it is difficult to control joint erosion effectively. It has been reported that bisphosphonates can decrease monocyte/macrophage-osteoclast differentiation, promote osteoclastic apoptosis, and inhibit osteoclastic resorptive activity. Moreover, bisphosphonates are potent inhibitors of osteoclast activity and can effectively prevent joint </w:t>
      </w:r>
      <w:proofErr w:type="gramStart"/>
      <w:r>
        <w:rPr>
          <w:rFonts w:ascii="Book Antiqua" w:eastAsia="Book Antiqua" w:hAnsi="Book Antiqua" w:cs="Book Antiqua"/>
          <w:color w:val="000000"/>
        </w:rPr>
        <w:t>erosion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Bisphosphonates have also been reported to be effective for both skin and joint symptoms. The mechanism by which bisphosphonates improve skin symptom remains unclear.</w:t>
      </w:r>
    </w:p>
    <w:p w14:paraId="0E78BE1A" w14:textId="77777777" w:rsidR="00F119D2" w:rsidRDefault="008C5469">
      <w:pPr>
        <w:spacing w:line="360" w:lineRule="auto"/>
        <w:ind w:firstLine="480"/>
        <w:jc w:val="both"/>
        <w:rPr>
          <w:rFonts w:ascii="Book Antiqua" w:hAnsi="Book Antiqua"/>
        </w:rPr>
      </w:pPr>
      <w:r>
        <w:rPr>
          <w:rFonts w:ascii="Book Antiqua" w:eastAsia="Book Antiqua" w:hAnsi="Book Antiqua" w:cs="Book Antiqua"/>
          <w:color w:val="000000"/>
        </w:rPr>
        <w:t xml:space="preserve">As the study progressed, it was found that pro-inflammatory cytokines (TNF-α, IL-1β, IL-6, and IL-12) were overexpressed in the MRH skin lesions and levels of TNF-α, IL-1β, IL-6, and IL-8 were also elevated. However, their expression levels in the serum </w:t>
      </w:r>
      <w:r>
        <w:rPr>
          <w:rFonts w:ascii="Book Antiqua" w:eastAsia="Book Antiqua" w:hAnsi="Book Antiqua" w:cs="Book Antiqua"/>
          <w:color w:val="000000"/>
        </w:rPr>
        <w:lastRenderedPageBreak/>
        <w:t xml:space="preserve">were significantly increased after symptom relief by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Based on these theories, biological agents have been used for the treatment of MRH. The most commonly used biological agents are TNF-α antagonists (</w:t>
      </w:r>
      <w:r>
        <w:rPr>
          <w:rFonts w:ascii="Book Antiqua" w:eastAsia="Book Antiqua" w:hAnsi="Book Antiqua" w:cs="Book Antiqua"/>
          <w:i/>
          <w:iCs/>
          <w:color w:val="000000"/>
        </w:rPr>
        <w:t>e.g.,</w:t>
      </w:r>
      <w:r>
        <w:rPr>
          <w:rFonts w:ascii="Book Antiqua" w:eastAsia="Book Antiqua" w:hAnsi="Book Antiqua" w:cs="Book Antiqua"/>
          <w:color w:val="000000"/>
        </w:rPr>
        <w:t xml:space="preserve"> etanercept, adalimumab, and infliximab), IL-6 receptor antagonists (tocilizumab), and IL-1 receptor antagonists (anakinra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The effects of biological agents on the relief of skin and joint symptoms varied greatly among individuals. In addition, it is difficult to assess the superiority of one biological agent over another due to the low number of case reports. It has been reported that biological agents may be taken into consideration when first-line treatments are unable to achieve any effective disease control within 4–6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However, additional prospective investigations are required to standardize their application, including dosage, frequency, duration, and side effects.</w:t>
      </w:r>
    </w:p>
    <w:p w14:paraId="4921ACA2" w14:textId="77777777" w:rsidR="00F119D2" w:rsidRDefault="00F119D2">
      <w:pPr>
        <w:spacing w:line="360" w:lineRule="auto"/>
        <w:jc w:val="both"/>
        <w:rPr>
          <w:rFonts w:ascii="Book Antiqua" w:hAnsi="Book Antiqua"/>
        </w:rPr>
      </w:pPr>
    </w:p>
    <w:p w14:paraId="2BE89DBE" w14:textId="77777777" w:rsidR="00F119D2" w:rsidRDefault="008C5469">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5F8422A"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MRH is a rare non-Langerhans histiocytosis of unknown etiology with the characteristic clinical features of papulonodular skin lesions and progressive, destructive arthritis. MRH can also co-exist or be confused with a variety of systemic autoimmune diseases. Moreover, MRH may also be associated with</w:t>
      </w:r>
      <w:r>
        <w:rPr>
          <w:rFonts w:ascii="Book Antiqua" w:eastAsia="Book Antiqua" w:hAnsi="Book Antiqua" w:cs="Book Antiqua"/>
          <w:color w:val="000000"/>
          <w:shd w:val="clear" w:color="auto" w:fill="EEEEEE"/>
        </w:rPr>
        <w:t xml:space="preserve"> </w:t>
      </w:r>
      <w:r>
        <w:rPr>
          <w:rFonts w:ascii="Book Antiqua" w:eastAsia="Book Antiqua" w:hAnsi="Book Antiqua" w:cs="Book Antiqua"/>
          <w:color w:val="000000"/>
        </w:rPr>
        <w:t xml:space="preserve">various types of malignancies. Laboratory tests are not </w:t>
      </w:r>
      <w:proofErr w:type="gramStart"/>
      <w:r>
        <w:rPr>
          <w:rFonts w:ascii="Book Antiqua" w:eastAsia="Book Antiqua" w:hAnsi="Book Antiqua" w:cs="Book Antiqua"/>
          <w:color w:val="000000"/>
        </w:rPr>
        <w:t>specific</w:t>
      </w:r>
      <w:proofErr w:type="gramEnd"/>
      <w:r>
        <w:rPr>
          <w:rFonts w:ascii="Book Antiqua" w:eastAsia="Book Antiqua" w:hAnsi="Book Antiqua" w:cs="Book Antiqua"/>
          <w:color w:val="000000"/>
        </w:rPr>
        <w:t xml:space="preserve"> and the diagnosis is primarily based on skin or synovial tissue biopsies. Histopathological analyses revealed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histiocytes and multinucleated giant cells with an eosinophilic cytoplasm and hairy glass-like changes. The immunohistochemical analysis indicates that the samples were positive for the macrophage marker, CD68, but negative for the Langerhans cell tissue markers, S-100, CD1a, as well as B cell markers CD19 and CD20. Most initial treatment for MRH consists of a combined regimen of glucocorticoids and immunosuppressants. Recently, while biological agents have been gradually used to treat MRH, an evaluation of the long-term efficacy and safety requires further evaluation. This case is representative of </w:t>
      </w:r>
      <w:proofErr w:type="gramStart"/>
      <w:r>
        <w:rPr>
          <w:rFonts w:ascii="Book Antiqua" w:eastAsia="Book Antiqua" w:hAnsi="Book Antiqua" w:cs="Book Antiqua"/>
          <w:color w:val="000000"/>
        </w:rPr>
        <w:t>MRH</w:t>
      </w:r>
      <w:proofErr w:type="gramEnd"/>
      <w:r>
        <w:rPr>
          <w:rFonts w:ascii="Book Antiqua" w:eastAsia="Book Antiqua" w:hAnsi="Book Antiqua" w:cs="Book Antiqua"/>
          <w:color w:val="000000"/>
        </w:rPr>
        <w:t xml:space="preserve"> and we also summarized the characteristics of MRH (Table 3) compared to common differential diagnoses (</w:t>
      </w:r>
      <w:r>
        <w:rPr>
          <w:rFonts w:ascii="Book Antiqua" w:eastAsia="Book Antiqua" w:hAnsi="Book Antiqua" w:cs="Book Antiqua"/>
          <w:i/>
          <w:iCs/>
          <w:color w:val="000000"/>
        </w:rPr>
        <w:t>e.g.,</w:t>
      </w:r>
      <w:r>
        <w:rPr>
          <w:rFonts w:ascii="Book Antiqua" w:eastAsia="Book Antiqua" w:hAnsi="Book Antiqua" w:cs="Book Antiqua"/>
          <w:color w:val="000000"/>
        </w:rPr>
        <w:t xml:space="preserve"> rheumatoid arthritis and dermatomyositis). We hope that our work will help clinicians better identify and treat this disease in the </w:t>
      </w:r>
      <w:r>
        <w:rPr>
          <w:rFonts w:ascii="Book Antiqua" w:eastAsia="Book Antiqua" w:hAnsi="Book Antiqua" w:cs="Book Antiqua"/>
          <w:color w:val="000000"/>
        </w:rPr>
        <w:lastRenderedPageBreak/>
        <w:t>absence of epidemiological studies or randomized controlled data. The incidence of MRH is higher in Europe than in Asia according to existing reports; however, no significant differences have been found regarding clinical features, and prognosis between the two regions. Therefore, we will continue to pay attention to this disease in the future.</w:t>
      </w:r>
    </w:p>
    <w:p w14:paraId="700F0B50" w14:textId="77777777" w:rsidR="00F119D2" w:rsidRDefault="00F119D2">
      <w:pPr>
        <w:spacing w:line="360" w:lineRule="auto"/>
        <w:jc w:val="both"/>
        <w:rPr>
          <w:rFonts w:ascii="Book Antiqua" w:hAnsi="Book Antiqua"/>
        </w:rPr>
      </w:pPr>
    </w:p>
    <w:p w14:paraId="0C31F5E6"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REFERENCES</w:t>
      </w:r>
    </w:p>
    <w:p w14:paraId="73B33984"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Tajirian</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Malik MK, Robinson-</w:t>
      </w:r>
      <w:proofErr w:type="spellStart"/>
      <w:r>
        <w:rPr>
          <w:rFonts w:ascii="Book Antiqua" w:eastAsia="Book Antiqua" w:hAnsi="Book Antiqua" w:cs="Book Antiqua"/>
          <w:color w:val="000000"/>
        </w:rPr>
        <w:t>Bostom</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Lally</w:t>
      </w:r>
      <w:proofErr w:type="spellEnd"/>
      <w:r>
        <w:rPr>
          <w:rFonts w:ascii="Book Antiqua" w:eastAsia="Book Antiqua" w:hAnsi="Book Antiqua" w:cs="Book Antiqua"/>
          <w:color w:val="000000"/>
        </w:rPr>
        <w:t xml:space="preserve"> EV.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Clin Dermatol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486-492 [PMID: 17113966 DOI: 10.1016/j.clindermatol.2006.07.010]</w:t>
      </w:r>
    </w:p>
    <w:p w14:paraId="3DB2694D"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Adamopoulos</w:t>
      </w:r>
      <w:proofErr w:type="spellEnd"/>
      <w:r>
        <w:rPr>
          <w:rFonts w:ascii="Book Antiqua" w:eastAsia="Book Antiqua" w:hAnsi="Book Antiqua" w:cs="Book Antiqua"/>
          <w:b/>
          <w:bCs/>
          <w:color w:val="000000"/>
        </w:rPr>
        <w:t xml:space="preserve"> IE</w:t>
      </w:r>
      <w:r>
        <w:rPr>
          <w:rFonts w:ascii="Book Antiqua" w:eastAsia="Book Antiqua" w:hAnsi="Book Antiqua" w:cs="Book Antiqua"/>
          <w:color w:val="000000"/>
        </w:rPr>
        <w:t xml:space="preserve">, Wordsworth PB, Edwards JR, Ferguson DJ, </w:t>
      </w:r>
      <w:proofErr w:type="spellStart"/>
      <w:r>
        <w:rPr>
          <w:rFonts w:ascii="Book Antiqua" w:eastAsia="Book Antiqua" w:hAnsi="Book Antiqua" w:cs="Book Antiqua"/>
          <w:color w:val="000000"/>
        </w:rPr>
        <w:t>Athanasou</w:t>
      </w:r>
      <w:proofErr w:type="spellEnd"/>
      <w:r>
        <w:rPr>
          <w:rFonts w:ascii="Book Antiqua" w:eastAsia="Book Antiqua" w:hAnsi="Book Antiqua" w:cs="Book Antiqua"/>
          <w:color w:val="000000"/>
        </w:rPr>
        <w:t xml:space="preserve"> NA. Osteoclast differentiation and bone resorption in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37</w:t>
      </w:r>
      <w:r>
        <w:rPr>
          <w:rFonts w:ascii="Book Antiqua" w:eastAsia="Book Antiqua" w:hAnsi="Book Antiqua" w:cs="Book Antiqua"/>
          <w:color w:val="000000"/>
        </w:rPr>
        <w:t>: 1176-1185 [PMID: 16938523 DOI: 10.1016/j.humpath.2006.04.007]</w:t>
      </w:r>
    </w:p>
    <w:p w14:paraId="007E7BA1"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Selmi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Greenspan A, Huntley A, Gershwin ME.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a critical review.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511 [PMID: 25900189 DOI: 10.1007/s11926-015-0511-6]</w:t>
      </w:r>
    </w:p>
    <w:p w14:paraId="0F597C00"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Barrow MV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Holubar</w:t>
      </w:r>
      <w:proofErr w:type="spellEnd"/>
      <w:r>
        <w:rPr>
          <w:rFonts w:ascii="Book Antiqua" w:eastAsia="Book Antiqua" w:hAnsi="Book Antiqua" w:cs="Book Antiqua"/>
          <w:color w:val="000000"/>
        </w:rPr>
        <w:t xml:space="preserve"> K.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A review of 33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1969; </w:t>
      </w:r>
      <w:r>
        <w:rPr>
          <w:rFonts w:ascii="Book Antiqua" w:eastAsia="Book Antiqua" w:hAnsi="Book Antiqua" w:cs="Book Antiqua"/>
          <w:b/>
          <w:bCs/>
          <w:color w:val="000000"/>
        </w:rPr>
        <w:t>48</w:t>
      </w:r>
      <w:r>
        <w:rPr>
          <w:rFonts w:ascii="Book Antiqua" w:eastAsia="Book Antiqua" w:hAnsi="Book Antiqua" w:cs="Book Antiqua"/>
          <w:color w:val="000000"/>
        </w:rPr>
        <w:t>: 287-305 [PMID: 4895722]</w:t>
      </w:r>
    </w:p>
    <w:p w14:paraId="76F6BB6E"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Lu YY</w:t>
      </w:r>
      <w:r>
        <w:rPr>
          <w:rFonts w:ascii="Book Antiqua" w:eastAsia="Book Antiqua" w:hAnsi="Book Antiqua" w:cs="Book Antiqua"/>
          <w:color w:val="000000"/>
        </w:rPr>
        <w:t xml:space="preserve">, Lu CC, Wu CH. Leonine facies in the cutaneous form of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2069-2070 [PMID: 22864143 DOI: 10.2169/internalmedicine.51.8119]</w:t>
      </w:r>
    </w:p>
    <w:p w14:paraId="72814F79"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Gold RH</w:t>
      </w:r>
      <w:r>
        <w:rPr>
          <w:rFonts w:ascii="Book Antiqua" w:eastAsia="Book Antiqua" w:hAnsi="Book Antiqua" w:cs="Book Antiqua"/>
          <w:color w:val="000000"/>
        </w:rPr>
        <w:t xml:space="preserve">, Metzger AL, </w:t>
      </w:r>
      <w:proofErr w:type="spellStart"/>
      <w:r>
        <w:rPr>
          <w:rFonts w:ascii="Book Antiqua" w:eastAsia="Book Antiqua" w:hAnsi="Book Antiqua" w:cs="Book Antiqua"/>
          <w:color w:val="000000"/>
        </w:rPr>
        <w:t>Mirra</w:t>
      </w:r>
      <w:proofErr w:type="spellEnd"/>
      <w:r>
        <w:rPr>
          <w:rFonts w:ascii="Book Antiqua" w:eastAsia="Book Antiqua" w:hAnsi="Book Antiqua" w:cs="Book Antiqua"/>
          <w:color w:val="000000"/>
        </w:rPr>
        <w:t xml:space="preserve"> JM, Weinberger HJ, Killebrew K.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(lipoid dermato-arthritis). An erosive polyarthritis with distinctive clinical, roentgenographic and pathologic features.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i/>
          <w:iCs/>
          <w:color w:val="000000"/>
        </w:rPr>
        <w:t xml:space="preserve"> Radium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1975; </w:t>
      </w:r>
      <w:r>
        <w:rPr>
          <w:rFonts w:ascii="Book Antiqua" w:eastAsia="Book Antiqua" w:hAnsi="Book Antiqua" w:cs="Book Antiqua"/>
          <w:b/>
          <w:bCs/>
          <w:color w:val="000000"/>
        </w:rPr>
        <w:t>124</w:t>
      </w:r>
      <w:r>
        <w:rPr>
          <w:rFonts w:ascii="Book Antiqua" w:eastAsia="Book Antiqua" w:hAnsi="Book Antiqua" w:cs="Book Antiqua"/>
          <w:color w:val="000000"/>
        </w:rPr>
        <w:t>: 610-624 [PMID: 1163724 DOI: 10.2214/ajr.124.4.610]</w:t>
      </w:r>
    </w:p>
    <w:p w14:paraId="65D2DBC0"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Saibaba B</w:t>
      </w:r>
      <w:r>
        <w:rPr>
          <w:rFonts w:ascii="Book Antiqua" w:eastAsia="Book Antiqua" w:hAnsi="Book Antiqua" w:cs="Book Antiqua"/>
          <w:color w:val="000000"/>
        </w:rPr>
        <w:t xml:space="preserve">, Sen RK, Das A, Sharma A. Bilateral Total Hip Arthroplasty in a Rare Case of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509-514 [PMID: 26640636 DOI: 10.4055/cios.2015.7.4.509]</w:t>
      </w:r>
    </w:p>
    <w:p w14:paraId="65454C42"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Bogle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Tschen</w:t>
      </w:r>
      <w:proofErr w:type="spellEnd"/>
      <w:r>
        <w:rPr>
          <w:rFonts w:ascii="Book Antiqua" w:eastAsia="Book Antiqua" w:hAnsi="Book Antiqua" w:cs="Book Antiqua"/>
          <w:color w:val="000000"/>
        </w:rPr>
        <w:t xml:space="preserve"> JA, Sairam S, </w:t>
      </w:r>
      <w:proofErr w:type="spellStart"/>
      <w:r>
        <w:rPr>
          <w:rFonts w:ascii="Book Antiqua" w:eastAsia="Book Antiqua" w:hAnsi="Book Antiqua" w:cs="Book Antiqua"/>
          <w:color w:val="000000"/>
        </w:rPr>
        <w:t>McNearney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Orsak</w:t>
      </w:r>
      <w:proofErr w:type="spellEnd"/>
      <w:r>
        <w:rPr>
          <w:rFonts w:ascii="Book Antiqua" w:eastAsia="Book Antiqua" w:hAnsi="Book Antiqua" w:cs="Book Antiqua"/>
          <w:color w:val="000000"/>
        </w:rPr>
        <w:t xml:space="preserve"> G, Knox JM.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with pulmonary involvement.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49</w:t>
      </w:r>
      <w:r>
        <w:rPr>
          <w:rFonts w:ascii="Book Antiqua" w:eastAsia="Book Antiqua" w:hAnsi="Book Antiqua" w:cs="Book Antiqua"/>
          <w:color w:val="000000"/>
        </w:rPr>
        <w:t>: 1125-1127 [PMID: 14639398 DOI: 10.1016/s0190-9622(03)00036-7]</w:t>
      </w:r>
    </w:p>
    <w:p w14:paraId="2E8B7551"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Yee KC</w:t>
      </w:r>
      <w:r>
        <w:rPr>
          <w:rFonts w:ascii="Book Antiqua" w:eastAsia="Book Antiqua" w:hAnsi="Book Antiqua" w:cs="Book Antiqua"/>
          <w:color w:val="000000"/>
        </w:rPr>
        <w:t xml:space="preserve">, Bowker CM, Tan CY, Palmer RG. Cardiac and systemic complications in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1993; </w:t>
      </w:r>
      <w:r>
        <w:rPr>
          <w:rFonts w:ascii="Book Antiqua" w:eastAsia="Book Antiqua" w:hAnsi="Book Antiqua" w:cs="Book Antiqua"/>
          <w:b/>
          <w:bCs/>
          <w:color w:val="000000"/>
        </w:rPr>
        <w:t>18</w:t>
      </w:r>
      <w:r>
        <w:rPr>
          <w:rFonts w:ascii="Book Antiqua" w:eastAsia="Book Antiqua" w:hAnsi="Book Antiqua" w:cs="Book Antiqua"/>
          <w:color w:val="000000"/>
        </w:rPr>
        <w:t>: 555-558 [PMID: 8252797 DOI: 10.1111/j.1365-</w:t>
      </w:r>
      <w:proofErr w:type="gramStart"/>
      <w:r>
        <w:rPr>
          <w:rFonts w:ascii="Book Antiqua" w:eastAsia="Book Antiqua" w:hAnsi="Book Antiqua" w:cs="Book Antiqua"/>
          <w:color w:val="000000"/>
        </w:rPr>
        <w:t>2230.1993.tb</w:t>
      </w:r>
      <w:proofErr w:type="gramEnd"/>
      <w:r>
        <w:rPr>
          <w:rFonts w:ascii="Book Antiqua" w:eastAsia="Book Antiqua" w:hAnsi="Book Antiqua" w:cs="Book Antiqua"/>
          <w:color w:val="000000"/>
        </w:rPr>
        <w:t>01030.x]</w:t>
      </w:r>
    </w:p>
    <w:p w14:paraId="37206923"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Finelli</w:t>
      </w:r>
      <w:proofErr w:type="spellEnd"/>
      <w:r>
        <w:rPr>
          <w:rFonts w:ascii="Book Antiqua" w:eastAsia="Book Antiqua" w:hAnsi="Book Antiqua" w:cs="Book Antiqua"/>
          <w:b/>
          <w:bCs/>
          <w:color w:val="000000"/>
        </w:rPr>
        <w:t xml:space="preserve"> LG</w:t>
      </w:r>
      <w:r>
        <w:rPr>
          <w:rFonts w:ascii="Book Antiqua" w:eastAsia="Book Antiqua" w:hAnsi="Book Antiqua" w:cs="Book Antiqua"/>
          <w:color w:val="000000"/>
        </w:rPr>
        <w:t xml:space="preserve">, Tenner LK, </w:t>
      </w:r>
      <w:proofErr w:type="spellStart"/>
      <w:r>
        <w:rPr>
          <w:rFonts w:ascii="Book Antiqua" w:eastAsia="Book Antiqua" w:hAnsi="Book Antiqua" w:cs="Book Antiqua"/>
          <w:color w:val="000000"/>
        </w:rPr>
        <w:t>Ratz</w:t>
      </w:r>
      <w:proofErr w:type="spellEnd"/>
      <w:r>
        <w:rPr>
          <w:rFonts w:ascii="Book Antiqua" w:eastAsia="Book Antiqua" w:hAnsi="Book Antiqua" w:cs="Book Antiqua"/>
          <w:color w:val="000000"/>
        </w:rPr>
        <w:t xml:space="preserve"> JL, Long BD. A case of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with thyroid involvement.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1986; </w:t>
      </w:r>
      <w:r>
        <w:rPr>
          <w:rFonts w:ascii="Book Antiqua" w:eastAsia="Book Antiqua" w:hAnsi="Book Antiqua" w:cs="Book Antiqua"/>
          <w:b/>
          <w:bCs/>
          <w:color w:val="000000"/>
        </w:rPr>
        <w:t>15</w:t>
      </w:r>
      <w:r>
        <w:rPr>
          <w:rFonts w:ascii="Book Antiqua" w:eastAsia="Book Antiqua" w:hAnsi="Book Antiqua" w:cs="Book Antiqua"/>
          <w:color w:val="000000"/>
        </w:rPr>
        <w:t>: 1097-1100 [PMID: 3771858 DOI: 10.1016/s0190-9622(86)70272-7]</w:t>
      </w:r>
    </w:p>
    <w:p w14:paraId="716E2CD8"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Toz</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Büyükbabani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İnanç</w:t>
      </w:r>
      <w:proofErr w:type="spellEnd"/>
      <w:r>
        <w:rPr>
          <w:rFonts w:ascii="Book Antiqua" w:eastAsia="Book Antiqua" w:hAnsi="Book Antiqua" w:cs="Book Antiqua"/>
          <w:color w:val="000000"/>
        </w:rPr>
        <w:t xml:space="preserve"> M.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Rheumatology perspective.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250-260 [PMID: 27886798 DOI: 10.1016/j.berh.2016.07.002]</w:t>
      </w:r>
    </w:p>
    <w:p w14:paraId="2ABB3F19"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Rentsch</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Martin EM, Harrison LC, Wicks IP. Prolonged response of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to low dose methotrexate.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25</w:t>
      </w:r>
      <w:r>
        <w:rPr>
          <w:rFonts w:ascii="Book Antiqua" w:eastAsia="Book Antiqua" w:hAnsi="Book Antiqua" w:cs="Book Antiqua"/>
          <w:color w:val="000000"/>
        </w:rPr>
        <w:t>: 1012-1015 [PMID: 9598911]</w:t>
      </w:r>
    </w:p>
    <w:p w14:paraId="6C7079D2"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Trotta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Colina</w:t>
      </w:r>
      <w:proofErr w:type="spellEnd"/>
      <w:r>
        <w:rPr>
          <w:rFonts w:ascii="Book Antiqua" w:eastAsia="Book Antiqua" w:hAnsi="Book Antiqua" w:cs="Book Antiqua"/>
          <w:color w:val="000000"/>
        </w:rPr>
        <w:t xml:space="preserve"> M.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and fibroblastic rheumatism.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543-557 [PMID: 23040366 DOI: 10.1016/j.berh.2012.07.006]</w:t>
      </w:r>
    </w:p>
    <w:p w14:paraId="31FE6207"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Luz FB</w:t>
      </w:r>
      <w:r>
        <w:rPr>
          <w:rFonts w:ascii="Book Antiqua" w:eastAsia="Book Antiqua" w:hAnsi="Book Antiqua" w:cs="Book Antiqua"/>
          <w:color w:val="000000"/>
        </w:rPr>
        <w:t xml:space="preserve">, Gaspar AP, Ramos-e-Silva M, Carvalho da Fonseca E, Villar EG, </w:t>
      </w:r>
      <w:proofErr w:type="spellStart"/>
      <w:r>
        <w:rPr>
          <w:rFonts w:ascii="Book Antiqua" w:eastAsia="Book Antiqua" w:hAnsi="Book Antiqua" w:cs="Book Antiqua"/>
          <w:color w:val="000000"/>
        </w:rPr>
        <w:t>Cordovil</w:t>
      </w:r>
      <w:proofErr w:type="spellEnd"/>
      <w:r>
        <w:rPr>
          <w:rFonts w:ascii="Book Antiqua" w:eastAsia="Book Antiqua" w:hAnsi="Book Antiqua" w:cs="Book Antiqua"/>
          <w:color w:val="000000"/>
        </w:rPr>
        <w:t xml:space="preserve"> Pires AR, </w:t>
      </w:r>
      <w:proofErr w:type="spellStart"/>
      <w:r>
        <w:rPr>
          <w:rFonts w:ascii="Book Antiqua" w:eastAsia="Book Antiqua" w:hAnsi="Book Antiqua" w:cs="Book Antiqua"/>
          <w:color w:val="000000"/>
        </w:rPr>
        <w:t>Kalil</w:t>
      </w:r>
      <w:proofErr w:type="spellEnd"/>
      <w:r>
        <w:rPr>
          <w:rFonts w:ascii="Book Antiqua" w:eastAsia="Book Antiqua" w:hAnsi="Book Antiqua" w:cs="Book Antiqua"/>
          <w:color w:val="000000"/>
        </w:rPr>
        <w:t xml:space="preserve">-Gaspar N. Immunohistochemical profile of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Skinmed</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w:t>
      </w:r>
      <w:r>
        <w:rPr>
          <w:rFonts w:ascii="Book Antiqua" w:eastAsia="Book Antiqua" w:hAnsi="Book Antiqua" w:cs="Book Antiqua"/>
          <w:color w:val="000000"/>
        </w:rPr>
        <w:t>: 71-77 [PMID: 15785133 DOI: 10.1111/j.1540-9740.</w:t>
      </w:r>
      <w:proofErr w:type="gramStart"/>
      <w:r>
        <w:rPr>
          <w:rFonts w:ascii="Book Antiqua" w:eastAsia="Book Antiqua" w:hAnsi="Book Antiqua" w:cs="Book Antiqua"/>
          <w:color w:val="000000"/>
        </w:rPr>
        <w:t>2005.03415.x</w:t>
      </w:r>
      <w:proofErr w:type="gramEnd"/>
      <w:r>
        <w:rPr>
          <w:rFonts w:ascii="Book Antiqua" w:eastAsia="Book Antiqua" w:hAnsi="Book Antiqua" w:cs="Book Antiqua"/>
          <w:color w:val="000000"/>
        </w:rPr>
        <w:t>]</w:t>
      </w:r>
    </w:p>
    <w:p w14:paraId="07038063"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Gorman JD</w:t>
      </w:r>
      <w:r>
        <w:rPr>
          <w:rFonts w:ascii="Book Antiqua" w:eastAsia="Book Antiqua" w:hAnsi="Book Antiqua" w:cs="Book Antiqua"/>
          <w:color w:val="000000"/>
        </w:rPr>
        <w:t xml:space="preserve">, Danning C, Schumacher HR, Klippel JH, Davis JC Jr.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case report with immunohistochemical analysis and literature review.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2000; </w:t>
      </w:r>
      <w:r>
        <w:rPr>
          <w:rFonts w:ascii="Book Antiqua" w:eastAsia="Book Antiqua" w:hAnsi="Book Antiqua" w:cs="Book Antiqua"/>
          <w:b/>
          <w:bCs/>
          <w:color w:val="000000"/>
        </w:rPr>
        <w:t>43</w:t>
      </w:r>
      <w:r>
        <w:rPr>
          <w:rFonts w:ascii="Book Antiqua" w:eastAsia="Book Antiqua" w:hAnsi="Book Antiqua" w:cs="Book Antiqua"/>
          <w:color w:val="000000"/>
        </w:rPr>
        <w:t>: 930-938 [PMID: 10765941 DOI: 10.1002/1529-0131(200004)43:4&lt;</w:t>
      </w:r>
      <w:proofErr w:type="gramStart"/>
      <w:r>
        <w:rPr>
          <w:rFonts w:ascii="Book Antiqua" w:eastAsia="Book Antiqua" w:hAnsi="Book Antiqua" w:cs="Book Antiqua"/>
          <w:color w:val="000000"/>
        </w:rPr>
        <w:t>930::</w:t>
      </w:r>
      <w:proofErr w:type="gramEnd"/>
      <w:r>
        <w:rPr>
          <w:rFonts w:ascii="Book Antiqua" w:eastAsia="Book Antiqua" w:hAnsi="Book Antiqua" w:cs="Book Antiqua"/>
          <w:color w:val="000000"/>
        </w:rPr>
        <w:t>AID-ANR27&gt;3.0.CO;2-A]</w:t>
      </w:r>
    </w:p>
    <w:p w14:paraId="2C610146"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Saito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Awazu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Nakayamada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Y, Ota T, Tanaka Y. A case of systemic lupus erythematosus complicated with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(MRH): successful treatment of MRH and lupus nephritis with cyclosporin A.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2001; </w:t>
      </w:r>
      <w:r>
        <w:rPr>
          <w:rFonts w:ascii="Book Antiqua" w:eastAsia="Book Antiqua" w:hAnsi="Book Antiqua" w:cs="Book Antiqua"/>
          <w:b/>
          <w:bCs/>
          <w:color w:val="000000"/>
        </w:rPr>
        <w:t>10</w:t>
      </w:r>
      <w:r>
        <w:rPr>
          <w:rFonts w:ascii="Book Antiqua" w:eastAsia="Book Antiqua" w:hAnsi="Book Antiqua" w:cs="Book Antiqua"/>
          <w:color w:val="000000"/>
        </w:rPr>
        <w:t>: 129-132 [PMID: 11237126 DOI: 10.1191/096120301667980435]</w:t>
      </w:r>
    </w:p>
    <w:p w14:paraId="207AB3D2"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Morris-Jones R</w:t>
      </w:r>
      <w:r>
        <w:rPr>
          <w:rFonts w:ascii="Book Antiqua" w:eastAsia="Book Antiqua" w:hAnsi="Book Antiqua" w:cs="Book Antiqua"/>
          <w:color w:val="000000"/>
        </w:rPr>
        <w:t xml:space="preserve">, Walker M, Hardman C.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associated with </w:t>
      </w:r>
      <w:proofErr w:type="spellStart"/>
      <w:r>
        <w:rPr>
          <w:rFonts w:ascii="Book Antiqua" w:eastAsia="Book Antiqua" w:hAnsi="Book Antiqua" w:cs="Book Antiqua"/>
          <w:color w:val="000000"/>
        </w:rPr>
        <w:t>Sjögren's</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143</w:t>
      </w:r>
      <w:r>
        <w:rPr>
          <w:rFonts w:ascii="Book Antiqua" w:eastAsia="Book Antiqua" w:hAnsi="Book Antiqua" w:cs="Book Antiqua"/>
          <w:color w:val="000000"/>
        </w:rPr>
        <w:t>: 649-650 [PMID: 10971349 DOI: 10.1111/j.1365-2133.</w:t>
      </w:r>
      <w:proofErr w:type="gramStart"/>
      <w:r>
        <w:rPr>
          <w:rFonts w:ascii="Book Antiqua" w:eastAsia="Book Antiqua" w:hAnsi="Book Antiqua" w:cs="Book Antiqua"/>
          <w:color w:val="000000"/>
        </w:rPr>
        <w:t>2000.03730.x</w:t>
      </w:r>
      <w:proofErr w:type="gramEnd"/>
      <w:r>
        <w:rPr>
          <w:rFonts w:ascii="Book Antiqua" w:eastAsia="Book Antiqua" w:hAnsi="Book Antiqua" w:cs="Book Antiqua"/>
          <w:color w:val="000000"/>
        </w:rPr>
        <w:t>]</w:t>
      </w:r>
    </w:p>
    <w:p w14:paraId="1E514D84"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Hinchman</w:t>
      </w:r>
      <w:proofErr w:type="spellEnd"/>
      <w:r>
        <w:rPr>
          <w:rFonts w:ascii="Book Antiqua" w:eastAsia="Book Antiqua" w:hAnsi="Book Antiqua" w:cs="Book Antiqua"/>
          <w:b/>
          <w:bCs/>
          <w:color w:val="000000"/>
        </w:rPr>
        <w:t xml:space="preserve"> KF</w:t>
      </w:r>
      <w:r>
        <w:rPr>
          <w:rFonts w:ascii="Book Antiqua" w:eastAsia="Book Antiqua" w:hAnsi="Book Antiqua" w:cs="Book Antiqua"/>
          <w:color w:val="000000"/>
        </w:rPr>
        <w:t xml:space="preserve">, Wu JJ, </w:t>
      </w:r>
      <w:proofErr w:type="spellStart"/>
      <w:r>
        <w:rPr>
          <w:rFonts w:ascii="Book Antiqua" w:eastAsia="Book Antiqua" w:hAnsi="Book Antiqua" w:cs="Book Antiqua"/>
          <w:color w:val="000000"/>
        </w:rPr>
        <w:t>Soden</w:t>
      </w:r>
      <w:proofErr w:type="spellEnd"/>
      <w:r>
        <w:rPr>
          <w:rFonts w:ascii="Book Antiqua" w:eastAsia="Book Antiqua" w:hAnsi="Book Antiqua" w:cs="Book Antiqua"/>
          <w:color w:val="000000"/>
        </w:rPr>
        <w:t xml:space="preserve"> CE Jr, Waldman J, Dyson SW.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associated with Burkitt lymphoma and adenocarcinoma. </w:t>
      </w:r>
      <w:r>
        <w:rPr>
          <w:rFonts w:ascii="Book Antiqua" w:eastAsia="Book Antiqua" w:hAnsi="Book Antiqua" w:cs="Book Antiqua"/>
          <w:i/>
          <w:iCs/>
          <w:color w:val="000000"/>
        </w:rPr>
        <w:t>Cutis</w:t>
      </w:r>
      <w:r>
        <w:rPr>
          <w:rFonts w:ascii="Book Antiqua" w:eastAsia="Book Antiqua" w:hAnsi="Book Antiqua" w:cs="Book Antiqua"/>
          <w:color w:val="000000"/>
        </w:rPr>
        <w:t xml:space="preserve"> 2008; </w:t>
      </w:r>
      <w:r>
        <w:rPr>
          <w:rFonts w:ascii="Book Antiqua" w:eastAsia="Book Antiqua" w:hAnsi="Book Antiqua" w:cs="Book Antiqua"/>
          <w:b/>
          <w:bCs/>
          <w:color w:val="000000"/>
        </w:rPr>
        <w:t>82</w:t>
      </w:r>
      <w:r>
        <w:rPr>
          <w:rFonts w:ascii="Book Antiqua" w:eastAsia="Book Antiqua" w:hAnsi="Book Antiqua" w:cs="Book Antiqua"/>
          <w:color w:val="000000"/>
        </w:rPr>
        <w:t>: 113-114 [PMID: 18792542]</w:t>
      </w:r>
    </w:p>
    <w:p w14:paraId="30178CB5"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Islam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Naguwa</w:t>
      </w:r>
      <w:proofErr w:type="spellEnd"/>
      <w:r>
        <w:rPr>
          <w:rFonts w:ascii="Book Antiqua" w:eastAsia="Book Antiqua" w:hAnsi="Book Antiqua" w:cs="Book Antiqua"/>
          <w:color w:val="000000"/>
        </w:rPr>
        <w:t xml:space="preserve"> SM, Cheema GS, Hunter JC, Gershwin ME.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a rare yet challenging disease. </w:t>
      </w:r>
      <w:r>
        <w:rPr>
          <w:rFonts w:ascii="Book Antiqua" w:eastAsia="Book Antiqua" w:hAnsi="Book Antiqua" w:cs="Book Antiqua"/>
          <w:i/>
          <w:iCs/>
          <w:color w:val="000000"/>
        </w:rPr>
        <w:t>Clin Rev Allergy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281-289 [PMID: 23417597 DOI: 10.1007/s12016-013-8362-2]</w:t>
      </w:r>
    </w:p>
    <w:p w14:paraId="127DC7BC"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Baek</w:t>
      </w:r>
      <w:proofErr w:type="spellEnd"/>
      <w:r>
        <w:rPr>
          <w:rFonts w:ascii="Book Antiqua" w:eastAsia="Book Antiqua" w:hAnsi="Book Antiqua" w:cs="Book Antiqua"/>
          <w:b/>
          <w:bCs/>
          <w:color w:val="000000"/>
        </w:rPr>
        <w:t xml:space="preserve"> IW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SH, Yang H, Park J, Kim KJ, Cho CS. A case of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165-168 [PMID: 25211404 DOI: 10.3109/14397595.2014.952702]</w:t>
      </w:r>
    </w:p>
    <w:p w14:paraId="7E6431D0"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Hsiung</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Chan EF, </w:t>
      </w:r>
      <w:proofErr w:type="spellStart"/>
      <w:r>
        <w:rPr>
          <w:rFonts w:ascii="Book Antiqua" w:eastAsia="Book Antiqua" w:hAnsi="Book Antiqua" w:cs="Book Antiqua"/>
          <w:color w:val="000000"/>
        </w:rPr>
        <w:t>Elenitsas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Kolasinski</w:t>
      </w:r>
      <w:proofErr w:type="spellEnd"/>
      <w:r>
        <w:rPr>
          <w:rFonts w:ascii="Book Antiqua" w:eastAsia="Book Antiqua" w:hAnsi="Book Antiqua" w:cs="Book Antiqua"/>
          <w:color w:val="000000"/>
        </w:rPr>
        <w:t xml:space="preserve"> SL, Schumacher HR, Werth VP.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presenting with clinical features of dermatomyositis.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48</w:t>
      </w:r>
      <w:r>
        <w:rPr>
          <w:rFonts w:ascii="Book Antiqua" w:eastAsia="Book Antiqua" w:hAnsi="Book Antiqua" w:cs="Book Antiqua"/>
          <w:color w:val="000000"/>
        </w:rPr>
        <w:t>: S11-S14 [PMID: 12582374 DOI: 10.1067/mjd.2003.126]</w:t>
      </w:r>
    </w:p>
    <w:p w14:paraId="64D7F371"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Broadwell AW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Calamia</w:t>
      </w:r>
      <w:proofErr w:type="spellEnd"/>
      <w:r>
        <w:rPr>
          <w:rFonts w:ascii="Book Antiqua" w:eastAsia="Book Antiqua" w:hAnsi="Book Antiqua" w:cs="Book Antiqua"/>
          <w:color w:val="000000"/>
        </w:rPr>
        <w:t xml:space="preserve"> KT, </w:t>
      </w:r>
      <w:proofErr w:type="spellStart"/>
      <w:r>
        <w:rPr>
          <w:rFonts w:ascii="Book Antiqua" w:eastAsia="Book Antiqua" w:hAnsi="Book Antiqua" w:cs="Book Antiqua"/>
          <w:color w:val="000000"/>
        </w:rPr>
        <w:t>Kransdorf</w:t>
      </w:r>
      <w:proofErr w:type="spellEnd"/>
      <w:r>
        <w:rPr>
          <w:rFonts w:ascii="Book Antiqua" w:eastAsia="Book Antiqua" w:hAnsi="Book Antiqua" w:cs="Book Antiqua"/>
          <w:color w:val="000000"/>
        </w:rPr>
        <w:t xml:space="preserve"> MJ, Ginsburg WW. Healing of erosive disease in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1366-1367 [PMID: 20516048 DOI: 10.3899/jrheum.091329]</w:t>
      </w:r>
    </w:p>
    <w:p w14:paraId="4BA3320F"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Goto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Inaba M, Kobayashi K, </w:t>
      </w:r>
      <w:proofErr w:type="spellStart"/>
      <w:r>
        <w:rPr>
          <w:rFonts w:ascii="Book Antiqua" w:eastAsia="Book Antiqua" w:hAnsi="Book Antiqua" w:cs="Book Antiqua"/>
          <w:color w:val="000000"/>
        </w:rPr>
        <w:t>Imanishi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Kumeda</w:t>
      </w:r>
      <w:proofErr w:type="spellEnd"/>
      <w:r>
        <w:rPr>
          <w:rFonts w:ascii="Book Antiqua" w:eastAsia="Book Antiqua" w:hAnsi="Book Antiqua" w:cs="Book Antiqua"/>
          <w:color w:val="000000"/>
        </w:rPr>
        <w:t xml:space="preserve"> Y, Inui K, Okada F, Nishizawa Y. Successful treatment of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with alendronate: evidence for a direct effect of bisphosphonate on histiocytes.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2003; </w:t>
      </w:r>
      <w:r>
        <w:rPr>
          <w:rFonts w:ascii="Book Antiqua" w:eastAsia="Book Antiqua" w:hAnsi="Book Antiqua" w:cs="Book Antiqua"/>
          <w:b/>
          <w:bCs/>
          <w:color w:val="000000"/>
        </w:rPr>
        <w:t>48</w:t>
      </w:r>
      <w:r>
        <w:rPr>
          <w:rFonts w:ascii="Book Antiqua" w:eastAsia="Book Antiqua" w:hAnsi="Book Antiqua" w:cs="Book Antiqua"/>
          <w:color w:val="000000"/>
        </w:rPr>
        <w:t>: 3538-3541 [PMID: 14674006 DOI: 10.1002/art.11362]</w:t>
      </w:r>
    </w:p>
    <w:p w14:paraId="4EC43487"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Bennàssar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Mas A, </w:t>
      </w:r>
      <w:proofErr w:type="spellStart"/>
      <w:r>
        <w:rPr>
          <w:rFonts w:ascii="Book Antiqua" w:eastAsia="Book Antiqua" w:hAnsi="Book Antiqua" w:cs="Book Antiqua"/>
          <w:color w:val="000000"/>
        </w:rPr>
        <w:t>Guilabert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Julià</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Mascaró-Galy</w:t>
      </w:r>
      <w:proofErr w:type="spellEnd"/>
      <w:r>
        <w:rPr>
          <w:rFonts w:ascii="Book Antiqua" w:eastAsia="Book Antiqua" w:hAnsi="Book Antiqua" w:cs="Book Antiqua"/>
          <w:color w:val="000000"/>
        </w:rPr>
        <w:t xml:space="preserve"> JM, Herrero C.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with elevated cytokine serum levels.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38</w:t>
      </w:r>
      <w:r>
        <w:rPr>
          <w:rFonts w:ascii="Book Antiqua" w:eastAsia="Book Antiqua" w:hAnsi="Book Antiqua" w:cs="Book Antiqua"/>
          <w:color w:val="000000"/>
        </w:rPr>
        <w:t>: 905-910 [PMID: 21658110 DOI: 10.1111/j.1346-8138.</w:t>
      </w:r>
      <w:proofErr w:type="gramStart"/>
      <w:r>
        <w:rPr>
          <w:rFonts w:ascii="Book Antiqua" w:eastAsia="Book Antiqua" w:hAnsi="Book Antiqua" w:cs="Book Antiqua"/>
          <w:color w:val="000000"/>
        </w:rPr>
        <w:t>2010.01146.x</w:t>
      </w:r>
      <w:proofErr w:type="gramEnd"/>
      <w:r>
        <w:rPr>
          <w:rFonts w:ascii="Book Antiqua" w:eastAsia="Book Antiqua" w:hAnsi="Book Antiqua" w:cs="Book Antiqua"/>
          <w:color w:val="000000"/>
        </w:rPr>
        <w:t>]</w:t>
      </w:r>
    </w:p>
    <w:p w14:paraId="581FF908"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Zhao H</w:t>
      </w:r>
      <w:r>
        <w:rPr>
          <w:rFonts w:ascii="Book Antiqua" w:eastAsia="Book Antiqua" w:hAnsi="Book Antiqua" w:cs="Book Antiqua"/>
          <w:color w:val="000000"/>
        </w:rPr>
        <w:t xml:space="preserve">, Wu C, Wu M, Zhou Y, Zhu H, Li Y, You Y, Luo H, Wang L,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 Tumor necrosis factor antagonists in the treatment of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Current </w:t>
      </w:r>
      <w:r>
        <w:rPr>
          <w:rFonts w:ascii="Book Antiqua" w:eastAsia="Book Antiqua" w:hAnsi="Book Antiqua" w:cs="Book Antiqua"/>
          <w:color w:val="000000"/>
        </w:rPr>
        <w:lastRenderedPageBreak/>
        <w:t xml:space="preserve">clinical evidence.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209-217 [PMID: 27175854 DOI: 10.3892/mmr.2016.5253]</w:t>
      </w:r>
    </w:p>
    <w:p w14:paraId="5DA18783"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Pacheco-Tena C</w:t>
      </w:r>
      <w:r>
        <w:rPr>
          <w:rFonts w:ascii="Book Antiqua" w:eastAsia="Book Antiqua" w:hAnsi="Book Antiqua" w:cs="Book Antiqua"/>
          <w:color w:val="000000"/>
        </w:rPr>
        <w:t>, Reyes-Cordero G, Ochoa-</w:t>
      </w:r>
      <w:proofErr w:type="spellStart"/>
      <w:r>
        <w:rPr>
          <w:rFonts w:ascii="Book Antiqua" w:eastAsia="Book Antiqua" w:hAnsi="Book Antiqua" w:cs="Book Antiqua"/>
          <w:color w:val="000000"/>
        </w:rPr>
        <w:t>Albíztegui</w:t>
      </w:r>
      <w:proofErr w:type="spellEnd"/>
      <w:r>
        <w:rPr>
          <w:rFonts w:ascii="Book Antiqua" w:eastAsia="Book Antiqua" w:hAnsi="Book Antiqua" w:cs="Book Antiqua"/>
          <w:color w:val="000000"/>
        </w:rPr>
        <w:t xml:space="preserve"> R, Ríos-Barrera V, González-Chávez SA. Treatment of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with tocilizumab.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272-276 [PMID: 23872542 DOI: 10.1097/RHU.0b013e31829cf32b]</w:t>
      </w:r>
    </w:p>
    <w:p w14:paraId="18D8A41A"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Tariq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Hugenberg</w:t>
      </w:r>
      <w:proofErr w:type="spellEnd"/>
      <w:r>
        <w:rPr>
          <w:rFonts w:ascii="Book Antiqua" w:eastAsia="Book Antiqua" w:hAnsi="Book Antiqua" w:cs="Book Antiqua"/>
          <w:color w:val="000000"/>
        </w:rPr>
        <w:t xml:space="preserve"> ST, Hirano-Ali SA, Tariq H.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(MRH): case report with review of literature between 1991 and 2014 with in depth analysis of various treatment regimens and outcomes. </w:t>
      </w:r>
      <w:proofErr w:type="spellStart"/>
      <w:r>
        <w:rPr>
          <w:rFonts w:ascii="Book Antiqua" w:eastAsia="Book Antiqua" w:hAnsi="Book Antiqua" w:cs="Book Antiqua"/>
          <w:i/>
          <w:iCs/>
          <w:color w:val="000000"/>
        </w:rPr>
        <w:t>Springerplus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180 [PMID: 27026876 DOI: 10.1186/s40064-016-1874-5]</w:t>
      </w:r>
    </w:p>
    <w:p w14:paraId="4A1C486B" w14:textId="77777777" w:rsidR="00F119D2" w:rsidRDefault="00F119D2">
      <w:pPr>
        <w:spacing w:line="360" w:lineRule="auto"/>
        <w:jc w:val="both"/>
        <w:rPr>
          <w:rFonts w:ascii="Book Antiqua" w:hAnsi="Book Antiqua"/>
        </w:rPr>
        <w:sectPr w:rsidR="00F119D2">
          <w:pgSz w:w="12240" w:h="15840"/>
          <w:pgMar w:top="1440" w:right="1440" w:bottom="1440" w:left="1440" w:header="720" w:footer="720" w:gutter="0"/>
          <w:cols w:space="720"/>
          <w:docGrid w:linePitch="360"/>
        </w:sectPr>
      </w:pPr>
    </w:p>
    <w:p w14:paraId="3A131BF2"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A23DC0C"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CBD76A1" w14:textId="77777777" w:rsidR="00F119D2" w:rsidRDefault="00F119D2">
      <w:pPr>
        <w:spacing w:line="360" w:lineRule="auto"/>
        <w:jc w:val="both"/>
        <w:rPr>
          <w:rFonts w:ascii="Book Antiqua" w:hAnsi="Book Antiqua"/>
        </w:rPr>
      </w:pPr>
    </w:p>
    <w:p w14:paraId="2B7CAFCB"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 of interest. </w:t>
      </w:r>
    </w:p>
    <w:p w14:paraId="6970C627" w14:textId="77777777" w:rsidR="00F119D2" w:rsidRDefault="00F119D2">
      <w:pPr>
        <w:spacing w:line="360" w:lineRule="auto"/>
        <w:jc w:val="both"/>
        <w:rPr>
          <w:rFonts w:ascii="Book Antiqua" w:hAnsi="Book Antiqua"/>
        </w:rPr>
      </w:pPr>
    </w:p>
    <w:p w14:paraId="266EA3FB"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D95978A" w14:textId="77777777" w:rsidR="00F119D2" w:rsidRDefault="00F119D2">
      <w:pPr>
        <w:spacing w:line="360" w:lineRule="auto"/>
        <w:jc w:val="both"/>
        <w:rPr>
          <w:rFonts w:ascii="Book Antiqua" w:hAnsi="Book Antiqua"/>
        </w:rPr>
      </w:pPr>
    </w:p>
    <w:p w14:paraId="6EE394A6"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CA868A" w14:textId="77777777" w:rsidR="00F119D2" w:rsidRDefault="00F119D2">
      <w:pPr>
        <w:spacing w:line="360" w:lineRule="auto"/>
        <w:jc w:val="both"/>
        <w:rPr>
          <w:rFonts w:ascii="Book Antiqua" w:hAnsi="Book Antiqua"/>
        </w:rPr>
      </w:pPr>
    </w:p>
    <w:p w14:paraId="139814B5"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C5F1C8D"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7D71AEC" w14:textId="77777777" w:rsidR="00F119D2" w:rsidRDefault="00F119D2">
      <w:pPr>
        <w:spacing w:line="360" w:lineRule="auto"/>
        <w:jc w:val="both"/>
        <w:rPr>
          <w:rFonts w:ascii="Book Antiqua" w:hAnsi="Book Antiqua"/>
        </w:rPr>
      </w:pPr>
    </w:p>
    <w:p w14:paraId="1230B770"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3, 2021</w:t>
      </w:r>
    </w:p>
    <w:p w14:paraId="71FA0625"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2021</w:t>
      </w:r>
    </w:p>
    <w:p w14:paraId="1FCABE11"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FEA5922" w14:textId="77777777" w:rsidR="00F119D2" w:rsidRDefault="00F119D2">
      <w:pPr>
        <w:spacing w:line="360" w:lineRule="auto"/>
        <w:jc w:val="both"/>
        <w:rPr>
          <w:rFonts w:ascii="Book Antiqua" w:hAnsi="Book Antiqua"/>
        </w:rPr>
      </w:pPr>
    </w:p>
    <w:p w14:paraId="1C6A47B8"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344E1392"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518495" w14:textId="77777777" w:rsidR="00F119D2" w:rsidRDefault="008C5469">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C5818F9"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Grade A (Excellent): 0</w:t>
      </w:r>
    </w:p>
    <w:p w14:paraId="5AC30849"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14:paraId="0721ADDE"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Grade C (Good): 0</w:t>
      </w:r>
    </w:p>
    <w:p w14:paraId="3217CCDB"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Grade D (Fair): 0</w:t>
      </w:r>
    </w:p>
    <w:p w14:paraId="561AB1AB" w14:textId="77777777" w:rsidR="00F119D2" w:rsidRDefault="008C5469">
      <w:pPr>
        <w:spacing w:line="360" w:lineRule="auto"/>
        <w:jc w:val="both"/>
        <w:rPr>
          <w:rFonts w:ascii="Book Antiqua" w:hAnsi="Book Antiqua"/>
        </w:rPr>
      </w:pPr>
      <w:r>
        <w:rPr>
          <w:rFonts w:ascii="Book Antiqua" w:eastAsia="Book Antiqua" w:hAnsi="Book Antiqua" w:cs="Book Antiqua"/>
          <w:color w:val="000000"/>
        </w:rPr>
        <w:t>Grade E (Poor): 0</w:t>
      </w:r>
    </w:p>
    <w:p w14:paraId="591ECB3B" w14:textId="77777777" w:rsidR="00F119D2" w:rsidRDefault="00F119D2">
      <w:pPr>
        <w:spacing w:line="360" w:lineRule="auto"/>
        <w:jc w:val="both"/>
        <w:rPr>
          <w:rFonts w:ascii="Book Antiqua" w:hAnsi="Book Antiqua"/>
        </w:rPr>
      </w:pPr>
    </w:p>
    <w:p w14:paraId="0D6775AC" w14:textId="01A1BCEC" w:rsidR="00F119D2" w:rsidRDefault="008C5469" w:rsidP="009F0463">
      <w:pPr>
        <w:spacing w:line="360" w:lineRule="auto"/>
        <w:rPr>
          <w:rFonts w:ascii="Book Antiqua" w:hAnsi="Book Antiqua"/>
        </w:rPr>
        <w:sectPr w:rsidR="00F119D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Jatuworapruk</w:t>
      </w:r>
      <w:proofErr w:type="spellEnd"/>
      <w:r>
        <w:rPr>
          <w:rFonts w:ascii="Book Antiqua" w:eastAsia="Book Antiqua" w:hAnsi="Book Antiqua" w:cs="Book Antiqua"/>
          <w:color w:val="000000"/>
        </w:rPr>
        <w:t xml:space="preserve"> K, Thailand</w:t>
      </w:r>
      <w:r>
        <w:rPr>
          <w:rFonts w:ascii="Book Antiqua" w:eastAsia="Book Antiqua" w:hAnsi="Book Antiqua" w:cs="Book Antiqua"/>
          <w:b/>
          <w:color w:val="000000"/>
        </w:rPr>
        <w:t xml:space="preserve"> </w:t>
      </w:r>
      <w:r>
        <w:rPr>
          <w:rFonts w:ascii="Book Antiqua" w:hAnsi="Book Antiqua"/>
          <w:b/>
          <w:bCs/>
        </w:rPr>
        <w:t>A-Editor</w:t>
      </w:r>
      <w:r>
        <w:rPr>
          <w:rFonts w:ascii="Book Antiqua" w:eastAsia="SimSun" w:hAnsi="Book Antiqua" w:cs="SimSun"/>
          <w:b/>
          <w:bCs/>
          <w:lang w:eastAsia="zh-CN"/>
        </w:rPr>
        <w:t>:</w:t>
      </w:r>
      <w:r>
        <w:rPr>
          <w:rFonts w:ascii="Book Antiqua" w:eastAsia="SimSun" w:hAnsi="Book Antiqua" w:cs="SimSun"/>
          <w:color w:val="000000"/>
          <w:lang w:eastAsia="zh-CN"/>
        </w:rPr>
        <w:t xml:space="preserve"> Lin FY</w:t>
      </w:r>
      <w:r>
        <w:rPr>
          <w:rFonts w:ascii="SimSun" w:eastAsia="SimSun" w:hAnsi="SimSun" w:cs="SimSun"/>
          <w:b/>
          <w:color w:val="000000"/>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9F0463">
        <w:rPr>
          <w:rFonts w:ascii="Book Antiqua" w:eastAsia="Book Antiqua" w:hAnsi="Book Antiqua" w:cs="Book Antiqua"/>
          <w:b/>
          <w:color w:val="000000"/>
        </w:rPr>
        <w:t xml:space="preserve"> </w:t>
      </w:r>
      <w:r w:rsidR="009F0463" w:rsidRPr="009F0463">
        <w:rPr>
          <w:rFonts w:ascii="Book Antiqua" w:eastAsia="Book Antiqua" w:hAnsi="Book Antiqua" w:cs="Book Antiqua"/>
          <w:bCs/>
          <w:color w:val="000000"/>
        </w:rPr>
        <w:t>M</w:t>
      </w:r>
      <w:r w:rsidR="009F0463" w:rsidRPr="009F0463">
        <w:rPr>
          <w:rFonts w:ascii="Book Antiqua" w:hAnsi="Book Antiqua" w:cs="Book Antiqua"/>
          <w:bCs/>
          <w:color w:val="000000"/>
          <w:lang w:eastAsia="zh-CN"/>
        </w:rPr>
        <w:t>a</w:t>
      </w:r>
      <w:r w:rsidR="009F0463" w:rsidRPr="009F0463">
        <w:rPr>
          <w:rFonts w:ascii="Book Antiqua" w:eastAsia="Book Antiqua" w:hAnsi="Book Antiqua" w:cs="Book Antiqua"/>
          <w:bCs/>
          <w:color w:val="000000"/>
        </w:rPr>
        <w:t xml:space="preserve"> YJ</w:t>
      </w:r>
      <w:r w:rsidRPr="009F0463">
        <w:rPr>
          <w:rFonts w:ascii="Book Antiqua" w:eastAsia="Book Antiqua" w:hAnsi="Book Antiqua" w:cs="Book Antiqua"/>
          <w:bCs/>
          <w:color w:val="000000"/>
        </w:rPr>
        <w:t xml:space="preserve"> </w:t>
      </w:r>
    </w:p>
    <w:p w14:paraId="5519F5CA" w14:textId="77777777" w:rsidR="00F119D2" w:rsidRDefault="008C546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FF729F6" w14:textId="0BC0CC9C" w:rsidR="00F119D2" w:rsidRDefault="008C5469">
      <w:pPr>
        <w:spacing w:line="360" w:lineRule="auto"/>
        <w:jc w:val="both"/>
        <w:rPr>
          <w:rFonts w:ascii="Book Antiqua" w:hAnsi="Book Antiqua"/>
        </w:rPr>
      </w:pPr>
      <w:r>
        <w:t xml:space="preserve"> </w:t>
      </w:r>
      <w:r w:rsidR="002772CB">
        <w:rPr>
          <w:noProof/>
        </w:rPr>
        <w:drawing>
          <wp:inline distT="0" distB="0" distL="0" distR="0" wp14:anchorId="7A8F5B6B" wp14:editId="7E9A97DC">
            <wp:extent cx="5684520" cy="3215640"/>
            <wp:effectExtent l="0" t="0" r="0" b="3810"/>
            <wp:docPr id="1" name="图片 1" descr="男人的照片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男人的照片上写着字&#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4520" cy="3215640"/>
                    </a:xfrm>
                    <a:prstGeom prst="rect">
                      <a:avLst/>
                    </a:prstGeom>
                    <a:noFill/>
                    <a:ln>
                      <a:noFill/>
                    </a:ln>
                  </pic:spPr>
                </pic:pic>
              </a:graphicData>
            </a:graphic>
          </wp:inline>
        </w:drawing>
      </w:r>
    </w:p>
    <w:p w14:paraId="2811AB91" w14:textId="77777777" w:rsidR="00F119D2" w:rsidRDefault="008C546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Book Antiqua" w:hAnsi="Book Antiqua" w:cs="Book Antiqua" w:hint="eastAsia"/>
          <w:b/>
          <w:bCs/>
          <w:color w:val="000000"/>
        </w:rPr>
        <w:t>S</w:t>
      </w:r>
      <w:r>
        <w:rPr>
          <w:rFonts w:ascii="Book Antiqua" w:eastAsia="Book Antiqua" w:hAnsi="Book Antiqua" w:cs="Book Antiqua"/>
          <w:b/>
          <w:bCs/>
          <w:color w:val="000000"/>
        </w:rPr>
        <w:t xml:space="preserve">kin lesions </w:t>
      </w:r>
      <w:r>
        <w:rPr>
          <w:rFonts w:ascii="Book Antiqua" w:eastAsia="Book Antiqua" w:hAnsi="Book Antiqua" w:cs="Book Antiqua" w:hint="eastAsia"/>
          <w:b/>
          <w:bCs/>
          <w:color w:val="000000"/>
        </w:rPr>
        <w:t>of the patient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A-E: Skin-colored, brownish-red, millet to mung bean-sized </w:t>
      </w:r>
      <w:proofErr w:type="spellStart"/>
      <w:r>
        <w:rPr>
          <w:rFonts w:ascii="Book Antiqua" w:eastAsia="Book Antiqua" w:hAnsi="Book Antiqua" w:cs="Book Antiqua"/>
          <w:color w:val="000000"/>
        </w:rPr>
        <w:t>maculopapules</w:t>
      </w:r>
      <w:proofErr w:type="spellEnd"/>
      <w:r>
        <w:rPr>
          <w:rFonts w:ascii="Book Antiqua" w:eastAsia="Book Antiqua" w:hAnsi="Book Antiqua" w:cs="Book Antiqua"/>
          <w:color w:val="000000"/>
        </w:rPr>
        <w:t xml:space="preserve"> were observed on the patient’s neck, chest, waist, abdomen, and arms; F: Multiple round or oval nodules, 2-8 mm in size, reddish-brown, hard, and unbroken were observed on both hands.</w:t>
      </w:r>
    </w:p>
    <w:p w14:paraId="48EFB46A" w14:textId="77777777" w:rsidR="00F119D2" w:rsidRDefault="00F119D2">
      <w:pPr>
        <w:spacing w:line="360" w:lineRule="auto"/>
        <w:jc w:val="both"/>
        <w:rPr>
          <w:rFonts w:ascii="Book Antiqua" w:eastAsia="Book Antiqua" w:hAnsi="Book Antiqua" w:cs="Book Antiqua"/>
          <w:color w:val="000000"/>
        </w:rPr>
      </w:pPr>
    </w:p>
    <w:p w14:paraId="2EE91F13" w14:textId="4709041E" w:rsidR="00F119D2" w:rsidRDefault="002772CB">
      <w:pPr>
        <w:spacing w:line="360" w:lineRule="auto"/>
        <w:jc w:val="both"/>
        <w:rPr>
          <w:rFonts w:ascii="Book Antiqua" w:hAnsi="Book Antiqua"/>
        </w:rPr>
      </w:pPr>
      <w:r>
        <w:rPr>
          <w:noProof/>
        </w:rPr>
        <w:drawing>
          <wp:inline distT="0" distB="0" distL="0" distR="0" wp14:anchorId="3B77008D" wp14:editId="6D7545F0">
            <wp:extent cx="5684520" cy="1714500"/>
            <wp:effectExtent l="0" t="0" r="0" b="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4520" cy="1714500"/>
                    </a:xfrm>
                    <a:prstGeom prst="rect">
                      <a:avLst/>
                    </a:prstGeom>
                    <a:noFill/>
                    <a:ln>
                      <a:noFill/>
                    </a:ln>
                  </pic:spPr>
                </pic:pic>
              </a:graphicData>
            </a:graphic>
          </wp:inline>
        </w:drawing>
      </w:r>
    </w:p>
    <w:p w14:paraId="4059EA34" w14:textId="77777777" w:rsidR="00F119D2" w:rsidRDefault="008C5469">
      <w:pPr>
        <w:spacing w:line="360" w:lineRule="auto"/>
        <w:jc w:val="both"/>
        <w:rPr>
          <w:rFonts w:ascii="Book Antiqua" w:hAnsi="Book Antiqua"/>
        </w:rPr>
      </w:pPr>
      <w:r>
        <w:rPr>
          <w:rFonts w:ascii="Book Antiqua" w:eastAsia="Book Antiqua" w:hAnsi="Book Antiqua" w:cs="Book Antiqua"/>
          <w:b/>
          <w:bCs/>
          <w:color w:val="000000"/>
        </w:rPr>
        <w:t xml:space="preserve">Figure 2 </w:t>
      </w:r>
      <w:r>
        <w:rPr>
          <w:rFonts w:ascii="Book Antiqua" w:eastAsia="Book Antiqua" w:hAnsi="Book Antiqua" w:cs="Book Antiqua" w:hint="eastAsia"/>
          <w:b/>
          <w:bCs/>
          <w:color w:val="000000"/>
        </w:rPr>
        <w:t>Imaging examinations of the patient</w:t>
      </w:r>
      <w:r>
        <w:rPr>
          <w:rFonts w:ascii="Book Antiqua" w:eastAsia="Book Antiqua" w:hAnsi="Book Antiqua" w:cs="Book Antiqua"/>
          <w:b/>
          <w:bCs/>
          <w:color w:val="000000"/>
        </w:rPr>
        <w:t>.</w:t>
      </w:r>
      <w:r>
        <w:rPr>
          <w:rFonts w:ascii="Book Antiqua" w:eastAsia="Book Antiqua" w:hAnsi="Book Antiqua" w:cs="Book Antiqua"/>
          <w:color w:val="000000"/>
        </w:rPr>
        <w:t xml:space="preserve"> A: Radiographs of both hands. Narrowing of the interphalangeal and intercarpal joint spaces in both hands, reduced bone density of the joint components, visible cystic translucent areas, and narrowing of the radial carpal joint on the left side were observed; B: Knee MRI. Osteochondral damage of the patellofemoral articular surface and fluid accumulation in the left knee </w:t>
      </w:r>
      <w:r>
        <w:rPr>
          <w:rFonts w:ascii="Book Antiqua" w:eastAsia="Book Antiqua" w:hAnsi="Book Antiqua" w:cs="Book Antiqua"/>
          <w:color w:val="000000"/>
        </w:rPr>
        <w:lastRenderedPageBreak/>
        <w:t>joint cavity and suprapatellar capsule were observed; C: HRCT of the chest. There was interstitial inflammation present in both lungs; bilateral interlobular fissure nodules; focal fibrosis in both lower lobes of the lungs; and cystic foci in the right subscapularis muscle.</w:t>
      </w:r>
    </w:p>
    <w:p w14:paraId="547A9F9C" w14:textId="65C46664" w:rsidR="00F119D2" w:rsidRDefault="002772CB">
      <w:pPr>
        <w:spacing w:line="360" w:lineRule="auto"/>
        <w:jc w:val="both"/>
        <w:rPr>
          <w:rFonts w:ascii="Book Antiqua" w:eastAsia="Book Antiqua" w:hAnsi="Book Antiqua" w:cs="Book Antiqua"/>
          <w:b/>
          <w:bCs/>
          <w:color w:val="000000"/>
        </w:rPr>
      </w:pPr>
      <w:r>
        <w:rPr>
          <w:noProof/>
        </w:rPr>
        <w:drawing>
          <wp:inline distT="0" distB="0" distL="0" distR="0" wp14:anchorId="4959D287" wp14:editId="28732E4F">
            <wp:extent cx="5715000" cy="2956560"/>
            <wp:effectExtent l="0" t="0" r="0" b="0"/>
            <wp:docPr id="3" name="图片 3"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低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2956560"/>
                    </a:xfrm>
                    <a:prstGeom prst="rect">
                      <a:avLst/>
                    </a:prstGeom>
                    <a:noFill/>
                    <a:ln>
                      <a:noFill/>
                    </a:ln>
                  </pic:spPr>
                </pic:pic>
              </a:graphicData>
            </a:graphic>
          </wp:inline>
        </w:drawing>
      </w:r>
      <w:r w:rsidR="008C5469">
        <w:rPr>
          <w:rFonts w:ascii="Book Antiqua" w:hAnsi="Book Antiqua"/>
        </w:rPr>
        <w:t xml:space="preserve"> </w:t>
      </w:r>
    </w:p>
    <w:p w14:paraId="7F4A11E3" w14:textId="77777777" w:rsidR="00F119D2" w:rsidRDefault="008C546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Pr>
          <w:rFonts w:ascii="Book Antiqua" w:eastAsia="Book Antiqua" w:hAnsi="Book Antiqua" w:cs="Book Antiqua" w:hint="eastAsia"/>
          <w:b/>
          <w:bCs/>
          <w:color w:val="000000"/>
        </w:rPr>
        <w:t>Pathological examination</w:t>
      </w:r>
      <w:r>
        <w:rPr>
          <w:rFonts w:ascii="Book Antiqua" w:eastAsia="Book Antiqua" w:hAnsi="Book Antiqua" w:cs="Book Antiqua"/>
          <w:b/>
          <w:bCs/>
          <w:color w:val="000000"/>
        </w:rPr>
        <w:t xml:space="preserve"> of </w:t>
      </w:r>
      <w:r>
        <w:rPr>
          <w:rFonts w:ascii="Book Antiqua" w:eastAsia="Book Antiqua" w:hAnsi="Book Antiqua" w:cs="Book Antiqua" w:hint="eastAsia"/>
          <w:b/>
          <w:bCs/>
          <w:color w:val="000000"/>
        </w:rPr>
        <w:t>the patient</w:t>
      </w:r>
      <w:r>
        <w:rPr>
          <w:rFonts w:ascii="Book Antiqua" w:eastAsia="Book Antiqua" w:hAnsi="Book Antiqua" w:cs="Book Antiqua"/>
          <w:b/>
          <w:bCs/>
          <w:color w:val="000000"/>
        </w:rPr>
        <w:t xml:space="preserve">’s skin. </w:t>
      </w:r>
      <w:r>
        <w:rPr>
          <w:rFonts w:ascii="Book Antiqua" w:eastAsia="Book Antiqua" w:hAnsi="Book Antiqua" w:cs="Book Antiqua"/>
          <w:color w:val="000000"/>
        </w:rPr>
        <w:t>A: Histopathology of the skin from the left upper back.</w:t>
      </w:r>
      <w:r>
        <w:rPr>
          <w:rFonts w:ascii="Book Antiqua" w:eastAsia="Book Antiqua" w:hAnsi="Book Antiqua" w:cs="Book Antiqua"/>
          <w:b/>
          <w:bCs/>
          <w:color w:val="000000"/>
        </w:rPr>
        <w:t xml:space="preserve"> </w:t>
      </w:r>
      <w:r>
        <w:rPr>
          <w:rFonts w:ascii="Book Antiqua" w:eastAsia="Book Antiqua" w:hAnsi="Book Antiqua" w:cs="Book Antiqua"/>
          <w:color w:val="000000"/>
        </w:rPr>
        <w:t>The epidermis was generally normal, and the dermal papillae showed an increased number of histiocytes and multinucleated giant cells with abundant cell cytoplasm and hairy glass-like changes, with a little surrounding lymphatic and eosinophilic infiltration (HE 40×). Immunohistochemical staining: B: CD68-positive; C: CD1a negative; and D: S-100 negative (SP×100).</w:t>
      </w:r>
    </w:p>
    <w:p w14:paraId="579D3915" w14:textId="71888CD7" w:rsidR="00F119D2" w:rsidRDefault="002772CB">
      <w:pPr>
        <w:spacing w:line="360" w:lineRule="auto"/>
        <w:jc w:val="both"/>
        <w:rPr>
          <w:rFonts w:ascii="Book Antiqua" w:hAnsi="Book Antiqua"/>
        </w:rPr>
      </w:pPr>
      <w:r>
        <w:rPr>
          <w:noProof/>
        </w:rPr>
        <w:lastRenderedPageBreak/>
        <w:drawing>
          <wp:inline distT="0" distB="0" distL="0" distR="0" wp14:anchorId="6D5DFB3B" wp14:editId="7555A42F">
            <wp:extent cx="3771900" cy="5577840"/>
            <wp:effectExtent l="0" t="0" r="0" b="3810"/>
            <wp:docPr id="6" name="图片 6"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日程表&#10;&#10;中度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900" cy="5577840"/>
                    </a:xfrm>
                    <a:prstGeom prst="rect">
                      <a:avLst/>
                    </a:prstGeom>
                    <a:noFill/>
                    <a:ln>
                      <a:noFill/>
                    </a:ln>
                  </pic:spPr>
                </pic:pic>
              </a:graphicData>
            </a:graphic>
          </wp:inline>
        </w:drawing>
      </w:r>
    </w:p>
    <w:p w14:paraId="45A3D224" w14:textId="77777777" w:rsidR="00F119D2" w:rsidRDefault="008C546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Timeline summarizing the patient’s disease process.</w:t>
      </w:r>
    </w:p>
    <w:p w14:paraId="38C17E0E" w14:textId="77777777" w:rsidR="00F119D2" w:rsidRDefault="008C5469">
      <w:pPr>
        <w:spacing w:line="360" w:lineRule="auto"/>
        <w:rPr>
          <w:rFonts w:ascii="Book Antiqua" w:hAnsi="Book Antiqua" w:cs="Book Antiqua"/>
          <w:b/>
          <w:bCs/>
        </w:rPr>
      </w:pPr>
      <w:r>
        <w:rPr>
          <w:rFonts w:ascii="Book Antiqua" w:eastAsia="Book Antiqua" w:hAnsi="Book Antiqua" w:cs="Book Antiqua"/>
          <w:b/>
          <w:bCs/>
          <w:color w:val="000000"/>
        </w:rPr>
        <w:br w:type="page"/>
      </w:r>
      <w:r>
        <w:rPr>
          <w:rFonts w:ascii="Book Antiqua" w:hAnsi="Book Antiqua" w:cs="Book Antiqua"/>
          <w:b/>
          <w:bCs/>
        </w:rPr>
        <w:lastRenderedPageBreak/>
        <w:t xml:space="preserve">Table 1 Comparison of </w:t>
      </w:r>
      <w:r>
        <w:rPr>
          <w:rFonts w:ascii="Book Antiqua" w:eastAsia="Book Antiqua" w:hAnsi="Book Antiqua" w:cs="Book Antiqua"/>
          <w:b/>
          <w:bCs/>
          <w:color w:val="000000"/>
        </w:rPr>
        <w:t xml:space="preserve">multicentric </w:t>
      </w:r>
      <w:proofErr w:type="spellStart"/>
      <w:r>
        <w:rPr>
          <w:rFonts w:ascii="Book Antiqua" w:eastAsia="Book Antiqua" w:hAnsi="Book Antiqua" w:cs="Book Antiqua"/>
          <w:b/>
          <w:bCs/>
          <w:color w:val="000000"/>
        </w:rPr>
        <w:t>reticulohistiocytosis</w:t>
      </w:r>
      <w:proofErr w:type="spellEnd"/>
      <w:r>
        <w:rPr>
          <w:rFonts w:ascii="Book Antiqua" w:hAnsi="Book Antiqua" w:cs="Book Antiqua"/>
          <w:b/>
          <w:bCs/>
        </w:rPr>
        <w:t xml:space="preserve"> and rheumatoid arthritis</w:t>
      </w:r>
    </w:p>
    <w:tbl>
      <w:tblPr>
        <w:tblW w:w="9165" w:type="dxa"/>
        <w:tblBorders>
          <w:top w:val="single" w:sz="4" w:space="0" w:color="auto"/>
          <w:bottom w:val="single" w:sz="4" w:space="0" w:color="auto"/>
        </w:tblBorders>
        <w:tblLook w:val="04A0" w:firstRow="1" w:lastRow="0" w:firstColumn="1" w:lastColumn="0" w:noHBand="0" w:noVBand="1"/>
      </w:tblPr>
      <w:tblGrid>
        <w:gridCol w:w="1720"/>
        <w:gridCol w:w="4963"/>
        <w:gridCol w:w="2482"/>
      </w:tblGrid>
      <w:tr w:rsidR="00F119D2" w14:paraId="2E31A70D" w14:textId="77777777">
        <w:trPr>
          <w:trHeight w:val="310"/>
        </w:trPr>
        <w:tc>
          <w:tcPr>
            <w:tcW w:w="1720" w:type="dxa"/>
            <w:tcBorders>
              <w:top w:val="single" w:sz="4" w:space="0" w:color="auto"/>
              <w:bottom w:val="single" w:sz="4" w:space="0" w:color="auto"/>
            </w:tcBorders>
            <w:shd w:val="clear" w:color="auto" w:fill="auto"/>
            <w:noWrap/>
            <w:vAlign w:val="bottom"/>
          </w:tcPr>
          <w:p w14:paraId="720DA3CB" w14:textId="77777777" w:rsidR="00F119D2" w:rsidRDefault="00F119D2">
            <w:pPr>
              <w:spacing w:line="360" w:lineRule="auto"/>
              <w:rPr>
                <w:rFonts w:ascii="Book Antiqua" w:eastAsia="SimSun" w:hAnsi="Book Antiqua" w:cs="SimSun"/>
                <w:b/>
                <w:bCs/>
                <w:lang w:eastAsia="zh-CN"/>
              </w:rPr>
            </w:pPr>
            <w:bookmarkStart w:id="1" w:name="RANGE!A1"/>
            <w:bookmarkEnd w:id="1"/>
          </w:p>
        </w:tc>
        <w:tc>
          <w:tcPr>
            <w:tcW w:w="4963" w:type="dxa"/>
            <w:tcBorders>
              <w:top w:val="single" w:sz="4" w:space="0" w:color="auto"/>
              <w:bottom w:val="single" w:sz="4" w:space="0" w:color="auto"/>
            </w:tcBorders>
            <w:shd w:val="clear" w:color="auto" w:fill="auto"/>
            <w:noWrap/>
            <w:vAlign w:val="bottom"/>
          </w:tcPr>
          <w:p w14:paraId="1051923E" w14:textId="77777777" w:rsidR="00F119D2" w:rsidRDefault="008C5469">
            <w:pPr>
              <w:spacing w:line="360" w:lineRule="auto"/>
              <w:rPr>
                <w:rFonts w:ascii="Book Antiqua" w:eastAsia="SimSun" w:hAnsi="Book Antiqua" w:cs="SimSun"/>
                <w:b/>
                <w:bCs/>
                <w:color w:val="000000"/>
                <w:lang w:eastAsia="zh-CN"/>
              </w:rPr>
            </w:pPr>
            <w:r>
              <w:rPr>
                <w:rFonts w:ascii="Book Antiqua" w:eastAsia="SimSun" w:hAnsi="Book Antiqua" w:cs="SimSun"/>
                <w:b/>
                <w:bCs/>
                <w:color w:val="000000"/>
                <w:lang w:eastAsia="zh-CN"/>
              </w:rPr>
              <w:t>MRH</w:t>
            </w:r>
          </w:p>
        </w:tc>
        <w:tc>
          <w:tcPr>
            <w:tcW w:w="2482" w:type="dxa"/>
            <w:tcBorders>
              <w:top w:val="single" w:sz="4" w:space="0" w:color="auto"/>
              <w:bottom w:val="single" w:sz="4" w:space="0" w:color="auto"/>
            </w:tcBorders>
            <w:shd w:val="clear" w:color="auto" w:fill="auto"/>
            <w:noWrap/>
            <w:vAlign w:val="bottom"/>
          </w:tcPr>
          <w:p w14:paraId="246412CA" w14:textId="77777777" w:rsidR="00F119D2" w:rsidRDefault="008C5469">
            <w:pPr>
              <w:spacing w:line="360" w:lineRule="auto"/>
              <w:rPr>
                <w:rFonts w:ascii="Book Antiqua" w:eastAsia="SimSun" w:hAnsi="Book Antiqua" w:cs="SimSun"/>
                <w:b/>
                <w:bCs/>
                <w:color w:val="000000"/>
                <w:lang w:eastAsia="zh-CN"/>
              </w:rPr>
            </w:pPr>
            <w:r>
              <w:rPr>
                <w:rFonts w:ascii="Book Antiqua" w:eastAsia="SimSun" w:hAnsi="Book Antiqua" w:cs="SimSun"/>
                <w:b/>
                <w:bCs/>
                <w:color w:val="000000"/>
                <w:lang w:eastAsia="zh-CN"/>
              </w:rPr>
              <w:t>RA</w:t>
            </w:r>
          </w:p>
        </w:tc>
      </w:tr>
      <w:tr w:rsidR="00F119D2" w14:paraId="2D5CFF89" w14:textId="77777777">
        <w:trPr>
          <w:trHeight w:val="320"/>
        </w:trPr>
        <w:tc>
          <w:tcPr>
            <w:tcW w:w="1720" w:type="dxa"/>
            <w:tcBorders>
              <w:top w:val="single" w:sz="4" w:space="0" w:color="auto"/>
            </w:tcBorders>
            <w:shd w:val="clear" w:color="auto" w:fill="auto"/>
            <w:noWrap/>
            <w:vAlign w:val="bottom"/>
          </w:tcPr>
          <w:p w14:paraId="41E26521" w14:textId="77777777" w:rsidR="00F119D2" w:rsidRDefault="008C5469">
            <w:pPr>
              <w:spacing w:line="360" w:lineRule="auto"/>
              <w:rPr>
                <w:rFonts w:ascii="Book Antiqua" w:eastAsia="SimSun" w:hAnsi="Book Antiqua" w:cs="SimSun"/>
                <w:color w:val="000000"/>
                <w:lang w:eastAsia="zh-CN"/>
              </w:rPr>
            </w:pPr>
            <w:bookmarkStart w:id="2" w:name="RANGE!A2"/>
            <w:r>
              <w:rPr>
                <w:rFonts w:ascii="Book Antiqua" w:eastAsia="SimSun" w:hAnsi="Book Antiqua" w:cs="SimSun"/>
                <w:color w:val="000000"/>
                <w:lang w:eastAsia="zh-CN"/>
              </w:rPr>
              <w:t>Joint involvement</w:t>
            </w:r>
            <w:bookmarkEnd w:id="2"/>
          </w:p>
        </w:tc>
        <w:tc>
          <w:tcPr>
            <w:tcW w:w="4963" w:type="dxa"/>
            <w:tcBorders>
              <w:top w:val="single" w:sz="4" w:space="0" w:color="auto"/>
            </w:tcBorders>
            <w:shd w:val="clear" w:color="auto" w:fill="auto"/>
            <w:noWrap/>
            <w:vAlign w:val="bottom"/>
          </w:tcPr>
          <w:p w14:paraId="254E80CD"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Hand joint, knee joint, the shoulder, elbow, hip, ankle, and metatarsophalangeal joint;</w:t>
            </w:r>
          </w:p>
        </w:tc>
        <w:tc>
          <w:tcPr>
            <w:tcW w:w="2482" w:type="dxa"/>
            <w:tcBorders>
              <w:top w:val="single" w:sz="4" w:space="0" w:color="auto"/>
            </w:tcBorders>
            <w:shd w:val="clear" w:color="auto" w:fill="auto"/>
            <w:noWrap/>
            <w:vAlign w:val="bottom"/>
          </w:tcPr>
          <w:p w14:paraId="4FAFFBD5"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Double hand joint, wrist joint, foot joint, </w:t>
            </w:r>
            <w:r>
              <w:rPr>
                <w:rFonts w:ascii="Book Antiqua" w:eastAsia="SimSun" w:hAnsi="Book Antiqua" w:cs="SimSun"/>
                <w:i/>
                <w:iCs/>
                <w:color w:val="000000"/>
                <w:lang w:eastAsia="zh-CN"/>
              </w:rPr>
              <w:t>etc</w:t>
            </w:r>
            <w:r>
              <w:rPr>
                <w:rFonts w:ascii="Book Antiqua" w:eastAsia="SimSun" w:hAnsi="Book Antiqua" w:cs="SimSun"/>
                <w:color w:val="000000"/>
                <w:lang w:eastAsia="zh-CN"/>
              </w:rPr>
              <w:t>.;</w:t>
            </w:r>
          </w:p>
        </w:tc>
      </w:tr>
      <w:tr w:rsidR="00F119D2" w14:paraId="5B594135" w14:textId="77777777">
        <w:trPr>
          <w:trHeight w:val="280"/>
        </w:trPr>
        <w:tc>
          <w:tcPr>
            <w:tcW w:w="1720" w:type="dxa"/>
            <w:shd w:val="clear" w:color="auto" w:fill="auto"/>
            <w:noWrap/>
            <w:vAlign w:val="bottom"/>
          </w:tcPr>
          <w:p w14:paraId="63C3E67C" w14:textId="77777777" w:rsidR="00F119D2" w:rsidRDefault="00F119D2">
            <w:pPr>
              <w:spacing w:line="360" w:lineRule="auto"/>
              <w:rPr>
                <w:rFonts w:ascii="Book Antiqua" w:eastAsia="SimSun" w:hAnsi="Book Antiqua" w:cs="SimSun"/>
                <w:color w:val="000000"/>
                <w:lang w:eastAsia="zh-CN"/>
              </w:rPr>
            </w:pPr>
          </w:p>
        </w:tc>
        <w:tc>
          <w:tcPr>
            <w:tcW w:w="4963" w:type="dxa"/>
            <w:shd w:val="clear" w:color="auto" w:fill="auto"/>
            <w:noWrap/>
            <w:vAlign w:val="bottom"/>
          </w:tcPr>
          <w:p w14:paraId="6D6E1A55"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The distal interphalangeal joints involvement is frequent</w:t>
            </w:r>
          </w:p>
        </w:tc>
        <w:tc>
          <w:tcPr>
            <w:tcW w:w="2482" w:type="dxa"/>
            <w:shd w:val="clear" w:color="auto" w:fill="auto"/>
            <w:noWrap/>
            <w:vAlign w:val="bottom"/>
          </w:tcPr>
          <w:p w14:paraId="33F50F50" w14:textId="77777777" w:rsidR="00F119D2" w:rsidRDefault="008C5469">
            <w:pPr>
              <w:spacing w:line="360" w:lineRule="auto"/>
              <w:rPr>
                <w:rFonts w:ascii="Book Antiqua" w:eastAsia="SimSun" w:hAnsi="Book Antiqua" w:cs="SimSun"/>
                <w:color w:val="000000"/>
                <w:lang w:eastAsia="zh-CN"/>
              </w:rPr>
            </w:pPr>
            <w:bookmarkStart w:id="3" w:name="RANGE!C3"/>
            <w:r>
              <w:rPr>
                <w:rFonts w:ascii="Book Antiqua" w:eastAsia="SimSun" w:hAnsi="Book Antiqua" w:cs="SimSun"/>
                <w:color w:val="000000"/>
                <w:lang w:eastAsia="zh-CN"/>
              </w:rPr>
              <w:t>The distal interphalangeal joints involvement is rare.</w:t>
            </w:r>
            <w:bookmarkEnd w:id="3"/>
          </w:p>
        </w:tc>
      </w:tr>
      <w:tr w:rsidR="00F119D2" w14:paraId="7873FE7B" w14:textId="77777777">
        <w:trPr>
          <w:trHeight w:val="310"/>
        </w:trPr>
        <w:tc>
          <w:tcPr>
            <w:tcW w:w="1720" w:type="dxa"/>
            <w:shd w:val="clear" w:color="auto" w:fill="auto"/>
            <w:noWrap/>
            <w:vAlign w:val="bottom"/>
          </w:tcPr>
          <w:p w14:paraId="0A278398" w14:textId="77777777" w:rsidR="00F119D2" w:rsidRDefault="008C5469">
            <w:pPr>
              <w:spacing w:line="360" w:lineRule="auto"/>
              <w:rPr>
                <w:rFonts w:ascii="Book Antiqua" w:eastAsia="SimSun" w:hAnsi="Book Antiqua" w:cs="SimSun"/>
                <w:color w:val="000000"/>
                <w:lang w:eastAsia="zh-CN"/>
              </w:rPr>
            </w:pPr>
            <w:bookmarkStart w:id="4" w:name="RANGE!A5"/>
            <w:r>
              <w:rPr>
                <w:rFonts w:ascii="Book Antiqua" w:eastAsia="SimSun" w:hAnsi="Book Antiqua" w:cs="SimSun"/>
                <w:color w:val="000000"/>
                <w:lang w:eastAsia="zh-CN"/>
              </w:rPr>
              <w:t>Rate of joint destruction</w:t>
            </w:r>
            <w:bookmarkEnd w:id="4"/>
          </w:p>
        </w:tc>
        <w:tc>
          <w:tcPr>
            <w:tcW w:w="4963" w:type="dxa"/>
            <w:shd w:val="clear" w:color="auto" w:fill="auto"/>
            <w:noWrap/>
            <w:vAlign w:val="bottom"/>
          </w:tcPr>
          <w:p w14:paraId="28F022EE"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Rapid</w:t>
            </w:r>
          </w:p>
        </w:tc>
        <w:tc>
          <w:tcPr>
            <w:tcW w:w="2482" w:type="dxa"/>
            <w:shd w:val="clear" w:color="auto" w:fill="auto"/>
            <w:noWrap/>
            <w:vAlign w:val="bottom"/>
          </w:tcPr>
          <w:p w14:paraId="1F78CD98"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Slow</w:t>
            </w:r>
          </w:p>
        </w:tc>
      </w:tr>
      <w:tr w:rsidR="00F119D2" w14:paraId="3450D9F0" w14:textId="77777777">
        <w:trPr>
          <w:trHeight w:val="750"/>
        </w:trPr>
        <w:tc>
          <w:tcPr>
            <w:tcW w:w="1720" w:type="dxa"/>
            <w:shd w:val="clear" w:color="auto" w:fill="auto"/>
            <w:noWrap/>
            <w:vAlign w:val="bottom"/>
          </w:tcPr>
          <w:p w14:paraId="14F6B2B7" w14:textId="77777777" w:rsidR="00F119D2" w:rsidRDefault="008C5469">
            <w:pPr>
              <w:spacing w:line="360" w:lineRule="auto"/>
              <w:rPr>
                <w:rFonts w:ascii="Book Antiqua" w:eastAsia="SimSun" w:hAnsi="Book Antiqua" w:cs="SimSun"/>
                <w:color w:val="000000"/>
                <w:lang w:eastAsia="zh-CN"/>
              </w:rPr>
            </w:pPr>
            <w:bookmarkStart w:id="5" w:name="RANGE!A6"/>
            <w:r>
              <w:rPr>
                <w:rFonts w:ascii="Book Antiqua" w:eastAsia="SimSun" w:hAnsi="Book Antiqua" w:cs="SimSun"/>
                <w:color w:val="000000"/>
                <w:lang w:eastAsia="zh-CN"/>
              </w:rPr>
              <w:t>Radiologic characteristics</w:t>
            </w:r>
            <w:bookmarkEnd w:id="5"/>
          </w:p>
        </w:tc>
        <w:tc>
          <w:tcPr>
            <w:tcW w:w="4963" w:type="dxa"/>
            <w:shd w:val="clear" w:color="auto" w:fill="auto"/>
            <w:noWrap/>
            <w:vAlign w:val="bottom"/>
          </w:tcPr>
          <w:p w14:paraId="5732DE09"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Enlargement of joint cavity;</w:t>
            </w:r>
          </w:p>
        </w:tc>
        <w:tc>
          <w:tcPr>
            <w:tcW w:w="2482" w:type="dxa"/>
            <w:shd w:val="clear" w:color="auto" w:fill="auto"/>
            <w:noWrap/>
            <w:vAlign w:val="bottom"/>
          </w:tcPr>
          <w:p w14:paraId="557CEB04"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Periarticular osteopenia;</w:t>
            </w:r>
          </w:p>
        </w:tc>
      </w:tr>
      <w:tr w:rsidR="00F119D2" w14:paraId="75E1FA90" w14:textId="77777777">
        <w:trPr>
          <w:trHeight w:val="290"/>
        </w:trPr>
        <w:tc>
          <w:tcPr>
            <w:tcW w:w="1720" w:type="dxa"/>
            <w:shd w:val="clear" w:color="auto" w:fill="auto"/>
            <w:noWrap/>
            <w:vAlign w:val="bottom"/>
          </w:tcPr>
          <w:p w14:paraId="1CC58BBB" w14:textId="77777777" w:rsidR="00F119D2" w:rsidRDefault="00F119D2">
            <w:pPr>
              <w:spacing w:line="360" w:lineRule="auto"/>
              <w:rPr>
                <w:rFonts w:ascii="Book Antiqua" w:eastAsia="SimSun" w:hAnsi="Book Antiqua" w:cs="SimSun"/>
                <w:color w:val="000000"/>
                <w:lang w:eastAsia="zh-CN"/>
              </w:rPr>
            </w:pPr>
            <w:bookmarkStart w:id="6" w:name="RANGE!A7"/>
            <w:bookmarkEnd w:id="6"/>
          </w:p>
        </w:tc>
        <w:tc>
          <w:tcPr>
            <w:tcW w:w="4963" w:type="dxa"/>
            <w:shd w:val="clear" w:color="auto" w:fill="auto"/>
            <w:noWrap/>
            <w:vAlign w:val="bottom"/>
          </w:tcPr>
          <w:p w14:paraId="618E399B"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loss of articular cartilage and resorption of subchondral bone; no bone loss and abnormal new bone formation</w:t>
            </w:r>
          </w:p>
        </w:tc>
        <w:tc>
          <w:tcPr>
            <w:tcW w:w="2482" w:type="dxa"/>
            <w:shd w:val="clear" w:color="auto" w:fill="auto"/>
            <w:noWrap/>
            <w:vAlign w:val="bottom"/>
          </w:tcPr>
          <w:p w14:paraId="2844E3C0"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narrowing of the joint space, and bone erosion</w:t>
            </w:r>
          </w:p>
        </w:tc>
      </w:tr>
    </w:tbl>
    <w:p w14:paraId="795660E4" w14:textId="77777777" w:rsidR="00F119D2" w:rsidRDefault="008C5469">
      <w:pPr>
        <w:spacing w:line="360" w:lineRule="auto"/>
        <w:jc w:val="both"/>
        <w:rPr>
          <w:rFonts w:ascii="Book Antiqua" w:hAnsi="Book Antiqua" w:cs="Book Antiqua"/>
        </w:rPr>
      </w:pPr>
      <w:r>
        <w:rPr>
          <w:rFonts w:ascii="Book Antiqua" w:hAnsi="Book Antiqua" w:cs="Book Antiqua"/>
        </w:rPr>
        <w:t xml:space="preserve">MRH: Multicentric </w:t>
      </w:r>
      <w:proofErr w:type="spellStart"/>
      <w:r>
        <w:rPr>
          <w:rFonts w:ascii="Book Antiqua" w:hAnsi="Book Antiqua" w:cs="Book Antiqua"/>
        </w:rPr>
        <w:t>reticulohistiocytosis</w:t>
      </w:r>
      <w:proofErr w:type="spellEnd"/>
      <w:r>
        <w:rPr>
          <w:rFonts w:ascii="Book Antiqua" w:hAnsi="Book Antiqua" w:cs="Book Antiqua"/>
        </w:rPr>
        <w:t>; RA: Rheumatoid arthritis; DIP: Distal interphalangeal; PIP: Proximal interphalangeal joint; MCP: Metacarpophalangeal joints.</w:t>
      </w:r>
    </w:p>
    <w:p w14:paraId="01D01154" w14:textId="77777777" w:rsidR="00F119D2" w:rsidRDefault="008C5469">
      <w:pPr>
        <w:spacing w:line="360" w:lineRule="auto"/>
        <w:rPr>
          <w:rFonts w:ascii="Book Antiqua" w:hAnsi="Book Antiqua" w:cs="Book Antiqua"/>
          <w:b/>
          <w:bCs/>
        </w:rPr>
      </w:pPr>
      <w:r>
        <w:rPr>
          <w:rFonts w:ascii="Book Antiqua" w:hAnsi="Book Antiqua" w:cs="Book Antiqua"/>
          <w:b/>
          <w:bCs/>
        </w:rPr>
        <w:br w:type="page"/>
      </w:r>
    </w:p>
    <w:p w14:paraId="263578CB" w14:textId="77777777" w:rsidR="00F119D2" w:rsidRDefault="008C5469">
      <w:pPr>
        <w:spacing w:line="360" w:lineRule="auto"/>
        <w:jc w:val="both"/>
        <w:rPr>
          <w:rFonts w:ascii="Book Antiqua" w:hAnsi="Book Antiqua"/>
          <w:b/>
          <w:bCs/>
        </w:rPr>
      </w:pPr>
      <w:r>
        <w:rPr>
          <w:rFonts w:ascii="Book Antiqua" w:hAnsi="Book Antiqua"/>
          <w:b/>
          <w:bCs/>
        </w:rPr>
        <w:lastRenderedPageBreak/>
        <w:t xml:space="preserve">Table 2 Comparison of multicentric </w:t>
      </w:r>
      <w:proofErr w:type="spellStart"/>
      <w:r>
        <w:rPr>
          <w:rFonts w:ascii="Book Antiqua" w:hAnsi="Book Antiqua"/>
          <w:b/>
          <w:bCs/>
        </w:rPr>
        <w:t>reticulohistiocytosis</w:t>
      </w:r>
      <w:proofErr w:type="spellEnd"/>
      <w:r>
        <w:rPr>
          <w:rFonts w:ascii="Book Antiqua" w:hAnsi="Book Antiqua"/>
          <w:b/>
          <w:bCs/>
        </w:rPr>
        <w:t xml:space="preserve"> and dermatomyositis</w:t>
      </w:r>
    </w:p>
    <w:tbl>
      <w:tblPr>
        <w:tblW w:w="10067" w:type="dxa"/>
        <w:tblBorders>
          <w:top w:val="single" w:sz="4" w:space="0" w:color="auto"/>
          <w:bottom w:val="single" w:sz="4" w:space="0" w:color="auto"/>
        </w:tblBorders>
        <w:tblLook w:val="04A0" w:firstRow="1" w:lastRow="0" w:firstColumn="1" w:lastColumn="0" w:noHBand="0" w:noVBand="1"/>
      </w:tblPr>
      <w:tblGrid>
        <w:gridCol w:w="1773"/>
        <w:gridCol w:w="4311"/>
        <w:gridCol w:w="3983"/>
      </w:tblGrid>
      <w:tr w:rsidR="00F119D2" w14:paraId="611FD35A" w14:textId="77777777">
        <w:trPr>
          <w:trHeight w:val="310"/>
        </w:trPr>
        <w:tc>
          <w:tcPr>
            <w:tcW w:w="1773" w:type="dxa"/>
            <w:tcBorders>
              <w:top w:val="single" w:sz="4" w:space="0" w:color="auto"/>
              <w:bottom w:val="single" w:sz="4" w:space="0" w:color="auto"/>
            </w:tcBorders>
            <w:shd w:val="clear" w:color="auto" w:fill="auto"/>
            <w:noWrap/>
            <w:vAlign w:val="bottom"/>
          </w:tcPr>
          <w:p w14:paraId="6C67BCD7" w14:textId="77777777" w:rsidR="00F119D2" w:rsidRDefault="00F119D2">
            <w:pPr>
              <w:spacing w:line="360" w:lineRule="auto"/>
              <w:rPr>
                <w:rFonts w:ascii="Book Antiqua" w:eastAsia="SimSun" w:hAnsi="Book Antiqua" w:cs="SimSun"/>
                <w:b/>
                <w:bCs/>
                <w:lang w:eastAsia="zh-CN"/>
              </w:rPr>
            </w:pPr>
          </w:p>
        </w:tc>
        <w:tc>
          <w:tcPr>
            <w:tcW w:w="4311" w:type="dxa"/>
            <w:tcBorders>
              <w:top w:val="single" w:sz="4" w:space="0" w:color="auto"/>
              <w:bottom w:val="single" w:sz="4" w:space="0" w:color="auto"/>
            </w:tcBorders>
            <w:shd w:val="clear" w:color="auto" w:fill="auto"/>
            <w:noWrap/>
            <w:vAlign w:val="bottom"/>
          </w:tcPr>
          <w:p w14:paraId="62C484AE" w14:textId="77777777" w:rsidR="00F119D2" w:rsidRDefault="008C5469">
            <w:pPr>
              <w:spacing w:line="360" w:lineRule="auto"/>
              <w:rPr>
                <w:rFonts w:ascii="Book Antiqua" w:eastAsia="SimSun" w:hAnsi="Book Antiqua" w:cs="SimSun"/>
                <w:b/>
                <w:bCs/>
                <w:color w:val="000000"/>
                <w:lang w:eastAsia="zh-CN"/>
              </w:rPr>
            </w:pPr>
            <w:r>
              <w:rPr>
                <w:rFonts w:ascii="Book Antiqua" w:eastAsia="SimSun" w:hAnsi="Book Antiqua" w:cs="SimSun"/>
                <w:b/>
                <w:bCs/>
                <w:color w:val="000000"/>
                <w:lang w:eastAsia="zh-CN"/>
              </w:rPr>
              <w:t>DM</w:t>
            </w:r>
          </w:p>
        </w:tc>
        <w:tc>
          <w:tcPr>
            <w:tcW w:w="3983" w:type="dxa"/>
            <w:tcBorders>
              <w:top w:val="single" w:sz="4" w:space="0" w:color="auto"/>
              <w:bottom w:val="single" w:sz="4" w:space="0" w:color="auto"/>
            </w:tcBorders>
            <w:shd w:val="clear" w:color="auto" w:fill="auto"/>
            <w:noWrap/>
            <w:vAlign w:val="bottom"/>
          </w:tcPr>
          <w:p w14:paraId="2822FBBA" w14:textId="77777777" w:rsidR="00F119D2" w:rsidRDefault="008C5469">
            <w:pPr>
              <w:spacing w:line="360" w:lineRule="auto"/>
              <w:rPr>
                <w:rFonts w:ascii="Book Antiqua" w:eastAsia="SimSun" w:hAnsi="Book Antiqua" w:cs="SimSun"/>
                <w:b/>
                <w:bCs/>
                <w:color w:val="000000"/>
                <w:lang w:eastAsia="zh-CN"/>
              </w:rPr>
            </w:pPr>
            <w:r>
              <w:rPr>
                <w:rFonts w:ascii="Book Antiqua" w:eastAsia="SimSun" w:hAnsi="Book Antiqua" w:cs="SimSun"/>
                <w:b/>
                <w:bCs/>
                <w:color w:val="000000"/>
                <w:lang w:eastAsia="zh-CN"/>
              </w:rPr>
              <w:t>MRH</w:t>
            </w:r>
          </w:p>
        </w:tc>
      </w:tr>
      <w:tr w:rsidR="00F119D2" w14:paraId="14F6E4BC" w14:textId="77777777">
        <w:trPr>
          <w:trHeight w:val="320"/>
        </w:trPr>
        <w:tc>
          <w:tcPr>
            <w:tcW w:w="1773" w:type="dxa"/>
            <w:tcBorders>
              <w:top w:val="single" w:sz="4" w:space="0" w:color="auto"/>
            </w:tcBorders>
            <w:shd w:val="clear" w:color="auto" w:fill="auto"/>
            <w:noWrap/>
            <w:vAlign w:val="bottom"/>
          </w:tcPr>
          <w:p w14:paraId="1CFC1A29" w14:textId="77777777" w:rsidR="00F119D2" w:rsidRDefault="008C5469">
            <w:pPr>
              <w:spacing w:line="360" w:lineRule="auto"/>
              <w:rPr>
                <w:rFonts w:ascii="Book Antiqua" w:eastAsia="SimSun" w:hAnsi="Book Antiqua" w:cs="SimSun"/>
                <w:color w:val="000000"/>
                <w:lang w:eastAsia="zh-CN"/>
              </w:rPr>
            </w:pPr>
            <w:proofErr w:type="spellStart"/>
            <w:r>
              <w:rPr>
                <w:rFonts w:ascii="Book Antiqua" w:eastAsia="SimSun" w:hAnsi="Book Antiqua" w:cs="SimSun"/>
                <w:color w:val="000000"/>
                <w:lang w:eastAsia="zh-CN"/>
              </w:rPr>
              <w:t>Amyasthenia</w:t>
            </w:r>
            <w:proofErr w:type="spellEnd"/>
          </w:p>
        </w:tc>
        <w:tc>
          <w:tcPr>
            <w:tcW w:w="4311" w:type="dxa"/>
            <w:tcBorders>
              <w:top w:val="single" w:sz="4" w:space="0" w:color="auto"/>
            </w:tcBorders>
            <w:shd w:val="clear" w:color="auto" w:fill="auto"/>
            <w:noWrap/>
            <w:vAlign w:val="bottom"/>
          </w:tcPr>
          <w:p w14:paraId="0E84510B"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More than 90% showed a symmetrical proximal muscle weakness</w:t>
            </w:r>
          </w:p>
        </w:tc>
        <w:tc>
          <w:tcPr>
            <w:tcW w:w="3983" w:type="dxa"/>
            <w:tcBorders>
              <w:top w:val="single" w:sz="4" w:space="0" w:color="auto"/>
            </w:tcBorders>
            <w:shd w:val="clear" w:color="auto" w:fill="auto"/>
            <w:noWrap/>
            <w:vAlign w:val="bottom"/>
          </w:tcPr>
          <w:p w14:paraId="0525C4AD"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Rare</w:t>
            </w:r>
          </w:p>
        </w:tc>
      </w:tr>
      <w:tr w:rsidR="00F119D2" w14:paraId="34BD4945" w14:textId="77777777">
        <w:trPr>
          <w:trHeight w:val="280"/>
        </w:trPr>
        <w:tc>
          <w:tcPr>
            <w:tcW w:w="1773" w:type="dxa"/>
            <w:shd w:val="clear" w:color="auto" w:fill="auto"/>
            <w:noWrap/>
            <w:vAlign w:val="bottom"/>
          </w:tcPr>
          <w:p w14:paraId="5EB1C980"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Increased </w:t>
            </w:r>
            <w:proofErr w:type="spellStart"/>
            <w:r>
              <w:rPr>
                <w:rFonts w:ascii="Book Antiqua" w:eastAsia="SimSun" w:hAnsi="Book Antiqua" w:cs="SimSun"/>
                <w:color w:val="000000"/>
                <w:lang w:eastAsia="zh-CN"/>
              </w:rPr>
              <w:t>myoenzyme</w:t>
            </w:r>
            <w:proofErr w:type="spellEnd"/>
          </w:p>
        </w:tc>
        <w:tc>
          <w:tcPr>
            <w:tcW w:w="4311" w:type="dxa"/>
            <w:shd w:val="clear" w:color="auto" w:fill="auto"/>
            <w:noWrap/>
            <w:vAlign w:val="bottom"/>
          </w:tcPr>
          <w:p w14:paraId="658C1F18"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Almost all patients with DM (except CADM) have at least one </w:t>
            </w:r>
            <w:proofErr w:type="spellStart"/>
            <w:r>
              <w:rPr>
                <w:rFonts w:ascii="Book Antiqua" w:eastAsia="SimSun" w:hAnsi="Book Antiqua" w:cs="SimSun"/>
                <w:color w:val="000000"/>
                <w:lang w:eastAsia="zh-CN"/>
              </w:rPr>
              <w:t>myoenzyme</w:t>
            </w:r>
            <w:proofErr w:type="spellEnd"/>
            <w:r>
              <w:rPr>
                <w:rFonts w:ascii="Book Antiqua" w:eastAsia="SimSun" w:hAnsi="Book Antiqua" w:cs="SimSun"/>
                <w:color w:val="000000"/>
                <w:lang w:eastAsia="zh-CN"/>
              </w:rPr>
              <w:t xml:space="preserve"> level at some point in the disease course</w:t>
            </w:r>
          </w:p>
        </w:tc>
        <w:tc>
          <w:tcPr>
            <w:tcW w:w="3983" w:type="dxa"/>
            <w:shd w:val="clear" w:color="auto" w:fill="auto"/>
            <w:noWrap/>
            <w:vAlign w:val="bottom"/>
          </w:tcPr>
          <w:p w14:paraId="4B91D5A0"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Rare</w:t>
            </w:r>
          </w:p>
        </w:tc>
      </w:tr>
      <w:tr w:rsidR="00F119D2" w14:paraId="15BFEA5A" w14:textId="77777777">
        <w:trPr>
          <w:trHeight w:val="310"/>
        </w:trPr>
        <w:tc>
          <w:tcPr>
            <w:tcW w:w="1773" w:type="dxa"/>
            <w:shd w:val="clear" w:color="auto" w:fill="auto"/>
            <w:noWrap/>
            <w:vAlign w:val="bottom"/>
          </w:tcPr>
          <w:p w14:paraId="5CB0B65B"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Skin manifestations</w:t>
            </w:r>
          </w:p>
        </w:tc>
        <w:tc>
          <w:tcPr>
            <w:tcW w:w="4311" w:type="dxa"/>
            <w:shd w:val="clear" w:color="auto" w:fill="auto"/>
            <w:noWrap/>
            <w:vAlign w:val="bottom"/>
          </w:tcPr>
          <w:p w14:paraId="0250962E" w14:textId="77777777" w:rsidR="00F119D2" w:rsidRDefault="008C5469">
            <w:pPr>
              <w:spacing w:line="360" w:lineRule="auto"/>
              <w:rPr>
                <w:rFonts w:ascii="Book Antiqua" w:eastAsia="SimSun" w:hAnsi="Book Antiqua" w:cs="SimSun"/>
                <w:color w:val="000000"/>
                <w:lang w:eastAsia="zh-CN"/>
              </w:rPr>
            </w:pPr>
            <w:proofErr w:type="spellStart"/>
            <w:r>
              <w:rPr>
                <w:rFonts w:ascii="Book Antiqua" w:eastAsia="SimSun" w:hAnsi="Book Antiqua" w:cs="SimSun"/>
                <w:color w:val="000000"/>
                <w:lang w:eastAsia="zh-CN"/>
              </w:rPr>
              <w:t>Gottron</w:t>
            </w:r>
            <w:proofErr w:type="spellEnd"/>
            <w:r>
              <w:rPr>
                <w:rFonts w:ascii="Book Antiqua" w:eastAsia="SimSun" w:hAnsi="Book Antiqua" w:cs="SimSun"/>
                <w:color w:val="000000"/>
                <w:lang w:eastAsia="zh-CN"/>
              </w:rPr>
              <w:t xml:space="preserve"> papules and heliotrope rash are the definitive features of DM; </w:t>
            </w:r>
            <w:proofErr w:type="spellStart"/>
            <w:r>
              <w:rPr>
                <w:rFonts w:ascii="Book Antiqua" w:eastAsia="SimSun" w:hAnsi="Book Antiqua" w:cs="SimSun"/>
                <w:color w:val="000000"/>
                <w:lang w:eastAsia="zh-CN"/>
              </w:rPr>
              <w:t>Gottron</w:t>
            </w:r>
            <w:proofErr w:type="spellEnd"/>
            <w:r>
              <w:rPr>
                <w:rFonts w:ascii="Book Antiqua" w:eastAsia="SimSun" w:hAnsi="Book Antiqua" w:cs="SimSun"/>
                <w:color w:val="000000"/>
                <w:lang w:eastAsia="zh-CN"/>
              </w:rPr>
              <w:t xml:space="preserve"> signs, erythema along the light site, heterochromia, nail fold changes, scalp involvement, and skin calcification are also typical manifestations of DM</w:t>
            </w:r>
          </w:p>
        </w:tc>
        <w:tc>
          <w:tcPr>
            <w:tcW w:w="3983" w:type="dxa"/>
            <w:shd w:val="clear" w:color="auto" w:fill="auto"/>
            <w:noWrap/>
            <w:vAlign w:val="bottom"/>
          </w:tcPr>
          <w:p w14:paraId="689E235F"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The manifestations of skin lesions include popular nodules and macules. Skin lesions are primarily distributed on the face, scalp, behind the ears, neck, anterior chest, back, waist, and abdomen, arms, hands, and thigh</w:t>
            </w:r>
          </w:p>
        </w:tc>
      </w:tr>
      <w:tr w:rsidR="00F119D2" w14:paraId="4F76CD18" w14:textId="77777777">
        <w:trPr>
          <w:trHeight w:val="1550"/>
        </w:trPr>
        <w:tc>
          <w:tcPr>
            <w:tcW w:w="1773" w:type="dxa"/>
            <w:shd w:val="clear" w:color="auto" w:fill="auto"/>
            <w:noWrap/>
            <w:vAlign w:val="bottom"/>
          </w:tcPr>
          <w:p w14:paraId="7E8E4C51"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Skin biopsy</w:t>
            </w:r>
          </w:p>
        </w:tc>
        <w:tc>
          <w:tcPr>
            <w:tcW w:w="4311" w:type="dxa"/>
            <w:shd w:val="clear" w:color="auto" w:fill="auto"/>
            <w:noWrap/>
            <w:vAlign w:val="bottom"/>
          </w:tcPr>
          <w:p w14:paraId="3412C686"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The sporadic or focal infiltration of lymphocytes, plasma cells, and histiocytes</w:t>
            </w:r>
          </w:p>
        </w:tc>
        <w:tc>
          <w:tcPr>
            <w:tcW w:w="3983" w:type="dxa"/>
            <w:shd w:val="clear" w:color="auto" w:fill="auto"/>
            <w:noWrap/>
            <w:vAlign w:val="bottom"/>
          </w:tcPr>
          <w:p w14:paraId="4F56C956" w14:textId="77777777" w:rsidR="00F119D2" w:rsidRDefault="008C5469">
            <w:pPr>
              <w:spacing w:line="360" w:lineRule="auto"/>
              <w:rPr>
                <w:rFonts w:ascii="Book Antiqua" w:eastAsia="SimSun" w:hAnsi="Book Antiqua" w:cs="SimSun"/>
                <w:color w:val="000000"/>
                <w:lang w:eastAsia="zh-CN"/>
              </w:rPr>
            </w:pPr>
            <w:proofErr w:type="gramStart"/>
            <w:r>
              <w:rPr>
                <w:rFonts w:ascii="Book Antiqua" w:eastAsia="SimSun" w:hAnsi="Book Antiqua" w:cs="SimSun"/>
                <w:color w:val="000000"/>
                <w:lang w:eastAsia="zh-CN"/>
              </w:rPr>
              <w:t>A large number of</w:t>
            </w:r>
            <w:proofErr w:type="gramEnd"/>
            <w:r>
              <w:rPr>
                <w:rFonts w:ascii="Book Antiqua" w:eastAsia="SimSun" w:hAnsi="Book Antiqua" w:cs="SimSun"/>
                <w:color w:val="000000"/>
                <w:lang w:eastAsia="zh-CN"/>
              </w:rPr>
              <w:t xml:space="preserve"> histiocytes and multinucleated giant cells with an eosinophilic cytoplasm and hairy glass-like changes</w:t>
            </w:r>
          </w:p>
        </w:tc>
      </w:tr>
    </w:tbl>
    <w:p w14:paraId="1BA6FE4B" w14:textId="77777777" w:rsidR="00F119D2" w:rsidRDefault="008C5469">
      <w:pPr>
        <w:spacing w:line="360" w:lineRule="auto"/>
        <w:jc w:val="both"/>
        <w:rPr>
          <w:rFonts w:ascii="Book Antiqua" w:hAnsi="Book Antiqua"/>
        </w:rPr>
      </w:pPr>
      <w:r>
        <w:rPr>
          <w:rFonts w:ascii="Book Antiqua" w:hAnsi="Book Antiqua"/>
        </w:rPr>
        <w:t xml:space="preserve">MRH: Multicentric </w:t>
      </w:r>
      <w:proofErr w:type="spellStart"/>
      <w:r>
        <w:rPr>
          <w:rFonts w:ascii="Book Antiqua" w:hAnsi="Book Antiqua"/>
        </w:rPr>
        <w:t>reticulohistiocytosis</w:t>
      </w:r>
      <w:proofErr w:type="spellEnd"/>
      <w:r>
        <w:rPr>
          <w:rFonts w:ascii="Book Antiqua" w:hAnsi="Book Antiqua"/>
        </w:rPr>
        <w:t>; DM: Dermatomyositis; CADM: Clinically amyopathic dermatomyositis.</w:t>
      </w:r>
    </w:p>
    <w:p w14:paraId="70763E49" w14:textId="77777777" w:rsidR="00F119D2" w:rsidRDefault="008C5469">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3 The clinical characteristics of multicentric </w:t>
      </w:r>
      <w:proofErr w:type="spellStart"/>
      <w:r>
        <w:rPr>
          <w:rFonts w:ascii="Book Antiqua" w:hAnsi="Book Antiqua"/>
          <w:b/>
          <w:bCs/>
        </w:rPr>
        <w:t>reticulohistiocytosis</w:t>
      </w:r>
      <w:proofErr w:type="spellEnd"/>
    </w:p>
    <w:tbl>
      <w:tblPr>
        <w:tblW w:w="9623" w:type="dxa"/>
        <w:tblBorders>
          <w:top w:val="single" w:sz="4" w:space="0" w:color="auto"/>
          <w:bottom w:val="single" w:sz="4" w:space="0" w:color="auto"/>
        </w:tblBorders>
        <w:tblLook w:val="04A0" w:firstRow="1" w:lastRow="0" w:firstColumn="1" w:lastColumn="0" w:noHBand="0" w:noVBand="1"/>
      </w:tblPr>
      <w:tblGrid>
        <w:gridCol w:w="1773"/>
        <w:gridCol w:w="7850"/>
      </w:tblGrid>
      <w:tr w:rsidR="00F119D2" w14:paraId="5BDAE029" w14:textId="77777777">
        <w:trPr>
          <w:trHeight w:val="252"/>
        </w:trPr>
        <w:tc>
          <w:tcPr>
            <w:tcW w:w="9623" w:type="dxa"/>
            <w:gridSpan w:val="2"/>
            <w:tcBorders>
              <w:top w:val="single" w:sz="4" w:space="0" w:color="auto"/>
              <w:bottom w:val="single" w:sz="4" w:space="0" w:color="auto"/>
            </w:tcBorders>
            <w:shd w:val="clear" w:color="auto" w:fill="auto"/>
            <w:noWrap/>
            <w:vAlign w:val="bottom"/>
          </w:tcPr>
          <w:p w14:paraId="03407BD2"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Clinical manifestation</w:t>
            </w:r>
          </w:p>
        </w:tc>
      </w:tr>
      <w:tr w:rsidR="00F119D2" w14:paraId="0CD1A854" w14:textId="77777777">
        <w:trPr>
          <w:trHeight w:val="320"/>
        </w:trPr>
        <w:tc>
          <w:tcPr>
            <w:tcW w:w="1773" w:type="dxa"/>
            <w:tcBorders>
              <w:top w:val="single" w:sz="4" w:space="0" w:color="auto"/>
            </w:tcBorders>
            <w:shd w:val="clear" w:color="auto" w:fill="auto"/>
            <w:noWrap/>
            <w:vAlign w:val="bottom"/>
          </w:tcPr>
          <w:p w14:paraId="76D65990"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Skin lesions</w:t>
            </w:r>
          </w:p>
        </w:tc>
        <w:tc>
          <w:tcPr>
            <w:tcW w:w="7850" w:type="dxa"/>
            <w:tcBorders>
              <w:top w:val="single" w:sz="4" w:space="0" w:color="auto"/>
            </w:tcBorders>
            <w:shd w:val="clear" w:color="auto" w:fill="auto"/>
            <w:noWrap/>
            <w:vAlign w:val="bottom"/>
          </w:tcPr>
          <w:p w14:paraId="1836E3E6"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The skin is the most frequently involved site of MRH. Skin lesions may be the first symptom and are primarily distributed on the face, scalp, behind the ears, neck, anterior chest, back, waist, and abdomen, arms, hands, and thigh. The manifestations of skin lesions include </w:t>
            </w:r>
            <w:proofErr w:type="spellStart"/>
            <w:r>
              <w:rPr>
                <w:rFonts w:ascii="Book Antiqua" w:eastAsia="SimSun" w:hAnsi="Book Antiqua" w:cs="SimSun"/>
                <w:color w:val="000000"/>
                <w:lang w:eastAsia="zh-CN"/>
              </w:rPr>
              <w:t>papular</w:t>
            </w:r>
            <w:proofErr w:type="spellEnd"/>
            <w:r>
              <w:rPr>
                <w:rFonts w:ascii="Book Antiqua" w:eastAsia="SimSun" w:hAnsi="Book Antiqua" w:cs="SimSun"/>
                <w:color w:val="000000"/>
                <w:lang w:eastAsia="zh-CN"/>
              </w:rPr>
              <w:t xml:space="preserve"> nodules, and macules. MRH can also involve mucous membranes (</w:t>
            </w:r>
            <w:r>
              <w:rPr>
                <w:rFonts w:ascii="Book Antiqua" w:eastAsia="SimSun" w:hAnsi="Book Antiqua" w:cs="SimSun"/>
                <w:i/>
                <w:iCs/>
                <w:color w:val="000000"/>
                <w:lang w:eastAsia="zh-CN"/>
              </w:rPr>
              <w:t>e.g.,</w:t>
            </w:r>
            <w:r>
              <w:rPr>
                <w:rFonts w:ascii="Book Antiqua" w:eastAsia="SimSun" w:hAnsi="Book Antiqua" w:cs="SimSun"/>
                <w:color w:val="000000"/>
                <w:lang w:eastAsia="zh-CN"/>
              </w:rPr>
              <w:t xml:space="preserve"> oral mucosa, gingival mucosa, and laryngeal mucosa)</w:t>
            </w:r>
          </w:p>
        </w:tc>
      </w:tr>
      <w:tr w:rsidR="00F119D2" w14:paraId="5E7DF6CA" w14:textId="77777777">
        <w:trPr>
          <w:trHeight w:val="290"/>
        </w:trPr>
        <w:tc>
          <w:tcPr>
            <w:tcW w:w="1773" w:type="dxa"/>
            <w:shd w:val="clear" w:color="auto" w:fill="auto"/>
            <w:noWrap/>
            <w:vAlign w:val="bottom"/>
          </w:tcPr>
          <w:p w14:paraId="623353B7"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MRH-associated arthritis </w:t>
            </w:r>
          </w:p>
        </w:tc>
        <w:tc>
          <w:tcPr>
            <w:tcW w:w="7850" w:type="dxa"/>
            <w:shd w:val="clear" w:color="auto" w:fill="auto"/>
            <w:noWrap/>
            <w:vAlign w:val="bottom"/>
          </w:tcPr>
          <w:p w14:paraId="661F6BF8"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Arthritis can appear as the first symptom of MRH </w:t>
            </w:r>
            <w:proofErr w:type="gramStart"/>
            <w:r>
              <w:rPr>
                <w:rFonts w:ascii="Book Antiqua" w:eastAsia="SimSun" w:hAnsi="Book Antiqua" w:cs="SimSun"/>
                <w:color w:val="000000"/>
                <w:lang w:eastAsia="zh-CN"/>
              </w:rPr>
              <w:t>and also</w:t>
            </w:r>
            <w:proofErr w:type="gramEnd"/>
            <w:r>
              <w:rPr>
                <w:rFonts w:ascii="Book Antiqua" w:eastAsia="SimSun" w:hAnsi="Book Antiqua" w:cs="SimSun"/>
                <w:color w:val="000000"/>
                <w:lang w:eastAsia="zh-CN"/>
              </w:rPr>
              <w:t xml:space="preserve"> can occur simultaneously with skin lesions. MRH-associated arthritis can be characterized as diffuse, symmetric, progressive, and destructive. MRH is </w:t>
            </w:r>
            <w:proofErr w:type="gramStart"/>
            <w:r>
              <w:rPr>
                <w:rFonts w:ascii="Book Antiqua" w:eastAsia="SimSun" w:hAnsi="Book Antiqua" w:cs="SimSun"/>
                <w:color w:val="000000"/>
                <w:lang w:eastAsia="zh-CN"/>
              </w:rPr>
              <w:t>most commonly involved</w:t>
            </w:r>
            <w:proofErr w:type="gramEnd"/>
            <w:r>
              <w:rPr>
                <w:rFonts w:ascii="Book Antiqua" w:eastAsia="SimSun" w:hAnsi="Book Antiqua" w:cs="SimSun"/>
                <w:color w:val="000000"/>
                <w:lang w:eastAsia="zh-CN"/>
              </w:rPr>
              <w:t xml:space="preserve"> in the hand joints, especially the distal interphalangeal joint, followed by the knee joint, the shoulder, elbow, hip, ankle, and metatarsophalangeal joint. The affected joints exhibit swelling, pain, increase in skin temperature, joint effusion, and some patients can also experience morning stiffness</w:t>
            </w:r>
          </w:p>
        </w:tc>
      </w:tr>
      <w:tr w:rsidR="00F119D2" w14:paraId="20F1053C" w14:textId="77777777">
        <w:trPr>
          <w:trHeight w:val="310"/>
        </w:trPr>
        <w:tc>
          <w:tcPr>
            <w:tcW w:w="1773" w:type="dxa"/>
            <w:shd w:val="clear" w:color="auto" w:fill="auto"/>
            <w:noWrap/>
            <w:vAlign w:val="bottom"/>
          </w:tcPr>
          <w:p w14:paraId="21717A3A"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Other clinical manifestations</w:t>
            </w:r>
          </w:p>
        </w:tc>
        <w:tc>
          <w:tcPr>
            <w:tcW w:w="7850" w:type="dxa"/>
            <w:shd w:val="clear" w:color="auto" w:fill="auto"/>
            <w:noWrap/>
            <w:vAlign w:val="bottom"/>
          </w:tcPr>
          <w:p w14:paraId="196ACA8E"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Muscle involvement: myalgia or decreased muscle strength; Electromyography (EMG) may exhibit myogenic lesions in some </w:t>
            </w:r>
            <w:proofErr w:type="gramStart"/>
            <w:r>
              <w:rPr>
                <w:rFonts w:ascii="Book Antiqua" w:eastAsia="SimSun" w:hAnsi="Book Antiqua" w:cs="SimSun"/>
                <w:color w:val="000000"/>
                <w:lang w:eastAsia="zh-CN"/>
              </w:rPr>
              <w:t>patients;</w:t>
            </w:r>
            <w:proofErr w:type="gramEnd"/>
            <w:r>
              <w:rPr>
                <w:rFonts w:ascii="Book Antiqua" w:eastAsia="SimSun" w:hAnsi="Book Antiqua" w:cs="SimSun"/>
                <w:color w:val="000000"/>
                <w:lang w:eastAsia="zh-CN"/>
              </w:rPr>
              <w:t xml:space="preserve"> </w:t>
            </w:r>
          </w:p>
          <w:p w14:paraId="30E96801"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 xml:space="preserve">Lung involvement: </w:t>
            </w:r>
            <w:r>
              <w:rPr>
                <w:rFonts w:ascii="Book Antiqua" w:eastAsia="SimSun" w:hAnsi="Book Antiqua" w:cs="SimSun"/>
                <w:color w:val="000000"/>
                <w:lang w:eastAsia="zh-CN"/>
              </w:rPr>
              <w:t xml:space="preserve">dyspnea, pulmonary nodules, pleural effusion, or pulmonary interstitial </w:t>
            </w:r>
            <w:proofErr w:type="gramStart"/>
            <w:r>
              <w:rPr>
                <w:rFonts w:ascii="Book Antiqua" w:eastAsia="SimSun" w:hAnsi="Book Antiqua" w:cs="SimSun"/>
                <w:color w:val="000000"/>
                <w:lang w:eastAsia="zh-CN"/>
              </w:rPr>
              <w:t>fibrosis;</w:t>
            </w:r>
            <w:proofErr w:type="gramEnd"/>
            <w:r>
              <w:rPr>
                <w:rFonts w:ascii="Book Antiqua" w:eastAsia="SimSun" w:hAnsi="Book Antiqua" w:cs="SimSun"/>
                <w:color w:val="000000"/>
                <w:lang w:eastAsia="zh-CN"/>
              </w:rPr>
              <w:t xml:space="preserve"> </w:t>
            </w:r>
          </w:p>
          <w:p w14:paraId="0547AD9B"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Heart involvement</w:t>
            </w:r>
            <w:r>
              <w:rPr>
                <w:rFonts w:ascii="Book Antiqua" w:eastAsia="SimSun" w:hAnsi="Book Antiqua" w:cs="SimSun"/>
                <w:color w:val="000000"/>
                <w:lang w:eastAsia="zh-CN"/>
              </w:rPr>
              <w:t xml:space="preserve">: pericardial effusion and </w:t>
            </w:r>
            <w:proofErr w:type="gramStart"/>
            <w:r>
              <w:rPr>
                <w:rFonts w:ascii="Book Antiqua" w:eastAsia="SimSun" w:hAnsi="Book Antiqua" w:cs="SimSun"/>
                <w:color w:val="000000"/>
                <w:lang w:eastAsia="zh-CN"/>
              </w:rPr>
              <w:t>myocarditis;</w:t>
            </w:r>
            <w:proofErr w:type="gramEnd"/>
          </w:p>
          <w:p w14:paraId="29DBD27A"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color w:val="000000"/>
                <w:lang w:eastAsia="zh-CN"/>
              </w:rPr>
              <w:t>L</w:t>
            </w:r>
            <w:r>
              <w:rPr>
                <w:rFonts w:ascii="Book Antiqua" w:eastAsia="SimSun" w:hAnsi="Book Antiqua" w:cs="SimSun"/>
                <w:b/>
                <w:bCs/>
                <w:color w:val="000000"/>
                <w:lang w:eastAsia="zh-CN"/>
              </w:rPr>
              <w:t>aryngeal involvement:</w:t>
            </w:r>
            <w:r>
              <w:rPr>
                <w:rFonts w:ascii="Book Antiqua" w:eastAsia="SimSun" w:hAnsi="Book Antiqua" w:cs="SimSun"/>
                <w:color w:val="000000"/>
                <w:lang w:eastAsia="zh-CN"/>
              </w:rPr>
              <w:t xml:space="preserve"> hoarseness, foreign body sensation in the larynx, or laryngeal </w:t>
            </w:r>
            <w:proofErr w:type="gramStart"/>
            <w:r>
              <w:rPr>
                <w:rFonts w:ascii="Book Antiqua" w:eastAsia="SimSun" w:hAnsi="Book Antiqua" w:cs="SimSun"/>
                <w:color w:val="000000"/>
                <w:lang w:eastAsia="zh-CN"/>
              </w:rPr>
              <w:t>abnormalities;</w:t>
            </w:r>
            <w:proofErr w:type="gramEnd"/>
            <w:r>
              <w:rPr>
                <w:rFonts w:ascii="Book Antiqua" w:eastAsia="SimSun" w:hAnsi="Book Antiqua" w:cs="SimSun"/>
                <w:color w:val="000000"/>
                <w:lang w:eastAsia="zh-CN"/>
              </w:rPr>
              <w:t xml:space="preserve"> </w:t>
            </w:r>
          </w:p>
          <w:p w14:paraId="71264A84"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Thyroid involvement</w:t>
            </w:r>
            <w:r>
              <w:rPr>
                <w:rFonts w:ascii="Book Antiqua" w:eastAsia="SimSun" w:hAnsi="Book Antiqua" w:cs="SimSun"/>
                <w:color w:val="000000"/>
                <w:lang w:eastAsia="zh-CN"/>
              </w:rPr>
              <w:t xml:space="preserve">: </w:t>
            </w:r>
            <w:proofErr w:type="gramStart"/>
            <w:r>
              <w:rPr>
                <w:rFonts w:ascii="Book Antiqua" w:eastAsia="SimSun" w:hAnsi="Book Antiqua" w:cs="SimSun"/>
                <w:color w:val="000000"/>
                <w:lang w:eastAsia="zh-CN"/>
              </w:rPr>
              <w:t>hypothyroidism;</w:t>
            </w:r>
            <w:proofErr w:type="gramEnd"/>
            <w:r>
              <w:rPr>
                <w:rFonts w:ascii="Book Antiqua" w:eastAsia="SimSun" w:hAnsi="Book Antiqua" w:cs="SimSun"/>
                <w:color w:val="000000"/>
                <w:lang w:eastAsia="zh-CN"/>
              </w:rPr>
              <w:t xml:space="preserve"> </w:t>
            </w:r>
          </w:p>
          <w:p w14:paraId="65058CA2"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Thrombosis</w:t>
            </w:r>
            <w:r>
              <w:rPr>
                <w:rFonts w:ascii="Book Antiqua" w:eastAsia="SimSun" w:hAnsi="Book Antiqua" w:cs="SimSun"/>
                <w:color w:val="000000"/>
                <w:lang w:eastAsia="zh-CN"/>
              </w:rPr>
              <w:t xml:space="preserve"> has also been reported in patients with MRH. A small number of patients have</w:t>
            </w:r>
            <w:r>
              <w:rPr>
                <w:rFonts w:ascii="Book Antiqua" w:eastAsia="SimSun" w:hAnsi="Book Antiqua" w:cs="SimSun"/>
                <w:b/>
                <w:bCs/>
                <w:color w:val="000000"/>
                <w:lang w:eastAsia="zh-CN"/>
              </w:rPr>
              <w:t xml:space="preserve"> extensive systemic involvement</w:t>
            </w:r>
            <w:r>
              <w:rPr>
                <w:rFonts w:ascii="Book Antiqua" w:eastAsia="SimSun" w:hAnsi="Book Antiqua" w:cs="SimSun"/>
                <w:color w:val="000000"/>
                <w:lang w:eastAsia="zh-CN"/>
              </w:rPr>
              <w:t xml:space="preserve"> of the larynx, lungs, spleen, and plasma membranes at the same time. </w:t>
            </w:r>
            <w:r>
              <w:rPr>
                <w:rFonts w:ascii="Book Antiqua" w:eastAsia="SimSun" w:hAnsi="Book Antiqua" w:cs="SimSun"/>
                <w:b/>
                <w:color w:val="000000"/>
                <w:lang w:eastAsia="zh-CN"/>
              </w:rPr>
              <w:t>S</w:t>
            </w:r>
            <w:r>
              <w:rPr>
                <w:rFonts w:ascii="Book Antiqua" w:eastAsia="SimSun" w:hAnsi="Book Antiqua" w:cs="SimSun"/>
                <w:b/>
                <w:bCs/>
                <w:color w:val="000000"/>
                <w:lang w:eastAsia="zh-CN"/>
              </w:rPr>
              <w:t xml:space="preserve">ystemic </w:t>
            </w:r>
            <w:r>
              <w:rPr>
                <w:rFonts w:ascii="Book Antiqua" w:eastAsia="SimSun" w:hAnsi="Book Antiqua" w:cs="SimSun"/>
                <w:b/>
                <w:bCs/>
                <w:color w:val="000000"/>
                <w:lang w:eastAsia="zh-CN"/>
              </w:rPr>
              <w:lastRenderedPageBreak/>
              <w:t>symptoms</w:t>
            </w:r>
            <w:r>
              <w:rPr>
                <w:rFonts w:ascii="Book Antiqua" w:eastAsia="SimSun" w:hAnsi="Book Antiqua" w:cs="SimSun"/>
                <w:color w:val="000000"/>
                <w:lang w:eastAsia="zh-CN"/>
              </w:rPr>
              <w:t>: fatigue, fever, and weight loss</w:t>
            </w:r>
          </w:p>
        </w:tc>
      </w:tr>
      <w:tr w:rsidR="00F119D2" w14:paraId="3603C862" w14:textId="77777777">
        <w:trPr>
          <w:trHeight w:val="310"/>
        </w:trPr>
        <w:tc>
          <w:tcPr>
            <w:tcW w:w="9623" w:type="dxa"/>
            <w:gridSpan w:val="2"/>
            <w:shd w:val="clear" w:color="auto" w:fill="auto"/>
            <w:noWrap/>
            <w:vAlign w:val="bottom"/>
          </w:tcPr>
          <w:p w14:paraId="5962953A"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lastRenderedPageBreak/>
              <w:t>Laboratory tests</w:t>
            </w:r>
          </w:p>
        </w:tc>
      </w:tr>
      <w:tr w:rsidR="00F119D2" w14:paraId="74FDBA44" w14:textId="77777777">
        <w:trPr>
          <w:trHeight w:val="554"/>
        </w:trPr>
        <w:tc>
          <w:tcPr>
            <w:tcW w:w="9623" w:type="dxa"/>
            <w:gridSpan w:val="2"/>
            <w:shd w:val="clear" w:color="auto" w:fill="auto"/>
            <w:noWrap/>
            <w:vAlign w:val="bottom"/>
          </w:tcPr>
          <w:p w14:paraId="4A2B2A2C"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Non-specific. Some patients may have increased leukocytes, decreased hemoglobin, accelerated sedimentation, and elevated lipids</w:t>
            </w:r>
          </w:p>
        </w:tc>
      </w:tr>
      <w:tr w:rsidR="00F119D2" w14:paraId="53DE1723" w14:textId="77777777">
        <w:trPr>
          <w:trHeight w:val="290"/>
        </w:trPr>
        <w:tc>
          <w:tcPr>
            <w:tcW w:w="9623" w:type="dxa"/>
            <w:gridSpan w:val="2"/>
            <w:shd w:val="clear" w:color="auto" w:fill="auto"/>
            <w:noWrap/>
            <w:vAlign w:val="bottom"/>
          </w:tcPr>
          <w:p w14:paraId="44DFAC34"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 xml:space="preserve">Histopathology </w:t>
            </w:r>
          </w:p>
        </w:tc>
      </w:tr>
      <w:tr w:rsidR="00F119D2" w14:paraId="1CB65CB2" w14:textId="77777777">
        <w:trPr>
          <w:trHeight w:val="290"/>
        </w:trPr>
        <w:tc>
          <w:tcPr>
            <w:tcW w:w="9623" w:type="dxa"/>
            <w:gridSpan w:val="2"/>
            <w:shd w:val="clear" w:color="auto" w:fill="auto"/>
            <w:noWrap/>
            <w:vAlign w:val="bottom"/>
          </w:tcPr>
          <w:p w14:paraId="0A2A882A" w14:textId="77777777" w:rsidR="00F119D2" w:rsidRDefault="008C5469">
            <w:pPr>
              <w:spacing w:line="360" w:lineRule="auto"/>
              <w:rPr>
                <w:rFonts w:ascii="Book Antiqua" w:eastAsia="SimSun" w:hAnsi="Book Antiqua" w:cs="SimSun"/>
                <w:b/>
                <w:bCs/>
                <w:color w:val="000000"/>
                <w:lang w:eastAsia="zh-CN"/>
              </w:rPr>
            </w:pPr>
            <w:r>
              <w:rPr>
                <w:rFonts w:ascii="Book Antiqua" w:eastAsia="SimSun" w:hAnsi="Book Antiqua" w:cs="SimSun"/>
                <w:color w:val="000000"/>
                <w:lang w:eastAsia="zh-CN"/>
              </w:rPr>
              <w:t xml:space="preserve">Histopathological manifestations: </w:t>
            </w:r>
            <w:proofErr w:type="gramStart"/>
            <w:r>
              <w:rPr>
                <w:rFonts w:ascii="Book Antiqua" w:eastAsia="SimSun" w:hAnsi="Book Antiqua" w:cs="SimSun"/>
                <w:color w:val="000000"/>
                <w:lang w:eastAsia="zh-CN"/>
              </w:rPr>
              <w:t>a large number of</w:t>
            </w:r>
            <w:proofErr w:type="gramEnd"/>
            <w:r>
              <w:rPr>
                <w:rFonts w:ascii="Book Antiqua" w:eastAsia="SimSun" w:hAnsi="Book Antiqua" w:cs="SimSun"/>
                <w:color w:val="000000"/>
                <w:lang w:eastAsia="zh-CN"/>
              </w:rPr>
              <w:t xml:space="preserve"> histiocytes and multinucleated giant cells with an eosinophilic cytoplasm and hairy glass-like changes</w:t>
            </w:r>
          </w:p>
        </w:tc>
      </w:tr>
      <w:tr w:rsidR="00F119D2" w14:paraId="244C9523" w14:textId="77777777">
        <w:trPr>
          <w:trHeight w:val="274"/>
        </w:trPr>
        <w:tc>
          <w:tcPr>
            <w:tcW w:w="9623" w:type="dxa"/>
            <w:gridSpan w:val="2"/>
            <w:shd w:val="clear" w:color="auto" w:fill="auto"/>
            <w:noWrap/>
            <w:vAlign w:val="bottom"/>
          </w:tcPr>
          <w:p w14:paraId="1B0EDD4D"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Immunohistochemistry: macrophage marker CD68 is positive; the Langerhans cell tissue markers S-100, CD1a and B cell markers CD19 and CD20 are negative; CD45, CD43, Mac387, and lysozyme are positive to varying degrees</w:t>
            </w:r>
          </w:p>
        </w:tc>
      </w:tr>
      <w:tr w:rsidR="00F119D2" w14:paraId="51E316BC" w14:textId="77777777">
        <w:trPr>
          <w:trHeight w:val="271"/>
        </w:trPr>
        <w:tc>
          <w:tcPr>
            <w:tcW w:w="9623" w:type="dxa"/>
            <w:gridSpan w:val="2"/>
            <w:shd w:val="clear" w:color="auto" w:fill="auto"/>
            <w:noWrap/>
            <w:vAlign w:val="bottom"/>
          </w:tcPr>
          <w:p w14:paraId="2902221A"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MRH-associated diseases</w:t>
            </w:r>
          </w:p>
        </w:tc>
      </w:tr>
      <w:tr w:rsidR="00F119D2" w14:paraId="6FEB3BE8" w14:textId="77777777">
        <w:trPr>
          <w:trHeight w:val="558"/>
        </w:trPr>
        <w:tc>
          <w:tcPr>
            <w:tcW w:w="9623" w:type="dxa"/>
            <w:gridSpan w:val="2"/>
            <w:shd w:val="clear" w:color="auto" w:fill="auto"/>
            <w:noWrap/>
            <w:vAlign w:val="bottom"/>
          </w:tcPr>
          <w:p w14:paraId="0FEC1B97"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Systemic autoimmune diseases: systemic lupus erythematosus, rheumatoid arthritis, Sjogren's syndrome, dermatomyositis, hypothyroidism, diabetes, and tuberculosis</w:t>
            </w:r>
          </w:p>
        </w:tc>
      </w:tr>
      <w:tr w:rsidR="00F119D2" w14:paraId="1E2BB7E7" w14:textId="77777777">
        <w:trPr>
          <w:trHeight w:val="416"/>
        </w:trPr>
        <w:tc>
          <w:tcPr>
            <w:tcW w:w="9623" w:type="dxa"/>
            <w:gridSpan w:val="2"/>
            <w:shd w:val="clear" w:color="auto" w:fill="auto"/>
            <w:noWrap/>
            <w:vAlign w:val="bottom"/>
          </w:tcPr>
          <w:p w14:paraId="2E661B22"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Malignancy: Covering almost all solid tumors and hematologic malignant diseases</w:t>
            </w:r>
          </w:p>
        </w:tc>
      </w:tr>
      <w:tr w:rsidR="00F119D2" w14:paraId="02441EE9" w14:textId="77777777">
        <w:trPr>
          <w:trHeight w:val="236"/>
        </w:trPr>
        <w:tc>
          <w:tcPr>
            <w:tcW w:w="9623" w:type="dxa"/>
            <w:gridSpan w:val="2"/>
            <w:shd w:val="clear" w:color="auto" w:fill="auto"/>
            <w:noWrap/>
            <w:vAlign w:val="bottom"/>
          </w:tcPr>
          <w:p w14:paraId="0E3AD683"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Differential diagnosis</w:t>
            </w:r>
          </w:p>
        </w:tc>
      </w:tr>
      <w:tr w:rsidR="00F119D2" w14:paraId="7D7F6CF2" w14:textId="77777777">
        <w:trPr>
          <w:trHeight w:val="650"/>
        </w:trPr>
        <w:tc>
          <w:tcPr>
            <w:tcW w:w="9623" w:type="dxa"/>
            <w:gridSpan w:val="2"/>
            <w:shd w:val="clear" w:color="auto" w:fill="auto"/>
            <w:noWrap/>
            <w:vAlign w:val="bottom"/>
          </w:tcPr>
          <w:p w14:paraId="0A62706B"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MRH is most easily confused with rheumatoid arthritis, dermatomyositis, and psoriatic arthritis </w:t>
            </w:r>
          </w:p>
        </w:tc>
      </w:tr>
      <w:tr w:rsidR="00F119D2" w14:paraId="7AEABF3C" w14:textId="77777777">
        <w:trPr>
          <w:trHeight w:val="290"/>
        </w:trPr>
        <w:tc>
          <w:tcPr>
            <w:tcW w:w="9623" w:type="dxa"/>
            <w:gridSpan w:val="2"/>
            <w:shd w:val="clear" w:color="auto" w:fill="auto"/>
            <w:noWrap/>
            <w:vAlign w:val="bottom"/>
          </w:tcPr>
          <w:p w14:paraId="1C8379F7"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Treatment</w:t>
            </w:r>
          </w:p>
        </w:tc>
      </w:tr>
      <w:tr w:rsidR="00F119D2" w14:paraId="07A0F3B8" w14:textId="77777777">
        <w:trPr>
          <w:trHeight w:val="1103"/>
        </w:trPr>
        <w:tc>
          <w:tcPr>
            <w:tcW w:w="9623" w:type="dxa"/>
            <w:gridSpan w:val="2"/>
            <w:shd w:val="clear" w:color="auto" w:fill="auto"/>
            <w:noWrap/>
            <w:vAlign w:val="bottom"/>
          </w:tcPr>
          <w:p w14:paraId="1AB75E14"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Initial treatment: Glucocorticoids combined with immunosuppressants regimens. Commonly used immunosuppressants include methotrexate, cyclophosphamide, hydroxychloroquine, and leflunomide</w:t>
            </w:r>
          </w:p>
        </w:tc>
      </w:tr>
      <w:tr w:rsidR="00F119D2" w14:paraId="11E9E8B2" w14:textId="77777777">
        <w:trPr>
          <w:trHeight w:val="566"/>
        </w:trPr>
        <w:tc>
          <w:tcPr>
            <w:tcW w:w="9623" w:type="dxa"/>
            <w:gridSpan w:val="2"/>
            <w:shd w:val="clear" w:color="auto" w:fill="auto"/>
            <w:noWrap/>
            <w:vAlign w:val="bottom"/>
          </w:tcPr>
          <w:p w14:paraId="44B29423"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Biological agents:</w:t>
            </w:r>
            <w:r>
              <w:rPr>
                <w:rFonts w:ascii="Book Antiqua" w:eastAsia="SimSun" w:hAnsi="Book Antiqua" w:cs="SimSun"/>
                <w:b/>
                <w:bCs/>
                <w:color w:val="000000"/>
                <w:lang w:eastAsia="zh-CN"/>
              </w:rPr>
              <w:t xml:space="preserve"> </w:t>
            </w:r>
            <w:r>
              <w:rPr>
                <w:rFonts w:ascii="Book Antiqua" w:eastAsia="SimSun" w:hAnsi="Book Antiqua" w:cs="SimSun"/>
                <w:color w:val="000000"/>
                <w:lang w:eastAsia="zh-CN"/>
              </w:rPr>
              <w:t>TNF-α antagonists (</w:t>
            </w:r>
            <w:r>
              <w:rPr>
                <w:rFonts w:ascii="Book Antiqua" w:eastAsia="SimSun" w:hAnsi="Book Antiqua" w:cs="SimSun"/>
                <w:i/>
                <w:iCs/>
                <w:color w:val="000000"/>
                <w:lang w:eastAsia="zh-CN"/>
              </w:rPr>
              <w:t>e.g.,</w:t>
            </w:r>
            <w:r>
              <w:rPr>
                <w:rFonts w:ascii="Book Antiqua" w:eastAsia="SimSun" w:hAnsi="Book Antiqua" w:cs="SimSun"/>
                <w:color w:val="000000"/>
                <w:lang w:eastAsia="zh-CN"/>
              </w:rPr>
              <w:t xml:space="preserve"> etanercept, adalimumab, and infliximab), IL-6 receptor antagonists (tocilizumab), and IL-1 receptor antagonists (anakinra)</w:t>
            </w:r>
          </w:p>
        </w:tc>
      </w:tr>
      <w:tr w:rsidR="00F119D2" w14:paraId="2AC890A8" w14:textId="77777777">
        <w:trPr>
          <w:trHeight w:val="290"/>
        </w:trPr>
        <w:tc>
          <w:tcPr>
            <w:tcW w:w="9623" w:type="dxa"/>
            <w:gridSpan w:val="2"/>
            <w:shd w:val="clear" w:color="auto" w:fill="auto"/>
            <w:noWrap/>
            <w:vAlign w:val="bottom"/>
          </w:tcPr>
          <w:p w14:paraId="5590B04E"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b/>
                <w:bCs/>
                <w:color w:val="000000"/>
                <w:lang w:eastAsia="zh-CN"/>
              </w:rPr>
              <w:t>Prognosis</w:t>
            </w:r>
          </w:p>
        </w:tc>
      </w:tr>
      <w:tr w:rsidR="00F119D2" w14:paraId="3286CA68" w14:textId="77777777">
        <w:trPr>
          <w:trHeight w:val="508"/>
        </w:trPr>
        <w:tc>
          <w:tcPr>
            <w:tcW w:w="9623" w:type="dxa"/>
            <w:gridSpan w:val="2"/>
            <w:shd w:val="clear" w:color="auto" w:fill="auto"/>
            <w:noWrap/>
            <w:vAlign w:val="bottom"/>
          </w:tcPr>
          <w:p w14:paraId="6B623B38" w14:textId="77777777" w:rsidR="00F119D2" w:rsidRDefault="008C5469">
            <w:pPr>
              <w:spacing w:line="360" w:lineRule="auto"/>
              <w:rPr>
                <w:rFonts w:ascii="Book Antiqua" w:eastAsia="SimSun" w:hAnsi="Book Antiqua" w:cs="SimSun"/>
                <w:color w:val="000000"/>
                <w:lang w:eastAsia="zh-CN"/>
              </w:rPr>
            </w:pPr>
            <w:r>
              <w:rPr>
                <w:rFonts w:ascii="Book Antiqua" w:eastAsia="SimSun" w:hAnsi="Book Antiqua" w:cs="SimSun"/>
                <w:color w:val="000000"/>
                <w:lang w:eastAsia="zh-CN"/>
              </w:rPr>
              <w:t xml:space="preserve">The prognosis of MRH patients varies greatly among individuals; It is related to treatment choice, response to drug therapy, and comorbidities </w:t>
            </w:r>
          </w:p>
        </w:tc>
      </w:tr>
    </w:tbl>
    <w:p w14:paraId="780FC361" w14:textId="77777777" w:rsidR="00F119D2" w:rsidRDefault="008C5469">
      <w:pPr>
        <w:spacing w:line="360" w:lineRule="auto"/>
        <w:jc w:val="both"/>
        <w:rPr>
          <w:rFonts w:ascii="Book Antiqua" w:hAnsi="Book Antiqua"/>
          <w:b/>
          <w:bCs/>
        </w:rPr>
      </w:pPr>
      <w:r>
        <w:rPr>
          <w:rFonts w:ascii="Book Antiqua" w:hAnsi="Book Antiqua"/>
        </w:rPr>
        <w:t xml:space="preserve">MRH: Multicentric </w:t>
      </w:r>
      <w:proofErr w:type="spellStart"/>
      <w:r>
        <w:rPr>
          <w:rFonts w:ascii="Book Antiqua" w:hAnsi="Book Antiqua"/>
        </w:rPr>
        <w:t>reticulohistiocytosis</w:t>
      </w:r>
      <w:proofErr w:type="spellEnd"/>
      <w:r>
        <w:rPr>
          <w:rFonts w:ascii="Book Antiqua" w:hAnsi="Book Antiqua"/>
        </w:rPr>
        <w:t>; TNF-α: Tumor necrosis factor-α; IL: Interleukin.</w:t>
      </w:r>
    </w:p>
    <w:p w14:paraId="0FC76B02" w14:textId="77777777" w:rsidR="00F119D2" w:rsidRDefault="00F119D2">
      <w:pPr>
        <w:spacing w:line="360" w:lineRule="auto"/>
        <w:jc w:val="both"/>
        <w:rPr>
          <w:rFonts w:ascii="Book Antiqua" w:hAnsi="Book Antiqua"/>
        </w:rPr>
      </w:pPr>
    </w:p>
    <w:sectPr w:rsidR="00F119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0812D" w14:textId="77777777" w:rsidR="00A96231" w:rsidRDefault="00A96231">
      <w:r>
        <w:separator/>
      </w:r>
    </w:p>
  </w:endnote>
  <w:endnote w:type="continuationSeparator" w:id="0">
    <w:p w14:paraId="3B009086" w14:textId="77777777" w:rsidR="00A96231" w:rsidRDefault="00A9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D6BE" w14:textId="77777777" w:rsidR="00F119D2" w:rsidRDefault="008C5469">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26</w:t>
    </w:r>
    <w:r>
      <w:rPr>
        <w:rFonts w:ascii="Book Antiqua" w:hAnsi="Book Antiqua"/>
        <w:sz w:val="24"/>
        <w:szCs w:val="24"/>
      </w:rPr>
      <w:fldChar w:fldCharType="end"/>
    </w:r>
  </w:p>
  <w:p w14:paraId="1084DB38" w14:textId="77777777" w:rsidR="00F119D2" w:rsidRDefault="00F119D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956F7" w14:textId="77777777" w:rsidR="00A96231" w:rsidRDefault="00A96231">
      <w:r>
        <w:separator/>
      </w:r>
    </w:p>
  </w:footnote>
  <w:footnote w:type="continuationSeparator" w:id="0">
    <w:p w14:paraId="62710EA4" w14:textId="77777777" w:rsidR="00A96231" w:rsidRDefault="00A962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FiNDliNmQyM2EyOTA3MjZkOWQ1ZDE5MGUyYjk1ZDMifQ=="/>
  </w:docVars>
  <w:rsids>
    <w:rsidRoot w:val="00A77B3E"/>
    <w:rsid w:val="00024F9F"/>
    <w:rsid w:val="0002554A"/>
    <w:rsid w:val="00032713"/>
    <w:rsid w:val="00052D37"/>
    <w:rsid w:val="00063632"/>
    <w:rsid w:val="000829DC"/>
    <w:rsid w:val="00090AA5"/>
    <w:rsid w:val="000D4FE5"/>
    <w:rsid w:val="000D67CD"/>
    <w:rsid w:val="000E0E4B"/>
    <w:rsid w:val="000E1460"/>
    <w:rsid w:val="000E6251"/>
    <w:rsid w:val="000F1911"/>
    <w:rsid w:val="00122F0D"/>
    <w:rsid w:val="00124EE1"/>
    <w:rsid w:val="00174AB0"/>
    <w:rsid w:val="001B1F43"/>
    <w:rsid w:val="001B469F"/>
    <w:rsid w:val="001F7AEC"/>
    <w:rsid w:val="0020683E"/>
    <w:rsid w:val="0020797A"/>
    <w:rsid w:val="00214F42"/>
    <w:rsid w:val="0025617E"/>
    <w:rsid w:val="00262B37"/>
    <w:rsid w:val="00264380"/>
    <w:rsid w:val="002772CB"/>
    <w:rsid w:val="00290E95"/>
    <w:rsid w:val="002C0509"/>
    <w:rsid w:val="002D2D31"/>
    <w:rsid w:val="002F7F67"/>
    <w:rsid w:val="00307C08"/>
    <w:rsid w:val="003144B9"/>
    <w:rsid w:val="00342DD3"/>
    <w:rsid w:val="003447CA"/>
    <w:rsid w:val="00344B61"/>
    <w:rsid w:val="00350794"/>
    <w:rsid w:val="003816AA"/>
    <w:rsid w:val="00381EB5"/>
    <w:rsid w:val="00395FC4"/>
    <w:rsid w:val="003A58DE"/>
    <w:rsid w:val="003D193B"/>
    <w:rsid w:val="003D3AB9"/>
    <w:rsid w:val="003D5CA7"/>
    <w:rsid w:val="0040628C"/>
    <w:rsid w:val="00422975"/>
    <w:rsid w:val="00485BD1"/>
    <w:rsid w:val="004B7BF8"/>
    <w:rsid w:val="004C2971"/>
    <w:rsid w:val="004D6D63"/>
    <w:rsid w:val="004D7CD2"/>
    <w:rsid w:val="0050594F"/>
    <w:rsid w:val="00530A6A"/>
    <w:rsid w:val="005345A8"/>
    <w:rsid w:val="00545B6B"/>
    <w:rsid w:val="0054749B"/>
    <w:rsid w:val="00566042"/>
    <w:rsid w:val="0057676C"/>
    <w:rsid w:val="005C3EA8"/>
    <w:rsid w:val="00615F17"/>
    <w:rsid w:val="006174A1"/>
    <w:rsid w:val="00640725"/>
    <w:rsid w:val="006440A0"/>
    <w:rsid w:val="00646C08"/>
    <w:rsid w:val="0066356D"/>
    <w:rsid w:val="00684C32"/>
    <w:rsid w:val="00690124"/>
    <w:rsid w:val="006A0792"/>
    <w:rsid w:val="006A3DE0"/>
    <w:rsid w:val="006F1604"/>
    <w:rsid w:val="007177AA"/>
    <w:rsid w:val="0073178E"/>
    <w:rsid w:val="00736246"/>
    <w:rsid w:val="007565A2"/>
    <w:rsid w:val="00782C6E"/>
    <w:rsid w:val="00790546"/>
    <w:rsid w:val="0079677C"/>
    <w:rsid w:val="007A30AC"/>
    <w:rsid w:val="007D13B1"/>
    <w:rsid w:val="008106C2"/>
    <w:rsid w:val="00814E3D"/>
    <w:rsid w:val="008150E4"/>
    <w:rsid w:val="00830EFE"/>
    <w:rsid w:val="00840D6A"/>
    <w:rsid w:val="0085255B"/>
    <w:rsid w:val="00875861"/>
    <w:rsid w:val="008976E6"/>
    <w:rsid w:val="008A42DA"/>
    <w:rsid w:val="008A6873"/>
    <w:rsid w:val="008C5469"/>
    <w:rsid w:val="008F1216"/>
    <w:rsid w:val="008F3CFB"/>
    <w:rsid w:val="008F3E9B"/>
    <w:rsid w:val="00900482"/>
    <w:rsid w:val="0090552A"/>
    <w:rsid w:val="0091171E"/>
    <w:rsid w:val="00916180"/>
    <w:rsid w:val="00960881"/>
    <w:rsid w:val="009866FA"/>
    <w:rsid w:val="009A53E6"/>
    <w:rsid w:val="009C33C2"/>
    <w:rsid w:val="009F0463"/>
    <w:rsid w:val="009F33B4"/>
    <w:rsid w:val="00A133F5"/>
    <w:rsid w:val="00A273F2"/>
    <w:rsid w:val="00A27C8E"/>
    <w:rsid w:val="00A50A7D"/>
    <w:rsid w:val="00A519B2"/>
    <w:rsid w:val="00A640CA"/>
    <w:rsid w:val="00A75930"/>
    <w:rsid w:val="00A77B3E"/>
    <w:rsid w:val="00A96231"/>
    <w:rsid w:val="00AA1640"/>
    <w:rsid w:val="00B00AA8"/>
    <w:rsid w:val="00B02C83"/>
    <w:rsid w:val="00B10621"/>
    <w:rsid w:val="00B17353"/>
    <w:rsid w:val="00B22D38"/>
    <w:rsid w:val="00B444BB"/>
    <w:rsid w:val="00B5510D"/>
    <w:rsid w:val="00B66610"/>
    <w:rsid w:val="00B70BFE"/>
    <w:rsid w:val="00B873E4"/>
    <w:rsid w:val="00B919A5"/>
    <w:rsid w:val="00B97FA6"/>
    <w:rsid w:val="00BC274B"/>
    <w:rsid w:val="00C12CEC"/>
    <w:rsid w:val="00C57F0C"/>
    <w:rsid w:val="00C817CE"/>
    <w:rsid w:val="00C87026"/>
    <w:rsid w:val="00C912F0"/>
    <w:rsid w:val="00C9233E"/>
    <w:rsid w:val="00CA2A55"/>
    <w:rsid w:val="00CA6DD0"/>
    <w:rsid w:val="00CC1A17"/>
    <w:rsid w:val="00CC4C46"/>
    <w:rsid w:val="00D1384D"/>
    <w:rsid w:val="00D13C25"/>
    <w:rsid w:val="00D13FE9"/>
    <w:rsid w:val="00D213F1"/>
    <w:rsid w:val="00D2514E"/>
    <w:rsid w:val="00D27EFD"/>
    <w:rsid w:val="00D3723F"/>
    <w:rsid w:val="00D467A7"/>
    <w:rsid w:val="00D57CD8"/>
    <w:rsid w:val="00D63F66"/>
    <w:rsid w:val="00D664B6"/>
    <w:rsid w:val="00D76C6B"/>
    <w:rsid w:val="00DA54FB"/>
    <w:rsid w:val="00DA7020"/>
    <w:rsid w:val="00DD73BA"/>
    <w:rsid w:val="00E00538"/>
    <w:rsid w:val="00E235E9"/>
    <w:rsid w:val="00E3460A"/>
    <w:rsid w:val="00E51B01"/>
    <w:rsid w:val="00E51F7A"/>
    <w:rsid w:val="00E72432"/>
    <w:rsid w:val="00EB2353"/>
    <w:rsid w:val="00EC260A"/>
    <w:rsid w:val="00EF4829"/>
    <w:rsid w:val="00F00E6E"/>
    <w:rsid w:val="00F028BC"/>
    <w:rsid w:val="00F109B3"/>
    <w:rsid w:val="00F119D2"/>
    <w:rsid w:val="00F22B87"/>
    <w:rsid w:val="00F4644A"/>
    <w:rsid w:val="00F65D2A"/>
    <w:rsid w:val="00FB5872"/>
    <w:rsid w:val="00FC276C"/>
    <w:rsid w:val="00FD4AB1"/>
    <w:rsid w:val="00FE55AD"/>
    <w:rsid w:val="00FF13C2"/>
    <w:rsid w:val="43744310"/>
    <w:rsid w:val="507F1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769E5C"/>
  <w15:docId w15:val="{41FB0435-40CB-4A67-BA38-ECFB7BDBF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qFormat/>
    <w:rPr>
      <w:rFonts w:ascii="Tahoma" w:hAnsi="Tahoma" w:cs="Tahoma"/>
      <w:sz w:val="16"/>
      <w:szCs w:val="16"/>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rFonts w:ascii="Tahoma" w:hAnsi="Tahoma" w:cs="Tahoma"/>
      <w:sz w:val="16"/>
      <w:szCs w:val="16"/>
    </w:rPr>
  </w:style>
  <w:style w:type="paragraph" w:styleId="af">
    <w:name w:val="Revision"/>
    <w:hidden/>
    <w:uiPriority w:val="99"/>
    <w:semiHidden/>
    <w:rsid w:val="00684C3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4836B669-CB48-48CE-ADDC-3749E69632A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5653</Words>
  <Characters>32224</Characters>
  <Application>Microsoft Office Word</Application>
  <DocSecurity>0</DocSecurity>
  <Lines>268</Lines>
  <Paragraphs>75</Paragraphs>
  <ScaleCrop>false</ScaleCrop>
  <Company>Hewlett-Packard Company</Company>
  <LinksUpToDate>false</LinksUpToDate>
  <CharactersWithSpaces>37802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dc:creator>
  <cp:lastModifiedBy>Liansheng</cp:lastModifiedBy>
  <cp:revision>2</cp:revision>
  <dcterms:created xsi:type="dcterms:W3CDTF">2022-06-17T00:33:00Z</dcterms:created>
  <dcterms:modified xsi:type="dcterms:W3CDTF">2022-06-17T00:33:00Z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4B3AFCFD99BE4686BC223F4BA01217E6</vt:lpwstr>
  </property>
</Properties>
</file>