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71627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Hepatocellular carcinoma effective stereotactic body radiotherapy using </w:t>
      </w:r>
      <w:bookmarkStart w:id="0" w:name="OLE_LINK1"/>
      <w:r>
        <w:rPr>
          <w:rFonts w:ascii="Book Antiqua" w:hAnsi="Book Antiqua" w:eastAsia="Book Antiqua" w:cs="Book Antiqua"/>
          <w:b/>
          <w:bCs/>
        </w:rPr>
        <w:t>Gold Anchor and the Synchrony system</w:t>
      </w:r>
      <w:bookmarkEnd w:id="0"/>
      <w:r>
        <w:rPr>
          <w:rFonts w:ascii="Book Antiqua" w:hAnsi="Book Antiqua" w:eastAsia="Book Antiqua" w:cs="Book Antiqua"/>
          <w:b/>
          <w:bCs/>
        </w:rPr>
        <w:t>: Two case reports and review of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Sakue M</w:t>
      </w:r>
      <w:r>
        <w:rPr>
          <w:rFonts w:ascii="Book Antiqua" w:hAnsi="Book Antiqua" w:cs="Book Antiqua"/>
          <w:lang w:eastAsia="zh-CN"/>
        </w:rPr>
        <w:t xml:space="preserve"> </w:t>
      </w:r>
      <w:r>
        <w:rPr>
          <w:rFonts w:ascii="Book Antiqua" w:hAnsi="Book Antiqua" w:eastAsia="Book Antiqua" w:cs="Book Antiqua"/>
          <w:i/>
          <w:iCs/>
        </w:rPr>
        <w:t>et al</w:t>
      </w:r>
      <w:r>
        <w:rPr>
          <w:rFonts w:ascii="Book Antiqua" w:hAnsi="Book Antiqua" w:eastAsia="Book Antiqua" w:cs="Book Antiqua"/>
        </w:rPr>
        <w:t>. HCC effective SBRT using Gold Anchor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Sakue Masuda, Toshitaka Tsukiyama, Yumiko Minagawa, Kazuya Koizumi, Makoto Kako, Takeshi Kinbara, Uojima Haruki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Sakue Masuda, Kazuya Koizumi, Makoto Kako, Takeshi Kinbara, Uojima Haruki, </w:t>
      </w:r>
      <w:r>
        <w:rPr>
          <w:rFonts w:ascii="Book Antiqua" w:hAnsi="Book Antiqua" w:eastAsia="Book Antiqua" w:cs="Book Antiqua"/>
        </w:rPr>
        <w:t>Department of Gastroenterology, Shonankamakura General Hospital, Kanagawa 247-8533,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Toshitaka Tsukiyama, </w:t>
      </w:r>
      <w:r>
        <w:rPr>
          <w:rFonts w:ascii="Book Antiqua" w:hAnsi="Book Antiqua" w:eastAsia="Book Antiqua" w:cs="Book Antiqua"/>
        </w:rPr>
        <w:t>Department of Interventional Radiology Center, Shonan Kamakura General Hospital, Kanagawa 247-8533,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Yumiko Minagawa, </w:t>
      </w:r>
      <w:r>
        <w:rPr>
          <w:rFonts w:ascii="Book Antiqua" w:hAnsi="Book Antiqua" w:eastAsia="Book Antiqua" w:cs="Book Antiqua"/>
        </w:rPr>
        <w:t>Department of Radiation Oncology, Shonan Kamakura General Hospital, Kanagawa 247-8533, Japan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rPr>
        <w:t xml:space="preserve">Author contributions: </w:t>
      </w:r>
      <w:r>
        <w:rPr>
          <w:rFonts w:ascii="Book Antiqua" w:hAnsi="Book Antiqua" w:eastAsia="Book Antiqua" w:cs="Book Antiqua"/>
        </w:rPr>
        <w:t>Masuda S, Koizumi K, Kako M, Kinbara T, and Uojima H were the patient’s hepatologists, reviewed the literature, and contributed to manuscript drafting; Masuda S and Minagawa Y reviewed the literature and contributed to manuscript drafting; Tsukiyama T and Minagawa Y were the radiologists and performed the radiotherapy and contributed to manuscript drafting; Tsukiyama T analyzed and interpreted the imaging findings; Masuda S, Uojima H, Tsukiyama T, and Minagawa Y were responsible for the revision of the manuscript and for important intellectual content;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Corresponding author: Sakue Masuda, MD, Chief Doctor, </w:t>
      </w:r>
      <w:r>
        <w:rPr>
          <w:rFonts w:ascii="Book Antiqua" w:hAnsi="Book Antiqua" w:eastAsia="Book Antiqua" w:cs="Book Antiqua"/>
        </w:rPr>
        <w:t>Department of Gastroenterology, Shonankamakura General Hospital, 1370-1 Okamoto Kamakura, Kanagawa 247-8533, Japan. sakue.masuda@tokushukai.jp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September 15, 2021</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November 12, 2021</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January 29, 2022</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March 16,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Abstract</w:t>
      </w:r>
    </w:p>
    <w:p>
      <w:pPr>
        <w:spacing w:line="360" w:lineRule="auto"/>
        <w:jc w:val="both"/>
        <w:rPr>
          <w:rFonts w:ascii="Book Antiqua" w:hAnsi="Book Antiqua"/>
        </w:rPr>
      </w:pPr>
      <w:r>
        <w:rPr>
          <w:rFonts w:ascii="Book Antiqua" w:hAnsi="Book Antiqua" w:eastAsia="Book Antiqua" w:cs="Book Antiqua"/>
        </w:rPr>
        <w:t>BACKGROUND</w:t>
      </w:r>
    </w:p>
    <w:p>
      <w:pPr>
        <w:spacing w:line="360" w:lineRule="auto"/>
        <w:jc w:val="both"/>
        <w:rPr>
          <w:rFonts w:ascii="Book Antiqua" w:hAnsi="Book Antiqua"/>
        </w:rPr>
      </w:pPr>
      <w:r>
        <w:rPr>
          <w:rFonts w:ascii="Book Antiqua" w:hAnsi="Book Antiqua" w:eastAsia="Book Antiqua" w:cs="Book Antiqua"/>
        </w:rPr>
        <w:t>Radiotherapy for hepatocellular carcinoma (HCC) is considered to have limited efficacy because of treatment intensity considering that the irradiated area includes the liver, which is highly radiosensitive. In this report, we present two cases in which tumor control by surgical resection, radiofrequency ablation, transcatheter arterial chemoembolization (TACE), and lenvatinib administration was difficult, but stereotactic body radiotherapy (SBRT) using the Synchrony system by Radixact™ and Gold Anchor</w:t>
      </w:r>
      <w:r>
        <w:rPr>
          <w:rFonts w:ascii="Book Antiqua" w:hAnsi="Book Antiqua" w:eastAsia="Book Antiqua" w:cs="Book Antiqua"/>
          <w:vertAlign w:val="superscript"/>
        </w:rPr>
        <w:t>®</w:t>
      </w:r>
      <w:r>
        <w:rPr>
          <w:rFonts w:ascii="Book Antiqua" w:hAnsi="Book Antiqua" w:eastAsia="Book Antiqua" w:cs="Book Antiqua"/>
        </w:rPr>
        <w:t xml:space="preserve"> (GA) was effective.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CASE SUMMARY</w:t>
      </w:r>
    </w:p>
    <w:p>
      <w:pPr>
        <w:spacing w:line="360" w:lineRule="auto"/>
        <w:jc w:val="both"/>
        <w:rPr>
          <w:rFonts w:ascii="Book Antiqua" w:hAnsi="Book Antiqua"/>
        </w:rPr>
      </w:pPr>
      <w:r>
        <w:rPr>
          <w:rFonts w:ascii="Book Antiqua" w:hAnsi="Book Antiqua" w:eastAsia="Book Antiqua" w:cs="Book Antiqua"/>
        </w:rPr>
        <w:t>A 60-year-old man had a single 10-cm HCC in the right lobe. Viable lesions remained after TACE, and levels of alpha-fetoprotein and protein induced by vitamin K antagonists II (PIVKA-II) decreased and quickly re-elevated. We performed SBRT with GA. Three weeks after implantation, localized radiotherapy (SBRT; 40 Gy/5 fractions) was performed using the Synchrony system by Radixact™. Four weeks later, the viable lesion had disappeared, and the PIVKA-II levels decreased. A 77-year-old man had a single 12-cm HCC in the right lobe. The patient experienced recurrence after hepatectomy. Further recurrence occurred after TACE, and we performed SBRT with GA. Because of the proximity of the HCC to the gastrointestinal tract, localized radiotherapy (SBRT; 39 Gy/13 fractions) to the HCC was performed 3 wk after implantation using the Synchrony system by Radixact™. Four weeks later, the viable lesion had disappeared on computed tomography, and the PIVKA-</w:t>
      </w:r>
      <w:r>
        <w:rPr>
          <w:rFonts w:hint="eastAsia" w:ascii="宋体" w:hAnsi="宋体" w:eastAsia="宋体" w:cs="宋体"/>
        </w:rPr>
        <w:t>Ⅱ</w:t>
      </w:r>
      <w:r>
        <w:rPr>
          <w:rFonts w:ascii="Book Antiqua" w:hAnsi="Book Antiqua" w:eastAsia="Book Antiqua" w:cs="Book Antiqua"/>
        </w:rPr>
        <w:t xml:space="preserve"> levels decreased.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rPr>
        <w:t>CONCLUSION</w:t>
      </w:r>
    </w:p>
    <w:p>
      <w:pPr>
        <w:spacing w:line="360" w:lineRule="auto"/>
        <w:jc w:val="both"/>
        <w:rPr>
          <w:rFonts w:ascii="Book Antiqua" w:hAnsi="Book Antiqua"/>
        </w:rPr>
      </w:pPr>
      <w:r>
        <w:rPr>
          <w:rFonts w:ascii="Book Antiqua" w:hAnsi="Book Antiqua" w:eastAsia="Book Antiqua" w:cs="Book Antiqua"/>
        </w:rPr>
        <w:t xml:space="preserve">SBRT using the Synchrony system and GA can deliver a large dose accurately and safely, and could have a high therapeutic effect.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Fiducial marker; Hepatocellular carcinoma; Gold Anchor</w:t>
      </w:r>
      <w:r>
        <w:rPr>
          <w:rFonts w:ascii="Book Antiqua" w:hAnsi="Book Antiqua" w:eastAsia="Book Antiqua" w:cs="Book Antiqua"/>
          <w:vertAlign w:val="superscript"/>
        </w:rPr>
        <w:t>®</w:t>
      </w:r>
      <w:r>
        <w:rPr>
          <w:rFonts w:ascii="Book Antiqua" w:hAnsi="Book Antiqua" w:eastAsia="Book Antiqua" w:cs="Book Antiqua"/>
        </w:rPr>
        <w:t>; Radixact™; Stereotactic body radiotherapy;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1" w:name="_Hlk88512344"/>
      <w:bookmarkStart w:id="2" w:name="_Hlk88512883"/>
      <w:bookmarkStart w:id="3" w:name="_Hlk88513225"/>
      <w:bookmarkStart w:id="4" w:name="_Hlk88512545"/>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2022. </w:t>
      </w:r>
      <w:r>
        <w:rPr>
          <w:rFonts w:ascii="Book Antiqua" w:hAnsi="Book Antiqua" w:eastAsia="Book Antiqua" w:cs="Book Antiqua"/>
          <w:color w:val="000000"/>
        </w:rPr>
        <w:t>Published by Baishideng Publishing Group Inc. All rights reserved.</w:t>
      </w:r>
      <w:bookmarkEnd w:id="1"/>
      <w:r>
        <w:rPr>
          <w:rFonts w:ascii="Book Antiqua" w:hAnsi="Book Antiqua" w:eastAsia="Book Antiqua" w:cs="Book Antiqua"/>
          <w:color w:val="000000"/>
        </w:rPr>
        <w:t xml:space="preserve"> </w:t>
      </w:r>
    </w:p>
    <w:bookmarkEnd w:id="2"/>
    <w:p>
      <w:pPr>
        <w:spacing w:line="360" w:lineRule="auto"/>
        <w:jc w:val="both"/>
        <w:rPr>
          <w:lang w:eastAsia="zh-CN"/>
        </w:rPr>
      </w:pPr>
    </w:p>
    <w:bookmarkEnd w:id="3"/>
    <w:p>
      <w:pPr>
        <w:spacing w:line="360" w:lineRule="auto"/>
        <w:jc w:val="both"/>
        <w:rPr>
          <w:rFonts w:ascii="Book Antiqua" w:hAnsi="Book Antiqua" w:eastAsia="Book Antiqua" w:cs="Book Antiqua"/>
          <w:color w:val="000000"/>
        </w:rPr>
      </w:pPr>
      <w:bookmarkStart w:id="5" w:name="_Hlk88512899"/>
      <w:bookmarkStart w:id="6" w:name="_Hlk88512352"/>
      <w:r>
        <w:rPr>
          <w:rFonts w:hint="eastAsia" w:ascii="Book Antiqua" w:hAnsi="Book Antiqua" w:cs="Book Antiqua"/>
          <w:b/>
          <w:color w:val="000000"/>
          <w:lang w:eastAsia="zh-CN"/>
        </w:rPr>
        <w:t>Citation:</w:t>
      </w:r>
      <w:bookmarkEnd w:id="4"/>
      <w:bookmarkEnd w:id="5"/>
      <w:r>
        <w:rPr>
          <w:rFonts w:hint="eastAsia" w:ascii="Book Antiqua" w:hAnsi="Book Antiqua" w:cs="Book Antiqua"/>
          <w:color w:val="000000"/>
          <w:lang w:eastAsia="zh-CN"/>
        </w:rPr>
        <w:t xml:space="preserve"> </w:t>
      </w:r>
      <w:bookmarkEnd w:id="6"/>
      <w:r>
        <w:rPr>
          <w:rFonts w:ascii="Book Antiqua" w:hAnsi="Book Antiqua" w:eastAsia="Book Antiqua" w:cs="Book Antiqua"/>
        </w:rPr>
        <w:t xml:space="preserve">Masuda S, Tsukiyama T, Minagawa Y, Koizumi K, Kako M, Kinbara T, Haruki U. Hepatocellular carcinoma effective stereotactic body radiotherapy using Gold Anchor and the Synchrony system: Two case reports and review of literature. </w:t>
      </w:r>
      <w:r>
        <w:rPr>
          <w:rFonts w:ascii="Book Antiqua" w:hAnsi="Book Antiqua" w:eastAsia="Book Antiqua" w:cs="Book Antiqua"/>
          <w:i/>
          <w:iCs/>
        </w:rPr>
        <w:t>World J Clin Cases</w:t>
      </w:r>
      <w:r>
        <w:rPr>
          <w:rFonts w:ascii="Book Antiqua" w:hAnsi="Book Antiqua" w:eastAsia="Book Antiqua" w:cs="Book Antiqua"/>
        </w:rPr>
        <w:t xml:space="preserve"> 202</w:t>
      </w:r>
      <w:r>
        <w:rPr>
          <w:rFonts w:ascii="Book Antiqua" w:hAnsi="Book Antiqua" w:cs="Book Antiqua"/>
          <w:lang w:eastAsia="zh-CN"/>
        </w:rPr>
        <w:t>2</w:t>
      </w:r>
      <w:r>
        <w:rPr>
          <w:rFonts w:ascii="Book Antiqua" w:hAnsi="Book Antiqua" w:eastAsia="Book Antiqua" w:cs="Book Antiqua"/>
        </w:rPr>
        <w:t>;</w:t>
      </w:r>
      <w:r>
        <w:rPr>
          <w:rFonts w:ascii="Book Antiqua" w:hAnsi="Book Antiqua" w:eastAsia="Book Antiqua" w:cs="Book Antiqua"/>
          <w:color w:val="000000"/>
        </w:rPr>
        <w:t xml:space="preserve"> 10(8): 2591-2603</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fldChar w:fldCharType="begin"/>
      </w:r>
      <w:r>
        <w:instrText xml:space="preserve"> HYPERLINK "https://www.wjgnet.com/2307-8960/full/v10/i8/2591.htm" </w:instrText>
      </w:r>
      <w:r>
        <w:fldChar w:fldCharType="separate"/>
      </w:r>
      <w:r>
        <w:rPr>
          <w:rStyle w:val="9"/>
          <w:rFonts w:ascii="Book Antiqua" w:hAnsi="Book Antiqua" w:eastAsia="Book Antiqua" w:cs="Book Antiqua"/>
        </w:rPr>
        <w:t>https://www.wjgnet.com/2307-8960/full/v10/i8/2591.htm</w:t>
      </w:r>
      <w:r>
        <w:rPr>
          <w:rStyle w:val="9"/>
          <w:rFonts w:ascii="Book Antiqua" w:hAnsi="Book Antiqua" w:eastAsia="Book Antiqua" w:cs="Book Antiqua"/>
        </w:rPr>
        <w:fldChar w:fldCharType="end"/>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https://dx.doi.org/10.12998/wjcc.v10.i8.2603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Radiotherapy using fiducial markers has been performed for hepatocellular carcinoma (HCC) for several years. However, the Gold Anchor</w:t>
      </w:r>
      <w:r>
        <w:rPr>
          <w:rFonts w:ascii="Book Antiqua" w:hAnsi="Book Antiqua" w:eastAsia="Book Antiqua" w:cs="Book Antiqua"/>
          <w:vertAlign w:val="superscript"/>
        </w:rPr>
        <w:t>®</w:t>
      </w:r>
      <w:r>
        <w:rPr>
          <w:rFonts w:ascii="Book Antiqua" w:hAnsi="Book Antiqua" w:eastAsia="Book Antiqua" w:cs="Book Antiqua"/>
        </w:rPr>
        <w:t xml:space="preserve"> (GA) used in this report is a new fiducial marker with a small diameter, which is expected to reduce the incidence of complications. The Synchrony system by Radixact™ is also a new radiation device, which is useful in respiratory motion management and allows complete tracking of the HCC in which the GA is implanted. Radiotherapy using these devices was highly effective for HCC that could not be controlled by surgery, transcatheter arterial chemoembolization, or molecular targeted drugs.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INTRODUCTION</w:t>
      </w:r>
    </w:p>
    <w:p>
      <w:pPr>
        <w:spacing w:line="360" w:lineRule="auto"/>
        <w:jc w:val="both"/>
        <w:rPr>
          <w:rFonts w:ascii="Book Antiqua" w:hAnsi="Book Antiqua"/>
        </w:rPr>
      </w:pPr>
      <w:r>
        <w:rPr>
          <w:rFonts w:ascii="Book Antiqua" w:hAnsi="Book Antiqua" w:eastAsia="Book Antiqua" w:cs="Book Antiqua"/>
        </w:rPr>
        <w:t>Hepatocellular carcinoma (HCC) ranks as the sixth cause of cancer incidence and the fourth cause of cancer-related deaths worldwide</w:t>
      </w:r>
      <w:r>
        <w:rPr>
          <w:rFonts w:ascii="Book Antiqua" w:hAnsi="Book Antiqua" w:eastAsia="Book Antiqua" w:cs="Book Antiqua"/>
          <w:vertAlign w:val="superscript"/>
        </w:rPr>
        <w:t>[1]</w:t>
      </w:r>
      <w:r>
        <w:rPr>
          <w:rFonts w:ascii="Book Antiqua" w:hAnsi="Book Antiqua" w:eastAsia="Book Antiqua" w:cs="Book Antiqua"/>
        </w:rPr>
        <w:t>. There are various treatment methods for HCC, including surgical resection, radiofrequency ablation (RFA), transcatheter arterial chemoembolization (TACE), systemic chemotherapy, and radiotherapy</w:t>
      </w:r>
      <w:r>
        <w:rPr>
          <w:rFonts w:ascii="Book Antiqua" w:hAnsi="Book Antiqua" w:eastAsia="Book Antiqua" w:cs="Book Antiqua"/>
          <w:vertAlign w:val="superscript"/>
        </w:rPr>
        <w:t>[2]</w:t>
      </w:r>
      <w:r>
        <w:rPr>
          <w:rFonts w:ascii="Book Antiqua" w:hAnsi="Book Antiqua" w:eastAsia="Book Antiqua" w:cs="Book Antiqua"/>
        </w:rPr>
        <w:t xml:space="preserve">. Since the major risk factors for HCC include chronic hepatitis and liver cirrhosis, </w:t>
      </w:r>
      <w:r>
        <w:rPr>
          <w:rFonts w:ascii="Book Antiqua" w:hAnsi="Book Antiqua" w:eastAsia="Book Antiqua" w:cs="Book Antiqua"/>
          <w:shd w:val="clear" w:color="auto" w:fill="FFFFFF"/>
        </w:rPr>
        <w:t xml:space="preserve">many patients have an underlying liver disease at the time of treatment. In addition to tumor and technical factors, the patient's liver function has a significant impact on determining the optimal treatment for </w:t>
      </w:r>
      <w:r>
        <w:rPr>
          <w:rFonts w:ascii="Book Antiqua" w:hAnsi="Book Antiqua" w:eastAsia="Book Antiqua" w:cs="Book Antiqua"/>
          <w:shd w:val="clear" w:color="auto" w:fill="FFFFFF"/>
          <w:lang w:eastAsia="ja-JP"/>
        </w:rPr>
        <w:t>HCC</w:t>
      </w:r>
      <w:r>
        <w:rPr>
          <w:rFonts w:ascii="Book Antiqua" w:hAnsi="Book Antiqua" w:eastAsia="Book Antiqua" w:cs="Book Antiqua"/>
          <w:shd w:val="clear" w:color="auto" w:fill="FFFFFF"/>
        </w:rPr>
        <w:t>.</w:t>
      </w:r>
      <w:r>
        <w:rPr>
          <w:rStyle w:val="11"/>
          <w:rFonts w:ascii="Book Antiqua" w:hAnsi="Book Antiqua" w:eastAsia="Book Antiqua" w:cs="Book Antiqua"/>
          <w:shd w:val="clear" w:color="auto" w:fill="FFFFFF"/>
        </w:rPr>
        <w:t xml:space="preserve"> Delis </w:t>
      </w:r>
      <w:r>
        <w:rPr>
          <w:rStyle w:val="11"/>
          <w:rFonts w:ascii="Book Antiqua" w:hAnsi="Book Antiqua" w:eastAsia="Book Antiqua" w:cs="Book Antiqua"/>
          <w:i/>
          <w:iCs/>
          <w:shd w:val="clear" w:color="auto" w:fill="FFFFFF"/>
        </w:rPr>
        <w:t>et al</w:t>
      </w:r>
      <w:r>
        <w:rPr>
          <w:rFonts w:ascii="Book Antiqua" w:hAnsi="Book Antiqua" w:eastAsia="Book Antiqua" w:cs="Book Antiqua"/>
          <w:shd w:val="clear" w:color="auto" w:fill="FFFFFF"/>
          <w:vertAlign w:val="superscript"/>
        </w:rPr>
        <w:t>[3]</w:t>
      </w:r>
      <w:r>
        <w:rPr>
          <w:rStyle w:val="11"/>
          <w:rFonts w:ascii="Book Antiqua" w:hAnsi="Book Antiqua" w:eastAsia="Book Antiqua" w:cs="Book Antiqua"/>
          <w:shd w:val="clear" w:color="auto" w:fill="FFFFFF"/>
        </w:rPr>
        <w:t xml:space="preserve"> and Bruix </w:t>
      </w:r>
      <w:r>
        <w:rPr>
          <w:rStyle w:val="11"/>
          <w:rFonts w:ascii="Book Antiqua" w:hAnsi="Book Antiqua" w:eastAsia="Book Antiqua" w:cs="Book Antiqua"/>
          <w:i/>
          <w:iCs/>
          <w:shd w:val="clear" w:color="auto" w:fill="FFFFFF"/>
        </w:rPr>
        <w:t>et al</w:t>
      </w:r>
      <w:r>
        <w:rPr>
          <w:rFonts w:ascii="Book Antiqua" w:hAnsi="Book Antiqua" w:eastAsia="Book Antiqua" w:cs="Book Antiqua"/>
          <w:shd w:val="clear" w:color="auto" w:fill="FFFFFF"/>
          <w:vertAlign w:val="superscript"/>
        </w:rPr>
        <w:t>[4]</w:t>
      </w:r>
      <w:r>
        <w:rPr>
          <w:rStyle w:val="11"/>
          <w:rFonts w:ascii="Book Antiqua" w:hAnsi="Book Antiqua" w:eastAsia="Book Antiqua" w:cs="Book Antiqua"/>
          <w:shd w:val="clear" w:color="auto" w:fill="FFFFFF"/>
        </w:rPr>
        <w:t xml:space="preserve"> reported that only 10%-30% of HCC cases are indicative of curative surgery because most HCC is diagnosed at intermediate or advanced stages</w:t>
      </w:r>
      <w:r>
        <w:rPr>
          <w:rFonts w:ascii="Book Antiqua" w:hAnsi="Book Antiqua" w:eastAsia="Book Antiqua" w:cs="Book Antiqua"/>
          <w:shd w:val="clear" w:color="auto" w:fill="FFFFFF"/>
        </w:rPr>
        <w:t>. Radiotherapy is not included in the Barcelona Clinic Liver Cancer staging treatment allocation scheme; ho</w:t>
      </w:r>
      <w:r>
        <w:rPr>
          <w:rFonts w:ascii="Book Antiqua" w:hAnsi="Book Antiqua" w:eastAsia="Book Antiqua"/>
          <w:shd w:val="clear" w:color="auto" w:fill="FFFFFF"/>
        </w:rPr>
        <w:t xml:space="preserve">wever, evidence </w:t>
      </w:r>
      <w:r>
        <w:rPr>
          <w:rFonts w:ascii="Book Antiqua" w:hAnsi="Book Antiqua" w:eastAsia="MS Mincho"/>
          <w:shd w:val="clear" w:color="auto" w:fill="FFFFFF"/>
          <w:lang w:eastAsia="ja-JP"/>
        </w:rPr>
        <w:t>showing</w:t>
      </w:r>
      <w:r>
        <w:rPr>
          <w:rFonts w:ascii="Book Antiqua" w:hAnsi="Book Antiqua" w:eastAsia="Book Antiqua"/>
          <w:shd w:val="clear" w:color="auto" w:fill="FFFFFF"/>
          <w:lang w:eastAsia="ja-JP"/>
        </w:rPr>
        <w:t xml:space="preserve"> </w:t>
      </w:r>
      <w:r>
        <w:rPr>
          <w:rFonts w:ascii="Book Antiqua" w:hAnsi="Book Antiqua" w:eastAsia="Book Antiqua"/>
          <w:shd w:val="clear" w:color="auto" w:fill="FFFFFF"/>
        </w:rPr>
        <w:t xml:space="preserve">that </w:t>
      </w:r>
      <w:r>
        <w:rPr>
          <w:rFonts w:ascii="Book Antiqua" w:hAnsi="Book Antiqua" w:eastAsia="Book Antiqua" w:cs="Book Antiqua"/>
          <w:shd w:val="clear" w:color="auto" w:fill="FFFFFF"/>
        </w:rPr>
        <w:t>radiotherapy may be a potential tool for primary treatment or for bridging/downsizing purposes is growing</w:t>
      </w:r>
      <w:r>
        <w:rPr>
          <w:rFonts w:ascii="Book Antiqua" w:hAnsi="Book Antiqua" w:eastAsia="Book Antiqua" w:cs="Book Antiqua"/>
          <w:shd w:val="clear" w:color="auto" w:fill="FFFFFF"/>
          <w:vertAlign w:val="superscript"/>
        </w:rPr>
        <w:t>[5]</w:t>
      </w:r>
      <w:r>
        <w:rPr>
          <w:rFonts w:ascii="Book Antiqua" w:hAnsi="Book Antiqua" w:eastAsia="Book Antiqua" w:cs="Book Antiqua"/>
          <w:shd w:val="clear" w:color="auto" w:fill="FFFFFF"/>
        </w:rPr>
        <w:t>. A variety of technological progress has led to mo</w:t>
      </w:r>
      <w:r>
        <w:rPr>
          <w:rFonts w:ascii="Book Antiqua" w:hAnsi="Book Antiqua" w:eastAsia="Book Antiqua"/>
          <w:shd w:val="clear" w:color="auto" w:fill="FFFFFF"/>
        </w:rPr>
        <w:t xml:space="preserve">re </w:t>
      </w:r>
      <w:r>
        <w:rPr>
          <w:rFonts w:ascii="Book Antiqua" w:hAnsi="Book Antiqua" w:eastAsia="MS Mincho"/>
          <w:shd w:val="clear" w:color="auto" w:fill="FFFFFF"/>
          <w:lang w:eastAsia="ja-JP"/>
        </w:rPr>
        <w:t>accurate</w:t>
      </w:r>
      <w:r>
        <w:rPr>
          <w:rFonts w:ascii="Book Antiqua" w:hAnsi="Book Antiqua" w:eastAsia="Book Antiqua"/>
          <w:shd w:val="clear" w:color="auto" w:fill="FFFFFF"/>
          <w:lang w:eastAsia="ja-JP"/>
        </w:rPr>
        <w:t xml:space="preserve"> </w:t>
      </w:r>
      <w:r>
        <w:rPr>
          <w:rFonts w:ascii="Book Antiqua" w:hAnsi="Book Antiqua" w:eastAsia="Book Antiqua"/>
          <w:shd w:val="clear" w:color="auto" w:fill="FFFFFF"/>
        </w:rPr>
        <w:t>an</w:t>
      </w:r>
      <w:r>
        <w:rPr>
          <w:rFonts w:ascii="Book Antiqua" w:hAnsi="Book Antiqua" w:eastAsia="Book Antiqua" w:cs="Book Antiqua"/>
          <w:shd w:val="clear" w:color="auto" w:fill="FFFFFF"/>
        </w:rPr>
        <w:t>d dose-escalated radiotherapy,</w:t>
      </w:r>
      <w:r>
        <w:rPr>
          <w:rFonts w:ascii="Book Antiqua" w:hAnsi="Book Antiqua" w:eastAsia="Book Antiqua" w:cs="Book Antiqua"/>
        </w:rPr>
        <w:t xml:space="preserve"> particularly stereotactic body radiation therapy (SBRT)</w:t>
      </w:r>
      <w:r>
        <w:rPr>
          <w:rFonts w:ascii="Book Antiqua" w:hAnsi="Book Antiqua" w:eastAsia="Book Antiqua" w:cs="Book Antiqua"/>
          <w:vertAlign w:val="superscript"/>
        </w:rPr>
        <w:t>[6]</w:t>
      </w:r>
      <w:r>
        <w:rPr>
          <w:rFonts w:ascii="Book Antiqua" w:hAnsi="Book Antiqua" w:eastAsia="Book Antiqua" w:cs="Book Antiqua"/>
        </w:rPr>
        <w:t>. SBRT sufficiently reduces the dose to adjacent organs due to its sharp dose fall-down outside of the target, while enhancing the biological effectiveness of a large single dose</w:t>
      </w:r>
      <w:r>
        <w:rPr>
          <w:rFonts w:ascii="Book Antiqua" w:hAnsi="Book Antiqua" w:eastAsia="Book Antiqua" w:cs="Book Antiqua"/>
          <w:vertAlign w:val="superscript"/>
        </w:rPr>
        <w:t>[7]</w:t>
      </w:r>
      <w:r>
        <w:rPr>
          <w:rFonts w:ascii="Book Antiqua" w:hAnsi="Book Antiqua" w:eastAsia="Book Antiqua" w:cs="Book Antiqua"/>
        </w:rPr>
        <w:t>. However, with SBRT it can be difficult to track tumors in the liver due to respiratory motion management (RMM)</w:t>
      </w:r>
      <w:r>
        <w:rPr>
          <w:rFonts w:ascii="Book Antiqua" w:hAnsi="Book Antiqua" w:eastAsia="Book Antiqua" w:cs="Book Antiqua"/>
          <w:vertAlign w:val="superscript"/>
        </w:rPr>
        <w:t>[8]</w:t>
      </w:r>
      <w:r>
        <w:rPr>
          <w:rFonts w:ascii="Book Antiqua" w:hAnsi="Book Antiqua" w:eastAsia="Book Antiqua" w:cs="Book Antiqua"/>
        </w:rPr>
        <w:t>. SBRT with RMM is becoming more common; however, RMM is often performed with breath-holding or fixation of the trunk. For a more focused and accurate delivery of SBRT, fiducial markers are used to locate tumors in the liver</w:t>
      </w:r>
      <w:r>
        <w:rPr>
          <w:rFonts w:ascii="Book Antiqua" w:hAnsi="Book Antiqua" w:eastAsia="Book Antiqua" w:cs="Book Antiqua"/>
          <w:vertAlign w:val="superscript"/>
        </w:rPr>
        <w:t>[9]</w:t>
      </w:r>
      <w:r>
        <w:rPr>
          <w:rFonts w:ascii="Book Antiqua" w:hAnsi="Book Antiqua" w:eastAsia="Book Antiqua" w:cs="Book Antiqua"/>
        </w:rPr>
        <w:t>. Using Gold Anchor</w:t>
      </w:r>
      <w:r>
        <w:rPr>
          <w:rFonts w:ascii="Book Antiqua" w:hAnsi="Book Antiqua" w:eastAsia="Book Antiqua" w:cs="Book Antiqua"/>
          <w:vertAlign w:val="superscript"/>
        </w:rPr>
        <w:t>®</w:t>
      </w:r>
      <w:r>
        <w:rPr>
          <w:rFonts w:ascii="Book Antiqua" w:hAnsi="Book Antiqua" w:eastAsia="Book Antiqua" w:cs="Book Antiqua"/>
        </w:rPr>
        <w:t xml:space="preserve"> (GA) </w:t>
      </w:r>
      <w:r>
        <w:rPr>
          <w:rFonts w:ascii="Book Antiqua" w:hAnsi="Book Antiqua" w:eastAsia="Book Antiqua" w:cs="Book Antiqua"/>
          <w:shd w:val="clear" w:color="auto" w:fill="FFFFFF"/>
        </w:rPr>
        <w:t>(Naslund Medical AB, Huddinge, Sweden)</w:t>
      </w:r>
      <w:r>
        <w:rPr>
          <w:rFonts w:ascii="Book Antiqua" w:hAnsi="Book Antiqua" w:eastAsia="Book Antiqua" w:cs="Book Antiqua"/>
        </w:rPr>
        <w:t>, a new marker of fine diameter, we performed SBRT in two cases and thereby confirmed its efficacy. The GA used in these cases is characterized by a low risk of complications and high visibility on computed tomography (CT) and magnetic resonance imaging (MRI)</w:t>
      </w:r>
      <w:r>
        <w:rPr>
          <w:rFonts w:ascii="Book Antiqua" w:hAnsi="Book Antiqua" w:eastAsia="Book Antiqua" w:cs="Book Antiqua"/>
          <w:vertAlign w:val="superscript"/>
        </w:rPr>
        <w:t>[9]</w:t>
      </w:r>
      <w:r>
        <w:rPr>
          <w:rFonts w:ascii="Book Antiqua" w:hAnsi="Book Antiqua" w:eastAsia="Book Antiqua" w:cs="Book Antiqua"/>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CASE PRESENTATION</w:t>
      </w:r>
    </w:p>
    <w:p>
      <w:pPr>
        <w:spacing w:line="360" w:lineRule="auto"/>
        <w:jc w:val="both"/>
        <w:rPr>
          <w:rFonts w:ascii="Book Antiqua" w:hAnsi="Book Antiqua"/>
        </w:rPr>
      </w:pPr>
      <w:r>
        <w:rPr>
          <w:rFonts w:ascii="Book Antiqua" w:hAnsi="Book Antiqua" w:eastAsia="Book Antiqua" w:cs="Book Antiqua"/>
          <w:b/>
          <w:i/>
        </w:rPr>
        <w:t>Chief complaints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For treatment of HCC.</w:t>
      </w:r>
    </w:p>
    <w:p>
      <w:pPr>
        <w:spacing w:line="360" w:lineRule="auto"/>
        <w:jc w:val="both"/>
        <w:rPr>
          <w:rFonts w:ascii="Book Antiqua" w:hAnsi="Book Antiqua" w:eastAsia="MS Mincho" w:cs="MS Mincho"/>
          <w:lang w:eastAsia="ja-JP"/>
        </w:rPr>
      </w:pPr>
    </w:p>
    <w:p>
      <w:pPr>
        <w:spacing w:line="360" w:lineRule="auto"/>
        <w:jc w:val="both"/>
        <w:rPr>
          <w:rFonts w:ascii="Book Antiqua" w:hAnsi="Book Antiqua"/>
        </w:rPr>
      </w:pPr>
      <w:r>
        <w:rPr>
          <w:rFonts w:ascii="Book Antiqua" w:hAnsi="Book Antiqua" w:eastAsia="Book Antiqua" w:cs="Book Antiqua"/>
          <w:b/>
          <w:bCs/>
        </w:rPr>
        <w:t>Case 2:</w:t>
      </w:r>
      <w:r>
        <w:rPr>
          <w:rFonts w:ascii="Book Antiqua" w:hAnsi="Book Antiqua" w:cs="Book Antiqua"/>
          <w:b/>
          <w:bCs/>
          <w:lang w:eastAsia="zh-CN"/>
        </w:rPr>
        <w:t xml:space="preserve"> </w:t>
      </w:r>
      <w:r>
        <w:rPr>
          <w:rFonts w:ascii="Book Antiqua" w:hAnsi="Book Antiqua" w:eastAsia="Book Antiqua" w:cs="Book Antiqua"/>
        </w:rPr>
        <w:t>For further management of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present illness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The patient was a 60-year-old man with alcoholic cirrhosis. For three years, he underwent regular CT examinations annually, and CT revealed a single 10-cm HCC in the right lobe (Figure 1A).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Case 2:</w:t>
      </w:r>
      <w:r>
        <w:rPr>
          <w:rFonts w:ascii="Book Antiqua" w:hAnsi="Book Antiqua" w:eastAsia="Book Antiqua" w:cs="Book Antiqua"/>
        </w:rPr>
        <w:t xml:space="preserve"> The patient was a 77-year-old man with hepatitis B infection. He underwent regular CT examinations annually at a nearby hospital. Four years ago, CT revealed a single HCC measuring 12-cm in the right lobe (Figure 2A). The patient underwent hepatectomy at the same institution, but recurrence occurred (Figure 2B). TACE was then performed to treat the recurrence; however, there was further recurrence (Figure 2C). The patient was subsequently admitted to our hospital for further management of the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History of past illness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The patient was diagnosed with hypertension, diabetes, and gout 10 years ago, and with alcoholic cirrhosis and angina 3 years ago. He had been taking the following medications: Telmisartan, amlodipine basilate, febuxostat, empagliflozin linagliptin, aspirin, pitavastatin calcium hydrate, and diltiazem hydrochloride.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Case 2: </w:t>
      </w:r>
      <w:r>
        <w:rPr>
          <w:rFonts w:ascii="Book Antiqua" w:hAnsi="Book Antiqua" w:eastAsia="Book Antiqua" w:cs="Book Antiqua"/>
        </w:rPr>
        <w:t>The patient was diagnosed with hepatitis B seven years ago at a nearby hospital. He was previously diagnosed with benign prostatic hyperplasia. He was not on any medication.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Personal and family history</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He had been drinking 50-100 g of alcohol daily for 40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Case 2: </w:t>
      </w:r>
      <w:r>
        <w:rPr>
          <w:rFonts w:ascii="Book Antiqua" w:hAnsi="Book Antiqua" w:eastAsia="Book Antiqua" w:cs="Book Antiqua"/>
        </w:rPr>
        <w:t>He rarely drank. He was exposed to the atomic bomb in World War II.</w:t>
      </w:r>
    </w:p>
    <w:p>
      <w:pPr>
        <w:spacing w:line="360" w:lineRule="auto"/>
        <w:jc w:val="both"/>
        <w:rPr>
          <w:rFonts w:ascii="Book Antiqua" w:hAnsi="Book Antiqua"/>
        </w:rPr>
      </w:pPr>
    </w:p>
    <w:p>
      <w:pPr>
        <w:spacing w:line="360" w:lineRule="auto"/>
        <w:jc w:val="both"/>
        <w:rPr>
          <w:rFonts w:ascii="Book Antiqua" w:hAnsi="Book Antiqua"/>
          <w:lang w:eastAsia="ja-JP"/>
        </w:rPr>
      </w:pPr>
      <w:r>
        <w:rPr>
          <w:rFonts w:ascii="Book Antiqua" w:hAnsi="Book Antiqua" w:eastAsia="Book Antiqua" w:cs="Book Antiqua"/>
          <w:b/>
          <w:i/>
        </w:rPr>
        <w:t>Physical examination</w:t>
      </w:r>
    </w:p>
    <w:p>
      <w:pPr>
        <w:spacing w:line="360" w:lineRule="auto"/>
        <w:jc w:val="both"/>
        <w:rPr>
          <w:rFonts w:ascii="Book Antiqua" w:hAnsi="Book Antiqua"/>
        </w:rPr>
      </w:pPr>
      <w:r>
        <w:rPr>
          <w:rFonts w:ascii="Book Antiqua" w:hAnsi="Book Antiqua" w:eastAsia="Book Antiqua" w:cs="Book Antiqua"/>
          <w:b/>
          <w:bCs/>
        </w:rPr>
        <w:t>Cases 1</w:t>
      </w:r>
      <w:r>
        <w:rPr>
          <w:rFonts w:ascii="Book Antiqua" w:hAnsi="Book Antiqua" w:cs="Book Antiqua"/>
          <w:b/>
          <w:bCs/>
          <w:lang w:eastAsia="zh-CN"/>
        </w:rPr>
        <w:t xml:space="preserve"> and 2</w:t>
      </w:r>
      <w:r>
        <w:rPr>
          <w:rFonts w:ascii="Book Antiqua" w:hAnsi="Book Antiqua" w:eastAsia="Book Antiqua" w:cs="Book Antiqua"/>
          <w:b/>
          <w:bCs/>
        </w:rPr>
        <w:t xml:space="preserve">: </w:t>
      </w:r>
      <w:r>
        <w:rPr>
          <w:rFonts w:ascii="Book Antiqua" w:hAnsi="Book Antiqua" w:eastAsia="Book Antiqua" w:cs="Book Antiqua"/>
        </w:rPr>
        <w:t>There were no findings of anemia or jaundice. The abdominal findings were also unremarkable.</w:t>
      </w:r>
    </w:p>
    <w:p>
      <w:pPr>
        <w:spacing w:line="360" w:lineRule="auto"/>
        <w:jc w:val="both"/>
        <w:rPr>
          <w:rFonts w:ascii="Book Antiqua" w:hAnsi="Book Antiqua"/>
          <w:lang w:eastAsia="ja-JP"/>
        </w:rPr>
      </w:pPr>
    </w:p>
    <w:p>
      <w:pPr>
        <w:spacing w:line="360" w:lineRule="auto"/>
        <w:jc w:val="both"/>
        <w:rPr>
          <w:rFonts w:ascii="Book Antiqua" w:hAnsi="Book Antiqua"/>
        </w:rPr>
      </w:pPr>
      <w:r>
        <w:rPr>
          <w:rFonts w:ascii="Book Antiqua" w:hAnsi="Book Antiqua" w:eastAsia="Book Antiqua" w:cs="Book Antiqua"/>
          <w:b/>
          <w:i/>
        </w:rPr>
        <w:t>Laboratory examinations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Blood tests showed negative hepatitis virus markers (Table 1), and Child-Pugh status was 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Case 2: </w:t>
      </w:r>
      <w:r>
        <w:rPr>
          <w:rFonts w:ascii="Book Antiqua" w:hAnsi="Book Antiqua" w:eastAsia="Book Antiqua" w:cs="Book Antiqua"/>
        </w:rPr>
        <w:t xml:space="preserve">Blood tests were positive for hepatitis B core antibody (Table </w:t>
      </w:r>
      <w:r>
        <w:rPr>
          <w:rFonts w:ascii="Book Antiqua" w:hAnsi="Book Antiqua" w:cs="Book Antiqua"/>
          <w:lang w:eastAsia="zh-CN"/>
        </w:rPr>
        <w:t>1</w:t>
      </w:r>
      <w:r>
        <w:rPr>
          <w:rFonts w:ascii="Book Antiqua" w:hAnsi="Book Antiqua" w:eastAsia="Book Antiqua" w:cs="Book Antiqua"/>
        </w:rPr>
        <w:t>), and Child-Pugh status was 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Imaging examinations</w:t>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Case 1: </w:t>
      </w:r>
      <w:r>
        <w:rPr>
          <w:rFonts w:ascii="Book Antiqua" w:hAnsi="Book Antiqua" w:eastAsia="Book Antiqua" w:cs="Book Antiqua"/>
        </w:rPr>
        <w:t>Contrast-enhanced CT revealed a typical 10</w:t>
      </w:r>
      <w:r>
        <w:rPr>
          <w:rFonts w:ascii="Book Antiqua" w:hAnsi="Book Antiqua" w:cs="Book Antiqua"/>
          <w:lang w:eastAsia="zh-CN"/>
        </w:rPr>
        <w:t>-</w:t>
      </w:r>
      <w:r>
        <w:rPr>
          <w:rFonts w:ascii="Book Antiqua" w:hAnsi="Book Antiqua" w:eastAsia="Book Antiqua" w:cs="Book Antiqua"/>
        </w:rPr>
        <w:t>cm HCC in the right lobe. The contrast enhanced the HCC in the early phase and washed out in the late phase (Figure 1A).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Case 2: </w:t>
      </w:r>
      <w:r>
        <w:rPr>
          <w:rFonts w:ascii="Book Antiqua" w:hAnsi="Book Antiqua" w:eastAsia="Book Antiqua" w:cs="Book Antiqua"/>
        </w:rPr>
        <w:t>Contrast-enhanced CT revealed a typical 12-cm HCC in the right lobe. The contrast stained the HCC in the early phase and washed out in late phase (Figure 2A).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FINAL DIAGNOSIS</w:t>
      </w: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Case 1</w:t>
      </w:r>
    </w:p>
    <w:p>
      <w:pPr>
        <w:spacing w:line="360" w:lineRule="auto"/>
        <w:jc w:val="both"/>
        <w:rPr>
          <w:rFonts w:ascii="Book Antiqua" w:hAnsi="Book Antiqua" w:eastAsia="Book Antiqua" w:cs="Book Antiqua"/>
        </w:rPr>
      </w:pPr>
      <w:r>
        <w:rPr>
          <w:rFonts w:ascii="Book Antiqua" w:hAnsi="Book Antiqua" w:eastAsia="Book Antiqua" w:cs="Book Antiqua"/>
        </w:rPr>
        <w:t>The final diagnosis was HCC due to alcoholic liver cirrhosis.</w:t>
      </w:r>
    </w:p>
    <w:p>
      <w:pPr>
        <w:spacing w:line="360" w:lineRule="auto"/>
        <w:jc w:val="both"/>
        <w:rPr>
          <w:rFonts w:ascii="Book Antiqua" w:hAnsi="Book Antiqua"/>
        </w:rPr>
      </w:pP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Case 2</w:t>
      </w:r>
    </w:p>
    <w:p>
      <w:pPr>
        <w:spacing w:line="360" w:lineRule="auto"/>
        <w:jc w:val="both"/>
        <w:rPr>
          <w:rFonts w:ascii="Book Antiqua" w:hAnsi="Book Antiqua"/>
        </w:rPr>
      </w:pPr>
      <w:r>
        <w:rPr>
          <w:rFonts w:ascii="Book Antiqua" w:hAnsi="Book Antiqua" w:eastAsia="Book Antiqua" w:cs="Book Antiqua"/>
        </w:rPr>
        <w:t>The final diagnosis was HCC due to hepatitis B infection.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TREATMENT</w:t>
      </w:r>
    </w:p>
    <w:p>
      <w:pPr>
        <w:spacing w:line="360" w:lineRule="auto"/>
        <w:jc w:val="both"/>
        <w:rPr>
          <w:rFonts w:ascii="Book Antiqua" w:hAnsi="Book Antiqua" w:eastAsia="Book Antiqua" w:cs="Book Antiqua"/>
          <w:b/>
          <w:bCs/>
          <w:i/>
          <w:iCs/>
        </w:rPr>
      </w:pPr>
      <w:r>
        <w:rPr>
          <w:rFonts w:ascii="Book Antiqua" w:hAnsi="Book Antiqua" w:eastAsia="Book Antiqua" w:cs="Book Antiqua"/>
          <w:b/>
          <w:bCs/>
          <w:i/>
          <w:iCs/>
        </w:rPr>
        <w:t>Case 1</w:t>
      </w:r>
    </w:p>
    <w:p>
      <w:pPr>
        <w:spacing w:line="360" w:lineRule="auto"/>
        <w:jc w:val="both"/>
        <w:rPr>
          <w:rFonts w:ascii="Book Antiqua" w:hAnsi="Book Antiqua" w:eastAsia="Book Antiqua" w:cs="Book Antiqua"/>
        </w:rPr>
      </w:pPr>
      <w:r>
        <w:rPr>
          <w:rFonts w:ascii="Book Antiqua" w:hAnsi="Book Antiqua" w:eastAsia="Book Antiqua" w:cs="Book Antiqua"/>
        </w:rPr>
        <w:t>TACE was performed twice for HCC, but in both instances, viable lesions remained, and levels of alpha-fetoprotein and protein induced by vitamin K antagonists-</w:t>
      </w:r>
      <w:r>
        <w:rPr>
          <w:rFonts w:hint="eastAsia" w:ascii="宋体" w:hAnsi="宋体" w:eastAsia="宋体" w:cs="宋体"/>
        </w:rPr>
        <w:t>Ⅱ</w:t>
      </w:r>
      <w:r>
        <w:rPr>
          <w:rFonts w:ascii="Book Antiqua" w:hAnsi="Book Antiqua" w:eastAsia="Book Antiqua" w:cs="Book Antiqua"/>
        </w:rPr>
        <w:t xml:space="preserve"> (PIVKA-</w:t>
      </w:r>
      <w:r>
        <w:rPr>
          <w:rFonts w:hint="eastAsia" w:ascii="宋体" w:hAnsi="宋体" w:eastAsia="宋体" w:cs="宋体"/>
        </w:rPr>
        <w:t>Ⅱ</w:t>
      </w:r>
      <w:r>
        <w:rPr>
          <w:rFonts w:ascii="Book Antiqua" w:hAnsi="Book Antiqua" w:eastAsia="Book Antiqua" w:cs="Book Antiqua"/>
        </w:rPr>
        <w:t>) decreased then quickly re-elevated. A third TACE was performed; however, the results were similar to the previous TACEs: 2.5 cm of viable lesions remained, and the once-decreased PIVKA-</w:t>
      </w:r>
      <w:r>
        <w:rPr>
          <w:rFonts w:hint="eastAsia" w:ascii="宋体" w:hAnsi="宋体" w:eastAsia="宋体" w:cs="宋体"/>
        </w:rPr>
        <w:t>Ⅱ</w:t>
      </w:r>
      <w:r>
        <w:rPr>
          <w:rFonts w:ascii="Book Antiqua" w:hAnsi="Book Antiqua" w:eastAsia="Book Antiqua" w:cs="Book Antiqua"/>
        </w:rPr>
        <w:t xml:space="preserve"> level immediately increased again (Figure 1B-D). Therefore, we decided to perform SBRT with GA; an interventional radiology specialist with 30 years of experience selected a 22G needle and implanted two GAs within 2 cm of the HCC (Figure 3). One week after implantation, CT registration was performed, and radiotherapy was planned. Three weeks after implantation, localized radiotherapy (SBRT; 40 Gy/5 fractions) was performed for HCC using the Synchrony system by Radixact™ (Accuray Japan K.K., Tokyo, Japan).</w:t>
      </w:r>
    </w:p>
    <w:p>
      <w:pPr>
        <w:spacing w:line="360" w:lineRule="auto"/>
        <w:jc w:val="both"/>
        <w:rPr>
          <w:rFonts w:ascii="Book Antiqua" w:hAnsi="Book Antiqua"/>
        </w:rPr>
      </w:pPr>
    </w:p>
    <w:p>
      <w:pPr>
        <w:spacing w:line="360" w:lineRule="auto"/>
        <w:jc w:val="both"/>
        <w:rPr>
          <w:rFonts w:ascii="Book Antiqua" w:hAnsi="Book Antiqua" w:eastAsia="Book Antiqua" w:cs="Book Antiqua"/>
          <w:i/>
          <w:iCs/>
        </w:rPr>
      </w:pPr>
      <w:r>
        <w:rPr>
          <w:rFonts w:ascii="Book Antiqua" w:hAnsi="Book Antiqua" w:eastAsia="Book Antiqua" w:cs="Book Antiqua"/>
          <w:b/>
          <w:bCs/>
          <w:i/>
          <w:iCs/>
        </w:rPr>
        <w:t>Case 2</w:t>
      </w:r>
    </w:p>
    <w:p>
      <w:pPr>
        <w:spacing w:line="360" w:lineRule="auto"/>
        <w:jc w:val="both"/>
        <w:rPr>
          <w:rFonts w:ascii="Book Antiqua" w:hAnsi="Book Antiqua"/>
        </w:rPr>
      </w:pPr>
      <w:r>
        <w:rPr>
          <w:rFonts w:ascii="Book Antiqua" w:hAnsi="Book Antiqua" w:eastAsia="Book Antiqua" w:cs="Book Antiqua"/>
        </w:rPr>
        <w:t>We performed TACE twice for HCC in our hospital, but both times viable lesions remained. The PIVKA-</w:t>
      </w:r>
      <w:r>
        <w:rPr>
          <w:rFonts w:hint="eastAsia" w:ascii="宋体" w:hAnsi="宋体" w:eastAsia="宋体" w:cs="宋体"/>
        </w:rPr>
        <w:t>Ⅱ</w:t>
      </w:r>
      <w:r>
        <w:rPr>
          <w:rFonts w:ascii="Book Antiqua" w:hAnsi="Book Antiqua" w:eastAsia="Book Antiqua" w:cs="Book Antiqua"/>
        </w:rPr>
        <w:t xml:space="preserve"> level decreased but quickly re-elevated. A third TACE was performed; however, the results were similar to the previous TACEs: 2 cm of viable lesions remained, and the decreased PIVKA-</w:t>
      </w:r>
      <w:r>
        <w:rPr>
          <w:rFonts w:hint="eastAsia" w:ascii="宋体" w:hAnsi="宋体" w:eastAsia="宋体" w:cs="宋体"/>
        </w:rPr>
        <w:t>Ⅱ</w:t>
      </w:r>
      <w:r>
        <w:rPr>
          <w:rFonts w:ascii="Book Antiqua" w:hAnsi="Book Antiqua" w:eastAsia="Book Antiqua" w:cs="Book Antiqua"/>
        </w:rPr>
        <w:t xml:space="preserve"> level increased again (Figure 2D and E). Therefore, we decided to perform SBRT with GA, and two GAs were implanted within 2 cm of the HCC with a 22G needle. In this case, the biloma was complicated after hepatectomy at the previous hospital, and the puncture route for GA implantation passed near the site (Figure 4). One week after implantation, CT registration was performed, and radiotherapy was planned. Because of the proximity of the HCC to the gastrointestinal tract, localized radiotherapy (SBRT; 39 Gy/13 fractions) to the HCC was performed 3 wk after implantation using the Synchrony system by Radixact™.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OUTCOME AND FOLLOW-UP</w:t>
      </w:r>
    </w:p>
    <w:p>
      <w:pPr>
        <w:spacing w:line="360" w:lineRule="auto"/>
        <w:jc w:val="both"/>
        <w:rPr>
          <w:rFonts w:ascii="Book Antiqua" w:hAnsi="Book Antiqua" w:cs="Book Antiqua"/>
          <w:b/>
          <w:bCs/>
          <w:i/>
          <w:iCs/>
          <w:lang w:eastAsia="zh-CN"/>
        </w:rPr>
      </w:pPr>
      <w:r>
        <w:rPr>
          <w:rFonts w:ascii="Book Antiqua" w:hAnsi="Book Antiqua" w:eastAsia="Book Antiqua" w:cs="Book Antiqua"/>
          <w:b/>
          <w:bCs/>
          <w:i/>
          <w:iCs/>
        </w:rPr>
        <w:t>Case 1</w:t>
      </w:r>
    </w:p>
    <w:p>
      <w:pPr>
        <w:spacing w:line="360" w:lineRule="auto"/>
        <w:jc w:val="both"/>
        <w:rPr>
          <w:rFonts w:ascii="Book Antiqua" w:hAnsi="Book Antiqua" w:eastAsia="Book Antiqua" w:cs="Book Antiqua"/>
        </w:rPr>
      </w:pPr>
      <w:r>
        <w:rPr>
          <w:rFonts w:ascii="Book Antiqua" w:hAnsi="Book Antiqua" w:eastAsia="Book Antiqua" w:cs="Book Antiqua"/>
        </w:rPr>
        <w:t>Four weeks later, CT showed that the viable lesion had disappeared and the PIVKA-</w:t>
      </w:r>
      <w:r>
        <w:rPr>
          <w:rFonts w:hint="eastAsia" w:ascii="宋体" w:hAnsi="宋体" w:eastAsia="宋体" w:cs="宋体"/>
        </w:rPr>
        <w:t>Ⅱ</w:t>
      </w:r>
      <w:r>
        <w:rPr>
          <w:rFonts w:ascii="Book Antiqua" w:hAnsi="Book Antiqua" w:eastAsia="Book Antiqua" w:cs="Book Antiqua"/>
        </w:rPr>
        <w:t xml:space="preserve"> levels decreased (Figure 5). There were no complications of grade 3 or higher during the clinical course (Figure 6). No recurrence has been observed at 9 mo after SBRT with GA.</w:t>
      </w:r>
    </w:p>
    <w:p>
      <w:pPr>
        <w:spacing w:line="360" w:lineRule="auto"/>
        <w:jc w:val="both"/>
        <w:rPr>
          <w:rFonts w:ascii="Book Antiqua" w:hAnsi="Book Antiqua"/>
        </w:rPr>
      </w:pPr>
    </w:p>
    <w:p>
      <w:pPr>
        <w:spacing w:line="360" w:lineRule="auto"/>
        <w:jc w:val="both"/>
        <w:rPr>
          <w:rFonts w:ascii="Book Antiqua" w:hAnsi="Book Antiqua" w:cs="Book Antiqua"/>
          <w:b/>
          <w:bCs/>
          <w:i/>
          <w:iCs/>
          <w:lang w:eastAsia="zh-CN"/>
        </w:rPr>
      </w:pPr>
      <w:r>
        <w:rPr>
          <w:rFonts w:ascii="Book Antiqua" w:hAnsi="Book Antiqua" w:eastAsia="Book Antiqua" w:cs="Book Antiqua"/>
          <w:b/>
          <w:bCs/>
          <w:i/>
          <w:iCs/>
        </w:rPr>
        <w:t>Case 2</w:t>
      </w:r>
    </w:p>
    <w:p>
      <w:pPr>
        <w:spacing w:line="360" w:lineRule="auto"/>
        <w:jc w:val="both"/>
        <w:rPr>
          <w:rFonts w:ascii="Book Antiqua" w:hAnsi="Book Antiqua"/>
        </w:rPr>
      </w:pPr>
      <w:r>
        <w:rPr>
          <w:rFonts w:ascii="Book Antiqua" w:hAnsi="Book Antiqua" w:eastAsia="Book Antiqua" w:cs="Book Antiqua"/>
        </w:rPr>
        <w:t>Four weeks later, the viable lesion had disappeared on CT and the PIVKA-</w:t>
      </w:r>
      <w:r>
        <w:rPr>
          <w:rFonts w:hint="eastAsia" w:ascii="宋体" w:hAnsi="宋体" w:eastAsia="宋体" w:cs="宋体"/>
        </w:rPr>
        <w:t>Ⅱ</w:t>
      </w:r>
      <w:r>
        <w:rPr>
          <w:rFonts w:ascii="Book Antiqua" w:hAnsi="Book Antiqua" w:eastAsia="Book Antiqua" w:cs="Book Antiqua"/>
        </w:rPr>
        <w:t xml:space="preserve"> levels decreased (Figure 7). In this case, the puncture route for GA implantation passed near the biloma. As a result, the biloma developed complications from infection (Figure 8), which improved through conservative treatment. There were no other complications of grade 3 or higher during the clinical course (Figure 9). Recurrence occurred 7 mo after SBRT with GA; however, without the short-term recurrence seen after TACE, progression-free survival was longer with this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DISCUSSION</w:t>
      </w:r>
    </w:p>
    <w:p>
      <w:pPr>
        <w:spacing w:line="360" w:lineRule="auto"/>
        <w:jc w:val="both"/>
        <w:rPr>
          <w:rFonts w:ascii="Book Antiqua" w:hAnsi="Book Antiqua"/>
        </w:rPr>
      </w:pPr>
      <w:r>
        <w:rPr>
          <w:rFonts w:ascii="Book Antiqua" w:hAnsi="Book Antiqua" w:eastAsia="Book Antiqua" w:cs="Book Antiqua"/>
        </w:rPr>
        <w:t xml:space="preserve">Regarding early-stage HCC, it is standard to undergo curative treatments, such as surgical resection (partial liver resection or liver transplantation) and percutaneous ablation, most commonly RFA. Regarding intermediate-stage HCC, </w:t>
      </w:r>
      <w:r>
        <w:rPr>
          <w:rFonts w:ascii="Book Antiqua" w:hAnsi="Book Antiqua" w:eastAsia="Book Antiqua" w:cs="Book Antiqua"/>
          <w:shd w:val="clear" w:color="auto" w:fill="FFFFFF"/>
        </w:rPr>
        <w:t>many patients undergo TACE as their first local regional treatment</w:t>
      </w:r>
      <w:r>
        <w:rPr>
          <w:rFonts w:ascii="Book Antiqua" w:hAnsi="Book Antiqua" w:eastAsia="Book Antiqua" w:cs="Book Antiqua"/>
          <w:shd w:val="clear" w:color="auto" w:fill="FFFFFF"/>
          <w:vertAlign w:val="superscript"/>
        </w:rPr>
        <w:t>[</w:t>
      </w:r>
      <w:r>
        <w:rPr>
          <w:rFonts w:ascii="Book Antiqua" w:hAnsi="Book Antiqua" w:eastAsia="Book Antiqua" w:cs="Book Antiqua"/>
          <w:vertAlign w:val="superscript"/>
        </w:rPr>
        <w:t>5,8</w:t>
      </w:r>
      <w:r>
        <w:rPr>
          <w:rFonts w:ascii="Book Antiqua" w:hAnsi="Book Antiqua" w:eastAsia="Book Antiqua" w:cs="Book Antiqua"/>
          <w:shd w:val="clear" w:color="auto" w:fill="FFFFFF"/>
          <w:vertAlign w:val="superscript"/>
        </w:rPr>
        <w:t>]</w:t>
      </w:r>
      <w:r>
        <w:rPr>
          <w:rFonts w:ascii="Book Antiqua" w:hAnsi="Book Antiqua" w:eastAsia="Book Antiqua" w:cs="Book Antiqua"/>
          <w:shd w:val="clear" w:color="auto" w:fill="FFFFFF"/>
        </w:rPr>
        <w:t xml:space="preserve">. </w:t>
      </w:r>
      <w:r>
        <w:rPr>
          <w:rFonts w:ascii="Book Antiqua" w:hAnsi="Book Antiqua" w:eastAsia="Book Antiqua" w:cs="Book Antiqua"/>
        </w:rPr>
        <w:t>However, such treatments have limitations in locally advanced cases. For example, TACE is contraindicated in cases with portal vein thrombosis, malignant portal vein thrombosis, and untreatable arteriovenous fistula. RFA is contraindicated in cases with bleeding disorders and can be difficult in tumors near the diaphragm, digestive tract, pancreas, hepatic hilum, and major bile ducts or vessels</w:t>
      </w:r>
      <w:r>
        <w:rPr>
          <w:rFonts w:ascii="Book Antiqua" w:hAnsi="Book Antiqua" w:eastAsia="Book Antiqua" w:cs="Book Antiqua"/>
          <w:vertAlign w:val="superscript"/>
        </w:rPr>
        <w:t>[10]</w:t>
      </w:r>
      <w:r>
        <w:rPr>
          <w:rFonts w:ascii="Book Antiqua" w:hAnsi="Book Antiqua" w:eastAsia="Book Antiqua" w:cs="Book Antiqua"/>
        </w:rPr>
        <w:t xml:space="preserve">. Furthermore, Lin </w:t>
      </w:r>
      <w:r>
        <w:rPr>
          <w:rFonts w:ascii="Book Antiqua" w:hAnsi="Book Antiqua" w:eastAsia="Book Antiqua" w:cs="Book Antiqua"/>
          <w:i/>
          <w:iCs/>
        </w:rPr>
        <w:t>et al</w:t>
      </w:r>
      <w:r>
        <w:rPr>
          <w:rFonts w:ascii="Book Antiqua" w:hAnsi="Book Antiqua" w:eastAsia="Book Antiqua" w:cs="Book Antiqua"/>
          <w:vertAlign w:val="superscript"/>
        </w:rPr>
        <w:t>[11]</w:t>
      </w:r>
      <w:r>
        <w:rPr>
          <w:rFonts w:ascii="Book Antiqua" w:hAnsi="Book Antiqua" w:eastAsia="Book Antiqua" w:cs="Book Antiqua"/>
        </w:rPr>
        <w:t xml:space="preserve"> reported that RFA was less effective for HCCs larger than 4 cm. Patients who do not satisfy the Milan criteria or San Francisco criteria are not commonly indicated for surgical resection</w:t>
      </w:r>
      <w:r>
        <w:rPr>
          <w:rFonts w:ascii="Book Antiqua" w:hAnsi="Book Antiqua" w:eastAsia="Book Antiqua" w:cs="Book Antiqua"/>
          <w:vertAlign w:val="superscript"/>
        </w:rPr>
        <w:t>[5]</w:t>
      </w:r>
      <w:r>
        <w:rPr>
          <w:rFonts w:ascii="Book Antiqua" w:hAnsi="Book Antiqua" w:eastAsia="Book Antiqua" w:cs="Book Antiqua"/>
        </w:rPr>
        <w:t xml:space="preserve">. It has also been reported that patients with intermediate- to advanced-stage HCC have a high recurrence rates. </w:t>
      </w:r>
      <w:r>
        <w:rPr>
          <w:rFonts w:ascii="Book Antiqua" w:hAnsi="Book Antiqua" w:eastAsia="Book Antiqua" w:cs="Book Antiqua"/>
          <w:shd w:val="clear" w:color="auto" w:fill="FFFFFF"/>
        </w:rPr>
        <w:t>Five-year tumor recurrence rates after surgical resection and RFA may be more than 50% and up to 80%, respectively. These high recurrence rates include patients who undergo TACE</w:t>
      </w:r>
      <w:r>
        <w:rPr>
          <w:rFonts w:ascii="Book Antiqua" w:hAnsi="Book Antiqua" w:eastAsia="Book Antiqua" w:cs="Book Antiqua"/>
          <w:shd w:val="clear" w:color="auto" w:fill="FFFFFF"/>
          <w:vertAlign w:val="superscript"/>
        </w:rPr>
        <w:t>[8,12]</w:t>
      </w:r>
      <w:r>
        <w:rPr>
          <w:rFonts w:ascii="Book Antiqua" w:hAnsi="Book Antiqua" w:eastAsia="Book Antiqua" w:cs="Book Antiqua"/>
          <w:shd w:val="clear" w:color="auto" w:fill="FFFFFF"/>
        </w:rPr>
        <w:t xml:space="preserve">. In our case, one patient had </w:t>
      </w:r>
      <w:r>
        <w:rPr>
          <w:rFonts w:ascii="Book Antiqua" w:hAnsi="Book Antiqua" w:eastAsia="Book Antiqua" w:cs="Book Antiqua"/>
        </w:rPr>
        <w:t xml:space="preserve">a recurrence after surgery and again after TACE. In the other case, </w:t>
      </w:r>
      <w:r>
        <w:rPr>
          <w:rFonts w:ascii="Book Antiqua" w:hAnsi="Book Antiqua" w:eastAsia="Book Antiqua" w:cs="Book Antiqua"/>
          <w:shd w:val="clear" w:color="auto" w:fill="FFFFFF"/>
        </w:rPr>
        <w:t>recurrence occurred after TACE. Bearing in mind the aforementioned reasons, as well as the fact that radiotherapy is constantly evolving due to technological innovation, radiotherapy is expected to be the fourth local therapy available for HCC</w:t>
      </w:r>
      <w:r>
        <w:rPr>
          <w:rFonts w:ascii="Book Antiqua" w:hAnsi="Book Antiqua" w:eastAsia="Book Antiqua" w:cs="Book Antiqua"/>
          <w:shd w:val="clear" w:color="auto" w:fill="FFFFFF"/>
          <w:vertAlign w:val="superscript"/>
        </w:rPr>
        <w:t>[5,8,10]</w:t>
      </w:r>
      <w:r>
        <w:rPr>
          <w:rFonts w:ascii="Book Antiqua" w:hAnsi="Book Antiqua" w:eastAsia="Book Antiqua" w:cs="Book Antiqua"/>
          <w:shd w:val="clear" w:color="auto" w:fill="FFFFFF"/>
        </w:rPr>
        <w:t>.</w:t>
      </w:r>
    </w:p>
    <w:p>
      <w:pPr>
        <w:spacing w:line="360" w:lineRule="auto"/>
        <w:ind w:firstLine="480" w:firstLineChars="200"/>
        <w:jc w:val="both"/>
        <w:rPr>
          <w:rFonts w:ascii="Book Antiqua" w:hAnsi="Book Antiqua" w:eastAsia="Book Antiqua" w:cs="Book Antiqua"/>
          <w:shd w:val="clear" w:color="auto" w:fill="FFFFFF"/>
        </w:rPr>
      </w:pPr>
      <w:r>
        <w:rPr>
          <w:rFonts w:ascii="Book Antiqua" w:hAnsi="Book Antiqua" w:eastAsia="Book Antiqua" w:cs="Book Antiqua"/>
          <w:shd w:val="clear" w:color="auto" w:fill="FFFFFF"/>
        </w:rPr>
        <w:t>Currently, there are useful treatment guidelines for managing HCC from America</w:t>
      </w:r>
      <w:r>
        <w:rPr>
          <w:rFonts w:ascii="Book Antiqua" w:hAnsi="Book Antiqua" w:eastAsia="Book Antiqua" w:cs="Book Antiqua"/>
          <w:shd w:val="clear" w:color="auto" w:fill="FFFFFF"/>
          <w:vertAlign w:val="superscript"/>
        </w:rPr>
        <w:t>[13,14]</w:t>
      </w:r>
      <w:r>
        <w:rPr>
          <w:rFonts w:ascii="Book Antiqua" w:hAnsi="Book Antiqua" w:eastAsia="Book Antiqua" w:cs="Book Antiqua"/>
          <w:shd w:val="clear" w:color="auto" w:fill="FFFFFF"/>
        </w:rPr>
        <w:t>, Europe</w:t>
      </w:r>
      <w:r>
        <w:rPr>
          <w:rFonts w:ascii="Book Antiqua" w:hAnsi="Book Antiqua" w:eastAsia="Book Antiqua" w:cs="Book Antiqua"/>
          <w:shd w:val="clear" w:color="auto" w:fill="FFFFFF"/>
          <w:vertAlign w:val="superscript"/>
        </w:rPr>
        <w:t>[15]</w:t>
      </w:r>
      <w:r>
        <w:rPr>
          <w:rFonts w:ascii="Book Antiqua" w:hAnsi="Book Antiqua" w:eastAsia="Book Antiqua" w:cs="Book Antiqua"/>
          <w:shd w:val="clear" w:color="auto" w:fill="FFFFFF"/>
        </w:rPr>
        <w:t>, Japan</w:t>
      </w:r>
      <w:r>
        <w:rPr>
          <w:rFonts w:ascii="Book Antiqua" w:hAnsi="Book Antiqua" w:eastAsia="Book Antiqua" w:cs="Book Antiqua"/>
          <w:vertAlign w:val="superscript"/>
        </w:rPr>
        <w:t>[16]</w:t>
      </w:r>
      <w:r>
        <w:rPr>
          <w:rFonts w:ascii="Book Antiqua" w:hAnsi="Book Antiqua" w:eastAsia="Book Antiqua" w:cs="Book Antiqua"/>
          <w:shd w:val="clear" w:color="auto" w:fill="FFFFFF"/>
        </w:rPr>
        <w:t>, Korea</w:t>
      </w:r>
      <w:r>
        <w:rPr>
          <w:rFonts w:ascii="Book Antiqua" w:hAnsi="Book Antiqua" w:eastAsia="Book Antiqua" w:cs="Book Antiqua"/>
          <w:shd w:val="clear" w:color="auto" w:fill="FFFFFF"/>
          <w:vertAlign w:val="superscript"/>
        </w:rPr>
        <w:t>[17]</w:t>
      </w:r>
      <w:r>
        <w:rPr>
          <w:rFonts w:ascii="Book Antiqua" w:hAnsi="Book Antiqua" w:eastAsia="Book Antiqua" w:cs="Book Antiqua"/>
          <w:shd w:val="clear" w:color="auto" w:fill="FFFFFF"/>
        </w:rPr>
        <w:t>, China</w:t>
      </w:r>
      <w:r>
        <w:rPr>
          <w:rFonts w:ascii="Book Antiqua" w:hAnsi="Book Antiqua" w:eastAsia="Book Antiqua" w:cs="Book Antiqua"/>
          <w:shd w:val="clear" w:color="auto" w:fill="FFFFFF"/>
          <w:vertAlign w:val="superscript"/>
        </w:rPr>
        <w:t>[18]</w:t>
      </w:r>
      <w:r>
        <w:rPr>
          <w:rFonts w:ascii="Book Antiqua" w:hAnsi="Book Antiqua" w:eastAsia="Book Antiqua" w:cs="Book Antiqua"/>
          <w:shd w:val="clear" w:color="auto" w:fill="FFFFFF"/>
        </w:rPr>
        <w:t>, and Taiwan</w:t>
      </w:r>
      <w:r>
        <w:rPr>
          <w:rFonts w:ascii="Book Antiqua" w:hAnsi="Book Antiqua" w:eastAsia="Book Antiqua" w:cs="Book Antiqua"/>
          <w:shd w:val="clear" w:color="auto" w:fill="FFFFFF"/>
          <w:vertAlign w:val="superscript"/>
        </w:rPr>
        <w:t xml:space="preserve"> [19]</w:t>
      </w:r>
      <w:r>
        <w:rPr>
          <w:rFonts w:ascii="Book Antiqua" w:hAnsi="Book Antiqua" w:eastAsia="Book Antiqua" w:cs="Book Antiqua"/>
          <w:shd w:val="clear" w:color="auto" w:fill="FFFFFF"/>
        </w:rPr>
        <w:t xml:space="preserve">. </w:t>
      </w:r>
      <w:r>
        <w:rPr>
          <w:rFonts w:ascii="Book Antiqua" w:hAnsi="Book Antiqua" w:eastAsia="Book Antiqua" w:cs="Book Antiqua"/>
        </w:rPr>
        <w:t>There is a variety of evidence on the efficacy of radiotherapy for HCC, but phase III randomized trials are lacking. Therefore, based on the current guidelines, radiation therapy is not mentioned or is listed as having a limited role. However, modern radiotherapy has become increasingly important in the management of patients with HCC due to two changes. First, advances in radiotherapy techniques, for example SBRT and proton therapy, have allowed for more accurate delivery of radiation to enhance tumor control and reduce complications in organ close to the HCC. Second, the development of molecular targeted drugs and checkpoint-blockade immunotherapy has prolonged the overall survival of patients with HCC, reaffirming the importance of local tumor control. In this regard, several clinical trials of SBRT for HCC are underway</w:t>
      </w:r>
      <w:r>
        <w:rPr>
          <w:rFonts w:ascii="Book Antiqua" w:hAnsi="Book Antiqua" w:eastAsia="Book Antiqua" w:cs="Book Antiqua"/>
          <w:vertAlign w:val="superscript"/>
        </w:rPr>
        <w:t>[8,10]</w:t>
      </w:r>
      <w:r>
        <w:rPr>
          <w:rFonts w:ascii="Book Antiqua" w:hAnsi="Book Antiqua" w:eastAsia="Book Antiqua" w:cs="Book Antiqua"/>
        </w:rPr>
        <w:t>. The reason for choosing radiotherapy in the present cases was that they showed local recurrence and were refractory to surgery, TACE, or chemotherapy; in addition, RFA was difficult because, in the first case, the recurrence was close to the inferior vena cava, whereas in the second case, it was close to the left branch of the portal vein.</w:t>
      </w:r>
    </w:p>
    <w:p>
      <w:pPr>
        <w:spacing w:line="360" w:lineRule="auto"/>
        <w:ind w:firstLine="617"/>
        <w:jc w:val="both"/>
        <w:rPr>
          <w:rFonts w:ascii="Book Antiqua" w:hAnsi="Book Antiqua"/>
        </w:rPr>
      </w:pPr>
      <w:r>
        <w:rPr>
          <w:rFonts w:ascii="Book Antiqua" w:hAnsi="Book Antiqua" w:eastAsia="Book Antiqua" w:cs="Book Antiqua"/>
        </w:rPr>
        <w:t>SBRT builds on the principle of delivering high doses per fraction using steep dose gradients and smaller margins of uncertainty. A large dose of radiation is typically defined as one over 2 Gy. SBRT delivers extremely precise high doses in a limited number of treatment fractions (usually 3-6 fractions at &gt; 5 Gy per fraction) over a treatment course of 1-2 wk</w:t>
      </w:r>
      <w:r>
        <w:rPr>
          <w:rFonts w:ascii="Book Antiqua" w:hAnsi="Book Antiqua" w:eastAsia="Book Antiqua" w:cs="Book Antiqua"/>
          <w:vertAlign w:val="superscript"/>
        </w:rPr>
        <w:t>[8]</w:t>
      </w:r>
      <w:r>
        <w:rPr>
          <w:rFonts w:ascii="Book Antiqua" w:hAnsi="Book Antiqua" w:eastAsia="Book Antiqua" w:cs="Book Antiqua"/>
        </w:rPr>
        <w:t>. High doses of radiation in a few fractions allows for a higher proportion of cancer cell death while reducing the chance of tumor DNA repair or repopulation</w:t>
      </w:r>
      <w:r>
        <w:rPr>
          <w:rFonts w:ascii="Book Antiqua" w:hAnsi="Book Antiqua" w:eastAsia="Book Antiqua" w:cs="Book Antiqua"/>
          <w:vertAlign w:val="superscript"/>
        </w:rPr>
        <w:t>[5]</w:t>
      </w:r>
      <w:r>
        <w:rPr>
          <w:rFonts w:ascii="Book Antiqua" w:hAnsi="Book Antiqua" w:eastAsia="Book Antiqua" w:cs="Book Antiqua"/>
        </w:rPr>
        <w:t xml:space="preserve">. Kim </w:t>
      </w:r>
      <w:r>
        <w:rPr>
          <w:rFonts w:ascii="Book Antiqua" w:hAnsi="Book Antiqua" w:eastAsia="Book Antiqua" w:cs="Book Antiqua"/>
          <w:i/>
          <w:iCs/>
        </w:rPr>
        <w:t>et al</w:t>
      </w:r>
      <w:r>
        <w:rPr>
          <w:rFonts w:ascii="Book Antiqua" w:hAnsi="Book Antiqua" w:eastAsia="Book Antiqua" w:cs="Book Antiqua"/>
          <w:shd w:val="clear" w:color="auto" w:fill="FFFFFF"/>
          <w:vertAlign w:val="superscript"/>
        </w:rPr>
        <w:t>[20]</w:t>
      </w:r>
      <w:r>
        <w:rPr>
          <w:rFonts w:ascii="Book Antiqua" w:hAnsi="Book Antiqua" w:eastAsia="Book Antiqua" w:cs="Book Antiqua"/>
        </w:rPr>
        <w:t xml:space="preserve"> reported that </w:t>
      </w:r>
      <w:r>
        <w:rPr>
          <w:rFonts w:ascii="Book Antiqua" w:hAnsi="Book Antiqua" w:eastAsia="Book Antiqua" w:cs="Book Antiqua"/>
          <w:shd w:val="clear" w:color="auto" w:fill="FFFFFF"/>
        </w:rPr>
        <w:t xml:space="preserve">patients in the high-dose group achieved higher relative objective responses. </w:t>
      </w:r>
      <w:r>
        <w:rPr>
          <w:rFonts w:ascii="Book Antiqua" w:hAnsi="Book Antiqua" w:eastAsia="Book Antiqua" w:cs="Book Antiqua"/>
        </w:rPr>
        <w:t xml:space="preserve">To deliver high doses safely, image guidance and RMM are required. </w:t>
      </w:r>
      <w:r>
        <w:rPr>
          <w:rFonts w:ascii="Book Antiqua" w:hAnsi="Book Antiqua" w:eastAsia="Book Antiqua" w:cs="Book Antiqua"/>
          <w:shd w:val="clear" w:color="auto" w:fill="FFFFFF"/>
        </w:rPr>
        <w:t xml:space="preserve">However, it is difficult to track a tumor in the liver during radiotherapy. Therefore, fiducial markers are used to track tumors in the liver. RMM using </w:t>
      </w:r>
      <w:r>
        <w:rPr>
          <w:rFonts w:ascii="Book Antiqua" w:hAnsi="Book Antiqua" w:eastAsia="Book Antiqua" w:cs="Book Antiqua"/>
        </w:rPr>
        <w:t>the Synchrony system with Radixact™</w:t>
      </w:r>
      <w:r>
        <w:rPr>
          <w:rFonts w:ascii="Book Antiqua" w:hAnsi="Book Antiqua" w:eastAsia="Book Antiqua" w:cs="Book Antiqua"/>
          <w:shd w:val="clear" w:color="auto" w:fill="FFFFFF"/>
        </w:rPr>
        <w:t xml:space="preserve"> in combination with fiducial markers has higher accuracy and shorter irradiation time than other RMMs. The irradiation area to normal liver tissue is narrow, the treatment time is short, and posture maintenance is easy since it tracks HCC under free breathing. This makes it easier to deal with patients with impaired liver function and older patients who have difficulty maintaining a posture for a long time. SBRT with GA and </w:t>
      </w:r>
      <w:r>
        <w:rPr>
          <w:rFonts w:ascii="Book Antiqua" w:hAnsi="Book Antiqua" w:eastAsia="Book Antiqua" w:cs="Book Antiqua"/>
        </w:rPr>
        <w:t>Radixact™</w:t>
      </w:r>
      <w:r>
        <w:rPr>
          <w:rFonts w:ascii="Book Antiqua" w:hAnsi="Book Antiqua" w:eastAsia="Book Antiqua" w:cs="Book Antiqua"/>
          <w:shd w:val="clear" w:color="auto" w:fill="FFFFFF"/>
        </w:rPr>
        <w:t xml:space="preserve"> is advantageous for HCC, which is more dose-dependent than several other organ cancers, and for normal liver cells, which are more radiosensitive than </w:t>
      </w:r>
      <w:r>
        <w:rPr>
          <w:rFonts w:ascii="Book Antiqua" w:hAnsi="Book Antiqua" w:eastAsia="Book Antiqua" w:cs="Book Antiqua"/>
        </w:rPr>
        <w:t>the lung</w:t>
      </w:r>
      <w:r>
        <w:rPr>
          <w:rFonts w:ascii="Book Antiqua" w:hAnsi="Book Antiqua" w:eastAsia="Book Antiqua" w:cs="Book Antiqua"/>
          <w:vertAlign w:val="superscript"/>
        </w:rPr>
        <w:t>[</w:t>
      </w:r>
      <w:r>
        <w:rPr>
          <w:rFonts w:ascii="Book Antiqua" w:hAnsi="Book Antiqua" w:eastAsia="Book Antiqua" w:cs="Book Antiqua"/>
          <w:shd w:val="clear" w:color="auto" w:fill="FFFFFF"/>
          <w:vertAlign w:val="superscript"/>
        </w:rPr>
        <w:t>21,22</w:t>
      </w:r>
      <w:r>
        <w:rPr>
          <w:rFonts w:ascii="Book Antiqua" w:hAnsi="Book Antiqua" w:eastAsia="Book Antiqua" w:cs="Book Antiqua"/>
          <w:vertAlign w:val="superscript"/>
        </w:rPr>
        <w:t>]</w:t>
      </w:r>
      <w:r>
        <w:rPr>
          <w:rFonts w:ascii="Book Antiqua" w:hAnsi="Book Antiqua" w:eastAsia="Book Antiqua" w:cs="Book Antiqua"/>
          <w:shd w:val="clear" w:color="auto" w:fill="FFFFFF"/>
        </w:rPr>
        <w:t>.</w:t>
      </w:r>
    </w:p>
    <w:p>
      <w:pPr>
        <w:spacing w:line="360" w:lineRule="auto"/>
        <w:ind w:firstLine="617"/>
        <w:jc w:val="both"/>
        <w:rPr>
          <w:rFonts w:ascii="Book Antiqua" w:hAnsi="Book Antiqua"/>
        </w:rPr>
      </w:pPr>
      <w:r>
        <w:rPr>
          <w:rFonts w:ascii="Book Antiqua" w:hAnsi="Book Antiqua" w:eastAsia="Book Antiqua" w:cs="Book Antiqua"/>
          <w:shd w:val="clear" w:color="auto" w:fill="FFFFFF"/>
        </w:rPr>
        <w:t xml:space="preserve">There are no complications specific to </w:t>
      </w:r>
      <w:r>
        <w:rPr>
          <w:rFonts w:ascii="Book Antiqua" w:hAnsi="Book Antiqua" w:eastAsia="Book Antiqua" w:cs="Book Antiqua"/>
        </w:rPr>
        <w:t>Radixact™</w:t>
      </w:r>
      <w:r>
        <w:rPr>
          <w:rFonts w:ascii="Book Antiqua" w:hAnsi="Book Antiqua" w:eastAsia="Book Antiqua" w:cs="Book Antiqua"/>
          <w:shd w:val="clear" w:color="auto" w:fill="FFFFFF"/>
        </w:rPr>
        <w:t>, but specific complications associated with SBRT and GA should be considered. Commonly used fiducial markers are 0.35-1.1 mm in diameter. Larger markers are relatively easy to identify on CT or MRI. However, larger needle diameters increase the frequency of implantation metastases, bleeding, and the occurrence of serious complications</w:t>
      </w:r>
      <w:r>
        <w:rPr>
          <w:rFonts w:ascii="Book Antiqua" w:hAnsi="Book Antiqua" w:eastAsia="Book Antiqua" w:cs="Book Antiqua"/>
          <w:shd w:val="clear" w:color="auto" w:fill="FFFFFF"/>
          <w:vertAlign w:val="superscript"/>
        </w:rPr>
        <w:t>[</w:t>
      </w:r>
      <w:r>
        <w:rPr>
          <w:rStyle w:val="11"/>
          <w:rFonts w:ascii="Book Antiqua" w:hAnsi="Book Antiqua" w:eastAsia="Book Antiqua" w:cs="Book Antiqua"/>
          <w:shd w:val="clear" w:color="auto" w:fill="FFFFFF"/>
          <w:vertAlign w:val="superscript"/>
        </w:rPr>
        <w:t>23,24</w:t>
      </w:r>
      <w:r>
        <w:rPr>
          <w:rFonts w:ascii="Book Antiqua" w:hAnsi="Book Antiqua" w:eastAsia="Book Antiqua" w:cs="Book Antiqua"/>
          <w:shd w:val="clear" w:color="auto" w:fill="FFFFFF"/>
          <w:vertAlign w:val="superscript"/>
        </w:rPr>
        <w:t>]</w:t>
      </w:r>
      <w:r>
        <w:rPr>
          <w:rFonts w:ascii="Book Antiqua" w:hAnsi="Book Antiqua" w:eastAsia="Book Antiqua" w:cs="Book Antiqua"/>
          <w:shd w:val="clear" w:color="auto" w:fill="FFFFFF"/>
        </w:rPr>
        <w:t>. In addition, the risk of bleeding is particularly high in patients with cirrhosis.</w:t>
      </w:r>
      <w:r>
        <w:rPr>
          <w:rStyle w:val="11"/>
          <w:rFonts w:ascii="Book Antiqua" w:hAnsi="Book Antiqua" w:eastAsia="Book Antiqua" w:cs="Book Antiqua"/>
          <w:shd w:val="clear" w:color="auto" w:fill="FFFFFF"/>
        </w:rPr>
        <w:t xml:space="preserve"> Major complications after fiducial marker placement include pain, migration of fiducial markers, implantation of metastases, bleeding, and infection. Although the rate of complications is 12%-14%, complications other than pain are rare</w:t>
      </w:r>
      <w:r>
        <w:rPr>
          <w:rStyle w:val="11"/>
          <w:rFonts w:ascii="Book Antiqua" w:hAnsi="Book Antiqua" w:eastAsia="Book Antiqua" w:cs="Book Antiqua"/>
          <w:shd w:val="clear" w:color="auto" w:fill="FFFFFF"/>
          <w:vertAlign w:val="superscript"/>
        </w:rPr>
        <w:t>[25,26]</w:t>
      </w:r>
      <w:r>
        <w:rPr>
          <w:rStyle w:val="11"/>
          <w:rFonts w:ascii="Book Antiqua" w:hAnsi="Book Antiqua" w:eastAsia="Book Antiqua" w:cs="Book Antiqua"/>
          <w:shd w:val="clear" w:color="auto" w:fill="FFFFFF"/>
        </w:rPr>
        <w:t>. However, the fiducial marker is a relatively new method for HCC, and the accumulation of data is still limited. Referring to the data of percutaneous image-guided liver biopsy with comparable puncture needle thickness, the rate of implantation metastases was 3%, of bleeding was 2%, and of infection was 0.35%</w:t>
      </w:r>
      <w:r>
        <w:rPr>
          <w:rStyle w:val="11"/>
          <w:rFonts w:ascii="Book Antiqua" w:hAnsi="Book Antiqua" w:eastAsia="Book Antiqua" w:cs="Book Antiqua"/>
          <w:shd w:val="clear" w:color="auto" w:fill="FFFFFF"/>
          <w:vertAlign w:val="superscript"/>
        </w:rPr>
        <w:t>[23,24,27]</w:t>
      </w:r>
      <w:r>
        <w:rPr>
          <w:rStyle w:val="11"/>
          <w:rFonts w:ascii="Book Antiqua" w:hAnsi="Book Antiqua" w:eastAsia="Book Antiqua" w:cs="Book Antiqua"/>
          <w:shd w:val="clear" w:color="auto" w:fill="FFFFFF"/>
        </w:rPr>
        <w:t>. In fiducial markers, the tumor itself is not punctured</w:t>
      </w:r>
      <w:r>
        <w:rPr>
          <w:rStyle w:val="11"/>
          <w:rFonts w:ascii="Book Antiqua" w:hAnsi="Book Antiqua" w:eastAsia="Book Antiqua" w:cs="Book Antiqua"/>
        </w:rPr>
        <w:t xml:space="preserve">; therefore, </w:t>
      </w:r>
      <w:r>
        <w:rPr>
          <w:rStyle w:val="11"/>
          <w:rFonts w:ascii="Book Antiqua" w:hAnsi="Book Antiqua" w:eastAsia="Book Antiqua" w:cs="Book Antiqua"/>
          <w:shd w:val="clear" w:color="auto" w:fill="FFFFFF"/>
        </w:rPr>
        <w:t xml:space="preserve">the risk of implantation metastases is expected to be lower than </w:t>
      </w:r>
      <w:r>
        <w:rPr>
          <w:rStyle w:val="11"/>
          <w:rFonts w:ascii="Book Antiqua" w:hAnsi="Book Antiqua" w:eastAsia="Book Antiqua" w:cs="Book Antiqua"/>
        </w:rPr>
        <w:t xml:space="preserve">that of </w:t>
      </w:r>
      <w:r>
        <w:rPr>
          <w:rStyle w:val="11"/>
          <w:rFonts w:ascii="Book Antiqua" w:hAnsi="Book Antiqua" w:eastAsia="Book Antiqua" w:cs="Book Antiqua"/>
          <w:shd w:val="clear" w:color="auto" w:fill="FFFFFF"/>
        </w:rPr>
        <w:t>percutaneous image-guided liver biopsy.</w:t>
      </w:r>
      <w:r>
        <w:rPr>
          <w:rFonts w:ascii="Book Antiqua" w:hAnsi="Book Antiqua" w:eastAsia="Book Antiqua" w:cs="Book Antiqua"/>
        </w:rPr>
        <w:t xml:space="preserve"> </w:t>
      </w:r>
      <w:r>
        <w:rPr>
          <w:rStyle w:val="11"/>
          <w:rFonts w:ascii="Book Antiqua" w:hAnsi="Book Antiqua" w:eastAsia="Book Antiqua" w:cs="Book Antiqua"/>
          <w:shd w:val="clear" w:color="auto" w:fill="FFFFFF"/>
        </w:rPr>
        <w:t>In one of our cases, the puncture route was in the vicinity of a biloma complicated by surgical resection which led to infection of the biloma. Although complications of infection due to fiducial marker placement are very rare, care should be taken when there is a biloma on the puncture route. In this case, we believe that infection could have been avoided by changing the puncture route.</w:t>
      </w:r>
    </w:p>
    <w:p>
      <w:pPr>
        <w:spacing w:line="360" w:lineRule="auto"/>
        <w:ind w:firstLine="617"/>
        <w:jc w:val="both"/>
        <w:rPr>
          <w:rFonts w:ascii="Book Antiqua" w:hAnsi="Book Antiqua"/>
        </w:rPr>
      </w:pPr>
      <w:r>
        <w:rPr>
          <w:rStyle w:val="11"/>
          <w:rFonts w:ascii="Book Antiqua" w:hAnsi="Book Antiqua" w:eastAsia="Book Antiqua" w:cs="Book Antiqua"/>
          <w:shd w:val="clear" w:color="auto" w:fill="FFFFFF"/>
        </w:rPr>
        <w:t>The GA used in this study is characterized by its small diameter which can reduce the risk of complications. Another feature is that the GA can be implanted in a zigzag or spherical shape owing to its concavo-convex shape, and pure gold contains 0.5% pure iron, which results in low migration and</w:t>
      </w:r>
      <w:r>
        <w:rPr>
          <w:rStyle w:val="11"/>
          <w:rFonts w:ascii="Book Antiqua" w:hAnsi="Book Antiqua" w:eastAsia="Book Antiqua" w:cs="Book Antiqua"/>
        </w:rPr>
        <w:t xml:space="preserve"> highly visibility on CT and MRI</w:t>
      </w:r>
      <w:r>
        <w:rPr>
          <w:rStyle w:val="11"/>
          <w:rFonts w:ascii="Book Antiqua" w:hAnsi="Book Antiqua" w:eastAsia="Book Antiqua" w:cs="Book Antiqua"/>
          <w:vertAlign w:val="superscript"/>
        </w:rPr>
        <w:t>[9]</w:t>
      </w:r>
      <w:r>
        <w:rPr>
          <w:rStyle w:val="11"/>
          <w:rFonts w:ascii="Book Antiqua" w:hAnsi="Book Antiqua" w:eastAsia="Book Antiqua" w:cs="Book Antiqua"/>
        </w:rPr>
        <w:t>.</w:t>
      </w:r>
    </w:p>
    <w:p>
      <w:pPr>
        <w:spacing w:line="360" w:lineRule="auto"/>
        <w:ind w:firstLine="617"/>
        <w:jc w:val="both"/>
        <w:rPr>
          <w:rFonts w:ascii="Book Antiqua" w:hAnsi="Book Antiqua"/>
        </w:rPr>
      </w:pPr>
      <w:r>
        <w:rPr>
          <w:rFonts w:ascii="Book Antiqua" w:hAnsi="Book Antiqua" w:eastAsia="Book Antiqua" w:cs="Book Antiqua"/>
        </w:rPr>
        <w:t>Ultrasound-guided placement, CT-guided placement, and endoscopic ultrasound-guided placement have been performed, and each method has the same success and complication rates</w:t>
      </w:r>
      <w:r>
        <w:rPr>
          <w:rFonts w:ascii="Book Antiqua" w:hAnsi="Book Antiqua" w:eastAsia="Book Antiqua" w:cs="Book Antiqua"/>
          <w:vertAlign w:val="superscript"/>
        </w:rPr>
        <w:t>[25,28,29]</w:t>
      </w:r>
      <w:r>
        <w:rPr>
          <w:rFonts w:ascii="Book Antiqua" w:hAnsi="Book Antiqua" w:eastAsia="Book Antiqua" w:cs="Book Antiqua"/>
        </w:rPr>
        <w:t>. Because of the risk of fiducial marker migration, multiple implantations are recommended. Placing the fiducial markers in close proximity to each other or on the same plane of the CT may cause the irradiator to misidentify them during radiation therapy. Therefore, we performed CT-guided placement to improve the accuracy of GA placement.</w:t>
      </w:r>
    </w:p>
    <w:p>
      <w:pPr>
        <w:spacing w:line="360" w:lineRule="auto"/>
        <w:ind w:firstLine="567"/>
        <w:jc w:val="both"/>
        <w:rPr>
          <w:rFonts w:ascii="Book Antiqua" w:hAnsi="Book Antiqua"/>
        </w:rPr>
      </w:pPr>
      <w:r>
        <w:rPr>
          <w:rFonts w:ascii="Book Antiqua" w:hAnsi="Book Antiqua" w:eastAsia="Book Antiqua" w:cs="Book Antiqua"/>
        </w:rPr>
        <w:t>One of the advantages of SBRT over conventional radiotherapy is that the total dose to adjacent organs is low owing to the rapid dose fall-off inherent in SBRT. Nonetheless, even with SBRT, potential liver-related toxicities include sequelae associated with radiation-induced liver disease (RILD), including fatigue, abdominal pain, ectopic hepatomegaly, ascites, and elevated liver enzymes, which can usually develop within 4 months of radiotherapy</w:t>
      </w:r>
      <w:r>
        <w:rPr>
          <w:rFonts w:ascii="Book Antiqua" w:hAnsi="Book Antiqua" w:eastAsia="Book Antiqua" w:cs="Book Antiqua"/>
          <w:vertAlign w:val="superscript"/>
        </w:rPr>
        <w:t>[10]</w:t>
      </w:r>
      <w:r>
        <w:rPr>
          <w:rFonts w:ascii="Book Antiqua" w:hAnsi="Book Antiqua" w:eastAsia="Book Antiqua" w:cs="Book Antiqua"/>
        </w:rPr>
        <w:t>. In addition to these findings, patients may also experience jaundice, thrombocytopenia, and changes in coagulation factors. A review of the prospective literature shows that adverse events of grade 3 or higher are rare, with most studies reporting less than 12%</w:t>
      </w:r>
      <w:r>
        <w:rPr>
          <w:rFonts w:ascii="Book Antiqua" w:hAnsi="Book Antiqua" w:eastAsia="Book Antiqua" w:cs="Book Antiqua"/>
          <w:vertAlign w:val="superscript"/>
        </w:rPr>
        <w:t>[5]</w:t>
      </w:r>
      <w:r>
        <w:rPr>
          <w:rFonts w:ascii="Book Antiqua" w:hAnsi="Book Antiqua" w:eastAsia="Book Antiqua" w:cs="Book Antiqua"/>
        </w:rPr>
        <w:t>. It should be noted that patients with a Child-Pugh classification of B7 or lower have a lower risk of RILD compared to patients with a Child-Pugh classification of B8 or higher</w:t>
      </w:r>
      <w:r>
        <w:rPr>
          <w:rFonts w:ascii="Book Antiqua" w:hAnsi="Book Antiqua" w:eastAsia="Book Antiqua" w:cs="Book Antiqua"/>
          <w:vertAlign w:val="superscript"/>
        </w:rPr>
        <w:t>[30]</w:t>
      </w:r>
      <w:r>
        <w:rPr>
          <w:rFonts w:ascii="Book Antiqua" w:hAnsi="Book Antiqua" w:eastAsia="Book Antiqua" w:cs="Book Antiqua"/>
        </w:rPr>
        <w:t>. In our cases, no RILD was observed even 4 mo after SBRT. Another report stated that the concurrent use of SBRT with sorafenib should be avoided because it is likely to cause grade 3 gastrointestinal disorders and tumor rupture</w:t>
      </w:r>
      <w:r>
        <w:rPr>
          <w:rFonts w:ascii="Book Antiqua" w:hAnsi="Book Antiqua" w:eastAsia="Book Antiqua" w:cs="Book Antiqua"/>
          <w:vertAlign w:val="superscript"/>
        </w:rPr>
        <w:t>[31]</w:t>
      </w:r>
      <w:r>
        <w:rPr>
          <w:rFonts w:ascii="Book Antiqua" w:hAnsi="Book Antiqua" w:eastAsia="Book Antiqua" w:cs="Book Antiqua"/>
        </w:rPr>
        <w:t xml:space="preserve">. Therefore, lenvatinib, a molecular targeted drug similar to sorafenib, was discontinued during the SBRT treatment period in our cases. </w:t>
      </w:r>
    </w:p>
    <w:p>
      <w:pPr>
        <w:spacing w:line="360" w:lineRule="auto"/>
        <w:ind w:firstLine="120"/>
        <w:jc w:val="both"/>
        <w:rPr>
          <w:rFonts w:ascii="Book Antiqua" w:hAnsi="Book Antiqua"/>
        </w:rPr>
      </w:pPr>
      <w:r>
        <w:rPr>
          <w:rFonts w:ascii="Book Antiqua" w:hAnsi="Book Antiqua" w:eastAsia="Book Antiqua" w:cs="Book Antiqua"/>
        </w:rPr>
        <w:t>As described above, SBRT with GA and the Synchrony system can be considered a useful fourth local therapy for HCC. However, the irradiation range is limited by the patients’ liver function; in the literature, most patients treated with SBRT have Child-Pugh classification of A and have a few tumors (often &lt; 3 tumors)</w:t>
      </w:r>
      <w:r>
        <w:rPr>
          <w:rFonts w:ascii="Book Antiqua" w:hAnsi="Book Antiqua" w:eastAsia="Book Antiqua" w:cs="Book Antiqua"/>
          <w:vertAlign w:val="superscript"/>
        </w:rPr>
        <w:t>[32]</w:t>
      </w:r>
      <w:r>
        <w:rPr>
          <w:rFonts w:ascii="Book Antiqua" w:hAnsi="Book Antiqua" w:eastAsia="Book Antiqua" w:cs="Book Antiqua"/>
        </w:rPr>
        <w:t xml:space="preserve">. </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u w:val="single"/>
        </w:rPr>
        <w:t>CONCLUSION</w:t>
      </w:r>
    </w:p>
    <w:p>
      <w:pPr>
        <w:spacing w:line="360" w:lineRule="auto"/>
        <w:jc w:val="both"/>
        <w:rPr>
          <w:rFonts w:ascii="Book Antiqua" w:hAnsi="Book Antiqua"/>
        </w:rPr>
      </w:pPr>
      <w:r>
        <w:rPr>
          <w:rFonts w:ascii="Book Antiqua" w:hAnsi="Book Antiqua" w:eastAsia="Book Antiqua" w:cs="Book Antiqua"/>
        </w:rPr>
        <w:t xml:space="preserve">SBRT combined with GA and the Synchrony system by Radixact™ is minimally invasive, highly accurate, and can deliver a large dose of radiation to HCC. </w:t>
      </w:r>
    </w:p>
    <w:p>
      <w:pPr>
        <w:spacing w:line="360" w:lineRule="auto"/>
        <w:ind w:firstLine="240"/>
        <w:jc w:val="both"/>
        <w:rPr>
          <w:rFonts w:ascii="Book Antiqua" w:hAnsi="Book Antiqua"/>
        </w:rPr>
      </w:pPr>
      <w:r>
        <w:rPr>
          <w:rFonts w:ascii="Book Antiqua" w:hAnsi="Book Antiqua" w:eastAsia="Book Antiqua" w:cs="Book Antiqua"/>
        </w:rPr>
        <w:t>In our cases, tumor control was difficult with surgery, TACE, or molecular targeted drugs; however, SBRT combined with GA and the Synchrony system by Radixact™ was highly effective for HCC. The GA used in this report is a new fiducial marker with a small diameter which is expected to reduce the incidence of complications. The Synchrony system by Radixact™ is also a new radiation device that is useful in RMM and allows complete tracking of the HCC in which the GA is implanted.</w:t>
      </w:r>
    </w:p>
    <w:p>
      <w:pPr>
        <w:spacing w:line="360" w:lineRule="auto"/>
        <w:ind w:firstLine="240" w:firstLineChars="100"/>
        <w:jc w:val="both"/>
        <w:rPr>
          <w:rFonts w:ascii="Book Antiqua" w:hAnsi="Book Antiqua"/>
        </w:rPr>
      </w:pPr>
      <w:r>
        <w:rPr>
          <w:rFonts w:ascii="Book Antiqua" w:hAnsi="Book Antiqua" w:eastAsia="Book Antiqua" w:cs="Book Antiqua"/>
        </w:rPr>
        <w:t>The method and systems used in this study are considered safe and effective, and we would like to use them in future work for the treatment of HCC in which tumor control by surgical resection, RFA, TACE, and molecular targeted drug administration is difficult. However, this is a case report and further research, such as phase III trials, is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REFERENCES</w:t>
      </w:r>
    </w:p>
    <w:p>
      <w:pPr>
        <w:spacing w:line="360" w:lineRule="auto"/>
        <w:jc w:val="both"/>
        <w:rPr>
          <w:rFonts w:ascii="Book Antiqua" w:hAnsi="Book Antiqua"/>
        </w:rPr>
      </w:pPr>
      <w:r>
        <w:rPr>
          <w:rFonts w:ascii="Book Antiqua" w:hAnsi="Book Antiqua" w:eastAsia="Book Antiqua" w:cs="Book Antiqua"/>
        </w:rPr>
        <w:t xml:space="preserve">1 </w:t>
      </w:r>
      <w:r>
        <w:rPr>
          <w:rFonts w:ascii="Book Antiqua" w:hAnsi="Book Antiqua" w:eastAsia="Book Antiqua" w:cs="Book Antiqua"/>
          <w:b/>
          <w:bCs/>
        </w:rPr>
        <w:t>Global Burden of Disease Cancer Collaboration</w:t>
      </w:r>
      <w:r>
        <w:rPr>
          <w:rFonts w:ascii="Book Antiqua" w:hAnsi="Book Antiqua" w:eastAsia="Book Antiqua" w:cs="Book Antiqua"/>
        </w:rPr>
        <w:t>, Fitzmaurice C, Abate D, Abbasi N, Abbastabar H, Abd-Allah F, Abdel-Rahman O, Abdelalim A, Abdoli A, Abdollahpour I, Abdulle ASM, Abebe ND, Abraha HN, Abu-Raddad LJ, Abualhasan A, Adedeji IA, Advani SM, Afarideh M, Afshari M, Aghaali M, Agius D, Agrawal S, Ahmadi A, Ahmadian E, Ahmadpour E, Ahmed MB, Akbari ME, Akinyemiju T, Al-Aly Z, AlAbdulKader AM, Alahdab F, Alam T, Alamene GM, Alemnew BTT, Alene KA, Alinia C, Alipour V, Aljunid SM, Bakeshei FA, Almadi MAH, Almasi-Hashiani A, Alsharif U, Alsowaidi S, Alvis-Guzman N, Amini E, Amini S, Amoako YA, Anbari Z, Anber NH, Andrei CL, Anjomshoa M, Ansari F, Ansariadi A, Appiah SCY, Arab-Zozani M, Arabloo J, Arefi Z, Aremu O, Areri HA, Artaman A, Asayesh H, Asfaw ET, Ashagre AF, Assadi R, Ataeinia B, Atalay HT, Ataro Z, Atique S, Ausloos M, Avila-Burgos L, Avokpaho EFGA, Awasthi A, Awoke N, Ayala Quintanilla BP, Ayanore MA, Ayele HT, Babaee E, Bacha U, Badawi A, Bagherzadeh M, Bagli E, Balakrishnan S, Balouchi A, Bärnighausen TW, Battista RJ, Behzadifar M, Behzadifar M, Bekele BB, Belay YB, Belayneh YM, Berfield KKS, Berhane A, Bernabe E, Beuran M, Bhakta N, Bhattacharyya K, Biadgo B, Bijani A, Bin Sayeed MS, Birungi C, Bisignano C, Bitew H, Bjørge T, Bleyer A, Bogale KA, Bojia HA, Borzì AM, Bosetti C, Bou-Orm IR, Brenner H, Brewer JD, Briko AN, Briko NI, Bustamante-Teixeira MT, Butt ZA, Carreras G, Carrero JJ, Carvalho F, Castro C, Castro F, Catalá-López F, Cerin E, Chaiah Y, Chanie WF, Chattu VK, Chaturvedi P, Chauhan NS, Chehrazi M, Chiang PP, Chichiabellu TY, Chido-Amajuoyi OG, Chimed-Ochir O, Choi JJ, Christopher DJ, Chu DT, Constantin MM, Costa VM, Crocetti E, Crowe CS, Curado MP, Dahlawi SMA, Damiani G, Darwish AH, Daryani A, das Neves J, Demeke FM, Demis AB, Demissie BW, Demoz GT, Denova-Gutiérrez E, Derakhshani A, Deribe KS, Desai R, Desalegn BB, Desta M, Dey S, Dharmaratne SD, Dhimal M, Diaz D, Dinberu MTT, Djalalinia S, Doku DT, Drake TM, Dubey M, Dubljanin E, Duken EE, Ebrahimi H, Effiong A, Eftekhari A, El Sayed I, Zaki MES, El-Jaafary SI, El-Khatib Z, Elemineh DA, Elkout H, Ellenbogen RG, Elsharkawy A, Emamian MH, Endalew DA, Endries AY, Eshrati B, Fadhil I, Fallah Omrani V, Faramarzi M, Farhangi MA, Farioli A, Farzadfar F, Fentahun N, Fernandes E, Feyissa GT, Filip I, Fischer F, Fisher JL, Force LM, Foroutan M, Freitas M, Fukumoto T, Futran ND, Gallus S, Gankpe FG, Gayesa RT, Gebrehiwot TT, Gebremeskel GG, Gedefaw GA, Gelaw BK, Geta B, Getachew S, Gezae KE, Ghafourifard M, Ghajar A, Ghashghaee A, Gholamian A, Gill PS, Ginindza TTG, Girmay A, Gizaw M, Gomez RS, Gopalani SV, Gorini G, Goulart BNG, Grada A, Ribeiro Guerra M, Guimaraes ALS, Gupta PC, Gupta R, Hadkhale K, Haj-Mirzaian A, Haj-Mirzaian A, Hamadeh RR, Hamidi S, Hanfore LK, Haro JM, Hasankhani M, Hasanzadeh A, Hassen HY, Hay RJ, Hay SI, Henok A, Henry NJ, Herteliu C, Hidru HD, Hoang CL, Hole MK, Hoogar P, Horita N, Hosgood HD, Hosseini M, Hosseinzadeh M, Hostiuc M, Hostiuc S, Househ M, Hussen MM, Ileanu B, Ilic MD, Innos K, Irvani SSN, Iseh KR, Islam SMS, Islami F, Jafari Balalami N, Jafarinia M, Jahangiry L, Jahani MA, Jahanmehr N, Jakovljevic M, James SL, Javanbakht M, Jayaraman S, Jee SH, Jenabi E, Jha RP, Jonas JB, Jonnagaddala J, Joo T, Jungari SB, Jürisson M, Kabir A, Kamangar F, Karch A, Karimi N, Karimian A, Kasaeian A, Kasahun GG, Kassa B, Kassa TD, Kassaw MW, Kaul A, Keiyoro PN, Kelbore AG, Kerbo AA, Khader YS, Khalilarjmandi M, Khan EA, Khan G, Khang YH, Khatab K, Khater A, Khayamzadeh M, Khazaee-Pool M, Khazaei S, Khoja AT, Khosravi MH, Khubchandani J, Kianipour N, Kim D, Kim YJ, Kisa A, Kisa S, Kissimova-Skarbek K, Komaki H, Koyanagi A, Krohn KJ, Bicer BK, Kugbey N, Kumar V, Kuupiel D, La Vecchia C, Lad DP, Lake EA, Lakew AM, Lal DK, Lami FH, Lan Q, Lasrado S, Lauriola P, Lazarus JV, Leigh J, Leshargie CT, Liao Y, Limenih MA, Listl S, Lopez AD, Lopukhov PD, Lunevicius R, Madadin M, Magdeldin S, El Razek HMA, Majeed A, Maleki A, Malekzadeh R, Manafi A, Manafi N, Manamo WA, Mansourian M, Mansournia MA, Mantovani LG, Maroufizadeh S, Martini SMS, M</w:t>
      </w:r>
      <w:r>
        <w:rPr>
          <w:rFonts w:ascii="Book Antiqua" w:hAnsi="Book Antiqua" w:eastAsia="Book Antiqua" w:cs="Book Antiqua"/>
        </w:rPr>
        <w:t xml:space="preserve">ashamba-Thompson TP, Massenburg BB, Maswabi MT, Mathur MR, McAlinden C, McKee M, Meheretu HAA, Mehrotra R, Mehta V, Meier T, Melaku YA, Meles GG, Meles HG, Melese A, Melku M, Memiah PTN, Mendoza W, Menezes RG, Merat S, Meretoja TJ, Mestrovic T, Miazgowski B, Miazgowski T, Mihretie KMM, Miller TR, Mills EJ, Mir SM, Mirzaei H, Mirzaei HR, Mishra R, Moazen B, Mohammad DK, Mohammad KA, Mohammad Y, Darwesh AM, Mohammadbeigi A, Mohammadi H, Mohammadi M, Mohammadian M, Mohammadian-Hafshejani A, Mohammadoo-Khorasani M, Mohammadpourhodki R, Mohammed AS, Mohammed JA, Mohammed S, Mohebi F, Mokdad AH, Monasta L, Moodley Y, Moosazadeh M, Moossavi M, Moradi G, Moradi-Joo M, Moradi-Lakeh M, Moradpour F, Morawska L, Morgado-da-Costa J, Morisaki N, Morrison SD, Mosapour A, Mousavi SM, Muche AA, Muhammed OSS, Musa J, Nabhan AF, Naderi M, Nagarajan AJ, Nagel G, Nahvijou A, Naik G, Najafi F, Naldi L, Nam HS, Nasiri N, Nazari J, Negoi I, Neupane S, Newcomb PA, Nggada HA, Ngunjiri JW, Nguyen CT, Nikniaz L, Ningrum DNA, Nirayo YL, Nixon MR, Nnaji CA, Nojomi M, Nosratnejad S, Shiadeh MN, Obsa MS, Ofori-Asenso R, Ogbo FA, Oh IH, Olagunju AT, Olagunju TO, Oluwasanu MM, Omonisi AE, Onwujekwe OE, Oommen AM, Oren E, Ortega-Altamirano DDV, Ota E, Otstavnov SS, Owolabi MO, P A M, Padubidri JR, Pakhale S, Pakpour AH, Pana A, Park EK, Parsian H, Pashaei T, Patel S, Patil ST, Pennini A, Pereira DM, Piccinelli C, Pillay JD, Pirestani M, Pishgar F, Postma MJ, Pourjafar H, Pourmalek F, Pourshams A, Prakash S, Prasad N, Qorbani M, Rabiee M, Rabiee N, Radfar A, Rafiei A, Rahim F, Rahimi M, Rahman MA, Rajati F, Rana SM, Raoofi S, Rath GK, Rawaf DL, Rawaf S, Reiner RC, Renzaho AMN, Rezaei N, Rezapour A, Ribeiro AI, Ribeiro D, Ronfani L, Roro EM, Roshandel G, Rostami A, Saad RS, Sabbagh P, Sabour S, Saddik B, Safiri S, Sahebkar A, Salahshoor MR, Salehi F, Salem H, Salem MR, Salimzadeh H, Salomon JA, Samy AM, Sanabria J, Santric Milicevic MM, Sartorius B, Sarveazad A, Sathian B, Satpathy M, Savic M, Sawhney M, Sayyah M, Schneider IJC, Schöttker B, Sekerija M, Sepanlou SG, Sepehrimanesh M, Seyedmousavi S, Shaahmadi F, Shabaninejad H, Shahbaz M, Shaikh MA, Shamshirian A, Shamsizadeh M, Sharafi H, Sharafi Z, Sharif M, Sharifi A, Sharifi H, Sharma R, Sheikh A, Shirkoohi R, Shukla SR, Si S, Siabani S, Silva DAS, Silveira DGA, Singh A, Singh JA, Sisay S, Sitas F, Sobngwi E, Soofi M, Soriano JB, Stathopoulou V, Sufiyan MB, Tabarés-Seisdedos R, Tabuchi T, Takahashi K, Tamtaji OR, Tarawneh MR, Tassew SG, Taymoori P, Tehrani-Banihashemi A, Temsah MH, Temsah O, Tesfay BE, Tesfay FH, Teshale MY, Tessema GA, Thapa S, Tlaye KG, Topor-Madry R, Tovani-Palone MR, Traini E, Tran BX, Tran KB, Tsadik AG, Ullah I, Uthman OA, Vacante M, Vaezi M, Varona Pérez P, Veisani Y, Vidale S, Violante FS, Vlassov V, Vollset SE, Vos T, Vosoughi K, Vu GT, Vujcic IS, Wabinga H, Wachamo TM, Wagnew FS, Waheed Y, Weldegebreal F, Weldesamuel GT, Wijeratne T, Wondafrash DZ, Wonde TE, Wondmieneh AB, Workie HM, Yadav R, Yadegar A, Yadollahpour A, Yaseri M, Yazdi-Feyzabadi V, Yeshaneh A, Yimam MA, Yimer EM, Yisma E, Yonemoto N, Younis MZ, Yousefi B, Yousefifard M, Yu C, Zabeh E, Zadnik V, Moghadam TZ, Zaidi Z, Zamani M, Zandian H, Zangeneh A, Zaki L, Zendehdel K, Zenebe ZM, Zewale TA, Ziapour A, Zodpey S, Murray CJL. Global, Regional, and National Cancer Incidence, Mortality, Years of Life Lost, Years Lived With Disability, and Disability-Adjusted Life-Years for 29 Cancer Groups, 1990 to 2017: A Systematic Analysis for the Global Burden of Disease Study. </w:t>
      </w:r>
      <w:r>
        <w:rPr>
          <w:rFonts w:ascii="Book Antiqua" w:hAnsi="Book Antiqua" w:eastAsia="Book Antiqua" w:cs="Book Antiqua"/>
          <w:i/>
          <w:iCs/>
        </w:rPr>
        <w:t>JAMA Oncol</w:t>
      </w:r>
      <w:r>
        <w:rPr>
          <w:rFonts w:ascii="Book Antiqua" w:hAnsi="Book Antiqua" w:eastAsia="Book Antiqua" w:cs="Book Antiqua"/>
        </w:rPr>
        <w:t xml:space="preserve"> 2019; </w:t>
      </w:r>
      <w:r>
        <w:rPr>
          <w:rFonts w:ascii="Book Antiqua" w:hAnsi="Book Antiqua" w:eastAsia="Book Antiqua" w:cs="Book Antiqua"/>
          <w:b/>
          <w:bCs/>
        </w:rPr>
        <w:t>5</w:t>
      </w:r>
      <w:r>
        <w:rPr>
          <w:rFonts w:ascii="Book Antiqua" w:hAnsi="Book Antiqua" w:eastAsia="Book Antiqua" w:cs="Book Antiqua"/>
        </w:rPr>
        <w:t>: 1749-1768 [PMID: 31560378 DOI: 10.1001/jamaoncol.2019.2996]</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Scorsetti M</w:t>
      </w:r>
      <w:r>
        <w:rPr>
          <w:rFonts w:ascii="Book Antiqua" w:hAnsi="Book Antiqua" w:eastAsia="Book Antiqua" w:cs="Book Antiqua"/>
        </w:rPr>
        <w:t xml:space="preserve">, Comito T, Cozzi L, Clerici E, Tozzi A, Franzese C, Navarria P, Fogliata A, Tomatis S, D'Agostino G, Iftode C, Mancosu P, Ceriani R, Torzilli G. The challenge of inoperable hepatocellular carcinoma (HCC): results of a single-institutional experience on stereotactic body radiation therapy (SBRT). </w:t>
      </w:r>
      <w:r>
        <w:rPr>
          <w:rFonts w:ascii="Book Antiqua" w:hAnsi="Book Antiqua" w:eastAsia="Book Antiqua" w:cs="Book Antiqua"/>
          <w:i/>
          <w:iCs/>
        </w:rPr>
        <w:t>J Cancer Res Clin Oncol</w:t>
      </w:r>
      <w:r>
        <w:rPr>
          <w:rFonts w:ascii="Book Antiqua" w:hAnsi="Book Antiqua" w:eastAsia="Book Antiqua" w:cs="Book Antiqua"/>
        </w:rPr>
        <w:t xml:space="preserve"> 2015; </w:t>
      </w:r>
      <w:r>
        <w:rPr>
          <w:rFonts w:ascii="Book Antiqua" w:hAnsi="Book Antiqua" w:eastAsia="Book Antiqua" w:cs="Book Antiqua"/>
          <w:b/>
          <w:bCs/>
        </w:rPr>
        <w:t>141</w:t>
      </w:r>
      <w:r>
        <w:rPr>
          <w:rFonts w:ascii="Book Antiqua" w:hAnsi="Book Antiqua" w:eastAsia="Book Antiqua" w:cs="Book Antiqua"/>
        </w:rPr>
        <w:t>: 1301-1309 [PMID: 25644863 DOI: 10.1007/s00432-015-1929-y]</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Delis SG</w:t>
      </w:r>
      <w:r>
        <w:rPr>
          <w:rFonts w:ascii="Book Antiqua" w:hAnsi="Book Antiqua" w:eastAsia="Book Antiqua" w:cs="Book Antiqua"/>
        </w:rPr>
        <w:t xml:space="preserve">, Dervenis C. Selection criteria for liver resection in patients with hepatocellular carcinoma and chronic liver disease. </w:t>
      </w:r>
      <w:r>
        <w:rPr>
          <w:rFonts w:ascii="Book Antiqua" w:hAnsi="Book Antiqua" w:eastAsia="Book Antiqua" w:cs="Book Antiqua"/>
          <w:i/>
          <w:iCs/>
        </w:rPr>
        <w:t>World J Gastroenterol</w:t>
      </w:r>
      <w:r>
        <w:rPr>
          <w:rFonts w:ascii="Book Antiqua" w:hAnsi="Book Antiqua" w:eastAsia="Book Antiqua" w:cs="Book Antiqua"/>
        </w:rPr>
        <w:t xml:space="preserve"> 2008; </w:t>
      </w:r>
      <w:r>
        <w:rPr>
          <w:rFonts w:ascii="Book Antiqua" w:hAnsi="Book Antiqua" w:eastAsia="Book Antiqua" w:cs="Book Antiqua"/>
          <w:b/>
          <w:bCs/>
        </w:rPr>
        <w:t>14</w:t>
      </w:r>
      <w:r>
        <w:rPr>
          <w:rFonts w:ascii="Book Antiqua" w:hAnsi="Book Antiqua" w:eastAsia="Book Antiqua" w:cs="Book Antiqua"/>
        </w:rPr>
        <w:t>: 3452-3460 [PMID: 18567070 DOI: 10.3748/wjg.14.3452]</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Bruix J</w:t>
      </w:r>
      <w:r>
        <w:rPr>
          <w:rFonts w:ascii="Book Antiqua" w:hAnsi="Book Antiqua" w:eastAsia="Book Antiqua" w:cs="Book Antiqua"/>
        </w:rPr>
        <w:t xml:space="preserve">, Sherman M, Llovet JM, Beaugrand M, Lencioni R, Burroughs AK, Christensen E, Pagliaro L, Colombo M, Rodés J; EASL Panel of Experts on HCC. Clinical management of hepatocellular carcinoma. Conclusions of the Barcelona-2000 EASL conference. European Association for the Study of the Liver. </w:t>
      </w:r>
      <w:r>
        <w:rPr>
          <w:rFonts w:ascii="Book Antiqua" w:hAnsi="Book Antiqua" w:eastAsia="Book Antiqua" w:cs="Book Antiqua"/>
          <w:i/>
          <w:iCs/>
        </w:rPr>
        <w:t>J Hepatol</w:t>
      </w:r>
      <w:r>
        <w:rPr>
          <w:rFonts w:ascii="Book Antiqua" w:hAnsi="Book Antiqua" w:eastAsia="Book Antiqua" w:cs="Book Antiqua"/>
        </w:rPr>
        <w:t xml:space="preserve"> 2001; </w:t>
      </w:r>
      <w:r>
        <w:rPr>
          <w:rFonts w:ascii="Book Antiqua" w:hAnsi="Book Antiqua" w:eastAsia="Book Antiqua" w:cs="Book Antiqua"/>
          <w:b/>
          <w:bCs/>
        </w:rPr>
        <w:t>35</w:t>
      </w:r>
      <w:r>
        <w:rPr>
          <w:rFonts w:ascii="Book Antiqua" w:hAnsi="Book Antiqua" w:eastAsia="Book Antiqua" w:cs="Book Antiqua"/>
        </w:rPr>
        <w:t>: 421-430 [PMID: 11592607 DOI: 10.1016/s0168-8278(01)00130-1]</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Bang A</w:t>
      </w:r>
      <w:r>
        <w:rPr>
          <w:rFonts w:ascii="Book Antiqua" w:hAnsi="Book Antiqua" w:eastAsia="Book Antiqua" w:cs="Book Antiqua"/>
        </w:rPr>
        <w:t xml:space="preserve">, Dawson LA. Radiotherapy for HCC: Ready for prime time? </w:t>
      </w:r>
      <w:r>
        <w:rPr>
          <w:rFonts w:ascii="Book Antiqua" w:hAnsi="Book Antiqua" w:eastAsia="Book Antiqua" w:cs="Book Antiqua"/>
          <w:i/>
          <w:iCs/>
        </w:rPr>
        <w:t>JHEP Rep</w:t>
      </w:r>
      <w:r>
        <w:rPr>
          <w:rFonts w:ascii="Book Antiqua" w:hAnsi="Book Antiqua" w:eastAsia="Book Antiqua" w:cs="Book Antiqua"/>
        </w:rPr>
        <w:t xml:space="preserve"> 2019; </w:t>
      </w:r>
      <w:r>
        <w:rPr>
          <w:rFonts w:ascii="Book Antiqua" w:hAnsi="Book Antiqua" w:eastAsia="Book Antiqua" w:cs="Book Antiqua"/>
          <w:b/>
          <w:bCs/>
        </w:rPr>
        <w:t>1</w:t>
      </w:r>
      <w:r>
        <w:rPr>
          <w:rFonts w:ascii="Book Antiqua" w:hAnsi="Book Antiqua" w:eastAsia="Book Antiqua" w:cs="Book Antiqua"/>
        </w:rPr>
        <w:t>: 131-137 [PMID: 32039361 DOI: 10.1016/j.jhepr.2019.05.004]</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Guckenberger M</w:t>
      </w:r>
      <w:r>
        <w:rPr>
          <w:rFonts w:ascii="Book Antiqua" w:hAnsi="Book Antiqua" w:eastAsia="Book Antiqua" w:cs="Book Antiqua"/>
        </w:rPr>
        <w:t xml:space="preserve">, Andratschke N, Alheit H, Holy R, Moustakis C, Nestle U, Sauer O; Deutschen Gesellschaft für Radioonkologie (DEGRO). Definition of stereotactic body radiotherapy: principles and practice for the treatment of stage I non-small cell lung cancer. </w:t>
      </w:r>
      <w:r>
        <w:rPr>
          <w:rFonts w:ascii="Book Antiqua" w:hAnsi="Book Antiqua" w:eastAsia="Book Antiqua" w:cs="Book Antiqua"/>
          <w:i/>
          <w:iCs/>
        </w:rPr>
        <w:t>Strahlenther Onkol</w:t>
      </w:r>
      <w:r>
        <w:rPr>
          <w:rFonts w:ascii="Book Antiqua" w:hAnsi="Book Antiqua" w:eastAsia="Book Antiqua" w:cs="Book Antiqua"/>
        </w:rPr>
        <w:t xml:space="preserve"> 2014; </w:t>
      </w:r>
      <w:r>
        <w:rPr>
          <w:rFonts w:ascii="Book Antiqua" w:hAnsi="Book Antiqua" w:eastAsia="Book Antiqua" w:cs="Book Antiqua"/>
          <w:b/>
          <w:bCs/>
        </w:rPr>
        <w:t>190</w:t>
      </w:r>
      <w:r>
        <w:rPr>
          <w:rFonts w:ascii="Book Antiqua" w:hAnsi="Book Antiqua" w:eastAsia="Book Antiqua" w:cs="Book Antiqua"/>
        </w:rPr>
        <w:t>: 26-33 [PMID: 24052011 DOI: 10.1007/s00066-013-0450-y]</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Gerum S</w:t>
      </w:r>
      <w:r>
        <w:rPr>
          <w:rFonts w:ascii="Book Antiqua" w:hAnsi="Book Antiqua" w:eastAsia="Book Antiqua" w:cs="Book Antiqua"/>
        </w:rPr>
        <w:t xml:space="preserve">, Heinz C, Belka C, Walter F, Paprottka P, De Toni EN, Roeder F. Stereotactic body radiation therapy (SBRT) in patients with hepatocellular carcinoma and oligometastatic liver disease. </w:t>
      </w:r>
      <w:r>
        <w:rPr>
          <w:rFonts w:ascii="Book Antiqua" w:hAnsi="Book Antiqua" w:eastAsia="Book Antiqua" w:cs="Book Antiqua"/>
          <w:i/>
          <w:iCs/>
        </w:rPr>
        <w:t>Radiat Oncol</w:t>
      </w:r>
      <w:r>
        <w:rPr>
          <w:rFonts w:ascii="Book Antiqua" w:hAnsi="Book Antiqua" w:eastAsia="Book Antiqua" w:cs="Book Antiqua"/>
        </w:rPr>
        <w:t xml:space="preserve"> 2018; </w:t>
      </w:r>
      <w:r>
        <w:rPr>
          <w:rFonts w:ascii="Book Antiqua" w:hAnsi="Book Antiqua" w:eastAsia="Book Antiqua" w:cs="Book Antiqua"/>
          <w:b/>
          <w:bCs/>
        </w:rPr>
        <w:t>13</w:t>
      </w:r>
      <w:r>
        <w:rPr>
          <w:rFonts w:ascii="Book Antiqua" w:hAnsi="Book Antiqua" w:eastAsia="Book Antiqua" w:cs="Book Antiqua"/>
        </w:rPr>
        <w:t>: 100 [PMID: 29843752 DOI: 10.1186/s13014-018-1048-4]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Chen LC</w:t>
      </w:r>
      <w:r>
        <w:rPr>
          <w:rFonts w:ascii="Book Antiqua" w:hAnsi="Book Antiqua" w:eastAsia="Book Antiqua" w:cs="Book Antiqua"/>
        </w:rPr>
        <w:t xml:space="preserve">, Lin HY, Hung SK, Chiou WY, Lee MS. Role of modern radiotherapy in managing patients with hepatocellular carcinoma. </w:t>
      </w:r>
      <w:r>
        <w:rPr>
          <w:rFonts w:ascii="Book Antiqua" w:hAnsi="Book Antiqua" w:eastAsia="Book Antiqua" w:cs="Book Antiqua"/>
          <w:i/>
          <w:iCs/>
        </w:rPr>
        <w:t>World J Gastroenterol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2434-2457 [PMID: 34092968 DOI: 10.3748/wjg.v27.i20.2434]</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Tanaka O</w:t>
      </w:r>
      <w:r>
        <w:rPr>
          <w:rFonts w:ascii="Book Antiqua" w:hAnsi="Book Antiqua" w:eastAsia="Book Antiqua" w:cs="Book Antiqua"/>
        </w:rPr>
        <w:t xml:space="preserve">, Nishigaki Y, Hayashi H, Iida T, Yokoyama T, Takenaka E, Yama E, Tomita E. The advantage of iron-containing fiducial markers placed with a thin needle for radiotherapy of liver cancer in terms of visualization on MRI: an initial experience of Gold Anchor. </w:t>
      </w:r>
      <w:r>
        <w:rPr>
          <w:rFonts w:ascii="Book Antiqua" w:hAnsi="Book Antiqua" w:eastAsia="Book Antiqua" w:cs="Book Antiqua"/>
          <w:i/>
          <w:iCs/>
        </w:rPr>
        <w:t>Radiol Case Rep</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416-421 [PMID: 28491201 DOI: 10.1016/j.radcr.2017.03.014]</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Chen CP</w:t>
      </w:r>
      <w:r>
        <w:rPr>
          <w:rFonts w:ascii="Book Antiqua" w:hAnsi="Book Antiqua" w:eastAsia="Book Antiqua" w:cs="Book Antiqua"/>
        </w:rPr>
        <w:t xml:space="preserve">. Role of Radiotherapy in the Treatment of Hepatocellular Carcinoma. </w:t>
      </w:r>
      <w:r>
        <w:rPr>
          <w:rFonts w:ascii="Book Antiqua" w:hAnsi="Book Antiqua" w:eastAsia="Book Antiqua" w:cs="Book Antiqua"/>
          <w:i/>
          <w:iCs/>
        </w:rPr>
        <w:t>J Clin Transl Hepatol</w:t>
      </w:r>
      <w:r>
        <w:rPr>
          <w:rFonts w:ascii="Book Antiqua" w:hAnsi="Book Antiqua" w:eastAsia="Book Antiqua" w:cs="Book Antiqua"/>
        </w:rPr>
        <w:t xml:space="preserve"> 2019; </w:t>
      </w:r>
      <w:r>
        <w:rPr>
          <w:rFonts w:ascii="Book Antiqua" w:hAnsi="Book Antiqua" w:eastAsia="Book Antiqua" w:cs="Book Antiqua"/>
          <w:b/>
          <w:bCs/>
        </w:rPr>
        <w:t>7</w:t>
      </w:r>
      <w:r>
        <w:rPr>
          <w:rFonts w:ascii="Book Antiqua" w:hAnsi="Book Antiqua" w:eastAsia="Book Antiqua" w:cs="Book Antiqua"/>
        </w:rPr>
        <w:t>: 183-190 [PMID: 31293919 DOI: 10.14218/JCTH.2018.00060]</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Lin SM</w:t>
      </w:r>
      <w:r>
        <w:rPr>
          <w:rFonts w:ascii="Book Antiqua" w:hAnsi="Book Antiqua" w:eastAsia="Book Antiqua" w:cs="Book Antiqua"/>
        </w:rPr>
        <w:t>, Lin CJ, Lin CC, Hsu CW, Chen YC. Radiofrequency ablation improves prognosis compared with ethanol injection for hepatocellular carcinoma &lt; or =</w:t>
      </w:r>
      <w:r>
        <w:rPr>
          <w:rFonts w:ascii="Book Antiqua" w:hAnsi="Book Antiqua" w:cs="Book Antiqua"/>
          <w:lang w:eastAsia="zh-CN"/>
        </w:rPr>
        <w:t xml:space="preserve"> </w:t>
      </w:r>
      <w:r>
        <w:rPr>
          <w:rFonts w:ascii="Book Antiqua" w:hAnsi="Book Antiqua" w:eastAsia="Book Antiqua" w:cs="Book Antiqua"/>
        </w:rPr>
        <w:t xml:space="preserve">4 cm. </w:t>
      </w:r>
      <w:r>
        <w:rPr>
          <w:rFonts w:ascii="Book Antiqua" w:hAnsi="Book Antiqua" w:eastAsia="Book Antiqua" w:cs="Book Antiqua"/>
          <w:i/>
          <w:iCs/>
        </w:rPr>
        <w:t>Gastroenterology</w:t>
      </w:r>
      <w:r>
        <w:rPr>
          <w:rFonts w:ascii="Book Antiqua" w:hAnsi="Book Antiqua" w:eastAsia="Book Antiqua" w:cs="Book Antiqua"/>
        </w:rPr>
        <w:t xml:space="preserve"> 2004; </w:t>
      </w:r>
      <w:r>
        <w:rPr>
          <w:rFonts w:ascii="Book Antiqua" w:hAnsi="Book Antiqua" w:eastAsia="Book Antiqua" w:cs="Book Antiqua"/>
          <w:b/>
          <w:bCs/>
        </w:rPr>
        <w:t>127</w:t>
      </w:r>
      <w:r>
        <w:rPr>
          <w:rFonts w:ascii="Book Antiqua" w:hAnsi="Book Antiqua" w:eastAsia="Book Antiqua" w:cs="Book Antiqua"/>
        </w:rPr>
        <w:t>: 1714-1723 [PMID: 15578509 DOI: 10.1053/j.gastro.2004.09.003]</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Chan AC</w:t>
      </w:r>
      <w:r>
        <w:rPr>
          <w:rFonts w:ascii="Book Antiqua" w:hAnsi="Book Antiqua" w:eastAsia="Book Antiqua" w:cs="Book Antiqua"/>
        </w:rPr>
        <w:t xml:space="preserve">, Chan SC, Chok KS, Cheung TT, Chiu DW, Poon RT, Fan ST, Lo CM. Treatment strategy for recurrent hepatocellular carcinoma: salvage transplantation, repeated resection, or radiofrequency ablation? </w:t>
      </w:r>
      <w:r>
        <w:rPr>
          <w:rFonts w:ascii="Book Antiqua" w:hAnsi="Book Antiqua" w:eastAsia="Book Antiqua" w:cs="Book Antiqua"/>
          <w:i/>
          <w:iCs/>
        </w:rPr>
        <w:t>Liver Transpl</w:t>
      </w:r>
      <w:r>
        <w:rPr>
          <w:rFonts w:ascii="Book Antiqua" w:hAnsi="Book Antiqua" w:eastAsia="Book Antiqua" w:cs="Book Antiqua"/>
        </w:rPr>
        <w:t xml:space="preserve"> 2013; </w:t>
      </w:r>
      <w:r>
        <w:rPr>
          <w:rFonts w:ascii="Book Antiqua" w:hAnsi="Book Antiqua" w:eastAsia="Book Antiqua" w:cs="Book Antiqua"/>
          <w:b/>
          <w:bCs/>
        </w:rPr>
        <w:t>19</w:t>
      </w:r>
      <w:r>
        <w:rPr>
          <w:rFonts w:ascii="Book Antiqua" w:hAnsi="Book Antiqua" w:eastAsia="Book Antiqua" w:cs="Book Antiqua"/>
        </w:rPr>
        <w:t xml:space="preserve">: 411-419 [PMID: </w:t>
      </w:r>
      <w:bookmarkStart w:id="7" w:name="OLE_LINK2"/>
      <w:r>
        <w:rPr>
          <w:rFonts w:ascii="Book Antiqua" w:hAnsi="Book Antiqua" w:eastAsia="Book Antiqua" w:cs="Book Antiqua"/>
        </w:rPr>
        <w:t>23447460</w:t>
      </w:r>
      <w:bookmarkEnd w:id="7"/>
      <w:r>
        <w:rPr>
          <w:rFonts w:ascii="Book Antiqua" w:hAnsi="Book Antiqua" w:eastAsia="Book Antiqua" w:cs="Book Antiqua"/>
        </w:rPr>
        <w:t xml:space="preserve"> DOI: 10.1002/lt.23605]</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Benson AB</w:t>
      </w:r>
      <w:r>
        <w:rPr>
          <w:rFonts w:ascii="Book Antiqua" w:hAnsi="Book Antiqua" w:eastAsia="Book Antiqua" w:cs="Book Antiqua"/>
        </w:rPr>
        <w:t xml:space="preserve">, D'Angelica MI, Abbott DE, Abrams TA, Alberts SR, Anaya DA, Anders R, Are C, Brown D, Chang DT, Cloyd J, Covey AM, Hawkins W, Iyer R, Jacob R, Karachristos A, Kelley RK, Kim R, Palta M, Park JO, Sahai V, Schefter T, Sicklick JK, Singh G, Sohal D, Stein S, Tian GG, Vauthey JN, Venook AP, Hammond LJ, Darlow SD. Guidelines Insights: Hepatobiliary Cancers, Version 2.2019. </w:t>
      </w:r>
      <w:r>
        <w:rPr>
          <w:rFonts w:ascii="Book Antiqua" w:hAnsi="Book Antiqua" w:eastAsia="Book Antiqua" w:cs="Book Antiqua"/>
          <w:i/>
          <w:iCs/>
        </w:rPr>
        <w:t>J Natl Compr Canc Netw</w:t>
      </w:r>
      <w:r>
        <w:rPr>
          <w:rFonts w:ascii="Book Antiqua" w:hAnsi="Book Antiqua" w:eastAsia="Book Antiqua" w:cs="Book Antiqua"/>
        </w:rPr>
        <w:t xml:space="preserve"> 2019; </w:t>
      </w:r>
      <w:r>
        <w:rPr>
          <w:rFonts w:ascii="Book Antiqua" w:hAnsi="Book Antiqua" w:eastAsia="Book Antiqua" w:cs="Book Antiqua"/>
          <w:b/>
          <w:bCs/>
        </w:rPr>
        <w:t>17</w:t>
      </w:r>
      <w:r>
        <w:rPr>
          <w:rFonts w:ascii="Book Antiqua" w:hAnsi="Book Antiqua" w:eastAsia="Book Antiqua" w:cs="Book Antiqua"/>
        </w:rPr>
        <w:t>: 302-310 [PMID: 30959462 DOI: 10.6004/jnccn.2019.0019]</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Marrero JA</w:t>
      </w:r>
      <w:r>
        <w:rPr>
          <w:rFonts w:ascii="Book Antiqua" w:hAnsi="Book Antiqua" w:eastAsia="Book Antiqua" w:cs="Book Antiqua"/>
        </w:rPr>
        <w:t xml:space="preserve">, Kulik LM, Sirlin CB, Zhu AX, Finn RS, Abecassis MM, Roberts LR, Heimbach JK. Diagnosis, Staging, and Management of Hepatocellular Carcinoma: 2018 Practice Guidance by the American Association for the Study of Liver Diseases. </w:t>
      </w:r>
      <w:r>
        <w:rPr>
          <w:rFonts w:ascii="Book Antiqua" w:hAnsi="Book Antiqua" w:eastAsia="Book Antiqua" w:cs="Book Antiqua"/>
          <w:i/>
          <w:iCs/>
        </w:rPr>
        <w:t>Hepatology</w:t>
      </w:r>
      <w:r>
        <w:rPr>
          <w:rFonts w:ascii="Book Antiqua" w:hAnsi="Book Antiqua" w:eastAsia="Book Antiqua" w:cs="Book Antiqua"/>
        </w:rPr>
        <w:t xml:space="preserve"> 2018; </w:t>
      </w:r>
      <w:r>
        <w:rPr>
          <w:rFonts w:ascii="Book Antiqua" w:hAnsi="Book Antiqua" w:eastAsia="Book Antiqua" w:cs="Book Antiqua"/>
          <w:b/>
          <w:bCs/>
        </w:rPr>
        <w:t>68</w:t>
      </w:r>
      <w:r>
        <w:rPr>
          <w:rFonts w:ascii="Book Antiqua" w:hAnsi="Book Antiqua" w:eastAsia="Book Antiqua" w:cs="Book Antiqua"/>
        </w:rPr>
        <w:t>: 723-750 [PMID: 29624699 DOI: 10.1002/hep.29913]</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European Association for the Study of the Liver</w:t>
      </w:r>
      <w:r>
        <w:rPr>
          <w:rFonts w:hint="eastAsia" w:ascii="Book Antiqua" w:hAnsi="Book Antiqua" w:eastAsia="宋体" w:cs="Book Antiqua"/>
          <w:lang w:val="en-US" w:eastAsia="zh-CN"/>
        </w:rPr>
        <w:t>.</w:t>
      </w:r>
      <w:r>
        <w:rPr>
          <w:rFonts w:ascii="Book Antiqua" w:hAnsi="Book Antiqua" w:eastAsia="Book Antiqua" w:cs="Book Antiqua"/>
        </w:rPr>
        <w:t xml:space="preserve"> EASL Clinical Practice Guidelines: Management of hepatocellular carcinoma. </w:t>
      </w:r>
      <w:r>
        <w:rPr>
          <w:rFonts w:ascii="Book Antiqua" w:hAnsi="Book Antiqua" w:eastAsia="Book Antiqua" w:cs="Book Antiqua"/>
          <w:i/>
          <w:iCs/>
        </w:rPr>
        <w:t>J Hepatol</w:t>
      </w:r>
      <w:r>
        <w:rPr>
          <w:rFonts w:ascii="Book Antiqua" w:hAnsi="Book Antiqua" w:eastAsia="Book Antiqua" w:cs="Book Antiqua"/>
        </w:rPr>
        <w:t xml:space="preserve"> 2018; </w:t>
      </w:r>
      <w:r>
        <w:rPr>
          <w:rFonts w:ascii="Book Antiqua" w:hAnsi="Book Antiqua" w:eastAsia="Book Antiqua" w:cs="Book Antiqua"/>
          <w:b/>
          <w:bCs/>
        </w:rPr>
        <w:t>69</w:t>
      </w:r>
      <w:r>
        <w:rPr>
          <w:rFonts w:ascii="Book Antiqua" w:hAnsi="Book Antiqua" w:eastAsia="Book Antiqua" w:cs="Book Antiqua"/>
        </w:rPr>
        <w:t>: 182-236 [PMID: 29628281 DOI: 10.1016/j.jhep.2018.03.019]</w:t>
      </w:r>
    </w:p>
    <w:p>
      <w:pPr>
        <w:spacing w:line="360" w:lineRule="auto"/>
        <w:jc w:val="both"/>
        <w:rPr>
          <w:rFonts w:ascii="Book Antiqua" w:hAnsi="Book Antiqua"/>
        </w:rPr>
      </w:pPr>
      <w:r>
        <w:rPr>
          <w:rFonts w:ascii="Book Antiqua" w:hAnsi="Book Antiqua" w:eastAsia="Book Antiqua" w:cs="Book Antiqua"/>
        </w:rPr>
        <w:t xml:space="preserve">16 </w:t>
      </w:r>
      <w:r>
        <w:rPr>
          <w:rFonts w:ascii="Book Antiqua" w:hAnsi="Book Antiqua" w:eastAsia="Book Antiqua" w:cs="Book Antiqua"/>
          <w:b/>
          <w:bCs/>
        </w:rPr>
        <w:t>Kokudo N</w:t>
      </w:r>
      <w:r>
        <w:rPr>
          <w:rFonts w:ascii="Book Antiqua" w:hAnsi="Book Antiqua" w:eastAsia="Book Antiqua" w:cs="Book Antiqua"/>
        </w:rPr>
        <w:t xml:space="preserve">, Takemura N, Hasegawa K, Takayama T, Kubo S, Shimada M, Nagano H, Hatano E, Izumi N, Kaneko S, Kudo M, Iijima H, Genda T, Tateishi R, Torimura T, Igaki H, Kobayashi S, Sakurai H, Murakami T, Watadani T, Matsuyama Y. Clinical practice guidelines for hepatocellular carcinoma: The Japan Society of Hepatology 2017 (4th JSH-HCC guidelines) 2019 update. </w:t>
      </w:r>
      <w:r>
        <w:rPr>
          <w:rFonts w:ascii="Book Antiqua" w:hAnsi="Book Antiqua" w:eastAsia="Book Antiqua" w:cs="Book Antiqua"/>
          <w:i/>
          <w:iCs/>
        </w:rPr>
        <w:t>Hepatol Res</w:t>
      </w:r>
      <w:r>
        <w:rPr>
          <w:rFonts w:ascii="Book Antiqua" w:hAnsi="Book Antiqua" w:eastAsia="Book Antiqua" w:cs="Book Antiqua"/>
        </w:rPr>
        <w:t xml:space="preserve"> 2019; </w:t>
      </w:r>
      <w:r>
        <w:rPr>
          <w:rFonts w:ascii="Book Antiqua" w:hAnsi="Book Antiqua" w:eastAsia="Book Antiqua" w:cs="Book Antiqua"/>
          <w:b/>
          <w:bCs/>
        </w:rPr>
        <w:t>49</w:t>
      </w:r>
      <w:r>
        <w:rPr>
          <w:rFonts w:ascii="Book Antiqua" w:hAnsi="Book Antiqua" w:eastAsia="Book Antiqua" w:cs="Book Antiqua"/>
        </w:rPr>
        <w:t>: 1109-1113 [PMID: 31336394 DOI: 10.1111/hepr.13411]</w:t>
      </w:r>
    </w:p>
    <w:p>
      <w:pPr>
        <w:spacing w:line="360" w:lineRule="auto"/>
        <w:jc w:val="both"/>
        <w:rPr>
          <w:rFonts w:ascii="Book Antiqua" w:hAnsi="Book Antiqua"/>
        </w:rPr>
      </w:pPr>
      <w:r>
        <w:rPr>
          <w:rFonts w:ascii="Book Antiqua" w:hAnsi="Book Antiqua" w:eastAsia="Book Antiqua" w:cs="Book Antiqua"/>
        </w:rPr>
        <w:t xml:space="preserve">17 </w:t>
      </w:r>
      <w:r>
        <w:rPr>
          <w:rFonts w:ascii="Book Antiqua" w:hAnsi="Book Antiqua" w:eastAsia="Book Antiqua" w:cs="Book Antiqua"/>
          <w:b/>
          <w:bCs/>
        </w:rPr>
        <w:t>Korean Liver Cancer Association</w:t>
      </w:r>
      <w:r>
        <w:rPr>
          <w:rFonts w:ascii="Book Antiqua" w:hAnsi="Book Antiqua" w:eastAsia="Book Antiqua" w:cs="Book Antiqua"/>
        </w:rPr>
        <w:t xml:space="preserve">; National Cancer Center. 2018 Korean Liver Cancer Association-National Cancer Center Korea Practice Guidelines for the Management of Hepatocellular Carcinoma. </w:t>
      </w:r>
      <w:r>
        <w:rPr>
          <w:rFonts w:ascii="Book Antiqua" w:hAnsi="Book Antiqua" w:eastAsia="Book Antiqua" w:cs="Book Antiqua"/>
          <w:i/>
          <w:iCs/>
        </w:rPr>
        <w:t>Gut Liver</w:t>
      </w:r>
      <w:r>
        <w:rPr>
          <w:rFonts w:ascii="Book Antiqua" w:hAnsi="Book Antiqua" w:eastAsia="Book Antiqua" w:cs="Book Antiqua"/>
        </w:rPr>
        <w:t xml:space="preserve"> 2019; </w:t>
      </w:r>
      <w:r>
        <w:rPr>
          <w:rFonts w:ascii="Book Antiqua" w:hAnsi="Book Antiqua" w:eastAsia="Book Antiqua" w:cs="Book Antiqua"/>
          <w:b/>
          <w:bCs/>
        </w:rPr>
        <w:t>13</w:t>
      </w:r>
      <w:r>
        <w:rPr>
          <w:rFonts w:ascii="Book Antiqua" w:hAnsi="Book Antiqua" w:eastAsia="Book Antiqua" w:cs="Book Antiqua"/>
        </w:rPr>
        <w:t>: 227-299 [PMID: 31060120 DOI: 10.5009/gnl19024]</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Zhou J</w:t>
      </w:r>
      <w:r>
        <w:rPr>
          <w:rFonts w:ascii="Book Antiqua" w:hAnsi="Book Antiqua" w:eastAsia="Book Antiqua" w:cs="Book Antiqua"/>
        </w:rPr>
        <w:t xml:space="preserve">, Sun HC, Wang Z, Cong WM, Wang JH, Zeng MS, Yang JM, Bie P, Liu LX, Wen TF, Han GH, Wang MQ, Liu RB, Lu LG, Ren ZG, Chen MS, Zeng ZC, Liang P, Liang CH, Chen M, Yan FH, Wang WP, Ji Y, Cheng WW, Dai CL, Jia WD, Li YM, Li YX, Liang J, Liu TS, Lv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hAnsi="Book Antiqua" w:eastAsia="Book Antiqua" w:cs="Book Antiqua"/>
          <w:i/>
          <w:iCs/>
        </w:rPr>
        <w:t>Liver Cancer</w:t>
      </w:r>
      <w:r>
        <w:rPr>
          <w:rFonts w:ascii="Book Antiqua" w:hAnsi="Book Antiqua" w:eastAsia="Book Antiqua" w:cs="Book Antiqua"/>
        </w:rPr>
        <w:t xml:space="preserve"> 2018; </w:t>
      </w:r>
      <w:r>
        <w:rPr>
          <w:rFonts w:ascii="Book Antiqua" w:hAnsi="Book Antiqua" w:eastAsia="Book Antiqua" w:cs="Book Antiqua"/>
          <w:b/>
          <w:bCs/>
        </w:rPr>
        <w:t>7</w:t>
      </w:r>
      <w:r>
        <w:rPr>
          <w:rFonts w:ascii="Book Antiqua" w:hAnsi="Book Antiqua" w:eastAsia="Book Antiqua" w:cs="Book Antiqua"/>
        </w:rPr>
        <w:t>: 235-260 [PMID: 30319983 DOI: 10.1159/000488035]</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Surveillance group</w:t>
      </w:r>
      <w:bookmarkStart w:id="9" w:name="_GoBack"/>
      <w:bookmarkEnd w:id="9"/>
      <w:r>
        <w:rPr>
          <w:rFonts w:ascii="Book Antiqua" w:hAnsi="Book Antiqua" w:eastAsia="Book Antiqua" w:cs="Book Antiqua"/>
        </w:rPr>
        <w:t xml:space="preserve">; Diagnosis group; Staging group; Surgery group; Local ablation group; TACE/TARE/HAI group; Target therapy/systemic therapy group; Radiotherapy group; Prevention group; Drafting group. Management consensus guideline for hepatocellular carcinoma: 2016 updated by the Taiwan Liver Cancer Association and the Gastroenterological Society of Taiwan. </w:t>
      </w:r>
      <w:r>
        <w:rPr>
          <w:rFonts w:ascii="Book Antiqua" w:hAnsi="Book Antiqua" w:eastAsia="Book Antiqua" w:cs="Book Antiqua"/>
          <w:i/>
          <w:iCs/>
        </w:rPr>
        <w:t>J Formos Med Assoc</w:t>
      </w:r>
      <w:r>
        <w:rPr>
          <w:rFonts w:ascii="Book Antiqua" w:hAnsi="Book Antiqua" w:eastAsia="Book Antiqua" w:cs="Book Antiqua"/>
        </w:rPr>
        <w:t xml:space="preserve"> 2018; </w:t>
      </w:r>
      <w:r>
        <w:rPr>
          <w:rFonts w:ascii="Book Antiqua" w:hAnsi="Book Antiqua" w:eastAsia="Book Antiqua" w:cs="Book Antiqua"/>
          <w:b/>
          <w:bCs/>
        </w:rPr>
        <w:t>117</w:t>
      </w:r>
      <w:r>
        <w:rPr>
          <w:rFonts w:ascii="Book Antiqua" w:hAnsi="Book Antiqua" w:eastAsia="Book Antiqua" w:cs="Book Antiqua"/>
        </w:rPr>
        <w:t>: 381-403 [PMID: 29074347 DOI: 10.1016/j.jfma.2017.09.007]</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Kim TH</w:t>
      </w:r>
      <w:r>
        <w:rPr>
          <w:rFonts w:ascii="Book Antiqua" w:hAnsi="Book Antiqua" w:eastAsia="Book Antiqua" w:cs="Book Antiqua"/>
        </w:rPr>
        <w:t xml:space="preserve">, Park JW, Kim YJ, Kim BH, Woo SM, Moon SH, Kim SS, Lee WJ, Kim DY, Kim CM. Simultaneous integrated boost-intensity modulated radiation therapy for inoperable hepatocellular carcinoma. </w:t>
      </w:r>
      <w:r>
        <w:rPr>
          <w:rFonts w:ascii="Book Antiqua" w:hAnsi="Book Antiqua" w:eastAsia="Book Antiqua" w:cs="Book Antiqua"/>
          <w:i/>
          <w:iCs/>
        </w:rPr>
        <w:t>Strahlenther Onkol</w:t>
      </w:r>
      <w:r>
        <w:rPr>
          <w:rFonts w:ascii="Book Antiqua" w:hAnsi="Book Antiqua" w:eastAsia="Book Antiqua" w:cs="Book Antiqua"/>
        </w:rPr>
        <w:t xml:space="preserve"> 2014; </w:t>
      </w:r>
      <w:r>
        <w:rPr>
          <w:rFonts w:ascii="Book Antiqua" w:hAnsi="Book Antiqua" w:eastAsia="Book Antiqua" w:cs="Book Antiqua"/>
          <w:b/>
          <w:bCs/>
        </w:rPr>
        <w:t>190</w:t>
      </w:r>
      <w:r>
        <w:rPr>
          <w:rFonts w:ascii="Book Antiqua" w:hAnsi="Book Antiqua" w:eastAsia="Book Antiqua" w:cs="Book Antiqua"/>
        </w:rPr>
        <w:t>: 882-890 [PMID: 24638270 DOI: 10.1007/s00066-014-0643-z]</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Park HC</w:t>
      </w:r>
      <w:r>
        <w:rPr>
          <w:rFonts w:ascii="Book Antiqua" w:hAnsi="Book Antiqua" w:eastAsia="Book Antiqua" w:cs="Book Antiqua"/>
        </w:rPr>
        <w:t xml:space="preserve">, Seong J, Han KH, Chon CY, Moon YM, Suh CO. Dose-response relationship in local radiotherapy for hepatocellular carcinoma. </w:t>
      </w:r>
      <w:r>
        <w:rPr>
          <w:rFonts w:ascii="Book Antiqua" w:hAnsi="Book Antiqua" w:eastAsia="Book Antiqua" w:cs="Book Antiqua"/>
          <w:i/>
          <w:iCs/>
        </w:rPr>
        <w:t>Int J Radiat Oncol Biol Phys</w:t>
      </w:r>
      <w:r>
        <w:rPr>
          <w:rFonts w:ascii="Book Antiqua" w:hAnsi="Book Antiqua" w:eastAsia="Book Antiqua" w:cs="Book Antiqua"/>
        </w:rPr>
        <w:t xml:space="preserve"> 2002; </w:t>
      </w:r>
      <w:r>
        <w:rPr>
          <w:rFonts w:ascii="Book Antiqua" w:hAnsi="Book Antiqua" w:eastAsia="Book Antiqua" w:cs="Book Antiqua"/>
          <w:b/>
          <w:bCs/>
        </w:rPr>
        <w:t>54</w:t>
      </w:r>
      <w:r>
        <w:rPr>
          <w:rFonts w:ascii="Book Antiqua" w:hAnsi="Book Antiqua" w:eastAsia="Book Antiqua" w:cs="Book Antiqua"/>
        </w:rPr>
        <w:t>: 150-155 [PMID: 12182985 DOI: 10.1016/s0360-3016(02)02864-x]</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Pan CC</w:t>
      </w:r>
      <w:r>
        <w:rPr>
          <w:rFonts w:ascii="Book Antiqua" w:hAnsi="Book Antiqua" w:eastAsia="Book Antiqua" w:cs="Book Antiqua"/>
        </w:rPr>
        <w:t xml:space="preserve">, Kavanagh BD, Dawson LA, Li XA, Das SK, Miften M, Ten Haken RK. Radiation-associated liver injury. </w:t>
      </w:r>
      <w:r>
        <w:rPr>
          <w:rFonts w:ascii="Book Antiqua" w:hAnsi="Book Antiqua" w:eastAsia="Book Antiqua" w:cs="Book Antiqua"/>
          <w:i/>
          <w:iCs/>
        </w:rPr>
        <w:t>Int J Radiat Oncol Biol Phys</w:t>
      </w:r>
      <w:r>
        <w:rPr>
          <w:rFonts w:ascii="Book Antiqua" w:hAnsi="Book Antiqua" w:eastAsia="Book Antiqua" w:cs="Book Antiqua"/>
        </w:rPr>
        <w:t xml:space="preserve"> 2010; </w:t>
      </w:r>
      <w:r>
        <w:rPr>
          <w:rFonts w:ascii="Book Antiqua" w:hAnsi="Book Antiqua" w:eastAsia="Book Antiqua" w:cs="Book Antiqua"/>
          <w:b/>
          <w:bCs/>
        </w:rPr>
        <w:t>76</w:t>
      </w:r>
      <w:r>
        <w:rPr>
          <w:rFonts w:ascii="Book Antiqua" w:hAnsi="Book Antiqua" w:eastAsia="Book Antiqua" w:cs="Book Antiqua"/>
        </w:rPr>
        <w:t>: S94-100 [PMID: 20171524 DOI: 10.1016/j.ijrobp.2009.06.092]</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Ohlsson B</w:t>
      </w:r>
      <w:r>
        <w:rPr>
          <w:rFonts w:ascii="Book Antiqua" w:hAnsi="Book Antiqua" w:eastAsia="Book Antiqua" w:cs="Book Antiqua"/>
        </w:rPr>
        <w:t xml:space="preserve">, Nilsson J, Stenram U, Akerman M, Tranberg KG. Percutaneous fine-needle aspiration cytology in the diagnosis and management of liver tumours. </w:t>
      </w:r>
      <w:r>
        <w:rPr>
          <w:rFonts w:ascii="Book Antiqua" w:hAnsi="Book Antiqua" w:eastAsia="Book Antiqua" w:cs="Book Antiqua"/>
          <w:i/>
          <w:iCs/>
        </w:rPr>
        <w:t>Br J Surg</w:t>
      </w:r>
      <w:r>
        <w:rPr>
          <w:rFonts w:ascii="Book Antiqua" w:hAnsi="Book Antiqua" w:eastAsia="Book Antiqua" w:cs="Book Antiqua"/>
        </w:rPr>
        <w:t xml:space="preserve"> 2002; </w:t>
      </w:r>
      <w:r>
        <w:rPr>
          <w:rFonts w:ascii="Book Antiqua" w:hAnsi="Book Antiqua" w:eastAsia="Book Antiqua" w:cs="Book Antiqua"/>
          <w:b/>
          <w:bCs/>
        </w:rPr>
        <w:t>89</w:t>
      </w:r>
      <w:r>
        <w:rPr>
          <w:rFonts w:ascii="Book Antiqua" w:hAnsi="Book Antiqua" w:eastAsia="Book Antiqua" w:cs="Book Antiqua"/>
        </w:rPr>
        <w:t>: 757-762 [PMID: 12027987 DOI: 10.1046/j.1365-2168.2002.02111.x]</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Midia M</w:t>
      </w:r>
      <w:r>
        <w:rPr>
          <w:rFonts w:ascii="Book Antiqua" w:hAnsi="Book Antiqua" w:eastAsia="Book Antiqua" w:cs="Book Antiqua"/>
        </w:rPr>
        <w:t xml:space="preserve">, Odedra D, Shuster A, Midia R, Muir J. Predictors of bleeding complications following percutaneous image-guided liver biopsy: a scoping review. </w:t>
      </w:r>
      <w:r>
        <w:rPr>
          <w:rFonts w:ascii="Book Antiqua" w:hAnsi="Book Antiqua" w:eastAsia="Book Antiqua" w:cs="Book Antiqua"/>
          <w:i/>
          <w:iCs/>
        </w:rPr>
        <w:t>Diagn Interv Radiol</w:t>
      </w:r>
      <w:r>
        <w:rPr>
          <w:rFonts w:ascii="Book Antiqua" w:hAnsi="Book Antiqua" w:eastAsia="Book Antiqua" w:cs="Book Antiqua"/>
        </w:rPr>
        <w:t xml:space="preserve"> 2019; </w:t>
      </w:r>
      <w:r>
        <w:rPr>
          <w:rFonts w:ascii="Book Antiqua" w:hAnsi="Book Antiqua" w:eastAsia="Book Antiqua" w:cs="Book Antiqua"/>
          <w:b/>
          <w:bCs/>
        </w:rPr>
        <w:t>25</w:t>
      </w:r>
      <w:r>
        <w:rPr>
          <w:rFonts w:ascii="Book Antiqua" w:hAnsi="Book Antiqua" w:eastAsia="Book Antiqua" w:cs="Book Antiqua"/>
        </w:rPr>
        <w:t>: 71-80 [PMID: 30644369 DOI: 10.5152/dir.2018.17525]</w:t>
      </w:r>
    </w:p>
    <w:p>
      <w:pPr>
        <w:spacing w:line="360" w:lineRule="auto"/>
        <w:jc w:val="both"/>
        <w:rPr>
          <w:rFonts w:ascii="Book Antiqua" w:hAnsi="Book Antiqua"/>
        </w:rPr>
      </w:pPr>
      <w:r>
        <w:rPr>
          <w:rFonts w:ascii="Book Antiqua" w:hAnsi="Book Antiqua" w:eastAsia="Book Antiqua" w:cs="Book Antiqua"/>
        </w:rPr>
        <w:t xml:space="preserve">25 </w:t>
      </w:r>
      <w:r>
        <w:rPr>
          <w:rFonts w:ascii="Book Antiqua" w:hAnsi="Book Antiqua" w:eastAsia="Book Antiqua" w:cs="Book Antiqua"/>
          <w:b/>
          <w:bCs/>
        </w:rPr>
        <w:t>Dutta D</w:t>
      </w:r>
      <w:r>
        <w:rPr>
          <w:rFonts w:ascii="Book Antiqua" w:hAnsi="Book Antiqua" w:eastAsia="Book Antiqua" w:cs="Book Antiqua"/>
        </w:rPr>
        <w:t xml:space="preserve">, Kataki KJ, George S, Reddy SK, Sashidharan A, Kannan R, Madhavan R, Nair H, Tatineni T, Holla R. Prospective evaluation of fiducial marker placement quality and toxicity in liver CyberKnife stereotactic body radiotherapy. </w:t>
      </w:r>
      <w:r>
        <w:rPr>
          <w:rFonts w:ascii="Book Antiqua" w:hAnsi="Book Antiqua" w:eastAsia="Book Antiqua" w:cs="Book Antiqua"/>
          <w:i/>
          <w:iCs/>
        </w:rPr>
        <w:t>Radiat Oncol J</w:t>
      </w:r>
      <w:r>
        <w:rPr>
          <w:rFonts w:ascii="Book Antiqua" w:hAnsi="Book Antiqua" w:eastAsia="Book Antiqua" w:cs="Book Antiqua"/>
        </w:rPr>
        <w:t xml:space="preserve"> 2020; </w:t>
      </w:r>
      <w:r>
        <w:rPr>
          <w:rFonts w:ascii="Book Antiqua" w:hAnsi="Book Antiqua" w:eastAsia="Book Antiqua" w:cs="Book Antiqua"/>
          <w:b/>
          <w:bCs/>
        </w:rPr>
        <w:t>38</w:t>
      </w:r>
      <w:r>
        <w:rPr>
          <w:rFonts w:ascii="Book Antiqua" w:hAnsi="Book Antiqua" w:eastAsia="Book Antiqua" w:cs="Book Antiqua"/>
        </w:rPr>
        <w:t>: 253-261 [PMID: 33249803 DOI: 10.3857/roj.2020.00472]</w:t>
      </w:r>
    </w:p>
    <w:p>
      <w:pPr>
        <w:spacing w:line="360" w:lineRule="auto"/>
        <w:jc w:val="both"/>
        <w:rPr>
          <w:rFonts w:ascii="Book Antiqua" w:hAnsi="Book Antiqua"/>
        </w:rPr>
      </w:pPr>
      <w:r>
        <w:rPr>
          <w:rFonts w:ascii="Book Antiqua" w:hAnsi="Book Antiqua" w:eastAsia="Book Antiqua" w:cs="Book Antiqua"/>
        </w:rPr>
        <w:t xml:space="preserve">26 </w:t>
      </w:r>
      <w:r>
        <w:rPr>
          <w:rFonts w:ascii="Book Antiqua" w:hAnsi="Book Antiqua" w:eastAsia="Book Antiqua" w:cs="Book Antiqua"/>
          <w:b/>
          <w:bCs/>
        </w:rPr>
        <w:t>Park SH</w:t>
      </w:r>
      <w:r>
        <w:rPr>
          <w:rFonts w:ascii="Book Antiqua" w:hAnsi="Book Antiqua" w:eastAsia="Book Antiqua" w:cs="Book Antiqua"/>
        </w:rPr>
        <w:t xml:space="preserve">, Won HJ, Kim SY, Shin YM, Kim PN, Yoon SM, Park JH, Kim JH. Efficacy and safety of ultrasound-guided implantation of fiducial markers in the liver for stereotactic body radiation therapy. </w:t>
      </w:r>
      <w:r>
        <w:rPr>
          <w:rFonts w:ascii="Book Antiqua" w:hAnsi="Book Antiqua" w:eastAsia="Book Antiqua" w:cs="Book Antiqua"/>
          <w:i/>
          <w:iCs/>
        </w:rPr>
        <w:t>PLoS One</w:t>
      </w:r>
      <w:r>
        <w:rPr>
          <w:rFonts w:ascii="Book Antiqua" w:hAnsi="Book Antiqua" w:eastAsia="Book Antiqua" w:cs="Book Antiqua"/>
        </w:rPr>
        <w:t xml:space="preserve"> 2017; </w:t>
      </w:r>
      <w:r>
        <w:rPr>
          <w:rFonts w:ascii="Book Antiqua" w:hAnsi="Book Antiqua" w:eastAsia="Book Antiqua" w:cs="Book Antiqua"/>
          <w:b/>
          <w:bCs/>
        </w:rPr>
        <w:t>12</w:t>
      </w:r>
      <w:r>
        <w:rPr>
          <w:rFonts w:ascii="Book Antiqua" w:hAnsi="Book Antiqua" w:eastAsia="Book Antiqua" w:cs="Book Antiqua"/>
        </w:rPr>
        <w:t>: e0179676 [PMID: 28636658 DOI: 10.1371/journal.pone.0179676]</w:t>
      </w:r>
    </w:p>
    <w:p>
      <w:pPr>
        <w:spacing w:line="360" w:lineRule="auto"/>
        <w:jc w:val="both"/>
        <w:rPr>
          <w:rFonts w:ascii="Book Antiqua" w:hAnsi="Book Antiqua"/>
        </w:rPr>
      </w:pPr>
      <w:r>
        <w:rPr>
          <w:rFonts w:ascii="Book Antiqua" w:hAnsi="Book Antiqua" w:eastAsia="Book Antiqua" w:cs="Book Antiqua"/>
        </w:rPr>
        <w:t xml:space="preserve">27 </w:t>
      </w:r>
      <w:r>
        <w:rPr>
          <w:rFonts w:ascii="Book Antiqua" w:hAnsi="Book Antiqua" w:eastAsia="Book Antiqua" w:cs="Book Antiqua"/>
          <w:b/>
          <w:bCs/>
        </w:rPr>
        <w:t>Cervini P</w:t>
      </w:r>
      <w:r>
        <w:rPr>
          <w:rFonts w:ascii="Book Antiqua" w:hAnsi="Book Antiqua" w:eastAsia="Book Antiqua" w:cs="Book Antiqua"/>
        </w:rPr>
        <w:t xml:space="preserve">, Hesley GK, Thompson RL, Sampathkumar P, Knudsen JM. Incidence of infectious complications after an ultrasound-guided intervention. </w:t>
      </w:r>
      <w:r>
        <w:rPr>
          <w:rFonts w:ascii="Book Antiqua" w:hAnsi="Book Antiqua" w:eastAsia="Book Antiqua" w:cs="Book Antiqua"/>
          <w:i/>
          <w:iCs/>
        </w:rPr>
        <w:t>AJR Am J Roentgenol</w:t>
      </w:r>
      <w:r>
        <w:rPr>
          <w:rFonts w:ascii="Book Antiqua" w:hAnsi="Book Antiqua" w:eastAsia="Book Antiqua" w:cs="Book Antiqua"/>
        </w:rPr>
        <w:t xml:space="preserve"> 2010; </w:t>
      </w:r>
      <w:r>
        <w:rPr>
          <w:rFonts w:ascii="Book Antiqua" w:hAnsi="Book Antiqua" w:eastAsia="Book Antiqua" w:cs="Book Antiqua"/>
          <w:b/>
          <w:bCs/>
        </w:rPr>
        <w:t>195</w:t>
      </w:r>
      <w:r>
        <w:rPr>
          <w:rFonts w:ascii="Book Antiqua" w:hAnsi="Book Antiqua" w:eastAsia="Book Antiqua" w:cs="Book Antiqua"/>
        </w:rPr>
        <w:t>: 846-850 [PMID: 20858808 DOI: 10.2214/AJR.09.3168]</w:t>
      </w:r>
    </w:p>
    <w:p>
      <w:pPr>
        <w:spacing w:line="360" w:lineRule="auto"/>
        <w:jc w:val="both"/>
        <w:rPr>
          <w:rFonts w:ascii="Book Antiqua" w:hAnsi="Book Antiqua"/>
        </w:rPr>
      </w:pPr>
      <w:r>
        <w:rPr>
          <w:rFonts w:ascii="Book Antiqua" w:hAnsi="Book Antiqua" w:eastAsia="Book Antiqua" w:cs="Book Antiqua"/>
        </w:rPr>
        <w:t xml:space="preserve">28 </w:t>
      </w:r>
      <w:r>
        <w:rPr>
          <w:rFonts w:ascii="Book Antiqua" w:hAnsi="Book Antiqua" w:eastAsia="Book Antiqua" w:cs="Book Antiqua"/>
          <w:b/>
          <w:bCs/>
        </w:rPr>
        <w:t>Oldrini G</w:t>
      </w:r>
      <w:r>
        <w:rPr>
          <w:rFonts w:ascii="Book Antiqua" w:hAnsi="Book Antiqua" w:eastAsia="Book Antiqua" w:cs="Book Antiqua"/>
        </w:rPr>
        <w:t xml:space="preserve">, Taste-George H, Renard-Oldrini S, Baumann AS, Marchesi V, Troufléau P, Peiffert D, Didot-Moisei A, Boyer B, Grignon B, Henrot P. Implantation of fiducial markers in the liver for stereotactic body radiation therapy: Feasibility and results. </w:t>
      </w:r>
      <w:r>
        <w:rPr>
          <w:rFonts w:ascii="Book Antiqua" w:hAnsi="Book Antiqua" w:eastAsia="Book Antiqua" w:cs="Book Antiqua"/>
          <w:i/>
          <w:iCs/>
        </w:rPr>
        <w:t>Diagn Interv Imaging</w:t>
      </w:r>
      <w:r>
        <w:rPr>
          <w:rFonts w:ascii="Book Antiqua" w:hAnsi="Book Antiqua" w:eastAsia="Book Antiqua" w:cs="Book Antiqua"/>
        </w:rPr>
        <w:t xml:space="preserve"> 2015; </w:t>
      </w:r>
      <w:r>
        <w:rPr>
          <w:rFonts w:ascii="Book Antiqua" w:hAnsi="Book Antiqua" w:eastAsia="Book Antiqua" w:cs="Book Antiqua"/>
          <w:b/>
          <w:bCs/>
        </w:rPr>
        <w:t>96</w:t>
      </w:r>
      <w:r>
        <w:rPr>
          <w:rFonts w:ascii="Book Antiqua" w:hAnsi="Book Antiqua" w:eastAsia="Book Antiqua" w:cs="Book Antiqua"/>
        </w:rPr>
        <w:t>: 589-592 [PMID: 24613392 DOI: 10.1016/j.diii.2014.01.010]</w:t>
      </w:r>
    </w:p>
    <w:p>
      <w:pPr>
        <w:spacing w:line="360" w:lineRule="auto"/>
        <w:jc w:val="both"/>
        <w:rPr>
          <w:rFonts w:ascii="Book Antiqua" w:hAnsi="Book Antiqua"/>
        </w:rPr>
      </w:pPr>
      <w:r>
        <w:rPr>
          <w:rFonts w:ascii="Book Antiqua" w:hAnsi="Book Antiqua" w:eastAsia="Book Antiqua" w:cs="Book Antiqua"/>
        </w:rPr>
        <w:t xml:space="preserve">29 </w:t>
      </w:r>
      <w:r>
        <w:rPr>
          <w:rFonts w:ascii="Book Antiqua" w:hAnsi="Book Antiqua" w:eastAsia="Book Antiqua" w:cs="Book Antiqua"/>
          <w:b/>
          <w:bCs/>
        </w:rPr>
        <w:t>Choi JH</w:t>
      </w:r>
      <w:r>
        <w:rPr>
          <w:rFonts w:ascii="Book Antiqua" w:hAnsi="Book Antiqua" w:eastAsia="Book Antiqua" w:cs="Book Antiqua"/>
        </w:rPr>
        <w:t xml:space="preserve">, Seo DW, Park DH, Lee SK, Kim MH. Fiducial placement for stereotactic body radiation therapy under only endoscopic ultrasonography guidance in pancreatic and hepatic malignancy: practical feasibility and safety. </w:t>
      </w:r>
      <w:r>
        <w:rPr>
          <w:rFonts w:ascii="Book Antiqua" w:hAnsi="Book Antiqua" w:eastAsia="Book Antiqua" w:cs="Book Antiqua"/>
          <w:i/>
          <w:iCs/>
        </w:rPr>
        <w:t>Gut Liver</w:t>
      </w:r>
      <w:r>
        <w:rPr>
          <w:rFonts w:ascii="Book Antiqua" w:hAnsi="Book Antiqua" w:eastAsia="Book Antiqua" w:cs="Book Antiqua"/>
        </w:rPr>
        <w:t xml:space="preserve"> 2014; </w:t>
      </w:r>
      <w:r>
        <w:rPr>
          <w:rFonts w:ascii="Book Antiqua" w:hAnsi="Book Antiqua" w:eastAsia="Book Antiqua" w:cs="Book Antiqua"/>
          <w:b/>
          <w:bCs/>
        </w:rPr>
        <w:t>8</w:t>
      </w:r>
      <w:r>
        <w:rPr>
          <w:rFonts w:ascii="Book Antiqua" w:hAnsi="Book Antiqua" w:eastAsia="Book Antiqua" w:cs="Book Antiqua"/>
        </w:rPr>
        <w:t>: 88-93 [PMID: 24516706 DOI: 10.5009/gnl.2014.8.1.88]</w:t>
      </w:r>
    </w:p>
    <w:p>
      <w:pPr>
        <w:spacing w:line="360" w:lineRule="auto"/>
        <w:jc w:val="both"/>
        <w:rPr>
          <w:rFonts w:ascii="Book Antiqua" w:hAnsi="Book Antiqua"/>
        </w:rPr>
      </w:pPr>
      <w:r>
        <w:rPr>
          <w:rFonts w:ascii="Book Antiqua" w:hAnsi="Book Antiqua" w:eastAsia="Book Antiqua" w:cs="Book Antiqua"/>
        </w:rPr>
        <w:t xml:space="preserve">30 </w:t>
      </w:r>
      <w:r>
        <w:rPr>
          <w:rFonts w:ascii="Book Antiqua" w:hAnsi="Book Antiqua" w:eastAsia="Book Antiqua" w:cs="Book Antiqua"/>
          <w:b/>
          <w:bCs/>
        </w:rPr>
        <w:t>Lasley FD</w:t>
      </w:r>
      <w:r>
        <w:rPr>
          <w:rFonts w:ascii="Book Antiqua" w:hAnsi="Book Antiqua" w:eastAsia="Book Antiqua" w:cs="Book Antiqua"/>
        </w:rPr>
        <w:t xml:space="preserve">, Mannina EM, Johnson CS, Perkins SM, Althouse S, Maluccio M, Kwo P, Cárdenes H. Treatment variables related to liver toxicity in patients with hepatocellular carcinoma, Child-Pugh class A and B enrolled in a phase 1-2 trial of stereotactic body radiation therapy. </w:t>
      </w:r>
      <w:r>
        <w:rPr>
          <w:rFonts w:ascii="Book Antiqua" w:hAnsi="Book Antiqua" w:eastAsia="Book Antiqua" w:cs="Book Antiqua"/>
          <w:i/>
          <w:iCs/>
        </w:rPr>
        <w:t>Pract Radiat Oncol</w:t>
      </w:r>
      <w:r>
        <w:rPr>
          <w:rFonts w:ascii="Book Antiqua" w:hAnsi="Book Antiqua" w:eastAsia="Book Antiqua" w:cs="Book Antiqua"/>
        </w:rPr>
        <w:t xml:space="preserve"> 2015; </w:t>
      </w:r>
      <w:r>
        <w:rPr>
          <w:rFonts w:ascii="Book Antiqua" w:hAnsi="Book Antiqua" w:eastAsia="Book Antiqua" w:cs="Book Antiqua"/>
          <w:b/>
          <w:bCs/>
        </w:rPr>
        <w:t>5</w:t>
      </w:r>
      <w:r>
        <w:rPr>
          <w:rFonts w:ascii="Book Antiqua" w:hAnsi="Book Antiqua" w:eastAsia="Book Antiqua" w:cs="Book Antiqua"/>
        </w:rPr>
        <w:t>: e443-e449 [PMID: 25899219 DOI: 10.1016/j.prro.2015.02.007]</w:t>
      </w:r>
    </w:p>
    <w:p>
      <w:pPr>
        <w:spacing w:line="360" w:lineRule="auto"/>
        <w:jc w:val="both"/>
        <w:rPr>
          <w:rFonts w:ascii="Book Antiqua" w:hAnsi="Book Antiqua"/>
        </w:rPr>
      </w:pPr>
      <w:r>
        <w:rPr>
          <w:rFonts w:ascii="Book Antiqua" w:hAnsi="Book Antiqua" w:eastAsia="Book Antiqua" w:cs="Book Antiqua"/>
        </w:rPr>
        <w:t xml:space="preserve">31 </w:t>
      </w:r>
      <w:r>
        <w:rPr>
          <w:rFonts w:ascii="Book Antiqua" w:hAnsi="Book Antiqua" w:eastAsia="Book Antiqua" w:cs="Book Antiqua"/>
          <w:b/>
          <w:bCs/>
        </w:rPr>
        <w:t>Brade AM</w:t>
      </w:r>
      <w:r>
        <w:rPr>
          <w:rFonts w:ascii="Book Antiqua" w:hAnsi="Book Antiqua" w:eastAsia="Book Antiqua" w:cs="Book Antiqua"/>
        </w:rPr>
        <w:t xml:space="preserve">, Ng S, Brierley J, Kim J, Dinniwell R, Ringash J, Wong RR, Cho C, Knox J, Dawson LA. Phase 1 Trial of Sorafenib and Stereotactic Body Radiation Therapy for Hepatocellular Carcinoma. </w:t>
      </w:r>
      <w:r>
        <w:rPr>
          <w:rFonts w:ascii="Book Antiqua" w:hAnsi="Book Antiqua" w:eastAsia="Book Antiqua" w:cs="Book Antiqua"/>
          <w:i/>
          <w:iCs/>
        </w:rPr>
        <w:t>Int J Radiat Oncol Biol Phys</w:t>
      </w:r>
      <w:r>
        <w:rPr>
          <w:rFonts w:ascii="Book Antiqua" w:hAnsi="Book Antiqua" w:eastAsia="Book Antiqua" w:cs="Book Antiqua"/>
        </w:rPr>
        <w:t xml:space="preserve"> 2016; </w:t>
      </w:r>
      <w:r>
        <w:rPr>
          <w:rFonts w:ascii="Book Antiqua" w:hAnsi="Book Antiqua" w:eastAsia="Book Antiqua" w:cs="Book Antiqua"/>
          <w:b/>
          <w:bCs/>
        </w:rPr>
        <w:t>94</w:t>
      </w:r>
      <w:r>
        <w:rPr>
          <w:rFonts w:ascii="Book Antiqua" w:hAnsi="Book Antiqua" w:eastAsia="Book Antiqua" w:cs="Book Antiqua"/>
        </w:rPr>
        <w:t>: 580-587 [PMID: 26867886 DOI: 10.1016/j.ijrobp.2015.11.048]</w:t>
      </w:r>
    </w:p>
    <w:p>
      <w:pPr>
        <w:spacing w:line="360" w:lineRule="auto"/>
        <w:jc w:val="both"/>
        <w:rPr>
          <w:rFonts w:ascii="Book Antiqua" w:hAnsi="Book Antiqua"/>
        </w:rPr>
      </w:pPr>
      <w:r>
        <w:rPr>
          <w:rFonts w:ascii="Book Antiqua" w:hAnsi="Book Antiqua" w:eastAsia="Book Antiqua" w:cs="Book Antiqua"/>
        </w:rPr>
        <w:t xml:space="preserve">32 </w:t>
      </w:r>
      <w:r>
        <w:rPr>
          <w:rFonts w:ascii="Book Antiqua" w:hAnsi="Book Antiqua" w:eastAsia="Book Antiqua" w:cs="Book Antiqua"/>
          <w:b/>
          <w:bCs/>
        </w:rPr>
        <w:t>Culleton S</w:t>
      </w:r>
      <w:r>
        <w:rPr>
          <w:rFonts w:ascii="Book Antiqua" w:hAnsi="Book Antiqua" w:eastAsia="Book Antiqua" w:cs="Book Antiqua"/>
        </w:rPr>
        <w:t xml:space="preserve">, Jiang H, Haddad CR, Kim J, Brierley J, Brade A, Ringash J, Dawson LA. Outcomes following definitive stereotactic body radiotherapy for patients with Child-Pugh B or C hepatocellular carcinoma. </w:t>
      </w:r>
      <w:r>
        <w:rPr>
          <w:rFonts w:ascii="Book Antiqua" w:hAnsi="Book Antiqua" w:eastAsia="Book Antiqua" w:cs="Book Antiqua"/>
          <w:i/>
          <w:iCs/>
        </w:rPr>
        <w:t>Radiother Oncol</w:t>
      </w:r>
      <w:r>
        <w:rPr>
          <w:rFonts w:ascii="Book Antiqua" w:hAnsi="Book Antiqua" w:eastAsia="Book Antiqua" w:cs="Book Antiqua"/>
        </w:rPr>
        <w:t xml:space="preserve"> 2014; </w:t>
      </w:r>
      <w:r>
        <w:rPr>
          <w:rFonts w:ascii="Book Antiqua" w:hAnsi="Book Antiqua" w:eastAsia="Book Antiqua" w:cs="Book Antiqua"/>
          <w:b/>
          <w:bCs/>
        </w:rPr>
        <w:t>111</w:t>
      </w:r>
      <w:r>
        <w:rPr>
          <w:rFonts w:ascii="Book Antiqua" w:hAnsi="Book Antiqua" w:eastAsia="Book Antiqua" w:cs="Book Antiqua"/>
        </w:rPr>
        <w:t>: 412-417 [PMID: 24906626 DOI: 10.1016/j.radonc.2014.05.002]</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rPr>
        <w:t>Informed written consent was obtained from the patients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Peer-review started: </w:t>
      </w:r>
      <w:r>
        <w:rPr>
          <w:rFonts w:ascii="Book Antiqua" w:hAnsi="Book Antiqua" w:eastAsia="Book Antiqua" w:cs="Book Antiqua"/>
        </w:rPr>
        <w:t>September 15, 2021</w:t>
      </w:r>
    </w:p>
    <w:p>
      <w:pPr>
        <w:spacing w:line="360" w:lineRule="auto"/>
        <w:jc w:val="both"/>
        <w:rPr>
          <w:rFonts w:ascii="Book Antiqua" w:hAnsi="Book Antiqua"/>
        </w:rPr>
      </w:pPr>
      <w:r>
        <w:rPr>
          <w:rFonts w:ascii="Book Antiqua" w:hAnsi="Book Antiqua" w:eastAsia="Book Antiqua" w:cs="Book Antiqua"/>
          <w:b/>
        </w:rPr>
        <w:t xml:space="preserve">First decision: </w:t>
      </w:r>
      <w:r>
        <w:rPr>
          <w:rFonts w:ascii="Book Antiqua" w:hAnsi="Book Antiqua" w:eastAsia="Book Antiqua" w:cs="Book Antiqua"/>
        </w:rPr>
        <w:t>November 11, 2021</w:t>
      </w:r>
    </w:p>
    <w:p>
      <w:pPr>
        <w:spacing w:line="360" w:lineRule="auto"/>
        <w:jc w:val="both"/>
        <w:rPr>
          <w:rFonts w:ascii="Book Antiqua" w:hAnsi="Book Antiqua"/>
        </w:rPr>
      </w:pPr>
      <w:r>
        <w:rPr>
          <w:rFonts w:ascii="Book Antiqua" w:hAnsi="Book Antiqua" w:eastAsia="Book Antiqua" w:cs="Book Antiqua"/>
          <w:b/>
        </w:rPr>
        <w:t xml:space="preserve">Article in press: </w:t>
      </w:r>
      <w:r>
        <w:rPr>
          <w:rFonts w:ascii="Book Antiqua" w:hAnsi="Book Antiqua" w:eastAsia="Book Antiqua" w:cs="Book Antiqua"/>
        </w:rPr>
        <w:t>January 29,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rPr>
        <w:t xml:space="preserve">Specialty type: </w:t>
      </w:r>
      <w:r>
        <w:rPr>
          <w:rFonts w:ascii="Book Antiqua" w:hAnsi="Book Antiqua" w:eastAsia="Book Antiqua" w:cs="Book Antiqua"/>
        </w:rPr>
        <w:t xml:space="preserve">Gastroenterology and </w:t>
      </w:r>
      <w:r>
        <w:rPr>
          <w:rFonts w:ascii="Book Antiqua" w:hAnsi="Book Antiqua" w:cs="Book Antiqua"/>
          <w:lang w:eastAsia="zh-CN"/>
        </w:rPr>
        <w:t>h</w:t>
      </w:r>
      <w:r>
        <w:rPr>
          <w:rFonts w:ascii="Book Antiqua" w:hAnsi="Book Antiqua" w:eastAsia="Book Antiqua" w:cs="Book Antiqua"/>
        </w:rPr>
        <w:t>epatology</w:t>
      </w:r>
    </w:p>
    <w:p>
      <w:pPr>
        <w:spacing w:line="360" w:lineRule="auto"/>
        <w:jc w:val="both"/>
        <w:rPr>
          <w:rFonts w:ascii="Book Antiqua" w:hAnsi="Book Antiqua"/>
        </w:rPr>
      </w:pPr>
      <w:r>
        <w:rPr>
          <w:rFonts w:ascii="Book Antiqua" w:hAnsi="Book Antiqua" w:eastAsia="Book Antiqua" w:cs="Book Antiqua"/>
          <w:b/>
        </w:rPr>
        <w:t xml:space="preserve">Country/Territory of origin: </w:t>
      </w:r>
      <w:r>
        <w:rPr>
          <w:rFonts w:ascii="Book Antiqua" w:hAnsi="Book Antiqua" w:eastAsia="Book Antiqua" w:cs="Book Antiqua"/>
        </w:rPr>
        <w:t>Japan</w:t>
      </w:r>
    </w:p>
    <w:p>
      <w:pPr>
        <w:spacing w:line="360" w:lineRule="auto"/>
        <w:jc w:val="both"/>
        <w:rPr>
          <w:rFonts w:ascii="Book Antiqua" w:hAnsi="Book Antiqua"/>
        </w:rPr>
      </w:pPr>
      <w:r>
        <w:rPr>
          <w:rFonts w:ascii="Book Antiqua" w:hAnsi="Book Antiqua" w:eastAsia="Book Antiqua" w:cs="Book Antiqua"/>
          <w:b/>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rPr>
        <w:t xml:space="preserve">P-Reviewer: </w:t>
      </w:r>
      <w:r>
        <w:rPr>
          <w:rFonts w:ascii="Book Antiqua" w:hAnsi="Book Antiqua" w:eastAsia="Book Antiqua" w:cs="Book Antiqua"/>
        </w:rPr>
        <w:t>Kumar R, Li Y, Sahin TT</w:t>
      </w:r>
      <w:r>
        <w:rPr>
          <w:rFonts w:ascii="Book Antiqua" w:hAnsi="Book Antiqua" w:eastAsia="Book Antiqua" w:cs="Book Antiqua"/>
          <w:b/>
        </w:rPr>
        <w:t xml:space="preserve"> S-Editor: </w:t>
      </w:r>
      <w:r>
        <w:rPr>
          <w:rFonts w:ascii="Book Antiqua" w:hAnsi="Book Antiqua" w:eastAsia="Book Antiqua" w:cs="Book Antiqua"/>
        </w:rPr>
        <w:t>Xing YX</w:t>
      </w:r>
      <w:r>
        <w:rPr>
          <w:rFonts w:ascii="Book Antiqua" w:hAnsi="Book Antiqua" w:eastAsia="Book Antiqua" w:cs="Book Antiqua"/>
          <w:b/>
        </w:rPr>
        <w:t xml:space="preserve"> L-Editor: </w:t>
      </w:r>
      <w:r>
        <w:rPr>
          <w:rFonts w:ascii="Book Antiqua" w:hAnsi="Book Antiqua" w:eastAsia="Book Antiqua" w:cs="Book Antiqua"/>
        </w:rPr>
        <w:t>A</w:t>
      </w:r>
      <w:r>
        <w:rPr>
          <w:rFonts w:ascii="Book Antiqua" w:hAnsi="Book Antiqua" w:eastAsia="Book Antiqua" w:cs="Book Antiqua"/>
          <w:b/>
        </w:rPr>
        <w:t xml:space="preserve"> P-Editor: </w:t>
      </w:r>
      <w:r>
        <w:rPr>
          <w:rFonts w:ascii="Book Antiqua" w:hAnsi="Book Antiqua" w:eastAsia="Book Antiqua" w:cs="Book Antiqua"/>
        </w:rPr>
        <w:t>Xing YX</w:t>
      </w:r>
    </w:p>
    <w:p>
      <w:pPr>
        <w:spacing w:line="360" w:lineRule="auto"/>
        <w:jc w:val="both"/>
        <w:rPr>
          <w:rFonts w:ascii="Book Antiqua" w:hAnsi="Book Antiqua" w:cs="Book Antiqua"/>
          <w:b/>
          <w:lang w:eastAsia="zh-CN"/>
        </w:rPr>
      </w:pPr>
      <w:r>
        <w:rPr>
          <w:rFonts w:ascii="Book Antiqua" w:hAnsi="Book Antiqua" w:eastAsia="Book Antiqua" w:cs="Book Antiqua"/>
          <w:b/>
        </w:rPr>
        <w:t>Figure Legends</w:t>
      </w:r>
    </w:p>
    <w:p>
      <w:pPr>
        <w:spacing w:line="360" w:lineRule="auto"/>
        <w:jc w:val="both"/>
        <w:rPr>
          <w:rFonts w:ascii="Book Antiqua" w:hAnsi="Book Antiqua" w:cs="Book Antiqua"/>
          <w:b/>
          <w:lang w:eastAsia="zh-CN"/>
        </w:rPr>
      </w:pPr>
      <w:r>
        <w:rPr>
          <w:rFonts w:ascii="Book Antiqua" w:hAnsi="Book Antiqua" w:cs="Book Antiqua"/>
          <w:b/>
          <w:lang w:eastAsia="zh-CN"/>
        </w:rPr>
        <w:drawing>
          <wp:inline distT="0" distB="0" distL="0" distR="0">
            <wp:extent cx="5943600" cy="2923540"/>
            <wp:effectExtent l="0" t="0" r="0" b="0"/>
            <wp:docPr id="5" name="图片 5" descr="D:\168\编稿\71627\PDF\716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71627\PDF\71627-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943600" cy="2923696"/>
                    </a:xfrm>
                    <a:prstGeom prst="rect">
                      <a:avLst/>
                    </a:prstGeom>
                    <a:noFill/>
                    <a:ln>
                      <a:noFill/>
                    </a:ln>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1 Computed tomography of case 1. </w:t>
      </w:r>
      <w:r>
        <w:rPr>
          <w:rFonts w:ascii="Book Antiqua" w:hAnsi="Book Antiqua" w:eastAsia="Book Antiqua" w:cs="Book Antiqua"/>
        </w:rPr>
        <w:t xml:space="preserve">A: On admission; B: After the first transcatheter arterial chemoembolization (TACE); C: After the second TACE; D: After the third TACE. Orange arrowhead: Hepatocellular carcinoma before TACE; yellow arrowhead: Viable lesion after TACE. </w:t>
      </w:r>
    </w:p>
    <w:p>
      <w:pPr>
        <w:spacing w:line="360" w:lineRule="auto"/>
        <w:jc w:val="both"/>
        <w:rPr>
          <w:rFonts w:ascii="Book Antiqua" w:hAnsi="Book Antiqua"/>
          <w:lang w:eastAsia="zh-CN"/>
        </w:rPr>
      </w:pPr>
    </w:p>
    <w:p>
      <w:pPr>
        <w:spacing w:line="360" w:lineRule="auto"/>
        <w:jc w:val="both"/>
        <w:rPr>
          <w:rFonts w:ascii="Book Antiqua" w:hAnsi="Book Antiqua" w:cs="Book Antiqua"/>
          <w:b/>
          <w:bCs/>
          <w:lang w:eastAsia="zh-CN"/>
        </w:rPr>
      </w:pPr>
      <w:r>
        <w:rPr>
          <w:rFonts w:ascii="Book Antiqua" w:hAnsi="Book Antiqua" w:cs="Book Antiqua"/>
          <w:b/>
          <w:bCs/>
          <w:lang w:eastAsia="zh-CN"/>
        </w:rPr>
        <w:drawing>
          <wp:inline distT="0" distB="0" distL="0" distR="0">
            <wp:extent cx="5943600" cy="1581785"/>
            <wp:effectExtent l="0" t="0" r="0" b="0"/>
            <wp:docPr id="6" name="图片 6" descr="D:\168\编稿\71627\PDF\716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68\编稿\71627\PDF\71627-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43600" cy="1582371"/>
                    </a:xfrm>
                    <a:prstGeom prst="rect">
                      <a:avLst/>
                    </a:prstGeom>
                    <a:noFill/>
                    <a:ln>
                      <a:noFill/>
                    </a:ln>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w:t>
      </w:r>
      <w:r>
        <w:rPr>
          <w:rFonts w:ascii="Book Antiqua" w:hAnsi="Book Antiqua" w:eastAsia="MS Mincho" w:cs="MS Mincho"/>
          <w:b/>
          <w:bCs/>
          <w:lang w:eastAsia="ja-JP"/>
        </w:rPr>
        <w:t>2</w:t>
      </w:r>
      <w:r>
        <w:rPr>
          <w:rFonts w:ascii="Book Antiqua" w:hAnsi="Book Antiqua" w:eastAsia="Book Antiqua" w:cs="Book Antiqua"/>
          <w:b/>
          <w:bCs/>
          <w:lang w:eastAsia="ja-JP"/>
        </w:rPr>
        <w:t xml:space="preserve"> </w:t>
      </w:r>
      <w:r>
        <w:rPr>
          <w:rFonts w:ascii="Book Antiqua" w:hAnsi="Book Antiqua" w:eastAsia="Book Antiqua" w:cs="Book Antiqua"/>
          <w:b/>
          <w:bCs/>
        </w:rPr>
        <w:t xml:space="preserve">Computed tomography in case 2. </w:t>
      </w:r>
      <w:r>
        <w:rPr>
          <w:rFonts w:ascii="Book Antiqua" w:hAnsi="Book Antiqua" w:eastAsia="Book Antiqua" w:cs="Book Antiqua"/>
        </w:rPr>
        <w:t>A: Before surgical resection at a nearby hospital; B: At the time of recurrence; C: Before Transcatheter arterial chemoembolization</w:t>
      </w:r>
      <w:r>
        <w:rPr>
          <w:rFonts w:ascii="Book Antiqua" w:hAnsi="Book Antiqua" w:cs="Book Antiqua"/>
          <w:lang w:eastAsia="zh-CN"/>
        </w:rPr>
        <w:t xml:space="preserve"> (</w:t>
      </w:r>
      <w:r>
        <w:rPr>
          <w:rFonts w:ascii="Book Antiqua" w:hAnsi="Book Antiqua" w:eastAsia="Book Antiqua" w:cs="Book Antiqua"/>
        </w:rPr>
        <w:t>TACE</w:t>
      </w:r>
      <w:r>
        <w:rPr>
          <w:rFonts w:ascii="Book Antiqua" w:hAnsi="Book Antiqua" w:cs="Book Antiqua"/>
          <w:lang w:eastAsia="zh-CN"/>
        </w:rPr>
        <w:t>)</w:t>
      </w:r>
      <w:r>
        <w:rPr>
          <w:rFonts w:ascii="Book Antiqua" w:hAnsi="Book Antiqua" w:eastAsia="Book Antiqua" w:cs="Book Antiqua"/>
        </w:rPr>
        <w:t xml:space="preserve"> at our hospital; D: After the first TACE at our hospital; E: After the third TACE at our hospital. Orange arrowhead: Hepatocellular carcinoma</w:t>
      </w:r>
      <w:r>
        <w:rPr>
          <w:rFonts w:ascii="Book Antiqua" w:hAnsi="Book Antiqua" w:cs="Book Antiqua"/>
          <w:lang w:eastAsia="zh-CN"/>
        </w:rPr>
        <w:t xml:space="preserve"> (HCC)</w:t>
      </w:r>
      <w:r>
        <w:rPr>
          <w:rFonts w:ascii="Book Antiqua" w:hAnsi="Book Antiqua" w:eastAsia="Book Antiqua" w:cs="Book Antiqua"/>
        </w:rPr>
        <w:t xml:space="preserve"> before surgical resection at a nearby hospital; blue arrowhead: recurrence of HCC; yellow arrowhead: Viable lesion after TACE.</w:t>
      </w:r>
    </w:p>
    <w:p>
      <w:pPr>
        <w:spacing w:line="360" w:lineRule="auto"/>
        <w:jc w:val="both"/>
        <w:rPr>
          <w:rFonts w:ascii="Book Antiqua" w:hAnsi="Book Antiqua" w:cs="Book Antiqua"/>
          <w:lang w:eastAsia="zh-CN"/>
        </w:rPr>
      </w:pPr>
    </w:p>
    <w:p>
      <w:pPr>
        <w:spacing w:line="360" w:lineRule="auto"/>
        <w:jc w:val="both"/>
        <w:rPr>
          <w:rFonts w:ascii="Book Antiqua" w:hAnsi="Book Antiqua" w:cs="Book Antiqua"/>
          <w:lang w:eastAsia="zh-CN"/>
        </w:rPr>
      </w:pPr>
    </w:p>
    <w:p>
      <w:pPr>
        <w:spacing w:line="360" w:lineRule="auto"/>
        <w:jc w:val="both"/>
        <w:rPr>
          <w:rFonts w:ascii="Book Antiqua" w:hAnsi="Book Antiqua" w:cs="Book Antiqua"/>
          <w:lang w:eastAsia="zh-CN"/>
        </w:rPr>
      </w:pPr>
      <w:r>
        <w:rPr>
          <w:rFonts w:ascii="Book Antiqua" w:hAnsi="Book Antiqua" w:cs="Book Antiqua"/>
          <w:lang w:eastAsia="zh-CN"/>
        </w:rPr>
        <w:drawing>
          <wp:inline distT="0" distB="0" distL="0" distR="0">
            <wp:extent cx="5943600" cy="3056255"/>
            <wp:effectExtent l="0" t="0" r="0" b="0"/>
            <wp:docPr id="7" name="图片 7" descr="D:\168\编稿\71627\PDF\716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68\编稿\71627\PDF\71627-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43600" cy="3056423"/>
                    </a:xfrm>
                    <a:prstGeom prst="rect">
                      <a:avLst/>
                    </a:prstGeom>
                    <a:noFill/>
                    <a:ln>
                      <a:noFill/>
                    </a:ln>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Figure 3 Gold Anchor</w:t>
      </w:r>
      <w:r>
        <w:rPr>
          <w:rFonts w:ascii="Book Antiqua" w:hAnsi="Book Antiqua" w:eastAsia="Book Antiqua" w:cs="Book Antiqua"/>
          <w:b/>
          <w:bCs/>
          <w:vertAlign w:val="superscript"/>
        </w:rPr>
        <w:t>®</w:t>
      </w:r>
      <w:r>
        <w:rPr>
          <w:rFonts w:ascii="Book Antiqua" w:hAnsi="Book Antiqua" w:eastAsia="Book Antiqua" w:cs="Book Antiqua"/>
          <w:b/>
          <w:bCs/>
        </w:rPr>
        <w:t xml:space="preserve"> placement in case 1. </w:t>
      </w:r>
      <w:r>
        <w:rPr>
          <w:rFonts w:ascii="Book Antiqua" w:hAnsi="Book Antiqua" w:cs="Book Antiqua"/>
          <w:lang w:eastAsia="zh-CN"/>
        </w:rPr>
        <w:t>Orange</w:t>
      </w:r>
      <w:r>
        <w:rPr>
          <w:rFonts w:ascii="Book Antiqua" w:hAnsi="Book Antiqua" w:eastAsia="Book Antiqua" w:cs="Book Antiqua"/>
        </w:rPr>
        <w:t xml:space="preserve"> arrowhead: Gold Anchor</w:t>
      </w:r>
      <w:r>
        <w:rPr>
          <w:rFonts w:ascii="Book Antiqua" w:hAnsi="Book Antiqua" w:eastAsia="Book Antiqua" w:cs="Book Antiqua"/>
          <w:vertAlign w:val="superscript"/>
        </w:rPr>
        <w:t>®</w:t>
      </w:r>
      <w:r>
        <w:rPr>
          <w:rFonts w:ascii="Book Antiqua" w:hAnsi="Book Antiqua" w:eastAsia="Book Antiqua" w:cs="Book Antiqua"/>
        </w:rPr>
        <w:t xml:space="preserve"> (GA); yellow arrowhead: Puncture needle of GA</w:t>
      </w:r>
      <w:r>
        <w:rPr>
          <w:rFonts w:ascii="Book Antiqua" w:hAnsi="Book Antiqua" w:cs="Book Antiqua"/>
          <w:lang w:eastAsia="zh-CN"/>
        </w:rPr>
        <w:t>.</w:t>
      </w:r>
    </w:p>
    <w:p>
      <w:pPr>
        <w:spacing w:line="360" w:lineRule="auto"/>
        <w:jc w:val="both"/>
        <w:rPr>
          <w:rFonts w:ascii="Book Antiqua" w:hAnsi="Book Antiqua" w:cs="Book Antiqua"/>
          <w:lang w:eastAsia="zh-CN"/>
        </w:rPr>
      </w:pPr>
    </w:p>
    <w:p>
      <w:pPr>
        <w:spacing w:line="360" w:lineRule="auto"/>
        <w:jc w:val="both"/>
        <w:rPr>
          <w:rFonts w:ascii="Book Antiqua" w:hAnsi="Book Antiqua" w:cs="Book Antiqua"/>
          <w:lang w:eastAsia="zh-CN"/>
        </w:rPr>
      </w:pPr>
      <w:r>
        <w:rPr>
          <w:rFonts w:ascii="Book Antiqua" w:hAnsi="Book Antiqua" w:cs="Book Antiqua"/>
          <w:lang w:eastAsia="zh-CN"/>
        </w:rPr>
        <w:drawing>
          <wp:inline distT="0" distB="0" distL="0" distR="0">
            <wp:extent cx="5943600" cy="2442210"/>
            <wp:effectExtent l="0" t="0" r="0" b="0"/>
            <wp:docPr id="12" name="图片 12" descr="D:\168\编稿\71627\PDF\71627-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168\编稿\71627\PDF\71627-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244257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Figure 4 Gold Anchor</w:t>
      </w:r>
      <w:r>
        <w:rPr>
          <w:rFonts w:ascii="Book Antiqua" w:hAnsi="Book Antiqua" w:eastAsia="Book Antiqua" w:cs="Book Antiqua"/>
          <w:b/>
          <w:bCs/>
          <w:vertAlign w:val="superscript"/>
        </w:rPr>
        <w:t>®</w:t>
      </w:r>
      <w:r>
        <w:rPr>
          <w:rFonts w:ascii="Book Antiqua" w:hAnsi="Book Antiqua" w:eastAsia="Book Antiqua" w:cs="Book Antiqua"/>
          <w:b/>
          <w:bCs/>
        </w:rPr>
        <w:t xml:space="preserve"> placement</w:t>
      </w:r>
      <w:r>
        <w:rPr>
          <w:rFonts w:hint="eastAsia" w:ascii="Book Antiqua" w:hAnsi="Book Antiqua" w:cs="Book Antiqua"/>
          <w:b/>
          <w:bCs/>
          <w:lang w:eastAsia="zh-CN"/>
        </w:rPr>
        <w:t xml:space="preserve"> </w:t>
      </w:r>
      <w:r>
        <w:rPr>
          <w:rFonts w:ascii="Book Antiqua" w:hAnsi="Book Antiqua" w:eastAsia="Book Antiqua" w:cs="Book Antiqua"/>
          <w:b/>
          <w:bCs/>
        </w:rPr>
        <w:t xml:space="preserve">in case </w:t>
      </w:r>
      <w:r>
        <w:rPr>
          <w:rFonts w:hint="eastAsia" w:ascii="Book Antiqua" w:hAnsi="Book Antiqua" w:cs="Book Antiqua"/>
          <w:b/>
          <w:bCs/>
          <w:lang w:eastAsia="zh-CN"/>
        </w:rPr>
        <w:t>2</w:t>
      </w:r>
      <w:r>
        <w:rPr>
          <w:rFonts w:ascii="Book Antiqua" w:hAnsi="Book Antiqua" w:eastAsia="Book Antiqua" w:cs="Book Antiqua"/>
          <w:b/>
          <w:bCs/>
        </w:rPr>
        <w:t xml:space="preserve">. </w:t>
      </w:r>
      <w:r>
        <w:rPr>
          <w:rFonts w:ascii="Book Antiqua" w:hAnsi="Book Antiqua" w:eastAsia="Book Antiqua" w:cs="Book Antiqua"/>
          <w:bCs/>
        </w:rPr>
        <w:t xml:space="preserve">A and B: </w:t>
      </w:r>
      <w:r>
        <w:rPr>
          <w:rFonts w:ascii="Book Antiqua" w:hAnsi="Book Antiqua" w:cs="Book Antiqua"/>
          <w:lang w:eastAsia="zh-CN"/>
        </w:rPr>
        <w:t>B</w:t>
      </w:r>
      <w:r>
        <w:rPr>
          <w:rFonts w:ascii="Book Antiqua" w:hAnsi="Book Antiqua" w:eastAsia="Book Antiqua" w:cs="Book Antiqua"/>
        </w:rPr>
        <w:t xml:space="preserve">lue arrowhead; </w:t>
      </w:r>
      <w:r>
        <w:rPr>
          <w:rFonts w:ascii="Book Antiqua" w:hAnsi="Book Antiqua" w:cs="Book Antiqua"/>
          <w:lang w:eastAsia="zh-CN"/>
        </w:rPr>
        <w:t>B</w:t>
      </w:r>
      <w:r>
        <w:rPr>
          <w:rFonts w:ascii="Book Antiqua" w:hAnsi="Book Antiqua" w:eastAsia="Book Antiqua" w:cs="Book Antiqua"/>
        </w:rPr>
        <w:t xml:space="preserve">iloma complicated with surgical resection at the previous hospital, </w:t>
      </w:r>
      <w:r>
        <w:rPr>
          <w:rFonts w:ascii="Book Antiqua" w:hAnsi="Book Antiqua" w:cs="Book Antiqua"/>
          <w:lang w:eastAsia="zh-CN"/>
        </w:rPr>
        <w:t>white</w:t>
      </w:r>
      <w:r>
        <w:rPr>
          <w:rFonts w:ascii="Book Antiqua" w:hAnsi="Book Antiqua" w:eastAsia="Book Antiqua" w:cs="Book Antiqua"/>
        </w:rPr>
        <w:t xml:space="preserve"> arrow; </w:t>
      </w:r>
      <w:r>
        <w:rPr>
          <w:rFonts w:ascii="Book Antiqua" w:hAnsi="Book Antiqua" w:cs="Book Antiqua"/>
          <w:shd w:val="clear" w:color="auto" w:fill="FFFFFF"/>
          <w:lang w:eastAsia="zh-CN"/>
        </w:rPr>
        <w:t>E</w:t>
      </w:r>
      <w:r>
        <w:rPr>
          <w:rFonts w:ascii="Book Antiqua" w:hAnsi="Book Antiqua" w:eastAsia="Book Antiqua" w:cs="Book Antiqua"/>
          <w:shd w:val="clear" w:color="auto" w:fill="FFFFFF"/>
        </w:rPr>
        <w:t xml:space="preserve">thyl ester of iodinated poppyseed oil fatty acid (lipiodol) after </w:t>
      </w:r>
      <w:r>
        <w:rPr>
          <w:rFonts w:ascii="Book Antiqua" w:hAnsi="Book Antiqua" w:eastAsia="Book Antiqua" w:cs="Book Antiqua"/>
        </w:rPr>
        <w:t xml:space="preserve">Transcatheter arterial chemoembolization, C: </w:t>
      </w:r>
      <w:r>
        <w:rPr>
          <w:rFonts w:ascii="Book Antiqua" w:hAnsi="Book Antiqua" w:cs="Book Antiqua"/>
          <w:lang w:eastAsia="zh-CN"/>
        </w:rPr>
        <w:t>white</w:t>
      </w:r>
      <w:r>
        <w:rPr>
          <w:rFonts w:ascii="Book Antiqua" w:hAnsi="Book Antiqua" w:eastAsia="Book Antiqua" w:cs="Book Antiqua"/>
        </w:rPr>
        <w:t xml:space="preserve"> arrow; </w:t>
      </w:r>
      <w:r>
        <w:rPr>
          <w:rFonts w:ascii="Book Antiqua" w:hAnsi="Book Antiqua" w:cs="Book Antiqua"/>
          <w:shd w:val="clear" w:color="auto" w:fill="FFFFFF"/>
          <w:lang w:eastAsia="zh-CN"/>
        </w:rPr>
        <w:t>E</w:t>
      </w:r>
      <w:r>
        <w:rPr>
          <w:rFonts w:ascii="Book Antiqua" w:hAnsi="Book Antiqua" w:eastAsia="Book Antiqua" w:cs="Book Antiqua"/>
          <w:shd w:val="clear" w:color="auto" w:fill="FFFFFF"/>
        </w:rPr>
        <w:t xml:space="preserve">thyl ester of iodinated poppyseed oil fatty acid (lipiodol) after </w:t>
      </w:r>
      <w:r>
        <w:rPr>
          <w:rFonts w:ascii="Book Antiqua" w:hAnsi="Book Antiqua" w:eastAsia="Book Antiqua" w:cs="Book Antiqua"/>
        </w:rPr>
        <w:t xml:space="preserve">Transcatheter arterial chemoembolization, yellow arrowhead; </w:t>
      </w:r>
      <w:r>
        <w:rPr>
          <w:rFonts w:ascii="Book Antiqua" w:hAnsi="Book Antiqua" w:cs="Book Antiqua"/>
          <w:lang w:eastAsia="zh-CN"/>
        </w:rPr>
        <w:t>P</w:t>
      </w:r>
      <w:r>
        <w:rPr>
          <w:rFonts w:ascii="Book Antiqua" w:hAnsi="Book Antiqua" w:eastAsia="Book Antiqua" w:cs="Book Antiqua"/>
        </w:rPr>
        <w:t>uncture needle of GA, D and E: Orange arrowhead; Gold Anchor</w:t>
      </w:r>
      <w:r>
        <w:rPr>
          <w:rFonts w:ascii="Book Antiqua" w:hAnsi="Book Antiqua" w:eastAsia="Book Antiqua" w:cs="Book Antiqua"/>
          <w:vertAlign w:val="superscript"/>
        </w:rPr>
        <w:t>®</w:t>
      </w:r>
      <w:r>
        <w:rPr>
          <w:rFonts w:ascii="Book Antiqua" w:hAnsi="Book Antiqua" w:eastAsia="Book Antiqua" w:cs="Book Antiqua"/>
        </w:rPr>
        <w:t xml:space="preserve"> (GA), </w:t>
      </w:r>
      <w:r>
        <w:rPr>
          <w:rFonts w:ascii="Book Antiqua" w:hAnsi="Book Antiqua" w:cs="Book Antiqua"/>
          <w:lang w:eastAsia="zh-CN"/>
        </w:rPr>
        <w:t>white</w:t>
      </w:r>
      <w:r>
        <w:rPr>
          <w:rFonts w:ascii="Book Antiqua" w:hAnsi="Book Antiqua" w:eastAsia="Book Antiqua" w:cs="Book Antiqua"/>
        </w:rPr>
        <w:t xml:space="preserve"> arrow; </w:t>
      </w:r>
      <w:r>
        <w:rPr>
          <w:rFonts w:ascii="Book Antiqua" w:hAnsi="Book Antiqua" w:cs="Book Antiqua"/>
          <w:shd w:val="clear" w:color="auto" w:fill="FFFFFF"/>
          <w:lang w:eastAsia="zh-CN"/>
        </w:rPr>
        <w:t>E</w:t>
      </w:r>
      <w:r>
        <w:rPr>
          <w:rFonts w:ascii="Book Antiqua" w:hAnsi="Book Antiqua" w:eastAsia="Book Antiqua" w:cs="Book Antiqua"/>
          <w:shd w:val="clear" w:color="auto" w:fill="FFFFFF"/>
        </w:rPr>
        <w:t xml:space="preserve">thyl ester of iodinated poppyseed oil fatty acid (lipiodol) after </w:t>
      </w:r>
      <w:r>
        <w:rPr>
          <w:rFonts w:ascii="Book Antiqua" w:hAnsi="Book Antiqua" w:eastAsia="Book Antiqua" w:cs="Book Antiqua"/>
        </w:rPr>
        <w:t>Transcatheter arterial chemoembolization.</w:t>
      </w:r>
    </w:p>
    <w:p>
      <w:pPr>
        <w:spacing w:line="360" w:lineRule="auto"/>
        <w:jc w:val="both"/>
        <w:rPr>
          <w:rFonts w:ascii="Book Antiqua" w:hAnsi="Book Antiqua" w:cs="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lang w:eastAsia="zh-CN"/>
        </w:rPr>
        <w:drawing>
          <wp:inline distT="0" distB="0" distL="0" distR="0">
            <wp:extent cx="5943600" cy="2247900"/>
            <wp:effectExtent l="0" t="0" r="0" b="0"/>
            <wp:docPr id="14" name="图片 14" descr="D:\168\编稿\71627\PDF\7162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168\编稿\71627\PDF\71627-g00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3600" cy="2248288"/>
                    </a:xfrm>
                    <a:prstGeom prst="rect">
                      <a:avLst/>
                    </a:prstGeom>
                    <a:noFill/>
                    <a:ln>
                      <a:noFill/>
                    </a:ln>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5 Computed tomography before and after </w:t>
      </w:r>
      <w:r>
        <w:rPr>
          <w:rFonts w:ascii="Book Antiqua" w:hAnsi="Book Antiqua" w:cs="Book Antiqua"/>
          <w:b/>
          <w:lang w:eastAsia="zh-CN"/>
        </w:rPr>
        <w:t>s</w:t>
      </w:r>
      <w:r>
        <w:rPr>
          <w:rFonts w:ascii="Book Antiqua" w:hAnsi="Book Antiqua" w:eastAsia="Book Antiqua" w:cs="Book Antiqua"/>
          <w:b/>
        </w:rPr>
        <w:t>tereotactic body radiation</w:t>
      </w:r>
      <w:r>
        <w:rPr>
          <w:rFonts w:ascii="Book Antiqua" w:hAnsi="Book Antiqua" w:eastAsia="Book Antiqua" w:cs="Book Antiqua"/>
          <w:b/>
          <w:bCs/>
        </w:rPr>
        <w:t xml:space="preserve"> in case 1. </w:t>
      </w:r>
      <w:r>
        <w:rPr>
          <w:rFonts w:ascii="Book Antiqua" w:hAnsi="Book Antiqua" w:eastAsia="Book Antiqua" w:cs="Book Antiqua"/>
        </w:rPr>
        <w:t xml:space="preserve">Yellow arrowhead: Viable lesion after the third </w:t>
      </w:r>
      <w:r>
        <w:rPr>
          <w:rFonts w:ascii="Book Antiqua" w:hAnsi="Book Antiqua" w:cs="Book Antiqua"/>
          <w:lang w:eastAsia="zh-CN"/>
        </w:rPr>
        <w:t>t</w:t>
      </w:r>
      <w:r>
        <w:rPr>
          <w:rFonts w:ascii="Book Antiqua" w:hAnsi="Book Antiqua" w:eastAsia="Book Antiqua" w:cs="Book Antiqua"/>
        </w:rPr>
        <w:t xml:space="preserve">ranscatheter arterial chemoembolization; blue arrowhead: </w:t>
      </w:r>
      <w:r>
        <w:rPr>
          <w:rFonts w:ascii="Book Antiqua" w:hAnsi="Book Antiqua" w:cs="Book Antiqua"/>
          <w:lang w:eastAsia="zh-CN"/>
        </w:rPr>
        <w:t>D</w:t>
      </w:r>
      <w:r>
        <w:rPr>
          <w:rFonts w:ascii="Book Antiqua" w:hAnsi="Book Antiqua" w:eastAsia="Book Antiqua" w:cs="Book Antiqua"/>
        </w:rPr>
        <w:t xml:space="preserve">isappearance of the contrast effect of the tumor after </w:t>
      </w:r>
      <w:r>
        <w:rPr>
          <w:rFonts w:ascii="Book Antiqua" w:hAnsi="Book Antiqua" w:cs="Book Antiqua"/>
          <w:lang w:eastAsia="zh-CN"/>
        </w:rPr>
        <w:t>s</w:t>
      </w:r>
      <w:r>
        <w:rPr>
          <w:rFonts w:ascii="Book Antiqua" w:hAnsi="Book Antiqua" w:eastAsia="Book Antiqua" w:cs="Book Antiqua"/>
        </w:rPr>
        <w:t xml:space="preserve">tereotactic body radiation. </w:t>
      </w:r>
    </w:p>
    <w:p>
      <w:pPr>
        <w:spacing w:line="360" w:lineRule="auto"/>
        <w:jc w:val="both"/>
        <w:rPr>
          <w:rFonts w:ascii="Book Antiqua" w:hAnsi="Book Antiqua"/>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0" distR="0">
            <wp:extent cx="5943600" cy="3401695"/>
            <wp:effectExtent l="0" t="0" r="0" b="8255"/>
            <wp:docPr id="15" name="图片 15" descr="D:\168\编稿\71627\PDF\71627-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168\编稿\71627\PDF\71627-g0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3401785"/>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6 Clinical course in case 1. </w:t>
      </w:r>
      <w:r>
        <w:rPr>
          <w:rFonts w:ascii="Book Antiqua" w:hAnsi="Book Antiqua" w:eastAsia="Book Antiqua" w:cs="Book Antiqua"/>
        </w:rPr>
        <w:t xml:space="preserve">Orange arrows: </w:t>
      </w:r>
      <w:r>
        <w:rPr>
          <w:rFonts w:ascii="Book Antiqua" w:hAnsi="Book Antiqua" w:cs="Book Antiqua"/>
          <w:lang w:eastAsia="zh-CN"/>
        </w:rPr>
        <w:t>V</w:t>
      </w:r>
      <w:r>
        <w:rPr>
          <w:rFonts w:ascii="Book Antiqua" w:hAnsi="Book Antiqua" w:eastAsia="Book Antiqua" w:cs="Book Antiqua"/>
        </w:rPr>
        <w:t xml:space="preserve">iable lesion; blue arrows: </w:t>
      </w:r>
      <w:r>
        <w:rPr>
          <w:rFonts w:ascii="Book Antiqua" w:hAnsi="Book Antiqua" w:cs="Book Antiqua"/>
          <w:lang w:eastAsia="zh-CN"/>
        </w:rPr>
        <w:t>D</w:t>
      </w:r>
      <w:r>
        <w:rPr>
          <w:rFonts w:ascii="Book Antiqua" w:hAnsi="Book Antiqua" w:eastAsia="Book Antiqua" w:cs="Book Antiqua"/>
        </w:rPr>
        <w:t xml:space="preserve">isappearance of the contrast effect of the tumor after </w:t>
      </w:r>
      <w:r>
        <w:rPr>
          <w:rFonts w:ascii="Book Antiqua" w:hAnsi="Book Antiqua" w:cs="Book Antiqua"/>
          <w:lang w:eastAsia="zh-CN"/>
        </w:rPr>
        <w:t>s</w:t>
      </w:r>
      <w:r>
        <w:rPr>
          <w:rFonts w:ascii="Book Antiqua" w:hAnsi="Book Antiqua" w:eastAsia="Book Antiqua" w:cs="Book Antiqua"/>
        </w:rPr>
        <w:t>tereotactic body radiation. AFP: Alpha-fetoprotein; PIVKA-</w:t>
      </w:r>
      <w:r>
        <w:rPr>
          <w:rFonts w:hint="eastAsia" w:ascii="宋体" w:hAnsi="宋体" w:eastAsia="宋体" w:cs="宋体"/>
        </w:rPr>
        <w:t>Ⅱ</w:t>
      </w:r>
      <w:r>
        <w:rPr>
          <w:rFonts w:ascii="Book Antiqua" w:hAnsi="Book Antiqua" w:eastAsia="Book Antiqua" w:cs="Book Antiqua"/>
        </w:rPr>
        <w:t>: Protein induced by vitamin K antagonists-</w:t>
      </w:r>
      <w:r>
        <w:rPr>
          <w:rFonts w:hint="eastAsia" w:ascii="宋体" w:hAnsi="宋体" w:eastAsia="宋体" w:cs="宋体"/>
        </w:rPr>
        <w:t>Ⅱ</w:t>
      </w:r>
      <w:r>
        <w:rPr>
          <w:rFonts w:ascii="Book Antiqua" w:hAnsi="Book Antiqua" w:eastAsia="Book Antiqua" w:cs="Book Antiqua"/>
        </w:rPr>
        <w:t>; SBRT: Stereotactic body radiation; TACE: Transcatheter arterial chemoembolization</w:t>
      </w:r>
      <w:r>
        <w:rPr>
          <w:rFonts w:ascii="Book Antiqua" w:hAnsi="Book Antiqua" w:cs="Book Antiqua"/>
          <w:lang w:eastAsia="zh-CN"/>
        </w:rPr>
        <w:t>.</w:t>
      </w:r>
      <w:r>
        <w:rPr>
          <w:rFonts w:ascii="Book Antiqua" w:hAnsi="Book Antiqua" w:eastAsia="Book Antiqua" w:cs="Book Antiqua"/>
        </w:rPr>
        <w:t xml:space="preserve"> </w:t>
      </w:r>
    </w:p>
    <w:p>
      <w:pPr>
        <w:spacing w:line="360" w:lineRule="auto"/>
        <w:jc w:val="both"/>
        <w:rPr>
          <w:rFonts w:ascii="Book Antiqua" w:hAnsi="Book Antiqua"/>
        </w:rPr>
      </w:pPr>
    </w:p>
    <w:p>
      <w:pPr>
        <w:spacing w:line="360" w:lineRule="auto"/>
        <w:jc w:val="both"/>
        <w:rPr>
          <w:rFonts w:ascii="Book Antiqua" w:hAnsi="Book Antiqua" w:cs="Book Antiqua"/>
          <w:b/>
          <w:bCs/>
          <w:lang w:eastAsia="zh-CN"/>
        </w:rPr>
      </w:pPr>
    </w:p>
    <w:p>
      <w:pPr>
        <w:spacing w:line="360" w:lineRule="auto"/>
        <w:jc w:val="both"/>
        <w:rPr>
          <w:rFonts w:ascii="Book Antiqua" w:hAnsi="Book Antiqua" w:cs="Book Antiqua"/>
          <w:b/>
          <w:bCs/>
          <w:lang w:eastAsia="zh-CN"/>
        </w:rPr>
      </w:pPr>
      <w:r>
        <w:rPr>
          <w:rFonts w:ascii="Book Antiqua" w:hAnsi="Book Antiqua" w:cs="Book Antiqua"/>
          <w:b/>
          <w:bCs/>
          <w:lang w:eastAsia="zh-CN"/>
        </w:rPr>
        <w:drawing>
          <wp:inline distT="0" distB="0" distL="0" distR="0">
            <wp:extent cx="5943600" cy="3872230"/>
            <wp:effectExtent l="0" t="0" r="0" b="0"/>
            <wp:docPr id="16" name="图片 16" descr="D:\168\编稿\71627\PDF\71627-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68\编稿\71627\PDF\71627-g0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3872401"/>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7 </w:t>
      </w:r>
      <w:r>
        <w:rPr>
          <w:rFonts w:ascii="Book Antiqua" w:hAnsi="Book Antiqua" w:eastAsia="Book Antiqua" w:cs="Book Antiqua"/>
          <w:b/>
        </w:rPr>
        <w:t>Computed tomography</w:t>
      </w:r>
      <w:r>
        <w:rPr>
          <w:rFonts w:ascii="Book Antiqua" w:hAnsi="Book Antiqua" w:eastAsia="Book Antiqua" w:cs="Book Antiqua"/>
          <w:b/>
          <w:bCs/>
        </w:rPr>
        <w:t xml:space="preserve"> before and after </w:t>
      </w:r>
      <w:r>
        <w:rPr>
          <w:rFonts w:ascii="Book Antiqua" w:hAnsi="Book Antiqua" w:cs="Book Antiqua"/>
          <w:b/>
          <w:lang w:eastAsia="zh-CN"/>
        </w:rPr>
        <w:t>s</w:t>
      </w:r>
      <w:r>
        <w:rPr>
          <w:rFonts w:ascii="Book Antiqua" w:hAnsi="Book Antiqua" w:eastAsia="Book Antiqua" w:cs="Book Antiqua"/>
          <w:b/>
        </w:rPr>
        <w:t>tereotactic body radiation</w:t>
      </w:r>
      <w:r>
        <w:rPr>
          <w:rFonts w:ascii="Book Antiqua" w:hAnsi="Book Antiqua" w:eastAsia="Book Antiqua" w:cs="Book Antiqua"/>
          <w:b/>
          <w:bCs/>
        </w:rPr>
        <w:t xml:space="preserve">. </w:t>
      </w:r>
      <w:r>
        <w:rPr>
          <w:rFonts w:ascii="Book Antiqua" w:hAnsi="Book Antiqua" w:eastAsia="Book Antiqua" w:cs="Book Antiqua"/>
        </w:rPr>
        <w:t xml:space="preserve">A: Computed tomography (CT) before stereotactic body radiation (SBRT); B: CT after SBRT. Yellow arrowhead: </w:t>
      </w:r>
      <w:r>
        <w:rPr>
          <w:rFonts w:ascii="Book Antiqua" w:hAnsi="Book Antiqua" w:cs="Book Antiqua"/>
          <w:lang w:eastAsia="zh-CN"/>
        </w:rPr>
        <w:t>V</w:t>
      </w:r>
      <w:r>
        <w:rPr>
          <w:rFonts w:ascii="Book Antiqua" w:hAnsi="Book Antiqua" w:eastAsia="Book Antiqua" w:cs="Book Antiqua"/>
        </w:rPr>
        <w:t xml:space="preserve">iable lesion after the third </w:t>
      </w:r>
      <w:r>
        <w:rPr>
          <w:rFonts w:ascii="Book Antiqua" w:hAnsi="Book Antiqua" w:cs="Book Antiqua"/>
          <w:lang w:eastAsia="zh-CN"/>
        </w:rPr>
        <w:t>t</w:t>
      </w:r>
      <w:r>
        <w:rPr>
          <w:rFonts w:ascii="Book Antiqua" w:hAnsi="Book Antiqua" w:eastAsia="Book Antiqua" w:cs="Book Antiqua"/>
        </w:rPr>
        <w:t xml:space="preserve">ranscatheter arterial chemoembolization; blue arrowhead: </w:t>
      </w:r>
      <w:r>
        <w:rPr>
          <w:rFonts w:ascii="Book Antiqua" w:hAnsi="Book Antiqua" w:cs="Book Antiqua"/>
          <w:lang w:eastAsia="zh-CN"/>
        </w:rPr>
        <w:t>D</w:t>
      </w:r>
      <w:r>
        <w:rPr>
          <w:rFonts w:ascii="Book Antiqua" w:hAnsi="Book Antiqua" w:eastAsia="Book Antiqua" w:cs="Book Antiqua"/>
        </w:rPr>
        <w:t xml:space="preserve">isappearance of the contrast effect of the tumor after SBRT. </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0" distR="0">
            <wp:extent cx="5943600" cy="2326005"/>
            <wp:effectExtent l="0" t="0" r="0" b="0"/>
            <wp:docPr id="17" name="图片 17" descr="D:\168\编稿\71627\PDF\71627-g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168\编稿\71627\PDF\71627-g0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3600" cy="2326354"/>
                    </a:xfrm>
                    <a:prstGeom prst="rect">
                      <a:avLst/>
                    </a:prstGeom>
                    <a:noFill/>
                    <a:ln>
                      <a:noFill/>
                    </a:ln>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rPr>
        <w:t xml:space="preserve">Figure 8 Computed tomography of infected biloma. </w:t>
      </w:r>
      <w:r>
        <w:rPr>
          <w:rFonts w:ascii="Book Antiqua" w:hAnsi="Book Antiqua" w:eastAsia="Book Antiqua" w:cs="Book Antiqua"/>
        </w:rPr>
        <w:t xml:space="preserve">Blue arrows: </w:t>
      </w:r>
      <w:r>
        <w:rPr>
          <w:rFonts w:ascii="Book Antiqua" w:hAnsi="Book Antiqua" w:cs="Book Antiqua"/>
          <w:lang w:eastAsia="zh-CN"/>
        </w:rPr>
        <w:t>I</w:t>
      </w:r>
      <w:r>
        <w:rPr>
          <w:rFonts w:ascii="Book Antiqua" w:hAnsi="Book Antiqua" w:eastAsia="Book Antiqua" w:cs="Book Antiqua"/>
        </w:rPr>
        <w:t>nfected biloma</w:t>
      </w:r>
      <w:r>
        <w:rPr>
          <w:rFonts w:ascii="Book Antiqua" w:hAnsi="Book Antiqua" w:cs="Book Antiqua"/>
          <w:lang w:eastAsia="zh-CN"/>
        </w:rPr>
        <w: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cs="Book Antiqua"/>
          <w:b/>
          <w:bCs/>
          <w:lang w:eastAsia="zh-CN"/>
        </w:rPr>
      </w:pPr>
      <w:r>
        <w:rPr>
          <w:rFonts w:ascii="Book Antiqua" w:hAnsi="Book Antiqua" w:cs="Book Antiqua"/>
          <w:b/>
          <w:bCs/>
          <w:lang w:eastAsia="zh-CN"/>
        </w:rPr>
        <w:drawing>
          <wp:inline distT="0" distB="0" distL="0" distR="0">
            <wp:extent cx="5943600" cy="3338195"/>
            <wp:effectExtent l="0" t="0" r="0" b="0"/>
            <wp:docPr id="18" name="图片 18" descr="D:\168\编稿\71627\PDF\71627-g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168\编稿\71627\PDF\71627-g0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3600" cy="3338575"/>
                    </a:xfrm>
                    <a:prstGeom prst="rect">
                      <a:avLst/>
                    </a:prstGeom>
                    <a:noFill/>
                    <a:ln>
                      <a:noFill/>
                    </a:ln>
                  </pic:spPr>
                </pic:pic>
              </a:graphicData>
            </a:graphic>
          </wp:inline>
        </w:drawing>
      </w:r>
    </w:p>
    <w:p>
      <w:pPr>
        <w:spacing w:line="360" w:lineRule="auto"/>
        <w:jc w:val="both"/>
        <w:rPr>
          <w:rFonts w:ascii="Book Antiqua" w:hAnsi="Book Antiqua" w:cs="Book Antiqua"/>
          <w:lang w:eastAsia="zh-CN"/>
        </w:rPr>
      </w:pPr>
      <w:r>
        <w:rPr>
          <w:rFonts w:ascii="Book Antiqua" w:hAnsi="Book Antiqua" w:eastAsia="Book Antiqua" w:cs="Book Antiqua"/>
          <w:b/>
          <w:bCs/>
        </w:rPr>
        <w:t xml:space="preserve">Figure 9 Clinical course in case 2. </w:t>
      </w:r>
      <w:r>
        <w:rPr>
          <w:rFonts w:ascii="Book Antiqua" w:hAnsi="Book Antiqua" w:eastAsia="Book Antiqua" w:cs="Book Antiqua"/>
        </w:rPr>
        <w:t xml:space="preserve">Red arrows: </w:t>
      </w:r>
      <w:r>
        <w:rPr>
          <w:rFonts w:ascii="Book Antiqua" w:hAnsi="Book Antiqua" w:cs="Book Antiqua"/>
          <w:lang w:eastAsia="zh-CN"/>
        </w:rPr>
        <w:t>V</w:t>
      </w:r>
      <w:r>
        <w:rPr>
          <w:rFonts w:ascii="Book Antiqua" w:hAnsi="Book Antiqua" w:eastAsia="Book Antiqua" w:cs="Book Antiqua"/>
        </w:rPr>
        <w:t xml:space="preserve">iable lesion; blue arrows: </w:t>
      </w:r>
      <w:r>
        <w:rPr>
          <w:rFonts w:ascii="Book Antiqua" w:hAnsi="Book Antiqua" w:cs="Book Antiqua"/>
          <w:lang w:eastAsia="zh-CN"/>
        </w:rPr>
        <w:t>D</w:t>
      </w:r>
      <w:r>
        <w:rPr>
          <w:rFonts w:ascii="Book Antiqua" w:hAnsi="Book Antiqua" w:eastAsia="Book Antiqua" w:cs="Book Antiqua"/>
        </w:rPr>
        <w:t xml:space="preserve">isappearance of the contrast effect of the tumor after </w:t>
      </w:r>
      <w:r>
        <w:rPr>
          <w:rFonts w:ascii="Book Antiqua" w:hAnsi="Book Antiqua" w:cs="Book Antiqua"/>
          <w:lang w:eastAsia="zh-CN"/>
        </w:rPr>
        <w:t>s</w:t>
      </w:r>
      <w:r>
        <w:rPr>
          <w:rFonts w:ascii="Book Antiqua" w:hAnsi="Book Antiqua" w:eastAsia="Book Antiqua" w:cs="Book Antiqua"/>
        </w:rPr>
        <w:t>tereotactic body radiation. AFP: Alpha-fetoprotein; PIVKA-</w:t>
      </w:r>
      <w:r>
        <w:rPr>
          <w:rFonts w:hint="eastAsia" w:ascii="宋体" w:hAnsi="宋体" w:eastAsia="宋体" w:cs="宋体"/>
        </w:rPr>
        <w:t>Ⅱ</w:t>
      </w:r>
      <w:r>
        <w:rPr>
          <w:rFonts w:ascii="Book Antiqua" w:hAnsi="Book Antiqua" w:eastAsia="Book Antiqua" w:cs="Book Antiqua"/>
        </w:rPr>
        <w:t>: Protein induced by vitamin K antagonists-</w:t>
      </w:r>
      <w:r>
        <w:rPr>
          <w:rFonts w:hint="eastAsia" w:ascii="宋体" w:hAnsi="宋体" w:eastAsia="宋体" w:cs="宋体"/>
        </w:rPr>
        <w:t>Ⅱ</w:t>
      </w:r>
      <w:r>
        <w:rPr>
          <w:rFonts w:ascii="Book Antiqua" w:hAnsi="Book Antiqua" w:eastAsia="Book Antiqua" w:cs="Book Antiqua"/>
        </w:rPr>
        <w:t>; SBRT: Stereotactic body radiation; TACE: Transcatheter arterial chemoembolization</w:t>
      </w:r>
      <w:r>
        <w:rPr>
          <w:rFonts w:ascii="Book Antiqua" w:hAnsi="Book Antiqua" w:cs="Book Antiqua"/>
          <w:lang w:eastAsia="zh-CN"/>
        </w:rPr>
        <w:t>.</w:t>
      </w:r>
    </w:p>
    <w:p>
      <w:pPr>
        <w:spacing w:line="360" w:lineRule="auto"/>
        <w:jc w:val="both"/>
        <w:rPr>
          <w:rFonts w:ascii="Book Antiqua" w:hAnsi="Book Antiqua" w:cs="Book Antiqua"/>
          <w:lang w:eastAsia="zh-CN"/>
        </w:rPr>
      </w:pPr>
    </w:p>
    <w:p>
      <w:pPr>
        <w:spacing w:line="360" w:lineRule="auto"/>
        <w:jc w:val="both"/>
        <w:rPr>
          <w:rFonts w:ascii="Book Antiqua" w:hAnsi="Book Antiqua" w:cstheme="majorBidi"/>
          <w:b/>
          <w:bCs/>
          <w:lang w:eastAsia="zh-CN"/>
        </w:rPr>
      </w:pPr>
      <w:r>
        <w:rPr>
          <w:rFonts w:ascii="Book Antiqua" w:hAnsi="Book Antiqua" w:cs="Book Antiqua"/>
          <w:lang w:eastAsia="zh-CN"/>
        </w:rPr>
        <w:br w:type="page"/>
      </w:r>
      <w:r>
        <w:rPr>
          <w:rFonts w:ascii="Book Antiqua" w:hAnsi="Book Antiqua" w:cstheme="majorBidi"/>
          <w:b/>
          <w:bCs/>
        </w:rPr>
        <w:t>Table 1</w:t>
      </w:r>
      <w:r>
        <w:rPr>
          <w:rFonts w:ascii="Book Antiqua" w:hAnsi="Book Antiqua"/>
          <w:b/>
          <w:bCs/>
        </w:rPr>
        <w:t xml:space="preserve"> </w:t>
      </w:r>
      <w:r>
        <w:rPr>
          <w:rFonts w:ascii="Book Antiqua" w:hAnsi="Book Antiqua" w:cstheme="majorBidi"/>
          <w:b/>
          <w:bCs/>
        </w:rPr>
        <w:t>Laboratory examination in cases</w:t>
      </w:r>
      <w:r>
        <w:rPr>
          <w:rFonts w:ascii="Book Antiqua" w:hAnsi="Book Antiqua" w:cstheme="majorBidi"/>
          <w:b/>
          <w:bCs/>
          <w:lang w:eastAsia="zh-CN"/>
        </w:rPr>
        <w:t xml:space="preserve"> 1 and</w:t>
      </w:r>
      <w:r>
        <w:rPr>
          <w:rFonts w:ascii="Book Antiqua" w:hAnsi="Book Antiqua" w:cstheme="majorBidi"/>
          <w:b/>
          <w:bCs/>
        </w:rPr>
        <w:t xml:space="preserve"> </w:t>
      </w:r>
      <w:r>
        <w:rPr>
          <w:rFonts w:ascii="Book Antiqua" w:hAnsi="Book Antiqua" w:cstheme="majorBidi"/>
          <w:b/>
          <w:bCs/>
          <w:lang w:eastAsia="zh-CN"/>
        </w:rPr>
        <w:t>2</w:t>
      </w:r>
    </w:p>
    <w:tbl>
      <w:tblPr>
        <w:tblStyle w:val="7"/>
        <w:tblW w:w="5620" w:type="dxa"/>
        <w:tblInd w:w="0" w:type="dxa"/>
        <w:tblLayout w:type="autofit"/>
        <w:tblCellMar>
          <w:top w:w="0" w:type="dxa"/>
          <w:left w:w="108" w:type="dxa"/>
          <w:bottom w:w="0" w:type="dxa"/>
          <w:right w:w="108" w:type="dxa"/>
        </w:tblCellMar>
      </w:tblPr>
      <w:tblGrid>
        <w:gridCol w:w="2346"/>
        <w:gridCol w:w="1901"/>
        <w:gridCol w:w="1373"/>
      </w:tblGrid>
      <w:tr>
        <w:tblPrEx>
          <w:tblCellMar>
            <w:top w:w="0" w:type="dxa"/>
            <w:left w:w="108" w:type="dxa"/>
            <w:bottom w:w="0" w:type="dxa"/>
            <w:right w:w="108" w:type="dxa"/>
          </w:tblCellMar>
        </w:tblPrEx>
        <w:trPr>
          <w:trHeight w:val="324" w:hRule="atLeast"/>
        </w:trPr>
        <w:tc>
          <w:tcPr>
            <w:tcW w:w="5620" w:type="dxa"/>
            <w:gridSpan w:val="3"/>
            <w:tcBorders>
              <w:top w:val="single" w:color="auto" w:sz="4" w:space="0"/>
              <w:bottom w:val="single" w:color="auto" w:sz="4" w:space="0"/>
            </w:tcBorders>
            <w:shd w:val="clear" w:color="auto" w:fill="auto"/>
            <w:vAlign w:val="center"/>
          </w:tcPr>
          <w:p>
            <w:pPr>
              <w:spacing w:line="360" w:lineRule="auto"/>
              <w:rPr>
                <w:rFonts w:ascii="Book Antiqua" w:hAnsi="Book Antiqua" w:eastAsia="等线" w:cs="宋体"/>
                <w:lang w:eastAsia="zh-CN"/>
              </w:rPr>
            </w:pPr>
            <w:r>
              <w:rPr>
                <w:rFonts w:ascii="Book Antiqua" w:hAnsi="Book Antiqua" w:cstheme="majorBidi"/>
                <w:b/>
                <w:bCs/>
              </w:rPr>
              <w:t>Laboratory examination</w:t>
            </w:r>
          </w:p>
        </w:tc>
      </w:tr>
      <w:tr>
        <w:tblPrEx>
          <w:tblCellMar>
            <w:top w:w="0" w:type="dxa"/>
            <w:left w:w="108" w:type="dxa"/>
            <w:bottom w:w="0" w:type="dxa"/>
            <w:right w:w="108" w:type="dxa"/>
          </w:tblCellMar>
        </w:tblPrEx>
        <w:trPr>
          <w:trHeight w:val="324" w:hRule="atLeast"/>
        </w:trPr>
        <w:tc>
          <w:tcPr>
            <w:tcW w:w="2346" w:type="dxa"/>
            <w:tcBorders>
              <w:top w:val="single" w:color="auto" w:sz="4" w:space="0"/>
            </w:tcBorders>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White blood cells</w:t>
            </w:r>
          </w:p>
        </w:tc>
        <w:tc>
          <w:tcPr>
            <w:tcW w:w="1901" w:type="dxa"/>
            <w:tcBorders>
              <w:top w:val="single" w:color="auto" w:sz="4" w:space="0"/>
            </w:tcBorders>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8100/μL</w:t>
            </w:r>
          </w:p>
        </w:tc>
        <w:tc>
          <w:tcPr>
            <w:tcW w:w="1373" w:type="dxa"/>
            <w:tcBorders>
              <w:top w:val="single" w:color="auto" w:sz="4" w:space="0"/>
            </w:tcBorders>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4200/μL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Hb</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15.6 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15.1 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Ht</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45.90%</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43.50%</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MCV</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96.2 fl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94.2 fl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PLT</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162000/μL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141000/μL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PT-INR</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0.96</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PT%</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107%</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100.50%</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T-BIL</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0.6 mg/dL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1.3 mg/dL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AST</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62 U/L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18 U/L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ALT</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60 U/L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14 U/L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γGTP</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689 U/L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68 U/L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ALP</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423 U/L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249 U/L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TP</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8 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7.1 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ALB</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3.8 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4 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HbA1c</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7.10%</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5.50%</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BUN</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16.4 mg/dL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21.7 mg/dL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CRE</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0.68 mg/dL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1.05 mg/dL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CRP</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0.524 mg/dL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0.149 mg/dL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AFP</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276.8 ng/mL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3.6 ng/mL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PIVKA-II</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33224 mAU/mL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44 mAU/mL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CEA</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5.9 ng/mL</w:t>
            </w:r>
          </w:p>
        </w:tc>
        <w:tc>
          <w:tcPr>
            <w:tcW w:w="1373" w:type="dxa"/>
            <w:shd w:val="clear" w:color="auto" w:fill="auto"/>
            <w:noWrap/>
            <w:vAlign w:val="bottom"/>
          </w:tcPr>
          <w:p>
            <w:pPr>
              <w:spacing w:line="360" w:lineRule="auto"/>
              <w:rPr>
                <w:rFonts w:ascii="Book Antiqua" w:hAnsi="Book Antiqua" w:eastAsia="等线" w:cs="宋体"/>
                <w:lang w:eastAsia="zh-CN"/>
              </w:rPr>
            </w:pPr>
            <w:r>
              <w:rPr>
                <w:rFonts w:ascii="Book Antiqua" w:hAnsi="Book Antiqua" w:eastAsia="等线" w:cs="宋体"/>
                <w:lang w:eastAsia="zh-CN"/>
              </w:rPr>
              <w:t>4.5 ng/mL</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HBs antigens</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w:t>
            </w:r>
          </w:p>
        </w:tc>
        <w:tc>
          <w:tcPr>
            <w:tcW w:w="1373" w:type="dxa"/>
            <w:shd w:val="clear" w:color="auto" w:fill="auto"/>
            <w:noWrap/>
            <w:vAlign w:val="center"/>
          </w:tcPr>
          <w:p>
            <w:pPr>
              <w:spacing w:line="360" w:lineRule="auto"/>
              <w:rPr>
                <w:rFonts w:ascii="Book Antiqua" w:hAnsi="Book Antiqua" w:eastAsia="等线" w:cs="宋体"/>
                <w:lang w:eastAsia="zh-CN"/>
              </w:rPr>
            </w:pPr>
            <w:r>
              <w:rPr>
                <w:rFonts w:ascii="Book Antiqua" w:hAnsi="Book Antiqua" w:eastAsia="等线" w:cs="宋体"/>
                <w:lang w:eastAsia="zh-CN"/>
              </w:rPr>
              <w:t>(-)</w:t>
            </w:r>
          </w:p>
        </w:tc>
      </w:tr>
      <w:tr>
        <w:tblPrEx>
          <w:tblCellMar>
            <w:top w:w="0" w:type="dxa"/>
            <w:left w:w="108" w:type="dxa"/>
            <w:bottom w:w="0" w:type="dxa"/>
            <w:right w:w="108" w:type="dxa"/>
          </w:tblCellMar>
        </w:tblPrEx>
        <w:trPr>
          <w:trHeight w:val="312" w:hRule="atLeast"/>
        </w:trPr>
        <w:tc>
          <w:tcPr>
            <w:tcW w:w="2346"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HBc antibody</w:t>
            </w:r>
          </w:p>
        </w:tc>
        <w:tc>
          <w:tcPr>
            <w:tcW w:w="1901" w:type="dxa"/>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w:t>
            </w:r>
          </w:p>
        </w:tc>
        <w:tc>
          <w:tcPr>
            <w:tcW w:w="1373" w:type="dxa"/>
            <w:shd w:val="clear" w:color="auto" w:fill="auto"/>
            <w:noWrap/>
            <w:vAlign w:val="center"/>
          </w:tcPr>
          <w:p>
            <w:pPr>
              <w:spacing w:line="360" w:lineRule="auto"/>
              <w:rPr>
                <w:rFonts w:ascii="Book Antiqua" w:hAnsi="Book Antiqua" w:eastAsia="等线" w:cs="宋体"/>
                <w:lang w:eastAsia="zh-CN"/>
              </w:rPr>
            </w:pPr>
            <w:r>
              <w:rPr>
                <w:rFonts w:ascii="Book Antiqua" w:hAnsi="Book Antiqua" w:eastAsia="等线" w:cs="宋体"/>
                <w:lang w:eastAsia="zh-CN"/>
              </w:rPr>
              <w:t>(+)</w:t>
            </w:r>
          </w:p>
        </w:tc>
      </w:tr>
      <w:tr>
        <w:tblPrEx>
          <w:tblCellMar>
            <w:top w:w="0" w:type="dxa"/>
            <w:left w:w="108" w:type="dxa"/>
            <w:bottom w:w="0" w:type="dxa"/>
            <w:right w:w="108" w:type="dxa"/>
          </w:tblCellMar>
        </w:tblPrEx>
        <w:trPr>
          <w:trHeight w:val="324" w:hRule="atLeast"/>
        </w:trPr>
        <w:tc>
          <w:tcPr>
            <w:tcW w:w="2346" w:type="dxa"/>
            <w:tcBorders>
              <w:bottom w:val="single" w:color="auto" w:sz="4" w:space="0"/>
            </w:tcBorders>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HCV antibody</w:t>
            </w:r>
          </w:p>
        </w:tc>
        <w:tc>
          <w:tcPr>
            <w:tcW w:w="1901" w:type="dxa"/>
            <w:tcBorders>
              <w:bottom w:val="single" w:color="auto" w:sz="4" w:space="0"/>
            </w:tcBorders>
            <w:shd w:val="clear" w:color="auto" w:fill="auto"/>
            <w:vAlign w:val="center"/>
          </w:tcPr>
          <w:p>
            <w:pPr>
              <w:spacing w:line="360" w:lineRule="auto"/>
              <w:jc w:val="both"/>
              <w:rPr>
                <w:rFonts w:ascii="Book Antiqua" w:hAnsi="Book Antiqua" w:eastAsia="等线" w:cs="宋体"/>
                <w:lang w:eastAsia="zh-CN"/>
              </w:rPr>
            </w:pPr>
            <w:r>
              <w:rPr>
                <w:rFonts w:ascii="Book Antiqua" w:hAnsi="Book Antiqua" w:eastAsia="等线" w:cs="宋体"/>
                <w:lang w:eastAsia="zh-CN"/>
              </w:rPr>
              <w:t>(-)</w:t>
            </w:r>
          </w:p>
        </w:tc>
        <w:tc>
          <w:tcPr>
            <w:tcW w:w="1373" w:type="dxa"/>
            <w:tcBorders>
              <w:bottom w:val="single" w:color="auto" w:sz="4" w:space="0"/>
            </w:tcBorders>
            <w:shd w:val="clear" w:color="auto" w:fill="auto"/>
            <w:noWrap/>
            <w:vAlign w:val="center"/>
          </w:tcPr>
          <w:p>
            <w:pPr>
              <w:spacing w:line="360" w:lineRule="auto"/>
              <w:rPr>
                <w:rFonts w:ascii="Book Antiqua" w:hAnsi="Book Antiqua" w:eastAsia="等线" w:cs="宋体"/>
                <w:lang w:eastAsia="zh-CN"/>
              </w:rPr>
            </w:pPr>
            <w:r>
              <w:rPr>
                <w:rFonts w:ascii="Book Antiqua" w:hAnsi="Book Antiqua" w:eastAsia="等线" w:cs="宋体"/>
                <w:lang w:eastAsia="zh-CN"/>
              </w:rPr>
              <w:t>(-)</w:t>
            </w:r>
          </w:p>
        </w:tc>
      </w:tr>
    </w:tbl>
    <w:p>
      <w:pPr>
        <w:spacing w:line="360" w:lineRule="auto"/>
        <w:jc w:val="both"/>
        <w:rPr>
          <w:rFonts w:ascii="Book Antiqua" w:hAnsi="Book Antiqua" w:cstheme="majorBidi"/>
        </w:rPr>
      </w:pPr>
      <w:r>
        <w:rPr>
          <w:rFonts w:ascii="Book Antiqua" w:hAnsi="Book Antiqua" w:cstheme="majorBidi"/>
        </w:rPr>
        <w:t>AFP: Alpha-fetoprotein; PIVKA: Protein induced by vitamin K antagonists; TP: Total protein; Alb: Albumin; ALP: Alkaline phosphatase; ALT: Alanine aminotransferase; AST: Aspartate aminotransferase; Cr: Creatinine; CRP: C-reactive protein; Hb: Hemoglobin; PLT: Platelet count; PT: Prothrombin time; PT-INR: International normalized ratio of prothrombin time; T-BIL: Total bilirubin; WBC: White blood cells; HBc: Antibody hepatitis B core antibody; HBs: Antigen hepatitis B surface antigen; HCV: Antibody hepatitis C virus antibody.</w:t>
      </w:r>
    </w:p>
    <w:p>
      <w:pPr>
        <w:rPr>
          <w:rFonts w:ascii="Book Antiqua" w:hAnsi="Book Antiqua" w:cstheme="majorBidi"/>
          <w:lang w:eastAsia="zh-CN"/>
        </w:rPr>
      </w:pPr>
      <w:r>
        <w:rPr>
          <w:rFonts w:ascii="Book Antiqua" w:hAnsi="Book Antiqua" w:cstheme="majorBidi"/>
          <w:lang w:eastAsia="zh-CN"/>
        </w:rPr>
        <w:br w:type="page"/>
      </w:r>
    </w:p>
    <w:p>
      <w:pPr>
        <w:ind w:left="240" w:leftChars="100"/>
        <w:jc w:val="center"/>
        <w:rPr>
          <w:rFonts w:ascii="Book Antiqua" w:hAnsi="Book Antiqua"/>
          <w:lang w:val="pt-BR" w:eastAsia="zh-CN"/>
        </w:rPr>
      </w:pPr>
      <w:bookmarkStart w:id="8" w:name="_Hlk88512952"/>
    </w:p>
    <w:p>
      <w:pPr>
        <w:ind w:left="240" w:leftChars="100"/>
        <w:jc w:val="center"/>
        <w:rPr>
          <w:rFonts w:ascii="Book Antiqua" w:hAnsi="Book Antiqua"/>
          <w:lang w:val="pt-BR" w:eastAsia="zh-CN"/>
        </w:rPr>
      </w:pPr>
    </w:p>
    <w:p>
      <w:pPr>
        <w:ind w:left="240" w:leftChars="100"/>
        <w:jc w:val="center"/>
        <w:rPr>
          <w:rFonts w:ascii="Book Antiqua" w:hAnsi="Book Antiqua"/>
          <w:lang w:val="pt-BR" w:eastAsia="zh-CN"/>
        </w:rPr>
      </w:pPr>
    </w:p>
    <w:p>
      <w:pPr>
        <w:ind w:left="240" w:leftChars="100"/>
        <w:jc w:val="center"/>
        <w:rPr>
          <w:rFonts w:ascii="Book Antiqua" w:hAnsi="Book Antiqua"/>
          <w:lang w:val="pt-BR" w:eastAsia="zh-CN"/>
        </w:rPr>
      </w:pPr>
    </w:p>
    <w:p>
      <w:pPr>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ind w:left="240" w:leftChars="100"/>
        <w:jc w:val="center"/>
        <w:rPr>
          <w:rFonts w:ascii="Book Antiqua" w:hAnsi="Book Antiqua"/>
          <w:lang w:eastAsia="zh-CN"/>
        </w:rPr>
      </w:pPr>
    </w:p>
    <w:p>
      <w:pPr>
        <w:autoSpaceDE w:val="0"/>
        <w:autoSpaceDN w:val="0"/>
        <w:adjustRightInd w:val="0"/>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right"/>
        <w:rPr>
          <w:rFonts w:ascii="Book Antiqua" w:hAnsi="Book Antiqua"/>
          <w:color w:val="000000" w:themeColor="text1"/>
          <w:lang w:eastAsia="zh-CN"/>
          <w14:textFill>
            <w14:solidFill>
              <w14:schemeClr w14:val="tx1"/>
            </w14:solidFill>
          </w14:textFill>
        </w:rPr>
      </w:pPr>
    </w:p>
    <w:p>
      <w:pPr>
        <w:ind w:left="240" w:leftChars="100"/>
        <w:jc w:val="center"/>
        <w:rPr>
          <w:rFonts w:ascii="Book Antiqua" w:hAnsi="Book Antiqua"/>
          <w:color w:val="000000" w:themeColor="text1"/>
          <w:lang w:eastAsia="zh-CN"/>
          <w14:textFill>
            <w14:solidFill>
              <w14:schemeClr w14:val="tx1"/>
            </w14:solidFill>
          </w14:textFill>
        </w:rPr>
      </w:pPr>
      <w:r>
        <w:rPr>
          <w:rFonts w:ascii="Book Antiqua" w:hAnsi="Book Antiqua" w:eastAsia="BookAntiqua-Bold" w:cs="BookAntiqua-Bold"/>
          <w:b/>
          <w:bCs/>
          <w:color w:val="000000" w:themeColor="text1"/>
          <w14:textFill>
            <w14:solidFill>
              <w14:schemeClr w14:val="tx1"/>
            </w14:solidFill>
          </w14:textFill>
        </w:rPr>
        <w:t>© 2022 Baishideng Publishing Group Inc. All rights reserved.</w:t>
      </w:r>
      <w:r>
        <w:rPr>
          <w:rFonts w:ascii="Book Antiqua" w:hAnsi="Book Antiqua"/>
          <w:color w:val="000000" w:themeColor="text1"/>
          <w:lang w:eastAsia="zh-CN"/>
          <w14:textFill>
            <w14:solidFill>
              <w14:schemeClr w14:val="tx1"/>
            </w14:solidFill>
          </w14:textFill>
        </w:rPr>
        <w:fldChar w:fldCharType="begin"/>
      </w:r>
      <w:r>
        <w:rPr>
          <w:rFonts w:ascii="Book Antiqua" w:hAnsi="Book Antiqua"/>
          <w:color w:val="000000" w:themeColor="text1"/>
          <w:lang w:eastAsia="zh-CN"/>
          <w14:textFill>
            <w14:solidFill>
              <w14:schemeClr w14:val="tx1"/>
            </w14:solidFill>
          </w14:textFill>
        </w:rPr>
        <w:instrText xml:space="preserve"> ADDIN EN.REFLIST </w:instrText>
      </w:r>
      <w:r>
        <w:rPr>
          <w:rFonts w:ascii="Book Antiqua" w:hAnsi="Book Antiqua"/>
          <w:color w:val="000000" w:themeColor="text1"/>
          <w:lang w:eastAsia="zh-CN"/>
          <w14:textFill>
            <w14:solidFill>
              <w14:schemeClr w14:val="tx1"/>
            </w14:solidFill>
          </w14:textFill>
        </w:rPr>
        <w:fldChar w:fldCharType="end"/>
      </w:r>
      <w:bookmarkEnd w:id="8"/>
    </w:p>
    <w:p>
      <w:pPr>
        <w:spacing w:line="360" w:lineRule="auto"/>
        <w:jc w:val="both"/>
        <w:rPr>
          <w:rFonts w:ascii="Book Antiqua" w:hAnsi="Book Antiqua" w:cstheme="majorBidi"/>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29</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0FE7"/>
    <w:rsid w:val="00044AD8"/>
    <w:rsid w:val="00063E85"/>
    <w:rsid w:val="00086820"/>
    <w:rsid w:val="00094170"/>
    <w:rsid w:val="000A4037"/>
    <w:rsid w:val="000F2DC7"/>
    <w:rsid w:val="00102C18"/>
    <w:rsid w:val="00121931"/>
    <w:rsid w:val="00137AB1"/>
    <w:rsid w:val="001672BA"/>
    <w:rsid w:val="001C6DA1"/>
    <w:rsid w:val="001C6E1C"/>
    <w:rsid w:val="001E0989"/>
    <w:rsid w:val="001E273C"/>
    <w:rsid w:val="001F1EBD"/>
    <w:rsid w:val="001F32A5"/>
    <w:rsid w:val="002245AC"/>
    <w:rsid w:val="0025154B"/>
    <w:rsid w:val="00292B7A"/>
    <w:rsid w:val="002B1472"/>
    <w:rsid w:val="002B3C66"/>
    <w:rsid w:val="002C3153"/>
    <w:rsid w:val="00361D11"/>
    <w:rsid w:val="00372BF0"/>
    <w:rsid w:val="003A0BA6"/>
    <w:rsid w:val="003B0223"/>
    <w:rsid w:val="003D578C"/>
    <w:rsid w:val="00430E44"/>
    <w:rsid w:val="004419D9"/>
    <w:rsid w:val="00495963"/>
    <w:rsid w:val="0049698E"/>
    <w:rsid w:val="004B1C17"/>
    <w:rsid w:val="00515D9D"/>
    <w:rsid w:val="00535297"/>
    <w:rsid w:val="00545DCF"/>
    <w:rsid w:val="005525E8"/>
    <w:rsid w:val="00590B64"/>
    <w:rsid w:val="005922A7"/>
    <w:rsid w:val="005A0F5B"/>
    <w:rsid w:val="005A22B8"/>
    <w:rsid w:val="005D6F4E"/>
    <w:rsid w:val="005E1E23"/>
    <w:rsid w:val="005F12EB"/>
    <w:rsid w:val="005F6D05"/>
    <w:rsid w:val="0065137E"/>
    <w:rsid w:val="00681F05"/>
    <w:rsid w:val="006A1BDB"/>
    <w:rsid w:val="006B460C"/>
    <w:rsid w:val="006B7DF5"/>
    <w:rsid w:val="006D1C93"/>
    <w:rsid w:val="006F3259"/>
    <w:rsid w:val="007342F2"/>
    <w:rsid w:val="0074393F"/>
    <w:rsid w:val="0076628C"/>
    <w:rsid w:val="00780A82"/>
    <w:rsid w:val="007A0B4F"/>
    <w:rsid w:val="007F7B20"/>
    <w:rsid w:val="00890715"/>
    <w:rsid w:val="00890F2C"/>
    <w:rsid w:val="008A1708"/>
    <w:rsid w:val="008A4C9A"/>
    <w:rsid w:val="00902DD9"/>
    <w:rsid w:val="00921318"/>
    <w:rsid w:val="0092785A"/>
    <w:rsid w:val="009723D0"/>
    <w:rsid w:val="00985442"/>
    <w:rsid w:val="009A34DA"/>
    <w:rsid w:val="009A51E4"/>
    <w:rsid w:val="009E5D98"/>
    <w:rsid w:val="009F1B16"/>
    <w:rsid w:val="00A21551"/>
    <w:rsid w:val="00A45CAF"/>
    <w:rsid w:val="00A77B3E"/>
    <w:rsid w:val="00A87D63"/>
    <w:rsid w:val="00A95A56"/>
    <w:rsid w:val="00AA2B81"/>
    <w:rsid w:val="00AB5DF7"/>
    <w:rsid w:val="00AC4677"/>
    <w:rsid w:val="00AE5ADC"/>
    <w:rsid w:val="00B35D5B"/>
    <w:rsid w:val="00B4308B"/>
    <w:rsid w:val="00B97F8F"/>
    <w:rsid w:val="00BE152E"/>
    <w:rsid w:val="00BE71A9"/>
    <w:rsid w:val="00C416D3"/>
    <w:rsid w:val="00C47489"/>
    <w:rsid w:val="00CA2A55"/>
    <w:rsid w:val="00CC46F2"/>
    <w:rsid w:val="00CF3505"/>
    <w:rsid w:val="00D01BC5"/>
    <w:rsid w:val="00D83420"/>
    <w:rsid w:val="00DE7F29"/>
    <w:rsid w:val="00E116F0"/>
    <w:rsid w:val="00E24318"/>
    <w:rsid w:val="00E303CA"/>
    <w:rsid w:val="00E37AF8"/>
    <w:rsid w:val="00E62F44"/>
    <w:rsid w:val="00E9093F"/>
    <w:rsid w:val="00EA6A75"/>
    <w:rsid w:val="00ED3BDA"/>
    <w:rsid w:val="00EE3A5C"/>
    <w:rsid w:val="00F06B4E"/>
    <w:rsid w:val="00F15EAA"/>
    <w:rsid w:val="00F55B9A"/>
    <w:rsid w:val="00F74B0B"/>
    <w:rsid w:val="00F74BE0"/>
    <w:rsid w:val="00F82B5D"/>
    <w:rsid w:val="00F86EA4"/>
    <w:rsid w:val="00FC0DF2"/>
    <w:rsid w:val="00FD7C96"/>
    <w:rsid w:val="7F564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unhideWhenUsed/>
    <w:uiPriority w:val="0"/>
    <w:rPr>
      <w:sz w:val="20"/>
      <w:szCs w:val="20"/>
    </w:rPr>
  </w:style>
  <w:style w:type="paragraph" w:styleId="3">
    <w:name w:val="Balloon Text"/>
    <w:basedOn w:val="1"/>
    <w:link w:val="14"/>
    <w:qFormat/>
    <w:uiPriority w:val="0"/>
    <w:rPr>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qFormat/>
    <w:uiPriority w:val="0"/>
    <w:rPr>
      <w:sz w:val="16"/>
      <w:szCs w:val="16"/>
    </w:rPr>
  </w:style>
  <w:style w:type="character" w:customStyle="1" w:styleId="11">
    <w:name w:val="apple-converted-space"/>
    <w:basedOn w:val="8"/>
    <w:qFormat/>
    <w:uiPriority w:val="0"/>
  </w:style>
  <w:style w:type="character" w:customStyle="1" w:styleId="12">
    <w:name w:val="页眉 字符"/>
    <w:basedOn w:val="8"/>
    <w:link w:val="5"/>
    <w:qFormat/>
    <w:uiPriority w:val="0"/>
    <w:rPr>
      <w:sz w:val="18"/>
      <w:szCs w:val="18"/>
    </w:rPr>
  </w:style>
  <w:style w:type="character" w:customStyle="1" w:styleId="13">
    <w:name w:val="页脚 字符"/>
    <w:basedOn w:val="8"/>
    <w:link w:val="4"/>
    <w:uiPriority w:val="99"/>
    <w:rPr>
      <w:sz w:val="18"/>
      <w:szCs w:val="18"/>
    </w:rPr>
  </w:style>
  <w:style w:type="character" w:customStyle="1" w:styleId="14">
    <w:name w:val="批注框文本 字符"/>
    <w:basedOn w:val="8"/>
    <w:link w:val="3"/>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批注文字 字符"/>
    <w:basedOn w:val="8"/>
    <w:link w:val="2"/>
    <w:qFormat/>
    <w:uiPriority w:val="0"/>
  </w:style>
  <w:style w:type="character" w:customStyle="1" w:styleId="17">
    <w:name w:val="批注主题 字符"/>
    <w:basedOn w:val="16"/>
    <w:link w:val="6"/>
    <w:semiHidden/>
    <w:qFormat/>
    <w:uiPriority w:val="0"/>
    <w:rPr>
      <w:b/>
      <w:bCs/>
    </w:rPr>
  </w:style>
  <w:style w:type="character" w:customStyle="1" w:styleId="18">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7733A5-59AA-4064-A1C4-39010603EA6D}">
  <ds:schemaRefs/>
</ds:datastoreItem>
</file>

<file path=docProps/app.xml><?xml version="1.0" encoding="utf-8"?>
<Properties xmlns="http://schemas.openxmlformats.org/officeDocument/2006/extended-properties" xmlns:vt="http://schemas.openxmlformats.org/officeDocument/2006/docPropsVTypes">
  <Template>Normal</Template>
  <Pages>30</Pages>
  <Words>6615</Words>
  <Characters>37707</Characters>
  <Lines>314</Lines>
  <Paragraphs>88</Paragraphs>
  <TotalTime>19</TotalTime>
  <ScaleCrop>false</ScaleCrop>
  <LinksUpToDate>false</LinksUpToDate>
  <CharactersWithSpaces>44234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2022-01-29T00:26:00Z</dcterms:created>
  <dc:creator>HP</dc:creator>
  <cp:lastModifiedBy>晓晨</cp:lastModifiedBy>
  <dcterms:modified xsi:type="dcterms:W3CDTF">2022-03-09T13:50:46Z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7732EDAF92B94FE181CD531C24FBAA3B</vt:lpwstr>
  </property>
</Properties>
</file>