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1C887"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Name of Journal: </w:t>
      </w:r>
      <w:r w:rsidRPr="003D587E">
        <w:rPr>
          <w:rFonts w:ascii="Book Antiqua" w:eastAsia="Book Antiqua" w:hAnsi="Book Antiqua" w:cs="Book Antiqua"/>
          <w:i/>
          <w:color w:val="000000" w:themeColor="text1"/>
        </w:rPr>
        <w:t>World Journal of Clinical Cases</w:t>
      </w:r>
    </w:p>
    <w:p w14:paraId="11B6CBDF"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Manuscript NO: </w:t>
      </w:r>
      <w:r w:rsidRPr="003D587E">
        <w:rPr>
          <w:rFonts w:ascii="Book Antiqua" w:eastAsia="Book Antiqua" w:hAnsi="Book Antiqua" w:cs="Book Antiqua"/>
          <w:color w:val="000000" w:themeColor="text1"/>
        </w:rPr>
        <w:t>71711</w:t>
      </w:r>
    </w:p>
    <w:p w14:paraId="2CB7E1E9"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Manuscript Type: </w:t>
      </w:r>
      <w:r w:rsidRPr="003D587E">
        <w:rPr>
          <w:rFonts w:ascii="Book Antiqua" w:eastAsia="Book Antiqua" w:hAnsi="Book Antiqua" w:cs="Book Antiqua"/>
          <w:color w:val="000000" w:themeColor="text1"/>
        </w:rPr>
        <w:t>CASE REPORT</w:t>
      </w:r>
    </w:p>
    <w:p w14:paraId="25626E74" w14:textId="77777777" w:rsidR="00E02726" w:rsidRPr="003D587E" w:rsidRDefault="00E02726">
      <w:pPr>
        <w:spacing w:line="360" w:lineRule="auto"/>
        <w:jc w:val="both"/>
        <w:rPr>
          <w:color w:val="000000" w:themeColor="text1"/>
        </w:rPr>
      </w:pPr>
    </w:p>
    <w:p w14:paraId="4C342491"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Treatment of gastric hepatoid adenocarcinoma with pembrolizumab and bevacizumab</w:t>
      </w:r>
      <w:r w:rsidRPr="003D587E">
        <w:rPr>
          <w:rFonts w:ascii="Book Antiqua" w:eastAsia="Book Antiqua" w:hAnsi="Book Antiqua" w:cs="Book Antiqua"/>
          <w:b/>
          <w:bCs/>
          <w:color w:val="000000" w:themeColor="text1"/>
          <w:szCs w:val="28"/>
        </w:rPr>
        <w:t xml:space="preserve"> </w:t>
      </w:r>
      <w:r w:rsidRPr="003D587E">
        <w:rPr>
          <w:rFonts w:ascii="Book Antiqua" w:eastAsia="Book Antiqua" w:hAnsi="Book Antiqua" w:cs="Book Antiqua"/>
          <w:b/>
          <w:color w:val="000000" w:themeColor="text1"/>
        </w:rPr>
        <w:t>combination chemotherapy: A case report</w:t>
      </w:r>
    </w:p>
    <w:p w14:paraId="076BB302" w14:textId="77777777" w:rsidR="00E02726" w:rsidRPr="003D587E" w:rsidRDefault="00E02726">
      <w:pPr>
        <w:spacing w:line="360" w:lineRule="auto"/>
        <w:jc w:val="both"/>
        <w:rPr>
          <w:color w:val="000000" w:themeColor="text1"/>
        </w:rPr>
      </w:pPr>
    </w:p>
    <w:p w14:paraId="49BF0F85" w14:textId="6B09D19A"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Liu M </w:t>
      </w:r>
      <w:r w:rsidRPr="003D587E">
        <w:rPr>
          <w:rFonts w:ascii="Book Antiqua" w:eastAsia="Book Antiqua" w:hAnsi="Book Antiqua" w:cs="Book Antiqua"/>
          <w:i/>
          <w:iCs/>
          <w:color w:val="000000" w:themeColor="text1"/>
        </w:rPr>
        <w:t>et al</w:t>
      </w:r>
      <w:r w:rsidRPr="003D587E">
        <w:rPr>
          <w:rFonts w:ascii="Book Antiqua" w:eastAsia="Book Antiqua" w:hAnsi="Book Antiqua" w:cs="Book Antiqua"/>
          <w:color w:val="000000" w:themeColor="text1"/>
        </w:rPr>
        <w:t xml:space="preserve">. </w:t>
      </w:r>
      <w:r w:rsidR="00A4477B">
        <w:rPr>
          <w:rFonts w:ascii="Book Antiqua" w:eastAsia="Book Antiqua" w:hAnsi="Book Antiqua" w:cs="Book Antiqua"/>
          <w:color w:val="000000" w:themeColor="text1"/>
        </w:rPr>
        <w:t>E</w:t>
      </w:r>
      <w:r w:rsidR="00A4477B" w:rsidRPr="003D587E">
        <w:rPr>
          <w:rFonts w:ascii="Book Antiqua" w:eastAsia="Book Antiqua" w:hAnsi="Book Antiqua" w:cs="Book Antiqua"/>
          <w:color w:val="000000" w:themeColor="text1"/>
        </w:rPr>
        <w:t>ighteen</w:t>
      </w:r>
      <w:r w:rsidRPr="003D587E">
        <w:rPr>
          <w:rFonts w:ascii="Book Antiqua" w:eastAsia="Book Antiqua" w:hAnsi="Book Antiqua" w:cs="Book Antiqua"/>
          <w:color w:val="000000" w:themeColor="text1"/>
        </w:rPr>
        <w:t>-month follow-up of GHA</w:t>
      </w:r>
    </w:p>
    <w:p w14:paraId="41C33935" w14:textId="77777777" w:rsidR="00E02726" w:rsidRPr="003D587E" w:rsidRDefault="00E02726">
      <w:pPr>
        <w:spacing w:line="360" w:lineRule="auto"/>
        <w:jc w:val="both"/>
        <w:rPr>
          <w:color w:val="000000" w:themeColor="text1"/>
        </w:rPr>
      </w:pPr>
    </w:p>
    <w:p w14:paraId="79768290"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Mei Liu, Cheng Luo, </w:t>
      </w:r>
      <w:proofErr w:type="spellStart"/>
      <w:r w:rsidRPr="003D587E">
        <w:rPr>
          <w:rFonts w:ascii="Book Antiqua" w:eastAsia="Book Antiqua" w:hAnsi="Book Antiqua" w:cs="Book Antiqua"/>
          <w:color w:val="000000" w:themeColor="text1"/>
        </w:rPr>
        <w:t>Zong</w:t>
      </w:r>
      <w:proofErr w:type="spellEnd"/>
      <w:r w:rsidRPr="003D587E">
        <w:rPr>
          <w:rFonts w:ascii="Book Antiqua" w:eastAsia="Book Antiqua" w:hAnsi="Book Antiqua" w:cs="Book Antiqua"/>
          <w:color w:val="000000" w:themeColor="text1"/>
        </w:rPr>
        <w:t xml:space="preserve">-Zhou </w:t>
      </w:r>
      <w:proofErr w:type="spellStart"/>
      <w:r w:rsidRPr="003D587E">
        <w:rPr>
          <w:rFonts w:ascii="Book Antiqua" w:eastAsia="Book Antiqua" w:hAnsi="Book Antiqua" w:cs="Book Antiqua"/>
          <w:color w:val="000000" w:themeColor="text1"/>
        </w:rPr>
        <w:t>Xie</w:t>
      </w:r>
      <w:proofErr w:type="spellEnd"/>
      <w:r w:rsidRPr="003D587E">
        <w:rPr>
          <w:rFonts w:ascii="Book Antiqua" w:eastAsia="Book Antiqua" w:hAnsi="Book Antiqua" w:cs="Book Antiqua"/>
          <w:color w:val="000000" w:themeColor="text1"/>
        </w:rPr>
        <w:t xml:space="preserve">, </w:t>
      </w:r>
      <w:proofErr w:type="spellStart"/>
      <w:r w:rsidRPr="003D587E">
        <w:rPr>
          <w:rFonts w:ascii="Book Antiqua" w:eastAsia="Book Antiqua" w:hAnsi="Book Antiqua" w:cs="Book Antiqua"/>
          <w:color w:val="000000" w:themeColor="text1"/>
        </w:rPr>
        <w:t>Xun</w:t>
      </w:r>
      <w:proofErr w:type="spellEnd"/>
      <w:r w:rsidRPr="003D587E">
        <w:rPr>
          <w:rFonts w:ascii="Book Antiqua" w:eastAsia="Book Antiqua" w:hAnsi="Book Antiqua" w:cs="Book Antiqua"/>
          <w:color w:val="000000" w:themeColor="text1"/>
        </w:rPr>
        <w:t xml:space="preserve"> Li</w:t>
      </w:r>
    </w:p>
    <w:p w14:paraId="527BC61F" w14:textId="77777777" w:rsidR="00E02726" w:rsidRPr="003D587E" w:rsidRDefault="00E02726">
      <w:pPr>
        <w:spacing w:line="360" w:lineRule="auto"/>
        <w:jc w:val="both"/>
        <w:rPr>
          <w:color w:val="000000" w:themeColor="text1"/>
        </w:rPr>
      </w:pPr>
    </w:p>
    <w:p w14:paraId="716C7E2F"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Mei Liu, </w:t>
      </w:r>
      <w:proofErr w:type="spellStart"/>
      <w:r w:rsidRPr="003D587E">
        <w:rPr>
          <w:rFonts w:ascii="Book Antiqua" w:eastAsia="Book Antiqua" w:hAnsi="Book Antiqua" w:cs="Book Antiqua"/>
          <w:b/>
          <w:bCs/>
          <w:color w:val="000000" w:themeColor="text1"/>
        </w:rPr>
        <w:t>Zong</w:t>
      </w:r>
      <w:proofErr w:type="spellEnd"/>
      <w:r w:rsidRPr="003D587E">
        <w:rPr>
          <w:rFonts w:ascii="Book Antiqua" w:eastAsia="Book Antiqua" w:hAnsi="Book Antiqua" w:cs="Book Antiqua"/>
          <w:b/>
          <w:bCs/>
          <w:color w:val="000000" w:themeColor="text1"/>
        </w:rPr>
        <w:t xml:space="preserve">-Zhou </w:t>
      </w:r>
      <w:proofErr w:type="spellStart"/>
      <w:r w:rsidRPr="003D587E">
        <w:rPr>
          <w:rFonts w:ascii="Book Antiqua" w:eastAsia="Book Antiqua" w:hAnsi="Book Antiqua" w:cs="Book Antiqua"/>
          <w:b/>
          <w:bCs/>
          <w:color w:val="000000" w:themeColor="text1"/>
        </w:rPr>
        <w:t>Xie</w:t>
      </w:r>
      <w:proofErr w:type="spellEnd"/>
      <w:r w:rsidRPr="003D587E">
        <w:rPr>
          <w:rFonts w:ascii="Book Antiqua" w:eastAsia="Book Antiqua" w:hAnsi="Book Antiqua" w:cs="Book Antiqua"/>
          <w:b/>
          <w:bCs/>
          <w:color w:val="000000" w:themeColor="text1"/>
        </w:rPr>
        <w:t xml:space="preserve">, </w:t>
      </w:r>
      <w:proofErr w:type="spellStart"/>
      <w:r w:rsidRPr="003D587E">
        <w:rPr>
          <w:rFonts w:ascii="Book Antiqua" w:eastAsia="Book Antiqua" w:hAnsi="Book Antiqua" w:cs="Book Antiqua"/>
          <w:b/>
          <w:bCs/>
          <w:color w:val="000000" w:themeColor="text1"/>
        </w:rPr>
        <w:t>Xun</w:t>
      </w:r>
      <w:proofErr w:type="spellEnd"/>
      <w:r w:rsidRPr="003D587E">
        <w:rPr>
          <w:rFonts w:ascii="Book Antiqua" w:eastAsia="Book Antiqua" w:hAnsi="Book Antiqua" w:cs="Book Antiqua"/>
          <w:b/>
          <w:bCs/>
          <w:color w:val="000000" w:themeColor="text1"/>
        </w:rPr>
        <w:t xml:space="preserve"> Li, </w:t>
      </w:r>
      <w:r w:rsidRPr="003D587E">
        <w:rPr>
          <w:rFonts w:ascii="Book Antiqua" w:eastAsia="Book Antiqua" w:hAnsi="Book Antiqua" w:cs="Book Antiqua"/>
          <w:color w:val="000000" w:themeColor="text1"/>
        </w:rPr>
        <w:t>Department of Medical Oncology, Haikou People's Hospital, Haikou 570100, Hainan Province, China</w:t>
      </w:r>
    </w:p>
    <w:p w14:paraId="6A31B2A1" w14:textId="77777777" w:rsidR="00E02726" w:rsidRPr="003D587E" w:rsidRDefault="00E02726">
      <w:pPr>
        <w:spacing w:line="360" w:lineRule="auto"/>
        <w:jc w:val="both"/>
        <w:rPr>
          <w:color w:val="000000" w:themeColor="text1"/>
        </w:rPr>
      </w:pPr>
    </w:p>
    <w:p w14:paraId="0F9EB783"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Cheng Luo, </w:t>
      </w:r>
      <w:r w:rsidRPr="003D587E">
        <w:rPr>
          <w:rFonts w:ascii="Book Antiqua" w:eastAsia="Book Antiqua" w:hAnsi="Book Antiqua" w:cs="Book Antiqua"/>
          <w:color w:val="000000" w:themeColor="text1"/>
        </w:rPr>
        <w:t xml:space="preserve">Department of Gynecology, Hainan Hospital of </w:t>
      </w:r>
      <w:r w:rsidRPr="003D587E">
        <w:rPr>
          <w:rFonts w:ascii="Book Antiqua" w:eastAsia="Book Antiqua" w:hAnsi="Book Antiqua" w:cs="Book Antiqua" w:hint="eastAsia"/>
          <w:color w:val="000000" w:themeColor="text1"/>
          <w:lang w:eastAsia="zh-CN"/>
        </w:rPr>
        <w:t>Chinese People</w:t>
      </w:r>
      <w:r w:rsidRPr="003D587E">
        <w:rPr>
          <w:rFonts w:ascii="Book Antiqua" w:eastAsia="Book Antiqua" w:hAnsi="Book Antiqua" w:cs="Book Antiqua"/>
          <w:color w:val="000000" w:themeColor="text1"/>
          <w:lang w:eastAsia="zh-CN"/>
        </w:rPr>
        <w:t>’</w:t>
      </w:r>
      <w:r w:rsidRPr="003D587E">
        <w:rPr>
          <w:rFonts w:ascii="Book Antiqua" w:eastAsia="Book Antiqua" w:hAnsi="Book Antiqua" w:cs="Book Antiqua" w:hint="eastAsia"/>
          <w:color w:val="000000" w:themeColor="text1"/>
          <w:lang w:eastAsia="zh-CN"/>
        </w:rPr>
        <w:t>s Liberation Army</w:t>
      </w:r>
      <w:r w:rsidRPr="003D587E">
        <w:rPr>
          <w:rFonts w:hint="eastAsia"/>
          <w:color w:val="000000" w:themeColor="text1"/>
          <w:lang w:eastAsia="zh-CN"/>
        </w:rPr>
        <w:t xml:space="preserve"> </w:t>
      </w:r>
      <w:r w:rsidRPr="003D587E">
        <w:rPr>
          <w:rFonts w:ascii="Book Antiqua" w:eastAsia="Book Antiqua" w:hAnsi="Book Antiqua" w:cs="Book Antiqua"/>
          <w:color w:val="000000" w:themeColor="text1"/>
        </w:rPr>
        <w:t xml:space="preserve">General Hospital, </w:t>
      </w:r>
      <w:proofErr w:type="spellStart"/>
      <w:r w:rsidRPr="003D587E">
        <w:rPr>
          <w:rFonts w:ascii="Book Antiqua" w:eastAsia="Book Antiqua" w:hAnsi="Book Antiqua" w:cs="Book Antiqua"/>
          <w:color w:val="000000" w:themeColor="text1"/>
        </w:rPr>
        <w:t>Sanya</w:t>
      </w:r>
      <w:proofErr w:type="spellEnd"/>
      <w:r w:rsidRPr="003D587E">
        <w:rPr>
          <w:rFonts w:ascii="Book Antiqua" w:eastAsia="Book Antiqua" w:hAnsi="Book Antiqua" w:cs="Book Antiqua"/>
          <w:color w:val="000000" w:themeColor="text1"/>
        </w:rPr>
        <w:t xml:space="preserve"> 572013, Hainan Province, China</w:t>
      </w:r>
    </w:p>
    <w:p w14:paraId="56F2DB14" w14:textId="77777777" w:rsidR="00E02726" w:rsidRPr="003D587E" w:rsidRDefault="00E02726">
      <w:pPr>
        <w:spacing w:line="360" w:lineRule="auto"/>
        <w:jc w:val="both"/>
        <w:rPr>
          <w:color w:val="000000" w:themeColor="text1"/>
        </w:rPr>
      </w:pPr>
    </w:p>
    <w:p w14:paraId="3DCB7AD6"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szCs w:val="21"/>
        </w:rPr>
        <w:t xml:space="preserve">Author contributions: </w:t>
      </w:r>
      <w:r w:rsidRPr="003D587E">
        <w:rPr>
          <w:rFonts w:ascii="Book Antiqua" w:eastAsia="Book Antiqua" w:hAnsi="Book Antiqua" w:cs="Book Antiqua"/>
          <w:color w:val="000000" w:themeColor="text1"/>
        </w:rPr>
        <w:t xml:space="preserve">Liu M contributed to the design, analysis, and drafted the manuscript; Li X contributed to the analysis, and critically revised the manuscript; Luo C contributed to the analysis; </w:t>
      </w:r>
      <w:proofErr w:type="spellStart"/>
      <w:r w:rsidRPr="003D587E">
        <w:rPr>
          <w:rFonts w:ascii="Book Antiqua" w:eastAsia="Book Antiqua" w:hAnsi="Book Antiqua" w:cs="Book Antiqua"/>
          <w:color w:val="000000" w:themeColor="text1"/>
        </w:rPr>
        <w:t>Xie</w:t>
      </w:r>
      <w:proofErr w:type="spellEnd"/>
      <w:r w:rsidRPr="003D587E">
        <w:rPr>
          <w:rFonts w:ascii="Book Antiqua" w:eastAsia="Book Antiqua" w:hAnsi="Book Antiqua" w:cs="Book Antiqua"/>
          <w:color w:val="000000" w:themeColor="text1"/>
        </w:rPr>
        <w:t xml:space="preserve"> ZZ collected medical history information, and </w:t>
      </w:r>
      <w:hyperlink r:id="rId8" w:history="1">
        <w:r w:rsidRPr="003D587E">
          <w:rPr>
            <w:rFonts w:ascii="Book Antiqua" w:eastAsia="Book Antiqua" w:hAnsi="Book Antiqua" w:cs="Book Antiqua"/>
            <w:color w:val="000000" w:themeColor="text1"/>
          </w:rPr>
          <w:t>edited</w:t>
        </w:r>
      </w:hyperlink>
      <w:r w:rsidRPr="003D587E">
        <w:rPr>
          <w:rFonts w:ascii="Book Antiqua" w:eastAsia="Book Antiqua" w:hAnsi="Book Antiqua" w:cs="Book Antiqua"/>
          <w:color w:val="000000" w:themeColor="text1"/>
        </w:rPr>
        <w:t xml:space="preserve"> charts; and all authors read and approved the final manuscript.</w:t>
      </w:r>
    </w:p>
    <w:p w14:paraId="42344526" w14:textId="77777777" w:rsidR="00E02726" w:rsidRPr="003D587E" w:rsidRDefault="00E02726">
      <w:pPr>
        <w:spacing w:line="360" w:lineRule="auto"/>
        <w:jc w:val="both"/>
        <w:rPr>
          <w:color w:val="000000" w:themeColor="text1"/>
        </w:rPr>
      </w:pPr>
    </w:p>
    <w:p w14:paraId="6A4DA1BD"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Corresponding author: </w:t>
      </w:r>
      <w:proofErr w:type="spellStart"/>
      <w:r w:rsidRPr="003D587E">
        <w:rPr>
          <w:rFonts w:ascii="Book Antiqua" w:eastAsia="Book Antiqua" w:hAnsi="Book Antiqua" w:cs="Book Antiqua"/>
          <w:b/>
          <w:bCs/>
          <w:color w:val="000000" w:themeColor="text1"/>
        </w:rPr>
        <w:t>Xun</w:t>
      </w:r>
      <w:proofErr w:type="spellEnd"/>
      <w:r w:rsidRPr="003D587E">
        <w:rPr>
          <w:rFonts w:ascii="Book Antiqua" w:eastAsia="Book Antiqua" w:hAnsi="Book Antiqua" w:cs="Book Antiqua"/>
          <w:b/>
          <w:bCs/>
          <w:color w:val="000000" w:themeColor="text1"/>
        </w:rPr>
        <w:t xml:space="preserve"> Li, MD, Chief Physician, </w:t>
      </w:r>
      <w:r w:rsidRPr="003D587E">
        <w:rPr>
          <w:rFonts w:ascii="Book Antiqua" w:eastAsia="Book Antiqua" w:hAnsi="Book Antiqua" w:cs="Book Antiqua"/>
          <w:color w:val="000000" w:themeColor="text1"/>
        </w:rPr>
        <w:t>Department of Medical Oncology, Haikou People's Hospital, No. 43 Renmin Avenue, Haikou 570100, Hainan, China. 1984661032@qq.com</w:t>
      </w:r>
    </w:p>
    <w:p w14:paraId="3F42AED2" w14:textId="77777777" w:rsidR="00E02726" w:rsidRPr="003D587E" w:rsidRDefault="00E02726">
      <w:pPr>
        <w:spacing w:line="360" w:lineRule="auto"/>
        <w:jc w:val="both"/>
        <w:rPr>
          <w:color w:val="000000" w:themeColor="text1"/>
        </w:rPr>
      </w:pPr>
    </w:p>
    <w:p w14:paraId="7C397BFD"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Received: </w:t>
      </w:r>
      <w:r w:rsidRPr="003D587E">
        <w:rPr>
          <w:rFonts w:ascii="Book Antiqua" w:eastAsia="Book Antiqua" w:hAnsi="Book Antiqua" w:cs="Book Antiqua"/>
          <w:color w:val="000000" w:themeColor="text1"/>
        </w:rPr>
        <w:t>September 19, 2021</w:t>
      </w:r>
    </w:p>
    <w:p w14:paraId="4456809C"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Revised: </w:t>
      </w:r>
      <w:r w:rsidRPr="003D587E">
        <w:rPr>
          <w:rFonts w:ascii="Book Antiqua" w:eastAsia="Book Antiqua" w:hAnsi="Book Antiqua" w:cs="Book Antiqua"/>
          <w:color w:val="000000" w:themeColor="text1"/>
        </w:rPr>
        <w:t>December 19, 2021</w:t>
      </w:r>
    </w:p>
    <w:p w14:paraId="4590C97F" w14:textId="6A38D4C5"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Accepted: </w:t>
      </w:r>
      <w:r w:rsidR="00CF577D" w:rsidRPr="00CF577D">
        <w:rPr>
          <w:rFonts w:ascii="Book Antiqua" w:eastAsia="Book Antiqua" w:hAnsi="Book Antiqua" w:cs="Book Antiqua"/>
          <w:color w:val="000000" w:themeColor="text1"/>
        </w:rPr>
        <w:t>April 22, 2022</w:t>
      </w:r>
    </w:p>
    <w:p w14:paraId="5E8EEB65"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Published online: </w:t>
      </w:r>
    </w:p>
    <w:p w14:paraId="2BE96EDD" w14:textId="77777777" w:rsidR="00E02726" w:rsidRPr="003D587E" w:rsidRDefault="00E02726">
      <w:pPr>
        <w:spacing w:line="360" w:lineRule="auto"/>
        <w:jc w:val="both"/>
        <w:rPr>
          <w:color w:val="000000" w:themeColor="text1"/>
        </w:rPr>
      </w:pPr>
    </w:p>
    <w:p w14:paraId="354EE0B7"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Abstract</w:t>
      </w:r>
    </w:p>
    <w:p w14:paraId="2E0F8A73"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BACKGROUND</w:t>
      </w:r>
    </w:p>
    <w:p w14:paraId="253F1992"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Gastric hepatoid adenocarcinoma (GHA) is a rare and aggressive cancer that is characterized by foci with features of both hepatocellular differentiation and adenomatous differentiation. However, there is currently no standard treatment for this disease, which has a poor prognosis. </w:t>
      </w:r>
    </w:p>
    <w:p w14:paraId="00C4CDEF" w14:textId="77777777" w:rsidR="00E02726" w:rsidRPr="003D587E" w:rsidRDefault="00E02726">
      <w:pPr>
        <w:spacing w:line="360" w:lineRule="auto"/>
        <w:jc w:val="both"/>
        <w:rPr>
          <w:color w:val="000000" w:themeColor="text1"/>
        </w:rPr>
      </w:pPr>
    </w:p>
    <w:p w14:paraId="191CFFC6"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CASE SUMMARY</w:t>
      </w:r>
    </w:p>
    <w:p w14:paraId="088D2062"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A 72-year-old male with a body mass index of 20.9 was diagnosed with GHA with </w:t>
      </w:r>
      <w:proofErr w:type="spellStart"/>
      <w:r w:rsidRPr="003D587E">
        <w:rPr>
          <w:rFonts w:ascii="Book Antiqua" w:eastAsia="Book Antiqua" w:hAnsi="Book Antiqua" w:cs="Book Antiqua"/>
          <w:color w:val="000000" w:themeColor="text1"/>
        </w:rPr>
        <w:t>perigastric</w:t>
      </w:r>
      <w:proofErr w:type="spellEnd"/>
      <w:r w:rsidRPr="003D587E">
        <w:rPr>
          <w:rFonts w:ascii="Book Antiqua" w:eastAsia="Book Antiqua" w:hAnsi="Book Antiqua" w:cs="Book Antiqua"/>
          <w:color w:val="000000" w:themeColor="text1"/>
        </w:rPr>
        <w:t xml:space="preserve"> lymph node and liver metastasis. He underwent first-line chemotherapy but that failed. Pembrolizumab and bevacizumab with chemotherapy were used in the second-line treatment. The progression-free survival and overall survival were 14 </w:t>
      </w:r>
      <w:proofErr w:type="spellStart"/>
      <w:r w:rsidRPr="003D587E">
        <w:rPr>
          <w:rFonts w:ascii="Book Antiqua" w:eastAsia="Book Antiqua" w:hAnsi="Book Antiqua" w:cs="Book Antiqua"/>
          <w:color w:val="000000" w:themeColor="text1"/>
        </w:rPr>
        <w:t>mo</w:t>
      </w:r>
      <w:proofErr w:type="spellEnd"/>
      <w:r w:rsidRPr="003D587E">
        <w:rPr>
          <w:rFonts w:ascii="Book Antiqua" w:eastAsia="Book Antiqua" w:hAnsi="Book Antiqua" w:cs="Book Antiqua"/>
          <w:color w:val="000000" w:themeColor="text1"/>
        </w:rPr>
        <w:t xml:space="preserve"> and 16 </w:t>
      </w:r>
      <w:proofErr w:type="spellStart"/>
      <w:r w:rsidRPr="003D587E">
        <w:rPr>
          <w:rFonts w:ascii="Book Antiqua" w:eastAsia="Book Antiqua" w:hAnsi="Book Antiqua" w:cs="Book Antiqua"/>
          <w:color w:val="000000" w:themeColor="text1"/>
        </w:rPr>
        <w:t>mo</w:t>
      </w:r>
      <w:proofErr w:type="spellEnd"/>
      <w:r w:rsidRPr="003D587E">
        <w:rPr>
          <w:rFonts w:ascii="Book Antiqua" w:eastAsia="Book Antiqua" w:hAnsi="Book Antiqua" w:cs="Book Antiqua"/>
          <w:color w:val="000000" w:themeColor="text1"/>
        </w:rPr>
        <w:t xml:space="preserve">, respectively, after treatment. In addition, the main adverse reaction was tolerable. The patient did not die of tumor progression. </w:t>
      </w:r>
    </w:p>
    <w:p w14:paraId="291FF93A" w14:textId="77777777" w:rsidR="00E02726" w:rsidRPr="003D587E" w:rsidRDefault="00E02726">
      <w:pPr>
        <w:spacing w:line="360" w:lineRule="auto"/>
        <w:jc w:val="both"/>
        <w:rPr>
          <w:color w:val="000000" w:themeColor="text1"/>
        </w:rPr>
      </w:pPr>
    </w:p>
    <w:p w14:paraId="4AA8E8F2"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CONCLUSION</w:t>
      </w:r>
    </w:p>
    <w:p w14:paraId="4CFD56F4"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The combination of pembrolizumab and bevacizumab with chemotherapy is an effective and safe regimen for GHA and may be recommended as a new choice for GHA treatment. Further studies should evaluate this treatment in a larger cohort or a randomized controlled trial.</w:t>
      </w:r>
    </w:p>
    <w:p w14:paraId="2DFDB84A" w14:textId="77777777" w:rsidR="00E02726" w:rsidRPr="003D587E" w:rsidRDefault="00E02726">
      <w:pPr>
        <w:spacing w:line="360" w:lineRule="auto"/>
        <w:jc w:val="both"/>
        <w:rPr>
          <w:color w:val="000000" w:themeColor="text1"/>
        </w:rPr>
      </w:pPr>
    </w:p>
    <w:p w14:paraId="7993CD11"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Key Words: </w:t>
      </w:r>
      <w:r w:rsidRPr="003D587E">
        <w:rPr>
          <w:rFonts w:ascii="Book Antiqua" w:eastAsia="Book Antiqua" w:hAnsi="Book Antiqua" w:cs="Book Antiqua"/>
          <w:color w:val="000000" w:themeColor="text1"/>
        </w:rPr>
        <w:t>Gastric hepatoid adenocarcinoma; Serum; Immunotherapy; Targeted therapy; Chemotherapy; C</w:t>
      </w:r>
      <w:r w:rsidRPr="003D587E">
        <w:rPr>
          <w:rFonts w:ascii="Book Antiqua" w:hAnsi="Book Antiqua" w:cs="Book Antiqua"/>
          <w:color w:val="000000" w:themeColor="text1"/>
          <w:lang w:eastAsia="zh-CN"/>
        </w:rPr>
        <w:t>ase</w:t>
      </w:r>
      <w:r w:rsidRPr="003D587E">
        <w:rPr>
          <w:rFonts w:ascii="Book Antiqua" w:eastAsia="Book Antiqua" w:hAnsi="Book Antiqua" w:cs="Book Antiqua"/>
          <w:color w:val="000000" w:themeColor="text1"/>
        </w:rPr>
        <w:t xml:space="preserve"> report</w:t>
      </w:r>
    </w:p>
    <w:p w14:paraId="362EEB61" w14:textId="77777777" w:rsidR="00E02726" w:rsidRPr="003D587E" w:rsidRDefault="00E02726">
      <w:pPr>
        <w:spacing w:line="360" w:lineRule="auto"/>
        <w:jc w:val="both"/>
        <w:rPr>
          <w:color w:val="000000" w:themeColor="text1"/>
        </w:rPr>
      </w:pPr>
    </w:p>
    <w:p w14:paraId="4108B8C9"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Liu M, Luo C, </w:t>
      </w:r>
      <w:proofErr w:type="spellStart"/>
      <w:r w:rsidRPr="003D587E">
        <w:rPr>
          <w:rFonts w:ascii="Book Antiqua" w:eastAsia="Book Antiqua" w:hAnsi="Book Antiqua" w:cs="Book Antiqua"/>
          <w:color w:val="000000" w:themeColor="text1"/>
        </w:rPr>
        <w:t>Xie</w:t>
      </w:r>
      <w:proofErr w:type="spellEnd"/>
      <w:r w:rsidRPr="003D587E">
        <w:rPr>
          <w:rFonts w:ascii="Book Antiqua" w:eastAsia="Book Antiqua" w:hAnsi="Book Antiqua" w:cs="Book Antiqua"/>
          <w:color w:val="000000" w:themeColor="text1"/>
        </w:rPr>
        <w:t xml:space="preserve"> ZZ, Li X. </w:t>
      </w:r>
      <w:r w:rsidRPr="003D587E">
        <w:rPr>
          <w:rFonts w:ascii="Book Antiqua" w:eastAsia="Book Antiqua" w:hAnsi="Book Antiqua" w:cs="Book Antiqua"/>
          <w:bCs/>
          <w:color w:val="000000" w:themeColor="text1"/>
        </w:rPr>
        <w:t>Treatment of gastric hepatoid adenocarcinoma with pembrolizumab and bevacizumab</w:t>
      </w:r>
      <w:r w:rsidRPr="003D587E">
        <w:rPr>
          <w:rFonts w:ascii="Book Antiqua" w:eastAsia="Book Antiqua" w:hAnsi="Book Antiqua" w:cs="Book Antiqua"/>
          <w:bCs/>
          <w:color w:val="000000" w:themeColor="text1"/>
          <w:szCs w:val="28"/>
        </w:rPr>
        <w:t xml:space="preserve"> </w:t>
      </w:r>
      <w:r w:rsidRPr="003D587E">
        <w:rPr>
          <w:rFonts w:ascii="Book Antiqua" w:eastAsia="Book Antiqua" w:hAnsi="Book Antiqua" w:cs="Book Antiqua"/>
          <w:bCs/>
          <w:color w:val="000000" w:themeColor="text1"/>
        </w:rPr>
        <w:t>combination chemotherapy: A case report</w:t>
      </w:r>
      <w:r w:rsidRPr="003D587E">
        <w:rPr>
          <w:rFonts w:ascii="Book Antiqua" w:eastAsia="Book Antiqua" w:hAnsi="Book Antiqua" w:cs="Book Antiqua"/>
          <w:color w:val="000000" w:themeColor="text1"/>
        </w:rPr>
        <w:t xml:space="preserve">. </w:t>
      </w:r>
      <w:r w:rsidRPr="003D587E">
        <w:rPr>
          <w:rFonts w:ascii="Book Antiqua" w:eastAsia="Book Antiqua" w:hAnsi="Book Antiqua" w:cs="Book Antiqua"/>
          <w:i/>
          <w:iCs/>
          <w:color w:val="000000" w:themeColor="text1"/>
        </w:rPr>
        <w:t>World J Clin Cases</w:t>
      </w:r>
      <w:r w:rsidRPr="003D587E">
        <w:rPr>
          <w:rFonts w:ascii="Book Antiqua" w:eastAsia="Book Antiqua" w:hAnsi="Book Antiqua" w:cs="Book Antiqua"/>
          <w:color w:val="000000" w:themeColor="text1"/>
        </w:rPr>
        <w:t xml:space="preserve"> 2022; In press</w:t>
      </w:r>
    </w:p>
    <w:p w14:paraId="06A5DAFA" w14:textId="77777777" w:rsidR="00E02726" w:rsidRPr="003D587E" w:rsidRDefault="00E02726">
      <w:pPr>
        <w:spacing w:line="360" w:lineRule="auto"/>
        <w:jc w:val="both"/>
        <w:rPr>
          <w:color w:val="000000" w:themeColor="text1"/>
        </w:rPr>
      </w:pPr>
    </w:p>
    <w:p w14:paraId="23CE6823"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szCs w:val="21"/>
        </w:rPr>
        <w:lastRenderedPageBreak/>
        <w:t xml:space="preserve">Core Tip: </w:t>
      </w:r>
      <w:r w:rsidRPr="003D587E">
        <w:rPr>
          <w:rFonts w:ascii="Book Antiqua" w:eastAsia="Book Antiqua" w:hAnsi="Book Antiqua" w:cs="Book Antiqua"/>
          <w:color w:val="000000" w:themeColor="text1"/>
        </w:rPr>
        <w:t xml:space="preserve">We report a rare case of gastric hepatoid adenocarcinoma in a patient who underwent general chemotherapy that failed. However, pembrolizumab and bevacizumab combination chemotherapy was successful. The overall survival was 16 </w:t>
      </w:r>
      <w:proofErr w:type="spellStart"/>
      <w:r w:rsidRPr="003D587E">
        <w:rPr>
          <w:rFonts w:ascii="Book Antiqua" w:eastAsia="Book Antiqua" w:hAnsi="Book Antiqua" w:cs="Book Antiqua"/>
          <w:color w:val="000000" w:themeColor="text1"/>
        </w:rPr>
        <w:t>mo</w:t>
      </w:r>
      <w:proofErr w:type="spellEnd"/>
      <w:r w:rsidRPr="003D587E">
        <w:rPr>
          <w:rFonts w:ascii="Book Antiqua" w:eastAsia="Book Antiqua" w:hAnsi="Book Antiqua" w:cs="Book Antiqua"/>
          <w:color w:val="000000" w:themeColor="text1"/>
        </w:rPr>
        <w:t>, and the main adverse reaction was tolerable. The patient died of intestinal infection rather than tumor progression.</w:t>
      </w:r>
    </w:p>
    <w:p w14:paraId="407DCCD9" w14:textId="77777777" w:rsidR="00E02726" w:rsidRPr="003D587E" w:rsidRDefault="00E02726">
      <w:pPr>
        <w:spacing w:line="360" w:lineRule="auto"/>
        <w:jc w:val="both"/>
        <w:rPr>
          <w:color w:val="000000" w:themeColor="text1"/>
        </w:rPr>
      </w:pPr>
    </w:p>
    <w:p w14:paraId="35287B45"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aps/>
          <w:color w:val="000000" w:themeColor="text1"/>
          <w:u w:val="single"/>
        </w:rPr>
        <w:t>INTRODUCTION</w:t>
      </w:r>
    </w:p>
    <w:p w14:paraId="6D0DE91F"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Gastric hepatoid adenocarcinoma (GHA) is a primary gastric cancer with the characteristics of adenocarcinoma and hepatocellular carcinoma-like differentiation. GHA is a rare and special subtype of gastric cancer with a clinical incidence rate that is less than or equal to 1</w:t>
      </w:r>
      <w:proofErr w:type="gramStart"/>
      <w:r w:rsidRPr="003D587E">
        <w:rPr>
          <w:rFonts w:ascii="Book Antiqua" w:eastAsia="Book Antiqua" w:hAnsi="Book Antiqua" w:cs="Book Antiqua"/>
          <w:color w:val="000000" w:themeColor="text1"/>
        </w:rPr>
        <w:t>%</w:t>
      </w:r>
      <w:r w:rsidRPr="003D587E">
        <w:rPr>
          <w:rFonts w:ascii="Book Antiqua" w:eastAsia="Book Antiqua" w:hAnsi="Book Antiqua" w:cs="Book Antiqua"/>
          <w:color w:val="000000" w:themeColor="text1"/>
          <w:vertAlign w:val="superscript"/>
        </w:rPr>
        <w:t>[</w:t>
      </w:r>
      <w:proofErr w:type="gramEnd"/>
      <w:r w:rsidRPr="003D587E">
        <w:rPr>
          <w:rFonts w:ascii="Book Antiqua" w:eastAsia="Book Antiqua" w:hAnsi="Book Antiqua" w:cs="Book Antiqua"/>
          <w:color w:val="000000" w:themeColor="text1"/>
          <w:vertAlign w:val="superscript"/>
        </w:rPr>
        <w:t>1-3]</w:t>
      </w:r>
      <w:r w:rsidRPr="003D587E">
        <w:rPr>
          <w:rFonts w:ascii="Book Antiqua" w:eastAsia="Book Antiqua" w:hAnsi="Book Antiqua" w:cs="Book Antiqua"/>
          <w:color w:val="000000" w:themeColor="text1"/>
        </w:rPr>
        <w:t xml:space="preserve">. GHA is more common in men. Most patients have high serum AFP levels and are prone to lymph node and liver metastasis. The median overall survival time of GHA is 6-17 </w:t>
      </w:r>
      <w:proofErr w:type="spellStart"/>
      <w:proofErr w:type="gramStart"/>
      <w:r w:rsidRPr="003D587E">
        <w:rPr>
          <w:rFonts w:ascii="Book Antiqua" w:eastAsia="Book Antiqua" w:hAnsi="Book Antiqua" w:cs="Book Antiqua"/>
          <w:color w:val="000000" w:themeColor="text1"/>
        </w:rPr>
        <w:t>mo</w:t>
      </w:r>
      <w:proofErr w:type="spellEnd"/>
      <w:r w:rsidRPr="003D587E">
        <w:rPr>
          <w:rFonts w:ascii="Book Antiqua" w:eastAsia="Book Antiqua" w:hAnsi="Book Antiqua" w:cs="Book Antiqua"/>
          <w:color w:val="000000" w:themeColor="text1"/>
          <w:vertAlign w:val="superscript"/>
        </w:rPr>
        <w:t>[</w:t>
      </w:r>
      <w:proofErr w:type="gramEnd"/>
      <w:r w:rsidRPr="003D587E">
        <w:rPr>
          <w:rFonts w:ascii="Book Antiqua" w:eastAsia="Book Antiqua" w:hAnsi="Book Antiqua" w:cs="Book Antiqua"/>
          <w:color w:val="000000" w:themeColor="text1"/>
          <w:vertAlign w:val="superscript"/>
        </w:rPr>
        <w:t>4-6]</w:t>
      </w:r>
      <w:r w:rsidRPr="003D587E">
        <w:rPr>
          <w:rFonts w:ascii="Book Antiqua" w:eastAsia="Book Antiqua" w:hAnsi="Book Antiqua" w:cs="Book Antiqua"/>
          <w:color w:val="000000" w:themeColor="text1"/>
        </w:rPr>
        <w:t>. Some studies have confirmed that the prognosis of patients with GHA is worse than that of patients with common gastric cancer. However, there is currently no standard treatment for this disease.</w:t>
      </w:r>
    </w:p>
    <w:p w14:paraId="49B5290C" w14:textId="77777777" w:rsidR="00E02726" w:rsidRPr="003D587E" w:rsidRDefault="00395242">
      <w:pPr>
        <w:spacing w:line="360" w:lineRule="auto"/>
        <w:ind w:firstLineChars="200" w:firstLine="480"/>
        <w:jc w:val="both"/>
        <w:rPr>
          <w:color w:val="000000" w:themeColor="text1"/>
        </w:rPr>
      </w:pPr>
      <w:r w:rsidRPr="003D587E">
        <w:rPr>
          <w:rFonts w:ascii="Book Antiqua" w:eastAsia="Book Antiqua" w:hAnsi="Book Antiqua" w:cs="Book Antiqua"/>
          <w:color w:val="000000" w:themeColor="text1"/>
        </w:rPr>
        <w:t xml:space="preserve">We report a case of GHA who experienced general chemotherapy failure. Pembrolizumab and bevacizumab combination chemotherapy was successful. The overall survival (OS) was 16 </w:t>
      </w:r>
      <w:proofErr w:type="spellStart"/>
      <w:r w:rsidRPr="003D587E">
        <w:rPr>
          <w:rFonts w:ascii="Book Antiqua" w:eastAsia="Book Antiqua" w:hAnsi="Book Antiqua" w:cs="Book Antiqua"/>
          <w:color w:val="000000" w:themeColor="text1"/>
        </w:rPr>
        <w:t>mo</w:t>
      </w:r>
      <w:proofErr w:type="spellEnd"/>
      <w:r w:rsidRPr="003D587E">
        <w:rPr>
          <w:rFonts w:ascii="Book Antiqua" w:eastAsia="Book Antiqua" w:hAnsi="Book Antiqua" w:cs="Book Antiqua"/>
          <w:color w:val="000000" w:themeColor="text1"/>
        </w:rPr>
        <w:t>, and the main adverse reaction was tolerable.</w:t>
      </w:r>
    </w:p>
    <w:p w14:paraId="45F482A8" w14:textId="77777777" w:rsidR="00E02726" w:rsidRPr="003D587E" w:rsidRDefault="00E02726">
      <w:pPr>
        <w:spacing w:line="360" w:lineRule="auto"/>
        <w:jc w:val="both"/>
        <w:rPr>
          <w:color w:val="000000" w:themeColor="text1"/>
        </w:rPr>
      </w:pPr>
    </w:p>
    <w:p w14:paraId="504543F1"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aps/>
          <w:color w:val="000000" w:themeColor="text1"/>
          <w:u w:val="single"/>
        </w:rPr>
        <w:t>CASE PRESENTATION</w:t>
      </w:r>
    </w:p>
    <w:p w14:paraId="0C4C5762"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i/>
          <w:color w:val="000000" w:themeColor="text1"/>
        </w:rPr>
        <w:t>Chief complaints</w:t>
      </w:r>
    </w:p>
    <w:p w14:paraId="67C1147B"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A 72-year-old male was admitted to our hospital in December 2019 with a 3-mo history of epigastric pain.</w:t>
      </w:r>
    </w:p>
    <w:p w14:paraId="753B9044" w14:textId="77777777" w:rsidR="00E02726" w:rsidRPr="003D587E" w:rsidRDefault="00E02726">
      <w:pPr>
        <w:spacing w:line="360" w:lineRule="auto"/>
        <w:jc w:val="both"/>
        <w:rPr>
          <w:color w:val="000000" w:themeColor="text1"/>
        </w:rPr>
      </w:pPr>
    </w:p>
    <w:p w14:paraId="091A7BE4"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i/>
          <w:color w:val="000000" w:themeColor="text1"/>
        </w:rPr>
        <w:t>History of present illness</w:t>
      </w:r>
    </w:p>
    <w:p w14:paraId="580F7E9E"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Three months before admission, the patient began to experience epigastric pain. He had no abdominal distention, diarrhea, nausea, vomiting, </w:t>
      </w:r>
      <w:r w:rsidRPr="003D587E">
        <w:rPr>
          <w:rFonts w:ascii="Book Antiqua" w:eastAsia="Book Antiqua" w:hAnsi="Book Antiqua" w:cs="Book Antiqua"/>
          <w:i/>
          <w:iCs/>
          <w:color w:val="000000" w:themeColor="text1"/>
        </w:rPr>
        <w:t>etc.</w:t>
      </w:r>
      <w:r w:rsidRPr="003D587E">
        <w:rPr>
          <w:rFonts w:ascii="Book Antiqua" w:eastAsia="Book Antiqua" w:hAnsi="Book Antiqua" w:cs="Book Antiqua"/>
          <w:color w:val="000000" w:themeColor="text1"/>
        </w:rPr>
        <w:t xml:space="preserve"> Because the symptoms persisted and tended to worsen, the patient visited our hospital for further evaluation.</w:t>
      </w:r>
    </w:p>
    <w:p w14:paraId="6579545B" w14:textId="77777777" w:rsidR="00E02726" w:rsidRPr="003D587E" w:rsidRDefault="00E02726">
      <w:pPr>
        <w:spacing w:line="360" w:lineRule="auto"/>
        <w:jc w:val="both"/>
        <w:rPr>
          <w:color w:val="000000" w:themeColor="text1"/>
        </w:rPr>
      </w:pPr>
    </w:p>
    <w:p w14:paraId="7AA6028B"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i/>
          <w:color w:val="000000" w:themeColor="text1"/>
        </w:rPr>
        <w:t>History of past illness</w:t>
      </w:r>
    </w:p>
    <w:p w14:paraId="4DBC8661"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lastRenderedPageBreak/>
        <w:t>He had no history of other diseases.</w:t>
      </w:r>
    </w:p>
    <w:p w14:paraId="547C290E" w14:textId="77777777" w:rsidR="00E02726" w:rsidRPr="003D587E" w:rsidRDefault="00E02726">
      <w:pPr>
        <w:spacing w:line="360" w:lineRule="auto"/>
        <w:jc w:val="both"/>
        <w:rPr>
          <w:color w:val="000000" w:themeColor="text1"/>
        </w:rPr>
      </w:pPr>
    </w:p>
    <w:p w14:paraId="3A3FD48E"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i/>
          <w:color w:val="000000" w:themeColor="text1"/>
        </w:rPr>
        <w:t>Personal and family history</w:t>
      </w:r>
    </w:p>
    <w:p w14:paraId="3DCA1697"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No family history to note.</w:t>
      </w:r>
    </w:p>
    <w:p w14:paraId="0CD171E1" w14:textId="77777777" w:rsidR="00E02726" w:rsidRPr="003D587E" w:rsidRDefault="00E02726">
      <w:pPr>
        <w:spacing w:line="360" w:lineRule="auto"/>
        <w:jc w:val="both"/>
        <w:rPr>
          <w:color w:val="000000" w:themeColor="text1"/>
        </w:rPr>
      </w:pPr>
    </w:p>
    <w:p w14:paraId="5A0A821A"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i/>
          <w:color w:val="000000" w:themeColor="text1"/>
        </w:rPr>
        <w:t>Physical examination</w:t>
      </w:r>
    </w:p>
    <w:p w14:paraId="602E1694"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Upon physical examination, the abdomen was flat and soft. There was tenderness in the upper abdomen without rebound pain or muscle tension. There was no mass in the abdomen, and there was no swelling of the liver or spleen.</w:t>
      </w:r>
    </w:p>
    <w:p w14:paraId="632524A0" w14:textId="77777777" w:rsidR="00E02726" w:rsidRPr="003D587E" w:rsidRDefault="00E02726">
      <w:pPr>
        <w:spacing w:line="360" w:lineRule="auto"/>
        <w:jc w:val="both"/>
        <w:rPr>
          <w:color w:val="000000" w:themeColor="text1"/>
        </w:rPr>
      </w:pPr>
    </w:p>
    <w:p w14:paraId="22FAE771"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i/>
          <w:color w:val="000000" w:themeColor="text1"/>
        </w:rPr>
        <w:t>Laboratory examinations</w:t>
      </w:r>
    </w:p>
    <w:p w14:paraId="0E8DA150"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Routine blood examination, blood coagulation function, urinalysis, stool analysis, liver chemistry tests, urea, creatinine, uric acid and electrocardiogram results were all within normal limits. His serum AFP was 339.6 </w:t>
      </w:r>
      <w:proofErr w:type="spellStart"/>
      <w:r w:rsidRPr="003D587E">
        <w:rPr>
          <w:rFonts w:hint="eastAsia"/>
          <w:color w:val="000000" w:themeColor="text1"/>
        </w:rPr>
        <w:t>μ</w:t>
      </w:r>
      <w:r w:rsidRPr="003D587E">
        <w:rPr>
          <w:rFonts w:ascii="Book Antiqua" w:eastAsia="Book Antiqua" w:hAnsi="Book Antiqua" w:cs="Book Antiqua"/>
          <w:color w:val="000000" w:themeColor="text1"/>
        </w:rPr>
        <w:t>g</w:t>
      </w:r>
      <w:proofErr w:type="spellEnd"/>
      <w:r w:rsidRPr="003D587E">
        <w:rPr>
          <w:rFonts w:ascii="Book Antiqua" w:eastAsia="Book Antiqua" w:hAnsi="Book Antiqua" w:cs="Book Antiqua"/>
          <w:color w:val="000000" w:themeColor="text1"/>
        </w:rPr>
        <w:t>/L on December 5, 2019.</w:t>
      </w:r>
    </w:p>
    <w:p w14:paraId="6A722392" w14:textId="77777777" w:rsidR="00E02726" w:rsidRPr="003D587E" w:rsidRDefault="00E02726">
      <w:pPr>
        <w:spacing w:line="360" w:lineRule="auto"/>
        <w:jc w:val="both"/>
        <w:rPr>
          <w:rFonts w:ascii="Book Antiqua" w:eastAsia="Book Antiqua" w:hAnsi="Book Antiqua" w:cs="Book Antiqua"/>
          <w:b/>
          <w:i/>
          <w:color w:val="000000" w:themeColor="text1"/>
        </w:rPr>
      </w:pPr>
    </w:p>
    <w:p w14:paraId="37CB8A01"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i/>
          <w:color w:val="000000" w:themeColor="text1"/>
        </w:rPr>
        <w:t>Imaging examinations</w:t>
      </w:r>
    </w:p>
    <w:p w14:paraId="167A2CC5"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An abdominal enhanced computed tomography (CT) scan revealed the following: (1) The gastric fundus and cardia were occupied malignant tumors and multiple lymph node metastases were found around the stomach; and (2) The right anterior lobe of the liver had a low density and was considered metastatic (Figure 1). PET/CT examination showed gastric cancer with </w:t>
      </w:r>
      <w:proofErr w:type="spellStart"/>
      <w:r w:rsidRPr="003D587E">
        <w:rPr>
          <w:rFonts w:ascii="Book Antiqua" w:eastAsia="Book Antiqua" w:hAnsi="Book Antiqua" w:cs="Book Antiqua"/>
          <w:color w:val="000000" w:themeColor="text1"/>
        </w:rPr>
        <w:t>perigastric</w:t>
      </w:r>
      <w:proofErr w:type="spellEnd"/>
      <w:r w:rsidRPr="003D587E">
        <w:rPr>
          <w:rFonts w:ascii="Book Antiqua" w:eastAsia="Book Antiqua" w:hAnsi="Book Antiqua" w:cs="Book Antiqua"/>
          <w:color w:val="000000" w:themeColor="text1"/>
        </w:rPr>
        <w:t xml:space="preserve"> lymph node and liver metastasis. No obvious abnormality was found in the rest of the abdomen.</w:t>
      </w:r>
    </w:p>
    <w:p w14:paraId="68144453" w14:textId="77777777" w:rsidR="00E02726" w:rsidRPr="003D587E" w:rsidRDefault="00E02726">
      <w:pPr>
        <w:spacing w:line="360" w:lineRule="auto"/>
        <w:jc w:val="both"/>
        <w:rPr>
          <w:color w:val="000000" w:themeColor="text1"/>
        </w:rPr>
      </w:pPr>
    </w:p>
    <w:p w14:paraId="6C8E1E48"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i/>
          <w:color w:val="000000" w:themeColor="text1"/>
        </w:rPr>
        <w:t>Pathologic findings</w:t>
      </w:r>
    </w:p>
    <w:p w14:paraId="232CB335"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A gastroscopy biopsy confirmed a histopathological diagnosis of gastric hepatoid adenocarcinoma. Immunohistochemistry showed HER-2 (-), Ki-67 (+ &gt; 75%), MSH6 (+ &gt; 75%), MSH2 (+ &gt; 75%), PMS2 (+ &gt; 75%), MLH1 (+ &gt; 75%), AFP (+), hepatocytes (+), GPC-3 (+), and SALL4 (+) (Figure 2). Gene detection was performed (2019-12-27, </w:t>
      </w:r>
      <w:proofErr w:type="spellStart"/>
      <w:r w:rsidRPr="003D587E">
        <w:rPr>
          <w:rFonts w:ascii="Book Antiqua" w:eastAsia="Book Antiqua" w:hAnsi="Book Antiqua" w:cs="Book Antiqua"/>
          <w:color w:val="000000" w:themeColor="text1"/>
        </w:rPr>
        <w:t>Baishibo</w:t>
      </w:r>
      <w:proofErr w:type="spellEnd"/>
      <w:r w:rsidRPr="003D587E">
        <w:rPr>
          <w:rFonts w:ascii="Book Antiqua" w:eastAsia="Book Antiqua" w:hAnsi="Book Antiqua" w:cs="Book Antiqua"/>
          <w:color w:val="000000" w:themeColor="text1"/>
        </w:rPr>
        <w:t xml:space="preserve">, sample type: plasma and paraffin section, SP142), and programmed cell death-ligand 1 (PD-L1) protein expression in paraffin sections was positive. The percentage of positive </w:t>
      </w:r>
      <w:r w:rsidRPr="003D587E">
        <w:rPr>
          <w:rFonts w:ascii="Book Antiqua" w:eastAsia="Book Antiqua" w:hAnsi="Book Antiqua" w:cs="Book Antiqua"/>
          <w:color w:val="000000" w:themeColor="text1"/>
        </w:rPr>
        <w:lastRenderedPageBreak/>
        <w:t>tumor cells was 0%. The comprehensive positive score was + (5%). In a paraffin section, microsatellites were stable. The TMB values were 8.94 mutations/MB (high) in plasma and 3.81 mutations/MB (moderate) in paraffin sections, with quantiles of 82.36% and 41.9%, respectively. The TP53 Levels were 57.79% in paraffin sections and 11.98% in plasma.</w:t>
      </w:r>
    </w:p>
    <w:p w14:paraId="04E3C642" w14:textId="77777777" w:rsidR="00E02726" w:rsidRPr="003D587E" w:rsidRDefault="00E02726">
      <w:pPr>
        <w:spacing w:line="360" w:lineRule="auto"/>
        <w:jc w:val="both"/>
        <w:rPr>
          <w:color w:val="000000" w:themeColor="text1"/>
        </w:rPr>
      </w:pPr>
    </w:p>
    <w:p w14:paraId="313988D3"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aps/>
          <w:color w:val="000000" w:themeColor="text1"/>
          <w:u w:val="single"/>
        </w:rPr>
        <w:t>FINAL DIAGNOSIS</w:t>
      </w:r>
    </w:p>
    <w:p w14:paraId="0742DEFF"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The patient was diagnosed with GHA, with a classification of clinical stage IV.</w:t>
      </w:r>
    </w:p>
    <w:p w14:paraId="2B719609" w14:textId="77777777" w:rsidR="00E02726" w:rsidRPr="003D587E" w:rsidRDefault="00E02726">
      <w:pPr>
        <w:spacing w:line="360" w:lineRule="auto"/>
        <w:jc w:val="both"/>
        <w:rPr>
          <w:color w:val="000000" w:themeColor="text1"/>
        </w:rPr>
      </w:pPr>
    </w:p>
    <w:p w14:paraId="3F958FFE"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aps/>
          <w:color w:val="000000" w:themeColor="text1"/>
          <w:u w:val="single"/>
        </w:rPr>
        <w:t>TREATMENT</w:t>
      </w:r>
    </w:p>
    <w:p w14:paraId="67C1CA01"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According to the National Comprehensive Cancer Network guidelines, the patient received first-line treatment of 2 cycles of chemotherapy with oxaliplatin + </w:t>
      </w:r>
      <w:proofErr w:type="spellStart"/>
      <w:r w:rsidRPr="003D587E">
        <w:rPr>
          <w:rFonts w:ascii="Book Antiqua" w:eastAsia="Book Antiqua" w:hAnsi="Book Antiqua" w:cs="Book Antiqua"/>
          <w:color w:val="000000" w:themeColor="text1"/>
        </w:rPr>
        <w:t>teggio</w:t>
      </w:r>
      <w:proofErr w:type="spellEnd"/>
      <w:r w:rsidRPr="003D587E">
        <w:rPr>
          <w:rFonts w:ascii="Book Antiqua" w:eastAsia="Book Antiqua" w:hAnsi="Book Antiqua" w:cs="Book Antiqua"/>
          <w:color w:val="000000" w:themeColor="text1"/>
        </w:rPr>
        <w:t xml:space="preserve"> on December 17, 2019. The doses of oxaliplatin and </w:t>
      </w:r>
      <w:proofErr w:type="spellStart"/>
      <w:r w:rsidRPr="003D587E">
        <w:rPr>
          <w:rFonts w:ascii="Book Antiqua" w:eastAsia="Book Antiqua" w:hAnsi="Book Antiqua" w:cs="Book Antiqua"/>
          <w:color w:val="000000" w:themeColor="text1"/>
        </w:rPr>
        <w:t>teggio</w:t>
      </w:r>
      <w:proofErr w:type="spellEnd"/>
      <w:r w:rsidRPr="003D587E">
        <w:rPr>
          <w:rFonts w:ascii="Book Antiqua" w:eastAsia="Book Antiqua" w:hAnsi="Book Antiqua" w:cs="Book Antiqua"/>
          <w:color w:val="000000" w:themeColor="text1"/>
        </w:rPr>
        <w:t xml:space="preserve"> were 130 mg/m</w:t>
      </w:r>
      <w:r w:rsidRPr="003D587E">
        <w:rPr>
          <w:rFonts w:ascii="Book Antiqua" w:eastAsia="Book Antiqua" w:hAnsi="Book Antiqua" w:cs="Book Antiqua"/>
          <w:color w:val="000000" w:themeColor="text1"/>
          <w:szCs w:val="36"/>
          <w:vertAlign w:val="superscript"/>
        </w:rPr>
        <w:t>2</w:t>
      </w:r>
      <w:r w:rsidRPr="003D587E">
        <w:rPr>
          <w:rFonts w:ascii="Book Antiqua" w:eastAsia="Book Antiqua" w:hAnsi="Book Antiqua" w:cs="Book Antiqua"/>
          <w:color w:val="000000" w:themeColor="text1"/>
        </w:rPr>
        <w:t xml:space="preserve"> (Day 1) and 60 mg bid (Days 1-14), respectively. Then, reexamination of abdominal enhanced CT showed the following: (1) the gastric fundus and cardia were occupied, the abdominal cavity and retroperitoneal lymph node showed signs of metastasis, and the previously identified lesions were larger than before; and (2) the range of lesions in the right lobe of the liver was larger than before (</w:t>
      </w:r>
      <w:r w:rsidRPr="00612B9B">
        <w:rPr>
          <w:rFonts w:ascii="Book Antiqua" w:eastAsia="Book Antiqua" w:hAnsi="Book Antiqua" w:cs="Book Antiqua"/>
          <w:color w:val="000000" w:themeColor="text1"/>
        </w:rPr>
        <w:t>Figure 3</w:t>
      </w:r>
      <w:r w:rsidRPr="003D587E">
        <w:rPr>
          <w:rFonts w:ascii="Book Antiqua" w:eastAsia="Book Antiqua" w:hAnsi="Book Antiqua" w:cs="Book Antiqua"/>
          <w:color w:val="000000" w:themeColor="text1"/>
        </w:rPr>
        <w:t xml:space="preserve">). </w:t>
      </w:r>
    </w:p>
    <w:p w14:paraId="106F7430" w14:textId="77777777" w:rsidR="00E02726" w:rsidRPr="003D587E" w:rsidRDefault="00395242">
      <w:pPr>
        <w:spacing w:line="360" w:lineRule="auto"/>
        <w:ind w:firstLineChars="200" w:firstLine="480"/>
        <w:jc w:val="both"/>
        <w:rPr>
          <w:color w:val="000000" w:themeColor="text1"/>
        </w:rPr>
      </w:pPr>
      <w:r w:rsidRPr="003D587E">
        <w:rPr>
          <w:rFonts w:ascii="Book Antiqua" w:eastAsia="Book Antiqua" w:hAnsi="Book Antiqua" w:cs="Book Antiqua"/>
          <w:color w:val="000000" w:themeColor="text1"/>
        </w:rPr>
        <w:t xml:space="preserve">The following evaluation of curative effect is based on the Response Evaluation Criteria in Solid Tumors (RECIST) Version 1.1 standard. We selected liver metastases and the two </w:t>
      </w:r>
      <w:proofErr w:type="spellStart"/>
      <w:r w:rsidRPr="003D587E">
        <w:rPr>
          <w:rFonts w:ascii="Book Antiqua" w:eastAsia="Book Antiqua" w:hAnsi="Book Antiqua" w:cs="Book Antiqua"/>
          <w:color w:val="000000" w:themeColor="text1"/>
        </w:rPr>
        <w:t>perigastric</w:t>
      </w:r>
      <w:proofErr w:type="spellEnd"/>
      <w:r w:rsidRPr="003D587E">
        <w:rPr>
          <w:rFonts w:ascii="Book Antiqua" w:eastAsia="Book Antiqua" w:hAnsi="Book Antiqua" w:cs="Book Antiqua"/>
          <w:color w:val="000000" w:themeColor="text1"/>
        </w:rPr>
        <w:t xml:space="preserve"> malignant lymph nodes (indicated by the arrow in Figure 3) as target lesions, in which the maximum diameter of liver metastases and the minimum diameter of </w:t>
      </w:r>
      <w:proofErr w:type="spellStart"/>
      <w:r w:rsidRPr="003D587E">
        <w:rPr>
          <w:rFonts w:ascii="Book Antiqua" w:eastAsia="Book Antiqua" w:hAnsi="Book Antiqua" w:cs="Book Antiqua"/>
          <w:color w:val="000000" w:themeColor="text1"/>
        </w:rPr>
        <w:t>perigastric</w:t>
      </w:r>
      <w:proofErr w:type="spellEnd"/>
      <w:r w:rsidRPr="003D587E">
        <w:rPr>
          <w:rFonts w:ascii="Book Antiqua" w:eastAsia="Book Antiqua" w:hAnsi="Book Antiqua" w:cs="Book Antiqua"/>
          <w:color w:val="000000" w:themeColor="text1"/>
        </w:rPr>
        <w:t xml:space="preserve"> malignant lymph nodes were measured. The sum of the three was the measurable lesion length. See Table 1 for detailed data. Disease progression (PD) was evaluated. Due to failure of first-line chemotherapy, the effective probability of second-line chemotherapy by itself was not high. GHA has similar components to hepatocellular carcinoma. In recent years, drug treatments for liver cancer have been tried as treatments for GHA. After communicating with the patient and his family and obtaining their consent, we decided to try second-line chemotherapy with pembrolizumab and bevacizumab in February 2020. The doses of </w:t>
      </w:r>
      <w:proofErr w:type="spellStart"/>
      <w:r w:rsidRPr="003D587E">
        <w:rPr>
          <w:rFonts w:ascii="Book Antiqua" w:eastAsia="Book Antiqua" w:hAnsi="Book Antiqua" w:cs="Book Antiqua"/>
          <w:color w:val="000000" w:themeColor="text1"/>
        </w:rPr>
        <w:t>epirubicin</w:t>
      </w:r>
      <w:proofErr w:type="spellEnd"/>
      <w:r w:rsidRPr="003D587E">
        <w:rPr>
          <w:rFonts w:ascii="Book Antiqua" w:eastAsia="Book Antiqua" w:hAnsi="Book Antiqua" w:cs="Book Antiqua"/>
          <w:color w:val="000000" w:themeColor="text1"/>
        </w:rPr>
        <w:t xml:space="preserve">, albumin binding paclitaxel, </w:t>
      </w:r>
      <w:r w:rsidRPr="003D587E">
        <w:rPr>
          <w:rFonts w:ascii="Book Antiqua" w:eastAsia="Book Antiqua" w:hAnsi="Book Antiqua" w:cs="Book Antiqua"/>
          <w:color w:val="000000" w:themeColor="text1"/>
        </w:rPr>
        <w:lastRenderedPageBreak/>
        <w:t>pembrolizumab and bevacizumab were 90 mg/m</w:t>
      </w:r>
      <w:r w:rsidRPr="003D587E">
        <w:rPr>
          <w:rFonts w:ascii="Book Antiqua" w:eastAsia="Book Antiqua" w:hAnsi="Book Antiqua" w:cs="Book Antiqua"/>
          <w:color w:val="000000" w:themeColor="text1"/>
          <w:szCs w:val="36"/>
          <w:vertAlign w:val="superscript"/>
        </w:rPr>
        <w:t>2</w:t>
      </w:r>
      <w:r w:rsidRPr="003D587E">
        <w:rPr>
          <w:rFonts w:ascii="Book Antiqua" w:eastAsia="Book Antiqua" w:hAnsi="Book Antiqua" w:cs="Book Antiqua"/>
          <w:color w:val="000000" w:themeColor="text1"/>
        </w:rPr>
        <w:t xml:space="preserve"> (Day 1), 260 mg/m</w:t>
      </w:r>
      <w:r w:rsidRPr="003D587E">
        <w:rPr>
          <w:rFonts w:ascii="Book Antiqua" w:eastAsia="Book Antiqua" w:hAnsi="Book Antiqua" w:cs="Book Antiqua"/>
          <w:color w:val="000000" w:themeColor="text1"/>
          <w:szCs w:val="36"/>
          <w:vertAlign w:val="superscript"/>
        </w:rPr>
        <w:t>2</w:t>
      </w:r>
      <w:r w:rsidRPr="003D587E">
        <w:rPr>
          <w:rFonts w:ascii="Book Antiqua" w:eastAsia="Book Antiqua" w:hAnsi="Book Antiqua" w:cs="Book Antiqua"/>
          <w:color w:val="000000" w:themeColor="text1"/>
        </w:rPr>
        <w:t xml:space="preserve"> (Day 1), 2 mg/kg (Day 2) and 7.5 mg/kg (Day 0). This was repeated every 3 wk. However, the patient developed 4 degrees of myelosuppression and agranulocytosis with fever and 1 degree of gastrointestinal reaction after the first cycle of the above treatment. He returned to normal soon after symptomatic treatment. Therefore, </w:t>
      </w:r>
      <w:proofErr w:type="spellStart"/>
      <w:r w:rsidRPr="003D587E">
        <w:rPr>
          <w:rFonts w:ascii="Book Antiqua" w:eastAsia="Book Antiqua" w:hAnsi="Book Antiqua" w:cs="Book Antiqua"/>
          <w:color w:val="000000" w:themeColor="text1"/>
        </w:rPr>
        <w:t>epirubicin</w:t>
      </w:r>
      <w:proofErr w:type="spellEnd"/>
      <w:r w:rsidRPr="003D587E">
        <w:rPr>
          <w:rFonts w:ascii="Book Antiqua" w:eastAsia="Book Antiqua" w:hAnsi="Book Antiqua" w:cs="Book Antiqua"/>
          <w:color w:val="000000" w:themeColor="text1"/>
        </w:rPr>
        <w:t xml:space="preserve"> was reduced to 80 mg/m</w:t>
      </w:r>
      <w:r w:rsidRPr="003D587E">
        <w:rPr>
          <w:rFonts w:ascii="Book Antiqua" w:eastAsia="Book Antiqua" w:hAnsi="Book Antiqua" w:cs="Book Antiqua"/>
          <w:color w:val="000000" w:themeColor="text1"/>
          <w:szCs w:val="36"/>
          <w:vertAlign w:val="superscript"/>
        </w:rPr>
        <w:t>2</w:t>
      </w:r>
      <w:r w:rsidRPr="003D587E">
        <w:rPr>
          <w:rFonts w:ascii="Book Antiqua" w:eastAsia="Book Antiqua" w:hAnsi="Book Antiqua" w:cs="Book Antiqua"/>
          <w:color w:val="000000" w:themeColor="text1"/>
        </w:rPr>
        <w:t xml:space="preserve">, while other drug doses remained unchanged in cycles 2-4. The above side effects did not reoccur. The patient achieved remission after second-line treatment (Figure 3E </w:t>
      </w:r>
      <w:r w:rsidRPr="003D587E">
        <w:rPr>
          <w:rFonts w:ascii="Book Antiqua" w:eastAsia="Book Antiqua" w:hAnsi="Book Antiqua" w:cs="Book Antiqua"/>
          <w:i/>
          <w:iCs/>
          <w:color w:val="000000" w:themeColor="text1"/>
        </w:rPr>
        <w:t>vs</w:t>
      </w:r>
      <w:r w:rsidRPr="003D587E">
        <w:rPr>
          <w:rFonts w:ascii="Book Antiqua" w:eastAsia="Book Antiqua" w:hAnsi="Book Antiqua" w:cs="Book Antiqua"/>
          <w:color w:val="000000" w:themeColor="text1"/>
        </w:rPr>
        <w:t xml:space="preserve"> 3C; Figure 3F </w:t>
      </w:r>
      <w:r w:rsidRPr="003D587E">
        <w:rPr>
          <w:rFonts w:ascii="Book Antiqua" w:eastAsia="Book Antiqua" w:hAnsi="Book Antiqua" w:cs="Book Antiqua"/>
          <w:i/>
          <w:iCs/>
          <w:color w:val="000000" w:themeColor="text1"/>
        </w:rPr>
        <w:t>vs</w:t>
      </w:r>
      <w:r w:rsidRPr="003D587E">
        <w:rPr>
          <w:rFonts w:ascii="Book Antiqua" w:eastAsia="Book Antiqua" w:hAnsi="Book Antiqua" w:cs="Book Antiqua"/>
          <w:color w:val="000000" w:themeColor="text1"/>
        </w:rPr>
        <w:t xml:space="preserve"> 3D). After general surgery consultation, surgery was recommended. Therefore, we halted bevacizumab treatment in the 5th cycle (June 2020) and recommended that the patient undergo general surgery for surgical treatment after 3 wk. However, due to his advanced age, he did not follow the doctor's advice undergo surgery. In August 2020, he received pembrolizumab by itself for the last time. However, he received no further treatment and recuperated at home for personal reasons. However, in January 2021, he developed diarrhea with fever and could not eat normally. His body mass index dropped to 18. Thus, he returned to the hospital. PET/CT examination showed that the tumor was still stable (Figure 4). </w:t>
      </w:r>
    </w:p>
    <w:p w14:paraId="1EC91787" w14:textId="77777777" w:rsidR="00E02726" w:rsidRPr="003D587E" w:rsidRDefault="00395242">
      <w:pPr>
        <w:spacing w:line="360" w:lineRule="auto"/>
        <w:ind w:firstLineChars="200" w:firstLine="480"/>
        <w:jc w:val="both"/>
        <w:rPr>
          <w:color w:val="000000" w:themeColor="text1"/>
        </w:rPr>
      </w:pPr>
      <w:r w:rsidRPr="003D587E">
        <w:rPr>
          <w:rFonts w:ascii="Book Antiqua" w:eastAsia="Book Antiqua" w:hAnsi="Book Antiqua" w:cs="Book Antiqua"/>
          <w:color w:val="000000" w:themeColor="text1"/>
        </w:rPr>
        <w:t xml:space="preserve">Laboratory examinations showed that his inflammatory indices were high, leukocytes and neutrophils were slightly low, and other measures, such as thyroid function and the presence hepatitis B virus, were normal. However, the patient refused to allow examination of the stool routine, culture, </w:t>
      </w:r>
      <w:r w:rsidRPr="003D587E">
        <w:rPr>
          <w:rFonts w:ascii="Book Antiqua" w:eastAsia="Book Antiqua" w:hAnsi="Book Antiqua" w:cs="Book Antiqua"/>
          <w:i/>
          <w:iCs/>
          <w:color w:val="000000" w:themeColor="text1"/>
        </w:rPr>
        <w:t>etc.</w:t>
      </w:r>
      <w:r w:rsidRPr="003D587E">
        <w:rPr>
          <w:rFonts w:ascii="Book Antiqua" w:eastAsia="Book Antiqua" w:hAnsi="Book Antiqua" w:cs="Book Antiqua"/>
          <w:color w:val="000000" w:themeColor="text1"/>
        </w:rPr>
        <w:t>, thus preventing the collection of etiological evidence. The possibility of intestinal infection was considered in the diagnosis. The patient was given parenteral nutrition, anti-infection therapy, an indwelling gastric tube for enteral nutrition and other supportive treatment. After the symptoms improved, the patient was discharged and returned to his hometown.</w:t>
      </w:r>
    </w:p>
    <w:p w14:paraId="23985177" w14:textId="77777777" w:rsidR="00E02726" w:rsidRPr="003D587E" w:rsidRDefault="00E02726">
      <w:pPr>
        <w:spacing w:line="360" w:lineRule="auto"/>
        <w:jc w:val="both"/>
        <w:rPr>
          <w:color w:val="000000" w:themeColor="text1"/>
        </w:rPr>
      </w:pPr>
    </w:p>
    <w:p w14:paraId="2579F748"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aps/>
          <w:color w:val="000000" w:themeColor="text1"/>
          <w:u w:val="single"/>
        </w:rPr>
        <w:t>OUTCOME AND FOLLOW-UP</w:t>
      </w:r>
    </w:p>
    <w:p w14:paraId="53104FB6"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The patient's family reported that the patient had diarrhea with fever again in March 2021. He was treated in a local hospital but died in April 2021. The cause of death was intestinal infection. The last telephone follow-up was June 18, 2021. The patient, whose progression-free survival (PFS) and OS were 14 </w:t>
      </w:r>
      <w:proofErr w:type="spellStart"/>
      <w:r w:rsidRPr="003D587E">
        <w:rPr>
          <w:rFonts w:ascii="Book Antiqua" w:eastAsia="Book Antiqua" w:hAnsi="Book Antiqua" w:cs="Book Antiqua"/>
          <w:color w:val="000000" w:themeColor="text1"/>
        </w:rPr>
        <w:t>mo</w:t>
      </w:r>
      <w:proofErr w:type="spellEnd"/>
      <w:r w:rsidRPr="003D587E">
        <w:rPr>
          <w:rFonts w:ascii="Book Antiqua" w:eastAsia="Book Antiqua" w:hAnsi="Book Antiqua" w:cs="Book Antiqua"/>
          <w:color w:val="000000" w:themeColor="text1"/>
        </w:rPr>
        <w:t xml:space="preserve"> and 16 </w:t>
      </w:r>
      <w:proofErr w:type="spellStart"/>
      <w:r w:rsidRPr="003D587E">
        <w:rPr>
          <w:rFonts w:ascii="Book Antiqua" w:eastAsia="Book Antiqua" w:hAnsi="Book Antiqua" w:cs="Book Antiqua"/>
          <w:color w:val="000000" w:themeColor="text1"/>
        </w:rPr>
        <w:t>mo</w:t>
      </w:r>
      <w:proofErr w:type="spellEnd"/>
      <w:r w:rsidRPr="003D587E">
        <w:rPr>
          <w:rFonts w:ascii="Book Antiqua" w:eastAsia="Book Antiqua" w:hAnsi="Book Antiqua" w:cs="Book Antiqua"/>
          <w:color w:val="000000" w:themeColor="text1"/>
        </w:rPr>
        <w:t xml:space="preserve">, achieved remission after </w:t>
      </w:r>
      <w:r w:rsidRPr="003D587E">
        <w:rPr>
          <w:rFonts w:ascii="Book Antiqua" w:eastAsia="Book Antiqua" w:hAnsi="Book Antiqua" w:cs="Book Antiqua"/>
          <w:color w:val="000000" w:themeColor="text1"/>
        </w:rPr>
        <w:lastRenderedPageBreak/>
        <w:t>second-line treatment. The main adverse reaction of the treatment was tolerable. He died of intestinal infection rather than tumor progression.</w:t>
      </w:r>
    </w:p>
    <w:p w14:paraId="33CEC8B1" w14:textId="77777777" w:rsidR="00E02726" w:rsidRPr="003D587E" w:rsidRDefault="00E02726">
      <w:pPr>
        <w:spacing w:line="360" w:lineRule="auto"/>
        <w:jc w:val="both"/>
        <w:rPr>
          <w:color w:val="000000" w:themeColor="text1"/>
        </w:rPr>
      </w:pPr>
    </w:p>
    <w:p w14:paraId="1EF60465"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aps/>
          <w:color w:val="000000" w:themeColor="text1"/>
          <w:u w:val="single"/>
        </w:rPr>
        <w:t>DISCUSSION</w:t>
      </w:r>
    </w:p>
    <w:p w14:paraId="5F136537"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The incidence rate of GHA is low. In addition, there is no standard treatment. Most of the treatment methods follow the principles of general gastric cancer. Surgery and chemotherapy are the main treatments. Molecular targeting therapy and immunotherapy are also being explored. D2 radical resection is the first choice for patients with early-stage GHA. For patients with isolated liver metastasis, palliative gastrectomy plus simultaneous resection of liver metastasis can be considered. Palliative gastrectomy plus local treatment of liver metastasis, such as hepatic artery chemoembolization or radiofrequency ablation, can also be considered. Chemotherapy is the main treatment for patients with advanced GHA that cannot be removed by surgery. Related studies have indicated that the first-line standard chemotherapy plan for GHA includes 5-FU and platinum-based chemotherapy, combined with simultaneous Taxol, irinotecan, methotrexate, mitomycin-C and other </w:t>
      </w:r>
      <w:proofErr w:type="gramStart"/>
      <w:r w:rsidRPr="003D587E">
        <w:rPr>
          <w:rFonts w:ascii="Book Antiqua" w:eastAsia="Book Antiqua" w:hAnsi="Book Antiqua" w:cs="Book Antiqua"/>
          <w:color w:val="000000" w:themeColor="text1"/>
        </w:rPr>
        <w:t>chemotherapy</w:t>
      </w:r>
      <w:r w:rsidRPr="003D587E">
        <w:rPr>
          <w:rFonts w:ascii="Book Antiqua" w:eastAsia="Book Antiqua" w:hAnsi="Book Antiqua" w:cs="Book Antiqua"/>
          <w:color w:val="000000" w:themeColor="text1"/>
          <w:vertAlign w:val="superscript"/>
        </w:rPr>
        <w:t>[</w:t>
      </w:r>
      <w:proofErr w:type="gramEnd"/>
      <w:r w:rsidRPr="003D587E">
        <w:rPr>
          <w:rFonts w:ascii="Book Antiqua" w:eastAsia="Book Antiqua" w:hAnsi="Book Antiqua" w:cs="Book Antiqua"/>
          <w:color w:val="000000" w:themeColor="text1"/>
          <w:vertAlign w:val="superscript"/>
        </w:rPr>
        <w:t>3,7-8]</w:t>
      </w:r>
      <w:r w:rsidRPr="003D587E">
        <w:rPr>
          <w:rFonts w:ascii="Book Antiqua" w:eastAsia="Book Antiqua" w:hAnsi="Book Antiqua" w:cs="Book Antiqua"/>
          <w:color w:val="000000" w:themeColor="text1"/>
        </w:rPr>
        <w:t>. With the development of molecular detection technology, molecular targeted therapy has also been a topic of major interest in recent years. Trastuzumab combined with chemotherapy in the first-line treatment of HER2-positive common gastric cancer achieved positive results in a phase 3 Large-scale clinical study (</w:t>
      </w:r>
      <w:proofErr w:type="spellStart"/>
      <w:r w:rsidRPr="003D587E">
        <w:rPr>
          <w:rFonts w:ascii="Book Antiqua" w:eastAsia="Book Antiqua" w:hAnsi="Book Antiqua" w:cs="Book Antiqua"/>
          <w:color w:val="000000" w:themeColor="text1"/>
        </w:rPr>
        <w:t>ToGA</w:t>
      </w:r>
      <w:proofErr w:type="spellEnd"/>
      <w:r w:rsidRPr="003D587E">
        <w:rPr>
          <w:rFonts w:ascii="Book Antiqua" w:eastAsia="Book Antiqua" w:hAnsi="Book Antiqua" w:cs="Book Antiqua"/>
          <w:color w:val="000000" w:themeColor="text1"/>
        </w:rPr>
        <w:t xml:space="preserve"> study). </w:t>
      </w:r>
      <w:proofErr w:type="spellStart"/>
      <w:r w:rsidRPr="003D587E">
        <w:rPr>
          <w:rFonts w:ascii="Book Antiqua" w:eastAsia="Book Antiqua" w:hAnsi="Book Antiqua" w:cs="Book Antiqua"/>
          <w:color w:val="000000" w:themeColor="text1"/>
        </w:rPr>
        <w:t>Ranuciumab</w:t>
      </w:r>
      <w:proofErr w:type="spellEnd"/>
      <w:r w:rsidRPr="003D587E">
        <w:rPr>
          <w:rFonts w:ascii="Book Antiqua" w:eastAsia="Book Antiqua" w:hAnsi="Book Antiqua" w:cs="Book Antiqua"/>
          <w:color w:val="000000" w:themeColor="text1"/>
        </w:rPr>
        <w:t xml:space="preserve">, which is a VEGFR2 antibody, has been approved as the first antiangiogenic drug for the treatment of advanced common gastric </w:t>
      </w:r>
      <w:proofErr w:type="gramStart"/>
      <w:r w:rsidRPr="003D587E">
        <w:rPr>
          <w:rFonts w:ascii="Book Antiqua" w:eastAsia="Book Antiqua" w:hAnsi="Book Antiqua" w:cs="Book Antiqua"/>
          <w:color w:val="000000" w:themeColor="text1"/>
        </w:rPr>
        <w:t>cancer</w:t>
      </w:r>
      <w:r w:rsidRPr="003D587E">
        <w:rPr>
          <w:rFonts w:ascii="Book Antiqua" w:eastAsia="Book Antiqua" w:hAnsi="Book Antiqua" w:cs="Book Antiqua"/>
          <w:color w:val="000000" w:themeColor="text1"/>
          <w:vertAlign w:val="superscript"/>
        </w:rPr>
        <w:t>[</w:t>
      </w:r>
      <w:proofErr w:type="gramEnd"/>
      <w:r w:rsidRPr="003D587E">
        <w:rPr>
          <w:rFonts w:ascii="Book Antiqua" w:eastAsia="Book Antiqua" w:hAnsi="Book Antiqua" w:cs="Book Antiqua"/>
          <w:color w:val="000000" w:themeColor="text1"/>
          <w:vertAlign w:val="superscript"/>
        </w:rPr>
        <w:t>8]</w:t>
      </w:r>
      <w:r w:rsidRPr="003D587E">
        <w:rPr>
          <w:rFonts w:ascii="Book Antiqua" w:eastAsia="Book Antiqua" w:hAnsi="Book Antiqua" w:cs="Book Antiqua"/>
          <w:color w:val="000000" w:themeColor="text1"/>
        </w:rPr>
        <w:t xml:space="preserve">. In this case, the patient’s HER-2 status was negative; thus, his cancer was not suitable for anti-Her-2 treatment. In addition, because of drug accessibility, ramucirumab-targeted therapy was not carried out. SOX chemotherapy was carried out as the first-line treatment, but it failed. The selection of the second-line treatment was based on the following four considerations: (1) The patient was diagnosed with GHA, had eating difficulties (medication was inconvenient) and had similar components of hepatocellular carcinoma. However, chemotherapy alone was ineffective. According to the literature, multiple targeted antiangiogenic drugs, such as </w:t>
      </w:r>
      <w:proofErr w:type="spellStart"/>
      <w:r w:rsidRPr="003D587E">
        <w:rPr>
          <w:rFonts w:ascii="Book Antiqua" w:eastAsia="Book Antiqua" w:hAnsi="Book Antiqua" w:cs="Book Antiqua"/>
          <w:color w:val="000000" w:themeColor="text1"/>
        </w:rPr>
        <w:t>apatinib</w:t>
      </w:r>
      <w:proofErr w:type="spellEnd"/>
      <w:r w:rsidRPr="003D587E">
        <w:rPr>
          <w:rFonts w:ascii="Book Antiqua" w:eastAsia="Book Antiqua" w:hAnsi="Book Antiqua" w:cs="Book Antiqua"/>
          <w:color w:val="000000" w:themeColor="text1"/>
        </w:rPr>
        <w:t xml:space="preserve"> and sorafenib</w:t>
      </w:r>
      <w:r w:rsidRPr="003D587E">
        <w:rPr>
          <w:rFonts w:ascii="Book Antiqua" w:eastAsia="Book Antiqua" w:hAnsi="Book Antiqua" w:cs="Book Antiqua"/>
          <w:color w:val="000000" w:themeColor="text1"/>
          <w:vertAlign w:val="superscript"/>
        </w:rPr>
        <w:t>[9-10]</w:t>
      </w:r>
      <w:r w:rsidRPr="003D587E">
        <w:rPr>
          <w:rFonts w:ascii="Book Antiqua" w:eastAsia="Book Antiqua" w:hAnsi="Book Antiqua" w:cs="Book Antiqua"/>
          <w:color w:val="000000" w:themeColor="text1"/>
        </w:rPr>
        <w:t xml:space="preserve">, can be used to treat clinical hepatoid adenocarcinoma; (2) IMbrave150, a phase 3 clinical </w:t>
      </w:r>
      <w:r w:rsidRPr="003D587E">
        <w:rPr>
          <w:rFonts w:ascii="Book Antiqua" w:eastAsia="Book Antiqua" w:hAnsi="Book Antiqua" w:cs="Book Antiqua"/>
          <w:color w:val="000000" w:themeColor="text1"/>
        </w:rPr>
        <w:lastRenderedPageBreak/>
        <w:t>trial of liver cancer</w:t>
      </w:r>
      <w:r w:rsidRPr="003D587E">
        <w:rPr>
          <w:rFonts w:ascii="Book Antiqua" w:eastAsia="Book Antiqua" w:hAnsi="Book Antiqua" w:cs="Book Antiqua"/>
          <w:color w:val="000000" w:themeColor="text1"/>
          <w:vertAlign w:val="superscript"/>
        </w:rPr>
        <w:t>[11]</w:t>
      </w:r>
      <w:r w:rsidRPr="003D587E">
        <w:rPr>
          <w:rFonts w:ascii="Book Antiqua" w:eastAsia="Book Antiqua" w:hAnsi="Book Antiqua" w:cs="Book Antiqua"/>
          <w:color w:val="000000" w:themeColor="text1"/>
        </w:rPr>
        <w:t>, showed that the OS and PFS of atezolizumab + bevacizumab in unresectable HCC patients without previous systemic therapy were statistically and clinically significant and improved compared with those of sorafenib, with controllable safety; (3) PD-L1 protein expression was positive in this patient, with a TMB of 8.94 mutations/MB (high) in plasma and 3.81 mutations/MB in paraffin sections; and (4) Because of the accessibility of atezolizumab and the patient’s financial means, we tried a new kind of "T + A"-like combined chemotherapy: pembrolizumab + bevacizumab combined chemotherapy. Ultimately, the patient achieved an extended PFS. The main adverse reaction was hematological toxicity, which was tolerated. Unfortunately, the patient died of complications: intestinal infection, not tumor progression. His OS might have been longer.</w:t>
      </w:r>
    </w:p>
    <w:p w14:paraId="061ED69C" w14:textId="77777777" w:rsidR="00E02726" w:rsidRPr="003D587E" w:rsidRDefault="00395242">
      <w:pPr>
        <w:spacing w:line="360" w:lineRule="auto"/>
        <w:ind w:firstLineChars="200" w:firstLine="480"/>
        <w:jc w:val="both"/>
        <w:rPr>
          <w:color w:val="000000" w:themeColor="text1"/>
        </w:rPr>
      </w:pPr>
      <w:r w:rsidRPr="003D587E">
        <w:rPr>
          <w:rFonts w:ascii="Book Antiqua" w:eastAsia="Book Antiqua" w:hAnsi="Book Antiqua" w:cs="Book Antiqua"/>
          <w:color w:val="000000" w:themeColor="text1"/>
        </w:rPr>
        <w:t xml:space="preserve">Immunotherapy treatment of GHA is relatively understudied. However, a recent phase III randomized clinical trial, Keynote-062, showed that pembrolizumab was not inferior to chemotherapy for untreated advanced gastric/gastroesophageal junction cancer. In addition, fewer adverse events were observed. pembrolizumab or pembrolizumab plus chemotherapy was not superior to chemotherapy for OS and PFS </w:t>
      </w:r>
      <w:proofErr w:type="gramStart"/>
      <w:r w:rsidRPr="003D587E">
        <w:rPr>
          <w:rFonts w:ascii="Book Antiqua" w:eastAsia="Book Antiqua" w:hAnsi="Book Antiqua" w:cs="Book Antiqua"/>
          <w:color w:val="000000" w:themeColor="text1"/>
        </w:rPr>
        <w:t>endpoints</w:t>
      </w:r>
      <w:r w:rsidRPr="003D587E">
        <w:rPr>
          <w:rFonts w:ascii="Book Antiqua" w:eastAsia="Book Antiqua" w:hAnsi="Book Antiqua" w:cs="Book Antiqua"/>
          <w:color w:val="000000" w:themeColor="text1"/>
          <w:vertAlign w:val="superscript"/>
        </w:rPr>
        <w:t>[</w:t>
      </w:r>
      <w:proofErr w:type="gramEnd"/>
      <w:r w:rsidRPr="003D587E">
        <w:rPr>
          <w:rFonts w:ascii="Book Antiqua" w:eastAsia="Book Antiqua" w:hAnsi="Book Antiqua" w:cs="Book Antiqua"/>
          <w:color w:val="000000" w:themeColor="text1"/>
          <w:vertAlign w:val="superscript"/>
        </w:rPr>
        <w:t>12]</w:t>
      </w:r>
      <w:r w:rsidRPr="003D587E">
        <w:rPr>
          <w:rFonts w:ascii="Book Antiqua" w:eastAsia="Book Antiqua" w:hAnsi="Book Antiqua" w:cs="Book Antiqua"/>
          <w:color w:val="000000" w:themeColor="text1"/>
        </w:rPr>
        <w:t xml:space="preserve">. However, the results of the Checkmate 649 study showed that for patients with advanced gastric cancer/gastroesophageal junction cancer/esophageal adenocarcinoma who had not been treated in the past, nivolumab was the first PD-1 inhibitor that was clinically shown to be superior to chemotherapy alone in terms of OS and PFS, with controllable </w:t>
      </w:r>
      <w:proofErr w:type="gramStart"/>
      <w:r w:rsidRPr="003D587E">
        <w:rPr>
          <w:rFonts w:ascii="Book Antiqua" w:eastAsia="Book Antiqua" w:hAnsi="Book Antiqua" w:cs="Book Antiqua"/>
          <w:color w:val="000000" w:themeColor="text1"/>
        </w:rPr>
        <w:t>safety</w:t>
      </w:r>
      <w:r w:rsidRPr="003D587E">
        <w:rPr>
          <w:rFonts w:ascii="Book Antiqua" w:eastAsia="Book Antiqua" w:hAnsi="Book Antiqua" w:cs="Book Antiqua"/>
          <w:color w:val="000000" w:themeColor="text1"/>
          <w:vertAlign w:val="superscript"/>
        </w:rPr>
        <w:t>[</w:t>
      </w:r>
      <w:proofErr w:type="gramEnd"/>
      <w:r w:rsidRPr="003D587E">
        <w:rPr>
          <w:rFonts w:ascii="Book Antiqua" w:eastAsia="Book Antiqua" w:hAnsi="Book Antiqua" w:cs="Book Antiqua"/>
          <w:color w:val="000000" w:themeColor="text1"/>
          <w:vertAlign w:val="superscript"/>
        </w:rPr>
        <w:t>13]</w:t>
      </w:r>
      <w:r w:rsidRPr="003D587E">
        <w:rPr>
          <w:rFonts w:ascii="Book Antiqua" w:eastAsia="Book Antiqua" w:hAnsi="Book Antiqua" w:cs="Book Antiqua"/>
          <w:color w:val="000000" w:themeColor="text1"/>
        </w:rPr>
        <w:t>. The first-line chemotherapy treatment failed in this patient. However, the second-line attempt of pembrolizumab + bevacizumab combined chemotherapy led to tumor remission, and the side effects were tolerable. Consistent with the results of the Checkmate 649 study, pembrolizumab + bevacizumab combined chemotherapy may be effective. However, in the Keynote-062 clinical trial, pembrolizumab + chemotherapy was not superior to chemotherapy alone for OS and PFS. Possible explanations are as follows: (1) the lack of a synergistic effect of anti-angiogenesis targeted drugs such as bevacizumab; and (2) first-line chemotherapy may increase antigen exposure, and as a result, the benefits of second-line immunotherapy. However, these possible explanations are only speculation; there is no current evidence.</w:t>
      </w:r>
    </w:p>
    <w:p w14:paraId="681BDA2A" w14:textId="77777777" w:rsidR="00E02726" w:rsidRPr="003D587E" w:rsidRDefault="00395242">
      <w:pPr>
        <w:spacing w:line="360" w:lineRule="auto"/>
        <w:ind w:firstLineChars="200" w:firstLine="480"/>
        <w:jc w:val="both"/>
        <w:rPr>
          <w:color w:val="000000" w:themeColor="text1"/>
        </w:rPr>
      </w:pPr>
      <w:r w:rsidRPr="003D587E">
        <w:rPr>
          <w:rFonts w:ascii="Book Antiqua" w:eastAsia="Book Antiqua" w:hAnsi="Book Antiqua" w:cs="Book Antiqua"/>
          <w:color w:val="000000" w:themeColor="text1"/>
        </w:rPr>
        <w:lastRenderedPageBreak/>
        <w:t>Previous studies have shown that surgery, chemotherapy and targeted therapy can be used in patients with GHA. However, the application of immunotherapy in such patients has not been reported in the literature. In this case of GHA, we tried a new regimen of pembrolizumab and bevacizumab with chemotherapy, and the patient benefited. However, the sample size of this was very small. Further studies should evaluate this treatment in a larger cohort or a randomized controlled trial.</w:t>
      </w:r>
    </w:p>
    <w:p w14:paraId="0F8D5FA4" w14:textId="77777777" w:rsidR="00E02726" w:rsidRPr="003D587E" w:rsidRDefault="00E02726">
      <w:pPr>
        <w:spacing w:line="360" w:lineRule="auto"/>
        <w:jc w:val="both"/>
        <w:rPr>
          <w:color w:val="000000" w:themeColor="text1"/>
        </w:rPr>
      </w:pPr>
    </w:p>
    <w:p w14:paraId="3D9ADD03"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aps/>
          <w:color w:val="000000" w:themeColor="text1"/>
          <w:u w:val="single"/>
        </w:rPr>
        <w:t>CONCLUSION</w:t>
      </w:r>
    </w:p>
    <w:p w14:paraId="791D8C09"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The combination of pembrolizumab and bevacizumab with chemotherapy is an effective and safe regimen for treating this GHA patient. However, the sample size of this study was very small. Further evaluation of this treatment in a larger cohort or a randomized controlled trial is needed.</w:t>
      </w:r>
    </w:p>
    <w:p w14:paraId="7D922E33" w14:textId="77777777" w:rsidR="00E02726" w:rsidRPr="003D587E" w:rsidRDefault="00E02726">
      <w:pPr>
        <w:spacing w:line="360" w:lineRule="auto"/>
        <w:jc w:val="both"/>
        <w:rPr>
          <w:color w:val="000000" w:themeColor="text1"/>
        </w:rPr>
      </w:pPr>
    </w:p>
    <w:p w14:paraId="6C036152"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REFERENCES</w:t>
      </w:r>
    </w:p>
    <w:p w14:paraId="58B97E4C"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1 </w:t>
      </w:r>
      <w:r w:rsidRPr="003D587E">
        <w:rPr>
          <w:rFonts w:ascii="Book Antiqua" w:eastAsia="Book Antiqua" w:hAnsi="Book Antiqua" w:cs="Book Antiqua"/>
          <w:b/>
          <w:bCs/>
          <w:color w:val="000000" w:themeColor="text1"/>
        </w:rPr>
        <w:t>Zhao M</w:t>
      </w:r>
      <w:r w:rsidRPr="003D587E">
        <w:rPr>
          <w:rFonts w:ascii="Book Antiqua" w:eastAsia="Book Antiqua" w:hAnsi="Book Antiqua" w:cs="Book Antiqua"/>
          <w:color w:val="000000" w:themeColor="text1"/>
        </w:rPr>
        <w:t xml:space="preserve">, Sun L, Lai JZ, Shi H, Mei K, He X, </w:t>
      </w:r>
      <w:proofErr w:type="spellStart"/>
      <w:r w:rsidRPr="003D587E">
        <w:rPr>
          <w:rFonts w:ascii="Book Antiqua" w:eastAsia="Book Antiqua" w:hAnsi="Book Antiqua" w:cs="Book Antiqua"/>
          <w:color w:val="000000" w:themeColor="text1"/>
        </w:rPr>
        <w:t>Jin</w:t>
      </w:r>
      <w:proofErr w:type="spellEnd"/>
      <w:r w:rsidRPr="003D587E">
        <w:rPr>
          <w:rFonts w:ascii="Book Antiqua" w:eastAsia="Book Antiqua" w:hAnsi="Book Antiqua" w:cs="Book Antiqua"/>
          <w:color w:val="000000" w:themeColor="text1"/>
        </w:rPr>
        <w:t xml:space="preserve"> X, Lai J, Cao D. Expression of RNA-binding protein LIN28 in classic gastric hepatoid carcinomas, gastric fetal type gastrointestinal adenocarcinomas, and hepatocellular carcinomas: An immunohistochemical study with comparison to SALL4, alpha-fetoprotein, glypican-3, and Hep Par1. </w:t>
      </w:r>
      <w:proofErr w:type="spellStart"/>
      <w:r w:rsidRPr="003D587E">
        <w:rPr>
          <w:rFonts w:ascii="Book Antiqua" w:eastAsia="Book Antiqua" w:hAnsi="Book Antiqua" w:cs="Book Antiqua"/>
          <w:i/>
          <w:iCs/>
          <w:color w:val="000000" w:themeColor="text1"/>
        </w:rPr>
        <w:t>Pathol</w:t>
      </w:r>
      <w:proofErr w:type="spellEnd"/>
      <w:r w:rsidRPr="003D587E">
        <w:rPr>
          <w:rFonts w:ascii="Book Antiqua" w:eastAsia="Book Antiqua" w:hAnsi="Book Antiqua" w:cs="Book Antiqua"/>
          <w:i/>
          <w:iCs/>
          <w:color w:val="000000" w:themeColor="text1"/>
        </w:rPr>
        <w:t xml:space="preserve"> Res </w:t>
      </w:r>
      <w:proofErr w:type="spellStart"/>
      <w:r w:rsidRPr="003D587E">
        <w:rPr>
          <w:rFonts w:ascii="Book Antiqua" w:eastAsia="Book Antiqua" w:hAnsi="Book Antiqua" w:cs="Book Antiqua"/>
          <w:i/>
          <w:iCs/>
          <w:color w:val="000000" w:themeColor="text1"/>
        </w:rPr>
        <w:t>Pract</w:t>
      </w:r>
      <w:proofErr w:type="spellEnd"/>
      <w:r w:rsidRPr="003D587E">
        <w:rPr>
          <w:rFonts w:ascii="Book Antiqua" w:eastAsia="Book Antiqua" w:hAnsi="Book Antiqua" w:cs="Book Antiqua"/>
          <w:color w:val="000000" w:themeColor="text1"/>
        </w:rPr>
        <w:t xml:space="preserve"> 2018; </w:t>
      </w:r>
      <w:r w:rsidRPr="003D587E">
        <w:rPr>
          <w:rFonts w:ascii="Book Antiqua" w:eastAsia="Book Antiqua" w:hAnsi="Book Antiqua" w:cs="Book Antiqua"/>
          <w:b/>
          <w:bCs/>
          <w:color w:val="000000" w:themeColor="text1"/>
        </w:rPr>
        <w:t>214</w:t>
      </w:r>
      <w:r w:rsidRPr="003D587E">
        <w:rPr>
          <w:rFonts w:ascii="Book Antiqua" w:eastAsia="Book Antiqua" w:hAnsi="Book Antiqua" w:cs="Book Antiqua"/>
          <w:color w:val="000000" w:themeColor="text1"/>
        </w:rPr>
        <w:t>: 1707-1712 [PMID: 30196987 DOI: 10.1016/j.prp.2018.07.037]</w:t>
      </w:r>
    </w:p>
    <w:p w14:paraId="5F2F1F05"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2 </w:t>
      </w:r>
      <w:r w:rsidRPr="003D587E">
        <w:rPr>
          <w:rFonts w:ascii="Book Antiqua" w:eastAsia="Book Antiqua" w:hAnsi="Book Antiqua" w:cs="Book Antiqua"/>
          <w:b/>
          <w:bCs/>
          <w:color w:val="000000" w:themeColor="text1"/>
        </w:rPr>
        <w:t>Lin CY</w:t>
      </w:r>
      <w:r w:rsidRPr="003D587E">
        <w:rPr>
          <w:rFonts w:ascii="Book Antiqua" w:eastAsia="Book Antiqua" w:hAnsi="Book Antiqua" w:cs="Book Antiqua"/>
          <w:color w:val="000000" w:themeColor="text1"/>
        </w:rPr>
        <w:t xml:space="preserve">, Yeh HC, Hsu CM, Lin WR, Chiu CT. </w:t>
      </w:r>
      <w:proofErr w:type="spellStart"/>
      <w:r w:rsidRPr="003D587E">
        <w:rPr>
          <w:rFonts w:ascii="Book Antiqua" w:eastAsia="Book Antiqua" w:hAnsi="Book Antiqua" w:cs="Book Antiqua"/>
          <w:color w:val="000000" w:themeColor="text1"/>
        </w:rPr>
        <w:t>Clinicopathologial</w:t>
      </w:r>
      <w:proofErr w:type="spellEnd"/>
      <w:r w:rsidRPr="003D587E">
        <w:rPr>
          <w:rFonts w:ascii="Book Antiqua" w:eastAsia="Book Antiqua" w:hAnsi="Book Antiqua" w:cs="Book Antiqua"/>
          <w:color w:val="000000" w:themeColor="text1"/>
        </w:rPr>
        <w:t xml:space="preserve"> features of gastric hepatoid adenocarcinoma. </w:t>
      </w:r>
      <w:r w:rsidRPr="003D587E">
        <w:rPr>
          <w:rFonts w:ascii="Book Antiqua" w:eastAsia="Book Antiqua" w:hAnsi="Book Antiqua" w:cs="Book Antiqua"/>
          <w:i/>
          <w:iCs/>
          <w:color w:val="000000" w:themeColor="text1"/>
        </w:rPr>
        <w:t>Biomed J</w:t>
      </w:r>
      <w:r w:rsidRPr="003D587E">
        <w:rPr>
          <w:rFonts w:ascii="Book Antiqua" w:eastAsia="Book Antiqua" w:hAnsi="Book Antiqua" w:cs="Book Antiqua"/>
          <w:color w:val="000000" w:themeColor="text1"/>
        </w:rPr>
        <w:t xml:space="preserve"> 2015; </w:t>
      </w:r>
      <w:r w:rsidRPr="003D587E">
        <w:rPr>
          <w:rFonts w:ascii="Book Antiqua" w:eastAsia="Book Antiqua" w:hAnsi="Book Antiqua" w:cs="Book Antiqua"/>
          <w:b/>
          <w:bCs/>
          <w:color w:val="000000" w:themeColor="text1"/>
        </w:rPr>
        <w:t>38</w:t>
      </w:r>
      <w:r w:rsidRPr="003D587E">
        <w:rPr>
          <w:rFonts w:ascii="Book Antiqua" w:eastAsia="Book Antiqua" w:hAnsi="Book Antiqua" w:cs="Book Antiqua"/>
          <w:color w:val="000000" w:themeColor="text1"/>
        </w:rPr>
        <w:t>: 65-69 [PMID: 25163499 DOI: 10.4103/2319-4170.126860]</w:t>
      </w:r>
    </w:p>
    <w:p w14:paraId="2DC5F4DC"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3 </w:t>
      </w:r>
      <w:r w:rsidRPr="003D587E">
        <w:rPr>
          <w:rFonts w:ascii="Book Antiqua" w:eastAsia="Book Antiqua" w:hAnsi="Book Antiqua" w:cs="Book Antiqua"/>
          <w:b/>
          <w:bCs/>
          <w:color w:val="000000" w:themeColor="text1"/>
        </w:rPr>
        <w:t>Zhang ZR</w:t>
      </w:r>
      <w:r w:rsidRPr="003D587E">
        <w:rPr>
          <w:rFonts w:ascii="Book Antiqua" w:eastAsia="Book Antiqua" w:hAnsi="Book Antiqua" w:cs="Book Antiqua"/>
          <w:color w:val="000000" w:themeColor="text1"/>
        </w:rPr>
        <w:t xml:space="preserve">, Wu J, Li HW, Wang T. Hepatoid adenocarcinoma of the stomach: Thirteen case reports and review of literature. </w:t>
      </w:r>
      <w:r w:rsidRPr="003D587E">
        <w:rPr>
          <w:rFonts w:ascii="Book Antiqua" w:eastAsia="Book Antiqua" w:hAnsi="Book Antiqua" w:cs="Book Antiqua"/>
          <w:i/>
          <w:iCs/>
          <w:color w:val="000000" w:themeColor="text1"/>
        </w:rPr>
        <w:t>World J Clin Cases</w:t>
      </w:r>
      <w:r w:rsidRPr="003D587E">
        <w:rPr>
          <w:rFonts w:ascii="Book Antiqua" w:eastAsia="Book Antiqua" w:hAnsi="Book Antiqua" w:cs="Book Antiqua"/>
          <w:color w:val="000000" w:themeColor="text1"/>
        </w:rPr>
        <w:t xml:space="preserve"> 2020; </w:t>
      </w:r>
      <w:r w:rsidRPr="003D587E">
        <w:rPr>
          <w:rFonts w:ascii="Book Antiqua" w:eastAsia="Book Antiqua" w:hAnsi="Book Antiqua" w:cs="Book Antiqua"/>
          <w:b/>
          <w:bCs/>
          <w:color w:val="000000" w:themeColor="text1"/>
        </w:rPr>
        <w:t>8</w:t>
      </w:r>
      <w:r w:rsidRPr="003D587E">
        <w:rPr>
          <w:rFonts w:ascii="Book Antiqua" w:eastAsia="Book Antiqua" w:hAnsi="Book Antiqua" w:cs="Book Antiqua"/>
          <w:color w:val="000000" w:themeColor="text1"/>
        </w:rPr>
        <w:t>: 1164-1171 [PMID: 32258088 DOI: 10.12998/</w:t>
      </w:r>
      <w:proofErr w:type="gramStart"/>
      <w:r w:rsidRPr="003D587E">
        <w:rPr>
          <w:rFonts w:ascii="Book Antiqua" w:eastAsia="Book Antiqua" w:hAnsi="Book Antiqua" w:cs="Book Antiqua"/>
          <w:color w:val="000000" w:themeColor="text1"/>
        </w:rPr>
        <w:t>wjcc.v</w:t>
      </w:r>
      <w:proofErr w:type="gramEnd"/>
      <w:r w:rsidRPr="003D587E">
        <w:rPr>
          <w:rFonts w:ascii="Book Antiqua" w:eastAsia="Book Antiqua" w:hAnsi="Book Antiqua" w:cs="Book Antiqua"/>
          <w:color w:val="000000" w:themeColor="text1"/>
        </w:rPr>
        <w:t>8.i6.1164]</w:t>
      </w:r>
    </w:p>
    <w:p w14:paraId="1E4F60EF"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4 </w:t>
      </w:r>
      <w:r w:rsidRPr="003D587E">
        <w:rPr>
          <w:rFonts w:ascii="Book Antiqua" w:eastAsia="Book Antiqua" w:hAnsi="Book Antiqua" w:cs="Book Antiqua"/>
          <w:b/>
          <w:bCs/>
          <w:color w:val="000000" w:themeColor="text1"/>
        </w:rPr>
        <w:t>Wang Y</w:t>
      </w:r>
      <w:r w:rsidRPr="003D587E">
        <w:rPr>
          <w:rFonts w:ascii="Book Antiqua" w:eastAsia="Book Antiqua" w:hAnsi="Book Antiqua" w:cs="Book Antiqua"/>
          <w:color w:val="000000" w:themeColor="text1"/>
        </w:rPr>
        <w:t xml:space="preserve">, Sun L, Li Z, Gao J, Ge S, Zhang C, Yuan J, Wang X, Li J, Lu Z, Gong J, Lu M, Zhou J, Peng Z, Shen L, Zhang X. Hepatoid adenocarcinoma of the stomach: a unique subgroup with distinct clinicopathological and molecular features. </w:t>
      </w:r>
      <w:r w:rsidRPr="003D587E">
        <w:rPr>
          <w:rFonts w:ascii="Book Antiqua" w:eastAsia="Book Antiqua" w:hAnsi="Book Antiqua" w:cs="Book Antiqua"/>
          <w:i/>
          <w:iCs/>
          <w:color w:val="000000" w:themeColor="text1"/>
        </w:rPr>
        <w:t>Gastric Cancer</w:t>
      </w:r>
      <w:r w:rsidRPr="003D587E">
        <w:rPr>
          <w:rFonts w:ascii="Book Antiqua" w:eastAsia="Book Antiqua" w:hAnsi="Book Antiqua" w:cs="Book Antiqua"/>
          <w:color w:val="000000" w:themeColor="text1"/>
        </w:rPr>
        <w:t xml:space="preserve"> 2019; </w:t>
      </w:r>
      <w:r w:rsidRPr="003D587E">
        <w:rPr>
          <w:rFonts w:ascii="Book Antiqua" w:eastAsia="Book Antiqua" w:hAnsi="Book Antiqua" w:cs="Book Antiqua"/>
          <w:b/>
          <w:bCs/>
          <w:color w:val="000000" w:themeColor="text1"/>
        </w:rPr>
        <w:t>22</w:t>
      </w:r>
      <w:r w:rsidRPr="003D587E">
        <w:rPr>
          <w:rFonts w:ascii="Book Antiqua" w:eastAsia="Book Antiqua" w:hAnsi="Book Antiqua" w:cs="Book Antiqua"/>
          <w:color w:val="000000" w:themeColor="text1"/>
        </w:rPr>
        <w:t>: 1183-1192 [PMID: 30989433 DOI: 10.1007/s10120-019-00965-5]</w:t>
      </w:r>
    </w:p>
    <w:p w14:paraId="66466F76"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lastRenderedPageBreak/>
        <w:t xml:space="preserve">5 </w:t>
      </w:r>
      <w:r w:rsidRPr="003D587E">
        <w:rPr>
          <w:rFonts w:ascii="Book Antiqua" w:eastAsia="Book Antiqua" w:hAnsi="Book Antiqua" w:cs="Book Antiqua"/>
          <w:b/>
          <w:bCs/>
          <w:color w:val="000000" w:themeColor="text1"/>
        </w:rPr>
        <w:t>Chen EB</w:t>
      </w:r>
      <w:r w:rsidRPr="003D587E">
        <w:rPr>
          <w:rFonts w:ascii="Book Antiqua" w:eastAsia="Book Antiqua" w:hAnsi="Book Antiqua" w:cs="Book Antiqua"/>
          <w:color w:val="000000" w:themeColor="text1"/>
        </w:rPr>
        <w:t xml:space="preserve">, Wei YC, Liu HN, Tang C, Liu ML, Peng K, Liu T. Hepatoid Adenocarcinoma of Stomach: Emphasis on the Clinical Relationship with Alpha-Fetoprotein-Positive Gastric Cancer. </w:t>
      </w:r>
      <w:r w:rsidRPr="003D587E">
        <w:rPr>
          <w:rFonts w:ascii="Book Antiqua" w:eastAsia="Book Antiqua" w:hAnsi="Book Antiqua" w:cs="Book Antiqua"/>
          <w:i/>
          <w:iCs/>
          <w:color w:val="000000" w:themeColor="text1"/>
        </w:rPr>
        <w:t>Biomed Res Int</w:t>
      </w:r>
      <w:r w:rsidRPr="003D587E">
        <w:rPr>
          <w:rFonts w:ascii="Book Antiqua" w:eastAsia="Book Antiqua" w:hAnsi="Book Antiqua" w:cs="Book Antiqua"/>
          <w:color w:val="000000" w:themeColor="text1"/>
        </w:rPr>
        <w:t xml:space="preserve"> 2019; </w:t>
      </w:r>
      <w:r w:rsidRPr="003D587E">
        <w:rPr>
          <w:rFonts w:ascii="Book Antiqua" w:eastAsia="Book Antiqua" w:hAnsi="Book Antiqua" w:cs="Book Antiqua"/>
          <w:b/>
          <w:bCs/>
          <w:color w:val="000000" w:themeColor="text1"/>
        </w:rPr>
        <w:t>2019</w:t>
      </w:r>
      <w:r w:rsidRPr="003D587E">
        <w:rPr>
          <w:rFonts w:ascii="Book Antiqua" w:eastAsia="Book Antiqua" w:hAnsi="Book Antiqua" w:cs="Book Antiqua"/>
          <w:color w:val="000000" w:themeColor="text1"/>
        </w:rPr>
        <w:t>: 6710428 [PMID: 31915699 DOI: 10.1155/2019/6710428]</w:t>
      </w:r>
    </w:p>
    <w:p w14:paraId="372EFC60"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6 </w:t>
      </w:r>
      <w:r w:rsidRPr="003D587E">
        <w:rPr>
          <w:rFonts w:ascii="Book Antiqua" w:eastAsia="Book Antiqua" w:hAnsi="Book Antiqua" w:cs="Book Antiqua"/>
          <w:b/>
          <w:bCs/>
          <w:color w:val="000000" w:themeColor="text1"/>
        </w:rPr>
        <w:t>Yang J</w:t>
      </w:r>
      <w:r w:rsidRPr="003D587E">
        <w:rPr>
          <w:rFonts w:ascii="Book Antiqua" w:eastAsia="Book Antiqua" w:hAnsi="Book Antiqua" w:cs="Book Antiqua"/>
          <w:color w:val="000000" w:themeColor="text1"/>
        </w:rPr>
        <w:t xml:space="preserve">, Wang R, Zhang W, Zhuang W, Wang M, Tang C. Clinicopathological and prognostic characteristics of hepatoid adenocarcinoma of the stomach. </w:t>
      </w:r>
      <w:r w:rsidRPr="003D587E">
        <w:rPr>
          <w:rFonts w:ascii="Book Antiqua" w:eastAsia="Book Antiqua" w:hAnsi="Book Antiqua" w:cs="Book Antiqua"/>
          <w:i/>
          <w:iCs/>
          <w:color w:val="000000" w:themeColor="text1"/>
        </w:rPr>
        <w:t xml:space="preserve">Gastroenterol Res </w:t>
      </w:r>
      <w:proofErr w:type="spellStart"/>
      <w:r w:rsidRPr="003D587E">
        <w:rPr>
          <w:rFonts w:ascii="Book Antiqua" w:eastAsia="Book Antiqua" w:hAnsi="Book Antiqua" w:cs="Book Antiqua"/>
          <w:i/>
          <w:iCs/>
          <w:color w:val="000000" w:themeColor="text1"/>
        </w:rPr>
        <w:t>Pract</w:t>
      </w:r>
      <w:proofErr w:type="spellEnd"/>
      <w:r w:rsidRPr="003D587E">
        <w:rPr>
          <w:rFonts w:ascii="Book Antiqua" w:eastAsia="Book Antiqua" w:hAnsi="Book Antiqua" w:cs="Book Antiqua"/>
          <w:color w:val="000000" w:themeColor="text1"/>
        </w:rPr>
        <w:t xml:space="preserve"> 2014; </w:t>
      </w:r>
      <w:r w:rsidRPr="003D587E">
        <w:rPr>
          <w:rFonts w:ascii="Book Antiqua" w:eastAsia="Book Antiqua" w:hAnsi="Book Antiqua" w:cs="Book Antiqua"/>
          <w:b/>
          <w:bCs/>
          <w:color w:val="000000" w:themeColor="text1"/>
        </w:rPr>
        <w:t>2014</w:t>
      </w:r>
      <w:r w:rsidRPr="003D587E">
        <w:rPr>
          <w:rFonts w:ascii="Book Antiqua" w:eastAsia="Book Antiqua" w:hAnsi="Book Antiqua" w:cs="Book Antiqua"/>
          <w:color w:val="000000" w:themeColor="text1"/>
        </w:rPr>
        <w:t>: 140587 [PMID: 24669215 DOI: 10.1155/2014/140587]</w:t>
      </w:r>
    </w:p>
    <w:p w14:paraId="2094C80B"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7 </w:t>
      </w:r>
      <w:r w:rsidRPr="003D587E">
        <w:rPr>
          <w:rFonts w:ascii="Book Antiqua" w:eastAsia="Book Antiqua" w:hAnsi="Book Antiqua" w:cs="Book Antiqua"/>
          <w:b/>
          <w:bCs/>
          <w:color w:val="000000" w:themeColor="text1"/>
        </w:rPr>
        <w:t>Zou M</w:t>
      </w:r>
      <w:r w:rsidRPr="003D587E">
        <w:rPr>
          <w:rFonts w:ascii="Book Antiqua" w:eastAsia="Book Antiqua" w:hAnsi="Book Antiqua" w:cs="Book Antiqua"/>
          <w:color w:val="000000" w:themeColor="text1"/>
        </w:rPr>
        <w:t xml:space="preserve">, Li Y, Dai Y, Sun L, Huang T, Yuan X, </w:t>
      </w:r>
      <w:proofErr w:type="spellStart"/>
      <w:r w:rsidRPr="003D587E">
        <w:rPr>
          <w:rFonts w:ascii="Book Antiqua" w:eastAsia="Book Antiqua" w:hAnsi="Book Antiqua" w:cs="Book Antiqua"/>
          <w:color w:val="000000" w:themeColor="text1"/>
        </w:rPr>
        <w:t>Qiu</w:t>
      </w:r>
      <w:proofErr w:type="spellEnd"/>
      <w:r w:rsidRPr="003D587E">
        <w:rPr>
          <w:rFonts w:ascii="Book Antiqua" w:eastAsia="Book Antiqua" w:hAnsi="Book Antiqua" w:cs="Book Antiqua"/>
          <w:color w:val="000000" w:themeColor="text1"/>
        </w:rPr>
        <w:t xml:space="preserve"> H. AFP-producing hepatoid adenocarcinoma (HAC) of peritoneum and </w:t>
      </w:r>
      <w:proofErr w:type="spellStart"/>
      <w:r w:rsidRPr="003D587E">
        <w:rPr>
          <w:rFonts w:ascii="Book Antiqua" w:eastAsia="Book Antiqua" w:hAnsi="Book Antiqua" w:cs="Book Antiqua"/>
          <w:color w:val="000000" w:themeColor="text1"/>
        </w:rPr>
        <w:t>omentum</w:t>
      </w:r>
      <w:proofErr w:type="spellEnd"/>
      <w:r w:rsidRPr="003D587E">
        <w:rPr>
          <w:rFonts w:ascii="Book Antiqua" w:eastAsia="Book Antiqua" w:hAnsi="Book Antiqua" w:cs="Book Antiqua"/>
          <w:color w:val="000000" w:themeColor="text1"/>
        </w:rPr>
        <w:t xml:space="preserve">: a case report and literature review. </w:t>
      </w:r>
      <w:proofErr w:type="spellStart"/>
      <w:r w:rsidRPr="003D587E">
        <w:rPr>
          <w:rFonts w:ascii="Book Antiqua" w:eastAsia="Book Antiqua" w:hAnsi="Book Antiqua" w:cs="Book Antiqua"/>
          <w:i/>
          <w:iCs/>
          <w:color w:val="000000" w:themeColor="text1"/>
        </w:rPr>
        <w:t>Onco</w:t>
      </w:r>
      <w:proofErr w:type="spellEnd"/>
      <w:r w:rsidRPr="003D587E">
        <w:rPr>
          <w:rFonts w:ascii="Book Antiqua" w:eastAsia="Book Antiqua" w:hAnsi="Book Antiqua" w:cs="Book Antiqua"/>
          <w:i/>
          <w:iCs/>
          <w:color w:val="000000" w:themeColor="text1"/>
        </w:rPr>
        <w:t xml:space="preserve"> Targets </w:t>
      </w:r>
      <w:proofErr w:type="spellStart"/>
      <w:r w:rsidRPr="003D587E">
        <w:rPr>
          <w:rFonts w:ascii="Book Antiqua" w:eastAsia="Book Antiqua" w:hAnsi="Book Antiqua" w:cs="Book Antiqua"/>
          <w:i/>
          <w:iCs/>
          <w:color w:val="000000" w:themeColor="text1"/>
        </w:rPr>
        <w:t>Ther</w:t>
      </w:r>
      <w:proofErr w:type="spellEnd"/>
      <w:r w:rsidRPr="003D587E">
        <w:rPr>
          <w:rFonts w:ascii="Book Antiqua" w:eastAsia="Book Antiqua" w:hAnsi="Book Antiqua" w:cs="Book Antiqua"/>
          <w:color w:val="000000" w:themeColor="text1"/>
        </w:rPr>
        <w:t xml:space="preserve"> 2019; </w:t>
      </w:r>
      <w:r w:rsidRPr="003D587E">
        <w:rPr>
          <w:rFonts w:ascii="Book Antiqua" w:eastAsia="Book Antiqua" w:hAnsi="Book Antiqua" w:cs="Book Antiqua"/>
          <w:b/>
          <w:bCs/>
          <w:color w:val="000000" w:themeColor="text1"/>
        </w:rPr>
        <w:t>12</w:t>
      </w:r>
      <w:r w:rsidRPr="003D587E">
        <w:rPr>
          <w:rFonts w:ascii="Book Antiqua" w:eastAsia="Book Antiqua" w:hAnsi="Book Antiqua" w:cs="Book Antiqua"/>
          <w:color w:val="000000" w:themeColor="text1"/>
        </w:rPr>
        <w:t>: 7649-7654 [PMID: 31571915 DOI: 10.2147/OTT.S216501]</w:t>
      </w:r>
    </w:p>
    <w:p w14:paraId="06CB0752"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8 </w:t>
      </w:r>
      <w:proofErr w:type="spellStart"/>
      <w:r w:rsidRPr="003D587E">
        <w:rPr>
          <w:rFonts w:ascii="Book Antiqua" w:eastAsia="Book Antiqua" w:hAnsi="Book Antiqua" w:cs="Book Antiqua"/>
          <w:b/>
          <w:bCs/>
          <w:color w:val="000000" w:themeColor="text1"/>
        </w:rPr>
        <w:t>Søreide</w:t>
      </w:r>
      <w:proofErr w:type="spellEnd"/>
      <w:r w:rsidRPr="003D587E">
        <w:rPr>
          <w:rFonts w:ascii="Book Antiqua" w:eastAsia="Book Antiqua" w:hAnsi="Book Antiqua" w:cs="Book Antiqua"/>
          <w:b/>
          <w:bCs/>
          <w:color w:val="000000" w:themeColor="text1"/>
        </w:rPr>
        <w:t xml:space="preserve"> JA</w:t>
      </w:r>
      <w:r w:rsidRPr="003D587E">
        <w:rPr>
          <w:rFonts w:ascii="Book Antiqua" w:eastAsia="Book Antiqua" w:hAnsi="Book Antiqua" w:cs="Book Antiqua"/>
          <w:color w:val="000000" w:themeColor="text1"/>
        </w:rPr>
        <w:t xml:space="preserve">. Therapeutic Approaches to Gastric Hepatoid Adenocarcinoma: Current Perspectives. </w:t>
      </w:r>
      <w:proofErr w:type="spellStart"/>
      <w:r w:rsidRPr="003D587E">
        <w:rPr>
          <w:rFonts w:ascii="Book Antiqua" w:eastAsia="Book Antiqua" w:hAnsi="Book Antiqua" w:cs="Book Antiqua"/>
          <w:i/>
          <w:iCs/>
          <w:color w:val="000000" w:themeColor="text1"/>
        </w:rPr>
        <w:t>Ther</w:t>
      </w:r>
      <w:proofErr w:type="spellEnd"/>
      <w:r w:rsidRPr="003D587E">
        <w:rPr>
          <w:rFonts w:ascii="Book Antiqua" w:eastAsia="Book Antiqua" w:hAnsi="Book Antiqua" w:cs="Book Antiqua"/>
          <w:i/>
          <w:iCs/>
          <w:color w:val="000000" w:themeColor="text1"/>
        </w:rPr>
        <w:t xml:space="preserve"> Clin Risk </w:t>
      </w:r>
      <w:proofErr w:type="spellStart"/>
      <w:r w:rsidRPr="003D587E">
        <w:rPr>
          <w:rFonts w:ascii="Book Antiqua" w:eastAsia="Book Antiqua" w:hAnsi="Book Antiqua" w:cs="Book Antiqua"/>
          <w:i/>
          <w:iCs/>
          <w:color w:val="000000" w:themeColor="text1"/>
        </w:rPr>
        <w:t>Manag</w:t>
      </w:r>
      <w:proofErr w:type="spellEnd"/>
      <w:r w:rsidRPr="003D587E">
        <w:rPr>
          <w:rFonts w:ascii="Book Antiqua" w:eastAsia="Book Antiqua" w:hAnsi="Book Antiqua" w:cs="Book Antiqua"/>
          <w:color w:val="000000" w:themeColor="text1"/>
        </w:rPr>
        <w:t xml:space="preserve"> 2019; </w:t>
      </w:r>
      <w:r w:rsidRPr="003D587E">
        <w:rPr>
          <w:rFonts w:ascii="Book Antiqua" w:eastAsia="Book Antiqua" w:hAnsi="Book Antiqua" w:cs="Book Antiqua"/>
          <w:b/>
          <w:bCs/>
          <w:color w:val="000000" w:themeColor="text1"/>
        </w:rPr>
        <w:t>15</w:t>
      </w:r>
      <w:r w:rsidRPr="003D587E">
        <w:rPr>
          <w:rFonts w:ascii="Book Antiqua" w:eastAsia="Book Antiqua" w:hAnsi="Book Antiqua" w:cs="Book Antiqua"/>
          <w:color w:val="000000" w:themeColor="text1"/>
        </w:rPr>
        <w:t>: 1469-1477 [PMID: 31920320 DOI: 10.2147/TCRM.S204303]</w:t>
      </w:r>
    </w:p>
    <w:p w14:paraId="35E4868B"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9 </w:t>
      </w:r>
      <w:proofErr w:type="spellStart"/>
      <w:r w:rsidRPr="003D587E">
        <w:rPr>
          <w:rFonts w:ascii="Book Antiqua" w:eastAsia="Book Antiqua" w:hAnsi="Book Antiqua" w:cs="Book Antiqua"/>
          <w:b/>
          <w:bCs/>
          <w:color w:val="000000" w:themeColor="text1"/>
        </w:rPr>
        <w:t>Gavrancic</w:t>
      </w:r>
      <w:proofErr w:type="spellEnd"/>
      <w:r w:rsidRPr="003D587E">
        <w:rPr>
          <w:rFonts w:ascii="Book Antiqua" w:eastAsia="Book Antiqua" w:hAnsi="Book Antiqua" w:cs="Book Antiqua"/>
          <w:b/>
          <w:bCs/>
          <w:color w:val="000000" w:themeColor="text1"/>
        </w:rPr>
        <w:t xml:space="preserve"> T</w:t>
      </w:r>
      <w:r w:rsidRPr="003D587E">
        <w:rPr>
          <w:rFonts w:ascii="Book Antiqua" w:eastAsia="Book Antiqua" w:hAnsi="Book Antiqua" w:cs="Book Antiqua"/>
          <w:color w:val="000000" w:themeColor="text1"/>
        </w:rPr>
        <w:t xml:space="preserve">, Park YH. A novel approach using sorafenib in alpha fetoprotein-producing hepatoid adenocarcinoma of the lung. </w:t>
      </w:r>
      <w:r w:rsidRPr="003D587E">
        <w:rPr>
          <w:rFonts w:ascii="Book Antiqua" w:eastAsia="Book Antiqua" w:hAnsi="Book Antiqua" w:cs="Book Antiqua"/>
          <w:i/>
          <w:iCs/>
          <w:color w:val="000000" w:themeColor="text1"/>
        </w:rPr>
        <w:t xml:space="preserve">J Natl </w:t>
      </w:r>
      <w:proofErr w:type="spellStart"/>
      <w:r w:rsidRPr="003D587E">
        <w:rPr>
          <w:rFonts w:ascii="Book Antiqua" w:eastAsia="Book Antiqua" w:hAnsi="Book Antiqua" w:cs="Book Antiqua"/>
          <w:i/>
          <w:iCs/>
          <w:color w:val="000000" w:themeColor="text1"/>
        </w:rPr>
        <w:t>Compr</w:t>
      </w:r>
      <w:proofErr w:type="spellEnd"/>
      <w:r w:rsidRPr="003D587E">
        <w:rPr>
          <w:rFonts w:ascii="Book Antiqua" w:eastAsia="Book Antiqua" w:hAnsi="Book Antiqua" w:cs="Book Antiqua"/>
          <w:i/>
          <w:iCs/>
          <w:color w:val="000000" w:themeColor="text1"/>
        </w:rPr>
        <w:t xml:space="preserve"> </w:t>
      </w:r>
      <w:proofErr w:type="spellStart"/>
      <w:r w:rsidRPr="003D587E">
        <w:rPr>
          <w:rFonts w:ascii="Book Antiqua" w:eastAsia="Book Antiqua" w:hAnsi="Book Antiqua" w:cs="Book Antiqua"/>
          <w:i/>
          <w:iCs/>
          <w:color w:val="000000" w:themeColor="text1"/>
        </w:rPr>
        <w:t>Canc</w:t>
      </w:r>
      <w:proofErr w:type="spellEnd"/>
      <w:r w:rsidRPr="003D587E">
        <w:rPr>
          <w:rFonts w:ascii="Book Antiqua" w:eastAsia="Book Antiqua" w:hAnsi="Book Antiqua" w:cs="Book Antiqua"/>
          <w:i/>
          <w:iCs/>
          <w:color w:val="000000" w:themeColor="text1"/>
        </w:rPr>
        <w:t xml:space="preserve"> </w:t>
      </w:r>
      <w:proofErr w:type="spellStart"/>
      <w:r w:rsidRPr="003D587E">
        <w:rPr>
          <w:rFonts w:ascii="Book Antiqua" w:eastAsia="Book Antiqua" w:hAnsi="Book Antiqua" w:cs="Book Antiqua"/>
          <w:i/>
          <w:iCs/>
          <w:color w:val="000000" w:themeColor="text1"/>
        </w:rPr>
        <w:t>Netw</w:t>
      </w:r>
      <w:proofErr w:type="spellEnd"/>
      <w:r w:rsidRPr="003D587E">
        <w:rPr>
          <w:rFonts w:ascii="Book Antiqua" w:eastAsia="Book Antiqua" w:hAnsi="Book Antiqua" w:cs="Book Antiqua"/>
          <w:color w:val="000000" w:themeColor="text1"/>
        </w:rPr>
        <w:t xml:space="preserve"> 2015; </w:t>
      </w:r>
      <w:r w:rsidRPr="003D587E">
        <w:rPr>
          <w:rFonts w:ascii="Book Antiqua" w:eastAsia="Book Antiqua" w:hAnsi="Book Antiqua" w:cs="Book Antiqua"/>
          <w:b/>
          <w:bCs/>
          <w:color w:val="000000" w:themeColor="text1"/>
        </w:rPr>
        <w:t>13</w:t>
      </w:r>
      <w:r w:rsidRPr="003D587E">
        <w:rPr>
          <w:rFonts w:ascii="Book Antiqua" w:eastAsia="Book Antiqua" w:hAnsi="Book Antiqua" w:cs="Book Antiqua"/>
          <w:color w:val="000000" w:themeColor="text1"/>
        </w:rPr>
        <w:t>: 387-91; quiz 391 [PMID: 25870375 DOI: 10.6004/jnccn.2015.0054]</w:t>
      </w:r>
    </w:p>
    <w:p w14:paraId="1B0A4D5A"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10 </w:t>
      </w:r>
      <w:proofErr w:type="spellStart"/>
      <w:r w:rsidRPr="003D587E">
        <w:rPr>
          <w:rFonts w:ascii="Book Antiqua" w:eastAsia="Book Antiqua" w:hAnsi="Book Antiqua" w:cs="Book Antiqua"/>
          <w:b/>
          <w:bCs/>
          <w:color w:val="000000" w:themeColor="text1"/>
        </w:rPr>
        <w:t>Petrelli</w:t>
      </w:r>
      <w:proofErr w:type="spellEnd"/>
      <w:r w:rsidRPr="003D587E">
        <w:rPr>
          <w:rFonts w:ascii="Book Antiqua" w:eastAsia="Book Antiqua" w:hAnsi="Book Antiqua" w:cs="Book Antiqua"/>
          <w:b/>
          <w:bCs/>
          <w:color w:val="000000" w:themeColor="text1"/>
        </w:rPr>
        <w:t xml:space="preserve"> F</w:t>
      </w:r>
      <w:r w:rsidRPr="003D587E">
        <w:rPr>
          <w:rFonts w:ascii="Book Antiqua" w:eastAsia="Book Antiqua" w:hAnsi="Book Antiqua" w:cs="Book Antiqua"/>
          <w:color w:val="000000" w:themeColor="text1"/>
        </w:rPr>
        <w:t xml:space="preserve">, </w:t>
      </w:r>
      <w:proofErr w:type="spellStart"/>
      <w:r w:rsidRPr="003D587E">
        <w:rPr>
          <w:rFonts w:ascii="Book Antiqua" w:eastAsia="Book Antiqua" w:hAnsi="Book Antiqua" w:cs="Book Antiqua"/>
          <w:color w:val="000000" w:themeColor="text1"/>
        </w:rPr>
        <w:t>Ghilardi</w:t>
      </w:r>
      <w:proofErr w:type="spellEnd"/>
      <w:r w:rsidRPr="003D587E">
        <w:rPr>
          <w:rFonts w:ascii="Book Antiqua" w:eastAsia="Book Antiqua" w:hAnsi="Book Antiqua" w:cs="Book Antiqua"/>
          <w:color w:val="000000" w:themeColor="text1"/>
        </w:rPr>
        <w:t xml:space="preserve"> M, Colombo S, </w:t>
      </w:r>
      <w:proofErr w:type="spellStart"/>
      <w:r w:rsidRPr="003D587E">
        <w:rPr>
          <w:rFonts w:ascii="Book Antiqua" w:eastAsia="Book Antiqua" w:hAnsi="Book Antiqua" w:cs="Book Antiqua"/>
          <w:color w:val="000000" w:themeColor="text1"/>
        </w:rPr>
        <w:t>Stringhi</w:t>
      </w:r>
      <w:proofErr w:type="spellEnd"/>
      <w:r w:rsidRPr="003D587E">
        <w:rPr>
          <w:rFonts w:ascii="Book Antiqua" w:eastAsia="Book Antiqua" w:hAnsi="Book Antiqua" w:cs="Book Antiqua"/>
          <w:color w:val="000000" w:themeColor="text1"/>
        </w:rPr>
        <w:t xml:space="preserve"> E, Barbara C, </w:t>
      </w:r>
      <w:proofErr w:type="spellStart"/>
      <w:r w:rsidRPr="003D587E">
        <w:rPr>
          <w:rFonts w:ascii="Book Antiqua" w:eastAsia="Book Antiqua" w:hAnsi="Book Antiqua" w:cs="Book Antiqua"/>
          <w:color w:val="000000" w:themeColor="text1"/>
        </w:rPr>
        <w:t>Cabiddu</w:t>
      </w:r>
      <w:proofErr w:type="spellEnd"/>
      <w:r w:rsidRPr="003D587E">
        <w:rPr>
          <w:rFonts w:ascii="Book Antiqua" w:eastAsia="Book Antiqua" w:hAnsi="Book Antiqua" w:cs="Book Antiqua"/>
          <w:color w:val="000000" w:themeColor="text1"/>
        </w:rPr>
        <w:t xml:space="preserve"> M, Elia S, </w:t>
      </w:r>
      <w:proofErr w:type="spellStart"/>
      <w:r w:rsidRPr="003D587E">
        <w:rPr>
          <w:rFonts w:ascii="Book Antiqua" w:eastAsia="Book Antiqua" w:hAnsi="Book Antiqua" w:cs="Book Antiqua"/>
          <w:color w:val="000000" w:themeColor="text1"/>
        </w:rPr>
        <w:t>Corti</w:t>
      </w:r>
      <w:proofErr w:type="spellEnd"/>
      <w:r w:rsidRPr="003D587E">
        <w:rPr>
          <w:rFonts w:ascii="Book Antiqua" w:eastAsia="Book Antiqua" w:hAnsi="Book Antiqua" w:cs="Book Antiqua"/>
          <w:color w:val="000000" w:themeColor="text1"/>
        </w:rPr>
        <w:t xml:space="preserve"> D, </w:t>
      </w:r>
      <w:proofErr w:type="spellStart"/>
      <w:r w:rsidRPr="003D587E">
        <w:rPr>
          <w:rFonts w:ascii="Book Antiqua" w:eastAsia="Book Antiqua" w:hAnsi="Book Antiqua" w:cs="Book Antiqua"/>
          <w:color w:val="000000" w:themeColor="text1"/>
        </w:rPr>
        <w:t>Barni</w:t>
      </w:r>
      <w:proofErr w:type="spellEnd"/>
      <w:r w:rsidRPr="003D587E">
        <w:rPr>
          <w:rFonts w:ascii="Book Antiqua" w:eastAsia="Book Antiqua" w:hAnsi="Book Antiqua" w:cs="Book Antiqua"/>
          <w:color w:val="000000" w:themeColor="text1"/>
        </w:rPr>
        <w:t xml:space="preserve"> S. A rare case of metastatic pancreatic hepatoid carcinoma treated with sorafenib. </w:t>
      </w:r>
      <w:r w:rsidRPr="003D587E">
        <w:rPr>
          <w:rFonts w:ascii="Book Antiqua" w:eastAsia="Book Antiqua" w:hAnsi="Book Antiqua" w:cs="Book Antiqua"/>
          <w:i/>
          <w:iCs/>
          <w:color w:val="000000" w:themeColor="text1"/>
        </w:rPr>
        <w:t xml:space="preserve">J </w:t>
      </w:r>
      <w:proofErr w:type="spellStart"/>
      <w:r w:rsidRPr="003D587E">
        <w:rPr>
          <w:rFonts w:ascii="Book Antiqua" w:eastAsia="Book Antiqua" w:hAnsi="Book Antiqua" w:cs="Book Antiqua"/>
          <w:i/>
          <w:iCs/>
          <w:color w:val="000000" w:themeColor="text1"/>
        </w:rPr>
        <w:t>Gastrointest</w:t>
      </w:r>
      <w:proofErr w:type="spellEnd"/>
      <w:r w:rsidRPr="003D587E">
        <w:rPr>
          <w:rFonts w:ascii="Book Antiqua" w:eastAsia="Book Antiqua" w:hAnsi="Book Antiqua" w:cs="Book Antiqua"/>
          <w:i/>
          <w:iCs/>
          <w:color w:val="000000" w:themeColor="text1"/>
        </w:rPr>
        <w:t xml:space="preserve"> Cancer</w:t>
      </w:r>
      <w:r w:rsidRPr="003D587E">
        <w:rPr>
          <w:rFonts w:ascii="Book Antiqua" w:eastAsia="Book Antiqua" w:hAnsi="Book Antiqua" w:cs="Book Antiqua"/>
          <w:color w:val="000000" w:themeColor="text1"/>
        </w:rPr>
        <w:t xml:space="preserve"> 2012; </w:t>
      </w:r>
      <w:r w:rsidRPr="003D587E">
        <w:rPr>
          <w:rFonts w:ascii="Book Antiqua" w:eastAsia="Book Antiqua" w:hAnsi="Book Antiqua" w:cs="Book Antiqua"/>
          <w:b/>
          <w:bCs/>
          <w:color w:val="000000" w:themeColor="text1"/>
        </w:rPr>
        <w:t>43</w:t>
      </w:r>
      <w:r w:rsidRPr="003D587E">
        <w:rPr>
          <w:rFonts w:ascii="Book Antiqua" w:eastAsia="Book Antiqua" w:hAnsi="Book Antiqua" w:cs="Book Antiqua"/>
          <w:color w:val="000000" w:themeColor="text1"/>
        </w:rPr>
        <w:t>: 97-102 [PMID: 21365478 DOI: 10.1007/s12029-011-9264-2]</w:t>
      </w:r>
    </w:p>
    <w:p w14:paraId="75463AC7"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11 </w:t>
      </w:r>
      <w:proofErr w:type="spellStart"/>
      <w:r w:rsidRPr="003D587E">
        <w:rPr>
          <w:rFonts w:ascii="Book Antiqua" w:eastAsia="Book Antiqua" w:hAnsi="Book Antiqua" w:cs="Book Antiqua"/>
          <w:b/>
          <w:bCs/>
          <w:color w:val="000000" w:themeColor="text1"/>
        </w:rPr>
        <w:t>Ducreux</w:t>
      </w:r>
      <w:proofErr w:type="spellEnd"/>
      <w:r w:rsidRPr="003D587E">
        <w:rPr>
          <w:rFonts w:ascii="Book Antiqua" w:eastAsia="Book Antiqua" w:hAnsi="Book Antiqua" w:cs="Book Antiqua"/>
          <w:b/>
          <w:bCs/>
          <w:color w:val="000000" w:themeColor="text1"/>
        </w:rPr>
        <w:t xml:space="preserve"> MP,</w:t>
      </w:r>
      <w:r w:rsidRPr="003D587E">
        <w:rPr>
          <w:rFonts w:ascii="Book Antiqua" w:eastAsia="Book Antiqua" w:hAnsi="Book Antiqua" w:cs="Book Antiqua"/>
          <w:color w:val="000000" w:themeColor="text1"/>
        </w:rPr>
        <w:t xml:space="preserve"> Cheng AL, Qin S, Zhu AX, Ikeda M, Kim TY, Xu DZ, Verret W, Liu J, Finn RS, Galle PR. Atezolizumab + bevacizumab </w:t>
      </w:r>
      <w:r w:rsidRPr="003D587E">
        <w:rPr>
          <w:rFonts w:ascii="Book Antiqua" w:eastAsia="Book Antiqua" w:hAnsi="Book Antiqua" w:cs="Book Antiqua"/>
          <w:i/>
          <w:iCs/>
          <w:color w:val="000000" w:themeColor="text1"/>
        </w:rPr>
        <w:t>vs</w:t>
      </w:r>
      <w:r w:rsidRPr="003D587E">
        <w:rPr>
          <w:rFonts w:ascii="Book Antiqua" w:eastAsia="Book Antiqua" w:hAnsi="Book Antiqua" w:cs="Book Antiqua"/>
          <w:color w:val="000000" w:themeColor="text1"/>
        </w:rPr>
        <w:t xml:space="preserve"> sorafenib in locally advanced or metastatic hepatocellular carcinoma: The </w:t>
      </w:r>
      <w:proofErr w:type="spellStart"/>
      <w:r w:rsidRPr="003D587E">
        <w:rPr>
          <w:rFonts w:ascii="Book Antiqua" w:eastAsia="Book Antiqua" w:hAnsi="Book Antiqua" w:cs="Book Antiqua"/>
          <w:color w:val="000000" w:themeColor="text1"/>
        </w:rPr>
        <w:t>randomised</w:t>
      </w:r>
      <w:proofErr w:type="spellEnd"/>
      <w:r w:rsidRPr="003D587E">
        <w:rPr>
          <w:rFonts w:ascii="Book Antiqua" w:eastAsia="Book Antiqua" w:hAnsi="Book Antiqua" w:cs="Book Antiqua"/>
          <w:color w:val="000000" w:themeColor="text1"/>
        </w:rPr>
        <w:t xml:space="preserve"> phase III study IMbrave150. Annals of Oncology 2018;29(Supl.8) [DOI:10.1093/</w:t>
      </w:r>
      <w:proofErr w:type="spellStart"/>
      <w:r w:rsidRPr="003D587E">
        <w:rPr>
          <w:rFonts w:ascii="Book Antiqua" w:eastAsia="Book Antiqua" w:hAnsi="Book Antiqua" w:cs="Book Antiqua"/>
          <w:color w:val="000000" w:themeColor="text1"/>
        </w:rPr>
        <w:t>annonc</w:t>
      </w:r>
      <w:proofErr w:type="spellEnd"/>
      <w:r w:rsidRPr="003D587E">
        <w:rPr>
          <w:rFonts w:ascii="Book Antiqua" w:eastAsia="Book Antiqua" w:hAnsi="Book Antiqua" w:cs="Book Antiqua"/>
          <w:color w:val="000000" w:themeColor="text1"/>
        </w:rPr>
        <w:t>/mdy282.165]</w:t>
      </w:r>
    </w:p>
    <w:p w14:paraId="2249D044"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12 </w:t>
      </w:r>
      <w:proofErr w:type="spellStart"/>
      <w:r w:rsidRPr="003D587E">
        <w:rPr>
          <w:rFonts w:ascii="Book Antiqua" w:eastAsia="Book Antiqua" w:hAnsi="Book Antiqua" w:cs="Book Antiqua"/>
          <w:b/>
          <w:bCs/>
          <w:color w:val="000000" w:themeColor="text1"/>
        </w:rPr>
        <w:t>Shitara</w:t>
      </w:r>
      <w:proofErr w:type="spellEnd"/>
      <w:r w:rsidRPr="003D587E">
        <w:rPr>
          <w:rFonts w:ascii="Book Antiqua" w:eastAsia="Book Antiqua" w:hAnsi="Book Antiqua" w:cs="Book Antiqua"/>
          <w:b/>
          <w:bCs/>
          <w:color w:val="000000" w:themeColor="text1"/>
        </w:rPr>
        <w:t xml:space="preserve"> K</w:t>
      </w:r>
      <w:r w:rsidRPr="003D587E">
        <w:rPr>
          <w:rFonts w:ascii="Book Antiqua" w:eastAsia="Book Antiqua" w:hAnsi="Book Antiqua" w:cs="Book Antiqua"/>
          <w:color w:val="000000" w:themeColor="text1"/>
        </w:rPr>
        <w:t xml:space="preserve">, Van </w:t>
      </w:r>
      <w:proofErr w:type="spellStart"/>
      <w:r w:rsidRPr="003D587E">
        <w:rPr>
          <w:rFonts w:ascii="Book Antiqua" w:eastAsia="Book Antiqua" w:hAnsi="Book Antiqua" w:cs="Book Antiqua"/>
          <w:color w:val="000000" w:themeColor="text1"/>
        </w:rPr>
        <w:t>Cutsem</w:t>
      </w:r>
      <w:proofErr w:type="spellEnd"/>
      <w:r w:rsidRPr="003D587E">
        <w:rPr>
          <w:rFonts w:ascii="Book Antiqua" w:eastAsia="Book Antiqua" w:hAnsi="Book Antiqua" w:cs="Book Antiqua"/>
          <w:color w:val="000000" w:themeColor="text1"/>
        </w:rPr>
        <w:t xml:space="preserve"> E, Bang YJ, Fuchs C, </w:t>
      </w:r>
      <w:proofErr w:type="spellStart"/>
      <w:r w:rsidRPr="003D587E">
        <w:rPr>
          <w:rFonts w:ascii="Book Antiqua" w:eastAsia="Book Antiqua" w:hAnsi="Book Antiqua" w:cs="Book Antiqua"/>
          <w:color w:val="000000" w:themeColor="text1"/>
        </w:rPr>
        <w:t>Wyrwicz</w:t>
      </w:r>
      <w:proofErr w:type="spellEnd"/>
      <w:r w:rsidRPr="003D587E">
        <w:rPr>
          <w:rFonts w:ascii="Book Antiqua" w:eastAsia="Book Antiqua" w:hAnsi="Book Antiqua" w:cs="Book Antiqua"/>
          <w:color w:val="000000" w:themeColor="text1"/>
        </w:rPr>
        <w:t xml:space="preserve"> L, Lee KW, </w:t>
      </w:r>
      <w:proofErr w:type="spellStart"/>
      <w:r w:rsidRPr="003D587E">
        <w:rPr>
          <w:rFonts w:ascii="Book Antiqua" w:eastAsia="Book Antiqua" w:hAnsi="Book Antiqua" w:cs="Book Antiqua"/>
          <w:color w:val="000000" w:themeColor="text1"/>
        </w:rPr>
        <w:t>Kudaba</w:t>
      </w:r>
      <w:proofErr w:type="spellEnd"/>
      <w:r w:rsidRPr="003D587E">
        <w:rPr>
          <w:rFonts w:ascii="Book Antiqua" w:eastAsia="Book Antiqua" w:hAnsi="Book Antiqua" w:cs="Book Antiqua"/>
          <w:color w:val="000000" w:themeColor="text1"/>
        </w:rPr>
        <w:t xml:space="preserve"> I, Garrido M, Chung HC, Lee J, Castro HR, Mansoor W, </w:t>
      </w:r>
      <w:proofErr w:type="spellStart"/>
      <w:r w:rsidRPr="003D587E">
        <w:rPr>
          <w:rFonts w:ascii="Book Antiqua" w:eastAsia="Book Antiqua" w:hAnsi="Book Antiqua" w:cs="Book Antiqua"/>
          <w:color w:val="000000" w:themeColor="text1"/>
        </w:rPr>
        <w:t>Braghiroli</w:t>
      </w:r>
      <w:proofErr w:type="spellEnd"/>
      <w:r w:rsidRPr="003D587E">
        <w:rPr>
          <w:rFonts w:ascii="Book Antiqua" w:eastAsia="Book Antiqua" w:hAnsi="Book Antiqua" w:cs="Book Antiqua"/>
          <w:color w:val="000000" w:themeColor="text1"/>
        </w:rPr>
        <w:t xml:space="preserve"> MI, </w:t>
      </w:r>
      <w:proofErr w:type="spellStart"/>
      <w:r w:rsidRPr="003D587E">
        <w:rPr>
          <w:rFonts w:ascii="Book Antiqua" w:eastAsia="Book Antiqua" w:hAnsi="Book Antiqua" w:cs="Book Antiqua"/>
          <w:color w:val="000000" w:themeColor="text1"/>
        </w:rPr>
        <w:t>Karaseva</w:t>
      </w:r>
      <w:proofErr w:type="spellEnd"/>
      <w:r w:rsidRPr="003D587E">
        <w:rPr>
          <w:rFonts w:ascii="Book Antiqua" w:eastAsia="Book Antiqua" w:hAnsi="Book Antiqua" w:cs="Book Antiqua"/>
          <w:color w:val="000000" w:themeColor="text1"/>
        </w:rPr>
        <w:t xml:space="preserve"> N, </w:t>
      </w:r>
      <w:proofErr w:type="spellStart"/>
      <w:r w:rsidRPr="003D587E">
        <w:rPr>
          <w:rFonts w:ascii="Book Antiqua" w:eastAsia="Book Antiqua" w:hAnsi="Book Antiqua" w:cs="Book Antiqua"/>
          <w:color w:val="000000" w:themeColor="text1"/>
        </w:rPr>
        <w:t>Caglevic</w:t>
      </w:r>
      <w:proofErr w:type="spellEnd"/>
      <w:r w:rsidRPr="003D587E">
        <w:rPr>
          <w:rFonts w:ascii="Book Antiqua" w:eastAsia="Book Antiqua" w:hAnsi="Book Antiqua" w:cs="Book Antiqua"/>
          <w:color w:val="000000" w:themeColor="text1"/>
        </w:rPr>
        <w:t xml:space="preserve"> C, Villanueva L, </w:t>
      </w:r>
      <w:proofErr w:type="spellStart"/>
      <w:r w:rsidRPr="003D587E">
        <w:rPr>
          <w:rFonts w:ascii="Book Antiqua" w:eastAsia="Book Antiqua" w:hAnsi="Book Antiqua" w:cs="Book Antiqua"/>
          <w:color w:val="000000" w:themeColor="text1"/>
        </w:rPr>
        <w:t>Goekkurt</w:t>
      </w:r>
      <w:proofErr w:type="spellEnd"/>
      <w:r w:rsidRPr="003D587E">
        <w:rPr>
          <w:rFonts w:ascii="Book Antiqua" w:eastAsia="Book Antiqua" w:hAnsi="Book Antiqua" w:cs="Book Antiqua"/>
          <w:color w:val="000000" w:themeColor="text1"/>
        </w:rPr>
        <w:t xml:space="preserve"> E, </w:t>
      </w:r>
      <w:proofErr w:type="spellStart"/>
      <w:r w:rsidRPr="003D587E">
        <w:rPr>
          <w:rFonts w:ascii="Book Antiqua" w:eastAsia="Book Antiqua" w:hAnsi="Book Antiqua" w:cs="Book Antiqua"/>
          <w:color w:val="000000" w:themeColor="text1"/>
        </w:rPr>
        <w:t>Satake</w:t>
      </w:r>
      <w:proofErr w:type="spellEnd"/>
      <w:r w:rsidRPr="003D587E">
        <w:rPr>
          <w:rFonts w:ascii="Book Antiqua" w:eastAsia="Book Antiqua" w:hAnsi="Book Antiqua" w:cs="Book Antiqua"/>
          <w:color w:val="000000" w:themeColor="text1"/>
        </w:rPr>
        <w:t xml:space="preserve"> H, </w:t>
      </w:r>
      <w:proofErr w:type="spellStart"/>
      <w:r w:rsidRPr="003D587E">
        <w:rPr>
          <w:rFonts w:ascii="Book Antiqua" w:eastAsia="Book Antiqua" w:hAnsi="Book Antiqua" w:cs="Book Antiqua"/>
          <w:color w:val="000000" w:themeColor="text1"/>
        </w:rPr>
        <w:t>Enzinger</w:t>
      </w:r>
      <w:proofErr w:type="spellEnd"/>
      <w:r w:rsidRPr="003D587E">
        <w:rPr>
          <w:rFonts w:ascii="Book Antiqua" w:eastAsia="Book Antiqua" w:hAnsi="Book Antiqua" w:cs="Book Antiqua"/>
          <w:color w:val="000000" w:themeColor="text1"/>
        </w:rPr>
        <w:t xml:space="preserve"> P, </w:t>
      </w:r>
      <w:proofErr w:type="spellStart"/>
      <w:r w:rsidRPr="003D587E">
        <w:rPr>
          <w:rFonts w:ascii="Book Antiqua" w:eastAsia="Book Antiqua" w:hAnsi="Book Antiqua" w:cs="Book Antiqua"/>
          <w:color w:val="000000" w:themeColor="text1"/>
        </w:rPr>
        <w:t>Alsina</w:t>
      </w:r>
      <w:proofErr w:type="spellEnd"/>
      <w:r w:rsidRPr="003D587E">
        <w:rPr>
          <w:rFonts w:ascii="Book Antiqua" w:eastAsia="Book Antiqua" w:hAnsi="Book Antiqua" w:cs="Book Antiqua"/>
          <w:color w:val="000000" w:themeColor="text1"/>
        </w:rPr>
        <w:t xml:space="preserve"> M, Benson A, Chao J, Ko AH, </w:t>
      </w:r>
      <w:proofErr w:type="spellStart"/>
      <w:r w:rsidRPr="003D587E">
        <w:rPr>
          <w:rFonts w:ascii="Book Antiqua" w:eastAsia="Book Antiqua" w:hAnsi="Book Antiqua" w:cs="Book Antiqua"/>
          <w:color w:val="000000" w:themeColor="text1"/>
        </w:rPr>
        <w:t>Wainberg</w:t>
      </w:r>
      <w:proofErr w:type="spellEnd"/>
      <w:r w:rsidRPr="003D587E">
        <w:rPr>
          <w:rFonts w:ascii="Book Antiqua" w:eastAsia="Book Antiqua" w:hAnsi="Book Antiqua" w:cs="Book Antiqua"/>
          <w:color w:val="000000" w:themeColor="text1"/>
        </w:rPr>
        <w:t xml:space="preserve"> ZA, </w:t>
      </w:r>
      <w:proofErr w:type="spellStart"/>
      <w:r w:rsidRPr="003D587E">
        <w:rPr>
          <w:rFonts w:ascii="Book Antiqua" w:eastAsia="Book Antiqua" w:hAnsi="Book Antiqua" w:cs="Book Antiqua"/>
          <w:color w:val="000000" w:themeColor="text1"/>
        </w:rPr>
        <w:t>Kher</w:t>
      </w:r>
      <w:proofErr w:type="spellEnd"/>
      <w:r w:rsidRPr="003D587E">
        <w:rPr>
          <w:rFonts w:ascii="Book Antiqua" w:eastAsia="Book Antiqua" w:hAnsi="Book Antiqua" w:cs="Book Antiqua"/>
          <w:color w:val="000000" w:themeColor="text1"/>
        </w:rPr>
        <w:t xml:space="preserve"> U, Shah S, Kang SP, </w:t>
      </w:r>
      <w:proofErr w:type="spellStart"/>
      <w:r w:rsidRPr="003D587E">
        <w:rPr>
          <w:rFonts w:ascii="Book Antiqua" w:eastAsia="Book Antiqua" w:hAnsi="Book Antiqua" w:cs="Book Antiqua"/>
          <w:color w:val="000000" w:themeColor="text1"/>
        </w:rPr>
        <w:t>Tabernero</w:t>
      </w:r>
      <w:proofErr w:type="spellEnd"/>
      <w:r w:rsidRPr="003D587E">
        <w:rPr>
          <w:rFonts w:ascii="Book Antiqua" w:eastAsia="Book Antiqua" w:hAnsi="Book Antiqua" w:cs="Book Antiqua"/>
          <w:color w:val="000000" w:themeColor="text1"/>
        </w:rPr>
        <w:t xml:space="preserve"> J. Efficacy and Safety of Pembrolizumab or Pembrolizumab Plus Chemotherapy </w:t>
      </w:r>
      <w:r w:rsidRPr="003D587E">
        <w:rPr>
          <w:rFonts w:ascii="Book Antiqua" w:eastAsia="Book Antiqua" w:hAnsi="Book Antiqua" w:cs="Book Antiqua"/>
          <w:i/>
          <w:iCs/>
          <w:color w:val="000000" w:themeColor="text1"/>
        </w:rPr>
        <w:t>vs</w:t>
      </w:r>
      <w:r w:rsidRPr="003D587E">
        <w:rPr>
          <w:rFonts w:ascii="Book Antiqua" w:eastAsia="Book Antiqua" w:hAnsi="Book Antiqua" w:cs="Book Antiqua"/>
          <w:color w:val="000000" w:themeColor="text1"/>
        </w:rPr>
        <w:t xml:space="preserve"> Chemotherapy Alone for Patients With First-line, Advanced Gastric Cancer: The KEYNOTE-062 Phase 3 </w:t>
      </w:r>
      <w:r w:rsidRPr="003D587E">
        <w:rPr>
          <w:rFonts w:ascii="Book Antiqua" w:eastAsia="Book Antiqua" w:hAnsi="Book Antiqua" w:cs="Book Antiqua"/>
          <w:color w:val="000000" w:themeColor="text1"/>
        </w:rPr>
        <w:lastRenderedPageBreak/>
        <w:t xml:space="preserve">Randomized Clinical Trial. </w:t>
      </w:r>
      <w:r w:rsidRPr="003D587E">
        <w:rPr>
          <w:rFonts w:ascii="Book Antiqua" w:eastAsia="Book Antiqua" w:hAnsi="Book Antiqua" w:cs="Book Antiqua"/>
          <w:i/>
          <w:iCs/>
          <w:color w:val="000000" w:themeColor="text1"/>
        </w:rPr>
        <w:t>JAMA Oncol</w:t>
      </w:r>
      <w:r w:rsidRPr="003D587E">
        <w:rPr>
          <w:rFonts w:ascii="Book Antiqua" w:eastAsia="Book Antiqua" w:hAnsi="Book Antiqua" w:cs="Book Antiqua"/>
          <w:color w:val="000000" w:themeColor="text1"/>
        </w:rPr>
        <w:t xml:space="preserve"> 2020; </w:t>
      </w:r>
      <w:r w:rsidRPr="003D587E">
        <w:rPr>
          <w:rFonts w:ascii="Book Antiqua" w:eastAsia="Book Antiqua" w:hAnsi="Book Antiqua" w:cs="Book Antiqua"/>
          <w:b/>
          <w:bCs/>
          <w:color w:val="000000" w:themeColor="text1"/>
        </w:rPr>
        <w:t>6</w:t>
      </w:r>
      <w:r w:rsidRPr="003D587E">
        <w:rPr>
          <w:rFonts w:ascii="Book Antiqua" w:eastAsia="Book Antiqua" w:hAnsi="Book Antiqua" w:cs="Book Antiqua"/>
          <w:color w:val="000000" w:themeColor="text1"/>
        </w:rPr>
        <w:t>: 1571-1580 [PMID: 32880601 DOI: 10.1001/jamaoncol.2020.3370]</w:t>
      </w:r>
    </w:p>
    <w:p w14:paraId="04C790CE"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 xml:space="preserve">13 </w:t>
      </w:r>
      <w:proofErr w:type="spellStart"/>
      <w:r w:rsidRPr="003D587E">
        <w:rPr>
          <w:rFonts w:ascii="Book Antiqua" w:eastAsia="Book Antiqua" w:hAnsi="Book Antiqua" w:cs="Book Antiqua"/>
          <w:b/>
          <w:bCs/>
          <w:color w:val="000000" w:themeColor="text1"/>
        </w:rPr>
        <w:t>Moehler</w:t>
      </w:r>
      <w:proofErr w:type="spellEnd"/>
      <w:r w:rsidRPr="003D587E">
        <w:rPr>
          <w:rFonts w:ascii="Book Antiqua" w:eastAsia="Book Antiqua" w:hAnsi="Book Antiqua" w:cs="Book Antiqua"/>
          <w:b/>
          <w:bCs/>
          <w:color w:val="000000" w:themeColor="text1"/>
        </w:rPr>
        <w:t xml:space="preserve"> M,</w:t>
      </w:r>
      <w:r w:rsidRPr="003D587E">
        <w:rPr>
          <w:rFonts w:ascii="Book Antiqua" w:eastAsia="Book Antiqua" w:hAnsi="Book Antiqua" w:cs="Book Antiqua"/>
          <w:color w:val="000000" w:themeColor="text1"/>
        </w:rPr>
        <w:t xml:space="preserve"> </w:t>
      </w:r>
      <w:proofErr w:type="spellStart"/>
      <w:r w:rsidRPr="003D587E">
        <w:rPr>
          <w:rFonts w:ascii="Book Antiqua" w:eastAsia="Book Antiqua" w:hAnsi="Book Antiqua" w:cs="Book Antiqua"/>
          <w:color w:val="000000" w:themeColor="text1"/>
        </w:rPr>
        <w:t>Shitara</w:t>
      </w:r>
      <w:proofErr w:type="spellEnd"/>
      <w:r w:rsidRPr="003D587E">
        <w:rPr>
          <w:rFonts w:ascii="Book Antiqua" w:eastAsia="Book Antiqua" w:hAnsi="Book Antiqua" w:cs="Book Antiqua"/>
          <w:color w:val="000000" w:themeColor="text1"/>
        </w:rPr>
        <w:t xml:space="preserve"> K, Garrido M, Salman P, Shen L, </w:t>
      </w:r>
      <w:proofErr w:type="spellStart"/>
      <w:r w:rsidRPr="003D587E">
        <w:rPr>
          <w:rFonts w:ascii="Book Antiqua" w:eastAsia="Book Antiqua" w:hAnsi="Book Antiqua" w:cs="Book Antiqua"/>
          <w:color w:val="000000" w:themeColor="text1"/>
        </w:rPr>
        <w:t>Wyrwicz</w:t>
      </w:r>
      <w:proofErr w:type="spellEnd"/>
      <w:r w:rsidRPr="003D587E">
        <w:rPr>
          <w:rFonts w:ascii="Book Antiqua" w:eastAsia="Book Antiqua" w:hAnsi="Book Antiqua" w:cs="Book Antiqua"/>
          <w:color w:val="000000" w:themeColor="text1"/>
        </w:rPr>
        <w:t xml:space="preserve"> L, Yamaguchi K, </w:t>
      </w:r>
      <w:proofErr w:type="spellStart"/>
      <w:r w:rsidRPr="003D587E">
        <w:rPr>
          <w:rFonts w:ascii="Book Antiqua" w:eastAsia="Book Antiqua" w:hAnsi="Book Antiqua" w:cs="Book Antiqua"/>
          <w:color w:val="000000" w:themeColor="text1"/>
        </w:rPr>
        <w:t>Skoczylas</w:t>
      </w:r>
      <w:proofErr w:type="spellEnd"/>
      <w:r w:rsidRPr="003D587E">
        <w:rPr>
          <w:rFonts w:ascii="Book Antiqua" w:eastAsia="Book Antiqua" w:hAnsi="Book Antiqua" w:cs="Book Antiqua"/>
          <w:color w:val="000000" w:themeColor="text1"/>
        </w:rPr>
        <w:t xml:space="preserve"> T, </w:t>
      </w:r>
      <w:proofErr w:type="spellStart"/>
      <w:r w:rsidRPr="003D587E">
        <w:rPr>
          <w:rFonts w:ascii="Book Antiqua" w:eastAsia="Book Antiqua" w:hAnsi="Book Antiqua" w:cs="Book Antiqua"/>
          <w:color w:val="000000" w:themeColor="text1"/>
        </w:rPr>
        <w:t>Bragagnoli</w:t>
      </w:r>
      <w:proofErr w:type="spellEnd"/>
      <w:r w:rsidRPr="003D587E">
        <w:rPr>
          <w:rFonts w:ascii="Book Antiqua" w:eastAsia="Book Antiqua" w:hAnsi="Book Antiqua" w:cs="Book Antiqua"/>
          <w:color w:val="000000" w:themeColor="text1"/>
        </w:rPr>
        <w:t xml:space="preserve"> AC, Liu T, Schenker M, Yanez P, </w:t>
      </w:r>
      <w:proofErr w:type="spellStart"/>
      <w:r w:rsidRPr="003D587E">
        <w:rPr>
          <w:rFonts w:ascii="Book Antiqua" w:eastAsia="Book Antiqua" w:hAnsi="Book Antiqua" w:cs="Book Antiqua"/>
          <w:color w:val="000000" w:themeColor="text1"/>
        </w:rPr>
        <w:t>Tehfe</w:t>
      </w:r>
      <w:proofErr w:type="spellEnd"/>
      <w:r w:rsidRPr="003D587E">
        <w:rPr>
          <w:rFonts w:ascii="Book Antiqua" w:eastAsia="Book Antiqua" w:hAnsi="Book Antiqua" w:cs="Book Antiqua"/>
          <w:color w:val="000000" w:themeColor="text1"/>
        </w:rPr>
        <w:t xml:space="preserve"> M, </w:t>
      </w:r>
      <w:proofErr w:type="spellStart"/>
      <w:r w:rsidRPr="003D587E">
        <w:rPr>
          <w:rFonts w:ascii="Book Antiqua" w:eastAsia="Book Antiqua" w:hAnsi="Book Antiqua" w:cs="Book Antiqua"/>
          <w:color w:val="000000" w:themeColor="text1"/>
        </w:rPr>
        <w:t>Poulart</w:t>
      </w:r>
      <w:proofErr w:type="spellEnd"/>
      <w:r w:rsidRPr="003D587E">
        <w:rPr>
          <w:rFonts w:ascii="Book Antiqua" w:eastAsia="Book Antiqua" w:hAnsi="Book Antiqua" w:cs="Book Antiqua"/>
          <w:color w:val="000000" w:themeColor="text1"/>
        </w:rPr>
        <w:t xml:space="preserve"> V, Cullen D, Lei M, Kondo K, Li M, Ajani JA, </w:t>
      </w:r>
      <w:proofErr w:type="spellStart"/>
      <w:r w:rsidRPr="003D587E">
        <w:rPr>
          <w:rFonts w:ascii="Book Antiqua" w:eastAsia="Book Antiqua" w:hAnsi="Book Antiqua" w:cs="Book Antiqua"/>
          <w:color w:val="000000" w:themeColor="text1"/>
        </w:rPr>
        <w:t>Janjigian</w:t>
      </w:r>
      <w:proofErr w:type="spellEnd"/>
      <w:r w:rsidRPr="003D587E">
        <w:rPr>
          <w:rFonts w:ascii="Book Antiqua" w:eastAsia="Book Antiqua" w:hAnsi="Book Antiqua" w:cs="Book Antiqua"/>
          <w:color w:val="000000" w:themeColor="text1"/>
        </w:rPr>
        <w:t xml:space="preserve"> YY. Nivolumab (</w:t>
      </w:r>
      <w:proofErr w:type="spellStart"/>
      <w:r w:rsidRPr="003D587E">
        <w:rPr>
          <w:rFonts w:ascii="Book Antiqua" w:eastAsia="Book Antiqua" w:hAnsi="Book Antiqua" w:cs="Book Antiqua"/>
          <w:color w:val="000000" w:themeColor="text1"/>
        </w:rPr>
        <w:t>nivo</w:t>
      </w:r>
      <w:proofErr w:type="spellEnd"/>
      <w:r w:rsidRPr="003D587E">
        <w:rPr>
          <w:rFonts w:ascii="Book Antiqua" w:eastAsia="Book Antiqua" w:hAnsi="Book Antiqua" w:cs="Book Antiqua"/>
          <w:color w:val="000000" w:themeColor="text1"/>
        </w:rPr>
        <w:t xml:space="preserve">) plus chemotherapy (chemo) </w:t>
      </w:r>
      <w:r w:rsidRPr="003D587E">
        <w:rPr>
          <w:rFonts w:ascii="Book Antiqua" w:eastAsia="Book Antiqua" w:hAnsi="Book Antiqua" w:cs="Book Antiqua"/>
          <w:i/>
          <w:iCs/>
          <w:color w:val="000000" w:themeColor="text1"/>
        </w:rPr>
        <w:t>vs</w:t>
      </w:r>
      <w:r w:rsidRPr="003D587E">
        <w:rPr>
          <w:rFonts w:ascii="Book Antiqua" w:eastAsia="Book Antiqua" w:hAnsi="Book Antiqua" w:cs="Book Antiqua"/>
          <w:color w:val="000000" w:themeColor="text1"/>
        </w:rPr>
        <w:t xml:space="preserve"> chemo as first-line (1L) treatment for advanced gastric cancer/gastroesophageal junction cancer (GC/GEJC)/esophageal adenocarcinoma (EAC): first results of the </w:t>
      </w:r>
      <w:proofErr w:type="spellStart"/>
      <w:r w:rsidRPr="003D587E">
        <w:rPr>
          <w:rFonts w:ascii="Book Antiqua" w:eastAsia="Book Antiqua" w:hAnsi="Book Antiqua" w:cs="Book Antiqua"/>
          <w:color w:val="000000" w:themeColor="text1"/>
        </w:rPr>
        <w:t>CheckMate</w:t>
      </w:r>
      <w:proofErr w:type="spellEnd"/>
      <w:r w:rsidRPr="003D587E">
        <w:rPr>
          <w:rFonts w:ascii="Book Antiqua" w:eastAsia="Book Antiqua" w:hAnsi="Book Antiqua" w:cs="Book Antiqua"/>
          <w:color w:val="000000" w:themeColor="text1"/>
        </w:rPr>
        <w:t xml:space="preserve"> 649 study. Annals Oncol 2020;31(suppl_4</w:t>
      </w:r>
      <w:proofErr w:type="gramStart"/>
      <w:r w:rsidRPr="003D587E">
        <w:rPr>
          <w:rFonts w:ascii="Book Antiqua" w:eastAsia="Book Antiqua" w:hAnsi="Book Antiqua" w:cs="Book Antiqua"/>
          <w:color w:val="000000" w:themeColor="text1"/>
        </w:rPr>
        <w:t>):S</w:t>
      </w:r>
      <w:proofErr w:type="gramEnd"/>
      <w:r w:rsidRPr="003D587E">
        <w:rPr>
          <w:rFonts w:ascii="Book Antiqua" w:eastAsia="Book Antiqua" w:hAnsi="Book Antiqua" w:cs="Book Antiqua"/>
          <w:color w:val="000000" w:themeColor="text1"/>
        </w:rPr>
        <w:t>1142–S1215 [DOI:10.1016/j.annonc.2020.08.2296]</w:t>
      </w:r>
    </w:p>
    <w:p w14:paraId="770AE8FA" w14:textId="77777777" w:rsidR="00E02726" w:rsidRPr="003D587E" w:rsidRDefault="00E02726">
      <w:pPr>
        <w:spacing w:line="360" w:lineRule="auto"/>
        <w:jc w:val="both"/>
        <w:rPr>
          <w:color w:val="000000" w:themeColor="text1"/>
        </w:rPr>
        <w:sectPr w:rsidR="00E02726" w:rsidRPr="003D587E">
          <w:footerReference w:type="default" r:id="rId9"/>
          <w:pgSz w:w="12240" w:h="15840"/>
          <w:pgMar w:top="1440" w:right="1440" w:bottom="1440" w:left="1440" w:header="720" w:footer="720" w:gutter="0"/>
          <w:cols w:space="720"/>
          <w:docGrid w:linePitch="360"/>
        </w:sectPr>
      </w:pPr>
    </w:p>
    <w:p w14:paraId="7898BD39"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lastRenderedPageBreak/>
        <w:t>Footnotes</w:t>
      </w:r>
    </w:p>
    <w:p w14:paraId="16A01E08"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szCs w:val="21"/>
        </w:rPr>
        <w:t xml:space="preserve">Informed consent statement: </w:t>
      </w:r>
      <w:r w:rsidRPr="003D587E">
        <w:rPr>
          <w:rFonts w:ascii="Book Antiqua" w:eastAsia="Book Antiqua" w:hAnsi="Book Antiqua" w:cs="Book Antiqua"/>
          <w:color w:val="000000" w:themeColor="text1"/>
        </w:rPr>
        <w:t>Informed written consent was obtained from the patient for publication of this report and any accompanying images.</w:t>
      </w:r>
    </w:p>
    <w:p w14:paraId="17ACE928" w14:textId="77777777" w:rsidR="00E02726" w:rsidRPr="003D587E" w:rsidRDefault="00E02726">
      <w:pPr>
        <w:spacing w:line="360" w:lineRule="auto"/>
        <w:jc w:val="both"/>
        <w:rPr>
          <w:color w:val="000000" w:themeColor="text1"/>
        </w:rPr>
      </w:pPr>
    </w:p>
    <w:p w14:paraId="5F796B9C"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szCs w:val="21"/>
        </w:rPr>
        <w:t xml:space="preserve">Conflict-of-interest statement: </w:t>
      </w:r>
      <w:r w:rsidRPr="003D587E">
        <w:rPr>
          <w:rFonts w:ascii="Book Antiqua" w:eastAsia="Book Antiqua" w:hAnsi="Book Antiqua" w:cs="Book Antiqua"/>
          <w:color w:val="000000" w:themeColor="text1"/>
        </w:rPr>
        <w:t>The authors declare that they have no conflict of interest.</w:t>
      </w:r>
    </w:p>
    <w:p w14:paraId="502235D5" w14:textId="77777777" w:rsidR="00E02726" w:rsidRPr="003D587E" w:rsidRDefault="00E02726">
      <w:pPr>
        <w:spacing w:line="360" w:lineRule="auto"/>
        <w:jc w:val="both"/>
        <w:rPr>
          <w:color w:val="000000" w:themeColor="text1"/>
        </w:rPr>
      </w:pPr>
    </w:p>
    <w:p w14:paraId="4B781760"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szCs w:val="21"/>
        </w:rPr>
        <w:t xml:space="preserve">CARE Checklist (2016) statement: </w:t>
      </w:r>
      <w:r w:rsidRPr="003D587E">
        <w:rPr>
          <w:rFonts w:ascii="Book Antiqua" w:eastAsia="Book Antiqua" w:hAnsi="Book Antiqua" w:cs="Book Antiqua"/>
          <w:color w:val="000000" w:themeColor="text1"/>
        </w:rPr>
        <w:t>The authors have read the CARE Checklist (2016), and the manuscript was prepared and revised according to the CARE Checklist (2016).</w:t>
      </w:r>
    </w:p>
    <w:p w14:paraId="5925A666" w14:textId="77777777" w:rsidR="00E02726" w:rsidRPr="003D587E" w:rsidRDefault="00E02726">
      <w:pPr>
        <w:spacing w:line="360" w:lineRule="auto"/>
        <w:jc w:val="both"/>
        <w:rPr>
          <w:color w:val="000000" w:themeColor="text1"/>
        </w:rPr>
      </w:pPr>
    </w:p>
    <w:p w14:paraId="146D7FCF"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Open-Access: </w:t>
      </w:r>
      <w:r w:rsidRPr="003D587E">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D587E">
        <w:rPr>
          <w:rFonts w:ascii="Book Antiqua" w:eastAsia="Book Antiqua" w:hAnsi="Book Antiqua" w:cs="Book Antiqua"/>
          <w:color w:val="000000" w:themeColor="text1"/>
        </w:rPr>
        <w:t>NonCommercial</w:t>
      </w:r>
      <w:proofErr w:type="spellEnd"/>
      <w:r w:rsidRPr="003D587E">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CCD921" w14:textId="77777777" w:rsidR="00E02726" w:rsidRPr="003D587E" w:rsidRDefault="00E02726">
      <w:pPr>
        <w:spacing w:line="360" w:lineRule="auto"/>
        <w:jc w:val="both"/>
        <w:rPr>
          <w:color w:val="000000" w:themeColor="text1"/>
        </w:rPr>
      </w:pPr>
    </w:p>
    <w:p w14:paraId="18B291EB"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Provenance and peer review: </w:t>
      </w:r>
      <w:r w:rsidRPr="003D587E">
        <w:rPr>
          <w:rFonts w:ascii="Book Antiqua" w:eastAsia="Book Antiqua" w:hAnsi="Book Antiqua" w:cs="Book Antiqua"/>
          <w:color w:val="000000" w:themeColor="text1"/>
        </w:rPr>
        <w:t>Unsolicited article; Externally peer reviewed.</w:t>
      </w:r>
    </w:p>
    <w:p w14:paraId="1594B06D"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Peer-review model: </w:t>
      </w:r>
      <w:r w:rsidRPr="003D587E">
        <w:rPr>
          <w:rFonts w:ascii="Book Antiqua" w:eastAsia="Book Antiqua" w:hAnsi="Book Antiqua" w:cs="Book Antiqua"/>
          <w:color w:val="000000" w:themeColor="text1"/>
        </w:rPr>
        <w:t>Single blind</w:t>
      </w:r>
    </w:p>
    <w:p w14:paraId="04410717" w14:textId="77777777" w:rsidR="00E02726" w:rsidRPr="003D587E" w:rsidRDefault="00E02726">
      <w:pPr>
        <w:spacing w:line="360" w:lineRule="auto"/>
        <w:jc w:val="both"/>
        <w:rPr>
          <w:color w:val="000000" w:themeColor="text1"/>
        </w:rPr>
      </w:pPr>
    </w:p>
    <w:p w14:paraId="4DB9A764"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Peer-review started: </w:t>
      </w:r>
      <w:r w:rsidRPr="003D587E">
        <w:rPr>
          <w:rFonts w:ascii="Book Antiqua" w:eastAsia="Book Antiqua" w:hAnsi="Book Antiqua" w:cs="Book Antiqua"/>
          <w:color w:val="000000" w:themeColor="text1"/>
        </w:rPr>
        <w:t>September 19, 2021</w:t>
      </w:r>
    </w:p>
    <w:p w14:paraId="66577D58"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First decision: </w:t>
      </w:r>
      <w:r w:rsidRPr="003D587E">
        <w:rPr>
          <w:rFonts w:ascii="Book Antiqua" w:eastAsia="Book Antiqua" w:hAnsi="Book Antiqua" w:cs="Book Antiqua"/>
          <w:color w:val="000000" w:themeColor="text1"/>
        </w:rPr>
        <w:t>December 10, 2021</w:t>
      </w:r>
    </w:p>
    <w:p w14:paraId="457086E3"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Article in press: </w:t>
      </w:r>
    </w:p>
    <w:p w14:paraId="08F39E37" w14:textId="77777777" w:rsidR="00E02726" w:rsidRPr="003D587E" w:rsidRDefault="00E02726">
      <w:pPr>
        <w:spacing w:line="360" w:lineRule="auto"/>
        <w:jc w:val="both"/>
        <w:rPr>
          <w:color w:val="000000" w:themeColor="text1"/>
        </w:rPr>
      </w:pPr>
    </w:p>
    <w:p w14:paraId="05095F1A"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Specialty type: </w:t>
      </w:r>
      <w:r w:rsidRPr="003D587E">
        <w:rPr>
          <w:rFonts w:ascii="Book Antiqua" w:eastAsia="Book Antiqua" w:hAnsi="Book Antiqua" w:cs="Book Antiqua"/>
          <w:color w:val="000000" w:themeColor="text1"/>
        </w:rPr>
        <w:t>Gastroenterology and hepatology</w:t>
      </w:r>
    </w:p>
    <w:p w14:paraId="539227FC"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 xml:space="preserve">Country/Territory of origin: </w:t>
      </w:r>
      <w:r w:rsidRPr="003D587E">
        <w:rPr>
          <w:rFonts w:ascii="Book Antiqua" w:eastAsia="Book Antiqua" w:hAnsi="Book Antiqua" w:cs="Book Antiqua"/>
          <w:color w:val="000000" w:themeColor="text1"/>
        </w:rPr>
        <w:t>China</w:t>
      </w:r>
    </w:p>
    <w:p w14:paraId="2914C996"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b/>
          <w:color w:val="000000" w:themeColor="text1"/>
        </w:rPr>
        <w:t>Peer-review report’s scientific quality classification</w:t>
      </w:r>
    </w:p>
    <w:p w14:paraId="1D864D92"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Grade A (Excellent): 0</w:t>
      </w:r>
    </w:p>
    <w:p w14:paraId="445A97DB"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Grade B (Very good): B, B</w:t>
      </w:r>
    </w:p>
    <w:p w14:paraId="628080C7"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Grade C (Good): C</w:t>
      </w:r>
    </w:p>
    <w:p w14:paraId="76D9326C"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t>Grade D (Fair): 0</w:t>
      </w:r>
    </w:p>
    <w:p w14:paraId="05705B2A" w14:textId="77777777" w:rsidR="00E02726" w:rsidRPr="003D587E" w:rsidRDefault="00395242">
      <w:pPr>
        <w:spacing w:line="360" w:lineRule="auto"/>
        <w:jc w:val="both"/>
        <w:rPr>
          <w:color w:val="000000" w:themeColor="text1"/>
        </w:rPr>
      </w:pPr>
      <w:r w:rsidRPr="003D587E">
        <w:rPr>
          <w:rFonts w:ascii="Book Antiqua" w:eastAsia="Book Antiqua" w:hAnsi="Book Antiqua" w:cs="Book Antiqua"/>
          <w:color w:val="000000" w:themeColor="text1"/>
        </w:rPr>
        <w:lastRenderedPageBreak/>
        <w:t>Grade E (Poor): 0</w:t>
      </w:r>
    </w:p>
    <w:p w14:paraId="42660C89" w14:textId="77777777" w:rsidR="00E02726" w:rsidRPr="003D587E" w:rsidRDefault="00E02726">
      <w:pPr>
        <w:spacing w:line="360" w:lineRule="auto"/>
        <w:jc w:val="both"/>
        <w:rPr>
          <w:color w:val="000000" w:themeColor="text1"/>
        </w:rPr>
      </w:pPr>
    </w:p>
    <w:p w14:paraId="5FFBB909" w14:textId="66741F19" w:rsidR="00E02726" w:rsidRPr="003D587E" w:rsidRDefault="00395242">
      <w:pPr>
        <w:spacing w:line="360" w:lineRule="auto"/>
        <w:jc w:val="both"/>
        <w:rPr>
          <w:color w:val="000000" w:themeColor="text1"/>
        </w:rPr>
        <w:sectPr w:rsidR="00E02726" w:rsidRPr="003D587E">
          <w:pgSz w:w="12240" w:h="15840"/>
          <w:pgMar w:top="1440" w:right="1440" w:bottom="1440" w:left="1440" w:header="720" w:footer="720" w:gutter="0"/>
          <w:cols w:space="720"/>
          <w:docGrid w:linePitch="360"/>
        </w:sectPr>
      </w:pPr>
      <w:r w:rsidRPr="003D587E">
        <w:rPr>
          <w:rFonts w:ascii="Book Antiqua" w:eastAsia="Book Antiqua" w:hAnsi="Book Antiqua" w:cs="Book Antiqua"/>
          <w:b/>
          <w:color w:val="000000" w:themeColor="text1"/>
        </w:rPr>
        <w:t xml:space="preserve">P-Reviewer: </w:t>
      </w:r>
      <w:proofErr w:type="spellStart"/>
      <w:r w:rsidRPr="003D587E">
        <w:rPr>
          <w:rFonts w:ascii="Book Antiqua" w:eastAsia="Book Antiqua" w:hAnsi="Book Antiqua" w:cs="Book Antiqua"/>
          <w:color w:val="000000" w:themeColor="text1"/>
        </w:rPr>
        <w:t>Abdelbasset</w:t>
      </w:r>
      <w:proofErr w:type="spellEnd"/>
      <w:r w:rsidRPr="003D587E">
        <w:rPr>
          <w:rFonts w:ascii="Book Antiqua" w:eastAsia="Book Antiqua" w:hAnsi="Book Antiqua" w:cs="Book Antiqua"/>
          <w:color w:val="000000" w:themeColor="text1"/>
        </w:rPr>
        <w:t xml:space="preserve"> WK, </w:t>
      </w:r>
      <w:r w:rsidR="002C0090" w:rsidRPr="002C0090">
        <w:rPr>
          <w:rFonts w:ascii="Book Antiqua" w:eastAsia="Book Antiqua" w:hAnsi="Book Antiqua" w:cs="Book Antiqua"/>
          <w:color w:val="000000" w:themeColor="text1"/>
        </w:rPr>
        <w:t>Saudi Arabia</w:t>
      </w:r>
      <w:r w:rsidR="002C0090">
        <w:rPr>
          <w:rFonts w:ascii="Book Antiqua" w:eastAsia="Book Antiqua" w:hAnsi="Book Antiqua" w:cs="Book Antiqua"/>
          <w:color w:val="000000" w:themeColor="text1"/>
        </w:rPr>
        <w:t xml:space="preserve">; </w:t>
      </w:r>
      <w:r w:rsidRPr="003D587E">
        <w:rPr>
          <w:rFonts w:ascii="Book Antiqua" w:eastAsia="Book Antiqua" w:hAnsi="Book Antiqua" w:cs="Book Antiqua"/>
          <w:color w:val="000000" w:themeColor="text1"/>
        </w:rPr>
        <w:t>Khaled I,</w:t>
      </w:r>
      <w:r w:rsidR="002C0090" w:rsidRPr="002C0090">
        <w:t xml:space="preserve"> </w:t>
      </w:r>
      <w:r w:rsidR="002C0090" w:rsidRPr="002C0090">
        <w:rPr>
          <w:rFonts w:ascii="Book Antiqua" w:eastAsia="Book Antiqua" w:hAnsi="Book Antiqua" w:cs="Book Antiqua"/>
          <w:color w:val="000000" w:themeColor="text1"/>
        </w:rPr>
        <w:t>Egypt</w:t>
      </w:r>
      <w:r w:rsidR="002C0090">
        <w:rPr>
          <w:rFonts w:ascii="Book Antiqua" w:eastAsia="Book Antiqua" w:hAnsi="Book Antiqua" w:cs="Book Antiqua"/>
          <w:color w:val="000000" w:themeColor="text1"/>
        </w:rPr>
        <w:t>;</w:t>
      </w:r>
      <w:r w:rsidRPr="003D587E">
        <w:rPr>
          <w:rFonts w:ascii="Book Antiqua" w:eastAsia="Book Antiqua" w:hAnsi="Book Antiqua" w:cs="Book Antiqua"/>
          <w:color w:val="000000" w:themeColor="text1"/>
        </w:rPr>
        <w:t xml:space="preserve"> Solanki SL</w:t>
      </w:r>
      <w:r w:rsidR="002C0090">
        <w:rPr>
          <w:rFonts w:ascii="Book Antiqua" w:eastAsia="Book Antiqua" w:hAnsi="Book Antiqua" w:cs="Book Antiqua"/>
          <w:color w:val="000000" w:themeColor="text1"/>
        </w:rPr>
        <w:t xml:space="preserve">; </w:t>
      </w:r>
      <w:r w:rsidR="002C0090" w:rsidRPr="002C0090">
        <w:rPr>
          <w:rFonts w:ascii="Book Antiqua" w:eastAsia="Book Antiqua" w:hAnsi="Book Antiqua" w:cs="Book Antiqua"/>
          <w:color w:val="000000" w:themeColor="text1"/>
        </w:rPr>
        <w:t>India</w:t>
      </w:r>
      <w:r w:rsidRPr="003D587E">
        <w:rPr>
          <w:rFonts w:ascii="Book Antiqua" w:eastAsia="Book Antiqua" w:hAnsi="Book Antiqua" w:cs="Book Antiqua"/>
          <w:b/>
          <w:color w:val="000000" w:themeColor="text1"/>
        </w:rPr>
        <w:t xml:space="preserve"> S-Editor: </w:t>
      </w:r>
      <w:r w:rsidRPr="003D587E">
        <w:rPr>
          <w:rFonts w:ascii="Book Antiqua" w:eastAsia="Book Antiqua" w:hAnsi="Book Antiqua" w:cs="Book Antiqua"/>
          <w:color w:val="000000" w:themeColor="text1"/>
        </w:rPr>
        <w:t xml:space="preserve">Ma YJ </w:t>
      </w:r>
      <w:r w:rsidRPr="003D587E">
        <w:rPr>
          <w:rFonts w:ascii="Book Antiqua" w:eastAsia="Book Antiqua" w:hAnsi="Book Antiqua" w:cs="Book Antiqua"/>
          <w:b/>
          <w:color w:val="000000" w:themeColor="text1"/>
        </w:rPr>
        <w:t xml:space="preserve">L-Editor: </w:t>
      </w:r>
      <w:r w:rsidRPr="003D587E">
        <w:rPr>
          <w:rFonts w:ascii="Book Antiqua" w:eastAsia="Book Antiqua" w:hAnsi="Book Antiqua" w:cs="Book Antiqua"/>
          <w:bCs/>
          <w:color w:val="000000" w:themeColor="text1"/>
        </w:rPr>
        <w:t>A</w:t>
      </w:r>
      <w:r w:rsidRPr="003D587E">
        <w:rPr>
          <w:rFonts w:ascii="Book Antiqua" w:eastAsia="Book Antiqua" w:hAnsi="Book Antiqua" w:cs="Book Antiqua"/>
          <w:b/>
          <w:color w:val="000000" w:themeColor="text1"/>
        </w:rPr>
        <w:t xml:space="preserve"> P-Editor: </w:t>
      </w:r>
      <w:r w:rsidR="003D587E" w:rsidRPr="003D587E">
        <w:rPr>
          <w:rFonts w:ascii="Book Antiqua" w:eastAsia="Book Antiqua" w:hAnsi="Book Antiqua" w:cs="Book Antiqua"/>
          <w:bCs/>
          <w:color w:val="000000" w:themeColor="text1"/>
        </w:rPr>
        <w:t>M</w:t>
      </w:r>
      <w:r w:rsidR="003D587E" w:rsidRPr="003D587E">
        <w:rPr>
          <w:rFonts w:ascii="Book Antiqua" w:eastAsia="SimSun" w:hAnsi="Book Antiqua" w:cs="SimSun"/>
          <w:bCs/>
          <w:color w:val="000000" w:themeColor="text1"/>
          <w:lang w:eastAsia="zh-CN"/>
        </w:rPr>
        <w:t>a YJ</w:t>
      </w:r>
    </w:p>
    <w:p w14:paraId="56F6833B" w14:textId="77777777" w:rsidR="00E02726" w:rsidRPr="003D587E" w:rsidRDefault="00395242">
      <w:pPr>
        <w:spacing w:line="360" w:lineRule="auto"/>
        <w:jc w:val="both"/>
        <w:rPr>
          <w:rFonts w:ascii="Book Antiqua" w:eastAsia="Book Antiqua" w:hAnsi="Book Antiqua" w:cs="Book Antiqua"/>
          <w:b/>
          <w:color w:val="000000" w:themeColor="text1"/>
        </w:rPr>
      </w:pPr>
      <w:r w:rsidRPr="003D587E">
        <w:rPr>
          <w:rFonts w:ascii="Book Antiqua" w:eastAsia="Book Antiqua" w:hAnsi="Book Antiqua" w:cs="Book Antiqua"/>
          <w:b/>
          <w:color w:val="000000" w:themeColor="text1"/>
        </w:rPr>
        <w:lastRenderedPageBreak/>
        <w:t>Figure Legends</w:t>
      </w:r>
    </w:p>
    <w:p w14:paraId="4A155D07" w14:textId="77777777" w:rsidR="00E02726" w:rsidRPr="003D587E" w:rsidRDefault="00E02726">
      <w:pPr>
        <w:spacing w:line="360" w:lineRule="auto"/>
        <w:jc w:val="both"/>
        <w:rPr>
          <w:rFonts w:ascii="Book Antiqua" w:eastAsia="Book Antiqua" w:hAnsi="Book Antiqua" w:cs="Book Antiqua"/>
          <w:b/>
          <w:color w:val="000000" w:themeColor="text1"/>
        </w:rPr>
      </w:pPr>
    </w:p>
    <w:p w14:paraId="309EB348" w14:textId="4930A755" w:rsidR="00E02726" w:rsidRPr="003D587E" w:rsidRDefault="00807BF3">
      <w:pPr>
        <w:spacing w:line="360" w:lineRule="auto"/>
        <w:jc w:val="both"/>
        <w:rPr>
          <w:color w:val="000000" w:themeColor="text1"/>
        </w:rPr>
      </w:pPr>
      <w:r w:rsidRPr="00807BF3">
        <w:t xml:space="preserve"> </w:t>
      </w:r>
      <w:r>
        <w:rPr>
          <w:noProof/>
        </w:rPr>
        <w:drawing>
          <wp:inline distT="0" distB="0" distL="0" distR="0" wp14:anchorId="38F9EDA6" wp14:editId="41AC675B">
            <wp:extent cx="4987925" cy="21469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7925" cy="2146935"/>
                    </a:xfrm>
                    <a:prstGeom prst="rect">
                      <a:avLst/>
                    </a:prstGeom>
                    <a:noFill/>
                    <a:ln>
                      <a:noFill/>
                    </a:ln>
                  </pic:spPr>
                </pic:pic>
              </a:graphicData>
            </a:graphic>
          </wp:inline>
        </w:drawing>
      </w:r>
    </w:p>
    <w:p w14:paraId="53508D8C" w14:textId="77777777" w:rsidR="00E02726" w:rsidRPr="003D587E" w:rsidRDefault="00395242">
      <w:pPr>
        <w:spacing w:line="360" w:lineRule="auto"/>
        <w:jc w:val="both"/>
        <w:rPr>
          <w:rFonts w:ascii="Book Antiqua" w:eastAsia="Book Antiqua" w:hAnsi="Book Antiqua" w:cs="Book Antiqua"/>
          <w:color w:val="000000" w:themeColor="text1"/>
        </w:rPr>
      </w:pPr>
      <w:r w:rsidRPr="003D587E">
        <w:rPr>
          <w:rFonts w:ascii="Book Antiqua" w:eastAsia="Book Antiqua" w:hAnsi="Book Antiqua" w:cs="Book Antiqua"/>
          <w:b/>
          <w:bCs/>
          <w:color w:val="000000" w:themeColor="text1"/>
        </w:rPr>
        <w:t xml:space="preserve">Figure 1 </w:t>
      </w:r>
      <w:r w:rsidRPr="003D587E">
        <w:rPr>
          <w:rFonts w:ascii="Book Antiqua" w:eastAsia="Book Antiqua" w:hAnsi="Book Antiqua" w:cs="Book Antiqua" w:hint="eastAsia"/>
          <w:b/>
          <w:bCs/>
          <w:color w:val="000000" w:themeColor="text1"/>
          <w:lang w:eastAsia="zh-CN"/>
        </w:rPr>
        <w:t>Imaging examinations performed before treatment.</w:t>
      </w:r>
      <w:r w:rsidRPr="003D587E">
        <w:rPr>
          <w:rFonts w:ascii="Book Antiqua" w:eastAsia="Book Antiqua" w:hAnsi="Book Antiqua" w:cs="Book Antiqua"/>
          <w:color w:val="000000" w:themeColor="text1"/>
        </w:rPr>
        <w:t xml:space="preserve"> A: </w:t>
      </w:r>
      <w:proofErr w:type="spellStart"/>
      <w:r w:rsidRPr="003D587E">
        <w:rPr>
          <w:rFonts w:ascii="Book Antiqua" w:eastAsia="Book Antiqua" w:hAnsi="Book Antiqua" w:cs="Book Antiqua"/>
          <w:color w:val="000000" w:themeColor="text1"/>
        </w:rPr>
        <w:t>Perigastric</w:t>
      </w:r>
      <w:proofErr w:type="spellEnd"/>
      <w:r w:rsidRPr="003D587E">
        <w:rPr>
          <w:rFonts w:ascii="Book Antiqua" w:eastAsia="Book Antiqua" w:hAnsi="Book Antiqua" w:cs="Book Antiqua"/>
          <w:color w:val="000000" w:themeColor="text1"/>
        </w:rPr>
        <w:t xml:space="preserve"> lymph nodes; B: Liver metastases.</w:t>
      </w:r>
    </w:p>
    <w:p w14:paraId="54531D22" w14:textId="77777777" w:rsidR="00E02726" w:rsidRPr="003D587E" w:rsidRDefault="00E02726">
      <w:pPr>
        <w:spacing w:line="360" w:lineRule="auto"/>
        <w:jc w:val="both"/>
        <w:rPr>
          <w:color w:val="000000" w:themeColor="text1"/>
        </w:rPr>
      </w:pPr>
    </w:p>
    <w:p w14:paraId="13918310" w14:textId="44BDEC69" w:rsidR="00E02726" w:rsidRPr="003D587E" w:rsidRDefault="00807BF3">
      <w:pPr>
        <w:spacing w:line="360" w:lineRule="auto"/>
        <w:jc w:val="both"/>
        <w:rPr>
          <w:color w:val="000000" w:themeColor="text1"/>
        </w:rPr>
      </w:pPr>
      <w:r w:rsidRPr="00807BF3">
        <w:t xml:space="preserve"> </w:t>
      </w:r>
      <w:r>
        <w:rPr>
          <w:noProof/>
        </w:rPr>
        <w:drawing>
          <wp:inline distT="0" distB="0" distL="0" distR="0" wp14:anchorId="30D1ACB5" wp14:editId="33D50351">
            <wp:extent cx="4987925" cy="38728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7925" cy="3872865"/>
                    </a:xfrm>
                    <a:prstGeom prst="rect">
                      <a:avLst/>
                    </a:prstGeom>
                    <a:noFill/>
                    <a:ln>
                      <a:noFill/>
                    </a:ln>
                  </pic:spPr>
                </pic:pic>
              </a:graphicData>
            </a:graphic>
          </wp:inline>
        </w:drawing>
      </w:r>
    </w:p>
    <w:p w14:paraId="505DAAE5" w14:textId="4ACC1606" w:rsidR="00E02726" w:rsidRPr="003D587E" w:rsidRDefault="00395242">
      <w:pPr>
        <w:spacing w:line="360" w:lineRule="auto"/>
        <w:jc w:val="both"/>
        <w:rPr>
          <w:color w:val="000000" w:themeColor="text1"/>
        </w:rPr>
      </w:pPr>
      <w:r w:rsidRPr="003D587E">
        <w:rPr>
          <w:rFonts w:ascii="Book Antiqua" w:eastAsia="Book Antiqua" w:hAnsi="Book Antiqua" w:cs="Book Antiqua"/>
          <w:b/>
          <w:bCs/>
          <w:color w:val="000000" w:themeColor="text1"/>
        </w:rPr>
        <w:t xml:space="preserve">Figure 2 </w:t>
      </w:r>
      <w:r w:rsidRPr="003D587E">
        <w:rPr>
          <w:rFonts w:ascii="Book Antiqua" w:eastAsia="Book Antiqua" w:hAnsi="Book Antiqua" w:cs="Book Antiqua" w:hint="eastAsia"/>
          <w:b/>
          <w:bCs/>
          <w:color w:val="000000" w:themeColor="text1"/>
          <w:lang w:eastAsia="zh-CN"/>
        </w:rPr>
        <w:t>Histological analysis of the patient</w:t>
      </w:r>
      <w:r w:rsidRPr="003D587E">
        <w:rPr>
          <w:rFonts w:ascii="Book Antiqua" w:eastAsia="Book Antiqua" w:hAnsi="Book Antiqua" w:cs="Book Antiqua"/>
          <w:b/>
          <w:bCs/>
          <w:color w:val="000000" w:themeColor="text1"/>
          <w:lang w:eastAsia="zh-CN"/>
        </w:rPr>
        <w:t>’</w:t>
      </w:r>
      <w:r w:rsidRPr="003D587E">
        <w:rPr>
          <w:rFonts w:ascii="Book Antiqua" w:eastAsia="Book Antiqua" w:hAnsi="Book Antiqua" w:cs="Book Antiqua" w:hint="eastAsia"/>
          <w:b/>
          <w:bCs/>
          <w:color w:val="000000" w:themeColor="text1"/>
          <w:lang w:eastAsia="zh-CN"/>
        </w:rPr>
        <w:t xml:space="preserve">s </w:t>
      </w:r>
      <w:proofErr w:type="spellStart"/>
      <w:r w:rsidRPr="003D587E">
        <w:rPr>
          <w:rFonts w:ascii="Book Antiqua" w:eastAsia="Book Antiqua" w:hAnsi="Book Antiqua" w:cs="Book Antiqua" w:hint="eastAsia"/>
          <w:b/>
          <w:bCs/>
          <w:color w:val="000000" w:themeColor="text1"/>
          <w:lang w:eastAsia="zh-CN"/>
        </w:rPr>
        <w:t>tumour</w:t>
      </w:r>
      <w:proofErr w:type="spellEnd"/>
      <w:r w:rsidRPr="003D587E">
        <w:rPr>
          <w:rFonts w:ascii="Book Antiqua" w:eastAsia="Book Antiqua" w:hAnsi="Book Antiqua" w:cs="Book Antiqua" w:hint="eastAsia"/>
          <w:b/>
          <w:bCs/>
          <w:color w:val="000000" w:themeColor="text1"/>
          <w:lang w:eastAsia="zh-CN"/>
        </w:rPr>
        <w:t xml:space="preserve"> tissue.</w:t>
      </w:r>
      <w:r w:rsidRPr="003D587E">
        <w:rPr>
          <w:rFonts w:ascii="Book Antiqua" w:eastAsia="Book Antiqua" w:hAnsi="Book Antiqua" w:cs="Book Antiqua"/>
          <w:b/>
          <w:bCs/>
          <w:color w:val="000000" w:themeColor="text1"/>
        </w:rPr>
        <w:t xml:space="preserve"> </w:t>
      </w:r>
      <w:r w:rsidRPr="003D587E">
        <w:rPr>
          <w:rFonts w:ascii="Book Antiqua" w:eastAsia="Book Antiqua" w:hAnsi="Book Antiqua" w:cs="Book Antiqua"/>
          <w:color w:val="000000" w:themeColor="text1"/>
        </w:rPr>
        <w:t>A: Hematoxylin and eosin staining:</w:t>
      </w:r>
      <w:r w:rsidR="00E62179">
        <w:rPr>
          <w:rFonts w:ascii="Book Antiqua" w:eastAsia="Book Antiqua" w:hAnsi="Book Antiqua" w:cs="Book Antiqua"/>
          <w:color w:val="000000" w:themeColor="text1"/>
        </w:rPr>
        <w:t xml:space="preserve"> </w:t>
      </w:r>
      <w:r w:rsidRPr="003D587E">
        <w:rPr>
          <w:rFonts w:ascii="Book Antiqua" w:eastAsia="Book Antiqua" w:hAnsi="Book Antiqua" w:cs="Book Antiqua"/>
          <w:color w:val="000000" w:themeColor="text1"/>
        </w:rPr>
        <w:t>tumor cells are arranged in a trabecular patten,</w:t>
      </w:r>
      <w:r w:rsidR="00E62179">
        <w:rPr>
          <w:rFonts w:ascii="Book Antiqua" w:eastAsia="Book Antiqua" w:hAnsi="Book Antiqua" w:cs="Book Antiqua"/>
          <w:color w:val="000000" w:themeColor="text1"/>
        </w:rPr>
        <w:t xml:space="preserve"> </w:t>
      </w:r>
      <w:r w:rsidRPr="003D587E">
        <w:rPr>
          <w:rFonts w:ascii="Book Antiqua" w:eastAsia="Book Antiqua" w:hAnsi="Book Antiqua" w:cs="Book Antiqua"/>
          <w:color w:val="000000" w:themeColor="text1"/>
        </w:rPr>
        <w:t xml:space="preserve">with a glandular and hepatoid </w:t>
      </w:r>
      <w:r w:rsidRPr="003D587E">
        <w:rPr>
          <w:rFonts w:ascii="Book Antiqua" w:eastAsia="Book Antiqua" w:hAnsi="Book Antiqua" w:cs="Book Antiqua"/>
          <w:color w:val="000000" w:themeColor="text1"/>
        </w:rPr>
        <w:lastRenderedPageBreak/>
        <w:t>component (magnification, ×100); B: Hematoxylin and eosin staining:</w:t>
      </w:r>
      <w:r w:rsidR="00E62179">
        <w:rPr>
          <w:rFonts w:ascii="Book Antiqua" w:eastAsia="Book Antiqua" w:hAnsi="Book Antiqua" w:cs="Book Antiqua"/>
          <w:color w:val="000000" w:themeColor="text1"/>
        </w:rPr>
        <w:t xml:space="preserve"> </w:t>
      </w:r>
      <w:r w:rsidRPr="003D587E">
        <w:rPr>
          <w:rFonts w:ascii="Book Antiqua" w:eastAsia="Book Antiqua" w:hAnsi="Book Antiqua" w:cs="Book Antiqua"/>
          <w:color w:val="000000" w:themeColor="text1"/>
        </w:rPr>
        <w:t>most of them are hepatocyte like differentiation area,</w:t>
      </w:r>
      <w:r w:rsidR="00E62179">
        <w:rPr>
          <w:rFonts w:ascii="Book Antiqua" w:eastAsia="Book Antiqua" w:hAnsi="Book Antiqua" w:cs="Book Antiqua"/>
          <w:color w:val="000000" w:themeColor="text1"/>
        </w:rPr>
        <w:t xml:space="preserve"> </w:t>
      </w:r>
      <w:r w:rsidRPr="003D587E">
        <w:rPr>
          <w:rFonts w:ascii="Book Antiqua" w:eastAsia="Book Antiqua" w:hAnsi="Book Antiqua" w:cs="Book Antiqua"/>
          <w:color w:val="000000" w:themeColor="text1"/>
        </w:rPr>
        <w:t>and a few are adenocarcinoma area (magnification, ×200); C: Immunohistochemical staining: cells are positively stained for SALL4 (magnification, ×100).</w:t>
      </w:r>
    </w:p>
    <w:p w14:paraId="7142EE72" w14:textId="77777777" w:rsidR="00E02726" w:rsidRPr="003D587E" w:rsidRDefault="00E02726">
      <w:pPr>
        <w:spacing w:line="360" w:lineRule="auto"/>
        <w:jc w:val="both"/>
        <w:rPr>
          <w:rFonts w:ascii="Book Antiqua" w:eastAsia="Book Antiqua" w:hAnsi="Book Antiqua" w:cs="Book Antiqua"/>
          <w:color w:val="000000" w:themeColor="text1"/>
        </w:rPr>
      </w:pPr>
    </w:p>
    <w:p w14:paraId="2FC26E8C" w14:textId="5B1AA053" w:rsidR="00E02726" w:rsidRPr="003D587E" w:rsidRDefault="00807BF3">
      <w:pPr>
        <w:spacing w:line="360" w:lineRule="auto"/>
        <w:jc w:val="both"/>
        <w:rPr>
          <w:rFonts w:ascii="Book Antiqua" w:eastAsia="Book Antiqua" w:hAnsi="Book Antiqua" w:cs="Book Antiqua"/>
          <w:color w:val="000000" w:themeColor="text1"/>
        </w:rPr>
      </w:pPr>
      <w:r w:rsidRPr="00807BF3">
        <w:t xml:space="preserve"> </w:t>
      </w:r>
      <w:r>
        <w:rPr>
          <w:noProof/>
        </w:rPr>
        <w:drawing>
          <wp:inline distT="0" distB="0" distL="0" distR="0" wp14:anchorId="44197002" wp14:editId="6587933A">
            <wp:extent cx="5740400" cy="3266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400" cy="3266440"/>
                    </a:xfrm>
                    <a:prstGeom prst="rect">
                      <a:avLst/>
                    </a:prstGeom>
                    <a:noFill/>
                    <a:ln>
                      <a:noFill/>
                    </a:ln>
                  </pic:spPr>
                </pic:pic>
              </a:graphicData>
            </a:graphic>
          </wp:inline>
        </w:drawing>
      </w:r>
    </w:p>
    <w:p w14:paraId="5117B053" w14:textId="2F0A650F" w:rsidR="00E02726" w:rsidRPr="003D587E" w:rsidRDefault="00395242">
      <w:pPr>
        <w:spacing w:line="360" w:lineRule="auto"/>
        <w:jc w:val="both"/>
        <w:rPr>
          <w:rFonts w:ascii="Book Antiqua" w:eastAsia="Book Antiqua" w:hAnsi="Book Antiqua" w:cs="Book Antiqua"/>
          <w:color w:val="000000" w:themeColor="text1"/>
        </w:rPr>
      </w:pPr>
      <w:r w:rsidRPr="003D587E">
        <w:rPr>
          <w:rFonts w:ascii="Book Antiqua" w:eastAsia="Book Antiqua" w:hAnsi="Book Antiqua" w:cs="Book Antiqua"/>
          <w:b/>
          <w:bCs/>
          <w:color w:val="000000" w:themeColor="text1"/>
        </w:rPr>
        <w:t xml:space="preserve">Figure 3 </w:t>
      </w:r>
      <w:r w:rsidRPr="003D587E">
        <w:rPr>
          <w:rFonts w:ascii="Book Antiqua" w:eastAsia="Book Antiqua" w:hAnsi="Book Antiqua" w:cs="Book Antiqua" w:hint="eastAsia"/>
          <w:b/>
          <w:bCs/>
          <w:color w:val="000000" w:themeColor="text1"/>
          <w:lang w:eastAsia="zh-CN"/>
        </w:rPr>
        <w:t>Imaging examinations before and after first-line and second-line treatments.</w:t>
      </w:r>
      <w:r w:rsidRPr="003D587E">
        <w:rPr>
          <w:rFonts w:ascii="Book Antiqua" w:eastAsia="Book Antiqua" w:hAnsi="Book Antiqua" w:cs="Book Antiqua"/>
          <w:color w:val="000000" w:themeColor="text1"/>
        </w:rPr>
        <w:t xml:space="preserve"> A and C</w:t>
      </w:r>
      <w:r w:rsidR="006E2A8D">
        <w:rPr>
          <w:rFonts w:ascii="Book Antiqua" w:hAnsi="Book Antiqua" w:cs="Book Antiqua" w:hint="eastAsia"/>
          <w:color w:val="000000" w:themeColor="text1"/>
          <w:lang w:eastAsia="zh-CN"/>
        </w:rPr>
        <w:t>:</w:t>
      </w:r>
      <w:r w:rsidR="006E2A8D">
        <w:rPr>
          <w:rFonts w:ascii="Book Antiqua" w:hAnsi="Book Antiqua" w:cs="Book Antiqua"/>
          <w:color w:val="000000" w:themeColor="text1"/>
          <w:lang w:eastAsia="zh-CN"/>
        </w:rPr>
        <w:t xml:space="preserve"> </w:t>
      </w:r>
      <w:r w:rsidRPr="003D587E">
        <w:rPr>
          <w:rFonts w:ascii="Book Antiqua" w:eastAsia="Book Antiqua" w:hAnsi="Book Antiqua" w:cs="Book Antiqua"/>
          <w:color w:val="000000" w:themeColor="text1"/>
        </w:rPr>
        <w:t xml:space="preserve">Curative effect of </w:t>
      </w:r>
      <w:proofErr w:type="spellStart"/>
      <w:r w:rsidRPr="003D587E">
        <w:rPr>
          <w:rFonts w:ascii="Book Antiqua" w:eastAsia="Book Antiqua" w:hAnsi="Book Antiqua" w:cs="Book Antiqua"/>
          <w:color w:val="000000" w:themeColor="text1"/>
        </w:rPr>
        <w:t>perigastric</w:t>
      </w:r>
      <w:proofErr w:type="spellEnd"/>
      <w:r w:rsidRPr="003D587E">
        <w:rPr>
          <w:rFonts w:ascii="Book Antiqua" w:eastAsia="Book Antiqua" w:hAnsi="Book Antiqua" w:cs="Book Antiqua"/>
          <w:color w:val="000000" w:themeColor="text1"/>
        </w:rPr>
        <w:t xml:space="preserve"> lymph nodes: PD; B and D: Curative effect of liver metastases: PD; C and E: Curative effect of </w:t>
      </w:r>
      <w:proofErr w:type="spellStart"/>
      <w:r w:rsidRPr="003D587E">
        <w:rPr>
          <w:rFonts w:ascii="Book Antiqua" w:eastAsia="Book Antiqua" w:hAnsi="Book Antiqua" w:cs="Book Antiqua"/>
          <w:color w:val="000000" w:themeColor="text1"/>
        </w:rPr>
        <w:t>perigastric</w:t>
      </w:r>
      <w:proofErr w:type="spellEnd"/>
      <w:r w:rsidRPr="003D587E">
        <w:rPr>
          <w:rFonts w:ascii="Book Antiqua" w:eastAsia="Book Antiqua" w:hAnsi="Book Antiqua" w:cs="Book Antiqua"/>
          <w:color w:val="000000" w:themeColor="text1"/>
        </w:rPr>
        <w:t xml:space="preserve"> lymph nodes: PR; D and F: Curative effect of liver metastases: PR.</w:t>
      </w:r>
    </w:p>
    <w:p w14:paraId="14D4343A" w14:textId="758248AE" w:rsidR="00E02726" w:rsidRPr="003D587E" w:rsidRDefault="00807BF3">
      <w:pPr>
        <w:spacing w:line="360" w:lineRule="auto"/>
        <w:jc w:val="both"/>
        <w:rPr>
          <w:color w:val="000000" w:themeColor="text1"/>
        </w:rPr>
      </w:pPr>
      <w:r w:rsidRPr="00807BF3">
        <w:lastRenderedPageBreak/>
        <w:t xml:space="preserve"> </w:t>
      </w:r>
      <w:r>
        <w:rPr>
          <w:noProof/>
        </w:rPr>
        <w:drawing>
          <wp:inline distT="0" distB="0" distL="0" distR="0" wp14:anchorId="087FAF7E" wp14:editId="57FE3F94">
            <wp:extent cx="5589270" cy="5359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9270" cy="5359400"/>
                    </a:xfrm>
                    <a:prstGeom prst="rect">
                      <a:avLst/>
                    </a:prstGeom>
                    <a:noFill/>
                    <a:ln>
                      <a:noFill/>
                    </a:ln>
                  </pic:spPr>
                </pic:pic>
              </a:graphicData>
            </a:graphic>
          </wp:inline>
        </w:drawing>
      </w:r>
    </w:p>
    <w:p w14:paraId="2BE440E8" w14:textId="7DDB9484" w:rsidR="00E02726" w:rsidRPr="003D587E" w:rsidRDefault="00395242">
      <w:pPr>
        <w:spacing w:line="360" w:lineRule="auto"/>
        <w:jc w:val="both"/>
        <w:rPr>
          <w:rFonts w:ascii="Book Antiqua" w:eastAsia="Book Antiqua" w:hAnsi="Book Antiqua" w:cs="Book Antiqua"/>
          <w:b/>
          <w:bCs/>
          <w:color w:val="000000" w:themeColor="text1"/>
        </w:rPr>
      </w:pPr>
      <w:r w:rsidRPr="003D587E">
        <w:rPr>
          <w:rFonts w:ascii="Book Antiqua" w:eastAsia="Book Antiqua" w:hAnsi="Book Antiqua" w:cs="Book Antiqua"/>
          <w:b/>
          <w:bCs/>
          <w:color w:val="000000" w:themeColor="text1"/>
        </w:rPr>
        <w:t>Figure 4</w:t>
      </w:r>
      <w:r w:rsidRPr="003D587E">
        <w:rPr>
          <w:rFonts w:ascii="Book Antiqua" w:eastAsia="SimSun" w:hAnsi="Book Antiqua" w:cs="Book Antiqua" w:hint="eastAsia"/>
          <w:b/>
          <w:bCs/>
          <w:color w:val="000000" w:themeColor="text1"/>
          <w:lang w:eastAsia="zh-CN"/>
        </w:rPr>
        <w:t xml:space="preserve"> </w:t>
      </w:r>
      <w:r w:rsidRPr="003D587E">
        <w:rPr>
          <w:rFonts w:ascii="Book Antiqua" w:eastAsia="Book Antiqua" w:hAnsi="Book Antiqua" w:cs="Book Antiqua" w:hint="eastAsia"/>
          <w:b/>
          <w:bCs/>
          <w:color w:val="000000" w:themeColor="text1"/>
          <w:lang w:eastAsia="zh-CN"/>
        </w:rPr>
        <w:t>PET-</w:t>
      </w:r>
      <w:r w:rsidR="003D587E" w:rsidRPr="003D587E">
        <w:rPr>
          <w:color w:val="000000" w:themeColor="text1"/>
        </w:rPr>
        <w:t xml:space="preserve"> </w:t>
      </w:r>
      <w:r w:rsidR="003D587E" w:rsidRPr="003D587E">
        <w:rPr>
          <w:rFonts w:ascii="Book Antiqua" w:eastAsia="Book Antiqua" w:hAnsi="Book Antiqua" w:cs="Book Antiqua"/>
          <w:b/>
          <w:bCs/>
          <w:color w:val="000000" w:themeColor="text1"/>
          <w:lang w:eastAsia="zh-CN"/>
        </w:rPr>
        <w:t>computed tomography</w:t>
      </w:r>
      <w:r w:rsidRPr="003D587E">
        <w:rPr>
          <w:rFonts w:ascii="Book Antiqua" w:eastAsia="Book Antiqua" w:hAnsi="Book Antiqua" w:cs="Book Antiqua" w:hint="eastAsia"/>
          <w:b/>
          <w:bCs/>
          <w:color w:val="000000" w:themeColor="text1"/>
          <w:lang w:eastAsia="zh-CN"/>
        </w:rPr>
        <w:t xml:space="preserve"> examinations at different time after second-line treatment. </w:t>
      </w:r>
      <w:r w:rsidRPr="007443C6">
        <w:rPr>
          <w:rFonts w:ascii="Book Antiqua" w:eastAsia="Book Antiqua" w:hAnsi="Book Antiqua" w:cs="Book Antiqua"/>
          <w:color w:val="000000" w:themeColor="text1"/>
        </w:rPr>
        <w:t xml:space="preserve">Persistent remission of </w:t>
      </w:r>
      <w:proofErr w:type="spellStart"/>
      <w:r w:rsidRPr="007443C6">
        <w:rPr>
          <w:rFonts w:ascii="Book Antiqua" w:eastAsia="Book Antiqua" w:hAnsi="Book Antiqua" w:cs="Book Antiqua"/>
          <w:color w:val="000000" w:themeColor="text1"/>
        </w:rPr>
        <w:t>perigastric</w:t>
      </w:r>
      <w:proofErr w:type="spellEnd"/>
      <w:r w:rsidRPr="007443C6">
        <w:rPr>
          <w:rFonts w:ascii="Book Antiqua" w:eastAsia="Book Antiqua" w:hAnsi="Book Antiqua" w:cs="Book Antiqua"/>
          <w:color w:val="000000" w:themeColor="text1"/>
        </w:rPr>
        <w:t xml:space="preserve"> lymph nodes.</w:t>
      </w:r>
    </w:p>
    <w:p w14:paraId="6E9AC1B8" w14:textId="77777777" w:rsidR="00E02726" w:rsidRPr="003D587E" w:rsidRDefault="00395242">
      <w:pPr>
        <w:spacing w:line="360" w:lineRule="auto"/>
        <w:jc w:val="both"/>
        <w:rPr>
          <w:rFonts w:ascii="Book Antiqua" w:hAnsi="Book Antiqua"/>
          <w:b/>
          <w:bCs/>
          <w:color w:val="000000" w:themeColor="text1"/>
        </w:rPr>
      </w:pPr>
      <w:r w:rsidRPr="003D587E">
        <w:rPr>
          <w:rFonts w:ascii="Book Antiqua" w:eastAsia="Book Antiqua" w:hAnsi="Book Antiqua" w:cs="Book Antiqua"/>
          <w:b/>
          <w:bCs/>
          <w:color w:val="000000" w:themeColor="text1"/>
        </w:rPr>
        <w:br w:type="page"/>
      </w:r>
      <w:r w:rsidRPr="003D587E">
        <w:rPr>
          <w:rFonts w:ascii="Book Antiqua" w:hAnsi="Book Antiqua"/>
          <w:b/>
          <w:bCs/>
          <w:color w:val="000000" w:themeColor="text1"/>
          <w:lang w:eastAsia="zh-CN"/>
        </w:rPr>
        <w:lastRenderedPageBreak/>
        <w:t>Table 1 Data on the patient's target lesions</w:t>
      </w:r>
    </w:p>
    <w:tbl>
      <w:tblPr>
        <w:tblW w:w="9039" w:type="dxa"/>
        <w:tblBorders>
          <w:top w:val="single" w:sz="4" w:space="0" w:color="auto"/>
          <w:bottom w:val="single" w:sz="4" w:space="0" w:color="auto"/>
        </w:tblBorders>
        <w:tblLook w:val="04A0" w:firstRow="1" w:lastRow="0" w:firstColumn="1" w:lastColumn="0" w:noHBand="0" w:noVBand="1"/>
      </w:tblPr>
      <w:tblGrid>
        <w:gridCol w:w="1293"/>
        <w:gridCol w:w="2534"/>
        <w:gridCol w:w="1985"/>
        <w:gridCol w:w="2126"/>
        <w:gridCol w:w="1418"/>
      </w:tblGrid>
      <w:tr w:rsidR="003D587E" w:rsidRPr="003D587E" w14:paraId="366F461B" w14:textId="77777777">
        <w:trPr>
          <w:trHeight w:val="310"/>
        </w:trPr>
        <w:tc>
          <w:tcPr>
            <w:tcW w:w="976" w:type="dxa"/>
            <w:tcBorders>
              <w:top w:val="single" w:sz="4" w:space="0" w:color="auto"/>
              <w:bottom w:val="single" w:sz="4" w:space="0" w:color="auto"/>
            </w:tcBorders>
            <w:shd w:val="clear" w:color="auto" w:fill="auto"/>
            <w:noWrap/>
            <w:vAlign w:val="bottom"/>
          </w:tcPr>
          <w:p w14:paraId="4206ADF3" w14:textId="77777777" w:rsidR="00E02726" w:rsidRPr="003D587E" w:rsidRDefault="00395242">
            <w:pPr>
              <w:spacing w:line="360" w:lineRule="auto"/>
              <w:rPr>
                <w:rFonts w:ascii="Book Antiqua" w:eastAsia="SimSun" w:hAnsi="Book Antiqua" w:cs="SimSun"/>
                <w:b/>
                <w:bCs/>
                <w:color w:val="000000" w:themeColor="text1"/>
                <w:lang w:eastAsia="zh-CN"/>
              </w:rPr>
            </w:pPr>
            <w:bookmarkStart w:id="0" w:name="RANGE!A1"/>
            <w:r w:rsidRPr="003D587E">
              <w:rPr>
                <w:rFonts w:ascii="Book Antiqua" w:eastAsia="SimSun" w:hAnsi="Book Antiqua" w:cs="SimSun"/>
                <w:b/>
                <w:bCs/>
                <w:color w:val="000000" w:themeColor="text1"/>
                <w:lang w:eastAsia="zh-CN"/>
              </w:rPr>
              <w:t>Date</w:t>
            </w:r>
            <w:bookmarkEnd w:id="0"/>
          </w:p>
        </w:tc>
        <w:tc>
          <w:tcPr>
            <w:tcW w:w="2534" w:type="dxa"/>
            <w:tcBorders>
              <w:top w:val="single" w:sz="4" w:space="0" w:color="auto"/>
              <w:bottom w:val="single" w:sz="4" w:space="0" w:color="auto"/>
            </w:tcBorders>
            <w:shd w:val="clear" w:color="auto" w:fill="auto"/>
            <w:noWrap/>
            <w:vAlign w:val="bottom"/>
          </w:tcPr>
          <w:p w14:paraId="154C11BB" w14:textId="77777777" w:rsidR="00E02726" w:rsidRPr="003D587E" w:rsidRDefault="00395242">
            <w:pPr>
              <w:spacing w:line="360" w:lineRule="auto"/>
              <w:rPr>
                <w:rFonts w:ascii="Book Antiqua" w:eastAsia="SimSun" w:hAnsi="Book Antiqua" w:cs="SimSun"/>
                <w:b/>
                <w:bCs/>
                <w:color w:val="000000" w:themeColor="text1"/>
                <w:lang w:eastAsia="zh-CN"/>
              </w:rPr>
            </w:pPr>
            <w:r w:rsidRPr="003D587E">
              <w:rPr>
                <w:rFonts w:ascii="Book Antiqua" w:eastAsia="SimSun" w:hAnsi="Book Antiqua" w:cs="SimSun"/>
                <w:b/>
                <w:bCs/>
                <w:color w:val="000000" w:themeColor="text1"/>
                <w:lang w:eastAsia="zh-CN"/>
              </w:rPr>
              <w:t xml:space="preserve">The minimum diameter of </w:t>
            </w:r>
            <w:proofErr w:type="spellStart"/>
            <w:r w:rsidRPr="003D587E">
              <w:rPr>
                <w:rFonts w:ascii="Book Antiqua" w:eastAsia="SimSun" w:hAnsi="Book Antiqua" w:cs="SimSun"/>
                <w:b/>
                <w:bCs/>
                <w:color w:val="000000" w:themeColor="text1"/>
                <w:lang w:eastAsia="zh-CN"/>
              </w:rPr>
              <w:t>perigastric</w:t>
            </w:r>
            <w:proofErr w:type="spellEnd"/>
            <w:r w:rsidRPr="003D587E">
              <w:rPr>
                <w:rFonts w:ascii="Book Antiqua" w:eastAsia="SimSun" w:hAnsi="Book Antiqua" w:cs="SimSun"/>
                <w:b/>
                <w:bCs/>
                <w:color w:val="000000" w:themeColor="text1"/>
                <w:lang w:eastAsia="zh-CN"/>
              </w:rPr>
              <w:t xml:space="preserve"> malignant lymph nodes 1</w:t>
            </w:r>
            <w:r w:rsidRPr="003D587E">
              <w:rPr>
                <w:rFonts w:ascii="Book Antiqua" w:eastAsia="SimSun" w:hAnsi="Book Antiqua" w:cs="SimSun" w:hint="eastAsia"/>
                <w:b/>
                <w:bCs/>
                <w:color w:val="000000" w:themeColor="text1"/>
                <w:lang w:eastAsia="zh-CN"/>
              </w:rPr>
              <w:t xml:space="preserve"> </w:t>
            </w:r>
            <w:r w:rsidRPr="003D587E">
              <w:rPr>
                <w:rFonts w:ascii="Book Antiqua" w:eastAsia="SimSun" w:hAnsi="Book Antiqua" w:cs="SimSun"/>
                <w:b/>
                <w:bCs/>
                <w:color w:val="000000" w:themeColor="text1"/>
                <w:lang w:eastAsia="zh-CN"/>
              </w:rPr>
              <w:t>(cm)</w:t>
            </w:r>
          </w:p>
        </w:tc>
        <w:tc>
          <w:tcPr>
            <w:tcW w:w="1985" w:type="dxa"/>
            <w:tcBorders>
              <w:top w:val="single" w:sz="4" w:space="0" w:color="auto"/>
              <w:bottom w:val="single" w:sz="4" w:space="0" w:color="auto"/>
            </w:tcBorders>
            <w:shd w:val="clear" w:color="auto" w:fill="auto"/>
            <w:noWrap/>
            <w:vAlign w:val="bottom"/>
          </w:tcPr>
          <w:p w14:paraId="2250ED3B" w14:textId="77777777" w:rsidR="00E02726" w:rsidRPr="003D587E" w:rsidRDefault="00395242">
            <w:pPr>
              <w:spacing w:line="360" w:lineRule="auto"/>
              <w:rPr>
                <w:rFonts w:ascii="Book Antiqua" w:eastAsia="SimSun" w:hAnsi="Book Antiqua" w:cs="SimSun"/>
                <w:b/>
                <w:bCs/>
                <w:color w:val="000000" w:themeColor="text1"/>
                <w:lang w:eastAsia="zh-CN"/>
              </w:rPr>
            </w:pPr>
            <w:r w:rsidRPr="003D587E">
              <w:rPr>
                <w:rFonts w:ascii="Book Antiqua" w:eastAsia="SimSun" w:hAnsi="Book Antiqua" w:cs="SimSun"/>
                <w:b/>
                <w:bCs/>
                <w:color w:val="000000" w:themeColor="text1"/>
                <w:lang w:eastAsia="zh-CN"/>
              </w:rPr>
              <w:t xml:space="preserve">The minimum diameter of </w:t>
            </w:r>
            <w:proofErr w:type="spellStart"/>
            <w:r w:rsidRPr="003D587E">
              <w:rPr>
                <w:rFonts w:ascii="Book Antiqua" w:eastAsia="SimSun" w:hAnsi="Book Antiqua" w:cs="SimSun"/>
                <w:b/>
                <w:bCs/>
                <w:color w:val="000000" w:themeColor="text1"/>
                <w:lang w:eastAsia="zh-CN"/>
              </w:rPr>
              <w:t>perigastric</w:t>
            </w:r>
            <w:proofErr w:type="spellEnd"/>
            <w:r w:rsidRPr="003D587E">
              <w:rPr>
                <w:rFonts w:ascii="Book Antiqua" w:eastAsia="SimSun" w:hAnsi="Book Antiqua" w:cs="SimSun"/>
                <w:b/>
                <w:bCs/>
                <w:color w:val="000000" w:themeColor="text1"/>
                <w:lang w:eastAsia="zh-CN"/>
              </w:rPr>
              <w:t xml:space="preserve"> malignant lymph nodes 2</w:t>
            </w:r>
            <w:r w:rsidRPr="003D587E">
              <w:rPr>
                <w:rFonts w:ascii="Book Antiqua" w:eastAsia="SimSun" w:hAnsi="Book Antiqua" w:cs="SimSun" w:hint="eastAsia"/>
                <w:b/>
                <w:bCs/>
                <w:color w:val="000000" w:themeColor="text1"/>
                <w:lang w:eastAsia="zh-CN"/>
              </w:rPr>
              <w:t xml:space="preserve"> </w:t>
            </w:r>
            <w:r w:rsidRPr="003D587E">
              <w:rPr>
                <w:rFonts w:ascii="Book Antiqua" w:eastAsia="SimSun" w:hAnsi="Book Antiqua" w:cs="SimSun"/>
                <w:b/>
                <w:bCs/>
                <w:color w:val="000000" w:themeColor="text1"/>
                <w:lang w:eastAsia="zh-CN"/>
              </w:rPr>
              <w:t>(cm)</w:t>
            </w:r>
          </w:p>
        </w:tc>
        <w:tc>
          <w:tcPr>
            <w:tcW w:w="2126" w:type="dxa"/>
            <w:tcBorders>
              <w:top w:val="single" w:sz="4" w:space="0" w:color="auto"/>
              <w:bottom w:val="single" w:sz="4" w:space="0" w:color="auto"/>
            </w:tcBorders>
            <w:shd w:val="clear" w:color="auto" w:fill="auto"/>
            <w:noWrap/>
            <w:vAlign w:val="bottom"/>
          </w:tcPr>
          <w:p w14:paraId="15A9B00D" w14:textId="77777777" w:rsidR="00E02726" w:rsidRPr="003D587E" w:rsidRDefault="00395242">
            <w:pPr>
              <w:spacing w:line="360" w:lineRule="auto"/>
              <w:rPr>
                <w:rFonts w:ascii="Book Antiqua" w:eastAsia="SimSun" w:hAnsi="Book Antiqua" w:cs="SimSun"/>
                <w:b/>
                <w:bCs/>
                <w:color w:val="000000" w:themeColor="text1"/>
                <w:lang w:eastAsia="zh-CN"/>
              </w:rPr>
            </w:pPr>
            <w:r w:rsidRPr="003D587E">
              <w:rPr>
                <w:rFonts w:ascii="Book Antiqua" w:eastAsia="SimSun" w:hAnsi="Book Antiqua" w:cs="SimSun"/>
                <w:b/>
                <w:bCs/>
                <w:color w:val="000000" w:themeColor="text1"/>
                <w:lang w:eastAsia="zh-CN"/>
              </w:rPr>
              <w:t>The maximum diameter of liver metastases</w:t>
            </w:r>
            <w:r w:rsidRPr="003D587E">
              <w:rPr>
                <w:rFonts w:ascii="Book Antiqua" w:eastAsia="SimSun" w:hAnsi="Book Antiqua" w:cs="SimSun" w:hint="eastAsia"/>
                <w:b/>
                <w:bCs/>
                <w:color w:val="000000" w:themeColor="text1"/>
                <w:lang w:eastAsia="zh-CN"/>
              </w:rPr>
              <w:t xml:space="preserve"> </w:t>
            </w:r>
            <w:r w:rsidRPr="003D587E">
              <w:rPr>
                <w:rFonts w:ascii="Book Antiqua" w:eastAsia="SimSun" w:hAnsi="Book Antiqua" w:cs="SimSun"/>
                <w:b/>
                <w:bCs/>
                <w:color w:val="000000" w:themeColor="text1"/>
                <w:lang w:eastAsia="zh-CN"/>
              </w:rPr>
              <w:t>(cm)</w:t>
            </w:r>
          </w:p>
        </w:tc>
        <w:tc>
          <w:tcPr>
            <w:tcW w:w="1418" w:type="dxa"/>
            <w:tcBorders>
              <w:top w:val="single" w:sz="4" w:space="0" w:color="auto"/>
              <w:bottom w:val="single" w:sz="4" w:space="0" w:color="auto"/>
            </w:tcBorders>
            <w:shd w:val="clear" w:color="auto" w:fill="auto"/>
            <w:noWrap/>
            <w:vAlign w:val="bottom"/>
          </w:tcPr>
          <w:p w14:paraId="29D39E5E" w14:textId="77777777" w:rsidR="00E02726" w:rsidRPr="003D587E" w:rsidRDefault="00395242">
            <w:pPr>
              <w:spacing w:line="360" w:lineRule="auto"/>
              <w:rPr>
                <w:rFonts w:ascii="Book Antiqua" w:eastAsia="SimSun" w:hAnsi="Book Antiqua" w:cs="SimSun"/>
                <w:b/>
                <w:bCs/>
                <w:color w:val="000000" w:themeColor="text1"/>
                <w:lang w:eastAsia="zh-CN"/>
              </w:rPr>
            </w:pPr>
            <w:r w:rsidRPr="003D587E">
              <w:rPr>
                <w:rFonts w:ascii="Book Antiqua" w:eastAsia="SimSun" w:hAnsi="Book Antiqua" w:cs="SimSun"/>
                <w:b/>
                <w:bCs/>
                <w:color w:val="000000" w:themeColor="text1"/>
                <w:lang w:eastAsia="zh-CN"/>
              </w:rPr>
              <w:t>The sum</w:t>
            </w:r>
            <w:r w:rsidRPr="003D587E">
              <w:rPr>
                <w:rFonts w:ascii="Book Antiqua" w:eastAsia="SimSun" w:hAnsi="Book Antiqua" w:cs="SimSun" w:hint="eastAsia"/>
                <w:b/>
                <w:bCs/>
                <w:color w:val="000000" w:themeColor="text1"/>
                <w:lang w:eastAsia="zh-CN"/>
              </w:rPr>
              <w:t xml:space="preserve"> </w:t>
            </w:r>
            <w:r w:rsidRPr="003D587E">
              <w:rPr>
                <w:rFonts w:ascii="Book Antiqua" w:eastAsia="SimSun" w:hAnsi="Book Antiqua" w:cs="SimSun"/>
                <w:b/>
                <w:bCs/>
                <w:color w:val="000000" w:themeColor="text1"/>
                <w:lang w:eastAsia="zh-CN"/>
              </w:rPr>
              <w:t>(cm)</w:t>
            </w:r>
          </w:p>
        </w:tc>
      </w:tr>
      <w:tr w:rsidR="00E62179" w:rsidRPr="003D587E" w14:paraId="4DD1DD35" w14:textId="77777777" w:rsidTr="007443C6">
        <w:trPr>
          <w:trHeight w:val="320"/>
        </w:trPr>
        <w:tc>
          <w:tcPr>
            <w:tcW w:w="976" w:type="dxa"/>
            <w:tcBorders>
              <w:top w:val="single" w:sz="4" w:space="0" w:color="auto"/>
            </w:tcBorders>
            <w:shd w:val="clear" w:color="auto" w:fill="auto"/>
            <w:noWrap/>
          </w:tcPr>
          <w:p w14:paraId="65E137FF" w14:textId="1275BEC5" w:rsidR="00E62179" w:rsidRPr="00E62179" w:rsidRDefault="00E62179" w:rsidP="00E62179">
            <w:pPr>
              <w:spacing w:line="360" w:lineRule="auto"/>
              <w:rPr>
                <w:rFonts w:ascii="Book Antiqua" w:eastAsia="SimSun" w:hAnsi="Book Antiqua" w:cs="SimSun"/>
                <w:color w:val="000000" w:themeColor="text1"/>
                <w:lang w:eastAsia="zh-CN"/>
              </w:rPr>
            </w:pPr>
            <w:r w:rsidRPr="007443C6">
              <w:rPr>
                <w:rFonts w:ascii="Book Antiqua" w:hAnsi="Book Antiqua"/>
                <w:lang w:eastAsia="zh-CN"/>
              </w:rPr>
              <w:t>December 13, 2019</w:t>
            </w:r>
          </w:p>
        </w:tc>
        <w:tc>
          <w:tcPr>
            <w:tcW w:w="2534" w:type="dxa"/>
            <w:tcBorders>
              <w:top w:val="single" w:sz="4" w:space="0" w:color="auto"/>
            </w:tcBorders>
            <w:shd w:val="clear" w:color="auto" w:fill="auto"/>
            <w:noWrap/>
            <w:vAlign w:val="bottom"/>
          </w:tcPr>
          <w:p w14:paraId="0C2E28B4"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1.49</w:t>
            </w:r>
          </w:p>
        </w:tc>
        <w:tc>
          <w:tcPr>
            <w:tcW w:w="1985" w:type="dxa"/>
            <w:tcBorders>
              <w:top w:val="single" w:sz="4" w:space="0" w:color="auto"/>
            </w:tcBorders>
            <w:shd w:val="clear" w:color="auto" w:fill="auto"/>
            <w:noWrap/>
            <w:vAlign w:val="bottom"/>
          </w:tcPr>
          <w:p w14:paraId="61DC268E"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2.15</w:t>
            </w:r>
          </w:p>
        </w:tc>
        <w:tc>
          <w:tcPr>
            <w:tcW w:w="2126" w:type="dxa"/>
            <w:tcBorders>
              <w:top w:val="single" w:sz="4" w:space="0" w:color="auto"/>
            </w:tcBorders>
            <w:shd w:val="clear" w:color="auto" w:fill="auto"/>
            <w:noWrap/>
            <w:vAlign w:val="bottom"/>
          </w:tcPr>
          <w:p w14:paraId="55BFF305"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1.82</w:t>
            </w:r>
          </w:p>
        </w:tc>
        <w:tc>
          <w:tcPr>
            <w:tcW w:w="1418" w:type="dxa"/>
            <w:tcBorders>
              <w:top w:val="single" w:sz="4" w:space="0" w:color="auto"/>
            </w:tcBorders>
            <w:shd w:val="clear" w:color="auto" w:fill="auto"/>
            <w:noWrap/>
            <w:vAlign w:val="bottom"/>
          </w:tcPr>
          <w:p w14:paraId="3FDAF410"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5.46</w:t>
            </w:r>
          </w:p>
        </w:tc>
      </w:tr>
      <w:tr w:rsidR="00E62179" w:rsidRPr="003D587E" w14:paraId="2BA13A0E" w14:textId="77777777" w:rsidTr="007443C6">
        <w:trPr>
          <w:trHeight w:val="280"/>
        </w:trPr>
        <w:tc>
          <w:tcPr>
            <w:tcW w:w="976" w:type="dxa"/>
            <w:shd w:val="clear" w:color="auto" w:fill="auto"/>
            <w:noWrap/>
          </w:tcPr>
          <w:p w14:paraId="07201A77" w14:textId="4A245632" w:rsidR="00E62179" w:rsidRPr="00E62179" w:rsidRDefault="00E62179" w:rsidP="00E62179">
            <w:pPr>
              <w:spacing w:line="360" w:lineRule="auto"/>
              <w:rPr>
                <w:rFonts w:ascii="Book Antiqua" w:eastAsia="SimSun" w:hAnsi="Book Antiqua" w:cs="SimSun"/>
                <w:color w:val="000000" w:themeColor="text1"/>
                <w:lang w:eastAsia="zh-CN"/>
              </w:rPr>
            </w:pPr>
            <w:r w:rsidRPr="007443C6">
              <w:rPr>
                <w:rFonts w:ascii="Book Antiqua" w:hAnsi="Book Antiqua"/>
                <w:lang w:eastAsia="zh-CN"/>
              </w:rPr>
              <w:t>February 7, 2020</w:t>
            </w:r>
          </w:p>
        </w:tc>
        <w:tc>
          <w:tcPr>
            <w:tcW w:w="2534" w:type="dxa"/>
            <w:shd w:val="clear" w:color="auto" w:fill="auto"/>
            <w:noWrap/>
            <w:vAlign w:val="bottom"/>
          </w:tcPr>
          <w:p w14:paraId="75A40365"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2.25</w:t>
            </w:r>
          </w:p>
        </w:tc>
        <w:tc>
          <w:tcPr>
            <w:tcW w:w="1985" w:type="dxa"/>
            <w:shd w:val="clear" w:color="auto" w:fill="auto"/>
            <w:noWrap/>
            <w:vAlign w:val="bottom"/>
          </w:tcPr>
          <w:p w14:paraId="3023346D" w14:textId="77777777" w:rsidR="00E62179" w:rsidRPr="003D587E" w:rsidRDefault="00E62179" w:rsidP="00E62179">
            <w:pPr>
              <w:spacing w:line="360" w:lineRule="auto"/>
              <w:rPr>
                <w:rFonts w:ascii="Book Antiqua" w:eastAsia="SimSun" w:hAnsi="Book Antiqua" w:cs="SimSun"/>
                <w:color w:val="000000" w:themeColor="text1"/>
                <w:lang w:eastAsia="zh-CN"/>
              </w:rPr>
            </w:pPr>
            <w:bookmarkStart w:id="1" w:name="RANGE!C3"/>
            <w:r w:rsidRPr="003D587E">
              <w:rPr>
                <w:rFonts w:ascii="Book Antiqua" w:eastAsia="SimSun" w:hAnsi="Book Antiqua" w:cs="SimSun"/>
                <w:color w:val="000000" w:themeColor="text1"/>
                <w:lang w:eastAsia="zh-CN"/>
              </w:rPr>
              <w:t>2.82</w:t>
            </w:r>
            <w:bookmarkEnd w:id="1"/>
          </w:p>
        </w:tc>
        <w:tc>
          <w:tcPr>
            <w:tcW w:w="2126" w:type="dxa"/>
            <w:shd w:val="clear" w:color="auto" w:fill="auto"/>
            <w:noWrap/>
            <w:vAlign w:val="bottom"/>
          </w:tcPr>
          <w:p w14:paraId="519F0174"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3.19</w:t>
            </w:r>
          </w:p>
        </w:tc>
        <w:tc>
          <w:tcPr>
            <w:tcW w:w="1418" w:type="dxa"/>
            <w:shd w:val="clear" w:color="auto" w:fill="auto"/>
            <w:noWrap/>
            <w:vAlign w:val="bottom"/>
          </w:tcPr>
          <w:p w14:paraId="5C07A065"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8.26</w:t>
            </w:r>
          </w:p>
        </w:tc>
      </w:tr>
      <w:tr w:rsidR="00E62179" w:rsidRPr="003D587E" w14:paraId="76550E61" w14:textId="77777777" w:rsidTr="007443C6">
        <w:trPr>
          <w:trHeight w:val="310"/>
        </w:trPr>
        <w:tc>
          <w:tcPr>
            <w:tcW w:w="976" w:type="dxa"/>
            <w:shd w:val="clear" w:color="auto" w:fill="auto"/>
            <w:noWrap/>
          </w:tcPr>
          <w:p w14:paraId="633CEC1F" w14:textId="6F0B92B4" w:rsidR="00E62179" w:rsidRPr="00E62179" w:rsidRDefault="00E62179" w:rsidP="00E62179">
            <w:pPr>
              <w:spacing w:line="360" w:lineRule="auto"/>
              <w:rPr>
                <w:rFonts w:ascii="Book Antiqua" w:eastAsia="SimSun" w:hAnsi="Book Antiqua" w:cs="SimSun"/>
                <w:color w:val="000000" w:themeColor="text1"/>
                <w:lang w:eastAsia="zh-CN"/>
              </w:rPr>
            </w:pPr>
            <w:r w:rsidRPr="007443C6">
              <w:rPr>
                <w:rFonts w:ascii="Book Antiqua" w:hAnsi="Book Antiqua"/>
                <w:lang w:eastAsia="zh-CN"/>
              </w:rPr>
              <w:t>April 10, 2020</w:t>
            </w:r>
          </w:p>
        </w:tc>
        <w:tc>
          <w:tcPr>
            <w:tcW w:w="2534" w:type="dxa"/>
            <w:shd w:val="clear" w:color="auto" w:fill="auto"/>
            <w:noWrap/>
            <w:vAlign w:val="bottom"/>
          </w:tcPr>
          <w:p w14:paraId="333B5494"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1.54</w:t>
            </w:r>
          </w:p>
        </w:tc>
        <w:tc>
          <w:tcPr>
            <w:tcW w:w="1985" w:type="dxa"/>
            <w:shd w:val="clear" w:color="auto" w:fill="auto"/>
            <w:noWrap/>
            <w:vAlign w:val="bottom"/>
          </w:tcPr>
          <w:p w14:paraId="06287A26"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1.02</w:t>
            </w:r>
          </w:p>
        </w:tc>
        <w:tc>
          <w:tcPr>
            <w:tcW w:w="2126" w:type="dxa"/>
            <w:shd w:val="clear" w:color="auto" w:fill="auto"/>
            <w:noWrap/>
            <w:vAlign w:val="bottom"/>
          </w:tcPr>
          <w:p w14:paraId="59E2C91D"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1.71</w:t>
            </w:r>
          </w:p>
        </w:tc>
        <w:tc>
          <w:tcPr>
            <w:tcW w:w="1418" w:type="dxa"/>
            <w:shd w:val="clear" w:color="auto" w:fill="auto"/>
            <w:noWrap/>
            <w:vAlign w:val="bottom"/>
          </w:tcPr>
          <w:p w14:paraId="6C4A380C" w14:textId="77777777" w:rsidR="00E62179" w:rsidRPr="003D587E" w:rsidRDefault="00E62179" w:rsidP="00E62179">
            <w:pPr>
              <w:spacing w:line="360" w:lineRule="auto"/>
              <w:rPr>
                <w:rFonts w:ascii="Book Antiqua" w:eastAsia="SimSun" w:hAnsi="Book Antiqua" w:cs="SimSun"/>
                <w:color w:val="000000" w:themeColor="text1"/>
                <w:lang w:eastAsia="zh-CN"/>
              </w:rPr>
            </w:pPr>
            <w:r w:rsidRPr="003D587E">
              <w:rPr>
                <w:rFonts w:ascii="Book Antiqua" w:eastAsia="SimSun" w:hAnsi="Book Antiqua" w:cs="SimSun"/>
                <w:color w:val="000000" w:themeColor="text1"/>
                <w:lang w:eastAsia="zh-CN"/>
              </w:rPr>
              <w:t>4.27</w:t>
            </w:r>
          </w:p>
        </w:tc>
      </w:tr>
    </w:tbl>
    <w:p w14:paraId="3815A057" w14:textId="77777777" w:rsidR="00E02726" w:rsidRPr="003D587E" w:rsidRDefault="00E02726">
      <w:pPr>
        <w:spacing w:line="360" w:lineRule="auto"/>
        <w:jc w:val="both"/>
        <w:rPr>
          <w:b/>
          <w:bCs/>
          <w:color w:val="000000" w:themeColor="text1"/>
        </w:rPr>
      </w:pPr>
    </w:p>
    <w:sectPr w:rsidR="00E02726" w:rsidRPr="003D58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10431" w14:textId="77777777" w:rsidR="00E15068" w:rsidRDefault="00E15068">
      <w:r>
        <w:separator/>
      </w:r>
    </w:p>
  </w:endnote>
  <w:endnote w:type="continuationSeparator" w:id="0">
    <w:p w14:paraId="1083D4B4" w14:textId="77777777" w:rsidR="00E15068" w:rsidRDefault="00E1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D98B" w14:textId="77777777" w:rsidR="00E02726" w:rsidRDefault="00395242">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05DA9133" w14:textId="77777777" w:rsidR="00E02726" w:rsidRDefault="00E02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961DB" w14:textId="77777777" w:rsidR="00E15068" w:rsidRDefault="00E15068">
      <w:r>
        <w:separator/>
      </w:r>
    </w:p>
  </w:footnote>
  <w:footnote w:type="continuationSeparator" w:id="0">
    <w:p w14:paraId="380E596A" w14:textId="77777777" w:rsidR="00E15068" w:rsidRDefault="00E150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2F"/>
    <w:rsid w:val="000146C5"/>
    <w:rsid w:val="0001688F"/>
    <w:rsid w:val="00024DFE"/>
    <w:rsid w:val="000649BE"/>
    <w:rsid w:val="000A7F0A"/>
    <w:rsid w:val="000B5DF7"/>
    <w:rsid w:val="000D3B88"/>
    <w:rsid w:val="000E0223"/>
    <w:rsid w:val="000F3AEB"/>
    <w:rsid w:val="000F5651"/>
    <w:rsid w:val="0011155F"/>
    <w:rsid w:val="00114C3A"/>
    <w:rsid w:val="00126AB9"/>
    <w:rsid w:val="001316F9"/>
    <w:rsid w:val="00141D2C"/>
    <w:rsid w:val="00160879"/>
    <w:rsid w:val="0016545B"/>
    <w:rsid w:val="00166876"/>
    <w:rsid w:val="00192074"/>
    <w:rsid w:val="00196898"/>
    <w:rsid w:val="001A22E8"/>
    <w:rsid w:val="001D4E7D"/>
    <w:rsid w:val="001D7A68"/>
    <w:rsid w:val="00231445"/>
    <w:rsid w:val="0024499F"/>
    <w:rsid w:val="00260F1E"/>
    <w:rsid w:val="00271641"/>
    <w:rsid w:val="002934D6"/>
    <w:rsid w:val="002A5C6C"/>
    <w:rsid w:val="002B3F55"/>
    <w:rsid w:val="002C0090"/>
    <w:rsid w:val="00304855"/>
    <w:rsid w:val="00326AED"/>
    <w:rsid w:val="00364AD4"/>
    <w:rsid w:val="003737DC"/>
    <w:rsid w:val="00395242"/>
    <w:rsid w:val="003A0538"/>
    <w:rsid w:val="003A4C4F"/>
    <w:rsid w:val="003D587E"/>
    <w:rsid w:val="003E6AE0"/>
    <w:rsid w:val="00433C63"/>
    <w:rsid w:val="00461600"/>
    <w:rsid w:val="00462329"/>
    <w:rsid w:val="004A52EA"/>
    <w:rsid w:val="004B68CF"/>
    <w:rsid w:val="004C4A2D"/>
    <w:rsid w:val="0051700C"/>
    <w:rsid w:val="00567415"/>
    <w:rsid w:val="005B6BBD"/>
    <w:rsid w:val="005B7CF8"/>
    <w:rsid w:val="005C67BD"/>
    <w:rsid w:val="00612B9B"/>
    <w:rsid w:val="00614ED8"/>
    <w:rsid w:val="006158A9"/>
    <w:rsid w:val="00617D6E"/>
    <w:rsid w:val="0063517D"/>
    <w:rsid w:val="00673035"/>
    <w:rsid w:val="0067488A"/>
    <w:rsid w:val="00682770"/>
    <w:rsid w:val="006B6375"/>
    <w:rsid w:val="006C26A1"/>
    <w:rsid w:val="006E2A8D"/>
    <w:rsid w:val="006F2964"/>
    <w:rsid w:val="007443C6"/>
    <w:rsid w:val="00753802"/>
    <w:rsid w:val="00781934"/>
    <w:rsid w:val="0079089F"/>
    <w:rsid w:val="007C2E2F"/>
    <w:rsid w:val="007E0C17"/>
    <w:rsid w:val="007F08DD"/>
    <w:rsid w:val="007F2579"/>
    <w:rsid w:val="007F3099"/>
    <w:rsid w:val="00807BF3"/>
    <w:rsid w:val="008213A1"/>
    <w:rsid w:val="00876BD6"/>
    <w:rsid w:val="008977DA"/>
    <w:rsid w:val="008B2DE2"/>
    <w:rsid w:val="008F639A"/>
    <w:rsid w:val="00906193"/>
    <w:rsid w:val="00986F05"/>
    <w:rsid w:val="00987324"/>
    <w:rsid w:val="009C0E8C"/>
    <w:rsid w:val="009E75A7"/>
    <w:rsid w:val="009F40C1"/>
    <w:rsid w:val="009F458C"/>
    <w:rsid w:val="00A27AFE"/>
    <w:rsid w:val="00A4477B"/>
    <w:rsid w:val="00A548BF"/>
    <w:rsid w:val="00A63782"/>
    <w:rsid w:val="00A733D9"/>
    <w:rsid w:val="00A7364D"/>
    <w:rsid w:val="00A77B3E"/>
    <w:rsid w:val="00A8338E"/>
    <w:rsid w:val="00B11533"/>
    <w:rsid w:val="00B16FFB"/>
    <w:rsid w:val="00B17D23"/>
    <w:rsid w:val="00B235D8"/>
    <w:rsid w:val="00B249A0"/>
    <w:rsid w:val="00B404CF"/>
    <w:rsid w:val="00B41B5B"/>
    <w:rsid w:val="00B603B6"/>
    <w:rsid w:val="00B63A1D"/>
    <w:rsid w:val="00B847D5"/>
    <w:rsid w:val="00BA3AD5"/>
    <w:rsid w:val="00BB4CD8"/>
    <w:rsid w:val="00BB579C"/>
    <w:rsid w:val="00BB758E"/>
    <w:rsid w:val="00BD165C"/>
    <w:rsid w:val="00C127FA"/>
    <w:rsid w:val="00C21B22"/>
    <w:rsid w:val="00C709D1"/>
    <w:rsid w:val="00C830F9"/>
    <w:rsid w:val="00CA2A55"/>
    <w:rsid w:val="00CF577D"/>
    <w:rsid w:val="00D17987"/>
    <w:rsid w:val="00D4449C"/>
    <w:rsid w:val="00D764D5"/>
    <w:rsid w:val="00D80063"/>
    <w:rsid w:val="00D80AF9"/>
    <w:rsid w:val="00DE039F"/>
    <w:rsid w:val="00DE482E"/>
    <w:rsid w:val="00E02726"/>
    <w:rsid w:val="00E02E2D"/>
    <w:rsid w:val="00E15068"/>
    <w:rsid w:val="00E22F6E"/>
    <w:rsid w:val="00E25BC9"/>
    <w:rsid w:val="00E55E2B"/>
    <w:rsid w:val="00E6066B"/>
    <w:rsid w:val="00E62179"/>
    <w:rsid w:val="00E87E9B"/>
    <w:rsid w:val="00E94725"/>
    <w:rsid w:val="00EC125A"/>
    <w:rsid w:val="00EE49E5"/>
    <w:rsid w:val="00EF3141"/>
    <w:rsid w:val="00F05B62"/>
    <w:rsid w:val="00F1565F"/>
    <w:rsid w:val="00F34BD9"/>
    <w:rsid w:val="00F430BA"/>
    <w:rsid w:val="00F437EC"/>
    <w:rsid w:val="00F746AA"/>
    <w:rsid w:val="00F8473D"/>
    <w:rsid w:val="00F9366C"/>
    <w:rsid w:val="00FF3DF2"/>
    <w:rsid w:val="00FF5C03"/>
    <w:rsid w:val="00FF7C95"/>
    <w:rsid w:val="0337347F"/>
    <w:rsid w:val="05F569F0"/>
    <w:rsid w:val="070C3424"/>
    <w:rsid w:val="0AB141A2"/>
    <w:rsid w:val="196B7C02"/>
    <w:rsid w:val="19AE7C1F"/>
    <w:rsid w:val="24D91F1B"/>
    <w:rsid w:val="272202F1"/>
    <w:rsid w:val="2927669A"/>
    <w:rsid w:val="3A106ADA"/>
    <w:rsid w:val="4A923FC2"/>
    <w:rsid w:val="4C0417A5"/>
    <w:rsid w:val="4C2A3F2D"/>
    <w:rsid w:val="4CD25702"/>
    <w:rsid w:val="51BF27BC"/>
    <w:rsid w:val="6A7571DA"/>
    <w:rsid w:val="6E427408"/>
    <w:rsid w:val="710A0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CC52C"/>
  <w15:docId w15:val="{AC5AC6F6-C8B0-4DBC-9E76-909B0DD04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Revision">
    <w:name w:val="Revision"/>
    <w:hidden/>
    <w:uiPriority w:val="99"/>
    <w:semiHidden/>
    <w:rsid w:val="007F3099"/>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aidu.com/Link?url=M883BoAFdooJYXkM7YtqomaIjXhBF9FUViqQ3bO7vGQvWTqGPUJ8eGp2XVTpsLa4iWF1A4D5yNFmhhzqQwBI3rU3oqFSeZNdxFwV7xF-3eu&amp;wd=&amp;eqid=ec6293f3000ffdda0000000661463bd6"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F7841384-5D48-400F-AC1C-0D49FCDA447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3425</Words>
  <Characters>19524</Characters>
  <Application>Microsoft Office Word</Application>
  <DocSecurity>0</DocSecurity>
  <Lines>162</Lines>
  <Paragraphs>45</Paragraphs>
  <ScaleCrop>false</ScaleCrop>
  <Company/>
  <LinksUpToDate>false</LinksUpToDate>
  <CharactersWithSpaces>22904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dcterms:created xsi:type="dcterms:W3CDTF">2022-04-22T16:58:00Z</dcterms:created>
  <dcterms:modified xsi:type="dcterms:W3CDTF">2022-04-22T17:07:00Z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