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b/>
          <w:color w:val="000000"/>
        </w:rPr>
        <w:t xml:space="preserve">Name of Journal: </w:t>
      </w:r>
      <w:r>
        <w:rPr>
          <w:rFonts w:ascii="Book Antiqua" w:hAnsi="Book Antiqua" w:eastAsia="Book Antiqua"/>
          <w:i/>
          <w:color w:val="000000"/>
        </w:rPr>
        <w:t>World Journal of Clinical Cases</w:t>
      </w:r>
    </w:p>
    <w:p>
      <w:pPr>
        <w:spacing w:line="360" w:lineRule="auto"/>
        <w:jc w:val="both"/>
        <w:rPr>
          <w:rFonts w:ascii="Book Antiqua" w:hAnsi="Book Antiqua"/>
        </w:rPr>
      </w:pPr>
      <w:r>
        <w:rPr>
          <w:rFonts w:ascii="Book Antiqua" w:hAnsi="Book Antiqua" w:eastAsia="Book Antiqua"/>
          <w:b/>
          <w:color w:val="000000"/>
        </w:rPr>
        <w:t xml:space="preserve">Manuscript NO: </w:t>
      </w:r>
      <w:r>
        <w:rPr>
          <w:rFonts w:ascii="Book Antiqua" w:hAnsi="Book Antiqua" w:eastAsia="Book Antiqua"/>
          <w:color w:val="000000"/>
        </w:rPr>
        <w:t>71817</w:t>
      </w:r>
    </w:p>
    <w:p>
      <w:pPr>
        <w:spacing w:line="360" w:lineRule="auto"/>
        <w:jc w:val="both"/>
        <w:rPr>
          <w:rFonts w:ascii="Book Antiqua" w:hAnsi="Book Antiqua"/>
        </w:rPr>
      </w:pPr>
      <w:r>
        <w:rPr>
          <w:rFonts w:ascii="Book Antiqua" w:hAnsi="Book Antiqua" w:eastAsia="Book Antiqua"/>
          <w:b/>
          <w:color w:val="000000"/>
        </w:rPr>
        <w:t xml:space="preserve">Manuscript Type: </w:t>
      </w:r>
      <w:r>
        <w:rPr>
          <w:rFonts w:ascii="Book Antiqua" w:hAnsi="Book Antiqua" w:eastAsia="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olor w:val="000000"/>
        </w:rPr>
        <w:t>PIGN mutation multiple congenital anomalies-hypotonia-seizures syndrome 1: A case report</w:t>
      </w:r>
    </w:p>
    <w:p>
      <w:pPr>
        <w:spacing w:line="360" w:lineRule="auto"/>
        <w:jc w:val="both"/>
        <w:rPr>
          <w:rFonts w:ascii="Book Antiqua" w:hAnsi="Book Antiqua" w:eastAsia="Book Antiqua"/>
          <w:color w:val="000000"/>
        </w:rPr>
      </w:pPr>
    </w:p>
    <w:p>
      <w:pPr>
        <w:spacing w:line="360" w:lineRule="auto"/>
        <w:jc w:val="both"/>
        <w:rPr>
          <w:rFonts w:ascii="Book Antiqua" w:hAnsi="Book Antiqua" w:eastAsia="Book Antiqua"/>
          <w:color w:val="000000"/>
        </w:rPr>
      </w:pPr>
      <w:r>
        <w:rPr>
          <w:rFonts w:ascii="Book Antiqua" w:hAnsi="Book Antiqua" w:eastAsia="Book Antiqua"/>
          <w:color w:val="000000"/>
        </w:rPr>
        <w:t xml:space="preserve">Hou F </w:t>
      </w:r>
      <w:r>
        <w:rPr>
          <w:rFonts w:ascii="Book Antiqua" w:hAnsi="Book Antiqua" w:eastAsia="Book Antiqua"/>
          <w:i/>
          <w:color w:val="000000"/>
        </w:rPr>
        <w:t>et al</w:t>
      </w:r>
      <w:r>
        <w:rPr>
          <w:rFonts w:ascii="Book Antiqua" w:hAnsi="Book Antiqua" w:eastAsia="Book Antiqua"/>
          <w:color w:val="000000"/>
        </w:rPr>
        <w:t>. PIGN mutation MCAHS1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olor w:val="000000"/>
        </w:rPr>
        <w:t>Fei Hou, Shan Shan, Hua Jin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Fei Hou, Shan Shan, Hua Jin, </w:t>
      </w:r>
      <w:r>
        <w:rPr>
          <w:rFonts w:ascii="Book Antiqua" w:hAnsi="Book Antiqua" w:eastAsia="Book Antiqua"/>
          <w:bCs/>
          <w:color w:val="000000"/>
        </w:rPr>
        <w:t xml:space="preserve">Department of </w:t>
      </w:r>
      <w:r>
        <w:rPr>
          <w:rFonts w:ascii="Book Antiqua" w:hAnsi="Book Antiqua" w:eastAsia="Book Antiqua"/>
          <w:color w:val="000000"/>
        </w:rPr>
        <w:t>Prenatal Diagnosis, Jinan Maternal and Child Health Hospital, Jinan 250001,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Author contributions: </w:t>
      </w:r>
      <w:r>
        <w:rPr>
          <w:rFonts w:ascii="Book Antiqua" w:hAnsi="Book Antiqua" w:eastAsia="Book Antiqua"/>
          <w:color w:val="000000"/>
        </w:rPr>
        <w:t>Hou F performed the research and wrote the manuscript</w:t>
      </w:r>
      <w:r>
        <w:rPr>
          <w:rFonts w:ascii="Book Antiqua" w:hAnsi="Book Antiqua" w:eastAsia="宋体" w:cs="宋体"/>
          <w:color w:val="000000"/>
          <w:lang w:eastAsia="zh-CN"/>
        </w:rPr>
        <w:t xml:space="preserve">; </w:t>
      </w:r>
      <w:r>
        <w:rPr>
          <w:rFonts w:ascii="Book Antiqua" w:hAnsi="Book Antiqua" w:eastAsia="Book Antiqua"/>
          <w:color w:val="000000"/>
        </w:rPr>
        <w:t>Shan S analyzed the data</w:t>
      </w:r>
      <w:r>
        <w:rPr>
          <w:rFonts w:ascii="Book Antiqua" w:hAnsi="Book Antiqua" w:eastAsia="宋体" w:cs="宋体"/>
          <w:color w:val="000000"/>
          <w:lang w:eastAsia="zh-CN"/>
        </w:rPr>
        <w:t xml:space="preserve">; </w:t>
      </w:r>
      <w:r>
        <w:rPr>
          <w:rFonts w:ascii="Book Antiqua" w:hAnsi="Book Antiqua" w:eastAsia="Book Antiqua"/>
          <w:color w:val="000000"/>
        </w:rPr>
        <w:t>Jin H designed the research study</w:t>
      </w:r>
      <w:r>
        <w:rPr>
          <w:rFonts w:ascii="Book Antiqua" w:hAnsi="Book Antiqua" w:eastAsia="宋体" w:cs="宋体"/>
          <w:color w:val="000000"/>
          <w:lang w:eastAsia="zh-CN"/>
        </w:rPr>
        <w:t xml:space="preserve">; </w:t>
      </w:r>
      <w:r>
        <w:rPr>
          <w:rFonts w:ascii="Book Antiqua" w:hAnsi="Book Antiqua" w:eastAsia="Book Antiqua"/>
          <w:color w:val="000000"/>
        </w:rPr>
        <w:t>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Corresponding author: Hua Jin, PhD, Doctor, </w:t>
      </w:r>
      <w:r>
        <w:rPr>
          <w:rFonts w:ascii="Book Antiqua" w:hAnsi="Book Antiqua" w:eastAsia="Book Antiqua"/>
          <w:bCs/>
          <w:color w:val="000000"/>
        </w:rPr>
        <w:t xml:space="preserve">Department of </w:t>
      </w:r>
      <w:r>
        <w:rPr>
          <w:rFonts w:ascii="Book Antiqua" w:hAnsi="Book Antiqua" w:eastAsia="Book Antiqua"/>
          <w:color w:val="000000"/>
        </w:rPr>
        <w:t>Prenatal Diagnosis, Jinan Maternal and Child Health Hospital, No. 2 Jianguoxiaojing 3 Road, Shizhong District, Jinan 250001, Shandong Province, China. tonyshirly@163.com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Received: </w:t>
      </w:r>
      <w:r>
        <w:rPr>
          <w:rFonts w:ascii="Book Antiqua" w:hAnsi="Book Antiqua" w:eastAsia="Book Antiqua"/>
          <w:color w:val="000000"/>
        </w:rPr>
        <w:t>September 23, 2021</w:t>
      </w:r>
    </w:p>
    <w:p>
      <w:pPr>
        <w:spacing w:line="360" w:lineRule="auto"/>
        <w:jc w:val="both"/>
        <w:rPr>
          <w:rFonts w:ascii="Book Antiqua" w:hAnsi="Book Antiqua"/>
        </w:rPr>
      </w:pPr>
      <w:r>
        <w:rPr>
          <w:rFonts w:ascii="Book Antiqua" w:hAnsi="Book Antiqua" w:eastAsia="Book Antiqua"/>
          <w:b/>
          <w:bCs/>
          <w:color w:val="000000"/>
        </w:rPr>
        <w:t xml:space="preserve">Revised: </w:t>
      </w:r>
      <w:r>
        <w:rPr>
          <w:rFonts w:ascii="Book Antiqua" w:hAnsi="Book Antiqua" w:eastAsia="Book Antiqua"/>
          <w:bCs/>
          <w:color w:val="000000"/>
        </w:rPr>
        <w:t>January 19, 2022</w:t>
      </w:r>
    </w:p>
    <w:p>
      <w:pPr>
        <w:spacing w:line="360" w:lineRule="auto"/>
        <w:jc w:val="both"/>
        <w:rPr>
          <w:rFonts w:ascii="Book Antiqua" w:hAnsi="Book Antiqua"/>
        </w:rPr>
      </w:pPr>
      <w:r>
        <w:rPr>
          <w:rFonts w:ascii="Book Antiqua" w:hAnsi="Book Antiqua" w:eastAsia="Book Antiqua"/>
          <w:b/>
          <w:bCs/>
          <w:color w:val="000000"/>
        </w:rPr>
        <w:t xml:space="preserve">Accepted: </w:t>
      </w:r>
      <w:r>
        <w:rPr>
          <w:rFonts w:ascii="Book Antiqua" w:hAnsi="Book Antiqua" w:eastAsia="Book Antiqua"/>
          <w:color w:val="000000"/>
        </w:rPr>
        <w:t>April 21, 2022</w:t>
      </w:r>
    </w:p>
    <w:p>
      <w:pPr>
        <w:spacing w:line="360" w:lineRule="auto"/>
        <w:jc w:val="both"/>
        <w:rPr>
          <w:rFonts w:ascii="Book Antiqua" w:hAnsi="Book Antiqua"/>
        </w:rPr>
      </w:pPr>
      <w:r>
        <w:rPr>
          <w:rFonts w:ascii="Book Antiqua" w:hAnsi="Book Antiqua" w:eastAsia="Book Antiqua"/>
          <w:b/>
          <w:bCs/>
          <w:color w:val="000000"/>
        </w:rPr>
        <w:t xml:space="preserve">Published online: </w:t>
      </w:r>
      <w:r>
        <w:rPr>
          <w:rFonts w:ascii="Book Antiqua" w:hAnsi="Book Antiqua"/>
          <w:color w:val="000000"/>
          <w:shd w:val="clear" w:color="auto"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b/>
          <w:color w:val="000000"/>
        </w:rPr>
        <w:t>Abstract</w:t>
      </w:r>
    </w:p>
    <w:p>
      <w:pPr>
        <w:spacing w:line="360" w:lineRule="auto"/>
        <w:jc w:val="both"/>
        <w:rPr>
          <w:rFonts w:ascii="Book Antiqua" w:hAnsi="Book Antiqua"/>
        </w:rPr>
      </w:pPr>
      <w:r>
        <w:rPr>
          <w:rFonts w:ascii="Book Antiqua" w:hAnsi="Book Antiqua" w:eastAsia="Book Antiqua"/>
          <w:color w:val="000000"/>
        </w:rPr>
        <w:t>BACKGROUND</w:t>
      </w:r>
    </w:p>
    <w:p>
      <w:pPr>
        <w:spacing w:line="360" w:lineRule="auto"/>
        <w:jc w:val="both"/>
        <w:rPr>
          <w:rFonts w:ascii="Book Antiqua" w:hAnsi="Book Antiqua"/>
        </w:rPr>
      </w:pPr>
      <w:r>
        <w:rPr>
          <w:rFonts w:ascii="Book Antiqua" w:hAnsi="Book Antiqua" w:eastAsia="Book Antiqua"/>
          <w:color w:val="000000"/>
        </w:rPr>
        <w:t xml:space="preserve">Multiple congenital anomalies-hypotonia-seizures syndrome 1 (MCAHS1) associated with mutations in </w:t>
      </w:r>
      <w:r>
        <w:rPr>
          <w:rFonts w:ascii="Book Antiqua" w:hAnsi="Book Antiqua" w:eastAsia="Book Antiqua"/>
          <w:i/>
          <w:iCs/>
          <w:color w:val="000000"/>
        </w:rPr>
        <w:t>PIGN</w:t>
      </w:r>
      <w:r>
        <w:rPr>
          <w:rFonts w:ascii="Book Antiqua" w:hAnsi="Book Antiqua" w:eastAsia="Book Antiqua"/>
          <w:color w:val="000000"/>
        </w:rPr>
        <w:t xml:space="preserve"> gene.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olor w:val="000000"/>
        </w:rPr>
        <w:t>CASE SUMMARY</w:t>
      </w:r>
    </w:p>
    <w:p>
      <w:pPr>
        <w:spacing w:line="360" w:lineRule="auto"/>
        <w:jc w:val="both"/>
        <w:rPr>
          <w:rFonts w:ascii="Book Antiqua" w:hAnsi="Book Antiqua"/>
        </w:rPr>
      </w:pPr>
      <w:r>
        <w:rPr>
          <w:rFonts w:ascii="Book Antiqua" w:hAnsi="Book Antiqua" w:eastAsia="Book Antiqua"/>
          <w:color w:val="000000"/>
        </w:rPr>
        <w:t xml:space="preserve">The authors report 1 case of a 16 years old girl who was presented with epilepsy, developmental delay and cerebellar atrophy. She harbors a compound heterozygous variant in the </w:t>
      </w:r>
      <w:r>
        <w:rPr>
          <w:rFonts w:ascii="Book Antiqua" w:hAnsi="Book Antiqua" w:eastAsia="Book Antiqua"/>
          <w:i/>
          <w:iCs/>
          <w:color w:val="000000"/>
        </w:rPr>
        <w:t>PIGN</w:t>
      </w:r>
      <w:r>
        <w:rPr>
          <w:rFonts w:ascii="Book Antiqua" w:hAnsi="Book Antiqua" w:eastAsia="Book Antiqua"/>
          <w:color w:val="000000"/>
        </w:rPr>
        <w:t xml:space="preserve"> gene, include a nonsense splice site mutation (c.2557A&gt;C) which was inherited from her mother, and a novel site mutation (c.980del) which was inherited from her father.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olor w:val="000000"/>
        </w:rPr>
        <w:t>CONCLUSION</w:t>
      </w:r>
    </w:p>
    <w:p>
      <w:pPr>
        <w:spacing w:line="360" w:lineRule="auto"/>
        <w:jc w:val="both"/>
        <w:rPr>
          <w:rFonts w:ascii="Book Antiqua" w:hAnsi="Book Antiqua"/>
        </w:rPr>
      </w:pPr>
      <w:r>
        <w:rPr>
          <w:rFonts w:ascii="Book Antiqua" w:hAnsi="Book Antiqua" w:eastAsia="Book Antiqua"/>
          <w:color w:val="000000"/>
        </w:rPr>
        <w:t xml:space="preserve">This case report expands the mutation spectrum found in </w:t>
      </w:r>
      <w:r>
        <w:rPr>
          <w:rFonts w:ascii="Book Antiqua" w:hAnsi="Book Antiqua" w:eastAsia="Book Antiqua"/>
          <w:i/>
          <w:iCs/>
          <w:color w:val="000000"/>
        </w:rPr>
        <w:t>PIGN</w:t>
      </w:r>
      <w:r>
        <w:rPr>
          <w:rFonts w:ascii="Book Antiqua" w:hAnsi="Book Antiqua" w:eastAsia="Book Antiqua"/>
          <w:color w:val="000000"/>
        </w:rPr>
        <w:t xml:space="preserve"> gene, and strengthens the association between </w:t>
      </w:r>
      <w:r>
        <w:rPr>
          <w:rFonts w:ascii="Book Antiqua" w:hAnsi="Book Antiqua" w:eastAsia="Book Antiqua"/>
          <w:i/>
          <w:iCs/>
          <w:color w:val="000000"/>
        </w:rPr>
        <w:t>PIGN</w:t>
      </w:r>
      <w:r>
        <w:rPr>
          <w:rFonts w:ascii="Book Antiqua" w:hAnsi="Book Antiqua" w:eastAsia="Book Antiqua"/>
          <w:color w:val="000000"/>
        </w:rPr>
        <w:t xml:space="preserve"> mutation and MCAHS1. Mutations in </w:t>
      </w:r>
      <w:r>
        <w:rPr>
          <w:rFonts w:ascii="Book Antiqua" w:hAnsi="Book Antiqua" w:eastAsia="Book Antiqua"/>
          <w:i/>
          <w:iCs/>
          <w:color w:val="000000"/>
        </w:rPr>
        <w:t xml:space="preserve">PIGN </w:t>
      </w:r>
      <w:r>
        <w:rPr>
          <w:rFonts w:ascii="Book Antiqua" w:hAnsi="Book Antiqua" w:eastAsia="Book Antiqua"/>
          <w:color w:val="000000"/>
        </w:rPr>
        <w:t>gene may be an underestimated cause of epilepsy. The authors recommend that, for patients with epilepsy or prenatal diagnosis of highly suspicious fetus, gene sequencing should be the preferred detection method.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Key Words: </w:t>
      </w:r>
      <w:r>
        <w:rPr>
          <w:rFonts w:ascii="Book Antiqua" w:hAnsi="Book Antiqua" w:eastAsia="Book Antiqua"/>
          <w:color w:val="000000"/>
        </w:rPr>
        <w:t>PIGN; Multiple congenital anomalies-hypotonia-seizures Syndrome 1; MCAHS1; Whole-exome sequencing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olor w:val="000000"/>
        </w:rPr>
        <w:t xml:space="preserve">Hou F, Shan S, Jin H. PIGN mutation multiple congenital anomalies-hypotonia-seizures syndrome 1: A case report. </w:t>
      </w:r>
      <w:r>
        <w:rPr>
          <w:rFonts w:ascii="Book Antiqua" w:hAnsi="Book Antiqua" w:eastAsia="Book Antiqua"/>
          <w:i/>
          <w:iCs/>
          <w:color w:val="000000"/>
        </w:rPr>
        <w:t>World J Clin Cases</w:t>
      </w:r>
      <w:r>
        <w:rPr>
          <w:rFonts w:ascii="Book Antiqua" w:hAnsi="Book Antiqua" w:eastAsia="Book Antiqua"/>
          <w:color w:val="000000"/>
        </w:rPr>
        <w:t xml:space="preserve"> 2022; </w:t>
      </w:r>
      <w:r>
        <w:rPr>
          <w:rFonts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5441-5445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5441</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5441</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Core Tip: </w:t>
      </w:r>
      <w:r>
        <w:rPr>
          <w:rFonts w:ascii="Book Antiqua" w:hAnsi="Book Antiqua" w:eastAsia="Book Antiqua"/>
          <w:color w:val="000000"/>
        </w:rPr>
        <w:t xml:space="preserve">We report 1 case of a 16-year-old girl who presented with epilepsy, developmental delay, and cerebellar atrophy. She harbors compound heterozygous variants in the </w:t>
      </w:r>
      <w:r>
        <w:rPr>
          <w:rFonts w:ascii="Book Antiqua" w:hAnsi="Book Antiqua" w:eastAsia="Book Antiqua"/>
          <w:i/>
          <w:color w:val="000000"/>
        </w:rPr>
        <w:t>PIGN</w:t>
      </w:r>
      <w:r>
        <w:rPr>
          <w:rFonts w:ascii="Book Antiqua" w:hAnsi="Book Antiqua" w:eastAsia="Book Antiqua"/>
          <w:color w:val="000000"/>
        </w:rPr>
        <w:t xml:space="preserve"> gene, including a nonsense splice site mutation (c.2557A&gt;C) that was inherited from her mother and a novel site mutation (c.980del) that was inherited from her father. The maternally inherited variant (c.2557A&gt;C) has not been seen observed in the gnomAD and 1000genomes, which was called variants of unknown significance. The novel mutation c.980del (paternally inherited) that was detected in the prohand was predicted to be “probably damaging”.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INTRODUCTION</w:t>
      </w:r>
    </w:p>
    <w:p>
      <w:pPr>
        <w:spacing w:line="360" w:lineRule="auto"/>
        <w:jc w:val="both"/>
        <w:rPr>
          <w:rFonts w:ascii="Book Antiqua" w:hAnsi="Book Antiqua"/>
        </w:rPr>
      </w:pPr>
      <w:r>
        <w:rPr>
          <w:rFonts w:ascii="Book Antiqua" w:hAnsi="Book Antiqua" w:eastAsia="Book Antiqua"/>
          <w:color w:val="000000"/>
        </w:rPr>
        <w:t xml:space="preserve">Multiple congenital anomalies-hypotonia-seizures syndrome 1 (MCAHS1) associated with mutations in </w:t>
      </w:r>
      <w:r>
        <w:rPr>
          <w:rFonts w:ascii="Book Antiqua" w:hAnsi="Book Antiqua" w:eastAsia="Book Antiqua"/>
          <w:i/>
          <w:iCs/>
          <w:color w:val="000000"/>
        </w:rPr>
        <w:t>PIGN</w:t>
      </w:r>
      <w:r>
        <w:rPr>
          <w:rFonts w:ascii="Book Antiqua" w:hAnsi="Book Antiqua" w:eastAsia="Book Antiqua"/>
          <w:color w:val="000000"/>
        </w:rPr>
        <w:t xml:space="preserve"> gene, is an autosomal recessive disease featured as epilepsy, stunting, hypotonica, and various congenital disorders. This was initially described in 2011</w:t>
      </w:r>
      <w:r>
        <w:rPr>
          <w:rFonts w:ascii="Book Antiqua" w:hAnsi="Book Antiqua" w:eastAsia="Book Antiqua"/>
          <w:color w:val="000000"/>
          <w:vertAlign w:val="superscript"/>
        </w:rPr>
        <w:t>[1]</w:t>
      </w:r>
      <w:r>
        <w:rPr>
          <w:rFonts w:ascii="Book Antiqua" w:hAnsi="Book Antiqua" w:eastAsia="Book Antiqua"/>
          <w:color w:val="000000"/>
        </w:rPr>
        <w:t>. Mutation in the</w:t>
      </w:r>
      <w:r>
        <w:rPr>
          <w:rFonts w:ascii="Book Antiqua" w:hAnsi="Book Antiqua" w:eastAsia="Book Antiqua"/>
          <w:i/>
          <w:iCs/>
          <w:color w:val="000000"/>
        </w:rPr>
        <w:t xml:space="preserve"> PIGN </w:t>
      </w:r>
      <w:r>
        <w:rPr>
          <w:rFonts w:ascii="Book Antiqua" w:hAnsi="Book Antiqua" w:eastAsia="Book Antiqua"/>
          <w:color w:val="000000"/>
        </w:rPr>
        <w:t>gene involved in GPI-anchor pathway have been identified cause varied neurological abnormalities</w:t>
      </w:r>
      <w:r>
        <w:rPr>
          <w:rFonts w:ascii="Book Antiqua" w:hAnsi="Book Antiqua" w:eastAsia="Book Antiqua"/>
          <w:color w:val="000000"/>
          <w:vertAlign w:val="superscript"/>
        </w:rPr>
        <w:t>[1-4]</w:t>
      </w:r>
      <w:r>
        <w:rPr>
          <w:rFonts w:ascii="Book Antiqua" w:hAnsi="Book Antiqua" w:eastAsia="Book Antiqua"/>
          <w:color w:val="000000"/>
        </w:rPr>
        <w:t xml:space="preserve">.The authors report on a 16 years old girl who was presented with epilepsy, developmental delay and cerebellar atrophy. She harbors a compound heterozygous variant in the </w:t>
      </w:r>
      <w:r>
        <w:rPr>
          <w:rFonts w:ascii="Book Antiqua" w:hAnsi="Book Antiqua" w:eastAsia="Book Antiqua"/>
          <w:i/>
          <w:iCs/>
          <w:color w:val="000000"/>
        </w:rPr>
        <w:t>PIGN</w:t>
      </w:r>
      <w:r>
        <w:rPr>
          <w:rFonts w:ascii="Book Antiqua" w:hAnsi="Book Antiqua" w:eastAsia="Book Antiqua"/>
          <w:color w:val="000000"/>
        </w:rPr>
        <w:t xml:space="preserve"> gene, include a nonsense splice site mutation (c.2557A&gt;C) which was inherited from her mother, and a novel site mutation (c.980del) which was inherited from her father.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CASE PRESENTATION</w:t>
      </w:r>
    </w:p>
    <w:p>
      <w:pPr>
        <w:spacing w:line="360" w:lineRule="auto"/>
        <w:jc w:val="both"/>
        <w:rPr>
          <w:rFonts w:ascii="Book Antiqua" w:hAnsi="Book Antiqua"/>
        </w:rPr>
      </w:pPr>
      <w:r>
        <w:rPr>
          <w:rFonts w:ascii="Book Antiqua" w:hAnsi="Book Antiqua" w:eastAsia="Book Antiqua"/>
          <w:b/>
          <w:i/>
          <w:color w:val="000000"/>
        </w:rPr>
        <w:t>Chief complaints</w:t>
      </w:r>
    </w:p>
    <w:p>
      <w:pPr>
        <w:spacing w:line="360" w:lineRule="auto"/>
        <w:jc w:val="both"/>
        <w:rPr>
          <w:rFonts w:ascii="Book Antiqua" w:hAnsi="Book Antiqua"/>
        </w:rPr>
      </w:pPr>
      <w:r>
        <w:rPr>
          <w:rFonts w:ascii="Book Antiqua" w:hAnsi="Book Antiqua" w:eastAsia="Book Antiqua"/>
          <w:color w:val="000000"/>
        </w:rPr>
        <w:t>A female, 16 years old, was presented with epilepsy, developmental delay and cerebellar atrophy.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i/>
          <w:color w:val="000000"/>
        </w:rPr>
        <w:t>History of present illness</w:t>
      </w:r>
    </w:p>
    <w:p>
      <w:pPr>
        <w:spacing w:line="360" w:lineRule="auto"/>
        <w:jc w:val="both"/>
        <w:rPr>
          <w:rFonts w:ascii="Book Antiqua" w:hAnsi="Book Antiqua"/>
        </w:rPr>
      </w:pPr>
      <w:r>
        <w:rPr>
          <w:rFonts w:ascii="Book Antiqua" w:hAnsi="Book Antiqua" w:eastAsia="Book Antiqua"/>
          <w:color w:val="000000"/>
        </w:rPr>
        <w:t xml:space="preserve">Weakness of muscles was noticed at age 2 years old. At 1 year of age, she developed clinical seizures. Her seizure types include twitching movements, starting episodes, cluster seizures, and spasms. At a year and a half, there was only partial response to anti-convulsive therapy. Subsequently, global developmental delay was noted by 2 years old of age, there was no speech, and she needed assistance with daily life activities.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i/>
          <w:color w:val="000000"/>
        </w:rPr>
        <w:t>History of past illness</w:t>
      </w:r>
    </w:p>
    <w:p>
      <w:pPr>
        <w:spacing w:line="360" w:lineRule="auto"/>
        <w:jc w:val="both"/>
        <w:rPr>
          <w:rFonts w:ascii="Book Antiqua" w:hAnsi="Book Antiqua"/>
        </w:rPr>
      </w:pPr>
      <w:r>
        <w:rPr>
          <w:rFonts w:ascii="Book Antiqua" w:hAnsi="Book Antiqua" w:eastAsia="Book Antiqua"/>
          <w:color w:val="000000"/>
        </w:rPr>
        <w:t>She was vigorous in the newborn period and passed her newborn disease screening, began walking around the age of 18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i/>
          <w:color w:val="000000"/>
        </w:rPr>
        <w:t>Personal and family history</w:t>
      </w:r>
    </w:p>
    <w:p>
      <w:pPr>
        <w:spacing w:line="360" w:lineRule="auto"/>
        <w:jc w:val="both"/>
        <w:rPr>
          <w:rFonts w:ascii="Book Antiqua" w:hAnsi="Book Antiqua"/>
        </w:rPr>
      </w:pPr>
      <w:r>
        <w:rPr>
          <w:rFonts w:ascii="Book Antiqua" w:hAnsi="Book Antiqua" w:eastAsia="Book Antiqua"/>
          <w:color w:val="000000"/>
        </w:rPr>
        <w:t xml:space="preserve">The patient was the second child of the family (non-consanguineous), her mother was 33 years old. She was born at full term with normal birth parameters, the pregnancy was normal, there was no known teratogenic exposure. </w:t>
      </w:r>
    </w:p>
    <w:p>
      <w:pPr>
        <w:spacing w:line="360" w:lineRule="auto"/>
        <w:ind w:firstLine="480" w:firstLineChars="200"/>
        <w:jc w:val="both"/>
        <w:rPr>
          <w:rFonts w:ascii="Book Antiqua" w:hAnsi="Book Antiqua"/>
        </w:rPr>
      </w:pPr>
      <w:r>
        <w:rPr>
          <w:rFonts w:ascii="Book Antiqua" w:hAnsi="Book Antiqua" w:eastAsia="Book Antiqua"/>
          <w:color w:val="000000"/>
        </w:rPr>
        <w:t>The parents does not have a personal history of seizures, nor is there a family history seizures.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i/>
          <w:color w:val="000000"/>
        </w:rPr>
        <w:t>Physical examination</w:t>
      </w:r>
    </w:p>
    <w:p>
      <w:pPr>
        <w:spacing w:line="360" w:lineRule="auto"/>
        <w:jc w:val="both"/>
        <w:rPr>
          <w:rFonts w:ascii="Book Antiqua" w:hAnsi="Book Antiqua"/>
        </w:rPr>
      </w:pPr>
      <w:r>
        <w:rPr>
          <w:rFonts w:ascii="Book Antiqua" w:hAnsi="Book Antiqua" w:eastAsia="Book Antiqua"/>
          <w:color w:val="000000"/>
        </w:rPr>
        <w:t xml:space="preserve">Clinical examination documented the eyes were deep set with nystagmus, a small nose with nasalbridge (Figure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i/>
          <w:color w:val="000000"/>
        </w:rPr>
        <w:t>Laboratory examinations</w:t>
      </w:r>
    </w:p>
    <w:p>
      <w:pPr>
        <w:spacing w:line="360" w:lineRule="auto"/>
        <w:jc w:val="both"/>
        <w:rPr>
          <w:rFonts w:ascii="Book Antiqua" w:hAnsi="Book Antiqua"/>
        </w:rPr>
      </w:pPr>
      <w:r>
        <w:rPr>
          <w:rFonts w:ascii="Book Antiqua" w:hAnsi="Book Antiqua" w:eastAsia="Book Antiqua"/>
          <w:color w:val="000000"/>
        </w:rPr>
        <w:t>Whole exome sequencing (WES) was performed commercially at Berrygenomics on the patient and her parents. Sequencing was performed on Illumina Novaseq 6000 (Illumina, San Diego, United States), using the Nano WES Human Exome V1.0 (Berrygenomics, Beijing, China) kit with 200 bp paired-end read, according to the manufacturer’s instructions. Annotation of variants was performed using GATK (https://software.broadinstitute.org/gatk/), gnomAD (http://gnomad.broadinstitute.org/), 1000genomes (http://browser.1000genomes.org), SIFT (http://sift.jcvi.org), FATHMM (http://fathmm.biocompute.org.uk), MutationAssessor (http://mutationassessor.org), OMIM (http://www.omim.org), ClinVar (http://www.ncbi.nlm.nih.gov/clinvar), HGMD (http://www.hgmd.org).</w:t>
      </w:r>
    </w:p>
    <w:p>
      <w:pPr>
        <w:spacing w:line="360" w:lineRule="auto"/>
        <w:jc w:val="both"/>
        <w:rPr>
          <w:rFonts w:ascii="Book Antiqua" w:hAnsi="Book Antiqua" w:eastAsia="Book Antiqua"/>
          <w:b/>
          <w:bCs/>
          <w:color w:val="000000"/>
        </w:rPr>
      </w:pPr>
    </w:p>
    <w:p>
      <w:pPr>
        <w:spacing w:line="360" w:lineRule="auto"/>
        <w:jc w:val="both"/>
        <w:rPr>
          <w:rFonts w:ascii="Book Antiqua" w:hAnsi="Book Antiqua"/>
          <w:i/>
        </w:rPr>
      </w:pPr>
      <w:r>
        <w:rPr>
          <w:rFonts w:ascii="Book Antiqua" w:hAnsi="Book Antiqua" w:eastAsia="Book Antiqua"/>
          <w:b/>
          <w:bCs/>
          <w:i/>
          <w:color w:val="000000"/>
        </w:rPr>
        <w:t>Sanger sequening</w:t>
      </w:r>
    </w:p>
    <w:p>
      <w:pPr>
        <w:spacing w:line="360" w:lineRule="auto"/>
        <w:jc w:val="both"/>
        <w:rPr>
          <w:rFonts w:ascii="Book Antiqua" w:hAnsi="Book Antiqua"/>
        </w:rPr>
      </w:pPr>
      <w:r>
        <w:rPr>
          <w:rFonts w:ascii="Book Antiqua" w:hAnsi="Book Antiqua" w:eastAsia="Book Antiqua"/>
          <w:color w:val="000000"/>
        </w:rPr>
        <w:t xml:space="preserve">Sequence analysis of exon 28 and 12 of </w:t>
      </w:r>
      <w:r>
        <w:rPr>
          <w:rFonts w:ascii="Book Antiqua" w:hAnsi="Book Antiqua" w:eastAsia="Book Antiqua"/>
          <w:i/>
          <w:iCs/>
          <w:color w:val="000000"/>
        </w:rPr>
        <w:t>PIGN,</w:t>
      </w:r>
      <w:r>
        <w:rPr>
          <w:rFonts w:ascii="Book Antiqua" w:hAnsi="Book Antiqua" w:eastAsia="Book Antiqua"/>
          <w:color w:val="000000"/>
        </w:rPr>
        <w:t xml:space="preserve"> using genomic DNA from the patient and her parents were performed by amplification of a 438 bp and 239 bp fragment containing the putative mutation identified via exome sequencing. The sense primer sequence was 5’-TAAGTCAGTTTCATCACCGTTCTAT-3’ and the antisense primer sequence was 5’-ATTTCCTCTAATGACAAGCAACAC-3’ for exon 28. The sense primer sequence was 5’-TCTAGCAAATGACACTTTTAGAGA-3’, and the antisense primer sequence was 5’-TTCCTTACCACTGAGTTAAGAGG-3’ for exon 12.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i/>
          <w:color w:val="000000"/>
        </w:rPr>
        <w:t>Imaging examinations</w:t>
      </w:r>
    </w:p>
    <w:p>
      <w:pPr>
        <w:spacing w:line="360" w:lineRule="auto"/>
        <w:jc w:val="both"/>
        <w:rPr>
          <w:rFonts w:ascii="Book Antiqua" w:hAnsi="Book Antiqua"/>
        </w:rPr>
      </w:pPr>
      <w:r>
        <w:rPr>
          <w:rFonts w:ascii="Book Antiqua" w:hAnsi="Book Antiqua" w:eastAsia="Book Antiqua"/>
          <w:color w:val="000000"/>
        </w:rPr>
        <w:t>Neuropsychological testing demonstrated moderate intellectual disability. Brain imaging showed the progression of mild global cerebral volume loss and cerebellar atrophy. The parents could not provide the results of previous test, including brain magnetic resonance imaging, various metabolic tests.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FINAL DIAGNOSIS</w:t>
      </w:r>
    </w:p>
    <w:p>
      <w:pPr>
        <w:spacing w:line="360" w:lineRule="auto"/>
        <w:jc w:val="both"/>
        <w:rPr>
          <w:rFonts w:ascii="Book Antiqua" w:hAnsi="Book Antiqua"/>
        </w:rPr>
      </w:pPr>
      <w:r>
        <w:rPr>
          <w:rFonts w:ascii="Book Antiqua" w:hAnsi="Book Antiqua" w:eastAsia="Book Antiqua"/>
          <w:color w:val="000000"/>
        </w:rPr>
        <w:t xml:space="preserve">Whole Exome sequencing was performed commercially at BerryGenomics on the patient and her parents. Compound heterozygous mutations in </w:t>
      </w:r>
      <w:r>
        <w:rPr>
          <w:rFonts w:ascii="Book Antiqua" w:hAnsi="Book Antiqua" w:eastAsia="Book Antiqua"/>
          <w:i/>
          <w:iCs/>
          <w:color w:val="000000"/>
        </w:rPr>
        <w:t>PIGN</w:t>
      </w:r>
      <w:r>
        <w:rPr>
          <w:rFonts w:ascii="Book Antiqua" w:hAnsi="Book Antiqua" w:eastAsia="Book Antiqua"/>
          <w:color w:val="000000"/>
        </w:rPr>
        <w:t xml:space="preserve"> gene were found, maternally inherited c.2557A&gt;C and paternally inherited c.980del. The mutations were validated by sanger sequencing in the patient and her parents (Figure 2). </w:t>
      </w:r>
    </w:p>
    <w:p>
      <w:pPr>
        <w:spacing w:line="360" w:lineRule="auto"/>
        <w:ind w:firstLine="480" w:firstLineChars="200"/>
        <w:jc w:val="both"/>
        <w:rPr>
          <w:rFonts w:ascii="Book Antiqua" w:hAnsi="Book Antiqua"/>
        </w:rPr>
      </w:pPr>
      <w:r>
        <w:rPr>
          <w:rFonts w:ascii="Book Antiqua" w:hAnsi="Book Antiqua" w:eastAsia="Book Antiqua"/>
          <w:color w:val="000000"/>
        </w:rPr>
        <w:t>The authors also examined several small insertion/deletion variants (Indels), but none of these had an apparent connection to the clinical phenotype.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TREATMENT</w:t>
      </w:r>
    </w:p>
    <w:p>
      <w:pPr>
        <w:spacing w:line="360" w:lineRule="auto"/>
        <w:jc w:val="both"/>
        <w:rPr>
          <w:rFonts w:ascii="Book Antiqua" w:hAnsi="Book Antiqua"/>
        </w:rPr>
      </w:pPr>
      <w:r>
        <w:rPr>
          <w:rFonts w:ascii="Book Antiqua" w:hAnsi="Book Antiqua" w:eastAsia="Book Antiqua"/>
          <w:color w:val="000000"/>
        </w:rPr>
        <w:t>The present therapies for patients with</w:t>
      </w:r>
      <w:r>
        <w:rPr>
          <w:rFonts w:ascii="Book Antiqua" w:hAnsi="Book Antiqua" w:eastAsia="Book Antiqua"/>
          <w:i/>
          <w:iCs/>
          <w:color w:val="000000"/>
        </w:rPr>
        <w:t xml:space="preserve"> PIGN</w:t>
      </w:r>
      <w:r>
        <w:rPr>
          <w:rFonts w:ascii="Book Antiqua" w:hAnsi="Book Antiqua" w:eastAsia="Book Antiqua"/>
          <w:color w:val="000000"/>
        </w:rPr>
        <w:t xml:space="preserve"> gene associated illnesses are mainly supportive, which were aimed to reduce the development of epileptic seizures.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olor w:val="000000"/>
        </w:rPr>
        <w:t>The authors will keep on to follow the patient’s disease development. This diagnosis allowed permitted appropriate genetic counseling with related risk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DISCUSSION</w:t>
      </w:r>
    </w:p>
    <w:p>
      <w:pPr>
        <w:spacing w:line="360" w:lineRule="auto"/>
        <w:jc w:val="both"/>
        <w:rPr>
          <w:rFonts w:ascii="Book Antiqua" w:hAnsi="Book Antiqua"/>
        </w:rPr>
      </w:pPr>
      <w:r>
        <w:rPr>
          <w:rFonts w:ascii="Book Antiqua" w:hAnsi="Book Antiqua" w:eastAsia="Book Antiqua"/>
          <w:color w:val="000000"/>
        </w:rPr>
        <w:t xml:space="preserve">There are more than 20 genes that participated in GPI-anchor biosynthesis pathway. </w:t>
      </w:r>
      <w:r>
        <w:rPr>
          <w:rFonts w:ascii="Book Antiqua" w:hAnsi="Book Antiqua" w:eastAsia="Book Antiqua"/>
          <w:i/>
          <w:iCs/>
          <w:color w:val="000000"/>
        </w:rPr>
        <w:t>PIGN</w:t>
      </w:r>
      <w:r>
        <w:rPr>
          <w:rFonts w:ascii="Book Antiqua" w:hAnsi="Book Antiqua" w:eastAsia="Book Antiqua"/>
          <w:color w:val="000000"/>
        </w:rPr>
        <w:t xml:space="preserve"> is responsible for supplement of phosphoethanolamine to the primary mannose in GPI</w:t>
      </w:r>
      <w:r>
        <w:rPr>
          <w:rFonts w:ascii="Book Antiqua" w:hAnsi="Book Antiqua" w:eastAsia="Book Antiqua"/>
          <w:color w:val="000000"/>
          <w:vertAlign w:val="superscript"/>
        </w:rPr>
        <w:t>[2]</w:t>
      </w:r>
      <w:r>
        <w:rPr>
          <w:rFonts w:ascii="Book Antiqua" w:hAnsi="Book Antiqua" w:eastAsia="Book Antiqua"/>
          <w:color w:val="000000"/>
        </w:rPr>
        <w:t>. Mutations in the</w:t>
      </w:r>
      <w:r>
        <w:rPr>
          <w:rFonts w:ascii="Book Antiqua" w:hAnsi="Book Antiqua" w:eastAsia="Book Antiqua"/>
          <w:i/>
          <w:iCs/>
          <w:color w:val="000000"/>
        </w:rPr>
        <w:t xml:space="preserve"> PIGN</w:t>
      </w:r>
      <w:r>
        <w:rPr>
          <w:rFonts w:ascii="Book Antiqua" w:hAnsi="Book Antiqua" w:eastAsia="Book Antiqua"/>
          <w:color w:val="000000"/>
        </w:rPr>
        <w:t xml:space="preserve"> gene involved in GPI biosynthesis, have been identified associated with MCAHS1</w:t>
      </w:r>
      <w:r>
        <w:rPr>
          <w:rFonts w:ascii="Book Antiqua" w:hAnsi="Book Antiqua" w:eastAsia="Book Antiqua"/>
          <w:color w:val="000000"/>
          <w:vertAlign w:val="superscript"/>
        </w:rPr>
        <w:t>[1,5,6]</w:t>
      </w:r>
      <w:r>
        <w:rPr>
          <w:rFonts w:ascii="Book Antiqua" w:hAnsi="Book Antiqua" w:eastAsia="Book Antiqua"/>
          <w:color w:val="000000"/>
        </w:rPr>
        <w:t xml:space="preserve">. The authors report a patient with epilepsy, global delay, cerebellar atrophy with a </w:t>
      </w:r>
      <w:r>
        <w:rPr>
          <w:rFonts w:ascii="Book Antiqua" w:hAnsi="Book Antiqua" w:eastAsia="Book Antiqua"/>
          <w:i/>
          <w:iCs/>
          <w:color w:val="000000"/>
        </w:rPr>
        <w:t>PIGN</w:t>
      </w:r>
      <w:r>
        <w:rPr>
          <w:rFonts w:ascii="Book Antiqua" w:hAnsi="Book Antiqua" w:eastAsia="Book Antiqua"/>
          <w:color w:val="000000"/>
        </w:rPr>
        <w:t xml:space="preserve"> mutation. The maternally inherited variant (c.2557A&gt;C) has not been seen observed in the gnomAD and 1000genomes, which was called variants of unknown significance. The original mutation c.980del (paternally inherited) discovered in the prohand was estimated as “probably damaging”. The novel mutation changes the gene’s open reading frameshift, support the conclusion that the novel mutation detected in the patient cause major damage to the GPI-anchored protein, finally leading to the disorder.</w:t>
      </w:r>
    </w:p>
    <w:p>
      <w:pPr>
        <w:spacing w:line="360" w:lineRule="auto"/>
        <w:ind w:firstLine="480" w:firstLineChars="200"/>
        <w:jc w:val="both"/>
        <w:rPr>
          <w:rFonts w:ascii="Book Antiqua" w:hAnsi="Book Antiqua"/>
        </w:rPr>
      </w:pPr>
      <w:r>
        <w:rPr>
          <w:rFonts w:ascii="Book Antiqua" w:hAnsi="Book Antiqua" w:eastAsia="Book Antiqua"/>
          <w:color w:val="000000"/>
        </w:rPr>
        <w:t>Unlike previous reports</w:t>
      </w:r>
      <w:r>
        <w:rPr>
          <w:rFonts w:ascii="Book Antiqua" w:hAnsi="Book Antiqua" w:eastAsia="Book Antiqua"/>
          <w:color w:val="000000"/>
          <w:vertAlign w:val="superscript"/>
        </w:rPr>
        <w:t>[1,5,6]</w:t>
      </w:r>
      <w:r>
        <w:rPr>
          <w:rFonts w:ascii="Book Antiqua" w:hAnsi="Book Antiqua" w:eastAsia="Book Antiqua"/>
          <w:color w:val="000000"/>
        </w:rPr>
        <w:t xml:space="preserve">, the patient did not have other visceral congenital anomalies of urinary, cardiac or gastrointestinal systems. Gastro-esophageal reflux, diaphragmatic hernia, brachycephaly, flat face, hypoplasia of distal parts of all fingers, open mouth, drooling have not been seen in the patient. Evaluation for mutations in </w:t>
      </w:r>
      <w:r>
        <w:rPr>
          <w:rFonts w:ascii="Book Antiqua" w:hAnsi="Book Antiqua" w:eastAsia="Book Antiqua"/>
          <w:i/>
          <w:iCs/>
          <w:color w:val="000000"/>
        </w:rPr>
        <w:t>PIGN</w:t>
      </w:r>
      <w:r>
        <w:rPr>
          <w:rFonts w:ascii="Book Antiqua" w:hAnsi="Book Antiqua" w:eastAsia="Book Antiqua"/>
          <w:color w:val="000000"/>
        </w:rPr>
        <w:t xml:space="preserve"> causing </w:t>
      </w:r>
      <w:r>
        <w:rPr>
          <w:rFonts w:ascii="Book Antiqua" w:hAnsi="Book Antiqua" w:eastAsia="Book Antiqua"/>
          <w:i/>
          <w:iCs/>
          <w:color w:val="000000"/>
        </w:rPr>
        <w:t>PIGN</w:t>
      </w:r>
      <w:r>
        <w:rPr>
          <w:rFonts w:ascii="Book Antiqua" w:hAnsi="Book Antiqua" w:eastAsia="Book Antiqua"/>
          <w:color w:val="000000"/>
        </w:rPr>
        <w:t xml:space="preserve"> associated epilepsy or MCAHS1 should be considered in patients of all ethnicities with epilepsy. These phenotypic differences may be explained as allele specific effects.</w:t>
      </w:r>
    </w:p>
    <w:p>
      <w:pPr>
        <w:spacing w:line="360" w:lineRule="auto"/>
        <w:ind w:firstLine="480" w:firstLineChars="200"/>
        <w:jc w:val="both"/>
        <w:rPr>
          <w:rFonts w:ascii="Book Antiqua" w:hAnsi="Book Antiqua"/>
        </w:rPr>
      </w:pPr>
      <w:r>
        <w:rPr>
          <w:rFonts w:ascii="Book Antiqua" w:hAnsi="Book Antiqua" w:eastAsia="Book Antiqua"/>
          <w:color w:val="000000"/>
        </w:rPr>
        <w:t xml:space="preserve">The clinical severity of the disease seems to correlate with the predicted functional severity of the mutations seen in </w:t>
      </w:r>
      <w:r>
        <w:rPr>
          <w:rFonts w:ascii="Book Antiqua" w:hAnsi="Book Antiqua" w:eastAsia="Book Antiqua"/>
          <w:i/>
          <w:iCs/>
          <w:color w:val="000000"/>
        </w:rPr>
        <w:t>PIGN</w:t>
      </w:r>
      <w:r>
        <w:rPr>
          <w:rFonts w:ascii="Book Antiqua" w:hAnsi="Book Antiqua" w:eastAsia="Book Antiqua"/>
          <w:color w:val="000000"/>
          <w:vertAlign w:val="superscript"/>
        </w:rPr>
        <w:t>[6]</w:t>
      </w:r>
      <w:r>
        <w:rPr>
          <w:rFonts w:ascii="Book Antiqua" w:hAnsi="Book Antiqua" w:eastAsia="Book Antiqua"/>
          <w:color w:val="000000"/>
        </w:rPr>
        <w:t xml:space="preserve">. Depending upon the severity of mutations, major congenial anomalies may also be present. Other hypotheses of environmental and genetic modification need to be considered. It should also be noted here that for PIGN gene-associated with disability, some tissues are more sensitive than others during body development.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CONCLUSION</w:t>
      </w:r>
    </w:p>
    <w:p>
      <w:pPr>
        <w:spacing w:line="360" w:lineRule="auto"/>
        <w:jc w:val="both"/>
        <w:rPr>
          <w:rFonts w:ascii="Book Antiqua" w:hAnsi="Book Antiqua"/>
        </w:rPr>
      </w:pPr>
      <w:r>
        <w:rPr>
          <w:rFonts w:ascii="Book Antiqua" w:hAnsi="Book Antiqua" w:eastAsia="Book Antiqua"/>
          <w:color w:val="000000"/>
        </w:rPr>
        <w:t xml:space="preserve">This case report expands the mutation spectrum found in </w:t>
      </w:r>
      <w:r>
        <w:rPr>
          <w:rFonts w:ascii="Book Antiqua" w:hAnsi="Book Antiqua" w:eastAsia="Book Antiqua"/>
          <w:i/>
          <w:iCs/>
          <w:color w:val="000000"/>
        </w:rPr>
        <w:t>PIGN</w:t>
      </w:r>
      <w:r>
        <w:rPr>
          <w:rFonts w:ascii="Book Antiqua" w:hAnsi="Book Antiqua" w:eastAsia="Book Antiqua"/>
          <w:color w:val="000000"/>
        </w:rPr>
        <w:t xml:space="preserve"> gene, and strengthens the association between </w:t>
      </w:r>
      <w:r>
        <w:rPr>
          <w:rFonts w:ascii="Book Antiqua" w:hAnsi="Book Antiqua" w:eastAsia="Book Antiqua"/>
          <w:i/>
          <w:iCs/>
          <w:color w:val="000000"/>
        </w:rPr>
        <w:t>PIGN</w:t>
      </w:r>
      <w:r>
        <w:rPr>
          <w:rFonts w:ascii="Book Antiqua" w:hAnsi="Book Antiqua" w:eastAsia="Book Antiqua"/>
          <w:color w:val="000000"/>
        </w:rPr>
        <w:t xml:space="preserve"> mutation and MCAHS1. Mutations in </w:t>
      </w:r>
      <w:r>
        <w:rPr>
          <w:rFonts w:ascii="Book Antiqua" w:hAnsi="Book Antiqua" w:eastAsia="Book Antiqua"/>
          <w:i/>
          <w:iCs/>
          <w:color w:val="000000"/>
        </w:rPr>
        <w:t xml:space="preserve">PIGN </w:t>
      </w:r>
      <w:r>
        <w:rPr>
          <w:rFonts w:ascii="Book Antiqua" w:hAnsi="Book Antiqua" w:eastAsia="Book Antiqua"/>
          <w:color w:val="000000"/>
        </w:rPr>
        <w:t>gene may be an underestimated cause of epilepsy. The authors recommend that, for patients with epilepsy or prenatal diagnosis of highly suspicious fetus, gene sequencing should be the preferred detection method.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aps/>
          <w:color w:val="000000"/>
          <w:u w:val="single"/>
        </w:rPr>
        <w:t>ACKNOWLEDGEMENTS</w:t>
      </w:r>
    </w:p>
    <w:p>
      <w:pPr>
        <w:spacing w:line="360" w:lineRule="auto"/>
        <w:jc w:val="both"/>
        <w:rPr>
          <w:rFonts w:ascii="Book Antiqua" w:hAnsi="Book Antiqua"/>
        </w:rPr>
      </w:pPr>
      <w:r>
        <w:rPr>
          <w:rFonts w:ascii="Book Antiqua" w:hAnsi="Book Antiqua" w:eastAsia="Book Antiqua"/>
          <w:color w:val="000000"/>
        </w:rPr>
        <w:t>Authors are grateful to the patients and their families for their collaboration. The laboratory examination and data analysis were conducted in BerryGenomics.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Maydan G</w:t>
      </w:r>
      <w:r>
        <w:rPr>
          <w:rFonts w:ascii="Book Antiqua" w:hAnsi="Book Antiqua"/>
        </w:rPr>
        <w:t xml:space="preserve">, Noyman I, Har-Zahav A, Neriah ZB, Pasmanik-Chor M, Yeheskel A, Albin-Kaplanski A, Maya I, Magal N, Birk E, Simon AJ, Halevy A, Rechavi G, Shohat M, Straussberg R, Basel-Vanagaite L. Multiple congenital anomalies-hypotonia-seizures syndrome is caused by a mutation in PIGN. </w:t>
      </w:r>
      <w:r>
        <w:rPr>
          <w:rFonts w:ascii="Book Antiqua" w:hAnsi="Book Antiqua"/>
          <w:i/>
          <w:iCs/>
        </w:rPr>
        <w:t>J Med Genet</w:t>
      </w:r>
      <w:r>
        <w:rPr>
          <w:rFonts w:ascii="Book Antiqua" w:hAnsi="Book Antiqua"/>
        </w:rPr>
        <w:t xml:space="preserve"> 2011; </w:t>
      </w:r>
      <w:r>
        <w:rPr>
          <w:rFonts w:ascii="Book Antiqua" w:hAnsi="Book Antiqua"/>
          <w:b/>
          <w:bCs/>
        </w:rPr>
        <w:t>48</w:t>
      </w:r>
      <w:r>
        <w:rPr>
          <w:rFonts w:ascii="Book Antiqua" w:hAnsi="Book Antiqua"/>
        </w:rPr>
        <w:t>: 383-389 [PMID: 21493957 DOI: 10.1136/jmg.2010.087114]</w:t>
      </w:r>
    </w:p>
    <w:p>
      <w:pPr>
        <w:spacing w:line="360" w:lineRule="auto"/>
        <w:jc w:val="both"/>
        <w:rPr>
          <w:rFonts w:ascii="Book Antiqua" w:hAnsi="Book Antiqua"/>
        </w:rPr>
      </w:pPr>
      <w:r>
        <w:rPr>
          <w:rFonts w:ascii="Book Antiqua" w:hAnsi="Book Antiqua"/>
        </w:rPr>
        <w:t xml:space="preserve">2 </w:t>
      </w:r>
      <w:r>
        <w:rPr>
          <w:rFonts w:ascii="Book Antiqua" w:hAnsi="Book Antiqua"/>
          <w:b/>
          <w:bCs/>
        </w:rPr>
        <w:t>Freeze HH</w:t>
      </w:r>
      <w:r>
        <w:rPr>
          <w:rFonts w:ascii="Book Antiqua" w:hAnsi="Book Antiqua"/>
        </w:rPr>
        <w:t xml:space="preserve">, Eklund EA, Ng BG, Patterson MC. Neurology of inherited glycosylation disorders. </w:t>
      </w:r>
      <w:r>
        <w:rPr>
          <w:rFonts w:ascii="Book Antiqua" w:hAnsi="Book Antiqua"/>
          <w:i/>
          <w:iCs/>
        </w:rPr>
        <w:t>Lancet Neurol</w:t>
      </w:r>
      <w:r>
        <w:rPr>
          <w:rFonts w:ascii="Book Antiqua" w:hAnsi="Book Antiqua"/>
        </w:rPr>
        <w:t xml:space="preserve"> 2012; </w:t>
      </w:r>
      <w:r>
        <w:rPr>
          <w:rFonts w:ascii="Book Antiqua" w:hAnsi="Book Antiqua"/>
          <w:b/>
          <w:bCs/>
        </w:rPr>
        <w:t>11</w:t>
      </w:r>
      <w:r>
        <w:rPr>
          <w:rFonts w:ascii="Book Antiqua" w:hAnsi="Book Antiqua"/>
        </w:rPr>
        <w:t>: 453-466 [PMID: 22516080 DOI: 10.1016/S1474-4422(12)70040-6]</w:t>
      </w:r>
    </w:p>
    <w:p>
      <w:pPr>
        <w:spacing w:line="360" w:lineRule="auto"/>
        <w:jc w:val="both"/>
        <w:rPr>
          <w:rFonts w:ascii="Book Antiqua" w:hAnsi="Book Antiqua"/>
        </w:rPr>
      </w:pPr>
      <w:r>
        <w:rPr>
          <w:rFonts w:ascii="Book Antiqua" w:hAnsi="Book Antiqua"/>
        </w:rPr>
        <w:t xml:space="preserve">3 </w:t>
      </w:r>
      <w:r>
        <w:rPr>
          <w:rFonts w:ascii="Book Antiqua" w:hAnsi="Book Antiqua"/>
          <w:b/>
          <w:bCs/>
        </w:rPr>
        <w:t>Brady PD</w:t>
      </w:r>
      <w:r>
        <w:rPr>
          <w:rFonts w:ascii="Book Antiqua" w:hAnsi="Book Antiqua"/>
        </w:rPr>
        <w:t xml:space="preserve">, Moerman P, De Catte L, Deprest J, Devriendt K, Vermeesch JR. Exome sequencing identifies a recessive PIGN splice site mutation as a cause of syndromic congenital diaphragmatic hernia. </w:t>
      </w:r>
      <w:r>
        <w:rPr>
          <w:rFonts w:ascii="Book Antiqua" w:hAnsi="Book Antiqua"/>
          <w:i/>
          <w:iCs/>
        </w:rPr>
        <w:t>Eur J Med Genet</w:t>
      </w:r>
      <w:r>
        <w:rPr>
          <w:rFonts w:ascii="Book Antiqua" w:hAnsi="Book Antiqua"/>
        </w:rPr>
        <w:t xml:space="preserve"> 2014; </w:t>
      </w:r>
      <w:r>
        <w:rPr>
          <w:rFonts w:ascii="Book Antiqua" w:hAnsi="Book Antiqua"/>
          <w:b/>
          <w:bCs/>
        </w:rPr>
        <w:t>57</w:t>
      </w:r>
      <w:r>
        <w:rPr>
          <w:rFonts w:ascii="Book Antiqua" w:hAnsi="Book Antiqua"/>
        </w:rPr>
        <w:t>: 487-493 [PMID: 24852103 DOI: 10.1016/j.ejmg.2014.05.001]</w:t>
      </w:r>
    </w:p>
    <w:p>
      <w:pPr>
        <w:spacing w:line="360" w:lineRule="auto"/>
        <w:jc w:val="both"/>
        <w:rPr>
          <w:rFonts w:ascii="Book Antiqua" w:hAnsi="Book Antiqua"/>
        </w:rPr>
      </w:pPr>
      <w:r>
        <w:rPr>
          <w:rFonts w:ascii="Book Antiqua" w:hAnsi="Book Antiqua"/>
        </w:rPr>
        <w:t xml:space="preserve">4 </w:t>
      </w:r>
      <w:r>
        <w:rPr>
          <w:rFonts w:ascii="Book Antiqua" w:hAnsi="Book Antiqua"/>
          <w:b/>
          <w:bCs/>
        </w:rPr>
        <w:t>Ohba C</w:t>
      </w:r>
      <w:r>
        <w:rPr>
          <w:rFonts w:ascii="Book Antiqua" w:hAnsi="Book Antiqua"/>
        </w:rPr>
        <w:t xml:space="preserve">, Okamoto N, Murakami Y, Suzuki Y, Tsurusaki Y, Nakashima M, Miyake N, Tanaka F, Kinoshita T, Matsumoto N, Saitsu H. PIGN mutations cause congenital anomalies, developmental delay, hypotonia, epilepsy, and progressive cerebellar atrophy. </w:t>
      </w:r>
      <w:r>
        <w:rPr>
          <w:rFonts w:ascii="Book Antiqua" w:hAnsi="Book Antiqua"/>
          <w:i/>
          <w:iCs/>
        </w:rPr>
        <w:t>Neurogenetics</w:t>
      </w:r>
      <w:r>
        <w:rPr>
          <w:rFonts w:ascii="Book Antiqua" w:hAnsi="Book Antiqua"/>
        </w:rPr>
        <w:t xml:space="preserve"> 2014; </w:t>
      </w:r>
      <w:r>
        <w:rPr>
          <w:rFonts w:ascii="Book Antiqua" w:hAnsi="Book Antiqua"/>
          <w:b/>
          <w:bCs/>
        </w:rPr>
        <w:t>15</w:t>
      </w:r>
      <w:r>
        <w:rPr>
          <w:rFonts w:ascii="Book Antiqua" w:hAnsi="Book Antiqua"/>
        </w:rPr>
        <w:t>: 85-92 [PMID: 24253414 DOI: 10.1007/s10048-013-0384-7]</w:t>
      </w:r>
    </w:p>
    <w:p>
      <w:pPr>
        <w:spacing w:line="360" w:lineRule="auto"/>
        <w:jc w:val="both"/>
        <w:rPr>
          <w:rFonts w:ascii="Book Antiqua" w:hAnsi="Book Antiqua"/>
        </w:rPr>
      </w:pPr>
      <w:r>
        <w:rPr>
          <w:rFonts w:ascii="Book Antiqua" w:hAnsi="Book Antiqua"/>
        </w:rPr>
        <w:t xml:space="preserve">5 </w:t>
      </w:r>
      <w:r>
        <w:rPr>
          <w:rFonts w:ascii="Book Antiqua" w:hAnsi="Book Antiqua"/>
          <w:b/>
          <w:bCs/>
        </w:rPr>
        <w:t>Khayat M</w:t>
      </w:r>
      <w:r>
        <w:rPr>
          <w:rFonts w:ascii="Book Antiqua" w:hAnsi="Book Antiqua"/>
        </w:rPr>
        <w:t xml:space="preserve">, Tilghman JM, Chervinsky I, Zalman L, Chakravarti A, Shalev SA. A PIGN mutation responsible for multiple congenital anomalies-hypotonia-seizures syndrome 1 (MCAHS1) in an Israeli-Arab family. </w:t>
      </w:r>
      <w:r>
        <w:rPr>
          <w:rFonts w:ascii="Book Antiqua" w:hAnsi="Book Antiqua"/>
          <w:i/>
          <w:iCs/>
        </w:rPr>
        <w:t>Am J Med Genet A</w:t>
      </w:r>
      <w:r>
        <w:rPr>
          <w:rFonts w:ascii="Book Antiqua" w:hAnsi="Book Antiqua"/>
        </w:rPr>
        <w:t xml:space="preserve"> 2016; </w:t>
      </w:r>
      <w:r>
        <w:rPr>
          <w:rFonts w:ascii="Book Antiqua" w:hAnsi="Book Antiqua"/>
          <w:b/>
          <w:bCs/>
        </w:rPr>
        <w:t>170A</w:t>
      </w:r>
      <w:r>
        <w:rPr>
          <w:rFonts w:ascii="Book Antiqua" w:hAnsi="Book Antiqua"/>
        </w:rPr>
        <w:t>: 176-182 [PMID: 26364997 DOI: 10.1002/ajmg.a.37375]</w:t>
      </w:r>
    </w:p>
    <w:p>
      <w:pPr>
        <w:spacing w:line="360" w:lineRule="auto"/>
        <w:jc w:val="both"/>
        <w:rPr>
          <w:rFonts w:ascii="Book Antiqua" w:hAnsi="Book Antiqua"/>
        </w:rPr>
      </w:pPr>
      <w:r>
        <w:rPr>
          <w:rFonts w:ascii="Book Antiqua" w:hAnsi="Book Antiqua"/>
        </w:rPr>
        <w:t xml:space="preserve">6 </w:t>
      </w:r>
      <w:r>
        <w:rPr>
          <w:rFonts w:ascii="Book Antiqua" w:hAnsi="Book Antiqua"/>
          <w:b/>
          <w:bCs/>
        </w:rPr>
        <w:t>Fleming L</w:t>
      </w:r>
      <w:r>
        <w:rPr>
          <w:rFonts w:ascii="Book Antiqua" w:hAnsi="Book Antiqua"/>
        </w:rPr>
        <w:t xml:space="preserve">, Lemmon M, Beck N, Johnson M, Mu W, Murdock D, Bodurtha J, Hoover-Fong J, Cohn R, Bosemani T, Barañano K, Hamosh A. Genotype-phenotype correlation of congenital anomalies in multiple congenital anomalies hypotonia seizures syndrome (MCAHS1)/PIGN-related epilepsy. </w:t>
      </w:r>
      <w:r>
        <w:rPr>
          <w:rFonts w:ascii="Book Antiqua" w:hAnsi="Book Antiqua"/>
          <w:i/>
          <w:iCs/>
        </w:rPr>
        <w:t>Am J Med Genet A</w:t>
      </w:r>
      <w:r>
        <w:rPr>
          <w:rFonts w:ascii="Book Antiqua" w:hAnsi="Book Antiqua"/>
        </w:rPr>
        <w:t xml:space="preserve"> 2016; </w:t>
      </w:r>
      <w:r>
        <w:rPr>
          <w:rFonts w:ascii="Book Antiqua" w:hAnsi="Book Antiqua"/>
          <w:b/>
          <w:bCs/>
        </w:rPr>
        <w:t>170A</w:t>
      </w:r>
      <w:r>
        <w:rPr>
          <w:rFonts w:ascii="Book Antiqua" w:hAnsi="Book Antiqua"/>
        </w:rPr>
        <w:t>: 77-86 [PMID: 26394714 DOI: 10.1002/ajmg.a.37369]</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b/>
          <w:color w:val="000000"/>
        </w:rPr>
        <w:t>Footnotes</w:t>
      </w:r>
    </w:p>
    <w:p>
      <w:pPr>
        <w:spacing w:line="360" w:lineRule="auto"/>
        <w:jc w:val="both"/>
        <w:rPr>
          <w:rFonts w:ascii="Book Antiqua" w:hAnsi="Book Antiqua"/>
        </w:rPr>
      </w:pPr>
      <w:r>
        <w:rPr>
          <w:rFonts w:ascii="Book Antiqua" w:hAnsi="Book Antiqua" w:eastAsia="Book Antiqua"/>
          <w:b/>
          <w:bCs/>
          <w:color w:val="000000"/>
        </w:rPr>
        <w:t xml:space="preserve">Informed consent statement: </w:t>
      </w:r>
      <w:r>
        <w:rPr>
          <w:rFonts w:ascii="Book Antiqua" w:hAnsi="Book Antiqua" w:eastAsia="Book Antiqua"/>
          <w:color w:val="000000"/>
        </w:rPr>
        <w:t>The patient and her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eastAsia="Book Antiqua"/>
          <w:color w:val="000000"/>
        </w:rPr>
      </w:pPr>
      <w:r>
        <w:rPr>
          <w:rFonts w:ascii="Book Antiqua" w:hAnsi="Book Antiqua" w:eastAsia="Book Antiqua"/>
          <w:b/>
          <w:bCs/>
          <w:color w:val="000000"/>
        </w:rPr>
        <w:t xml:space="preserve">Conflict-of-interest statement: </w:t>
      </w:r>
      <w:r>
        <w:rPr>
          <w:rFonts w:ascii="Book Antiqua" w:hAnsi="Book Antiqua" w:eastAsia="Book Antiqua"/>
          <w:color w:val="000000"/>
        </w:rPr>
        <w:t>The authors declare that they have no conflict of interest.</w:t>
      </w:r>
    </w:p>
    <w:p>
      <w:pPr>
        <w:spacing w:line="360" w:lineRule="auto"/>
        <w:jc w:val="both"/>
        <w:rPr>
          <w:rFonts w:ascii="Book Antiqua" w:hAnsi="Book Antiqua"/>
        </w:rPr>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szCs w:val="23"/>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bCs/>
          <w:color w:val="000000"/>
        </w:rPr>
        <w:t xml:space="preserve">Open-Access: </w:t>
      </w:r>
      <w:r>
        <w:rPr>
          <w:rFonts w:ascii="Book Antiqua" w:hAnsi="Book Antiqua" w:eastAsia="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olor w:val="000000"/>
        </w:rPr>
        <w:t xml:space="preserve">Provenance and peer review: </w:t>
      </w:r>
      <w:r>
        <w:rPr>
          <w:rFonts w:ascii="Book Antiqua" w:hAnsi="Book Antiqua" w:eastAsia="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b/>
          <w:color w:val="000000"/>
        </w:rPr>
        <w:t xml:space="preserve">Peer-review model: </w:t>
      </w:r>
      <w:r>
        <w:rPr>
          <w:rFonts w:ascii="Book Antiqua" w:hAnsi="Book Antiqua" w:eastAsia="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olor w:val="000000"/>
        </w:rPr>
        <w:t xml:space="preserve">Peer-review started: </w:t>
      </w:r>
      <w:r>
        <w:rPr>
          <w:rFonts w:ascii="Book Antiqua" w:hAnsi="Book Antiqua" w:eastAsia="Book Antiqua"/>
          <w:color w:val="000000"/>
        </w:rPr>
        <w:t>September 23, 2021</w:t>
      </w:r>
    </w:p>
    <w:p>
      <w:pPr>
        <w:spacing w:line="360" w:lineRule="auto"/>
        <w:jc w:val="both"/>
        <w:rPr>
          <w:rFonts w:ascii="Book Antiqua" w:hAnsi="Book Antiqua"/>
        </w:rPr>
      </w:pPr>
      <w:r>
        <w:rPr>
          <w:rFonts w:ascii="Book Antiqua" w:hAnsi="Book Antiqua" w:eastAsia="Book Antiqua"/>
          <w:b/>
          <w:color w:val="000000"/>
        </w:rPr>
        <w:t xml:space="preserve">First decision: </w:t>
      </w:r>
      <w:r>
        <w:rPr>
          <w:rFonts w:ascii="Book Antiqua" w:hAnsi="Book Antiqua" w:eastAsia="Book Antiqua"/>
          <w:color w:val="000000"/>
        </w:rPr>
        <w:t>January 10, 2022</w:t>
      </w:r>
    </w:p>
    <w:p>
      <w:pPr>
        <w:spacing w:line="360" w:lineRule="auto"/>
        <w:jc w:val="both"/>
        <w:rPr>
          <w:rFonts w:ascii="Book Antiqua" w:hAnsi="Book Antiqua"/>
        </w:rPr>
      </w:pPr>
      <w:r>
        <w:rPr>
          <w:rFonts w:ascii="Book Antiqua" w:hAnsi="Book Antiqua" w:eastAsia="Book Antiqua"/>
          <w:b/>
          <w:color w:val="000000"/>
        </w:rPr>
        <w:t xml:space="preserve">Article in press: </w:t>
      </w:r>
      <w:r>
        <w:rPr>
          <w:rFonts w:ascii="Book Antiqua" w:hAnsi="Book Antiqua" w:eastAsia="Book Antiqua" w:cs="Book Antiqua"/>
          <w:color w:val="000000"/>
        </w:rPr>
        <w:t>April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b/>
          <w:color w:val="000000"/>
        </w:rPr>
        <w:t xml:space="preserve">Specialty type: </w:t>
      </w:r>
      <w:r>
        <w:rPr>
          <w:rFonts w:ascii="Book Antiqua" w:hAnsi="Book Antiqua" w:eastAsia="Book Antiqua"/>
          <w:color w:val="000000"/>
        </w:rPr>
        <w:t>Genetics and heredity</w:t>
      </w:r>
    </w:p>
    <w:p>
      <w:pPr>
        <w:spacing w:line="360" w:lineRule="auto"/>
        <w:jc w:val="both"/>
        <w:rPr>
          <w:rFonts w:ascii="Book Antiqua" w:hAnsi="Book Antiqua"/>
        </w:rPr>
      </w:pPr>
      <w:r>
        <w:rPr>
          <w:rFonts w:ascii="Book Antiqua" w:hAnsi="Book Antiqua" w:eastAsia="Book Antiqua"/>
          <w:b/>
          <w:color w:val="000000"/>
        </w:rPr>
        <w:t xml:space="preserve">Country/Territory of origin: </w:t>
      </w:r>
      <w:r>
        <w:rPr>
          <w:rFonts w:ascii="Book Antiqua" w:hAnsi="Book Antiqua" w:eastAsia="Book Antiqua"/>
          <w:color w:val="000000"/>
        </w:rPr>
        <w:t>China</w:t>
      </w:r>
    </w:p>
    <w:p>
      <w:pPr>
        <w:spacing w:line="360" w:lineRule="auto"/>
        <w:jc w:val="both"/>
        <w:rPr>
          <w:rFonts w:ascii="Book Antiqua" w:hAnsi="Book Antiqua"/>
        </w:rPr>
      </w:pPr>
      <w:r>
        <w:rPr>
          <w:rFonts w:ascii="Book Antiqua" w:hAnsi="Book Antiqua" w:eastAsia="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olor w:val="000000"/>
        </w:rPr>
        <w:t>Grade A (Excellent): 0</w:t>
      </w:r>
    </w:p>
    <w:p>
      <w:pPr>
        <w:spacing w:line="360" w:lineRule="auto"/>
        <w:jc w:val="both"/>
        <w:rPr>
          <w:rFonts w:ascii="Book Antiqua" w:hAnsi="Book Antiqua"/>
        </w:rPr>
      </w:pPr>
      <w:r>
        <w:rPr>
          <w:rFonts w:ascii="Book Antiqua" w:hAnsi="Book Antiqua" w:eastAsia="Book Antiqua"/>
          <w:color w:val="000000"/>
        </w:rPr>
        <w:t>Grade B (Very good): B</w:t>
      </w:r>
    </w:p>
    <w:p>
      <w:pPr>
        <w:spacing w:line="360" w:lineRule="auto"/>
        <w:jc w:val="both"/>
        <w:rPr>
          <w:rFonts w:ascii="Book Antiqua" w:hAnsi="Book Antiqua"/>
        </w:rPr>
      </w:pPr>
      <w:r>
        <w:rPr>
          <w:rFonts w:ascii="Book Antiqua" w:hAnsi="Book Antiqua" w:eastAsia="Book Antiqua"/>
          <w:color w:val="000000"/>
        </w:rPr>
        <w:t>Grade C (Good): C</w:t>
      </w:r>
    </w:p>
    <w:p>
      <w:pPr>
        <w:spacing w:line="360" w:lineRule="auto"/>
        <w:jc w:val="both"/>
        <w:rPr>
          <w:rFonts w:ascii="Book Antiqua" w:hAnsi="Book Antiqua"/>
        </w:rPr>
      </w:pPr>
      <w:r>
        <w:rPr>
          <w:rFonts w:ascii="Book Antiqua" w:hAnsi="Book Antiqua" w:eastAsia="Book Antiqua"/>
          <w:color w:val="000000"/>
        </w:rPr>
        <w:t>Grade D (Fair): D</w:t>
      </w:r>
    </w:p>
    <w:p>
      <w:pPr>
        <w:spacing w:line="360" w:lineRule="auto"/>
        <w:jc w:val="both"/>
        <w:rPr>
          <w:rFonts w:ascii="Book Antiqua" w:hAnsi="Book Antiqua"/>
        </w:rPr>
      </w:pPr>
      <w:r>
        <w:rPr>
          <w:rFonts w:ascii="Book Antiqua" w:hAnsi="Book Antiqua" w:eastAsia="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b/>
          <w:color w:val="000000"/>
        </w:rPr>
        <w:t xml:space="preserve">P-Reviewer: </w:t>
      </w:r>
      <w:r>
        <w:rPr>
          <w:rFonts w:ascii="Book Antiqua" w:hAnsi="Book Antiqua" w:eastAsia="Book Antiqua"/>
          <w:color w:val="000000"/>
        </w:rPr>
        <w:t>Beran RG, India; Showkat HI, India</w:t>
      </w:r>
      <w:r>
        <w:rPr>
          <w:rFonts w:ascii="Book Antiqua" w:hAnsi="Book Antiqua" w:eastAsia="Book Antiqua"/>
          <w:b/>
          <w:color w:val="000000"/>
        </w:rPr>
        <w:t xml:space="preserve"> S-Editor: </w:t>
      </w:r>
      <w:r>
        <w:rPr>
          <w:rFonts w:ascii="Book Antiqua" w:hAnsi="Book Antiqua" w:eastAsia="Book Antiqua"/>
          <w:color w:val="000000"/>
        </w:rPr>
        <w:t xml:space="preserve">Liu JH </w:t>
      </w:r>
      <w:r>
        <w:rPr>
          <w:rFonts w:ascii="Book Antiqua" w:hAnsi="Book Antiqua" w:eastAsia="Book Antiqua"/>
          <w:b/>
          <w:color w:val="000000"/>
        </w:rPr>
        <w:t xml:space="preserve">L-Editor: </w:t>
      </w:r>
      <w:r>
        <w:rPr>
          <w:rFonts w:ascii="Book Antiqua" w:hAnsi="Book Antiqua" w:eastAsia="Book Antiqua"/>
          <w:color w:val="000000"/>
        </w:rPr>
        <w:t>A</w:t>
      </w:r>
      <w:r>
        <w:rPr>
          <w:rFonts w:ascii="Book Antiqua" w:hAnsi="Book Antiqua" w:eastAsia="Book Antiqua"/>
          <w:b/>
          <w:color w:val="000000"/>
        </w:rPr>
        <w:t xml:space="preserve"> P-Editor: </w:t>
      </w:r>
      <w:r>
        <w:rPr>
          <w:rFonts w:ascii="Book Antiqua" w:hAnsi="Book Antiqua" w:eastAsia="Book Antiqua"/>
          <w:color w:val="000000"/>
        </w:rPr>
        <w:t>Liu JH</w:t>
      </w:r>
      <w:r>
        <w:rPr>
          <w:rFonts w:ascii="Book Antiqua" w:hAnsi="Book Antiqua" w:eastAsia="Book Antiqua"/>
          <w:b/>
          <w:color w:val="000000"/>
        </w:rPr>
        <w:t xml:space="preserve"> </w:t>
      </w:r>
    </w:p>
    <w:p>
      <w:pPr>
        <w:spacing w:line="360" w:lineRule="auto"/>
        <w:jc w:val="both"/>
        <w:rPr>
          <w:rFonts w:ascii="Book Antiqua" w:hAnsi="Book Antiqua"/>
        </w:rPr>
      </w:pPr>
      <w:r>
        <w:rPr>
          <w:rFonts w:ascii="Book Antiqua" w:hAnsi="Book Antiqua" w:eastAsia="Book Antiqua"/>
          <w:b/>
          <w:color w:val="000000"/>
        </w:rPr>
        <w:t>Figure Legends</w:t>
      </w:r>
    </w:p>
    <w:p>
      <w:pPr>
        <w:spacing w:line="360" w:lineRule="auto"/>
        <w:jc w:val="both"/>
        <w:rPr>
          <w:rFonts w:hint="eastAsia" w:ascii="Book Antiqua" w:hAnsi="Book Antiqua" w:eastAsia="宋体"/>
          <w:b/>
          <w:bCs/>
          <w:color w:val="000000"/>
          <w:lang w:eastAsia="zh-CN"/>
        </w:rPr>
      </w:pPr>
      <w:r>
        <w:rPr>
          <w:rFonts w:hint="eastAsia" w:ascii="Book Antiqua" w:hAnsi="Book Antiqua" w:eastAsia="宋体"/>
          <w:b/>
          <w:bCs/>
          <w:color w:val="000000"/>
          <w:lang w:eastAsia="zh-CN"/>
        </w:rPr>
        <w:drawing>
          <wp:inline distT="0" distB="0" distL="114300" distR="114300">
            <wp:extent cx="2743200" cy="3035935"/>
            <wp:effectExtent l="0" t="0" r="0" b="12065"/>
            <wp:docPr id="4" name="图片 4" descr="WJCC-10-544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441-g001"/>
                    <pic:cNvPicPr>
                      <a:picLocks noChangeAspect="1"/>
                    </pic:cNvPicPr>
                  </pic:nvPicPr>
                  <pic:blipFill>
                    <a:blip r:embed="rId5"/>
                    <a:stretch>
                      <a:fillRect/>
                    </a:stretch>
                  </pic:blipFill>
                  <pic:spPr>
                    <a:xfrm>
                      <a:off x="0" y="0"/>
                      <a:ext cx="2743200" cy="3035935"/>
                    </a:xfrm>
                    <a:prstGeom prst="rect">
                      <a:avLst/>
                    </a:prstGeom>
                  </pic:spPr>
                </pic:pic>
              </a:graphicData>
            </a:graphic>
          </wp:inline>
        </w:drawing>
      </w:r>
    </w:p>
    <w:p>
      <w:pPr>
        <w:spacing w:line="360" w:lineRule="auto"/>
        <w:jc w:val="both"/>
        <w:rPr>
          <w:rFonts w:ascii="Book Antiqua" w:hAnsi="Book Antiqua" w:eastAsia="Book Antiqua"/>
          <w:b/>
          <w:color w:val="000000"/>
        </w:rPr>
      </w:pPr>
      <w:r>
        <w:rPr>
          <w:rFonts w:ascii="Book Antiqua" w:hAnsi="Book Antiqua" w:eastAsia="Book Antiqua"/>
          <w:b/>
          <w:bCs/>
          <w:color w:val="000000"/>
        </w:rPr>
        <w:t>Figure 1</w:t>
      </w:r>
      <w:r>
        <w:rPr>
          <w:rFonts w:ascii="Book Antiqua" w:hAnsi="Book Antiqua" w:eastAsia="Book Antiqua"/>
          <w:b/>
          <w:color w:val="000000"/>
        </w:rPr>
        <w:t xml:space="preserve"> Clinical phenotype characteristics of the proband.</w:t>
      </w:r>
    </w:p>
    <w:p>
      <w:pPr>
        <w:spacing w:line="360" w:lineRule="auto"/>
        <w:jc w:val="both"/>
        <w:rPr>
          <w:rFonts w:ascii="Book Antiqua" w:hAnsi="Book Antiqua" w:eastAsia="Book Antiqua"/>
          <w:b/>
          <w:color w:val="000000"/>
        </w:rPr>
      </w:pPr>
    </w:p>
    <w:p>
      <w:pPr>
        <w:spacing w:line="360" w:lineRule="auto"/>
        <w:jc w:val="both"/>
        <w:rPr>
          <w:rFonts w:ascii="Book Antiqua" w:hAnsi="Book Antiqua" w:eastAsia="Book Antiqua"/>
          <w:b/>
          <w:color w:val="000000"/>
        </w:rPr>
      </w:pPr>
      <w:bookmarkStart w:id="0" w:name="_GoBack"/>
      <w:bookmarkEnd w:id="0"/>
    </w:p>
    <w:p>
      <w:pPr>
        <w:spacing w:line="360" w:lineRule="auto"/>
        <w:jc w:val="both"/>
        <w:rPr>
          <w:rFonts w:ascii="Book Antiqua" w:hAnsi="Book Antiqua" w:eastAsia="Book Antiqua"/>
          <w:b/>
          <w:bCs/>
          <w:color w:val="000000"/>
        </w:rPr>
      </w:pPr>
      <w:r>
        <w:rPr>
          <w:rFonts w:hint="eastAsia" w:ascii="Book Antiqua" w:hAnsi="Book Antiqua" w:eastAsia="宋体"/>
          <w:b/>
          <w:bCs/>
          <w:color w:val="000000"/>
          <w:lang w:eastAsia="zh-CN"/>
        </w:rPr>
        <w:drawing>
          <wp:inline distT="0" distB="0" distL="114300" distR="114300">
            <wp:extent cx="5901055" cy="2782570"/>
            <wp:effectExtent l="0" t="0" r="12065" b="6350"/>
            <wp:docPr id="3" name="图片 3" descr="WJCC-10-544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441-g002"/>
                    <pic:cNvPicPr>
                      <a:picLocks noChangeAspect="1"/>
                    </pic:cNvPicPr>
                  </pic:nvPicPr>
                  <pic:blipFill>
                    <a:blip r:embed="rId6"/>
                    <a:stretch>
                      <a:fillRect/>
                    </a:stretch>
                  </pic:blipFill>
                  <pic:spPr>
                    <a:xfrm>
                      <a:off x="0" y="0"/>
                      <a:ext cx="5901055" cy="2782570"/>
                    </a:xfrm>
                    <a:prstGeom prst="rect">
                      <a:avLst/>
                    </a:prstGeom>
                  </pic:spPr>
                </pic:pic>
              </a:graphicData>
            </a:graphic>
          </wp:inline>
        </w:drawing>
      </w:r>
    </w:p>
    <w:p>
      <w:pPr>
        <w:spacing w:line="360" w:lineRule="auto"/>
        <w:jc w:val="both"/>
        <w:rPr>
          <w:rFonts w:ascii="Book Antiqua" w:hAnsi="Book Antiqua" w:eastAsia="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b/>
          <w:bCs/>
          <w:color w:val="000000"/>
        </w:rPr>
        <w:t xml:space="preserve">Figure 2 </w:t>
      </w:r>
      <w:r>
        <w:rPr>
          <w:rFonts w:ascii="Book Antiqua" w:hAnsi="Book Antiqua" w:eastAsia="Book Antiqua"/>
          <w:b/>
          <w:color w:val="000000"/>
        </w:rPr>
        <w:t xml:space="preserve">Sanger sequencing for detection of mutation. </w:t>
      </w:r>
      <w:r>
        <w:rPr>
          <w:rFonts w:ascii="Book Antiqua" w:hAnsi="Book Antiqua" w:eastAsia="Book Antiqua"/>
          <w:color w:val="000000"/>
        </w:rPr>
        <w:t>A: DNA sequence electropherograms of the c.2557A&gt;C mutation identified in exon 28 of PIGN in the patient and her brother; B: DNA</w:t>
      </w:r>
      <w:r>
        <w:rPr>
          <w:rFonts w:hint="eastAsia" w:ascii="Book Antiqua" w:hAnsi="Book Antiqua"/>
          <w:lang w:eastAsia="zh-CN"/>
        </w:rPr>
        <w:t xml:space="preserve"> </w:t>
      </w:r>
      <w:r>
        <w:rPr>
          <w:rFonts w:ascii="Book Antiqua" w:hAnsi="Book Antiqua" w:eastAsia="Book Antiqua"/>
          <w:color w:val="000000"/>
        </w:rPr>
        <w:t xml:space="preserve">sequence electropherograms of the c.980del mutation identified in exon 12 of PIGN in the patient her parents.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406422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558F"/>
    <w:rsid w:val="00050BE3"/>
    <w:rsid w:val="00051973"/>
    <w:rsid w:val="000F076B"/>
    <w:rsid w:val="00124A61"/>
    <w:rsid w:val="00141A55"/>
    <w:rsid w:val="00143A7D"/>
    <w:rsid w:val="0017535F"/>
    <w:rsid w:val="00176404"/>
    <w:rsid w:val="00176A19"/>
    <w:rsid w:val="001774BA"/>
    <w:rsid w:val="00193D50"/>
    <w:rsid w:val="0019656E"/>
    <w:rsid w:val="001D3977"/>
    <w:rsid w:val="001F0CE6"/>
    <w:rsid w:val="00253D42"/>
    <w:rsid w:val="00283E5F"/>
    <w:rsid w:val="002D097E"/>
    <w:rsid w:val="00304F62"/>
    <w:rsid w:val="00311620"/>
    <w:rsid w:val="003125EF"/>
    <w:rsid w:val="00312B30"/>
    <w:rsid w:val="00325E5F"/>
    <w:rsid w:val="00336E45"/>
    <w:rsid w:val="00344C56"/>
    <w:rsid w:val="00351FEB"/>
    <w:rsid w:val="00353A06"/>
    <w:rsid w:val="0036122D"/>
    <w:rsid w:val="00383928"/>
    <w:rsid w:val="003F49D0"/>
    <w:rsid w:val="00463125"/>
    <w:rsid w:val="004A5D4B"/>
    <w:rsid w:val="004A7994"/>
    <w:rsid w:val="005446A5"/>
    <w:rsid w:val="005836B7"/>
    <w:rsid w:val="005D3254"/>
    <w:rsid w:val="00687F19"/>
    <w:rsid w:val="006A1DA2"/>
    <w:rsid w:val="006A6563"/>
    <w:rsid w:val="006B3D29"/>
    <w:rsid w:val="006E4323"/>
    <w:rsid w:val="006E457F"/>
    <w:rsid w:val="006F7A2B"/>
    <w:rsid w:val="00702ABC"/>
    <w:rsid w:val="00707F17"/>
    <w:rsid w:val="007423D8"/>
    <w:rsid w:val="00747DF4"/>
    <w:rsid w:val="007557CE"/>
    <w:rsid w:val="007654DD"/>
    <w:rsid w:val="007757E9"/>
    <w:rsid w:val="007E6873"/>
    <w:rsid w:val="007F3139"/>
    <w:rsid w:val="007F6954"/>
    <w:rsid w:val="00886974"/>
    <w:rsid w:val="008924FA"/>
    <w:rsid w:val="008A1A3D"/>
    <w:rsid w:val="008A2F27"/>
    <w:rsid w:val="008B0CD5"/>
    <w:rsid w:val="008B3354"/>
    <w:rsid w:val="008E4C49"/>
    <w:rsid w:val="009005AC"/>
    <w:rsid w:val="00954378"/>
    <w:rsid w:val="00961CC3"/>
    <w:rsid w:val="009748C2"/>
    <w:rsid w:val="009A1273"/>
    <w:rsid w:val="009B763D"/>
    <w:rsid w:val="009C5013"/>
    <w:rsid w:val="009D3144"/>
    <w:rsid w:val="009E4A10"/>
    <w:rsid w:val="00A305EE"/>
    <w:rsid w:val="00A75A48"/>
    <w:rsid w:val="00A77B3E"/>
    <w:rsid w:val="00A93E35"/>
    <w:rsid w:val="00AB1376"/>
    <w:rsid w:val="00AF62BC"/>
    <w:rsid w:val="00B019E5"/>
    <w:rsid w:val="00B91F02"/>
    <w:rsid w:val="00BB4563"/>
    <w:rsid w:val="00C24CD1"/>
    <w:rsid w:val="00C47725"/>
    <w:rsid w:val="00C737AA"/>
    <w:rsid w:val="00C90380"/>
    <w:rsid w:val="00C91C0F"/>
    <w:rsid w:val="00CA0287"/>
    <w:rsid w:val="00CA2A55"/>
    <w:rsid w:val="00CA2E3F"/>
    <w:rsid w:val="00D6037C"/>
    <w:rsid w:val="00D910DA"/>
    <w:rsid w:val="00D96511"/>
    <w:rsid w:val="00DA7BDB"/>
    <w:rsid w:val="00DC7627"/>
    <w:rsid w:val="00DD1FDC"/>
    <w:rsid w:val="00DD55DE"/>
    <w:rsid w:val="00E01436"/>
    <w:rsid w:val="00E22286"/>
    <w:rsid w:val="00E23347"/>
    <w:rsid w:val="00E30D02"/>
    <w:rsid w:val="00E56BFA"/>
    <w:rsid w:val="00E608E7"/>
    <w:rsid w:val="00E76C66"/>
    <w:rsid w:val="00ED19D2"/>
    <w:rsid w:val="00ED1EBC"/>
    <w:rsid w:val="00F124B0"/>
    <w:rsid w:val="00F6094E"/>
    <w:rsid w:val="00F72450"/>
    <w:rsid w:val="00F926BF"/>
    <w:rsid w:val="00FD57D3"/>
    <w:rsid w:val="00FF2346"/>
    <w:rsid w:val="00FF43EC"/>
    <w:rsid w:val="0A7D09F7"/>
    <w:rsid w:val="5AFB09D4"/>
    <w:rsid w:val="63243E3E"/>
    <w:rsid w:val="759C7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qFormat/>
    <w:uiPriority w:val="0"/>
    <w:rPr>
      <w:sz w:val="21"/>
      <w:szCs w:val="21"/>
    </w:rPr>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99"/>
    <w:rPr>
      <w:sz w:val="18"/>
      <w:szCs w:val="18"/>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批注框文本 字符"/>
    <w:basedOn w:val="8"/>
    <w:link w:val="3"/>
    <w:semiHidden/>
    <w:qFormat/>
    <w:uiPriority w:val="0"/>
    <w:rPr>
      <w:sz w:val="18"/>
      <w:szCs w:val="18"/>
      <w:lang w:eastAsia="en-US"/>
    </w:rPr>
  </w:style>
  <w:style w:type="character" w:customStyle="1" w:styleId="15">
    <w:name w:val="批注文字 字符"/>
    <w:basedOn w:val="8"/>
    <w:link w:val="2"/>
    <w:semiHidden/>
    <w:qFormat/>
    <w:uiPriority w:val="0"/>
    <w:rPr>
      <w:sz w:val="24"/>
      <w:szCs w:val="24"/>
      <w:lang w:eastAsia="en-US"/>
    </w:rPr>
  </w:style>
  <w:style w:type="character" w:customStyle="1" w:styleId="16">
    <w:name w:val="批注主题 字符"/>
    <w:basedOn w:val="15"/>
    <w:link w:val="6"/>
    <w:semiHidden/>
    <w:qFormat/>
    <w:uiPriority w:val="0"/>
    <w:rPr>
      <w:b/>
      <w:bCs/>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1893</Words>
  <Characters>11720</Characters>
  <Lines>94</Lines>
  <Paragraphs>26</Paragraphs>
  <TotalTime>0</TotalTime>
  <ScaleCrop>false</ScaleCrop>
  <LinksUpToDate>false</LinksUpToDate>
  <CharactersWithSpaces>13523</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2022-04-21T01:12:00Z</dcterms:created>
  <dc:creator>HUAWEI</dc:creator>
  <cp:lastModifiedBy>晓晨</cp:lastModifiedBy>
  <dcterms:modified xsi:type="dcterms:W3CDTF">2022-06-02T14:51:00Z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EA8D4048B9B64FD897F082EDCCB5C244</vt:lpwstr>
  </property>
</Properties>
</file>