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AF2DB"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 xml:space="preserve">Name of Journal: </w:t>
      </w:r>
      <w:r w:rsidRPr="00E87351">
        <w:rPr>
          <w:rFonts w:ascii="Book Antiqua" w:eastAsia="Book Antiqua" w:hAnsi="Book Antiqua" w:cs="Book Antiqua"/>
          <w:i/>
          <w:color w:val="000000"/>
        </w:rPr>
        <w:t>World Journal of Hepatology</w:t>
      </w:r>
    </w:p>
    <w:p w14:paraId="1F53A2F6"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 xml:space="preserve">Manuscript NO: </w:t>
      </w:r>
      <w:r w:rsidRPr="00E87351">
        <w:rPr>
          <w:rFonts w:ascii="Book Antiqua" w:eastAsia="Book Antiqua" w:hAnsi="Book Antiqua" w:cs="Book Antiqua"/>
          <w:color w:val="000000"/>
        </w:rPr>
        <w:t>71935</w:t>
      </w:r>
    </w:p>
    <w:p w14:paraId="669F8451"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 xml:space="preserve">Manuscript Type: </w:t>
      </w:r>
      <w:r w:rsidRPr="00E87351">
        <w:rPr>
          <w:rFonts w:ascii="Book Antiqua" w:eastAsia="Book Antiqua" w:hAnsi="Book Antiqua" w:cs="Book Antiqua"/>
          <w:color w:val="000000"/>
        </w:rPr>
        <w:t>ORIGINAL ARTICLE</w:t>
      </w:r>
    </w:p>
    <w:p w14:paraId="10A4062C" w14:textId="77777777" w:rsidR="00703676" w:rsidRPr="00E87351" w:rsidRDefault="00703676">
      <w:pPr>
        <w:spacing w:line="360" w:lineRule="auto"/>
        <w:jc w:val="both"/>
        <w:rPr>
          <w:rFonts w:ascii="Book Antiqua" w:hAnsi="Book Antiqua"/>
        </w:rPr>
      </w:pPr>
    </w:p>
    <w:p w14:paraId="7F8D8B4A"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i/>
          <w:color w:val="000000"/>
        </w:rPr>
        <w:t>Retrospective Cohort Study</w:t>
      </w:r>
    </w:p>
    <w:p w14:paraId="742596C2"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t xml:space="preserve">Risk factors and prediction of acute kidney injury after liver transplantation: </w:t>
      </w:r>
      <w:r w:rsidRPr="00E87351">
        <w:rPr>
          <w:rFonts w:ascii="Book Antiqua" w:hAnsi="Book Antiqua" w:cs="Book Antiqua"/>
          <w:b/>
          <w:bCs/>
          <w:color w:val="000000"/>
          <w:lang w:eastAsia="zh-CN"/>
        </w:rPr>
        <w:t>L</w:t>
      </w:r>
      <w:r w:rsidRPr="00E87351">
        <w:rPr>
          <w:rFonts w:ascii="Book Antiqua" w:eastAsia="Book Antiqua" w:hAnsi="Book Antiqua" w:cs="Book Antiqua"/>
          <w:b/>
          <w:bCs/>
          <w:color w:val="000000"/>
        </w:rPr>
        <w:t xml:space="preserve">ogistic regression and artificial neural network approaches </w:t>
      </w:r>
    </w:p>
    <w:p w14:paraId="61157A80" w14:textId="77777777" w:rsidR="00703676" w:rsidRPr="00E87351" w:rsidRDefault="00703676">
      <w:pPr>
        <w:spacing w:line="360" w:lineRule="auto"/>
        <w:jc w:val="both"/>
        <w:rPr>
          <w:rFonts w:ascii="Book Antiqua" w:hAnsi="Book Antiqua"/>
        </w:rPr>
      </w:pPr>
    </w:p>
    <w:p w14:paraId="10095B3E"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lang w:val="pt-BR"/>
        </w:rPr>
        <w:t>Bredt</w:t>
      </w:r>
      <w:r w:rsidRPr="00E87351">
        <w:rPr>
          <w:rFonts w:ascii="Book Antiqua" w:eastAsia="Book Antiqua" w:hAnsi="Book Antiqua" w:cs="Book Antiqua"/>
          <w:color w:val="000000"/>
        </w:rPr>
        <w:t xml:space="preserve"> </w:t>
      </w:r>
      <w:r w:rsidRPr="00E87351">
        <w:rPr>
          <w:rFonts w:ascii="Book Antiqua" w:hAnsi="Book Antiqua" w:cs="Book Antiqua"/>
          <w:color w:val="000000"/>
          <w:lang w:eastAsia="zh-CN"/>
        </w:rPr>
        <w:t xml:space="preserve">LC </w:t>
      </w:r>
      <w:r w:rsidRPr="00E87351">
        <w:rPr>
          <w:rFonts w:ascii="Book Antiqua" w:hAnsi="Book Antiqua" w:cs="Book Antiqua"/>
          <w:i/>
          <w:color w:val="000000"/>
          <w:lang w:eastAsia="zh-CN"/>
        </w:rPr>
        <w:t>et al</w:t>
      </w:r>
      <w:r w:rsidRPr="00E87351">
        <w:rPr>
          <w:rFonts w:ascii="Book Antiqua" w:hAnsi="Book Antiqua" w:cs="Book Antiqua"/>
          <w:color w:val="000000"/>
          <w:lang w:eastAsia="zh-CN"/>
        </w:rPr>
        <w:t xml:space="preserve">. </w:t>
      </w:r>
      <w:r w:rsidRPr="00E87351">
        <w:rPr>
          <w:rFonts w:ascii="Book Antiqua" w:eastAsia="Book Antiqua" w:hAnsi="Book Antiqua" w:cs="Book Antiqua"/>
          <w:color w:val="000000"/>
        </w:rPr>
        <w:t>Acute kidney injury after liver transplantation</w:t>
      </w:r>
    </w:p>
    <w:p w14:paraId="51FE0BBA" w14:textId="77777777" w:rsidR="00703676" w:rsidRPr="00E87351" w:rsidRDefault="00703676">
      <w:pPr>
        <w:spacing w:line="360" w:lineRule="auto"/>
        <w:jc w:val="both"/>
        <w:rPr>
          <w:rFonts w:ascii="Book Antiqua" w:hAnsi="Book Antiqua"/>
        </w:rPr>
      </w:pPr>
    </w:p>
    <w:p w14:paraId="1A14ACDF" w14:textId="77777777" w:rsidR="00703676" w:rsidRPr="00E87351" w:rsidRDefault="00AA5AC6">
      <w:pPr>
        <w:spacing w:line="360" w:lineRule="auto"/>
        <w:jc w:val="both"/>
        <w:rPr>
          <w:rFonts w:ascii="Book Antiqua" w:hAnsi="Book Antiqua"/>
          <w:lang w:val="pt-BR"/>
        </w:rPr>
      </w:pPr>
      <w:r w:rsidRPr="00E87351">
        <w:rPr>
          <w:rFonts w:ascii="Book Antiqua" w:eastAsia="Book Antiqua" w:hAnsi="Book Antiqua" w:cs="Book Antiqua"/>
          <w:color w:val="000000"/>
          <w:lang w:val="pt-BR"/>
        </w:rPr>
        <w:t>Luis Cesar Bredt, Luis Alberto Batista Peres, Michel Risso, Leandro Cavalcanti de Albuquerque Leite Barros</w:t>
      </w:r>
    </w:p>
    <w:p w14:paraId="2638B9BC" w14:textId="77777777" w:rsidR="00703676" w:rsidRPr="00E87351" w:rsidRDefault="00703676">
      <w:pPr>
        <w:spacing w:line="360" w:lineRule="auto"/>
        <w:jc w:val="both"/>
        <w:rPr>
          <w:rFonts w:ascii="Book Antiqua" w:hAnsi="Book Antiqua"/>
          <w:lang w:val="pt-BR"/>
        </w:rPr>
      </w:pPr>
    </w:p>
    <w:p w14:paraId="693A2927" w14:textId="77777777" w:rsidR="00703676" w:rsidRPr="00E87351" w:rsidRDefault="00AA5AC6">
      <w:pPr>
        <w:spacing w:line="360" w:lineRule="auto"/>
        <w:jc w:val="both"/>
        <w:rPr>
          <w:rFonts w:ascii="Book Antiqua" w:hAnsi="Book Antiqua"/>
          <w:lang w:val="pt-BR"/>
        </w:rPr>
      </w:pPr>
      <w:r w:rsidRPr="00E87351">
        <w:rPr>
          <w:rFonts w:ascii="Book Antiqua" w:eastAsia="Book Antiqua" w:hAnsi="Book Antiqua" w:cs="Book Antiqua"/>
          <w:b/>
          <w:bCs/>
          <w:color w:val="000000"/>
          <w:lang w:val="pt-BR"/>
        </w:rPr>
        <w:t xml:space="preserve">Luis Cesar Bredt, Luis Cesar Bredt, </w:t>
      </w:r>
      <w:r w:rsidRPr="00E87351">
        <w:rPr>
          <w:rFonts w:ascii="Book Antiqua" w:eastAsia="Book Antiqua" w:hAnsi="Book Antiqua" w:cs="Book Antiqua"/>
          <w:color w:val="000000"/>
          <w:lang w:val="pt-BR"/>
        </w:rPr>
        <w:t xml:space="preserve">Department </w:t>
      </w:r>
      <w:r w:rsidRPr="00E87351">
        <w:rPr>
          <w:rFonts w:ascii="Book Antiqua" w:hAnsi="Book Antiqua" w:cs="Book Antiqua"/>
          <w:color w:val="000000"/>
          <w:lang w:val="pt-BR" w:eastAsia="zh-CN"/>
        </w:rPr>
        <w:t xml:space="preserve">of </w:t>
      </w:r>
      <w:r w:rsidRPr="00E87351">
        <w:rPr>
          <w:rFonts w:ascii="Book Antiqua" w:eastAsia="Book Antiqua" w:hAnsi="Book Antiqua" w:cs="Book Antiqua"/>
          <w:color w:val="000000"/>
          <w:lang w:val="pt-BR"/>
        </w:rPr>
        <w:t>Surgical Oncology and Hepatobilary Surgery, Unioeste, Cascavel 85819-110, Paraná, Brazil</w:t>
      </w:r>
    </w:p>
    <w:p w14:paraId="77499E6C" w14:textId="77777777" w:rsidR="00703676" w:rsidRPr="00E87351" w:rsidRDefault="00703676">
      <w:pPr>
        <w:spacing w:line="360" w:lineRule="auto"/>
        <w:jc w:val="both"/>
        <w:rPr>
          <w:rFonts w:ascii="Book Antiqua" w:hAnsi="Book Antiqua"/>
          <w:lang w:val="pt-BR"/>
        </w:rPr>
      </w:pPr>
    </w:p>
    <w:p w14:paraId="5E4F8C98" w14:textId="77777777" w:rsidR="00703676" w:rsidRPr="00E87351" w:rsidRDefault="00AA5AC6">
      <w:pPr>
        <w:spacing w:line="360" w:lineRule="auto"/>
        <w:jc w:val="both"/>
        <w:rPr>
          <w:rFonts w:ascii="Book Antiqua" w:hAnsi="Book Antiqua"/>
          <w:lang w:val="pt-BR"/>
        </w:rPr>
      </w:pPr>
      <w:r w:rsidRPr="00E87351">
        <w:rPr>
          <w:rFonts w:ascii="Book Antiqua" w:eastAsia="Book Antiqua" w:hAnsi="Book Antiqua" w:cs="Book Antiqua"/>
          <w:b/>
          <w:bCs/>
          <w:color w:val="000000"/>
          <w:lang w:val="pt-BR"/>
        </w:rPr>
        <w:t xml:space="preserve">Luis Alberto Batista Peres, </w:t>
      </w:r>
      <w:r w:rsidRPr="00E87351">
        <w:rPr>
          <w:rFonts w:ascii="Book Antiqua" w:eastAsia="Book Antiqua" w:hAnsi="Book Antiqua" w:cs="Book Antiqua"/>
          <w:color w:val="000000"/>
          <w:lang w:val="pt-BR"/>
        </w:rPr>
        <w:t xml:space="preserve">Department </w:t>
      </w:r>
      <w:r w:rsidRPr="00E87351">
        <w:rPr>
          <w:rFonts w:ascii="Book Antiqua" w:hAnsi="Book Antiqua" w:cs="Book Antiqua"/>
          <w:color w:val="000000"/>
          <w:lang w:val="pt-BR" w:eastAsia="zh-CN"/>
        </w:rPr>
        <w:t xml:space="preserve">of </w:t>
      </w:r>
      <w:r w:rsidRPr="00E87351">
        <w:rPr>
          <w:rFonts w:ascii="Book Antiqua" w:eastAsia="Book Antiqua" w:hAnsi="Book Antiqua" w:cs="Book Antiqua"/>
          <w:color w:val="000000"/>
          <w:lang w:val="pt-BR"/>
        </w:rPr>
        <w:t>Nephrology, Unioeste, Cascavel 85819-110, Paraná, Brazil</w:t>
      </w:r>
    </w:p>
    <w:p w14:paraId="2CD18AB2" w14:textId="77777777" w:rsidR="00703676" w:rsidRPr="00E87351" w:rsidRDefault="00703676">
      <w:pPr>
        <w:spacing w:line="360" w:lineRule="auto"/>
        <w:jc w:val="both"/>
        <w:rPr>
          <w:rFonts w:ascii="Book Antiqua" w:hAnsi="Book Antiqua"/>
          <w:lang w:val="pt-BR"/>
        </w:rPr>
      </w:pPr>
    </w:p>
    <w:p w14:paraId="7DC2A295" w14:textId="77777777" w:rsidR="00703676" w:rsidRPr="00E87351" w:rsidRDefault="00AA5AC6">
      <w:pPr>
        <w:spacing w:line="360" w:lineRule="auto"/>
        <w:jc w:val="both"/>
        <w:rPr>
          <w:rFonts w:ascii="Book Antiqua" w:hAnsi="Book Antiqua"/>
          <w:lang w:val="pt-BR"/>
        </w:rPr>
      </w:pPr>
      <w:r w:rsidRPr="00E87351">
        <w:rPr>
          <w:rFonts w:ascii="Book Antiqua" w:eastAsia="Book Antiqua" w:hAnsi="Book Antiqua" w:cs="Book Antiqua"/>
          <w:b/>
          <w:bCs/>
          <w:color w:val="000000"/>
          <w:lang w:val="pt-BR"/>
        </w:rPr>
        <w:t xml:space="preserve">Michel Risso, </w:t>
      </w:r>
      <w:r w:rsidRPr="00E87351">
        <w:rPr>
          <w:rFonts w:ascii="Book Antiqua" w:eastAsia="Book Antiqua" w:hAnsi="Book Antiqua" w:cs="Book Antiqua"/>
          <w:color w:val="000000"/>
          <w:lang w:val="pt-BR"/>
        </w:rPr>
        <w:t xml:space="preserve">Department </w:t>
      </w:r>
      <w:r w:rsidRPr="00E87351">
        <w:rPr>
          <w:rFonts w:ascii="Book Antiqua" w:hAnsi="Book Antiqua" w:cs="Book Antiqua"/>
          <w:color w:val="000000"/>
          <w:lang w:val="pt-BR" w:eastAsia="zh-CN"/>
        </w:rPr>
        <w:t>of</w:t>
      </w:r>
      <w:r w:rsidRPr="00E87351">
        <w:rPr>
          <w:rFonts w:ascii="Book Antiqua" w:eastAsia="Book Antiqua" w:hAnsi="Book Antiqua" w:cs="Book Antiqua"/>
          <w:color w:val="000000"/>
          <w:lang w:val="pt-BR"/>
        </w:rPr>
        <w:t xml:space="preserve"> Internal Medicine, Assis Gurgacz University, Cascavel 85000, Paraná, Brazil</w:t>
      </w:r>
    </w:p>
    <w:p w14:paraId="2EE418C1" w14:textId="77777777" w:rsidR="00703676" w:rsidRPr="00E87351" w:rsidRDefault="00703676">
      <w:pPr>
        <w:spacing w:line="360" w:lineRule="auto"/>
        <w:jc w:val="both"/>
        <w:rPr>
          <w:rFonts w:ascii="Book Antiqua" w:hAnsi="Book Antiqua"/>
          <w:lang w:val="pt-BR"/>
        </w:rPr>
      </w:pPr>
    </w:p>
    <w:p w14:paraId="7F9669DE" w14:textId="77777777" w:rsidR="00703676" w:rsidRPr="00E87351" w:rsidRDefault="00AA5AC6">
      <w:pPr>
        <w:spacing w:line="360" w:lineRule="auto"/>
        <w:jc w:val="both"/>
        <w:rPr>
          <w:rFonts w:ascii="Book Antiqua" w:hAnsi="Book Antiqua"/>
          <w:lang w:val="pt-BR"/>
        </w:rPr>
      </w:pPr>
      <w:r w:rsidRPr="00E87351">
        <w:rPr>
          <w:rFonts w:ascii="Book Antiqua" w:eastAsia="Book Antiqua" w:hAnsi="Book Antiqua" w:cs="Book Antiqua"/>
          <w:b/>
          <w:bCs/>
          <w:color w:val="000000"/>
          <w:lang w:val="pt-BR"/>
        </w:rPr>
        <w:t xml:space="preserve">Leandro Cavalcanti de Albuquerque Leite Barros, </w:t>
      </w:r>
      <w:r w:rsidRPr="00E87351">
        <w:rPr>
          <w:rFonts w:ascii="Book Antiqua" w:eastAsia="Book Antiqua" w:hAnsi="Book Antiqua" w:cs="Book Antiqua"/>
          <w:color w:val="000000"/>
          <w:lang w:val="pt-BR"/>
        </w:rPr>
        <w:t xml:space="preserve">Department </w:t>
      </w:r>
      <w:r w:rsidRPr="00E87351">
        <w:rPr>
          <w:rFonts w:ascii="Book Antiqua" w:hAnsi="Book Antiqua" w:cs="Book Antiqua"/>
          <w:color w:val="000000"/>
          <w:lang w:val="pt-BR" w:eastAsia="zh-CN"/>
        </w:rPr>
        <w:t>of</w:t>
      </w:r>
      <w:r w:rsidRPr="00E87351">
        <w:rPr>
          <w:rFonts w:ascii="Book Antiqua" w:eastAsia="Book Antiqua" w:hAnsi="Book Antiqua" w:cs="Book Antiqua"/>
          <w:color w:val="000000"/>
          <w:lang w:val="pt-BR"/>
        </w:rPr>
        <w:t xml:space="preserve"> Hepatobiliary Surgery, Unioeste, Cascavel 85819-110, Paraná, Brazil</w:t>
      </w:r>
    </w:p>
    <w:p w14:paraId="48686DF9" w14:textId="77777777" w:rsidR="00703676" w:rsidRPr="00E87351" w:rsidRDefault="00703676">
      <w:pPr>
        <w:spacing w:line="360" w:lineRule="auto"/>
        <w:jc w:val="both"/>
        <w:rPr>
          <w:rFonts w:ascii="Book Antiqua" w:hAnsi="Book Antiqua"/>
          <w:lang w:val="pt-BR"/>
        </w:rPr>
      </w:pPr>
    </w:p>
    <w:p w14:paraId="694FBAE7"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t xml:space="preserve">Author contributions: </w:t>
      </w:r>
      <w:r w:rsidRPr="00E87351">
        <w:rPr>
          <w:rFonts w:ascii="Book Antiqua" w:eastAsia="Book Antiqua" w:hAnsi="Book Antiqua" w:cs="Book Antiqua"/>
          <w:color w:val="000000"/>
        </w:rPr>
        <w:t>Bredt LC, Peres LAB, Risso M, and Barros LCAL contributed equally to this study with regard to conception and design, literature review and analysis, manuscript drafting, critical revision, and editing, and</w:t>
      </w:r>
      <w:r w:rsidRPr="00E87351">
        <w:rPr>
          <w:rFonts w:ascii="Book Antiqua" w:hAnsi="Book Antiqua" w:cs="Book Antiqua"/>
          <w:color w:val="000000"/>
          <w:lang w:eastAsia="zh-CN"/>
        </w:rPr>
        <w:t xml:space="preserve"> </w:t>
      </w:r>
      <w:r w:rsidRPr="00E87351">
        <w:rPr>
          <w:rFonts w:ascii="Book Antiqua" w:eastAsia="Book Antiqua" w:hAnsi="Book Antiqua" w:cs="Book Antiqua"/>
          <w:color w:val="000000"/>
        </w:rPr>
        <w:t>approval of the final version.</w:t>
      </w:r>
    </w:p>
    <w:p w14:paraId="32C21AC4" w14:textId="77777777" w:rsidR="00703676" w:rsidRPr="00E87351" w:rsidRDefault="00703676">
      <w:pPr>
        <w:spacing w:line="360" w:lineRule="auto"/>
        <w:jc w:val="both"/>
        <w:rPr>
          <w:rFonts w:ascii="Book Antiqua" w:hAnsi="Book Antiqua"/>
        </w:rPr>
      </w:pPr>
    </w:p>
    <w:p w14:paraId="5B89ABCA"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lastRenderedPageBreak/>
        <w:t xml:space="preserve">Corresponding author: Luis Cesar Bredt, FRCS (Gen Surg), MD, PhD, Full Professor, Surgeon, </w:t>
      </w:r>
      <w:r w:rsidRPr="00E87351">
        <w:rPr>
          <w:rFonts w:ascii="Book Antiqua" w:eastAsia="Book Antiqua" w:hAnsi="Book Antiqua" w:cs="Book Antiqua"/>
          <w:color w:val="000000"/>
          <w:lang w:val="pt-BR"/>
        </w:rPr>
        <w:t xml:space="preserve">Department </w:t>
      </w:r>
      <w:r w:rsidRPr="00E87351">
        <w:rPr>
          <w:rFonts w:ascii="Book Antiqua" w:hAnsi="Book Antiqua" w:cs="Book Antiqua"/>
          <w:color w:val="000000"/>
          <w:lang w:val="pt-BR" w:eastAsia="zh-CN"/>
        </w:rPr>
        <w:t>of</w:t>
      </w:r>
      <w:r w:rsidRPr="00E87351">
        <w:rPr>
          <w:rFonts w:ascii="Book Antiqua" w:eastAsia="Book Antiqua" w:hAnsi="Book Antiqua" w:cs="Book Antiqua"/>
          <w:color w:val="000000"/>
        </w:rPr>
        <w:t xml:space="preserve"> Surgical Oncology and Hepatobilary Surgery, Unioeste, Tancredo Neves Avenue, Cascavel 85819-110, Paraná, Brazil. lcbredt@gmail.com</w:t>
      </w:r>
    </w:p>
    <w:p w14:paraId="4B905560" w14:textId="77777777" w:rsidR="00703676" w:rsidRPr="00E87351" w:rsidRDefault="00703676">
      <w:pPr>
        <w:spacing w:line="360" w:lineRule="auto"/>
        <w:jc w:val="both"/>
        <w:rPr>
          <w:rFonts w:ascii="Book Antiqua" w:hAnsi="Book Antiqua"/>
        </w:rPr>
      </w:pPr>
    </w:p>
    <w:p w14:paraId="7B281A6A"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t xml:space="preserve">Received: </w:t>
      </w:r>
      <w:r w:rsidRPr="00E87351">
        <w:rPr>
          <w:rFonts w:ascii="Book Antiqua" w:eastAsia="Book Antiqua" w:hAnsi="Book Antiqua" w:cs="Book Antiqua"/>
          <w:color w:val="000000"/>
        </w:rPr>
        <w:t>September 27, 2021</w:t>
      </w:r>
    </w:p>
    <w:p w14:paraId="4C8A4CD8" w14:textId="77777777" w:rsidR="00703676" w:rsidRPr="00E87351" w:rsidRDefault="00AA5AC6">
      <w:pPr>
        <w:spacing w:line="360" w:lineRule="auto"/>
        <w:jc w:val="both"/>
        <w:rPr>
          <w:rFonts w:ascii="Book Antiqua" w:hAnsi="Book Antiqua"/>
          <w:lang w:eastAsia="zh-CN"/>
        </w:rPr>
      </w:pPr>
      <w:r w:rsidRPr="00E87351">
        <w:rPr>
          <w:rFonts w:ascii="Book Antiqua" w:eastAsia="Book Antiqua" w:hAnsi="Book Antiqua" w:cs="Book Antiqua"/>
          <w:b/>
          <w:bCs/>
          <w:color w:val="000000"/>
        </w:rPr>
        <w:t xml:space="preserve">Revised: </w:t>
      </w:r>
      <w:r w:rsidRPr="00E87351">
        <w:rPr>
          <w:rFonts w:ascii="Book Antiqua" w:hAnsi="Book Antiqua" w:cs="Book Antiqua"/>
          <w:bCs/>
          <w:color w:val="000000"/>
          <w:lang w:eastAsia="zh-CN"/>
        </w:rPr>
        <w:t>December 10, 2021</w:t>
      </w:r>
    </w:p>
    <w:p w14:paraId="70B2C984" w14:textId="77777777" w:rsidR="00703676" w:rsidRPr="00E87351" w:rsidRDefault="00AA5AC6">
      <w:pPr>
        <w:spacing w:line="360" w:lineRule="auto"/>
        <w:jc w:val="both"/>
        <w:rPr>
          <w:rFonts w:ascii="Book Antiqua" w:hAnsi="Book Antiqua"/>
          <w:lang w:eastAsia="zh-CN"/>
        </w:rPr>
      </w:pPr>
      <w:r w:rsidRPr="00E87351">
        <w:rPr>
          <w:rFonts w:ascii="Book Antiqua" w:eastAsia="Book Antiqua" w:hAnsi="Book Antiqua" w:cs="Book Antiqua"/>
          <w:b/>
          <w:bCs/>
          <w:color w:val="000000"/>
        </w:rPr>
        <w:t xml:space="preserve">Accepted: </w:t>
      </w:r>
      <w:r w:rsidRPr="00E87351">
        <w:rPr>
          <w:rFonts w:ascii="Book Antiqua" w:eastAsia="Book Antiqua" w:hAnsi="Book Antiqua" w:cs="Book Antiqua"/>
          <w:color w:val="000000"/>
        </w:rPr>
        <w:t xml:space="preserve">February 16, 2022 </w:t>
      </w:r>
      <w:r w:rsidRPr="00E87351">
        <w:rPr>
          <w:rFonts w:ascii="Book Antiqua" w:eastAsia="Book Antiqua" w:hAnsi="Book Antiqua" w:cs="Book Antiqua"/>
          <w:b/>
          <w:bCs/>
          <w:color w:val="000000"/>
        </w:rPr>
        <w:t xml:space="preserve"> </w:t>
      </w:r>
    </w:p>
    <w:p w14:paraId="15E9BEFF" w14:textId="0418A889" w:rsidR="00703676" w:rsidRPr="00E87351" w:rsidRDefault="00AA5AC6">
      <w:pPr>
        <w:spacing w:line="360" w:lineRule="auto"/>
        <w:jc w:val="both"/>
        <w:rPr>
          <w:rFonts w:ascii="Book Antiqua" w:hAnsi="Book Antiqua"/>
          <w:lang w:eastAsia="zh-CN"/>
        </w:rPr>
      </w:pPr>
      <w:r w:rsidRPr="00E87351">
        <w:rPr>
          <w:rFonts w:ascii="Book Antiqua" w:eastAsia="Book Antiqua" w:hAnsi="Book Antiqua" w:cs="Book Antiqua"/>
          <w:b/>
          <w:bCs/>
          <w:color w:val="000000"/>
        </w:rPr>
        <w:t>Published online:</w:t>
      </w:r>
      <w:r w:rsidRPr="00CB4BC5">
        <w:rPr>
          <w:rFonts w:ascii="Book Antiqua" w:eastAsia="Book Antiqua" w:hAnsi="Book Antiqua" w:cs="Book Antiqua"/>
          <w:color w:val="000000"/>
        </w:rPr>
        <w:t xml:space="preserve"> </w:t>
      </w:r>
      <w:r w:rsidRPr="00E87351">
        <w:rPr>
          <w:rFonts w:ascii="Book Antiqua" w:eastAsia="Book Antiqua" w:hAnsi="Book Antiqua" w:cs="Book Antiqua" w:hint="eastAsia"/>
          <w:color w:val="000000"/>
        </w:rPr>
        <w:t xml:space="preserve">March </w:t>
      </w:r>
      <w:r w:rsidR="00CB4BC5" w:rsidRPr="00CB4BC5">
        <w:rPr>
          <w:rFonts w:ascii="Book Antiqua" w:eastAsia="Book Antiqua" w:hAnsi="Book Antiqua" w:cs="Book Antiqua" w:hint="eastAsia"/>
          <w:color w:val="000000"/>
        </w:rPr>
        <w:t>27</w:t>
      </w:r>
      <w:r w:rsidRPr="00E87351">
        <w:rPr>
          <w:rFonts w:ascii="Book Antiqua" w:eastAsia="Book Antiqua" w:hAnsi="Book Antiqua" w:cs="Book Antiqua" w:hint="eastAsia"/>
          <w:color w:val="000000"/>
        </w:rPr>
        <w:t xml:space="preserve"> 2022</w:t>
      </w:r>
    </w:p>
    <w:p w14:paraId="435101CC" w14:textId="77777777" w:rsidR="00703676" w:rsidRPr="00E87351" w:rsidRDefault="00703676">
      <w:pPr>
        <w:spacing w:line="360" w:lineRule="auto"/>
        <w:jc w:val="both"/>
        <w:rPr>
          <w:rFonts w:ascii="Book Antiqua" w:hAnsi="Book Antiqua"/>
        </w:rPr>
      </w:pPr>
    </w:p>
    <w:p w14:paraId="15BEBBB0" w14:textId="77777777" w:rsidR="00703676" w:rsidRPr="00E87351" w:rsidRDefault="00703676">
      <w:pPr>
        <w:spacing w:line="360" w:lineRule="auto"/>
        <w:jc w:val="both"/>
        <w:rPr>
          <w:rFonts w:ascii="Book Antiqua" w:hAnsi="Book Antiqua"/>
        </w:rPr>
        <w:sectPr w:rsidR="00703676" w:rsidRPr="00E87351">
          <w:footerReference w:type="default" r:id="rId7"/>
          <w:pgSz w:w="12240" w:h="15840"/>
          <w:pgMar w:top="1440" w:right="1440" w:bottom="1440" w:left="1440" w:header="720" w:footer="720" w:gutter="0"/>
          <w:cols w:space="720"/>
          <w:docGrid w:linePitch="360"/>
        </w:sectPr>
      </w:pPr>
    </w:p>
    <w:p w14:paraId="51331AD7"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lastRenderedPageBreak/>
        <w:t>Abstract</w:t>
      </w:r>
    </w:p>
    <w:p w14:paraId="30998405"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BACKGROUND</w:t>
      </w:r>
    </w:p>
    <w:p w14:paraId="0C6A8C76"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 xml:space="preserve">Acute kidney injury (AKI) has serious consequences on the prognosis of patients undergoing liver transplantation. Recently, artificial neural network (ANN) was reported to have better predictive ability than the classical logistic regression (LR) for this postoperative outcome. </w:t>
      </w:r>
    </w:p>
    <w:p w14:paraId="6E9B39C5" w14:textId="77777777" w:rsidR="00703676" w:rsidRPr="00E87351" w:rsidRDefault="00703676">
      <w:pPr>
        <w:spacing w:line="360" w:lineRule="auto"/>
        <w:jc w:val="both"/>
        <w:rPr>
          <w:rFonts w:ascii="Book Antiqua" w:hAnsi="Book Antiqua"/>
        </w:rPr>
      </w:pPr>
    </w:p>
    <w:p w14:paraId="54042F87"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AIM</w:t>
      </w:r>
    </w:p>
    <w:p w14:paraId="3FA03CB6" w14:textId="77777777" w:rsidR="00703676" w:rsidRPr="00E87351" w:rsidRDefault="00AA5AC6">
      <w:pPr>
        <w:spacing w:line="360" w:lineRule="auto"/>
        <w:jc w:val="both"/>
        <w:rPr>
          <w:rFonts w:ascii="Book Antiqua" w:hAnsi="Book Antiqua"/>
        </w:rPr>
      </w:pPr>
      <w:r w:rsidRPr="00E87351">
        <w:rPr>
          <w:rFonts w:ascii="Book Antiqua" w:hAnsi="Book Antiqua" w:cs="Book Antiqua"/>
          <w:color w:val="000000"/>
          <w:lang w:eastAsia="zh-CN"/>
        </w:rPr>
        <w:t>To i</w:t>
      </w:r>
      <w:r w:rsidRPr="00E87351">
        <w:rPr>
          <w:rFonts w:ascii="Book Antiqua" w:eastAsia="Book Antiqua" w:hAnsi="Book Antiqua" w:cs="Book Antiqua"/>
          <w:color w:val="000000"/>
        </w:rPr>
        <w:t xml:space="preserve">dentify the risk factors of AKI after deceased-donor liver transplantation (DDLT) and compare the prediction performance of ANN with that of LR for this complication. </w:t>
      </w:r>
    </w:p>
    <w:p w14:paraId="0145F6D3" w14:textId="77777777" w:rsidR="00703676" w:rsidRPr="00E87351" w:rsidRDefault="00703676">
      <w:pPr>
        <w:spacing w:line="360" w:lineRule="auto"/>
        <w:jc w:val="both"/>
        <w:rPr>
          <w:rFonts w:ascii="Book Antiqua" w:hAnsi="Book Antiqua"/>
        </w:rPr>
      </w:pPr>
    </w:p>
    <w:p w14:paraId="741AB4EC"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METHODS</w:t>
      </w:r>
    </w:p>
    <w:p w14:paraId="3F9BAB63"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 xml:space="preserve">Adult patients with no evidence of end-stage kidney dysfunction (KD) who underwent the first DDLT according to model for end-stage liver disease (MELD) score allocation system was evaluated. AKI was defined according to the International Club of Ascites criteria, and potential predictors of postoperative AKI were identified by LR. The prediction performance of both ANN and LR was tested. </w:t>
      </w:r>
    </w:p>
    <w:p w14:paraId="520AB853" w14:textId="77777777" w:rsidR="00703676" w:rsidRPr="00E87351" w:rsidRDefault="00703676">
      <w:pPr>
        <w:spacing w:line="360" w:lineRule="auto"/>
        <w:jc w:val="both"/>
        <w:rPr>
          <w:rFonts w:ascii="Book Antiqua" w:hAnsi="Book Antiqua"/>
        </w:rPr>
      </w:pPr>
    </w:p>
    <w:p w14:paraId="004E2D4F"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RESULTS</w:t>
      </w:r>
    </w:p>
    <w:p w14:paraId="522CEB6B"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The incidence of AKI was 60.6% (</w:t>
      </w:r>
      <w:r w:rsidRPr="00E87351">
        <w:rPr>
          <w:rFonts w:ascii="Book Antiqua" w:eastAsia="Book Antiqua" w:hAnsi="Book Antiqua" w:cs="Book Antiqua"/>
          <w:i/>
          <w:iCs/>
          <w:color w:val="000000"/>
        </w:rPr>
        <w:t>n</w:t>
      </w:r>
      <w:r w:rsidRPr="00E87351">
        <w:rPr>
          <w:rFonts w:ascii="Book Antiqua" w:eastAsia="Book Antiqua" w:hAnsi="Book Antiqua" w:cs="Book Antiqua"/>
          <w:color w:val="000000"/>
        </w:rPr>
        <w:t xml:space="preserve"> = 88/145) and the following predictors were identified by LR: MELD score &gt; 25 (odds ratio [OR] = 1.999), preoperative kidney dysfunction (OR = 1.279), extended criteria donors (OR = 1.191), intraoperative arterial hypotension (OR = 1.935), intraoperative massive blood transfusion (MBT) (OR = 1.830), and postoperative serum lactate (SL) (OR = 2.001). The area under the receiver-operating characteristic curve was best for ANN (0.81, 95% confidence interval [CI]: 0.75-0.83) than for LR (0.71, 95%CI: 0.67-0.76). The root-mean-square error and mean absolute error in the ANN model were 0.47 and 0.38, respectively. </w:t>
      </w:r>
    </w:p>
    <w:p w14:paraId="205038CC" w14:textId="77777777" w:rsidR="00703676" w:rsidRPr="00E87351" w:rsidRDefault="00703676">
      <w:pPr>
        <w:spacing w:line="360" w:lineRule="auto"/>
        <w:jc w:val="both"/>
        <w:rPr>
          <w:rFonts w:ascii="Book Antiqua" w:hAnsi="Book Antiqua"/>
        </w:rPr>
      </w:pPr>
    </w:p>
    <w:p w14:paraId="409FB291"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CONCLUSION</w:t>
      </w:r>
    </w:p>
    <w:p w14:paraId="499230F4"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lastRenderedPageBreak/>
        <w:t>The severity of liver disease, pre-existing kidney dysfunction, marginal grafts, hemodynamic instability, MBT, and SL are predictors</w:t>
      </w:r>
      <w:r w:rsidRPr="00E87351">
        <w:rPr>
          <w:rFonts w:ascii="Book Antiqua" w:eastAsia="Book Antiqua" w:hAnsi="Book Antiqua" w:cs="Book Antiqua"/>
          <w:b/>
          <w:bCs/>
          <w:color w:val="000000"/>
        </w:rPr>
        <w:t xml:space="preserve"> </w:t>
      </w:r>
      <w:r w:rsidRPr="00E87351">
        <w:rPr>
          <w:rFonts w:ascii="Book Antiqua" w:eastAsia="Book Antiqua" w:hAnsi="Book Antiqua" w:cs="Book Antiqua"/>
          <w:color w:val="000000"/>
        </w:rPr>
        <w:t>of postoperative AKI, and ANN has better prediction performance than LR in this scenario.</w:t>
      </w:r>
    </w:p>
    <w:p w14:paraId="086CD709" w14:textId="77777777" w:rsidR="00703676" w:rsidRPr="00E87351" w:rsidRDefault="00703676">
      <w:pPr>
        <w:spacing w:line="360" w:lineRule="auto"/>
        <w:jc w:val="both"/>
        <w:rPr>
          <w:rFonts w:ascii="Book Antiqua" w:hAnsi="Book Antiqua"/>
        </w:rPr>
      </w:pPr>
    </w:p>
    <w:p w14:paraId="5282384E"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t xml:space="preserve">Key Words: </w:t>
      </w:r>
      <w:r w:rsidRPr="00E87351">
        <w:rPr>
          <w:rFonts w:ascii="Book Antiqua" w:hAnsi="Book Antiqua" w:cs="Book Antiqua"/>
          <w:color w:val="000000"/>
          <w:lang w:eastAsia="zh-CN"/>
        </w:rPr>
        <w:t>L</w:t>
      </w:r>
      <w:r w:rsidRPr="00E87351">
        <w:rPr>
          <w:rFonts w:ascii="Book Antiqua" w:eastAsia="Book Antiqua" w:hAnsi="Book Antiqua" w:cs="Book Antiqua"/>
          <w:color w:val="000000"/>
        </w:rPr>
        <w:t xml:space="preserve">ogistic regression; </w:t>
      </w:r>
      <w:r w:rsidRPr="00E87351">
        <w:rPr>
          <w:rFonts w:ascii="Book Antiqua" w:hAnsi="Book Antiqua" w:cs="Book Antiqua"/>
          <w:color w:val="000000"/>
          <w:lang w:eastAsia="zh-CN"/>
        </w:rPr>
        <w:t>L</w:t>
      </w:r>
      <w:r w:rsidRPr="00E87351">
        <w:rPr>
          <w:rFonts w:ascii="Book Antiqua" w:eastAsia="Book Antiqua" w:hAnsi="Book Antiqua" w:cs="Book Antiqua"/>
          <w:color w:val="000000"/>
        </w:rPr>
        <w:t xml:space="preserve">iver transplantation; </w:t>
      </w:r>
      <w:r w:rsidRPr="00E87351">
        <w:rPr>
          <w:rFonts w:ascii="Book Antiqua" w:hAnsi="Book Antiqua" w:cs="Book Antiqua"/>
          <w:color w:val="000000"/>
          <w:lang w:eastAsia="zh-CN"/>
        </w:rPr>
        <w:t>A</w:t>
      </w:r>
      <w:r w:rsidRPr="00E87351">
        <w:rPr>
          <w:rFonts w:ascii="Book Antiqua" w:eastAsia="Book Antiqua" w:hAnsi="Book Antiqua" w:cs="Book Antiqua"/>
          <w:color w:val="000000"/>
        </w:rPr>
        <w:t xml:space="preserve">cute kidney injury; </w:t>
      </w:r>
      <w:r w:rsidRPr="00E87351">
        <w:rPr>
          <w:rFonts w:ascii="Book Antiqua" w:hAnsi="Book Antiqua" w:cs="Book Antiqua"/>
          <w:color w:val="000000"/>
          <w:lang w:eastAsia="zh-CN"/>
        </w:rPr>
        <w:t>M</w:t>
      </w:r>
      <w:r w:rsidRPr="00E87351">
        <w:rPr>
          <w:rFonts w:ascii="Book Antiqua" w:eastAsia="Book Antiqua" w:hAnsi="Book Antiqua" w:cs="Book Antiqua"/>
          <w:color w:val="000000"/>
        </w:rPr>
        <w:t xml:space="preserve">achine learning; </w:t>
      </w:r>
      <w:r w:rsidRPr="00E87351">
        <w:rPr>
          <w:rFonts w:ascii="Book Antiqua" w:hAnsi="Book Antiqua" w:cs="Book Antiqua"/>
          <w:color w:val="000000"/>
          <w:lang w:eastAsia="zh-CN"/>
        </w:rPr>
        <w:t>A</w:t>
      </w:r>
      <w:r w:rsidRPr="00E87351">
        <w:rPr>
          <w:rFonts w:ascii="Book Antiqua" w:eastAsia="Book Antiqua" w:hAnsi="Book Antiqua" w:cs="Book Antiqua"/>
          <w:color w:val="000000"/>
        </w:rPr>
        <w:t>rtificial neural network</w:t>
      </w:r>
    </w:p>
    <w:p w14:paraId="68B6DF7A" w14:textId="77777777" w:rsidR="00703676" w:rsidRPr="00E87351" w:rsidRDefault="00703676">
      <w:pPr>
        <w:spacing w:line="360" w:lineRule="auto"/>
        <w:jc w:val="both"/>
        <w:rPr>
          <w:rFonts w:ascii="Book Antiqua" w:hAnsi="Book Antiqua"/>
        </w:rPr>
      </w:pPr>
    </w:p>
    <w:p w14:paraId="02A87D46" w14:textId="77777777" w:rsidR="002E641A" w:rsidRPr="00E87351" w:rsidRDefault="002E641A" w:rsidP="002E641A">
      <w:pPr>
        <w:spacing w:line="360" w:lineRule="auto"/>
        <w:rPr>
          <w:rFonts w:ascii="Book Antiqua" w:eastAsia="Book Antiqua" w:hAnsi="Book Antiqua" w:cs="Book Antiqua"/>
          <w:color w:val="000000"/>
        </w:rPr>
      </w:pPr>
      <w:bookmarkStart w:id="0" w:name="_Hlk85017019"/>
      <w:r w:rsidRPr="00E87351">
        <w:rPr>
          <w:rFonts w:ascii="Book Antiqua" w:eastAsia="Book Antiqua" w:hAnsi="Book Antiqua" w:cs="Book Antiqua"/>
          <w:b/>
          <w:color w:val="000000"/>
        </w:rPr>
        <w:t>©The</w:t>
      </w:r>
      <w:r w:rsidRPr="00E87351">
        <w:rPr>
          <w:rFonts w:ascii="Book Antiqua" w:eastAsia="Book Antiqua" w:hAnsi="Book Antiqua" w:cs="Book Antiqua"/>
          <w:color w:val="000000"/>
        </w:rPr>
        <w:t xml:space="preserve"> </w:t>
      </w:r>
      <w:r w:rsidRPr="00E87351">
        <w:rPr>
          <w:rFonts w:ascii="Book Antiqua" w:eastAsia="Book Antiqua" w:hAnsi="Book Antiqua" w:cs="Book Antiqua"/>
          <w:b/>
          <w:color w:val="000000"/>
        </w:rPr>
        <w:t xml:space="preserve">Author(s) 2022. </w:t>
      </w:r>
      <w:r w:rsidRPr="00E87351">
        <w:rPr>
          <w:rFonts w:ascii="Book Antiqua" w:eastAsia="Book Antiqua" w:hAnsi="Book Antiqua" w:cs="Book Antiqua"/>
          <w:color w:val="000000"/>
        </w:rPr>
        <w:t xml:space="preserve">Published by Baishideng Publishing Group Inc. All rights reserved. </w:t>
      </w:r>
    </w:p>
    <w:p w14:paraId="14DA8EBE" w14:textId="77777777" w:rsidR="002E641A" w:rsidRPr="00E87351" w:rsidRDefault="002E641A" w:rsidP="002E641A">
      <w:pPr>
        <w:adjustRightInd w:val="0"/>
        <w:snapToGrid w:val="0"/>
        <w:spacing w:line="360" w:lineRule="auto"/>
        <w:rPr>
          <w:rFonts w:ascii="Book Antiqua" w:hAnsi="Book Antiqua"/>
        </w:rPr>
      </w:pPr>
    </w:p>
    <w:p w14:paraId="778EFF2B" w14:textId="5F853DE8" w:rsidR="002E641A" w:rsidRPr="00E87351" w:rsidRDefault="002E641A" w:rsidP="002E641A">
      <w:pPr>
        <w:spacing w:line="360" w:lineRule="auto"/>
        <w:jc w:val="both"/>
        <w:rPr>
          <w:rFonts w:ascii="Book Antiqua" w:eastAsia="Book Antiqua" w:hAnsi="Book Antiqua" w:cs="Book Antiqua"/>
          <w:color w:val="000000"/>
        </w:rPr>
      </w:pPr>
      <w:r w:rsidRPr="00E87351">
        <w:rPr>
          <w:rFonts w:ascii="Book Antiqua" w:hAnsi="Book Antiqua"/>
          <w:b/>
          <w:bCs/>
        </w:rPr>
        <w:t>Citation:</w:t>
      </w:r>
      <w:bookmarkEnd w:id="0"/>
      <w:r w:rsidRPr="00E87351">
        <w:rPr>
          <w:rFonts w:ascii="Book Antiqua" w:hAnsi="Book Antiqua"/>
          <w:b/>
          <w:bCs/>
        </w:rPr>
        <w:t xml:space="preserve"> </w:t>
      </w:r>
      <w:r w:rsidR="00AA5AC6" w:rsidRPr="00E87351">
        <w:rPr>
          <w:rFonts w:ascii="Book Antiqua" w:eastAsia="Book Antiqua" w:hAnsi="Book Antiqua" w:cs="Book Antiqua"/>
          <w:color w:val="000000"/>
          <w:lang w:val="pt-BR"/>
        </w:rPr>
        <w:t xml:space="preserve">Bredt LC, Peres LAB, Risso M, Barros LCAL. </w:t>
      </w:r>
      <w:r w:rsidR="00AA5AC6" w:rsidRPr="00E87351">
        <w:rPr>
          <w:rFonts w:ascii="Book Antiqua" w:eastAsia="Book Antiqua" w:hAnsi="Book Antiqua" w:cs="Book Antiqua"/>
          <w:color w:val="000000"/>
        </w:rPr>
        <w:t xml:space="preserve">Risk factors and prediction of acute kidney injury after liver transplantation: Logistic regression and artificial neural network approaches. </w:t>
      </w:r>
      <w:r w:rsidR="00AA5AC6" w:rsidRPr="00E87351">
        <w:rPr>
          <w:rFonts w:ascii="Book Antiqua" w:eastAsia="Book Antiqua" w:hAnsi="Book Antiqua" w:cs="Book Antiqua"/>
          <w:i/>
          <w:iCs/>
          <w:color w:val="000000"/>
        </w:rPr>
        <w:t>World J Hepatol</w:t>
      </w:r>
      <w:r w:rsidR="00AA5AC6" w:rsidRPr="00E87351">
        <w:rPr>
          <w:rFonts w:ascii="Book Antiqua" w:eastAsia="Book Antiqua" w:hAnsi="Book Antiqua" w:cs="Book Antiqua"/>
          <w:color w:val="000000"/>
        </w:rPr>
        <w:t xml:space="preserve"> 202</w:t>
      </w:r>
      <w:r w:rsidR="00AA5AC6" w:rsidRPr="00E87351">
        <w:rPr>
          <w:rFonts w:ascii="Book Antiqua" w:hAnsi="Book Antiqua" w:cs="Book Antiqua" w:hint="eastAsia"/>
          <w:color w:val="000000"/>
          <w:lang w:eastAsia="zh-CN"/>
        </w:rPr>
        <w:t>2</w:t>
      </w:r>
      <w:r w:rsidR="00AA5AC6" w:rsidRPr="00E87351">
        <w:rPr>
          <w:rFonts w:ascii="Book Antiqua" w:eastAsia="Book Antiqua" w:hAnsi="Book Antiqua" w:cs="Book Antiqua"/>
          <w:color w:val="000000"/>
        </w:rPr>
        <w:t>;</w:t>
      </w:r>
      <w:r w:rsidR="00AA5AC6" w:rsidRPr="00E87351">
        <w:rPr>
          <w:rFonts w:ascii="Book Antiqua" w:eastAsia="Book Antiqua" w:hAnsi="Book Antiqua" w:cs="Book Antiqua" w:hint="eastAsia"/>
          <w:color w:val="000000"/>
        </w:rPr>
        <w:t xml:space="preserve"> 13(2): </w:t>
      </w:r>
      <w:r w:rsidRPr="00E87351">
        <w:rPr>
          <w:rFonts w:ascii="Book Antiqua" w:eastAsia="Book Antiqua" w:hAnsi="Book Antiqua" w:cs="Book Antiqua"/>
          <w:color w:val="000000"/>
        </w:rPr>
        <w:t>570-582</w:t>
      </w:r>
      <w:r w:rsidR="00AA5AC6" w:rsidRPr="00E87351">
        <w:rPr>
          <w:rFonts w:ascii="Book Antiqua" w:eastAsia="Book Antiqua" w:hAnsi="Book Antiqua" w:cs="Book Antiqua" w:hint="eastAsia"/>
          <w:color w:val="000000"/>
        </w:rPr>
        <w:t xml:space="preserve"> </w:t>
      </w:r>
    </w:p>
    <w:p w14:paraId="02D9FF07" w14:textId="01641C9C" w:rsidR="002E641A" w:rsidRPr="00E87351" w:rsidRDefault="00AA5AC6" w:rsidP="002E641A">
      <w:pPr>
        <w:spacing w:line="360" w:lineRule="auto"/>
        <w:jc w:val="both"/>
        <w:rPr>
          <w:rFonts w:ascii="Book Antiqua" w:eastAsia="Book Antiqua" w:hAnsi="Book Antiqua" w:cs="Book Antiqua"/>
          <w:color w:val="000000"/>
        </w:rPr>
      </w:pPr>
      <w:r w:rsidRPr="00E87351">
        <w:rPr>
          <w:rFonts w:ascii="Book Antiqua" w:eastAsia="Book Antiqua" w:hAnsi="Book Antiqua" w:cs="Book Antiqua" w:hint="eastAsia"/>
          <w:b/>
          <w:bCs/>
          <w:color w:val="000000"/>
        </w:rPr>
        <w:t xml:space="preserve">URL: </w:t>
      </w:r>
      <w:r w:rsidR="002E641A" w:rsidRPr="00E87351">
        <w:rPr>
          <w:rFonts w:ascii="Book Antiqua" w:eastAsia="Book Antiqua" w:hAnsi="Book Antiqua" w:cs="Book Antiqua" w:hint="eastAsia"/>
          <w:color w:val="000000"/>
        </w:rPr>
        <w:t>https://www.wjgnet.com/</w:t>
      </w:r>
      <w:r w:rsidR="007B195A" w:rsidRPr="00B141E8">
        <w:rPr>
          <w:rFonts w:ascii="Book Antiqua" w:eastAsia="Book Antiqua" w:hAnsi="Book Antiqua" w:cs="Book Antiqua"/>
          <w:lang w:val="pt-BR"/>
        </w:rPr>
        <w:t>1948-518</w:t>
      </w:r>
      <w:r w:rsidR="007B195A" w:rsidRPr="007B195A">
        <w:rPr>
          <w:rFonts w:ascii="Book Antiqua" w:eastAsia="Book Antiqua" w:hAnsi="Book Antiqua" w:cs="Book Antiqua"/>
          <w:color w:val="000000"/>
        </w:rPr>
        <w:t>2</w:t>
      </w:r>
      <w:r w:rsidR="002E641A" w:rsidRPr="00E87351">
        <w:rPr>
          <w:rFonts w:ascii="Book Antiqua" w:eastAsia="Book Antiqua" w:hAnsi="Book Antiqua" w:cs="Book Antiqua" w:hint="eastAsia"/>
          <w:color w:val="000000"/>
        </w:rPr>
        <w:t>/full/v1</w:t>
      </w:r>
      <w:r w:rsidR="007B195A" w:rsidRPr="007B195A">
        <w:rPr>
          <w:rFonts w:ascii="Book Antiqua" w:eastAsia="Book Antiqua" w:hAnsi="Book Antiqua" w:cs="Book Antiqua" w:hint="eastAsia"/>
          <w:color w:val="000000"/>
        </w:rPr>
        <w:t>4</w:t>
      </w:r>
      <w:r w:rsidR="002E641A" w:rsidRPr="00E87351">
        <w:rPr>
          <w:rFonts w:ascii="Book Antiqua" w:eastAsia="Book Antiqua" w:hAnsi="Book Antiqua" w:cs="Book Antiqua" w:hint="eastAsia"/>
          <w:color w:val="000000"/>
        </w:rPr>
        <w:t>/i</w:t>
      </w:r>
      <w:r w:rsidR="007B195A" w:rsidRPr="007B195A">
        <w:rPr>
          <w:rFonts w:ascii="Book Antiqua" w:eastAsia="Book Antiqua" w:hAnsi="Book Antiqua" w:cs="Book Antiqua" w:hint="eastAsia"/>
          <w:color w:val="000000"/>
        </w:rPr>
        <w:t>3</w:t>
      </w:r>
      <w:r w:rsidR="002E641A" w:rsidRPr="00E87351">
        <w:rPr>
          <w:rFonts w:ascii="Book Antiqua" w:eastAsia="Book Antiqua" w:hAnsi="Book Antiqua" w:cs="Book Antiqua" w:hint="eastAsia"/>
          <w:color w:val="000000"/>
        </w:rPr>
        <w:t>/</w:t>
      </w:r>
      <w:r w:rsidR="002E641A" w:rsidRPr="00E87351">
        <w:rPr>
          <w:rFonts w:ascii="Book Antiqua" w:eastAsia="Book Antiqua" w:hAnsi="Book Antiqua" w:cs="Book Antiqua"/>
          <w:color w:val="000000"/>
        </w:rPr>
        <w:t>570</w:t>
      </w:r>
      <w:r w:rsidR="002E641A" w:rsidRPr="00E87351">
        <w:rPr>
          <w:rFonts w:ascii="Book Antiqua" w:eastAsia="Book Antiqua" w:hAnsi="Book Antiqua" w:cs="Book Antiqua" w:hint="eastAsia"/>
          <w:color w:val="000000"/>
        </w:rPr>
        <w:t>.htm</w:t>
      </w:r>
      <w:r w:rsidRPr="00E87351">
        <w:rPr>
          <w:rFonts w:ascii="Book Antiqua" w:eastAsia="Book Antiqua" w:hAnsi="Book Antiqua" w:cs="Book Antiqua" w:hint="eastAsia"/>
          <w:color w:val="000000"/>
        </w:rPr>
        <w:t xml:space="preserve"> </w:t>
      </w:r>
    </w:p>
    <w:p w14:paraId="4AA82EAD" w14:textId="5A390FA3" w:rsidR="00703676" w:rsidRPr="00E87351" w:rsidRDefault="00AA5AC6" w:rsidP="002E641A">
      <w:pPr>
        <w:spacing w:line="360" w:lineRule="auto"/>
        <w:jc w:val="both"/>
        <w:rPr>
          <w:rFonts w:ascii="Book Antiqua" w:eastAsia="Book Antiqua" w:hAnsi="Book Antiqua" w:cs="Book Antiqua"/>
          <w:color w:val="000000"/>
        </w:rPr>
      </w:pPr>
      <w:r w:rsidRPr="00E87351">
        <w:rPr>
          <w:rFonts w:ascii="Book Antiqua" w:eastAsia="Book Antiqua" w:hAnsi="Book Antiqua" w:cs="Book Antiqua" w:hint="eastAsia"/>
          <w:b/>
          <w:bCs/>
          <w:color w:val="000000"/>
        </w:rPr>
        <w:t>DOI:</w:t>
      </w:r>
      <w:r w:rsidRPr="00E87351">
        <w:rPr>
          <w:rFonts w:ascii="Book Antiqua" w:eastAsia="Book Antiqua" w:hAnsi="Book Antiqua" w:cs="Book Antiqua" w:hint="eastAsia"/>
          <w:color w:val="000000"/>
        </w:rPr>
        <w:t xml:space="preserve"> https://dx.doi.org/</w:t>
      </w:r>
      <w:r w:rsidR="007B195A" w:rsidRPr="00B141E8">
        <w:rPr>
          <w:rFonts w:ascii="Book Antiqua" w:eastAsia="Book Antiqua" w:hAnsi="Book Antiqua" w:cs="Book Antiqua"/>
          <w:lang w:val="pt-BR"/>
        </w:rPr>
        <w:t>10.4254/wjh</w:t>
      </w:r>
      <w:r w:rsidRPr="00E87351">
        <w:rPr>
          <w:rFonts w:ascii="Book Antiqua" w:eastAsia="Book Antiqua" w:hAnsi="Book Antiqua" w:cs="Book Antiqua" w:hint="eastAsia"/>
          <w:color w:val="000000"/>
        </w:rPr>
        <w:t>.v1</w:t>
      </w:r>
      <w:r w:rsidR="007B195A" w:rsidRPr="007B195A">
        <w:rPr>
          <w:rFonts w:ascii="Book Antiqua" w:eastAsia="Book Antiqua" w:hAnsi="Book Antiqua" w:cs="Book Antiqua" w:hint="eastAsia"/>
          <w:color w:val="000000"/>
        </w:rPr>
        <w:t>4</w:t>
      </w:r>
      <w:r w:rsidRPr="00E87351">
        <w:rPr>
          <w:rFonts w:ascii="Book Antiqua" w:eastAsia="Book Antiqua" w:hAnsi="Book Antiqua" w:cs="Book Antiqua" w:hint="eastAsia"/>
          <w:color w:val="000000"/>
        </w:rPr>
        <w:t>.i</w:t>
      </w:r>
      <w:r w:rsidR="007B195A" w:rsidRPr="007B195A">
        <w:rPr>
          <w:rFonts w:ascii="Book Antiqua" w:eastAsia="Book Antiqua" w:hAnsi="Book Antiqua" w:cs="Book Antiqua" w:hint="eastAsia"/>
          <w:color w:val="000000"/>
        </w:rPr>
        <w:t>3</w:t>
      </w:r>
      <w:r w:rsidRPr="00E87351">
        <w:rPr>
          <w:rFonts w:ascii="Book Antiqua" w:eastAsia="Book Antiqua" w:hAnsi="Book Antiqua" w:cs="Book Antiqua" w:hint="eastAsia"/>
          <w:color w:val="000000"/>
        </w:rPr>
        <w:t>.</w:t>
      </w:r>
      <w:r w:rsidR="002E641A" w:rsidRPr="00E87351">
        <w:rPr>
          <w:rFonts w:ascii="Book Antiqua" w:eastAsia="Book Antiqua" w:hAnsi="Book Antiqua" w:cs="Book Antiqua"/>
          <w:color w:val="000000"/>
        </w:rPr>
        <w:t>570</w:t>
      </w:r>
    </w:p>
    <w:p w14:paraId="52CE872E" w14:textId="77777777" w:rsidR="00703676" w:rsidRPr="00E87351" w:rsidRDefault="00703676">
      <w:pPr>
        <w:spacing w:line="360" w:lineRule="auto"/>
        <w:jc w:val="both"/>
        <w:rPr>
          <w:rFonts w:ascii="Book Antiqua" w:hAnsi="Book Antiqua"/>
        </w:rPr>
      </w:pPr>
    </w:p>
    <w:p w14:paraId="5824C727"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t xml:space="preserve">Core Tip: </w:t>
      </w:r>
      <w:r w:rsidRPr="00E87351">
        <w:rPr>
          <w:rFonts w:ascii="Book Antiqua" w:eastAsia="Book Antiqua" w:hAnsi="Book Antiqua" w:cs="Book Antiqua"/>
          <w:color w:val="000000"/>
        </w:rPr>
        <w:t xml:space="preserve">This study aimed to identify the risk factors of acute kidney injury (AKI) after deceased-donor liver transplantation and compare the performance of artificial neural network (ANN) with that of logistic regression (LR) analysis to predict this complication. LR analysis revealed the following predictors of AKI: </w:t>
      </w:r>
      <w:r w:rsidRPr="00E87351">
        <w:rPr>
          <w:rFonts w:ascii="Book Antiqua" w:hAnsi="Book Antiqua" w:cs="Book Antiqua"/>
          <w:color w:val="000000"/>
          <w:lang w:eastAsia="zh-CN"/>
        </w:rPr>
        <w:t>P</w:t>
      </w:r>
      <w:r w:rsidRPr="00E87351">
        <w:rPr>
          <w:rFonts w:ascii="Book Antiqua" w:eastAsia="Book Antiqua" w:hAnsi="Book Antiqua" w:cs="Book Antiqua"/>
          <w:color w:val="000000"/>
        </w:rPr>
        <w:t>revious kidney dysfunction, marginal grafts, intra-operative arterial hypotension, massive blood transfusion, and serum lactate. ANN prediction had better performance than LR in this scenario.</w:t>
      </w:r>
    </w:p>
    <w:p w14:paraId="15F8FC09" w14:textId="77777777" w:rsidR="00703676" w:rsidRPr="00E87351" w:rsidRDefault="00703676">
      <w:pPr>
        <w:spacing w:line="360" w:lineRule="auto"/>
        <w:jc w:val="both"/>
        <w:rPr>
          <w:rFonts w:ascii="Book Antiqua" w:hAnsi="Book Antiqua"/>
        </w:rPr>
      </w:pPr>
    </w:p>
    <w:p w14:paraId="0BE9A915" w14:textId="77777777" w:rsidR="00703676" w:rsidRPr="00E87351" w:rsidRDefault="00AA5AC6">
      <w:pPr>
        <w:spacing w:line="360" w:lineRule="auto"/>
        <w:jc w:val="both"/>
        <w:rPr>
          <w:rFonts w:ascii="Book Antiqua" w:eastAsia="Book Antiqua" w:hAnsi="Book Antiqua" w:cs="Book Antiqua"/>
          <w:b/>
          <w:caps/>
          <w:color w:val="000000"/>
          <w:u w:val="single"/>
        </w:rPr>
      </w:pPr>
      <w:r w:rsidRPr="00E87351">
        <w:rPr>
          <w:rFonts w:ascii="Book Antiqua" w:eastAsia="Book Antiqua" w:hAnsi="Book Antiqua" w:cs="Book Antiqua"/>
          <w:b/>
          <w:caps/>
          <w:color w:val="000000"/>
          <w:u w:val="single"/>
        </w:rPr>
        <w:br w:type="page"/>
      </w:r>
    </w:p>
    <w:p w14:paraId="1E084CDE"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aps/>
          <w:color w:val="000000"/>
          <w:u w:val="single"/>
        </w:rPr>
        <w:lastRenderedPageBreak/>
        <w:t>INTRODUCTION</w:t>
      </w:r>
    </w:p>
    <w:p w14:paraId="3F79AA01" w14:textId="77777777" w:rsidR="00703676" w:rsidRPr="00E87351" w:rsidRDefault="00AA5AC6">
      <w:pPr>
        <w:pStyle w:val="ab"/>
        <w:spacing w:before="0" w:beforeAutospacing="0" w:after="0" w:afterAutospacing="0" w:line="360" w:lineRule="auto"/>
        <w:jc w:val="both"/>
        <w:rPr>
          <w:rFonts w:ascii="Book Antiqua" w:hAnsi="Book Antiqua" w:cs="Arial"/>
          <w:lang w:val="en-US"/>
        </w:rPr>
      </w:pPr>
      <w:r w:rsidRPr="00E87351">
        <w:rPr>
          <w:rFonts w:ascii="Book Antiqua" w:eastAsia="Book Antiqua" w:hAnsi="Book Antiqua" w:cs="Book Antiqua"/>
          <w:color w:val="000000"/>
          <w:lang w:val="en-US"/>
        </w:rPr>
        <w:t>Among the possible complications of complex abdominal and liver procedures, acute kidney injury (AKI) should be considered a major cause of postoperative morbidity and mortality</w:t>
      </w:r>
      <w:r w:rsidRPr="00E87351">
        <w:rPr>
          <w:rFonts w:ascii="Book Antiqua" w:eastAsia="Book Antiqua" w:hAnsi="Book Antiqua" w:cs="Book Antiqua"/>
          <w:color w:val="000000"/>
          <w:vertAlign w:val="superscript"/>
          <w:lang w:val="en-US"/>
        </w:rPr>
        <w:t>[</w:t>
      </w:r>
      <w:r w:rsidRPr="00E87351">
        <w:rPr>
          <w:rStyle w:val="cf01"/>
          <w:rFonts w:ascii="Book Antiqua" w:hAnsi="Book Antiqua" w:cs="Tahoma"/>
          <w:sz w:val="24"/>
          <w:szCs w:val="24"/>
          <w:vertAlign w:val="superscript"/>
          <w:lang w:val="en-US"/>
        </w:rPr>
        <w:t>1-6]</w:t>
      </w:r>
      <w:r w:rsidRPr="00E87351">
        <w:rPr>
          <w:rStyle w:val="cf01"/>
          <w:rFonts w:ascii="Book Antiqua" w:hAnsi="Book Antiqua" w:cs="Tahoma"/>
          <w:sz w:val="24"/>
          <w:szCs w:val="24"/>
          <w:lang w:val="en-US"/>
        </w:rPr>
        <w:t xml:space="preserve">. </w:t>
      </w:r>
      <w:r w:rsidRPr="00E87351">
        <w:rPr>
          <w:rFonts w:ascii="Book Antiqua" w:eastAsia="Book Antiqua" w:hAnsi="Book Antiqua" w:cs="Book Antiqua"/>
          <w:color w:val="000000"/>
          <w:lang w:val="en-US"/>
        </w:rPr>
        <w:t xml:space="preserve">Updated data report </w:t>
      </w:r>
      <w:r w:rsidRPr="00E87351">
        <w:rPr>
          <w:rFonts w:ascii="Book Antiqua" w:eastAsia="Book Antiqua" w:hAnsi="Book Antiqua" w:cs="Book Antiqua"/>
          <w:color w:val="000000" w:themeColor="text1"/>
          <w:lang w:val="en-US"/>
        </w:rPr>
        <w:t>a 0.9%</w:t>
      </w:r>
      <w:r w:rsidRPr="00E87351">
        <w:rPr>
          <w:rFonts w:ascii="Book Antiqua" w:hAnsi="Book Antiqua" w:cs="Book Antiqua"/>
          <w:color w:val="000000" w:themeColor="text1"/>
          <w:lang w:val="en-US" w:eastAsia="zh-CN"/>
        </w:rPr>
        <w:t>-</w:t>
      </w:r>
      <w:r w:rsidRPr="00E87351">
        <w:rPr>
          <w:rFonts w:ascii="Book Antiqua" w:eastAsia="Book Antiqua" w:hAnsi="Book Antiqua" w:cs="Book Antiqua"/>
          <w:color w:val="000000" w:themeColor="text1"/>
          <w:lang w:val="en-US"/>
        </w:rPr>
        <w:t xml:space="preserve">17.9% incidence </w:t>
      </w:r>
      <w:r w:rsidRPr="00E87351">
        <w:rPr>
          <w:rFonts w:ascii="Book Antiqua" w:eastAsia="Book Antiqua" w:hAnsi="Book Antiqua" w:cs="Book Antiqua"/>
          <w:color w:val="000000"/>
          <w:lang w:val="en-US"/>
        </w:rPr>
        <w:t>of AKI after liver resection</w:t>
      </w:r>
      <w:r w:rsidRPr="00E87351">
        <w:rPr>
          <w:rFonts w:ascii="Book Antiqua" w:eastAsia="Book Antiqua" w:hAnsi="Book Antiqua" w:cs="Tahoma"/>
          <w:color w:val="000000"/>
          <w:vertAlign w:val="superscript"/>
          <w:lang w:val="en-US"/>
        </w:rPr>
        <w:t>[7-9]</w:t>
      </w:r>
      <w:r w:rsidRPr="00E87351">
        <w:rPr>
          <w:rFonts w:ascii="Book Antiqua" w:eastAsia="Book Antiqua" w:hAnsi="Book Antiqua" w:cs="Tahoma"/>
          <w:color w:val="000000"/>
          <w:lang w:val="en-US"/>
        </w:rPr>
        <w:t>,</w:t>
      </w:r>
      <w:r w:rsidRPr="00E87351">
        <w:rPr>
          <w:rFonts w:ascii="Book Antiqua" w:eastAsia="Book Antiqua" w:hAnsi="Book Antiqua" w:cs="Book Antiqua"/>
          <w:color w:val="000000"/>
          <w:lang w:val="en-US"/>
        </w:rPr>
        <w:t xml:space="preserve"> and 4%-94% after LT</w:t>
      </w:r>
      <w:r w:rsidRPr="00E87351">
        <w:rPr>
          <w:rFonts w:ascii="Book Antiqua" w:eastAsia="Book Antiqua" w:hAnsi="Book Antiqua" w:cs="Book Antiqua"/>
          <w:color w:val="000000"/>
          <w:vertAlign w:val="superscript"/>
          <w:lang w:val="en-US"/>
        </w:rPr>
        <w:t>[10,11]</w:t>
      </w:r>
      <w:r w:rsidRPr="00E87351">
        <w:rPr>
          <w:rFonts w:ascii="Book Antiqua" w:eastAsia="Book Antiqua" w:hAnsi="Book Antiqua" w:cs="Book Antiqua"/>
          <w:color w:val="000000"/>
          <w:lang w:val="en-US"/>
        </w:rPr>
        <w:t>, either living-donor (LDLT) or deceased-donor LT (DDLT).</w:t>
      </w:r>
      <w:r w:rsidRPr="00E87351">
        <w:rPr>
          <w:rFonts w:ascii="Book Antiqua" w:hAnsi="Book Antiqua"/>
          <w:lang w:val="en-US"/>
        </w:rPr>
        <w:t xml:space="preserve"> </w:t>
      </w:r>
      <w:r w:rsidRPr="00E87351">
        <w:rPr>
          <w:rFonts w:ascii="Book Antiqua" w:eastAsia="Book Antiqua" w:hAnsi="Book Antiqua" w:cs="Book Antiqua"/>
          <w:color w:val="000000"/>
          <w:lang w:val="en-US"/>
        </w:rPr>
        <w:t>Although there is a lack of a reported standard definition of postoperative AKI</w:t>
      </w:r>
      <w:r w:rsidRPr="00E87351">
        <w:rPr>
          <w:rFonts w:ascii="Book Antiqua" w:eastAsia="Book Antiqua" w:hAnsi="Book Antiqua" w:cs="Book Antiqua"/>
          <w:color w:val="000000"/>
          <w:vertAlign w:val="superscript"/>
          <w:lang w:val="en-US"/>
        </w:rPr>
        <w:t>[12]</w:t>
      </w:r>
      <w:r w:rsidRPr="00E87351">
        <w:rPr>
          <w:rFonts w:ascii="Book Antiqua" w:eastAsia="Book Antiqua" w:hAnsi="Book Antiqua" w:cs="Book Antiqua"/>
          <w:color w:val="000000"/>
          <w:lang w:val="en-US"/>
        </w:rPr>
        <w:t xml:space="preserve"> after DDLT, it is of fundamental importance to identify patients at risk for AKI after LT, ideally by the set of preoperative clinical evaluation, as well as by the complementary information of the intraoperative period, thus enabling the adoption of preventive measures or early therapies for AKI in the postoperative period.</w:t>
      </w:r>
    </w:p>
    <w:p w14:paraId="397BBB89"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There are many studies available based on deep learning models for different clinical purposes in distinct fields of medicine, such as for complex imaging acquisition and processing</w:t>
      </w:r>
      <w:r w:rsidRPr="00E87351">
        <w:rPr>
          <w:rFonts w:ascii="Book Antiqua" w:eastAsia="Book Antiqua" w:hAnsi="Book Antiqua" w:cs="Book Antiqua"/>
          <w:color w:val="000000"/>
          <w:vertAlign w:val="superscript"/>
        </w:rPr>
        <w:t>[13-17]</w:t>
      </w:r>
      <w:r w:rsidRPr="00E87351">
        <w:rPr>
          <w:rFonts w:ascii="Book Antiqua" w:eastAsia="Book Antiqua" w:hAnsi="Book Antiqua" w:cs="Book Antiqua"/>
          <w:color w:val="000000"/>
        </w:rPr>
        <w:t xml:space="preserve">, and </w:t>
      </w:r>
      <w:r w:rsidRPr="00E87351">
        <w:rPr>
          <w:rStyle w:val="jlqj4b"/>
          <w:rFonts w:ascii="Book Antiqua" w:eastAsia="Book Antiqua" w:hAnsi="Book Antiqua" w:cs="Book Antiqua"/>
          <w:color w:val="000000"/>
        </w:rPr>
        <w:t>artificial neural network (ANN) as a deep learning modality is commonly used to solve complex problems, where the behavior of variables is not rigorously known.</w:t>
      </w:r>
      <w:r w:rsidRPr="00E87351">
        <w:rPr>
          <w:rStyle w:val="viiyi"/>
          <w:rFonts w:ascii="Book Antiqua" w:eastAsia="Book Antiqua" w:hAnsi="Book Antiqua" w:cs="Book Antiqua"/>
          <w:color w:val="000000"/>
        </w:rPr>
        <w:t xml:space="preserve"> In the specific field of AKI after LT, </w:t>
      </w:r>
      <w:r w:rsidRPr="00E87351">
        <w:rPr>
          <w:rFonts w:ascii="Book Antiqua" w:eastAsia="Book Antiqua" w:hAnsi="Book Antiqua" w:cs="Book Antiqua"/>
          <w:color w:val="000000"/>
        </w:rPr>
        <w:t>along with other machine learning techniques (gradient boosting machine, random forest, decision tree, support vector machine, naïve Bayes, and deep belief network), ANN has already been compared to multivariable logistic regression (LR) regarding their prediction performance</w:t>
      </w:r>
      <w:r w:rsidRPr="00E87351">
        <w:rPr>
          <w:rStyle w:val="viiyi"/>
          <w:rFonts w:ascii="Book Antiqua" w:eastAsia="Book Antiqua" w:hAnsi="Book Antiqua" w:cs="Book Antiqua"/>
          <w:color w:val="000000"/>
          <w:vertAlign w:val="superscript"/>
        </w:rPr>
        <w:t>[18]</w:t>
      </w:r>
      <w:r w:rsidRPr="00E87351">
        <w:rPr>
          <w:rFonts w:ascii="Book Antiqua" w:hAnsi="Book Antiqua"/>
        </w:rPr>
        <w:t xml:space="preserve">. </w:t>
      </w:r>
      <w:r w:rsidRPr="00E87351">
        <w:rPr>
          <w:rFonts w:ascii="Book Antiqua" w:eastAsia="Book Antiqua" w:hAnsi="Book Antiqua" w:cs="Book Antiqua"/>
          <w:color w:val="000000"/>
        </w:rPr>
        <w:t>We hypothesized that ANN would be a feasible alternative with higher performance than the classic LR model,</w:t>
      </w:r>
      <w:r w:rsidRPr="00E87351">
        <w:rPr>
          <w:rFonts w:ascii="Book Antiqua" w:eastAsia="Book Antiqua" w:hAnsi="Book Antiqua" w:cs="Book Antiqua"/>
          <w:color w:val="000000"/>
          <w:vertAlign w:val="superscript"/>
        </w:rPr>
        <w:t xml:space="preserve"> </w:t>
      </w:r>
      <w:r w:rsidRPr="00E87351">
        <w:rPr>
          <w:rStyle w:val="jlqj4b"/>
          <w:rFonts w:ascii="Book Antiqua" w:eastAsia="Book Antiqua" w:hAnsi="Book Antiqua" w:cs="Book Antiqua"/>
          <w:color w:val="000000"/>
        </w:rPr>
        <w:t xml:space="preserve">reinforcing the wide applicability of ANN and its ability to learn from input data with or without supervision. </w:t>
      </w:r>
    </w:p>
    <w:p w14:paraId="5AD64212" w14:textId="77777777" w:rsidR="00703676" w:rsidRPr="00E87351" w:rsidRDefault="00AA5AC6">
      <w:pPr>
        <w:spacing w:line="360" w:lineRule="auto"/>
        <w:ind w:firstLine="708"/>
        <w:jc w:val="both"/>
        <w:rPr>
          <w:rFonts w:ascii="Book Antiqua" w:hAnsi="Book Antiqua"/>
        </w:rPr>
      </w:pPr>
      <w:r w:rsidRPr="00E87351">
        <w:rPr>
          <w:rStyle w:val="jlqj4b"/>
          <w:rFonts w:ascii="Book Antiqua" w:eastAsia="Book Antiqua" w:hAnsi="Book Antiqua" w:cs="Book Antiqua"/>
          <w:color w:val="000000"/>
        </w:rPr>
        <w:t>The multifactorial origin of AKI after LT makes it complex to predict which candidate for the procedure has an increased risk of this complication, and in the face of this complexity, along with the classical LR, ANN would be a very</w:t>
      </w:r>
      <w:r w:rsidRPr="00E87351">
        <w:rPr>
          <w:rFonts w:ascii="Book Antiqua" w:eastAsia="Book Antiqua" w:hAnsi="Book Antiqua" w:cs="Book Antiqua"/>
          <w:color w:val="000000"/>
        </w:rPr>
        <w:t xml:space="preserve"> reliable prognostic tool for AKI risk assessment, where the relative risk term is parameterized by an ANN instead of regression, enabling the application of deep learning, whereas comparative studies evaluating such a promising tool for predicting AKI following LT are scarce</w:t>
      </w:r>
      <w:r w:rsidRPr="00E87351">
        <w:rPr>
          <w:rFonts w:ascii="Book Antiqua" w:eastAsia="Book Antiqua" w:hAnsi="Book Antiqua" w:cs="Book Antiqua"/>
          <w:color w:val="000000"/>
          <w:vertAlign w:val="superscript"/>
        </w:rPr>
        <w:t>[19-20]</w:t>
      </w:r>
      <w:r w:rsidRPr="00E87351">
        <w:rPr>
          <w:rFonts w:ascii="Book Antiqua" w:eastAsia="Book Antiqua" w:hAnsi="Book Antiqua" w:cs="Book Antiqua"/>
          <w:color w:val="000000"/>
        </w:rPr>
        <w:t>.</w:t>
      </w:r>
    </w:p>
    <w:p w14:paraId="68B19B6E"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 xml:space="preserve">In face of this serious postoperative complication, this retrospective study of patients who underwent only-first DDLT aimed to identify the risk factors for </w:t>
      </w:r>
      <w:r w:rsidRPr="00E87351">
        <w:rPr>
          <w:rFonts w:ascii="Book Antiqua" w:eastAsia="Book Antiqua" w:hAnsi="Book Antiqua" w:cs="Book Antiqua"/>
          <w:color w:val="000000"/>
        </w:rPr>
        <w:lastRenderedPageBreak/>
        <w:t>postoperative AKI and compare the prediction performance of ANN with that of LR for this complication.</w:t>
      </w:r>
    </w:p>
    <w:p w14:paraId="00A4C493" w14:textId="77777777" w:rsidR="00703676" w:rsidRPr="00E87351" w:rsidRDefault="00703676">
      <w:pPr>
        <w:spacing w:line="360" w:lineRule="auto"/>
        <w:ind w:firstLine="708"/>
        <w:jc w:val="both"/>
        <w:rPr>
          <w:rFonts w:ascii="Book Antiqua" w:hAnsi="Book Antiqua"/>
        </w:rPr>
      </w:pPr>
    </w:p>
    <w:p w14:paraId="4C15E74F"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aps/>
          <w:color w:val="000000"/>
          <w:u w:val="single"/>
        </w:rPr>
        <w:t>MATERIALS AND METHODS</w:t>
      </w:r>
    </w:p>
    <w:p w14:paraId="7F57AC78"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i/>
          <w:iCs/>
          <w:color w:val="000000"/>
        </w:rPr>
        <w:t>Study design</w:t>
      </w:r>
    </w:p>
    <w:p w14:paraId="61807D0A"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A retrospective study was conducted on patients of both sexes, aged &gt; 18 yr, diagnosed with liver cirrhosis and portal hypertension (platelets &lt; 100000/mm</w:t>
      </w:r>
      <w:r w:rsidRPr="00E87351">
        <w:rPr>
          <w:rFonts w:ascii="Book Antiqua" w:eastAsia="Book Antiqua" w:hAnsi="Book Antiqua" w:cs="Book Antiqua"/>
          <w:color w:val="000000"/>
          <w:vertAlign w:val="superscript"/>
        </w:rPr>
        <w:t>3</w:t>
      </w:r>
      <w:r w:rsidRPr="00E87351">
        <w:rPr>
          <w:rFonts w:ascii="Book Antiqua" w:eastAsia="Book Antiqua" w:hAnsi="Book Antiqua" w:cs="Book Antiqua"/>
          <w:color w:val="000000"/>
        </w:rPr>
        <w:t xml:space="preserve">, splenomegaly and/or esophageal varices), eventually associated with hepatocellular carcinoma (HCC), and undergoing the first DDLT at a tertiary referral hospital between September 2017 and June 2021. The patients were allocated according to Model for End-Stage Liver Disease (MELD) score, with no evidence of end-stage kidney disease. The MELD score was dichotomized at 25 points for statistical purposes according to Romano </w:t>
      </w:r>
      <w:r w:rsidRPr="00E87351">
        <w:rPr>
          <w:rFonts w:ascii="Book Antiqua" w:eastAsia="Book Antiqua" w:hAnsi="Book Antiqua" w:cs="Book Antiqua"/>
          <w:i/>
          <w:iCs/>
          <w:color w:val="000000"/>
        </w:rPr>
        <w:t>et al</w:t>
      </w:r>
      <w:r w:rsidRPr="00E87351">
        <w:rPr>
          <w:rFonts w:ascii="Book Antiqua" w:eastAsia="Book Antiqua" w:hAnsi="Book Antiqua" w:cs="Book Antiqua"/>
          <w:color w:val="000000"/>
          <w:vertAlign w:val="superscript"/>
        </w:rPr>
        <w:t>[21]</w:t>
      </w:r>
      <w:r w:rsidRPr="00E87351">
        <w:rPr>
          <w:rFonts w:ascii="Book Antiqua" w:eastAsia="Book Antiqua" w:hAnsi="Book Antiqua" w:cs="Book Antiqua"/>
          <w:color w:val="000000"/>
        </w:rPr>
        <w:t xml:space="preserve">, and the minimum hospital stay was 7 d according to Wong </w:t>
      </w:r>
      <w:r w:rsidRPr="00E87351">
        <w:rPr>
          <w:rFonts w:ascii="Book Antiqua" w:eastAsia="Book Antiqua" w:hAnsi="Book Antiqua" w:cs="Book Antiqua"/>
          <w:i/>
          <w:iCs/>
          <w:color w:val="000000"/>
        </w:rPr>
        <w:t>et al</w:t>
      </w:r>
      <w:r w:rsidRPr="00E87351">
        <w:rPr>
          <w:rFonts w:ascii="Book Antiqua" w:eastAsia="Book Antiqua" w:hAnsi="Book Antiqua" w:cs="Book Antiqua"/>
          <w:color w:val="000000"/>
          <w:vertAlign w:val="superscript"/>
        </w:rPr>
        <w:t>[22]</w:t>
      </w:r>
      <w:r w:rsidRPr="00E87351">
        <w:rPr>
          <w:rFonts w:ascii="Book Antiqua" w:eastAsia="Book Antiqua" w:hAnsi="Book Antiqua" w:cs="Book Antiqua"/>
          <w:color w:val="000000"/>
        </w:rPr>
        <w:t xml:space="preserve"> and the International Club of Ascites (ICA) definitions for the onset of AKI</w:t>
      </w:r>
      <w:r w:rsidRPr="00E87351">
        <w:rPr>
          <w:rFonts w:ascii="Book Antiqua" w:eastAsia="Book Antiqua" w:hAnsi="Book Antiqua" w:cs="Book Antiqua"/>
          <w:color w:val="000000"/>
          <w:vertAlign w:val="superscript"/>
        </w:rPr>
        <w:t>[23]</w:t>
      </w:r>
      <w:r w:rsidRPr="00E87351">
        <w:rPr>
          <w:rFonts w:ascii="Book Antiqua" w:eastAsia="Book Antiqua" w:hAnsi="Book Antiqua" w:cs="Book Antiqua"/>
          <w:color w:val="000000"/>
        </w:rPr>
        <w:t xml:space="preserve">. </w:t>
      </w:r>
    </w:p>
    <w:p w14:paraId="1949D5CE" w14:textId="77777777" w:rsidR="00703676" w:rsidRPr="00E87351" w:rsidRDefault="00703676">
      <w:pPr>
        <w:spacing w:line="360" w:lineRule="auto"/>
        <w:ind w:firstLine="708"/>
        <w:jc w:val="both"/>
        <w:rPr>
          <w:rFonts w:ascii="Book Antiqua" w:hAnsi="Book Antiqua"/>
        </w:rPr>
      </w:pPr>
    </w:p>
    <w:p w14:paraId="409C0C43"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i/>
          <w:iCs/>
          <w:color w:val="000000"/>
        </w:rPr>
        <w:t>Renal dysfunction definitions</w:t>
      </w:r>
    </w:p>
    <w:p w14:paraId="3D8F4AAB"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 xml:space="preserve">Kidney dysfunction (KD) subtypes were defined according to Wong </w:t>
      </w:r>
      <w:r w:rsidRPr="00E87351">
        <w:rPr>
          <w:rFonts w:ascii="Book Antiqua" w:eastAsia="Book Antiqua" w:hAnsi="Book Antiqua" w:cs="Book Antiqua"/>
          <w:i/>
          <w:iCs/>
          <w:color w:val="000000"/>
        </w:rPr>
        <w:t>et al</w:t>
      </w:r>
      <w:r w:rsidRPr="00E87351">
        <w:rPr>
          <w:rFonts w:ascii="Book Antiqua" w:eastAsia="Book Antiqua" w:hAnsi="Book Antiqua" w:cs="Book Antiqua"/>
          <w:color w:val="000000"/>
          <w:vertAlign w:val="superscript"/>
        </w:rPr>
        <w:t>[22]</w:t>
      </w:r>
      <w:r w:rsidRPr="00E87351">
        <w:rPr>
          <w:rFonts w:ascii="Book Antiqua" w:eastAsia="Book Antiqua" w:hAnsi="Book Antiqua" w:cs="Book Antiqua"/>
          <w:color w:val="000000"/>
        </w:rPr>
        <w:t xml:space="preserve"> (Table 1)</w:t>
      </w:r>
      <w:r w:rsidRPr="00E87351">
        <w:rPr>
          <w:rFonts w:ascii="Book Antiqua" w:eastAsia="Book Antiqua" w:hAnsi="Book Antiqua" w:cs="Book Antiqua"/>
          <w:color w:val="000000"/>
          <w:vertAlign w:val="superscript"/>
        </w:rPr>
        <w:t xml:space="preserve"> </w:t>
      </w:r>
      <w:r w:rsidRPr="00E87351">
        <w:rPr>
          <w:rFonts w:ascii="Book Antiqua" w:eastAsia="Book Antiqua" w:hAnsi="Book Antiqua" w:cs="Book Antiqua"/>
          <w:color w:val="000000"/>
        </w:rPr>
        <w:t>and the ICA definitions (Table 2)</w:t>
      </w:r>
      <w:r w:rsidRPr="00E87351">
        <w:rPr>
          <w:rFonts w:ascii="Book Antiqua" w:eastAsia="Book Antiqua" w:hAnsi="Book Antiqua" w:cs="Book Antiqua"/>
          <w:color w:val="000000"/>
          <w:vertAlign w:val="superscript"/>
        </w:rPr>
        <w:t>[23]</w:t>
      </w:r>
      <w:r w:rsidRPr="00E87351">
        <w:rPr>
          <w:rFonts w:ascii="Book Antiqua" w:eastAsia="Book Antiqua" w:hAnsi="Book Antiqua" w:cs="Book Antiqua"/>
          <w:color w:val="000000"/>
        </w:rPr>
        <w:t>, and both the acute deterioration of renal function and the background CKD could be structural or functional in nature, including hepatorenal syndrome (HRS) types 1 and 2 (Table 3)</w:t>
      </w:r>
      <w:r w:rsidRPr="00E87351">
        <w:rPr>
          <w:rFonts w:ascii="Book Antiqua" w:eastAsia="Book Antiqua" w:hAnsi="Book Antiqua" w:cs="Book Antiqua"/>
          <w:color w:val="000000"/>
          <w:vertAlign w:val="superscript"/>
        </w:rPr>
        <w:t>[23]</w:t>
      </w:r>
      <w:r w:rsidRPr="00E87351">
        <w:rPr>
          <w:rFonts w:ascii="Book Antiqua" w:eastAsia="Book Antiqua" w:hAnsi="Book Antiqua" w:cs="Book Antiqua"/>
          <w:color w:val="000000"/>
        </w:rPr>
        <w:t>. Estimated glomerular filtration rate (eGFR) was calculated by the Modified Diet in Renal Disease 6 (MDRD6) formula: eGFR = 198 × [serum creatinine (mg/dL)</w:t>
      </w:r>
      <w:r w:rsidRPr="00E87351">
        <w:rPr>
          <w:rFonts w:ascii="Book Antiqua" w:eastAsia="Book Antiqua" w:hAnsi="Book Antiqua" w:cs="Book Antiqua"/>
          <w:color w:val="000000"/>
          <w:vertAlign w:val="superscript"/>
        </w:rPr>
        <w:t xml:space="preserve">−0.858 </w:t>
      </w:r>
      <w:r w:rsidRPr="00E87351">
        <w:rPr>
          <w:rFonts w:ascii="Book Antiqua" w:eastAsia="Book Antiqua" w:hAnsi="Book Antiqua" w:cs="Book Antiqua"/>
          <w:color w:val="000000"/>
        </w:rPr>
        <w:t>× age</w:t>
      </w:r>
      <w:r w:rsidRPr="00E87351">
        <w:rPr>
          <w:rFonts w:ascii="Book Antiqua" w:eastAsia="Book Antiqua" w:hAnsi="Book Antiqua" w:cs="Book Antiqua"/>
          <w:color w:val="000000"/>
          <w:vertAlign w:val="superscript"/>
        </w:rPr>
        <w:t xml:space="preserve">−0.167 </w:t>
      </w:r>
      <w:r w:rsidRPr="00E87351">
        <w:rPr>
          <w:rFonts w:ascii="Book Antiqua" w:eastAsia="Book Antiqua" w:hAnsi="Book Antiqua" w:cs="Book Antiqua"/>
          <w:color w:val="000000"/>
        </w:rPr>
        <w:t>× 0.822 if patient is female × 1.178 if patient is black] × [serum urea nitrogen concentration (mg/dL)]</w:t>
      </w:r>
      <w:r w:rsidRPr="00E87351">
        <w:rPr>
          <w:rFonts w:ascii="Book Antiqua" w:eastAsia="Book Antiqua" w:hAnsi="Book Antiqua" w:cs="Book Antiqua"/>
          <w:color w:val="000000"/>
          <w:vertAlign w:val="superscript"/>
        </w:rPr>
        <w:t xml:space="preserve">−0.293 </w:t>
      </w:r>
      <w:r w:rsidRPr="00E87351">
        <w:rPr>
          <w:rFonts w:ascii="Book Antiqua" w:eastAsia="Book Antiqua" w:hAnsi="Book Antiqua" w:cs="Book Antiqua"/>
          <w:color w:val="000000"/>
        </w:rPr>
        <w:t>× [urine urea nitrogen excretion (g/d)]</w:t>
      </w:r>
      <w:r w:rsidRPr="00E87351">
        <w:rPr>
          <w:rFonts w:ascii="Book Antiqua" w:eastAsia="Book Antiqua" w:hAnsi="Book Antiqua" w:cs="Book Antiqua"/>
          <w:color w:val="000000"/>
          <w:vertAlign w:val="superscript"/>
        </w:rPr>
        <w:t>0.249[3]</w:t>
      </w:r>
      <w:r w:rsidRPr="00E87351">
        <w:rPr>
          <w:rFonts w:ascii="Book Antiqua" w:eastAsia="Book Antiqua" w:hAnsi="Book Antiqua" w:cs="Book Antiqua"/>
          <w:color w:val="000000"/>
        </w:rPr>
        <w:t>.</w:t>
      </w:r>
    </w:p>
    <w:p w14:paraId="3D306447" w14:textId="77777777" w:rsidR="00703676" w:rsidRPr="00E87351" w:rsidRDefault="00703676">
      <w:pPr>
        <w:spacing w:line="360" w:lineRule="auto"/>
        <w:jc w:val="both"/>
        <w:rPr>
          <w:rFonts w:ascii="Book Antiqua" w:hAnsi="Book Antiqua"/>
          <w:lang w:eastAsia="zh-CN"/>
        </w:rPr>
      </w:pPr>
    </w:p>
    <w:p w14:paraId="0483CFB0"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i/>
          <w:iCs/>
          <w:color w:val="000000"/>
        </w:rPr>
        <w:t>Graft definitions</w:t>
      </w:r>
    </w:p>
    <w:p w14:paraId="4FC348E3"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Marginal liver grafts of extended criteria donor (ECD) were defined as grafts with three or more of the following donor features: &gt; 60 yr, body mass index (BMI) &gt; 27-30 kg/m</w:t>
      </w:r>
      <w:r w:rsidRPr="00E87351">
        <w:rPr>
          <w:rFonts w:ascii="Book Antiqua" w:eastAsia="Book Antiqua" w:hAnsi="Book Antiqua" w:cs="Book Antiqua"/>
          <w:color w:val="000000"/>
          <w:vertAlign w:val="superscript"/>
        </w:rPr>
        <w:t>2</w:t>
      </w:r>
      <w:r w:rsidRPr="00E87351">
        <w:rPr>
          <w:rFonts w:ascii="Book Antiqua" w:eastAsia="Book Antiqua" w:hAnsi="Book Antiqua" w:cs="Book Antiqua"/>
          <w:color w:val="000000"/>
        </w:rPr>
        <w:t>, macrovesicular steatosis &gt; 30%,</w:t>
      </w:r>
      <w:r w:rsidRPr="00E87351">
        <w:rPr>
          <w:rFonts w:ascii="Book Antiqua" w:eastAsia="Book Antiqua" w:hAnsi="Book Antiqua" w:cs="Book Antiqua"/>
          <w:color w:val="000000"/>
          <w:vertAlign w:val="superscript"/>
        </w:rPr>
        <w:t xml:space="preserve"> </w:t>
      </w:r>
      <w:r w:rsidRPr="00E87351">
        <w:rPr>
          <w:rFonts w:ascii="Book Antiqua" w:eastAsia="Book Antiqua" w:hAnsi="Book Antiqua" w:cs="Book Antiqua"/>
          <w:color w:val="000000"/>
        </w:rPr>
        <w:t xml:space="preserve">intensive care unit (ICU) stay &gt; 4 d, sustained arterial </w:t>
      </w:r>
      <w:r w:rsidRPr="00E87351">
        <w:rPr>
          <w:rFonts w:ascii="Book Antiqua" w:eastAsia="Book Antiqua" w:hAnsi="Book Antiqua" w:cs="Book Antiqua"/>
          <w:color w:val="000000"/>
        </w:rPr>
        <w:lastRenderedPageBreak/>
        <w:t>hypotension &gt; 1 h, cold ischemia times (CIT) &gt; 8 h, warm ischemia times (WIT) &gt; 40-45 min, controlled sepsis, history of alcoholism, serum creatinine &gt; 1.2 mg/dL, arterial hypotensive episodes &lt; 60 mmHg for &gt; 1 h, bilirubin &gt; 2.0 mg/dL, alanine transaminase (ALT) &gt; 170 U/L and aspartate transaminase (AST) &gt; 140 U/L, the use of dopamine doses &gt; 10 microg/kg per min, and peak serum sodium &gt; 155 mEq/L</w:t>
      </w:r>
      <w:r w:rsidRPr="00E87351">
        <w:rPr>
          <w:rFonts w:ascii="Book Antiqua" w:eastAsia="Book Antiqua" w:hAnsi="Book Antiqua" w:cs="Book Antiqua"/>
          <w:color w:val="000000"/>
          <w:vertAlign w:val="superscript"/>
        </w:rPr>
        <w:t>[24-26]</w:t>
      </w:r>
      <w:r w:rsidRPr="00E87351">
        <w:rPr>
          <w:rFonts w:ascii="Book Antiqua" w:eastAsia="Book Antiqua" w:hAnsi="Book Antiqua" w:cs="Book Antiqua"/>
          <w:color w:val="000000"/>
        </w:rPr>
        <w:t>.</w:t>
      </w:r>
    </w:p>
    <w:p w14:paraId="11CFFDEA"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Routine biopsy was performed on the donor allograft for all patients included in the study. Liver specimens were evaluated by hematoxylin and eosin staining using either frozen or permanent section. Macrovesicular steatosis was defined as a single vacuole larger than the nucleus, replacing most of the hepatocyte cytoplasm and displacing the nucleus to the cell membrane</w:t>
      </w:r>
      <w:r w:rsidRPr="00E87351">
        <w:rPr>
          <w:rFonts w:ascii="Book Antiqua" w:eastAsia="Book Antiqua" w:hAnsi="Book Antiqua" w:cs="Book Antiqua"/>
          <w:color w:val="000000"/>
          <w:vertAlign w:val="superscript"/>
        </w:rPr>
        <w:t>[</w:t>
      </w:r>
      <w:hyperlink r:id="rId8" w:anchor="ajt15330-bib-0010" w:history="1">
        <w:r w:rsidRPr="00E87351">
          <w:rPr>
            <w:rFonts w:ascii="Book Antiqua" w:eastAsia="Book Antiqua" w:hAnsi="Book Antiqua" w:cs="Book Antiqua"/>
            <w:color w:val="000000"/>
            <w:vertAlign w:val="superscript"/>
          </w:rPr>
          <w:t>27</w:t>
        </w:r>
      </w:hyperlink>
      <w:r w:rsidRPr="00E87351">
        <w:rPr>
          <w:rFonts w:ascii="Book Antiqua" w:eastAsia="Book Antiqua" w:hAnsi="Book Antiqua" w:cs="Book Antiqua"/>
          <w:color w:val="000000"/>
          <w:vertAlign w:val="superscript"/>
        </w:rPr>
        <w:t>]</w:t>
      </w:r>
      <w:r w:rsidRPr="00E87351">
        <w:rPr>
          <w:rFonts w:ascii="Book Antiqua" w:eastAsia="Book Antiqua" w:hAnsi="Book Antiqua" w:cs="Book Antiqua"/>
          <w:color w:val="000000"/>
        </w:rPr>
        <w:t>. Macrosteatosis was categorized as no steatosis (&lt; 5%), mild steatosis (10%-29%), moderate steatosis (30%-60%), and severe steatosis (&gt; 60%)</w:t>
      </w:r>
      <w:r w:rsidRPr="00E87351">
        <w:rPr>
          <w:rFonts w:ascii="Book Antiqua" w:eastAsia="Book Antiqua" w:hAnsi="Book Antiqua" w:cs="Book Antiqua"/>
          <w:color w:val="000000"/>
          <w:vertAlign w:val="superscript"/>
        </w:rPr>
        <w:t>[</w:t>
      </w:r>
      <w:hyperlink r:id="rId9" w:anchor="ajt15330-bib-0011" w:history="1">
        <w:r w:rsidRPr="00E87351">
          <w:rPr>
            <w:rFonts w:ascii="Book Antiqua" w:eastAsia="Book Antiqua" w:hAnsi="Book Antiqua" w:cs="Book Antiqua"/>
            <w:color w:val="000000"/>
            <w:vertAlign w:val="superscript"/>
          </w:rPr>
          <w:t>28</w:t>
        </w:r>
      </w:hyperlink>
      <w:r w:rsidRPr="00E87351">
        <w:rPr>
          <w:rFonts w:ascii="Book Antiqua" w:eastAsia="Book Antiqua" w:hAnsi="Book Antiqua" w:cs="Book Antiqua"/>
          <w:color w:val="000000"/>
          <w:vertAlign w:val="superscript"/>
        </w:rPr>
        <w:t>]</w:t>
      </w:r>
      <w:r w:rsidRPr="00E87351">
        <w:rPr>
          <w:rFonts w:ascii="Book Antiqua" w:eastAsia="Book Antiqua" w:hAnsi="Book Antiqua" w:cs="Book Antiqua"/>
          <w:color w:val="000000"/>
        </w:rPr>
        <w:t>.</w:t>
      </w:r>
    </w:p>
    <w:p w14:paraId="734CBE7D" w14:textId="77777777" w:rsidR="00703676" w:rsidRPr="00E87351" w:rsidRDefault="00703676">
      <w:pPr>
        <w:spacing w:line="360" w:lineRule="auto"/>
        <w:jc w:val="both"/>
        <w:rPr>
          <w:rFonts w:ascii="Book Antiqua" w:hAnsi="Book Antiqua"/>
          <w:lang w:eastAsia="zh-CN"/>
        </w:rPr>
      </w:pPr>
    </w:p>
    <w:p w14:paraId="6234C25C"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i/>
          <w:iCs/>
          <w:color w:val="000000"/>
        </w:rPr>
        <w:t>Hemodynamic status and monitoring</w:t>
      </w:r>
    </w:p>
    <w:p w14:paraId="1D11347E"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Fluid administration consisted of a baseline infusion of a balanced crystalloid (Plasmalyte, Baxter, Belgium) with or without 4% albumin (depending on patient conditions). Rapid infusers, perfusion heaters, and a Cell Saver (Haemonetics, Massachusetts, EUA) for blood recovery were ready for use prior to induction. In accordance to American Society of Anaesthesiologists (ASA) guidelines, Cell Saver has effectiveness in reducing the volume of allogeneic blood transfused</w:t>
      </w:r>
      <w:r w:rsidRPr="00E87351">
        <w:rPr>
          <w:rFonts w:ascii="Book Antiqua" w:eastAsia="Book Antiqua" w:hAnsi="Book Antiqua" w:cs="Book Antiqua"/>
          <w:color w:val="000000"/>
          <w:vertAlign w:val="superscript"/>
        </w:rPr>
        <w:t>[29]</w:t>
      </w:r>
      <w:r w:rsidRPr="00E87351">
        <w:rPr>
          <w:rFonts w:ascii="Book Antiqua" w:eastAsia="Book Antiqua" w:hAnsi="Book Antiqua" w:cs="Book Antiqua"/>
          <w:color w:val="000000"/>
        </w:rPr>
        <w:t>.</w:t>
      </w:r>
    </w:p>
    <w:p w14:paraId="38177CEC"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A Flow Trac/EV1000 System (Edwards Lifesciences, Irvine, USA) was inserted and hemodynamic interventions were guided using continuous cardiac index (CCI), stroke volume index (SVI), mixed venous oxygen saturation (</w:t>
      </w:r>
      <w:r w:rsidRPr="00E87351">
        <w:rPr>
          <w:rStyle w:val="hgkelc"/>
          <w:rFonts w:ascii="Book Antiqua" w:eastAsia="Book Antiqua" w:hAnsi="Book Antiqua" w:cs="Book Antiqua"/>
          <w:color w:val="000000"/>
        </w:rPr>
        <w:t>SvO</w:t>
      </w:r>
      <w:r w:rsidRPr="00E87351">
        <w:rPr>
          <w:rStyle w:val="hgkelc"/>
          <w:rFonts w:ascii="Book Antiqua" w:eastAsia="Book Antiqua" w:hAnsi="Book Antiqua" w:cs="Book Antiqua"/>
          <w:color w:val="000000"/>
          <w:vertAlign w:val="subscript"/>
        </w:rPr>
        <w:t>2</w:t>
      </w:r>
      <w:r w:rsidRPr="00E87351">
        <w:rPr>
          <w:rStyle w:val="hgkelc"/>
          <w:rFonts w:ascii="Book Antiqua" w:eastAsia="Book Antiqua" w:hAnsi="Book Antiqua" w:cs="Book Antiqua"/>
          <w:color w:val="000000"/>
        </w:rPr>
        <w:t>)</w:t>
      </w:r>
      <w:r w:rsidRPr="00E87351">
        <w:rPr>
          <w:rFonts w:ascii="Book Antiqua" w:eastAsia="Book Antiqua" w:hAnsi="Book Antiqua" w:cs="Book Antiqua"/>
          <w:color w:val="000000"/>
        </w:rPr>
        <w:t>, central venous pressure (CVP), and mean arterial pressure (MAP). Fluids were administered if SVI was &lt; 30 mL/m</w:t>
      </w:r>
      <w:r w:rsidRPr="00E87351">
        <w:rPr>
          <w:rFonts w:ascii="Book Antiqua" w:eastAsia="Book Antiqua" w:hAnsi="Book Antiqua" w:cs="Book Antiqua"/>
          <w:color w:val="000000"/>
          <w:vertAlign w:val="superscript"/>
        </w:rPr>
        <w:t>2</w:t>
      </w:r>
      <w:r w:rsidRPr="00E87351">
        <w:rPr>
          <w:rFonts w:ascii="Book Antiqua" w:eastAsia="Book Antiqua" w:hAnsi="Book Antiqua" w:cs="Book Antiqua"/>
          <w:color w:val="000000"/>
        </w:rPr>
        <w:t xml:space="preserve"> and/or CCI &lt; 2 L/min/m</w:t>
      </w:r>
      <w:r w:rsidRPr="00E87351">
        <w:rPr>
          <w:rFonts w:ascii="Book Antiqua" w:eastAsia="Book Antiqua" w:hAnsi="Book Antiqua" w:cs="Book Antiqua"/>
          <w:color w:val="000000"/>
          <w:vertAlign w:val="superscript"/>
        </w:rPr>
        <w:t>2</w:t>
      </w:r>
      <w:r w:rsidRPr="00E87351">
        <w:rPr>
          <w:rFonts w:ascii="Book Antiqua" w:eastAsia="Book Antiqua" w:hAnsi="Book Antiqua" w:cs="Book Antiqua"/>
          <w:color w:val="000000"/>
        </w:rPr>
        <w:t xml:space="preserve"> for compensation for blood loss </w:t>
      </w:r>
      <w:r w:rsidRPr="00E87351">
        <w:rPr>
          <w:rFonts w:ascii="Book Antiqua" w:eastAsia="Book Antiqua" w:hAnsi="Book Antiqua" w:cs="Book Antiqua"/>
          <w:i/>
          <w:iCs/>
          <w:color w:val="000000"/>
        </w:rPr>
        <w:t>via</w:t>
      </w:r>
      <w:r w:rsidRPr="00E87351">
        <w:rPr>
          <w:rFonts w:ascii="Book Antiqua" w:eastAsia="Book Antiqua" w:hAnsi="Book Antiqua" w:cs="Book Antiqua"/>
          <w:color w:val="000000"/>
        </w:rPr>
        <w:t xml:space="preserve"> 250-500 mL fluid boluses of Plasmalyte, to strictly maintain MAP &gt; 65 mmHg, avoiding hemodynamic instability as described elsewhere</w:t>
      </w:r>
      <w:r w:rsidRPr="00E87351">
        <w:rPr>
          <w:rFonts w:ascii="Book Antiqua" w:eastAsia="Book Antiqua" w:hAnsi="Book Antiqua" w:cs="Book Antiqua"/>
          <w:color w:val="000000"/>
          <w:vertAlign w:val="superscript"/>
        </w:rPr>
        <w:t>[30,31]</w:t>
      </w:r>
      <w:r w:rsidRPr="00E87351">
        <w:rPr>
          <w:rFonts w:ascii="Book Antiqua" w:eastAsia="Book Antiqua" w:hAnsi="Book Antiqua" w:cs="Book Antiqua"/>
          <w:color w:val="000000"/>
        </w:rPr>
        <w:t>.</w:t>
      </w:r>
    </w:p>
    <w:p w14:paraId="78203795"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 xml:space="preserve">Blood loss monitoring consisted of visual assessment of the surgical field, including the extent of blood present, presence of microvascular bleeding, surgical </w:t>
      </w:r>
      <w:r w:rsidRPr="00E87351">
        <w:rPr>
          <w:rFonts w:ascii="Book Antiqua" w:eastAsia="Book Antiqua" w:hAnsi="Book Antiqua" w:cs="Book Antiqua"/>
          <w:color w:val="000000"/>
        </w:rPr>
        <w:lastRenderedPageBreak/>
        <w:t xml:space="preserve">sponges, clot size and shape, and volume in suction canister. In case of active hemorrhage, blood product administration was guided by using rotational thromboelastometry monitoring </w:t>
      </w:r>
      <w:r w:rsidRPr="00E87351">
        <w:rPr>
          <w:rFonts w:ascii="Book Antiqua" w:eastAsia="Book Antiqua" w:hAnsi="Book Antiqua" w:cs="Book Antiqua"/>
          <w:i/>
          <w:iCs/>
          <w:color w:val="000000"/>
        </w:rPr>
        <w:t>via</w:t>
      </w:r>
      <w:r w:rsidRPr="00E87351">
        <w:rPr>
          <w:rFonts w:ascii="Book Antiqua" w:eastAsia="Book Antiqua" w:hAnsi="Book Antiqua" w:cs="Book Antiqua"/>
          <w:color w:val="000000"/>
        </w:rPr>
        <w:t xml:space="preserve"> ROTEM (Tem Innovations GmbH, Munich, Germany), hemoglobin/hematocrit monitoring, coagulation tests (international normalized ratio [INR]), activated partial thromboplastin time [aPTT], fibrinogen concentration [normal range: </w:t>
      </w:r>
      <w:r w:rsidRPr="00E87351">
        <w:rPr>
          <w:rStyle w:val="hgkelc"/>
          <w:rFonts w:ascii="Book Antiqua" w:eastAsia="Book Antiqua" w:hAnsi="Book Antiqua" w:cs="Book Antiqua"/>
          <w:color w:val="000000"/>
        </w:rPr>
        <w:t>200 to 400 mg/dL</w:t>
      </w:r>
      <w:r w:rsidRPr="00E87351">
        <w:rPr>
          <w:rFonts w:ascii="Book Antiqua" w:eastAsia="Book Antiqua" w:hAnsi="Book Antiqua" w:cs="Book Antiqua"/>
          <w:color w:val="000000"/>
        </w:rPr>
        <w:t>], and platelet count</w:t>
      </w:r>
      <w:r w:rsidRPr="00E87351">
        <w:rPr>
          <w:rFonts w:ascii="Book Antiqua" w:eastAsia="Book Antiqua" w:hAnsi="Book Antiqua" w:cs="Book Antiqua"/>
          <w:color w:val="000000"/>
          <w:vertAlign w:val="superscript"/>
        </w:rPr>
        <w:t>[29]</w:t>
      </w:r>
      <w:r w:rsidRPr="00E87351">
        <w:rPr>
          <w:rFonts w:ascii="Book Antiqua" w:eastAsia="Book Antiqua" w:hAnsi="Book Antiqua" w:cs="Book Antiqua"/>
          <w:color w:val="000000"/>
        </w:rPr>
        <w:t>.</w:t>
      </w:r>
      <w:r w:rsidRPr="00E87351">
        <w:rPr>
          <w:rFonts w:ascii="Book Antiqua" w:eastAsia="Book Antiqua" w:hAnsi="Book Antiqua" w:cs="Book Antiqua"/>
          <w:color w:val="000000"/>
          <w:vertAlign w:val="superscript"/>
        </w:rPr>
        <w:t xml:space="preserve"> </w:t>
      </w:r>
      <w:r w:rsidRPr="00E87351">
        <w:rPr>
          <w:rFonts w:ascii="Book Antiqua" w:eastAsia="Book Antiqua" w:hAnsi="Book Antiqua" w:cs="Book Antiqua"/>
          <w:color w:val="000000"/>
        </w:rPr>
        <w:t>Whereas</w:t>
      </w:r>
      <w:r w:rsidRPr="00E87351">
        <w:rPr>
          <w:rStyle w:val="markedcontent"/>
          <w:rFonts w:ascii="Book Antiqua" w:eastAsia="Book Antiqua" w:hAnsi="Book Antiqua" w:cs="Book Antiqua"/>
          <w:color w:val="000000"/>
        </w:rPr>
        <w:t xml:space="preserve"> there is no clear evidence that ROTEM improved survival in LT patients, it was effective in reducing bleeding and fewer patients required both platelets and fresh frozen plasma (FFP) transfusion</w:t>
      </w:r>
      <w:r w:rsidRPr="00E87351">
        <w:rPr>
          <w:rStyle w:val="markedcontent"/>
          <w:rFonts w:ascii="Book Antiqua" w:eastAsia="Book Antiqua" w:hAnsi="Book Antiqua" w:cs="Book Antiqua"/>
          <w:color w:val="000000"/>
          <w:vertAlign w:val="superscript"/>
        </w:rPr>
        <w:t>[32]</w:t>
      </w:r>
      <w:r w:rsidRPr="00E87351">
        <w:rPr>
          <w:rStyle w:val="markedcontent"/>
          <w:rFonts w:ascii="Book Antiqua" w:eastAsia="Book Antiqua" w:hAnsi="Book Antiqua" w:cs="Book Antiqua"/>
          <w:color w:val="000000"/>
        </w:rPr>
        <w:t>.</w:t>
      </w:r>
      <w:r w:rsidRPr="00E87351">
        <w:rPr>
          <w:rStyle w:val="markedcontent"/>
          <w:rFonts w:ascii="Book Antiqua" w:eastAsia="Book Antiqua" w:hAnsi="Book Antiqua" w:cs="Book Antiqua"/>
          <w:color w:val="000000"/>
          <w:vertAlign w:val="superscript"/>
        </w:rPr>
        <w:t xml:space="preserve"> </w:t>
      </w:r>
      <w:r w:rsidRPr="00E87351">
        <w:rPr>
          <w:rFonts w:ascii="Book Antiqua" w:eastAsia="Book Antiqua" w:hAnsi="Book Antiqua" w:cs="Book Antiqua"/>
          <w:color w:val="000000"/>
        </w:rPr>
        <w:t>Monitoring for perfusion of vital organs included standard ASA monitoring, renal monitoring (urine output), and analysis of arterial blood gases and serum (SL) level (cutoff of 2.0 mmol/L)</w:t>
      </w:r>
      <w:r w:rsidRPr="00E87351">
        <w:rPr>
          <w:rFonts w:ascii="Book Antiqua" w:eastAsia="Book Antiqua" w:hAnsi="Book Antiqua" w:cs="Book Antiqua"/>
          <w:color w:val="000000"/>
          <w:vertAlign w:val="superscript"/>
        </w:rPr>
        <w:t>[29]</w:t>
      </w:r>
      <w:r w:rsidRPr="00E87351">
        <w:rPr>
          <w:rFonts w:ascii="Book Antiqua" w:eastAsia="Book Antiqua" w:hAnsi="Book Antiqua" w:cs="Book Antiqua"/>
          <w:color w:val="000000"/>
        </w:rPr>
        <w:t>.</w:t>
      </w:r>
    </w:p>
    <w:p w14:paraId="070144C5"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Massive blood transfusion (MBT) protocol for avoidance of dilutional coagulopathy was activated when hemorrhage was expected to be massive (anticipated need to replace 50% or more of blood volume within 2 h), or bleeding continued after the transfusion of 4 units of packed red blood cells (PRBC) within a short period of time (1-2 h), or systolic blood pressure (SBP) was below 90 mmHg and heart rate was above 120 beats per minute in the presence of uncontrolled bleeding</w:t>
      </w:r>
      <w:r w:rsidRPr="00E87351">
        <w:rPr>
          <w:rFonts w:ascii="Book Antiqua" w:eastAsia="Book Antiqua" w:hAnsi="Book Antiqua" w:cs="Book Antiqua"/>
          <w:color w:val="000000"/>
          <w:vertAlign w:val="superscript"/>
        </w:rPr>
        <w:t>[33]</w:t>
      </w:r>
      <w:r w:rsidRPr="00E87351">
        <w:rPr>
          <w:rFonts w:ascii="Book Antiqua" w:eastAsia="Book Antiqua" w:hAnsi="Book Antiqua" w:cs="Book Antiqua"/>
          <w:color w:val="000000"/>
        </w:rPr>
        <w:t>. According to the Pragmatic Randomized Optimal Platelet and Plasma Ratios (PROPPR) study group recommendations, blood transfusion of RBC, fresh frozen plasma (FFP), and platelets were at a 1:1:1 ratio</w:t>
      </w:r>
      <w:r w:rsidRPr="00E87351">
        <w:rPr>
          <w:rFonts w:ascii="Book Antiqua" w:eastAsia="Book Antiqua" w:hAnsi="Book Antiqua" w:cs="Book Antiqua"/>
          <w:color w:val="000000"/>
          <w:vertAlign w:val="superscript"/>
        </w:rPr>
        <w:t>[34]</w:t>
      </w:r>
      <w:r w:rsidRPr="00E87351">
        <w:rPr>
          <w:rFonts w:ascii="Book Antiqua" w:eastAsia="Book Antiqua" w:hAnsi="Book Antiqua" w:cs="Book Antiqua"/>
          <w:color w:val="000000"/>
        </w:rPr>
        <w:t>.</w:t>
      </w:r>
    </w:p>
    <w:p w14:paraId="56B7F3EF"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Postreperfusion (PRS) was defined as a decrease in MAP &gt; 30% below the baseline value, for at least 1 min, occurring during the first 5 min after reperfusion of the liver graft, asystole, or hemodynamically significant arrhythmias, or the need to start the infusion of vasopressors during the postreperfusion period</w:t>
      </w:r>
      <w:r w:rsidRPr="00E87351">
        <w:rPr>
          <w:rFonts w:ascii="Book Antiqua" w:eastAsia="Book Antiqua" w:hAnsi="Book Antiqua" w:cs="Book Antiqua"/>
          <w:color w:val="000000"/>
          <w:vertAlign w:val="superscript"/>
        </w:rPr>
        <w:t>[35]</w:t>
      </w:r>
      <w:r w:rsidRPr="00E87351">
        <w:rPr>
          <w:rFonts w:ascii="Book Antiqua" w:eastAsia="Book Antiqua" w:hAnsi="Book Antiqua" w:cs="Book Antiqua"/>
          <w:color w:val="000000"/>
        </w:rPr>
        <w:t>. Intraoperative arterial hypotension (IOAH) was defined as MAP less than 65-60 mmHg for at least 5 min, or any exposure to MAP less than 55-50 mmHg</w:t>
      </w:r>
      <w:r w:rsidRPr="00E87351">
        <w:rPr>
          <w:rFonts w:ascii="Book Antiqua" w:eastAsia="Book Antiqua" w:hAnsi="Book Antiqua" w:cs="Book Antiqua"/>
          <w:color w:val="000000"/>
          <w:vertAlign w:val="superscript"/>
        </w:rPr>
        <w:t>[31]</w:t>
      </w:r>
      <w:r w:rsidRPr="00E87351">
        <w:rPr>
          <w:rFonts w:ascii="Book Antiqua" w:eastAsia="Book Antiqua" w:hAnsi="Book Antiqua" w:cs="Book Antiqua"/>
          <w:color w:val="000000"/>
        </w:rPr>
        <w:t>, irrespective of the cause: Prolonged surgery time, massive bleeding, PRS, and/or hemodynamic instability because of end-stage liver disease.</w:t>
      </w:r>
    </w:p>
    <w:p w14:paraId="6A1604C5" w14:textId="77777777" w:rsidR="00703676" w:rsidRPr="00E87351" w:rsidRDefault="00703676">
      <w:pPr>
        <w:spacing w:line="360" w:lineRule="auto"/>
        <w:jc w:val="both"/>
        <w:rPr>
          <w:rFonts w:ascii="Book Antiqua" w:hAnsi="Book Antiqua"/>
          <w:lang w:eastAsia="zh-CN"/>
        </w:rPr>
      </w:pPr>
    </w:p>
    <w:p w14:paraId="69C1D773"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i/>
          <w:iCs/>
          <w:color w:val="000000"/>
        </w:rPr>
        <w:lastRenderedPageBreak/>
        <w:t>Statistical analysis</w:t>
      </w:r>
    </w:p>
    <w:p w14:paraId="4C734778"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 xml:space="preserve">The baseline characteristics of the patients are expressed in absolute values, the mean ± </w:t>
      </w:r>
      <w:r w:rsidRPr="00E87351">
        <w:rPr>
          <w:rFonts w:ascii="Book Antiqua" w:hAnsi="Book Antiqua" w:cs="Book Antiqua"/>
          <w:color w:val="000000"/>
          <w:lang w:eastAsia="zh-CN"/>
        </w:rPr>
        <w:t>SD,</w:t>
      </w:r>
      <w:r w:rsidRPr="00E87351">
        <w:rPr>
          <w:rFonts w:ascii="Book Antiqua" w:eastAsia="Book Antiqua" w:hAnsi="Book Antiqua" w:cs="Book Antiqua"/>
          <w:color w:val="000000"/>
        </w:rPr>
        <w:t xml:space="preserve"> and percentages, when appropriate. The comparison between groups was performed for continuous variables using the Kruskal-Wallis test and the Mann-Whitney test. The assumptions were made to perform or not the parametric tests, and the categorical variables were compared using the chi-square test. Independent variables with significance in the univariate model was selected for the bootstrap classical LR model to assess the effect of bivariate independent variables (graft quality, patients characteristics, and intraoperative events) on the incidence of postoperative AKI. The results of the model are expressed by odds ratio (OR), together with the corresponding 95% confidence intervals [CIs], Nagelkerke R2 statistic, and Hosmer and Lemeshow goodness of fit test. </w:t>
      </w:r>
      <w:r w:rsidRPr="00E87351">
        <w:rPr>
          <w:rFonts w:ascii="Book Antiqua" w:eastAsia="Book Antiqua" w:hAnsi="Book Antiqua" w:cs="Book Antiqua"/>
          <w:i/>
          <w:color w:val="000000"/>
        </w:rPr>
        <w:t>P</w:t>
      </w:r>
      <w:r w:rsidRPr="00E87351">
        <w:rPr>
          <w:rFonts w:ascii="Book Antiqua" w:hAnsi="Book Antiqua" w:cs="Book Antiqua" w:hint="eastAsia"/>
          <w:color w:val="000000"/>
          <w:lang w:eastAsia="zh-CN"/>
        </w:rPr>
        <w:t xml:space="preserve"> </w:t>
      </w:r>
      <w:r w:rsidRPr="00E87351">
        <w:rPr>
          <w:rFonts w:ascii="Book Antiqua" w:eastAsia="Book Antiqua" w:hAnsi="Book Antiqua" w:cs="Book Antiqua"/>
          <w:color w:val="000000"/>
        </w:rPr>
        <w:t xml:space="preserve">values </w:t>
      </w:r>
      <w:r w:rsidRPr="00E87351">
        <w:rPr>
          <w:rFonts w:ascii="Book Antiqua" w:hAnsi="Book Antiqua" w:cs="Book Antiqua" w:hint="eastAsia"/>
          <w:color w:val="000000"/>
          <w:lang w:eastAsia="zh-CN"/>
        </w:rPr>
        <w:t xml:space="preserve">&lt; </w:t>
      </w:r>
      <w:r w:rsidRPr="00E87351">
        <w:rPr>
          <w:rFonts w:ascii="Book Antiqua" w:eastAsia="Book Antiqua" w:hAnsi="Book Antiqua" w:cs="Book Antiqua"/>
          <w:color w:val="000000"/>
        </w:rPr>
        <w:t>0.05 were considered significant. A relationship map between the significant variables in the LR model was also constructed.</w:t>
      </w:r>
    </w:p>
    <w:p w14:paraId="7D89A79F" w14:textId="77777777" w:rsidR="00703676" w:rsidRPr="00E87351" w:rsidRDefault="00AA5AC6">
      <w:pPr>
        <w:spacing w:line="360" w:lineRule="auto"/>
        <w:ind w:firstLineChars="200" w:firstLine="480"/>
        <w:jc w:val="both"/>
        <w:rPr>
          <w:rFonts w:ascii="Book Antiqua" w:hAnsi="Book Antiqua"/>
        </w:rPr>
      </w:pPr>
      <w:r w:rsidRPr="00E87351">
        <w:rPr>
          <w:rFonts w:ascii="Book Antiqua" w:eastAsia="Book Antiqua" w:hAnsi="Book Antiqua" w:cs="Book Antiqua"/>
          <w:color w:val="000000"/>
        </w:rPr>
        <w:t>The explanatory variables selected in the LR model were used for the ANN machine learning. Before developing prediction models, our collected data were divided into 70% of training dataset cases and 30% of test dataset cases. The cases in the training dataset were used for developing machine learning models. The ANN method had its own hyperparameters (number of layers in multilayer perceptron ANN), with a 10-fold cross-validation. This cross-validation process was used for developing the model, and performance was evaluated. The activation function of the hidden layer was made by hyperbolic tangent activation function, and Softmax for the output layer. All possible combinations of hyperparameters were investigated, and the hyperparameters with the highest average validation AUROC (area under the receiver-operating characteristic curve) were considered as optimal hyperparameters, and after that, the final model was tested for performance by root-mean-square error (RMSE) and mean absolute error (MAE) calculation. The importance of variables for the model was calculated. ANN structural model was constructed according to Haykin</w:t>
      </w:r>
      <w:r w:rsidRPr="00E87351">
        <w:rPr>
          <w:rFonts w:ascii="Book Antiqua" w:eastAsia="Book Antiqua" w:hAnsi="Book Antiqua" w:cs="Book Antiqua"/>
          <w:color w:val="000000"/>
          <w:vertAlign w:val="superscript"/>
        </w:rPr>
        <w:t>[36]</w:t>
      </w:r>
      <w:r w:rsidRPr="00E87351">
        <w:rPr>
          <w:rFonts w:ascii="Book Antiqua" w:eastAsia="Book Antiqua" w:hAnsi="Book Antiqua" w:cs="Book Antiqua"/>
          <w:color w:val="000000"/>
        </w:rPr>
        <w:t>.</w:t>
      </w:r>
    </w:p>
    <w:p w14:paraId="24F08795"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 xml:space="preserve">Our primary analysis attempted to analyze the prediction ability of machine learning and LR model in terms of AUROC. Accuracy was defined as the sum of the </w:t>
      </w:r>
      <w:r w:rsidRPr="00E87351">
        <w:rPr>
          <w:rFonts w:ascii="Book Antiqua" w:eastAsia="Book Antiqua" w:hAnsi="Book Antiqua" w:cs="Book Antiqua"/>
          <w:color w:val="000000"/>
        </w:rPr>
        <w:lastRenderedPageBreak/>
        <w:t>number of cases with true positive and true negative results divided by the total number of test sets. Statistical calculations were performed using the SPSS 28.0 software for Windows.</w:t>
      </w:r>
    </w:p>
    <w:p w14:paraId="3A8E2CAE" w14:textId="77777777" w:rsidR="00703676" w:rsidRPr="00E87351" w:rsidRDefault="00703676">
      <w:pPr>
        <w:spacing w:line="360" w:lineRule="auto"/>
        <w:ind w:firstLine="708"/>
        <w:jc w:val="both"/>
        <w:rPr>
          <w:rFonts w:ascii="Book Antiqua" w:hAnsi="Book Antiqua"/>
        </w:rPr>
      </w:pPr>
    </w:p>
    <w:p w14:paraId="7B54E8F9"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aps/>
          <w:color w:val="000000"/>
          <w:u w:val="single"/>
        </w:rPr>
        <w:t>RESULTS</w:t>
      </w:r>
    </w:p>
    <w:p w14:paraId="037A8987"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During the period from September 2017 to June 2021, 145 DDLT cases were included in the present study. Of the total patients included, 88 (60.6%) presented any further stage of postoperative AKI during the 7-d follow-up, 22 (15.1%) developed stage 1 AKI, 36 (24.8%) developed stage 2, and 30 (20.6%) developed stage 3 AKI (Table 4); renal replacement therapy (RRT) was required in 12 patients (8.7%). All patients’ preoperative baseline information, donors, and grafts characteristics according to the occurrence of AKI are shown in Tables 5 and 6. The intraoperative data related to IOAH, blood derivatives transfusion, and piggy-back clamping, and laboratorial tests until the seventh postoperative (PO) day are shown in Table 7.</w:t>
      </w:r>
    </w:p>
    <w:p w14:paraId="0EFAB745"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In the LR analysis, Nagelkerke R2 statistic was 0.147. Hosmer and Lemeshow goodness of fit test was not significant at 5% (</w:t>
      </w:r>
      <w:r w:rsidRPr="00E87351">
        <w:rPr>
          <w:rFonts w:ascii="Book Antiqua" w:eastAsia="Book Antiqua" w:hAnsi="Book Antiqua" w:cs="Book Antiqua"/>
          <w:i/>
          <w:iCs/>
          <w:color w:val="000000"/>
        </w:rPr>
        <w:t>P</w:t>
      </w:r>
      <w:r w:rsidRPr="00E87351">
        <w:rPr>
          <w:rFonts w:ascii="Book Antiqua" w:eastAsia="Book Antiqua" w:hAnsi="Book Antiqua" w:cs="Book Antiqua"/>
          <w:color w:val="000000"/>
        </w:rPr>
        <w:t xml:space="preserve"> = 0.247). The six following factors were confirmed as predictors (Table 8): Biological (not adjusted) MELD score ≥ 25 (OR = 1.999, 95%CI = 1.586-2.503, </w:t>
      </w:r>
      <w:r w:rsidRPr="00E87351">
        <w:rPr>
          <w:rFonts w:ascii="Book Antiqua" w:eastAsia="Book Antiqua" w:hAnsi="Book Antiqua" w:cs="Book Antiqua"/>
          <w:i/>
          <w:color w:val="000000"/>
        </w:rPr>
        <w:t xml:space="preserve">P &lt; </w:t>
      </w:r>
      <w:r w:rsidRPr="00E87351">
        <w:rPr>
          <w:rFonts w:ascii="Book Antiqua" w:eastAsia="Book Antiqua" w:hAnsi="Book Antiqua" w:cs="Book Antiqua"/>
          <w:color w:val="000000"/>
        </w:rPr>
        <w:t xml:space="preserve">0.001), pre-existing KD (OR = 1.279, 95%CI = 0.916-1.686, </w:t>
      </w:r>
      <w:r w:rsidRPr="00E87351">
        <w:rPr>
          <w:rFonts w:ascii="Book Antiqua" w:eastAsia="Book Antiqua" w:hAnsi="Book Antiqua" w:cs="Book Antiqua"/>
          <w:i/>
          <w:color w:val="000000"/>
        </w:rPr>
        <w:t xml:space="preserve">P &lt; </w:t>
      </w:r>
      <w:r w:rsidRPr="00E87351">
        <w:rPr>
          <w:rFonts w:ascii="Book Antiqua" w:eastAsia="Book Antiqua" w:hAnsi="Book Antiqua" w:cs="Book Antiqua"/>
          <w:color w:val="000000"/>
        </w:rPr>
        <w:t xml:space="preserve">0.001), ECD (OR = 1.191, 95%CI = 0.711-1.787, </w:t>
      </w:r>
      <w:r w:rsidRPr="00E87351">
        <w:rPr>
          <w:rFonts w:ascii="Book Antiqua" w:eastAsia="Book Antiqua" w:hAnsi="Book Antiqua" w:cs="Book Antiqua"/>
          <w:i/>
          <w:iCs/>
          <w:color w:val="000000"/>
        </w:rPr>
        <w:t>P</w:t>
      </w:r>
      <w:r w:rsidRPr="00E87351">
        <w:rPr>
          <w:rFonts w:ascii="Book Antiqua" w:eastAsia="Book Antiqua" w:hAnsi="Book Antiqua" w:cs="Book Antiqua"/>
          <w:color w:val="000000"/>
        </w:rPr>
        <w:t xml:space="preserve"> = 0.002), IOAH (OR = 1.935, 95%CI = 1.505-2.344,</w:t>
      </w:r>
      <w:r w:rsidRPr="00E87351">
        <w:rPr>
          <w:rFonts w:ascii="Book Antiqua" w:eastAsia="Book Antiqua" w:hAnsi="Book Antiqua" w:cs="Book Antiqua"/>
          <w:i/>
          <w:color w:val="000000"/>
        </w:rPr>
        <w:t xml:space="preserve"> P &lt; </w:t>
      </w:r>
      <w:r w:rsidRPr="00E87351">
        <w:rPr>
          <w:rFonts w:ascii="Book Antiqua" w:eastAsia="Book Antiqua" w:hAnsi="Book Antiqua" w:cs="Book Antiqua"/>
          <w:color w:val="000000"/>
        </w:rPr>
        <w:t>0.001), MBT (OR = 1.830, 95%CI = 1.428-2.241,</w:t>
      </w:r>
      <w:r w:rsidRPr="00E87351">
        <w:rPr>
          <w:rFonts w:ascii="Book Antiqua" w:eastAsia="Book Antiqua" w:hAnsi="Book Antiqua" w:cs="Book Antiqua"/>
          <w:i/>
          <w:color w:val="000000"/>
        </w:rPr>
        <w:t xml:space="preserve"> P &lt; </w:t>
      </w:r>
      <w:r w:rsidRPr="00E87351">
        <w:rPr>
          <w:rFonts w:ascii="Book Antiqua" w:eastAsia="Book Antiqua" w:hAnsi="Book Antiqua" w:cs="Book Antiqua"/>
          <w:color w:val="000000"/>
        </w:rPr>
        <w:t>0.001), serum lactate at the end of LT (OR = 2.001, 95%CI = 1.616-2.421,</w:t>
      </w:r>
      <w:r w:rsidRPr="00E87351">
        <w:rPr>
          <w:rFonts w:ascii="Book Antiqua" w:eastAsia="Book Antiqua" w:hAnsi="Book Antiqua" w:cs="Book Antiqua"/>
          <w:i/>
          <w:color w:val="000000"/>
        </w:rPr>
        <w:t xml:space="preserve"> P &lt; </w:t>
      </w:r>
      <w:r w:rsidRPr="00E87351">
        <w:rPr>
          <w:rFonts w:ascii="Book Antiqua" w:eastAsia="Book Antiqua" w:hAnsi="Book Antiqua" w:cs="Book Antiqua"/>
          <w:color w:val="000000"/>
        </w:rPr>
        <w:t>0.001). The relationships between the significant variables were explored by a relationship map detailed in Figure 1.</w:t>
      </w:r>
    </w:p>
    <w:p w14:paraId="43558086"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Data of the two models with regard to AUROC for predicting AKI of all stages are detailed in Figure 2. ANN had the largest test AUROC (0.81, 95%CI: 0.75-0.83) and highest accuracy (0.68) than LR analysis [AUROC (0.71, 95%CI: 0.67 to 0.76), accuracy = 0.68].</w:t>
      </w:r>
    </w:p>
    <w:p w14:paraId="42305FD5"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 xml:space="preserve"> Importance plot for ANN is shown in Figure 3 (KD and MELD score ranked first and second, respectively). Multilayer perceptron ANN presented one hidden layer by hyperbolic tangent activation function with four nodes in the layer, as presented in the </w:t>
      </w:r>
      <w:r w:rsidRPr="00E87351">
        <w:rPr>
          <w:rFonts w:ascii="Book Antiqua" w:eastAsia="Book Antiqua" w:hAnsi="Book Antiqua" w:cs="Book Antiqua"/>
          <w:color w:val="000000"/>
        </w:rPr>
        <w:lastRenderedPageBreak/>
        <w:t>ANN structural model diagram (Figure 4), and the prediction RMSE was 0.47 and the prediction MAE was 0.38.</w:t>
      </w:r>
    </w:p>
    <w:p w14:paraId="54D94F56" w14:textId="77777777" w:rsidR="00703676" w:rsidRPr="00E87351" w:rsidRDefault="00703676">
      <w:pPr>
        <w:spacing w:line="360" w:lineRule="auto"/>
        <w:jc w:val="both"/>
        <w:rPr>
          <w:rFonts w:ascii="Book Antiqua" w:eastAsia="Book Antiqua" w:hAnsi="Book Antiqua" w:cs="Book Antiqua"/>
          <w:b/>
          <w:caps/>
          <w:color w:val="000000"/>
          <w:u w:val="single"/>
        </w:rPr>
      </w:pPr>
    </w:p>
    <w:p w14:paraId="2FC571BB"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aps/>
          <w:color w:val="000000"/>
          <w:u w:val="single"/>
        </w:rPr>
        <w:t>DISCUSSION</w:t>
      </w:r>
    </w:p>
    <w:p w14:paraId="44A8E475"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As described elsewhere</w:t>
      </w:r>
      <w:r w:rsidRPr="00E87351">
        <w:rPr>
          <w:rFonts w:ascii="Book Antiqua" w:eastAsia="Book Antiqua" w:hAnsi="Book Antiqua" w:cs="Book Antiqua"/>
          <w:color w:val="000000"/>
          <w:vertAlign w:val="superscript"/>
        </w:rPr>
        <w:t>[36]</w:t>
      </w:r>
      <w:r w:rsidRPr="00E87351">
        <w:rPr>
          <w:rFonts w:ascii="Book Antiqua" w:eastAsia="Book Antiqua" w:hAnsi="Book Antiqua" w:cs="Book Antiqua"/>
          <w:color w:val="000000"/>
        </w:rPr>
        <w:t xml:space="preserve">, the findings in the present study demonstrated a high incidence of postoperative AKI, and the predictive ability of ANN and LR models for this complication. An important point in this research is that AKI prediction was focused on the identification of significant risk factors at the end of the procedure, thus enabling the adoption of preventive measures or early therapies for AKI in the postoperative period. </w:t>
      </w:r>
    </w:p>
    <w:p w14:paraId="1E5127F6"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In the present study, the severity of chronic liver disease, pre-existing KD, marginal grafts, hemodynamic instability, MBT, and consequent inadequate tissue perfusion during LT were predictors</w:t>
      </w:r>
      <w:r w:rsidRPr="00E87351">
        <w:rPr>
          <w:rFonts w:ascii="Book Antiqua" w:eastAsia="Book Antiqua" w:hAnsi="Book Antiqua" w:cs="Book Antiqua"/>
          <w:b/>
          <w:bCs/>
          <w:color w:val="000000"/>
        </w:rPr>
        <w:t xml:space="preserve"> </w:t>
      </w:r>
      <w:r w:rsidRPr="00E87351">
        <w:rPr>
          <w:rFonts w:ascii="Book Antiqua" w:eastAsia="Book Antiqua" w:hAnsi="Book Antiqua" w:cs="Book Antiqua"/>
          <w:color w:val="000000"/>
        </w:rPr>
        <w:t xml:space="preserve">of AKI after DDLT, and the relationship map illustrated through a visual pattern, the relationship between the variables, although it is important to understand that a visual relationship does not always mean statistical causation. As demonstrated in our study, in the case of machine learning-based techniques, the importance of each variable in the dataset can be indicated by the characteristic importance measure, which can improve the transparency of the algorithm according to He </w:t>
      </w:r>
      <w:r w:rsidRPr="00E87351">
        <w:rPr>
          <w:rFonts w:ascii="Book Antiqua" w:eastAsia="Book Antiqua" w:hAnsi="Book Antiqua" w:cs="Book Antiqua"/>
          <w:i/>
          <w:iCs/>
          <w:color w:val="000000"/>
        </w:rPr>
        <w:t>et al</w:t>
      </w:r>
      <w:r w:rsidRPr="00E87351">
        <w:rPr>
          <w:rFonts w:ascii="Book Antiqua" w:eastAsia="Book Antiqua" w:hAnsi="Book Antiqua" w:cs="Book Antiqua"/>
          <w:i/>
          <w:iCs/>
          <w:color w:val="000000"/>
          <w:vertAlign w:val="superscript"/>
        </w:rPr>
        <w:t>[</w:t>
      </w:r>
      <w:r w:rsidRPr="00E87351">
        <w:rPr>
          <w:rFonts w:ascii="Book Antiqua" w:eastAsia="Book Antiqua" w:hAnsi="Book Antiqua" w:cs="Book Antiqua"/>
          <w:color w:val="000000"/>
          <w:vertAlign w:val="superscript"/>
        </w:rPr>
        <w:t>20]</w:t>
      </w:r>
      <w:r w:rsidRPr="00E87351">
        <w:rPr>
          <w:rFonts w:ascii="Book Antiqua" w:eastAsia="Book Antiqua" w:hAnsi="Book Antiqua" w:cs="Book Antiqua"/>
          <w:color w:val="000000"/>
        </w:rPr>
        <w:t>.</w:t>
      </w:r>
    </w:p>
    <w:p w14:paraId="2A76B879" w14:textId="77777777" w:rsidR="00703676" w:rsidRPr="00E87351" w:rsidRDefault="00AA5AC6">
      <w:pPr>
        <w:spacing w:line="360" w:lineRule="auto"/>
        <w:ind w:firstLineChars="200" w:firstLine="480"/>
        <w:jc w:val="both"/>
        <w:rPr>
          <w:rFonts w:ascii="Book Antiqua" w:hAnsi="Book Antiqua"/>
        </w:rPr>
      </w:pPr>
      <w:r w:rsidRPr="00E87351">
        <w:rPr>
          <w:rFonts w:ascii="Book Antiqua" w:eastAsia="Book Antiqua" w:hAnsi="Book Antiqua" w:cs="Book Antiqua"/>
          <w:color w:val="000000"/>
        </w:rPr>
        <w:t>According to our results, ANN had larger AUROC and higher accuracy to predict AKI after DDLT than LR, which is consistent with the previous study with different machine learning tools, whereas the performance of the ANN was inferior to that of all other machine learning techniques in prediction of AKI after LT</w:t>
      </w:r>
      <w:r w:rsidRPr="00E87351">
        <w:rPr>
          <w:rFonts w:ascii="Book Antiqua" w:eastAsia="Book Antiqua" w:hAnsi="Book Antiqua" w:cs="Book Antiqua"/>
          <w:color w:val="000000"/>
          <w:vertAlign w:val="superscript"/>
        </w:rPr>
        <w:t>[19]</w:t>
      </w:r>
      <w:r w:rsidRPr="00E87351">
        <w:rPr>
          <w:rFonts w:ascii="Book Antiqua" w:eastAsia="Book Antiqua" w:hAnsi="Book Antiqua" w:cs="Book Antiqua"/>
          <w:color w:val="000000"/>
        </w:rPr>
        <w:t>. Multilayer perceptron has already been associated to a good performance in predicting in-hospital mortality, reinforcing the good performance of ANN to predict clinical outcomes, although there have been some reports that the performance of the machine learning techniques is not superior to that of LR model in predicting mortality</w:t>
      </w:r>
      <w:r w:rsidRPr="00E87351">
        <w:rPr>
          <w:rFonts w:ascii="Book Antiqua" w:eastAsia="Book Antiqua" w:hAnsi="Book Antiqua" w:cs="Book Antiqua"/>
          <w:color w:val="000000"/>
          <w:vertAlign w:val="superscript"/>
        </w:rPr>
        <w:t>[18]</w:t>
      </w:r>
      <w:r w:rsidRPr="00E87351">
        <w:rPr>
          <w:rFonts w:ascii="Book Antiqua" w:eastAsia="Book Antiqua" w:hAnsi="Book Antiqua" w:cs="Book Antiqua"/>
          <w:color w:val="000000"/>
        </w:rPr>
        <w:t xml:space="preserve">. </w:t>
      </w:r>
    </w:p>
    <w:p w14:paraId="278FC4F6"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Regarding the risk factors identified in the present research, several other authors have already described that higher MELD scores</w:t>
      </w:r>
      <w:r w:rsidRPr="00E87351">
        <w:rPr>
          <w:rFonts w:ascii="Book Antiqua" w:eastAsia="Book Antiqua" w:hAnsi="Book Antiqua" w:cs="Book Antiqua"/>
          <w:color w:val="000000"/>
          <w:vertAlign w:val="superscript"/>
        </w:rPr>
        <w:t>[37]</w:t>
      </w:r>
      <w:r w:rsidRPr="00E87351">
        <w:rPr>
          <w:rFonts w:ascii="Book Antiqua" w:eastAsia="Book Antiqua" w:hAnsi="Book Antiqua" w:cs="Book Antiqua"/>
          <w:color w:val="000000"/>
        </w:rPr>
        <w:t xml:space="preserve"> were associated with AKI after LT</w:t>
      </w:r>
      <w:r w:rsidRPr="00E87351">
        <w:rPr>
          <w:rFonts w:ascii="Book Antiqua" w:eastAsia="Book Antiqua" w:hAnsi="Book Antiqua" w:cs="Book Antiqua"/>
          <w:color w:val="000000"/>
          <w:vertAlign w:val="superscript"/>
        </w:rPr>
        <w:t>[20,38]</w:t>
      </w:r>
      <w:r w:rsidRPr="00E87351">
        <w:rPr>
          <w:rFonts w:ascii="Book Antiqua" w:eastAsia="Book Antiqua" w:hAnsi="Book Antiqua" w:cs="Book Antiqua"/>
          <w:color w:val="000000"/>
        </w:rPr>
        <w:t xml:space="preserve">. Xu </w:t>
      </w:r>
      <w:r w:rsidRPr="00E87351">
        <w:rPr>
          <w:rFonts w:ascii="Book Antiqua" w:eastAsia="Book Antiqua" w:hAnsi="Book Antiqua" w:cs="Book Antiqua"/>
          <w:i/>
          <w:iCs/>
          <w:color w:val="000000"/>
        </w:rPr>
        <w:t>et al</w:t>
      </w:r>
      <w:r w:rsidRPr="00E87351">
        <w:rPr>
          <w:rFonts w:ascii="Book Antiqua" w:eastAsia="Book Antiqua" w:hAnsi="Book Antiqua" w:cs="Book Antiqua"/>
          <w:i/>
          <w:iCs/>
          <w:color w:val="000000"/>
          <w:vertAlign w:val="superscript"/>
        </w:rPr>
        <w:t>[</w:t>
      </w:r>
      <w:r w:rsidRPr="00E87351">
        <w:rPr>
          <w:rFonts w:ascii="Book Antiqua" w:eastAsia="Book Antiqua" w:hAnsi="Book Antiqua" w:cs="Book Antiqua"/>
          <w:color w:val="000000"/>
          <w:vertAlign w:val="superscript"/>
        </w:rPr>
        <w:t>21]</w:t>
      </w:r>
      <w:r w:rsidRPr="00E87351">
        <w:rPr>
          <w:rFonts w:ascii="Book Antiqua" w:eastAsia="Book Antiqua" w:hAnsi="Book Antiqua" w:cs="Book Antiqua"/>
          <w:color w:val="000000"/>
        </w:rPr>
        <w:t xml:space="preserve"> showed that MELD score &gt; 25 was a predictor of AKI, and in patients </w:t>
      </w:r>
      <w:r w:rsidRPr="00E87351">
        <w:rPr>
          <w:rFonts w:ascii="Book Antiqua" w:eastAsia="Book Antiqua" w:hAnsi="Book Antiqua" w:cs="Book Antiqua"/>
          <w:color w:val="000000"/>
        </w:rPr>
        <w:lastRenderedPageBreak/>
        <w:t>with MELD scores &gt; 30, the most required RRT</w:t>
      </w:r>
      <w:r w:rsidRPr="00E87351">
        <w:rPr>
          <w:rFonts w:ascii="Book Antiqua" w:eastAsia="Book Antiqua" w:hAnsi="Book Antiqua" w:cs="Book Antiqua"/>
          <w:color w:val="000000"/>
          <w:vertAlign w:val="superscript"/>
        </w:rPr>
        <w:t>[11,39]</w:t>
      </w:r>
      <w:r w:rsidRPr="00E87351">
        <w:rPr>
          <w:rFonts w:ascii="Book Antiqua" w:eastAsia="Book Antiqua" w:hAnsi="Book Antiqua" w:cs="Book Antiqua"/>
          <w:color w:val="000000"/>
        </w:rPr>
        <w:t>.</w:t>
      </w:r>
      <w:r w:rsidRPr="00E87351">
        <w:rPr>
          <w:rFonts w:ascii="Book Antiqua" w:eastAsia="Book Antiqua" w:hAnsi="Book Antiqua" w:cs="Book Antiqua"/>
          <w:color w:val="000000"/>
          <w:vertAlign w:val="superscript"/>
        </w:rPr>
        <w:t xml:space="preserve"> </w:t>
      </w:r>
      <w:r w:rsidRPr="00E87351">
        <w:rPr>
          <w:rStyle w:val="y2iqfc"/>
          <w:rFonts w:ascii="Book Antiqua" w:eastAsia="Book Antiqua" w:hAnsi="Book Antiqua" w:cs="Book Antiqua"/>
          <w:color w:val="000000"/>
        </w:rPr>
        <w:t xml:space="preserve">Moreover, in the cirrhosis scenario, the functional renal disorders can be added as risk factors for AKI, such as recipient </w:t>
      </w:r>
      <w:r w:rsidRPr="00E87351">
        <w:rPr>
          <w:rFonts w:ascii="Book Antiqua" w:eastAsia="Book Antiqua" w:hAnsi="Book Antiqua" w:cs="Book Antiqua"/>
          <w:color w:val="000000"/>
        </w:rPr>
        <w:t>HRS</w:t>
      </w:r>
      <w:r w:rsidRPr="00E87351">
        <w:rPr>
          <w:rFonts w:ascii="Book Antiqua" w:hAnsi="Book Antiqua" w:cs="Book Antiqua"/>
          <w:color w:val="000000"/>
          <w:vertAlign w:val="superscript"/>
          <w:lang w:eastAsia="zh-CN"/>
        </w:rPr>
        <w:t>[</w:t>
      </w:r>
      <w:r w:rsidRPr="00E87351">
        <w:rPr>
          <w:rFonts w:ascii="Book Antiqua" w:eastAsia="Book Antiqua" w:hAnsi="Book Antiqua" w:cs="Book Antiqua"/>
          <w:color w:val="000000"/>
          <w:vertAlign w:val="superscript"/>
        </w:rPr>
        <w:t>11,23,40</w:t>
      </w:r>
      <w:r w:rsidRPr="00E87351">
        <w:rPr>
          <w:rFonts w:ascii="Book Antiqua" w:hAnsi="Book Antiqua" w:cs="Book Antiqua"/>
          <w:color w:val="000000"/>
          <w:vertAlign w:val="superscript"/>
          <w:lang w:eastAsia="zh-CN"/>
        </w:rPr>
        <w:t>]</w:t>
      </w:r>
      <w:r w:rsidRPr="00E87351">
        <w:rPr>
          <w:rFonts w:ascii="Book Antiqua" w:eastAsia="Book Antiqua" w:hAnsi="Book Antiqua" w:cs="Book Antiqua"/>
          <w:color w:val="000000"/>
        </w:rPr>
        <w:t>. Donor marginal liver grafts of ECD were identified elsewhere as a strong predictor of PGD</w:t>
      </w:r>
      <w:r w:rsidRPr="00E87351">
        <w:rPr>
          <w:rFonts w:ascii="Book Antiqua" w:eastAsia="Book Antiqua" w:hAnsi="Book Antiqua" w:cs="Book Antiqua"/>
          <w:color w:val="000000"/>
          <w:vertAlign w:val="superscript"/>
        </w:rPr>
        <w:t>[24-26]</w:t>
      </w:r>
      <w:r w:rsidRPr="00E87351">
        <w:rPr>
          <w:rFonts w:ascii="Book Antiqua" w:eastAsia="Book Antiqua" w:hAnsi="Book Antiqua" w:cs="Book Antiqua"/>
          <w:color w:val="000000"/>
        </w:rPr>
        <w:t xml:space="preserve"> and post-LT AKI</w:t>
      </w:r>
      <w:r w:rsidRPr="00E87351">
        <w:rPr>
          <w:rFonts w:ascii="Book Antiqua" w:eastAsia="Book Antiqua" w:hAnsi="Book Antiqua" w:cs="Book Antiqua"/>
          <w:color w:val="000000"/>
          <w:vertAlign w:val="superscript"/>
        </w:rPr>
        <w:t>[20]</w:t>
      </w:r>
      <w:r w:rsidRPr="00E87351">
        <w:rPr>
          <w:rFonts w:ascii="Book Antiqua" w:eastAsia="Book Antiqua" w:hAnsi="Book Antiqua" w:cs="Book Antiqua"/>
          <w:color w:val="000000"/>
        </w:rPr>
        <w:t>. Patients undergoing LT can experience IOAH and consequent AKI because of multiple factors, including the duration of surgery, massive bleeding</w:t>
      </w:r>
      <w:r w:rsidRPr="00E87351">
        <w:rPr>
          <w:rFonts w:ascii="Book Antiqua" w:eastAsia="Book Antiqua" w:hAnsi="Book Antiqua" w:cs="Book Antiqua"/>
          <w:color w:val="000000"/>
          <w:vertAlign w:val="superscript"/>
        </w:rPr>
        <w:t>[16,40-42]</w:t>
      </w:r>
      <w:r w:rsidRPr="00E87351">
        <w:rPr>
          <w:rFonts w:ascii="Book Antiqua" w:eastAsia="Book Antiqua" w:hAnsi="Book Antiqua" w:cs="Book Antiqua"/>
          <w:color w:val="000000"/>
        </w:rPr>
        <w:t>, the severity of the PRS</w:t>
      </w:r>
      <w:r w:rsidRPr="00E87351">
        <w:rPr>
          <w:rFonts w:ascii="Book Antiqua" w:eastAsia="Book Antiqua" w:hAnsi="Book Antiqua" w:cs="Book Antiqua"/>
          <w:color w:val="000000"/>
          <w:vertAlign w:val="superscript"/>
        </w:rPr>
        <w:t>[36,43,44]</w:t>
      </w:r>
      <w:r w:rsidRPr="00E87351">
        <w:rPr>
          <w:rFonts w:ascii="Book Antiqua" w:eastAsia="Book Antiqua" w:hAnsi="Book Antiqua" w:cs="Book Antiqua"/>
          <w:color w:val="000000"/>
        </w:rPr>
        <w:t>, and the severity of the end-stage liver disease</w:t>
      </w:r>
      <w:r w:rsidRPr="00E87351">
        <w:rPr>
          <w:rFonts w:ascii="Book Antiqua" w:eastAsia="Book Antiqua" w:hAnsi="Book Antiqua" w:cs="Book Antiqua"/>
          <w:color w:val="000000"/>
          <w:vertAlign w:val="superscript"/>
        </w:rPr>
        <w:t>[21,45-49]</w:t>
      </w:r>
      <w:r w:rsidRPr="00E87351">
        <w:rPr>
          <w:rFonts w:ascii="Book Antiqua" w:eastAsia="Book Antiqua" w:hAnsi="Book Antiqua" w:cs="Book Antiqua"/>
          <w:color w:val="000000"/>
        </w:rPr>
        <w:t>. In addition, MBT may be an additional risk factor for postoperative AKI</w:t>
      </w:r>
      <w:r w:rsidRPr="00E87351">
        <w:rPr>
          <w:rFonts w:ascii="Book Antiqua" w:eastAsia="Book Antiqua" w:hAnsi="Book Antiqua" w:cs="Book Antiqua"/>
          <w:color w:val="000000"/>
          <w:vertAlign w:val="superscript"/>
        </w:rPr>
        <w:t>[34,49,50]</w:t>
      </w:r>
      <w:r w:rsidRPr="00E87351">
        <w:rPr>
          <w:rFonts w:ascii="Book Antiqua" w:eastAsia="Book Antiqua" w:hAnsi="Book Antiqua" w:cs="Book Antiqua"/>
          <w:color w:val="000000"/>
        </w:rPr>
        <w:t>.</w:t>
      </w:r>
    </w:p>
    <w:p w14:paraId="5183E463" w14:textId="77777777" w:rsidR="00703676" w:rsidRPr="00E87351" w:rsidRDefault="00AA5AC6">
      <w:pPr>
        <w:spacing w:line="360" w:lineRule="auto"/>
        <w:ind w:firstLine="708"/>
        <w:jc w:val="both"/>
        <w:rPr>
          <w:rFonts w:ascii="Book Antiqua" w:hAnsi="Book Antiqua"/>
        </w:rPr>
      </w:pPr>
      <w:r w:rsidRPr="00E87351">
        <w:rPr>
          <w:rFonts w:ascii="Book Antiqua" w:eastAsia="Book Antiqua" w:hAnsi="Book Antiqua" w:cs="Book Antiqua"/>
          <w:color w:val="000000"/>
        </w:rPr>
        <w:t>The present retrospective study has important limitations, regarding sample size and moreover, the lack of evaluation of clinical outcomes of patients according to the occurrence of post-LT AKI, either for short or long-term evolution of patients. Despite these limitations, the high incidence of AKI reported highlights the importance of this issue, and the predictors identified may provide a focus for further research. ANN methods may provide feasible tools for forecasting AKI after LT, and perhaps provide a high-performance predictive model that may ultimately improve perioperative management of these patients at risk for this serious complication.</w:t>
      </w:r>
    </w:p>
    <w:p w14:paraId="4BDD8DB2" w14:textId="77777777" w:rsidR="00703676" w:rsidRPr="00E87351" w:rsidRDefault="00703676">
      <w:pPr>
        <w:spacing w:line="360" w:lineRule="auto"/>
        <w:ind w:firstLine="708"/>
        <w:jc w:val="both"/>
        <w:rPr>
          <w:rFonts w:ascii="Book Antiqua" w:hAnsi="Book Antiqua"/>
        </w:rPr>
      </w:pPr>
    </w:p>
    <w:p w14:paraId="0D91B671"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aps/>
          <w:color w:val="000000"/>
          <w:u w:val="single"/>
        </w:rPr>
        <w:t>CONCLUSION</w:t>
      </w:r>
    </w:p>
    <w:p w14:paraId="2A10B92F"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According to our results, the severity of chronic liver disease, pre-existing KD, marginal grafts, hemodynamic instability, MBT, and inadequate tissue perfusion during LT are predictors</w:t>
      </w:r>
      <w:r w:rsidRPr="00E87351">
        <w:rPr>
          <w:rFonts w:ascii="Book Antiqua" w:eastAsia="Book Antiqua" w:hAnsi="Book Antiqua" w:cs="Book Antiqua"/>
          <w:b/>
          <w:bCs/>
          <w:color w:val="000000"/>
        </w:rPr>
        <w:t xml:space="preserve"> </w:t>
      </w:r>
      <w:r w:rsidRPr="00E87351">
        <w:rPr>
          <w:rFonts w:ascii="Book Antiqua" w:eastAsia="Book Antiqua" w:hAnsi="Book Antiqua" w:cs="Book Antiqua"/>
          <w:color w:val="000000"/>
        </w:rPr>
        <w:t>of AKI after DDLT, and ANN has better prediction performance than LR in this scenario.</w:t>
      </w:r>
    </w:p>
    <w:p w14:paraId="5E9D1963" w14:textId="77777777" w:rsidR="00703676" w:rsidRPr="00E87351" w:rsidRDefault="00703676">
      <w:pPr>
        <w:spacing w:line="360" w:lineRule="auto"/>
        <w:ind w:firstLine="708"/>
        <w:jc w:val="both"/>
        <w:rPr>
          <w:rFonts w:ascii="Book Antiqua" w:hAnsi="Book Antiqua"/>
        </w:rPr>
      </w:pPr>
    </w:p>
    <w:p w14:paraId="4BE3D896"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aps/>
          <w:color w:val="000000"/>
          <w:u w:val="single"/>
        </w:rPr>
        <w:t>ARTICLE HIGHLIGHTS</w:t>
      </w:r>
    </w:p>
    <w:p w14:paraId="7EF8C25D"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i/>
          <w:color w:val="000000"/>
        </w:rPr>
        <w:t>Research background</w:t>
      </w:r>
    </w:p>
    <w:p w14:paraId="28455BC1" w14:textId="77777777" w:rsidR="00703676" w:rsidRPr="00E87351" w:rsidRDefault="00AA5AC6">
      <w:pPr>
        <w:spacing w:line="360" w:lineRule="auto"/>
        <w:jc w:val="both"/>
        <w:rPr>
          <w:rFonts w:ascii="Book Antiqua" w:hAnsi="Book Antiqua"/>
          <w:lang w:eastAsia="zh-CN"/>
        </w:rPr>
      </w:pPr>
      <w:r w:rsidRPr="00E87351">
        <w:rPr>
          <w:rFonts w:ascii="Book Antiqua" w:hAnsi="Book Antiqua" w:cs="Book Antiqua"/>
          <w:color w:val="000000"/>
          <w:lang w:eastAsia="zh-CN"/>
        </w:rPr>
        <w:t>A</w:t>
      </w:r>
      <w:r w:rsidRPr="00E87351">
        <w:rPr>
          <w:rFonts w:ascii="Book Antiqua" w:eastAsia="Book Antiqua" w:hAnsi="Book Antiqua" w:cs="Book Antiqua"/>
          <w:color w:val="000000"/>
        </w:rPr>
        <w:t>cute kidney injury (AKI) post-liver transplantation (LT) is a serious complication, and its prediction with validated tools is crucial</w:t>
      </w:r>
      <w:r w:rsidRPr="00E87351">
        <w:rPr>
          <w:rFonts w:ascii="Book Antiqua" w:hAnsi="Book Antiqua" w:cs="Book Antiqua"/>
          <w:color w:val="000000"/>
          <w:lang w:eastAsia="zh-CN"/>
        </w:rPr>
        <w:t>.</w:t>
      </w:r>
    </w:p>
    <w:p w14:paraId="07DDB93C" w14:textId="77777777" w:rsidR="00703676" w:rsidRPr="00E87351" w:rsidRDefault="00703676">
      <w:pPr>
        <w:spacing w:line="360" w:lineRule="auto"/>
        <w:jc w:val="both"/>
        <w:rPr>
          <w:rFonts w:ascii="Book Antiqua" w:hAnsi="Book Antiqua"/>
          <w:lang w:eastAsia="zh-CN"/>
        </w:rPr>
      </w:pPr>
    </w:p>
    <w:p w14:paraId="6017D629"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i/>
          <w:color w:val="000000"/>
        </w:rPr>
        <w:t>Research motivation</w:t>
      </w:r>
    </w:p>
    <w:p w14:paraId="0D7FD8E9" w14:textId="77777777" w:rsidR="00703676" w:rsidRPr="00E87351" w:rsidRDefault="00AA5AC6">
      <w:pPr>
        <w:spacing w:line="360" w:lineRule="auto"/>
        <w:jc w:val="both"/>
        <w:rPr>
          <w:rFonts w:ascii="Book Antiqua" w:hAnsi="Book Antiqua"/>
          <w:lang w:eastAsia="zh-CN"/>
        </w:rPr>
      </w:pPr>
      <w:r w:rsidRPr="00E87351">
        <w:rPr>
          <w:rFonts w:ascii="Book Antiqua" w:eastAsia="Book Antiqua" w:hAnsi="Book Antiqua" w:cs="Book Antiqua"/>
          <w:color w:val="000000"/>
        </w:rPr>
        <w:lastRenderedPageBreak/>
        <w:t>To improve the perioperative management of patient candidates for LT</w:t>
      </w:r>
      <w:r w:rsidRPr="00E87351">
        <w:rPr>
          <w:rFonts w:ascii="Book Antiqua" w:hAnsi="Book Antiqua" w:cs="Book Antiqua"/>
          <w:color w:val="000000"/>
          <w:lang w:eastAsia="zh-CN"/>
        </w:rPr>
        <w:t>.</w:t>
      </w:r>
    </w:p>
    <w:p w14:paraId="7CB11957" w14:textId="77777777" w:rsidR="00703676" w:rsidRPr="00E87351" w:rsidRDefault="00703676">
      <w:pPr>
        <w:spacing w:line="360" w:lineRule="auto"/>
        <w:jc w:val="both"/>
        <w:rPr>
          <w:rFonts w:ascii="Book Antiqua" w:hAnsi="Book Antiqua"/>
        </w:rPr>
      </w:pPr>
    </w:p>
    <w:p w14:paraId="31260F60"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i/>
          <w:color w:val="000000"/>
        </w:rPr>
        <w:t>Research objectives</w:t>
      </w:r>
    </w:p>
    <w:p w14:paraId="1C289797" w14:textId="77777777" w:rsidR="00703676" w:rsidRPr="00E87351" w:rsidRDefault="00AA5AC6">
      <w:pPr>
        <w:spacing w:line="360" w:lineRule="auto"/>
        <w:jc w:val="both"/>
        <w:rPr>
          <w:rFonts w:ascii="Book Antiqua" w:hAnsi="Book Antiqua"/>
          <w:lang w:eastAsia="zh-CN"/>
        </w:rPr>
      </w:pPr>
      <w:r w:rsidRPr="00E87351">
        <w:rPr>
          <w:rFonts w:ascii="Book Antiqua" w:hAnsi="Book Antiqua" w:cs="Book Antiqua"/>
          <w:color w:val="000000"/>
          <w:lang w:eastAsia="zh-CN"/>
        </w:rPr>
        <w:t>To i</w:t>
      </w:r>
      <w:r w:rsidRPr="00E87351">
        <w:rPr>
          <w:rFonts w:ascii="Book Antiqua" w:eastAsia="Book Antiqua" w:hAnsi="Book Antiqua" w:cs="Book Antiqua"/>
          <w:color w:val="000000"/>
        </w:rPr>
        <w:t>dentify the risk factors for AKI after deceased-donor liver transplantation (DDLT) and validate a prediction tool for this complication</w:t>
      </w:r>
      <w:r w:rsidRPr="00E87351">
        <w:rPr>
          <w:rFonts w:ascii="Book Antiqua" w:hAnsi="Book Antiqua" w:cs="Book Antiqua"/>
          <w:color w:val="000000"/>
          <w:lang w:eastAsia="zh-CN"/>
        </w:rPr>
        <w:t>.</w:t>
      </w:r>
    </w:p>
    <w:p w14:paraId="5C4C3ACB" w14:textId="77777777" w:rsidR="00703676" w:rsidRPr="00E87351" w:rsidRDefault="00703676">
      <w:pPr>
        <w:spacing w:line="360" w:lineRule="auto"/>
        <w:jc w:val="both"/>
        <w:rPr>
          <w:rFonts w:ascii="Book Antiqua" w:hAnsi="Book Antiqua"/>
        </w:rPr>
      </w:pPr>
    </w:p>
    <w:p w14:paraId="73786DC3"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i/>
          <w:color w:val="000000"/>
        </w:rPr>
        <w:t>Research methods</w:t>
      </w:r>
    </w:p>
    <w:p w14:paraId="6E17C0E2" w14:textId="77777777" w:rsidR="00703676" w:rsidRPr="00E87351" w:rsidRDefault="00AA5AC6">
      <w:pPr>
        <w:spacing w:line="360" w:lineRule="auto"/>
        <w:jc w:val="both"/>
        <w:rPr>
          <w:rFonts w:ascii="Book Antiqua" w:hAnsi="Book Antiqua"/>
          <w:lang w:eastAsia="zh-CN"/>
        </w:rPr>
      </w:pPr>
      <w:r w:rsidRPr="00E87351">
        <w:rPr>
          <w:rFonts w:ascii="Book Antiqua" w:hAnsi="Book Antiqua" w:cs="Book Antiqua"/>
          <w:color w:val="000000"/>
          <w:lang w:eastAsia="zh-CN"/>
        </w:rPr>
        <w:t>L</w:t>
      </w:r>
      <w:r w:rsidRPr="00E87351">
        <w:rPr>
          <w:rFonts w:ascii="Book Antiqua" w:eastAsia="Book Antiqua" w:hAnsi="Book Antiqua" w:cs="Book Antiqua"/>
          <w:color w:val="000000"/>
        </w:rPr>
        <w:t>ogistic regression (LR) analysis for predictor identification, and comparative analysis of artificial neural network</w:t>
      </w:r>
      <w:r w:rsidRPr="00E87351">
        <w:rPr>
          <w:rFonts w:ascii="Book Antiqua" w:hAnsi="Book Antiqua" w:cs="Book Antiqua"/>
          <w:color w:val="000000"/>
          <w:lang w:eastAsia="zh-CN"/>
        </w:rPr>
        <w:t xml:space="preserve"> (ANN)</w:t>
      </w:r>
      <w:r w:rsidRPr="00E87351">
        <w:rPr>
          <w:rFonts w:ascii="Book Antiqua" w:eastAsia="Book Antiqua" w:hAnsi="Book Antiqua" w:cs="Book Antiqua"/>
          <w:color w:val="000000"/>
        </w:rPr>
        <w:t xml:space="preserve"> and LR prediction performance were performed</w:t>
      </w:r>
      <w:r w:rsidRPr="00E87351">
        <w:rPr>
          <w:rFonts w:ascii="Book Antiqua" w:hAnsi="Book Antiqua" w:cs="Book Antiqua"/>
          <w:color w:val="000000"/>
          <w:lang w:eastAsia="zh-CN"/>
        </w:rPr>
        <w:t>.</w:t>
      </w:r>
    </w:p>
    <w:p w14:paraId="204F7F70" w14:textId="77777777" w:rsidR="00703676" w:rsidRPr="00E87351" w:rsidRDefault="00703676">
      <w:pPr>
        <w:spacing w:line="360" w:lineRule="auto"/>
        <w:jc w:val="both"/>
        <w:rPr>
          <w:rFonts w:ascii="Book Antiqua" w:hAnsi="Book Antiqua"/>
        </w:rPr>
      </w:pPr>
    </w:p>
    <w:p w14:paraId="24D89D5E"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i/>
          <w:color w:val="000000"/>
        </w:rPr>
        <w:t>Research results</w:t>
      </w:r>
    </w:p>
    <w:p w14:paraId="2519E309" w14:textId="77777777" w:rsidR="00703676" w:rsidRPr="00E87351" w:rsidRDefault="00AA5AC6">
      <w:pPr>
        <w:spacing w:line="360" w:lineRule="auto"/>
        <w:jc w:val="both"/>
        <w:rPr>
          <w:rFonts w:ascii="Book Antiqua" w:hAnsi="Book Antiqua"/>
          <w:lang w:eastAsia="zh-CN"/>
        </w:rPr>
      </w:pPr>
      <w:r w:rsidRPr="00E87351">
        <w:rPr>
          <w:rFonts w:ascii="Book Antiqua" w:eastAsia="Book Antiqua" w:hAnsi="Book Antiqua" w:cs="Book Antiqua"/>
          <w:color w:val="000000"/>
        </w:rPr>
        <w:t>The severity of liver disease, preexisting kidney dysfunction, marginal grafts, hemodynamic instability, massive blood transfusion, and SL were predictors</w:t>
      </w:r>
      <w:r w:rsidRPr="00E87351">
        <w:rPr>
          <w:rFonts w:ascii="Book Antiqua" w:eastAsia="Book Antiqua" w:hAnsi="Book Antiqua" w:cs="Book Antiqua"/>
          <w:b/>
          <w:bCs/>
          <w:color w:val="000000"/>
        </w:rPr>
        <w:t xml:space="preserve"> </w:t>
      </w:r>
      <w:r w:rsidRPr="00E87351">
        <w:rPr>
          <w:rFonts w:ascii="Book Antiqua" w:eastAsia="Book Antiqua" w:hAnsi="Book Antiqua" w:cs="Book Antiqua"/>
          <w:color w:val="000000"/>
        </w:rPr>
        <w:t>of postoperative AKI, and ANN had better prediction performance than LR</w:t>
      </w:r>
      <w:r w:rsidRPr="00E87351">
        <w:rPr>
          <w:rFonts w:ascii="Book Antiqua" w:hAnsi="Book Antiqua" w:cs="Book Antiqua"/>
          <w:color w:val="000000"/>
          <w:lang w:eastAsia="zh-CN"/>
        </w:rPr>
        <w:t>.</w:t>
      </w:r>
    </w:p>
    <w:p w14:paraId="6D279979" w14:textId="77777777" w:rsidR="00703676" w:rsidRPr="00E87351" w:rsidRDefault="00703676">
      <w:pPr>
        <w:spacing w:line="360" w:lineRule="auto"/>
        <w:jc w:val="both"/>
        <w:rPr>
          <w:rFonts w:ascii="Book Antiqua" w:eastAsia="Book Antiqua" w:hAnsi="Book Antiqua" w:cs="Book Antiqua"/>
          <w:b/>
          <w:i/>
          <w:color w:val="000000"/>
        </w:rPr>
      </w:pPr>
    </w:p>
    <w:p w14:paraId="2337A28E"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i/>
          <w:color w:val="000000"/>
        </w:rPr>
        <w:t>Research conclusions</w:t>
      </w:r>
    </w:p>
    <w:p w14:paraId="2863F522" w14:textId="77777777" w:rsidR="00703676" w:rsidRPr="00E87351" w:rsidRDefault="00AA5AC6">
      <w:pPr>
        <w:spacing w:line="360" w:lineRule="auto"/>
        <w:jc w:val="both"/>
        <w:rPr>
          <w:rFonts w:ascii="Book Antiqua" w:hAnsi="Book Antiqua"/>
          <w:lang w:eastAsia="zh-CN"/>
        </w:rPr>
      </w:pPr>
      <w:r w:rsidRPr="00E87351">
        <w:rPr>
          <w:rFonts w:ascii="Book Antiqua" w:eastAsia="Book Antiqua" w:hAnsi="Book Antiqua" w:cs="Book Antiqua"/>
          <w:color w:val="000000"/>
        </w:rPr>
        <w:t>ANN has better performance than the classical LR for AKI prediction</w:t>
      </w:r>
      <w:r w:rsidRPr="00E87351">
        <w:rPr>
          <w:rFonts w:ascii="Book Antiqua" w:hAnsi="Book Antiqua" w:cs="Book Antiqua"/>
          <w:color w:val="000000"/>
          <w:lang w:eastAsia="zh-CN"/>
        </w:rPr>
        <w:t xml:space="preserve"> after DDLT.</w:t>
      </w:r>
    </w:p>
    <w:p w14:paraId="1DBFE123" w14:textId="77777777" w:rsidR="00703676" w:rsidRPr="00E87351" w:rsidRDefault="00703676">
      <w:pPr>
        <w:spacing w:line="360" w:lineRule="auto"/>
        <w:jc w:val="both"/>
        <w:rPr>
          <w:rFonts w:ascii="Book Antiqua" w:hAnsi="Book Antiqua"/>
        </w:rPr>
      </w:pPr>
    </w:p>
    <w:p w14:paraId="652CAFA3"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i/>
          <w:color w:val="000000"/>
        </w:rPr>
        <w:t>Research perspectives</w:t>
      </w:r>
    </w:p>
    <w:p w14:paraId="7E5AFBB1" w14:textId="77777777" w:rsidR="00703676" w:rsidRPr="00E87351" w:rsidRDefault="00AA5AC6">
      <w:pPr>
        <w:spacing w:line="360" w:lineRule="auto"/>
        <w:jc w:val="both"/>
        <w:rPr>
          <w:rFonts w:ascii="Book Antiqua" w:hAnsi="Book Antiqua"/>
          <w:lang w:eastAsia="zh-CN"/>
        </w:rPr>
      </w:pPr>
      <w:r w:rsidRPr="00E87351">
        <w:rPr>
          <w:rFonts w:ascii="Book Antiqua" w:eastAsia="Book Antiqua" w:hAnsi="Book Antiqua" w:cs="Book Antiqua"/>
          <w:color w:val="000000"/>
        </w:rPr>
        <w:t>A risk score of AKI after DDLT can be developed according to these identified predictors</w:t>
      </w:r>
      <w:r w:rsidRPr="00E87351">
        <w:rPr>
          <w:rFonts w:ascii="Book Antiqua" w:hAnsi="Book Antiqua" w:cs="Book Antiqua"/>
          <w:color w:val="000000"/>
          <w:lang w:eastAsia="zh-CN"/>
        </w:rPr>
        <w:t>.</w:t>
      </w:r>
    </w:p>
    <w:p w14:paraId="0376C2B2" w14:textId="77777777" w:rsidR="00703676" w:rsidRPr="00E87351" w:rsidRDefault="00703676">
      <w:pPr>
        <w:spacing w:line="360" w:lineRule="auto"/>
        <w:jc w:val="both"/>
        <w:rPr>
          <w:rFonts w:ascii="Book Antiqua" w:hAnsi="Book Antiqua"/>
        </w:rPr>
      </w:pPr>
    </w:p>
    <w:p w14:paraId="7E17D0D8"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REFERENCES</w:t>
      </w:r>
    </w:p>
    <w:p w14:paraId="72B3F8C9"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 </w:t>
      </w:r>
      <w:r w:rsidRPr="00E87351">
        <w:rPr>
          <w:rFonts w:ascii="Book Antiqua" w:eastAsia="Book Antiqua" w:hAnsi="Book Antiqua" w:cs="Book Antiqua"/>
          <w:b/>
          <w:bCs/>
          <w:color w:val="000000" w:themeColor="text1"/>
        </w:rPr>
        <w:t>Clavien PA</w:t>
      </w:r>
      <w:r w:rsidRPr="00E87351">
        <w:rPr>
          <w:rFonts w:ascii="Book Antiqua" w:eastAsia="Book Antiqua" w:hAnsi="Book Antiqua" w:cs="Book Antiqua"/>
          <w:color w:val="000000" w:themeColor="text1"/>
        </w:rPr>
        <w:t xml:space="preserve">, Petrowsky H, DeOliveira ML, Graf R. Strategies for safer liver surgery and partial liver transplantation. </w:t>
      </w:r>
      <w:r w:rsidRPr="00E87351">
        <w:rPr>
          <w:rFonts w:ascii="Book Antiqua" w:eastAsia="Book Antiqua" w:hAnsi="Book Antiqua" w:cs="Book Antiqua"/>
          <w:i/>
          <w:iCs/>
          <w:color w:val="000000" w:themeColor="text1"/>
        </w:rPr>
        <w:t>N Engl J Med</w:t>
      </w:r>
      <w:r w:rsidRPr="00E87351">
        <w:rPr>
          <w:rFonts w:ascii="Book Antiqua" w:eastAsia="Book Antiqua" w:hAnsi="Book Antiqua" w:cs="Book Antiqua"/>
          <w:color w:val="000000" w:themeColor="text1"/>
        </w:rPr>
        <w:t xml:space="preserve"> 2007; </w:t>
      </w:r>
      <w:r w:rsidRPr="00E87351">
        <w:rPr>
          <w:rFonts w:ascii="Book Antiqua" w:eastAsia="Book Antiqua" w:hAnsi="Book Antiqua" w:cs="Book Antiqua"/>
          <w:b/>
          <w:bCs/>
          <w:color w:val="000000" w:themeColor="text1"/>
        </w:rPr>
        <w:t>356</w:t>
      </w:r>
      <w:r w:rsidRPr="00E87351">
        <w:rPr>
          <w:rFonts w:ascii="Book Antiqua" w:eastAsia="Book Antiqua" w:hAnsi="Book Antiqua" w:cs="Book Antiqua"/>
          <w:color w:val="000000" w:themeColor="text1"/>
        </w:rPr>
        <w:t>: 1545-1559 [PMID: 17429086 DOI: 10.1056/nejmra065156]</w:t>
      </w:r>
    </w:p>
    <w:p w14:paraId="7D5C1CD8"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 </w:t>
      </w:r>
      <w:r w:rsidRPr="00E87351">
        <w:rPr>
          <w:rFonts w:ascii="Book Antiqua" w:eastAsia="Book Antiqua" w:hAnsi="Book Antiqua" w:cs="Book Antiqua"/>
          <w:b/>
          <w:bCs/>
          <w:color w:val="000000" w:themeColor="text1"/>
        </w:rPr>
        <w:t>Thongprayoon C</w:t>
      </w:r>
      <w:r w:rsidRPr="00E87351">
        <w:rPr>
          <w:rFonts w:ascii="Book Antiqua" w:eastAsia="Book Antiqua" w:hAnsi="Book Antiqua" w:cs="Book Antiqua"/>
          <w:color w:val="000000" w:themeColor="text1"/>
        </w:rPr>
        <w:t xml:space="preserve">, Kaewput W, Thamcharoen N, Bathini T, Watthanasuntorn K, Lertjitbanjong P, Sharma K, Salim SA, Ungprasert P, Wijarnpreecha K, Kröner PT, Aeddula NR, Mao MA, Cheungpasitporn W. Incidence and Impact of Acute Kidney </w:t>
      </w:r>
      <w:r w:rsidRPr="00E87351">
        <w:rPr>
          <w:rFonts w:ascii="Book Antiqua" w:eastAsia="Book Antiqua" w:hAnsi="Book Antiqua" w:cs="Book Antiqua"/>
          <w:color w:val="000000" w:themeColor="text1"/>
        </w:rPr>
        <w:lastRenderedPageBreak/>
        <w:t xml:space="preserve">Injury after Liver Transplantation: A Meta-Analysis. </w:t>
      </w:r>
      <w:r w:rsidRPr="00E87351">
        <w:rPr>
          <w:rFonts w:ascii="Book Antiqua" w:eastAsia="Book Antiqua" w:hAnsi="Book Antiqua" w:cs="Book Antiqua"/>
          <w:i/>
          <w:iCs/>
          <w:color w:val="000000" w:themeColor="text1"/>
        </w:rPr>
        <w:t>J Clin Med</w:t>
      </w:r>
      <w:r w:rsidRPr="00E87351">
        <w:rPr>
          <w:rFonts w:ascii="Book Antiqua" w:eastAsia="Book Antiqua" w:hAnsi="Book Antiqua" w:cs="Book Antiqua"/>
          <w:color w:val="000000" w:themeColor="text1"/>
        </w:rPr>
        <w:t xml:space="preserve"> 2019; </w:t>
      </w:r>
      <w:r w:rsidRPr="00E87351">
        <w:rPr>
          <w:rFonts w:ascii="Book Antiqua" w:eastAsia="Book Antiqua" w:hAnsi="Book Antiqua" w:cs="Book Antiqua"/>
          <w:b/>
          <w:bCs/>
          <w:color w:val="000000" w:themeColor="text1"/>
        </w:rPr>
        <w:t>8</w:t>
      </w:r>
      <w:r w:rsidRPr="00E87351">
        <w:rPr>
          <w:rFonts w:ascii="Book Antiqua" w:eastAsia="Book Antiqua" w:hAnsi="Book Antiqua" w:cs="Book Antiqua"/>
          <w:color w:val="000000" w:themeColor="text1"/>
        </w:rPr>
        <w:t xml:space="preserve"> [PMID: 30884912 DOI: 10.3390/jcm8030372]</w:t>
      </w:r>
    </w:p>
    <w:p w14:paraId="51CB84FA"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 </w:t>
      </w:r>
      <w:r w:rsidRPr="00E87351">
        <w:rPr>
          <w:rFonts w:ascii="Book Antiqua" w:eastAsia="Book Antiqua" w:hAnsi="Book Antiqua" w:cs="Book Antiqua"/>
          <w:b/>
          <w:bCs/>
          <w:color w:val="000000" w:themeColor="text1"/>
        </w:rPr>
        <w:t>Levey AS</w:t>
      </w:r>
      <w:r w:rsidRPr="00E87351">
        <w:rPr>
          <w:rFonts w:ascii="Book Antiqua" w:eastAsia="Book Antiqua" w:hAnsi="Book Antiqua" w:cs="Book Antiqua"/>
          <w:color w:val="000000" w:themeColor="text1"/>
        </w:rPr>
        <w:t xml:space="preserve">, Bosch JP, Lewis JB, Greene T, Rogers N, Roth D. A more accurate method to estimate glomerular filtration rate from serum creatinine: a new prediction equation. Modification of Diet in Renal Disease Study Group. </w:t>
      </w:r>
      <w:r w:rsidRPr="00E87351">
        <w:rPr>
          <w:rFonts w:ascii="Book Antiqua" w:eastAsia="Book Antiqua" w:hAnsi="Book Antiqua" w:cs="Book Antiqua"/>
          <w:i/>
          <w:iCs/>
          <w:color w:val="000000" w:themeColor="text1"/>
        </w:rPr>
        <w:t>Ann Intern Med</w:t>
      </w:r>
      <w:r w:rsidRPr="00E87351">
        <w:rPr>
          <w:rFonts w:ascii="Book Antiqua" w:eastAsia="Book Antiqua" w:hAnsi="Book Antiqua" w:cs="Book Antiqua"/>
          <w:color w:val="000000" w:themeColor="text1"/>
        </w:rPr>
        <w:t xml:space="preserve"> 1999; </w:t>
      </w:r>
      <w:r w:rsidRPr="00E87351">
        <w:rPr>
          <w:rFonts w:ascii="Book Antiqua" w:eastAsia="Book Antiqua" w:hAnsi="Book Antiqua" w:cs="Book Antiqua"/>
          <w:b/>
          <w:bCs/>
          <w:color w:val="000000" w:themeColor="text1"/>
        </w:rPr>
        <w:t>130</w:t>
      </w:r>
      <w:r w:rsidRPr="00E87351">
        <w:rPr>
          <w:rFonts w:ascii="Book Antiqua" w:eastAsia="Book Antiqua" w:hAnsi="Book Antiqua" w:cs="Book Antiqua"/>
          <w:color w:val="000000" w:themeColor="text1"/>
        </w:rPr>
        <w:t>: 461-470 [PMID: 10075613 DOI: 10.7326/0003-4819-130-6-199903160-00002]</w:t>
      </w:r>
    </w:p>
    <w:p w14:paraId="07B94410"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 </w:t>
      </w:r>
      <w:r w:rsidRPr="00E87351">
        <w:rPr>
          <w:rFonts w:ascii="Book Antiqua" w:eastAsia="Book Antiqua" w:hAnsi="Book Antiqua" w:cs="Book Antiqua"/>
          <w:b/>
          <w:bCs/>
          <w:color w:val="000000" w:themeColor="text1"/>
        </w:rPr>
        <w:t>Bihorac A</w:t>
      </w:r>
      <w:r w:rsidRPr="00E87351">
        <w:rPr>
          <w:rFonts w:ascii="Book Antiqua" w:eastAsia="Book Antiqua" w:hAnsi="Book Antiqua" w:cs="Book Antiqua"/>
          <w:color w:val="000000" w:themeColor="text1"/>
        </w:rPr>
        <w:t xml:space="preserve">, Yavas S, Subbiah S, Hobson CE, Schold JD, Gabrielli A, Layon AJ, Segal MS. Long-term risk of mortality and acute kidney injury during hospitalization after major surgery. </w:t>
      </w:r>
      <w:r w:rsidRPr="00E87351">
        <w:rPr>
          <w:rFonts w:ascii="Book Antiqua" w:eastAsia="Book Antiqua" w:hAnsi="Book Antiqua" w:cs="Book Antiqua"/>
          <w:i/>
          <w:iCs/>
          <w:color w:val="000000" w:themeColor="text1"/>
        </w:rPr>
        <w:t>Ann Surg</w:t>
      </w:r>
      <w:r w:rsidRPr="00E87351">
        <w:rPr>
          <w:rFonts w:ascii="Book Antiqua" w:eastAsia="Book Antiqua" w:hAnsi="Book Antiqua" w:cs="Book Antiqua"/>
          <w:color w:val="000000" w:themeColor="text1"/>
        </w:rPr>
        <w:t xml:space="preserve"> 2009; </w:t>
      </w:r>
      <w:r w:rsidRPr="00E87351">
        <w:rPr>
          <w:rFonts w:ascii="Book Antiqua" w:eastAsia="Book Antiqua" w:hAnsi="Book Antiqua" w:cs="Book Antiqua"/>
          <w:b/>
          <w:bCs/>
          <w:color w:val="000000" w:themeColor="text1"/>
        </w:rPr>
        <w:t>249</w:t>
      </w:r>
      <w:r w:rsidRPr="00E87351">
        <w:rPr>
          <w:rFonts w:ascii="Book Antiqua" w:eastAsia="Book Antiqua" w:hAnsi="Book Antiqua" w:cs="Book Antiqua"/>
          <w:color w:val="000000" w:themeColor="text1"/>
        </w:rPr>
        <w:t>: 851-858 [PMID: 19387314 DOI: 10.1097/SLA.0b013e3181a40a0b]</w:t>
      </w:r>
    </w:p>
    <w:p w14:paraId="6974DA19"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5 </w:t>
      </w:r>
      <w:r w:rsidRPr="00E87351">
        <w:rPr>
          <w:rFonts w:ascii="Book Antiqua" w:eastAsia="Book Antiqua" w:hAnsi="Book Antiqua" w:cs="Book Antiqua"/>
          <w:b/>
          <w:bCs/>
          <w:color w:val="000000" w:themeColor="text1"/>
        </w:rPr>
        <w:t>Abelha FJ</w:t>
      </w:r>
      <w:r w:rsidRPr="00E87351">
        <w:rPr>
          <w:rFonts w:ascii="Book Antiqua" w:eastAsia="Book Antiqua" w:hAnsi="Book Antiqua" w:cs="Book Antiqua"/>
          <w:color w:val="000000" w:themeColor="text1"/>
        </w:rPr>
        <w:t xml:space="preserve">, Botelho M, Fernandes V, Barros H. Outcome and quality of life of patients with acute kidney injury after major surgery. </w:t>
      </w:r>
      <w:r w:rsidRPr="00E87351">
        <w:rPr>
          <w:rFonts w:ascii="Book Antiqua" w:eastAsia="Book Antiqua" w:hAnsi="Book Antiqua" w:cs="Book Antiqua"/>
          <w:i/>
          <w:iCs/>
          <w:color w:val="000000" w:themeColor="text1"/>
        </w:rPr>
        <w:t>Nefrologia</w:t>
      </w:r>
      <w:r w:rsidRPr="00E87351">
        <w:rPr>
          <w:rFonts w:ascii="Book Antiqua" w:eastAsia="Book Antiqua" w:hAnsi="Book Antiqua" w:cs="Book Antiqua"/>
          <w:color w:val="000000" w:themeColor="text1"/>
        </w:rPr>
        <w:t xml:space="preserve"> 2009; </w:t>
      </w:r>
      <w:r w:rsidRPr="00E87351">
        <w:rPr>
          <w:rFonts w:ascii="Book Antiqua" w:eastAsia="Book Antiqua" w:hAnsi="Book Antiqua" w:cs="Book Antiqua"/>
          <w:b/>
          <w:bCs/>
          <w:color w:val="000000" w:themeColor="text1"/>
        </w:rPr>
        <w:t>29</w:t>
      </w:r>
      <w:r w:rsidRPr="00E87351">
        <w:rPr>
          <w:rFonts w:ascii="Book Antiqua" w:eastAsia="Book Antiqua" w:hAnsi="Book Antiqua" w:cs="Book Antiqua"/>
          <w:color w:val="000000" w:themeColor="text1"/>
        </w:rPr>
        <w:t>: 404-414 [PMID: 19820752 DOI: 10.3265/Nefrologia.2009.29.5.5456.en.full]</w:t>
      </w:r>
    </w:p>
    <w:p w14:paraId="42DFEB71"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6 </w:t>
      </w:r>
      <w:r w:rsidRPr="00E87351">
        <w:rPr>
          <w:rFonts w:ascii="Book Antiqua" w:eastAsia="Book Antiqua" w:hAnsi="Book Antiqua" w:cs="Book Antiqua"/>
          <w:b/>
          <w:bCs/>
          <w:color w:val="000000" w:themeColor="text1"/>
        </w:rPr>
        <w:t>Barri YM</w:t>
      </w:r>
      <w:r w:rsidRPr="00E87351">
        <w:rPr>
          <w:rFonts w:ascii="Book Antiqua" w:eastAsia="Book Antiqua" w:hAnsi="Book Antiqua" w:cs="Book Antiqua"/>
          <w:color w:val="000000" w:themeColor="text1"/>
        </w:rPr>
        <w:t xml:space="preserve">, Sanchez EQ, Jennings LW, Melton LB, Hays S, Levy MF, Klintmalm GB. Acute kidney injury following liver transplantation: definition and outcome. </w:t>
      </w:r>
      <w:r w:rsidRPr="00E87351">
        <w:rPr>
          <w:rFonts w:ascii="Book Antiqua" w:eastAsia="Book Antiqua" w:hAnsi="Book Antiqua" w:cs="Book Antiqua"/>
          <w:i/>
          <w:iCs/>
          <w:color w:val="000000" w:themeColor="text1"/>
        </w:rPr>
        <w:t>Liver Transpl</w:t>
      </w:r>
      <w:r w:rsidRPr="00E87351">
        <w:rPr>
          <w:rFonts w:ascii="Book Antiqua" w:eastAsia="Book Antiqua" w:hAnsi="Book Antiqua" w:cs="Book Antiqua"/>
          <w:color w:val="000000" w:themeColor="text1"/>
        </w:rPr>
        <w:t xml:space="preserve"> 2009; </w:t>
      </w:r>
      <w:r w:rsidRPr="00E87351">
        <w:rPr>
          <w:rFonts w:ascii="Book Antiqua" w:eastAsia="Book Antiqua" w:hAnsi="Book Antiqua" w:cs="Book Antiqua"/>
          <w:b/>
          <w:bCs/>
          <w:color w:val="000000" w:themeColor="text1"/>
        </w:rPr>
        <w:t>15</w:t>
      </w:r>
      <w:r w:rsidRPr="00E87351">
        <w:rPr>
          <w:rFonts w:ascii="Book Antiqua" w:eastAsia="Book Antiqua" w:hAnsi="Book Antiqua" w:cs="Book Antiqua"/>
          <w:color w:val="000000" w:themeColor="text1"/>
        </w:rPr>
        <w:t>: 475-483 [PMID: 19399734 DOI: 10.1002/Lt.21682]</w:t>
      </w:r>
    </w:p>
    <w:p w14:paraId="23581948"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7 </w:t>
      </w:r>
      <w:r w:rsidRPr="00E87351">
        <w:rPr>
          <w:rFonts w:ascii="Book Antiqua" w:eastAsia="Book Antiqua" w:hAnsi="Book Antiqua" w:cs="Book Antiqua"/>
          <w:b/>
          <w:bCs/>
          <w:color w:val="000000" w:themeColor="text1"/>
        </w:rPr>
        <w:t>Tomozawa A</w:t>
      </w:r>
      <w:r w:rsidRPr="00E87351">
        <w:rPr>
          <w:rFonts w:ascii="Book Antiqua" w:eastAsia="Book Antiqua" w:hAnsi="Book Antiqua" w:cs="Book Antiqua"/>
          <w:color w:val="000000" w:themeColor="text1"/>
        </w:rPr>
        <w:t xml:space="preserve">, Ishikawa S, Shiota N, Cholvisudhi P, Makita K. Perioperative risk factors for acute kidney injury after liver resection surgery: an historical cohort study. </w:t>
      </w:r>
      <w:r w:rsidRPr="00E87351">
        <w:rPr>
          <w:rFonts w:ascii="Book Antiqua" w:eastAsia="Book Antiqua" w:hAnsi="Book Antiqua" w:cs="Book Antiqua"/>
          <w:i/>
          <w:iCs/>
          <w:color w:val="000000" w:themeColor="text1"/>
        </w:rPr>
        <w:t>Can J Anaesth</w:t>
      </w:r>
      <w:r w:rsidRPr="00E87351">
        <w:rPr>
          <w:rFonts w:ascii="Book Antiqua" w:eastAsia="Book Antiqua" w:hAnsi="Book Antiqua" w:cs="Book Antiqua"/>
          <w:color w:val="000000" w:themeColor="text1"/>
        </w:rPr>
        <w:t xml:space="preserve"> 2015; </w:t>
      </w:r>
      <w:r w:rsidRPr="00E87351">
        <w:rPr>
          <w:rFonts w:ascii="Book Antiqua" w:eastAsia="Book Antiqua" w:hAnsi="Book Antiqua" w:cs="Book Antiqua"/>
          <w:b/>
          <w:bCs/>
          <w:color w:val="000000" w:themeColor="text1"/>
        </w:rPr>
        <w:t>62</w:t>
      </w:r>
      <w:r w:rsidRPr="00E87351">
        <w:rPr>
          <w:rFonts w:ascii="Book Antiqua" w:eastAsia="Book Antiqua" w:hAnsi="Book Antiqua" w:cs="Book Antiqua"/>
          <w:color w:val="000000" w:themeColor="text1"/>
        </w:rPr>
        <w:t>: 753-761 [PMID: 25925634 DOI: 10.1007/s12630-015-0397-9]</w:t>
      </w:r>
    </w:p>
    <w:p w14:paraId="05CEA0B9"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8 </w:t>
      </w:r>
      <w:r w:rsidRPr="00E87351">
        <w:rPr>
          <w:rFonts w:ascii="Book Antiqua" w:eastAsia="Book Antiqua" w:hAnsi="Book Antiqua" w:cs="Book Antiqua"/>
          <w:b/>
          <w:bCs/>
          <w:color w:val="000000" w:themeColor="text1"/>
        </w:rPr>
        <w:t>Lim C</w:t>
      </w:r>
      <w:r w:rsidRPr="00E87351">
        <w:rPr>
          <w:rFonts w:ascii="Book Antiqua" w:eastAsia="Book Antiqua" w:hAnsi="Book Antiqua" w:cs="Book Antiqua"/>
          <w:color w:val="000000" w:themeColor="text1"/>
        </w:rPr>
        <w:t xml:space="preserve">, Audureau E, Salloum C, Levesque E, Lahat E, Merle JC, Compagnon P, Dhonneur G, Feray C, Azoulay D. Acute kidney injury following hepatectomy for hepatocellular carcinoma: incidence, risk factors and prognostic value. </w:t>
      </w:r>
      <w:r w:rsidRPr="00E87351">
        <w:rPr>
          <w:rFonts w:ascii="Book Antiqua" w:eastAsia="Book Antiqua" w:hAnsi="Book Antiqua" w:cs="Book Antiqua"/>
          <w:i/>
          <w:iCs/>
          <w:color w:val="000000" w:themeColor="text1"/>
        </w:rPr>
        <w:t>HPB (Oxford)</w:t>
      </w:r>
      <w:r w:rsidRPr="00E87351">
        <w:rPr>
          <w:rFonts w:ascii="Book Antiqua" w:eastAsia="Book Antiqua" w:hAnsi="Book Antiqua" w:cs="Book Antiqua"/>
          <w:color w:val="000000" w:themeColor="text1"/>
        </w:rPr>
        <w:t xml:space="preserve"> 2016; </w:t>
      </w:r>
      <w:r w:rsidRPr="00E87351">
        <w:rPr>
          <w:rFonts w:ascii="Book Antiqua" w:eastAsia="Book Antiqua" w:hAnsi="Book Antiqua" w:cs="Book Antiqua"/>
          <w:b/>
          <w:bCs/>
          <w:color w:val="000000" w:themeColor="text1"/>
        </w:rPr>
        <w:t>18</w:t>
      </w:r>
      <w:r w:rsidRPr="00E87351">
        <w:rPr>
          <w:rFonts w:ascii="Book Antiqua" w:eastAsia="Book Antiqua" w:hAnsi="Book Antiqua" w:cs="Book Antiqua"/>
          <w:color w:val="000000" w:themeColor="text1"/>
        </w:rPr>
        <w:t>: 540-548 [PMID: 27317959 DOI: 10.1016/j.hpb.2016.04.004]</w:t>
      </w:r>
    </w:p>
    <w:p w14:paraId="62F88A35"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9 </w:t>
      </w:r>
      <w:r w:rsidRPr="00E87351">
        <w:rPr>
          <w:rFonts w:ascii="Book Antiqua" w:eastAsia="Book Antiqua" w:hAnsi="Book Antiqua" w:cs="Book Antiqua"/>
          <w:b/>
          <w:bCs/>
          <w:color w:val="000000" w:themeColor="text1"/>
        </w:rPr>
        <w:t>Bredt LC</w:t>
      </w:r>
      <w:r w:rsidRPr="00E87351">
        <w:rPr>
          <w:rFonts w:ascii="Book Antiqua" w:eastAsia="Book Antiqua" w:hAnsi="Book Antiqua" w:cs="Book Antiqua"/>
          <w:color w:val="000000" w:themeColor="text1"/>
        </w:rPr>
        <w:t xml:space="preserve">, Peres LAB. Risk factors for acute kidney injury after partial hepatectomy. </w:t>
      </w:r>
      <w:r w:rsidRPr="00E87351">
        <w:rPr>
          <w:rFonts w:ascii="Book Antiqua" w:eastAsia="Book Antiqua" w:hAnsi="Book Antiqua" w:cs="Book Antiqua"/>
          <w:i/>
          <w:iCs/>
          <w:color w:val="000000" w:themeColor="text1"/>
        </w:rPr>
        <w:t>World J Hepatol</w:t>
      </w:r>
      <w:r w:rsidRPr="00E87351">
        <w:rPr>
          <w:rFonts w:ascii="Book Antiqua" w:eastAsia="Book Antiqua" w:hAnsi="Book Antiqua" w:cs="Book Antiqua"/>
          <w:color w:val="000000" w:themeColor="text1"/>
        </w:rPr>
        <w:t xml:space="preserve"> 2017; </w:t>
      </w:r>
      <w:r w:rsidRPr="00E87351">
        <w:rPr>
          <w:rFonts w:ascii="Book Antiqua" w:eastAsia="Book Antiqua" w:hAnsi="Book Antiqua" w:cs="Book Antiqua"/>
          <w:b/>
          <w:bCs/>
          <w:color w:val="000000" w:themeColor="text1"/>
        </w:rPr>
        <w:t>9</w:t>
      </w:r>
      <w:r w:rsidRPr="00E87351">
        <w:rPr>
          <w:rFonts w:ascii="Book Antiqua" w:eastAsia="Book Antiqua" w:hAnsi="Book Antiqua" w:cs="Book Antiqua"/>
          <w:color w:val="000000" w:themeColor="text1"/>
        </w:rPr>
        <w:t>: 815-822 [PMID: 28706580 DOI: 10.4254/wjh.v9.i18.815]</w:t>
      </w:r>
    </w:p>
    <w:p w14:paraId="73DB0B83"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10 </w:t>
      </w:r>
      <w:r w:rsidRPr="00E87351">
        <w:rPr>
          <w:rFonts w:ascii="Book Antiqua" w:eastAsia="Book Antiqua" w:hAnsi="Book Antiqua" w:cs="Book Antiqua"/>
          <w:b/>
          <w:bCs/>
          <w:color w:val="000000" w:themeColor="text1"/>
        </w:rPr>
        <w:t>Kalisvaart M</w:t>
      </w:r>
      <w:r w:rsidRPr="00E87351">
        <w:rPr>
          <w:rFonts w:ascii="Book Antiqua" w:eastAsia="Book Antiqua" w:hAnsi="Book Antiqua" w:cs="Book Antiqua"/>
          <w:color w:val="000000" w:themeColor="text1"/>
        </w:rPr>
        <w:t xml:space="preserve">, Schlegel A, Umbro I, de Haan JE, Polak WG, IJzermans JN, Mirza DF, Perera MTP, Isaac JR, Ferguson J, Mitterhofer AP, de Jonge J, Muiesan P. The AKI Prediction Score: a new prediction model for acute kidney injury after liver </w:t>
      </w:r>
      <w:r w:rsidRPr="00E87351">
        <w:rPr>
          <w:rFonts w:ascii="Book Antiqua" w:eastAsia="Book Antiqua" w:hAnsi="Book Antiqua" w:cs="Book Antiqua"/>
          <w:color w:val="000000" w:themeColor="text1"/>
        </w:rPr>
        <w:lastRenderedPageBreak/>
        <w:t xml:space="preserve">transplantation. </w:t>
      </w:r>
      <w:r w:rsidRPr="00E87351">
        <w:rPr>
          <w:rFonts w:ascii="Book Antiqua" w:eastAsia="Book Antiqua" w:hAnsi="Book Antiqua" w:cs="Book Antiqua"/>
          <w:i/>
          <w:iCs/>
          <w:color w:val="000000" w:themeColor="text1"/>
        </w:rPr>
        <w:t>HPB (Oxford)</w:t>
      </w:r>
      <w:r w:rsidRPr="00E87351">
        <w:rPr>
          <w:rFonts w:ascii="Book Antiqua" w:eastAsia="Book Antiqua" w:hAnsi="Book Antiqua" w:cs="Book Antiqua"/>
          <w:color w:val="000000" w:themeColor="text1"/>
        </w:rPr>
        <w:t xml:space="preserve"> 2019; </w:t>
      </w:r>
      <w:r w:rsidRPr="00E87351">
        <w:rPr>
          <w:rFonts w:ascii="Book Antiqua" w:eastAsia="Book Antiqua" w:hAnsi="Book Antiqua" w:cs="Book Antiqua"/>
          <w:b/>
          <w:bCs/>
          <w:color w:val="000000" w:themeColor="text1"/>
        </w:rPr>
        <w:t>21</w:t>
      </w:r>
      <w:r w:rsidRPr="00E87351">
        <w:rPr>
          <w:rFonts w:ascii="Book Antiqua" w:eastAsia="Book Antiqua" w:hAnsi="Book Antiqua" w:cs="Book Antiqua"/>
          <w:color w:val="000000" w:themeColor="text1"/>
        </w:rPr>
        <w:t>: 1707-1717 [PMID: 31153834 DOI: 10.1016/j.hpb.2019.04.008]</w:t>
      </w:r>
    </w:p>
    <w:p w14:paraId="35558EE3"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11 </w:t>
      </w:r>
      <w:r w:rsidRPr="00E87351">
        <w:rPr>
          <w:rFonts w:ascii="Book Antiqua" w:eastAsia="Book Antiqua" w:hAnsi="Book Antiqua" w:cs="Book Antiqua"/>
          <w:b/>
          <w:bCs/>
          <w:color w:val="000000" w:themeColor="text1"/>
        </w:rPr>
        <w:t>Zhou J</w:t>
      </w:r>
      <w:r w:rsidRPr="00E87351">
        <w:rPr>
          <w:rFonts w:ascii="Book Antiqua" w:eastAsia="Book Antiqua" w:hAnsi="Book Antiqua" w:cs="Book Antiqua"/>
          <w:color w:val="000000" w:themeColor="text1"/>
        </w:rPr>
        <w:t xml:space="preserve">, Zhang X, Lyu L, Ma X, Miao G, Chu H. Modifiable risk factors of acute kidney injury after liver transplantation: a systematic review and meta-analysis. </w:t>
      </w:r>
      <w:r w:rsidRPr="00E87351">
        <w:rPr>
          <w:rFonts w:ascii="Book Antiqua" w:eastAsia="Book Antiqua" w:hAnsi="Book Antiqua" w:cs="Book Antiqua"/>
          <w:i/>
          <w:iCs/>
          <w:color w:val="000000" w:themeColor="text1"/>
        </w:rPr>
        <w:t>BMC Nephrol</w:t>
      </w:r>
      <w:r w:rsidRPr="00E87351">
        <w:rPr>
          <w:rFonts w:ascii="Book Antiqua" w:eastAsia="Book Antiqua" w:hAnsi="Book Antiqua" w:cs="Book Antiqua"/>
          <w:color w:val="000000" w:themeColor="text1"/>
        </w:rPr>
        <w:t xml:space="preserve"> 2021; </w:t>
      </w:r>
      <w:r w:rsidRPr="00E87351">
        <w:rPr>
          <w:rFonts w:ascii="Book Antiqua" w:eastAsia="Book Antiqua" w:hAnsi="Book Antiqua" w:cs="Book Antiqua"/>
          <w:b/>
          <w:bCs/>
          <w:color w:val="000000" w:themeColor="text1"/>
        </w:rPr>
        <w:t>22</w:t>
      </w:r>
      <w:r w:rsidRPr="00E87351">
        <w:rPr>
          <w:rFonts w:ascii="Book Antiqua" w:eastAsia="Book Antiqua" w:hAnsi="Book Antiqua" w:cs="Book Antiqua"/>
          <w:color w:val="000000" w:themeColor="text1"/>
        </w:rPr>
        <w:t>: 149 [PMID: 33888081 DOI: 10.1186/s12882-021-02360-8]</w:t>
      </w:r>
    </w:p>
    <w:p w14:paraId="2E575C54"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12 </w:t>
      </w:r>
      <w:r w:rsidRPr="00E87351">
        <w:rPr>
          <w:rFonts w:ascii="Book Antiqua" w:eastAsia="Book Antiqua" w:hAnsi="Book Antiqua" w:cs="Book Antiqua"/>
          <w:b/>
          <w:bCs/>
          <w:color w:val="000000" w:themeColor="text1"/>
        </w:rPr>
        <w:t>Caragata R</w:t>
      </w:r>
      <w:r w:rsidRPr="00E87351">
        <w:rPr>
          <w:rFonts w:ascii="Book Antiqua" w:eastAsia="Book Antiqua" w:hAnsi="Book Antiqua" w:cs="Book Antiqua"/>
          <w:color w:val="000000" w:themeColor="text1"/>
        </w:rPr>
        <w:t xml:space="preserve">, Wyssusek KH, Kruger P. Acute kidney injury following liver transplantation: a systematic review of published predictive models. </w:t>
      </w:r>
      <w:r w:rsidRPr="00E87351">
        <w:rPr>
          <w:rFonts w:ascii="Book Antiqua" w:eastAsia="Book Antiqua" w:hAnsi="Book Antiqua" w:cs="Book Antiqua"/>
          <w:i/>
          <w:iCs/>
          <w:color w:val="000000" w:themeColor="text1"/>
        </w:rPr>
        <w:t>Anaesth Intensive Care</w:t>
      </w:r>
      <w:r w:rsidRPr="00E87351">
        <w:rPr>
          <w:rFonts w:ascii="Book Antiqua" w:eastAsia="Book Antiqua" w:hAnsi="Book Antiqua" w:cs="Book Antiqua"/>
          <w:color w:val="000000" w:themeColor="text1"/>
        </w:rPr>
        <w:t xml:space="preserve"> 2016; </w:t>
      </w:r>
      <w:r w:rsidRPr="00E87351">
        <w:rPr>
          <w:rFonts w:ascii="Book Antiqua" w:eastAsia="Book Antiqua" w:hAnsi="Book Antiqua" w:cs="Book Antiqua"/>
          <w:b/>
          <w:bCs/>
          <w:color w:val="000000" w:themeColor="text1"/>
        </w:rPr>
        <w:t>44</w:t>
      </w:r>
      <w:r w:rsidRPr="00E87351">
        <w:rPr>
          <w:rFonts w:ascii="Book Antiqua" w:eastAsia="Book Antiqua" w:hAnsi="Book Antiqua" w:cs="Book Antiqua"/>
          <w:color w:val="000000" w:themeColor="text1"/>
        </w:rPr>
        <w:t>: 251-261 [PMID: 27029658 DOI: 10.1177/0310057X1604400212]</w:t>
      </w:r>
    </w:p>
    <w:p w14:paraId="687DCF64"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13 </w:t>
      </w:r>
      <w:r w:rsidRPr="00E87351">
        <w:rPr>
          <w:rFonts w:ascii="Book Antiqua" w:eastAsia="Book Antiqua" w:hAnsi="Book Antiqua" w:cs="Book Antiqua"/>
          <w:b/>
          <w:bCs/>
          <w:color w:val="000000" w:themeColor="text1"/>
        </w:rPr>
        <w:t>Bellotti R</w:t>
      </w:r>
      <w:r w:rsidRPr="00E87351">
        <w:rPr>
          <w:rFonts w:ascii="Book Antiqua" w:eastAsia="Book Antiqua" w:hAnsi="Book Antiqua" w:cs="Book Antiqua"/>
          <w:color w:val="000000" w:themeColor="text1"/>
        </w:rPr>
        <w:t xml:space="preserve">, De Carlo F, Tangaro S, Gargano G, Maggipinto G, Castellano M, Massafra R, Cascio D, Fauci F, Magro R, Raso G, Lauria A, Forni G, Bagnasco S, Cerello P, Zanon E, Cheran SC, Lopez Torres E, Bottigli U, Masala GL, Oliva P, Retico A, Fantacci ME, Cataldo R, De Mitri I, De Nunzio G. A completely automated CAD system for mass detection in a large mammographic database. </w:t>
      </w:r>
      <w:r w:rsidRPr="00E87351">
        <w:rPr>
          <w:rFonts w:ascii="Book Antiqua" w:eastAsia="Book Antiqua" w:hAnsi="Book Antiqua" w:cs="Book Antiqua"/>
          <w:i/>
          <w:iCs/>
          <w:color w:val="000000" w:themeColor="text1"/>
        </w:rPr>
        <w:t>Med Phys</w:t>
      </w:r>
      <w:r w:rsidRPr="00E87351">
        <w:rPr>
          <w:rFonts w:ascii="Book Antiqua" w:eastAsia="Book Antiqua" w:hAnsi="Book Antiqua" w:cs="Book Antiqua"/>
          <w:color w:val="000000" w:themeColor="text1"/>
        </w:rPr>
        <w:t xml:space="preserve"> 2006; </w:t>
      </w:r>
      <w:r w:rsidRPr="00E87351">
        <w:rPr>
          <w:rFonts w:ascii="Book Antiqua" w:eastAsia="Book Antiqua" w:hAnsi="Book Antiqua" w:cs="Book Antiqua"/>
          <w:b/>
          <w:bCs/>
          <w:color w:val="000000" w:themeColor="text1"/>
        </w:rPr>
        <w:t>33</w:t>
      </w:r>
      <w:r w:rsidRPr="00E87351">
        <w:rPr>
          <w:rFonts w:ascii="Book Antiqua" w:eastAsia="Book Antiqua" w:hAnsi="Book Antiqua" w:cs="Book Antiqua"/>
          <w:color w:val="000000" w:themeColor="text1"/>
        </w:rPr>
        <w:t>: 3066-3075 [PMID: 16964885 DOI: 10.1118/1.2214177]</w:t>
      </w:r>
    </w:p>
    <w:p w14:paraId="3D8A171B"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14 </w:t>
      </w:r>
      <w:r w:rsidRPr="00E87351">
        <w:rPr>
          <w:rFonts w:ascii="Book Antiqua" w:eastAsia="Book Antiqua" w:hAnsi="Book Antiqua" w:cs="Book Antiqua"/>
          <w:b/>
          <w:bCs/>
          <w:color w:val="000000" w:themeColor="text1"/>
        </w:rPr>
        <w:t>Wang J</w:t>
      </w:r>
      <w:r w:rsidRPr="00E87351">
        <w:rPr>
          <w:rFonts w:ascii="Book Antiqua" w:eastAsia="Book Antiqua" w:hAnsi="Book Antiqua" w:cs="Book Antiqua"/>
          <w:color w:val="000000" w:themeColor="text1"/>
        </w:rPr>
        <w:t xml:space="preserve">, Yang X, Cai H, Tan W, Jin C, Li L. Discrimination of Breast Cancer with Microcalcifications on Mammography by Deep Learning. </w:t>
      </w:r>
      <w:r w:rsidRPr="00E87351">
        <w:rPr>
          <w:rFonts w:ascii="Book Antiqua" w:eastAsia="Book Antiqua" w:hAnsi="Book Antiqua" w:cs="Book Antiqua"/>
          <w:i/>
          <w:iCs/>
          <w:color w:val="000000" w:themeColor="text1"/>
        </w:rPr>
        <w:t>Sci Rep</w:t>
      </w:r>
      <w:r w:rsidRPr="00E87351">
        <w:rPr>
          <w:rFonts w:ascii="Book Antiqua" w:eastAsia="Book Antiqua" w:hAnsi="Book Antiqua" w:cs="Book Antiqua"/>
          <w:color w:val="000000" w:themeColor="text1"/>
        </w:rPr>
        <w:t xml:space="preserve"> 2016; </w:t>
      </w:r>
      <w:r w:rsidRPr="00E87351">
        <w:rPr>
          <w:rFonts w:ascii="Book Antiqua" w:eastAsia="Book Antiqua" w:hAnsi="Book Antiqua" w:cs="Book Antiqua"/>
          <w:b/>
          <w:bCs/>
          <w:color w:val="000000" w:themeColor="text1"/>
        </w:rPr>
        <w:t>6</w:t>
      </w:r>
      <w:r w:rsidRPr="00E87351">
        <w:rPr>
          <w:rFonts w:ascii="Book Antiqua" w:eastAsia="Book Antiqua" w:hAnsi="Book Antiqua" w:cs="Book Antiqua"/>
          <w:color w:val="000000" w:themeColor="text1"/>
        </w:rPr>
        <w:t>: 27327 [PMID: 27273294 DOI: 10.1038/srep27327]</w:t>
      </w:r>
    </w:p>
    <w:p w14:paraId="75A5303C"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15 </w:t>
      </w:r>
      <w:r w:rsidRPr="00E87351">
        <w:rPr>
          <w:rFonts w:ascii="Book Antiqua" w:eastAsia="Book Antiqua" w:hAnsi="Book Antiqua" w:cs="Book Antiqua"/>
          <w:b/>
          <w:bCs/>
          <w:color w:val="000000" w:themeColor="text1"/>
        </w:rPr>
        <w:t>Kooi T</w:t>
      </w:r>
      <w:r w:rsidRPr="00E87351">
        <w:rPr>
          <w:rFonts w:ascii="Book Antiqua" w:eastAsia="Book Antiqua" w:hAnsi="Book Antiqua" w:cs="Book Antiqua"/>
          <w:color w:val="000000" w:themeColor="text1"/>
        </w:rPr>
        <w:t xml:space="preserve">, Litjens G, van Ginneken B, Gubern-Mérida A, Sánchez CI, Mann R, den Heeten A, Karssemeijer N. Large scale deep learning for computer aided detection of mammographic lesions. </w:t>
      </w:r>
      <w:r w:rsidRPr="00E87351">
        <w:rPr>
          <w:rFonts w:ascii="Book Antiqua" w:eastAsia="Book Antiqua" w:hAnsi="Book Antiqua" w:cs="Book Antiqua"/>
          <w:i/>
          <w:iCs/>
          <w:color w:val="000000" w:themeColor="text1"/>
        </w:rPr>
        <w:t>Med Image Anal</w:t>
      </w:r>
      <w:r w:rsidRPr="00E87351">
        <w:rPr>
          <w:rFonts w:ascii="Book Antiqua" w:eastAsia="Book Antiqua" w:hAnsi="Book Antiqua" w:cs="Book Antiqua"/>
          <w:color w:val="000000" w:themeColor="text1"/>
        </w:rPr>
        <w:t xml:space="preserve"> 2017; </w:t>
      </w:r>
      <w:r w:rsidRPr="00E87351">
        <w:rPr>
          <w:rFonts w:ascii="Book Antiqua" w:eastAsia="Book Antiqua" w:hAnsi="Book Antiqua" w:cs="Book Antiqua"/>
          <w:b/>
          <w:bCs/>
          <w:color w:val="000000" w:themeColor="text1"/>
        </w:rPr>
        <w:t>35</w:t>
      </w:r>
      <w:r w:rsidRPr="00E87351">
        <w:rPr>
          <w:rFonts w:ascii="Book Antiqua" w:eastAsia="Book Antiqua" w:hAnsi="Book Antiqua" w:cs="Book Antiqua"/>
          <w:color w:val="000000" w:themeColor="text1"/>
        </w:rPr>
        <w:t>: 303-312 [PMID: 27497072 DOI: 10.1016/j.media.2016.07.007]</w:t>
      </w:r>
    </w:p>
    <w:p w14:paraId="5D386E4C"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16 </w:t>
      </w:r>
      <w:r w:rsidRPr="00E87351">
        <w:rPr>
          <w:rFonts w:ascii="Book Antiqua" w:eastAsia="Book Antiqua" w:hAnsi="Book Antiqua" w:cs="Book Antiqua"/>
          <w:b/>
          <w:bCs/>
          <w:color w:val="000000" w:themeColor="text1"/>
        </w:rPr>
        <w:t>Chang PD</w:t>
      </w:r>
      <w:r w:rsidRPr="00E87351">
        <w:rPr>
          <w:rFonts w:ascii="Book Antiqua" w:eastAsia="Book Antiqua" w:hAnsi="Book Antiqua" w:cs="Book Antiqua"/>
          <w:color w:val="000000" w:themeColor="text1"/>
        </w:rPr>
        <w:t xml:space="preserve">, Kuoy E, Grinband J, Weinberg BD, Thompson M, Homo R, Chen J, Abcede H, Shafie M, Sugrue L, Filippi CG, Su MY, Yu W, Hess C, Chow D. Hybrid 3D/2D Convolutional Neural Network for Hemorrhage Evaluation on Head CT. </w:t>
      </w:r>
      <w:r w:rsidRPr="00E87351">
        <w:rPr>
          <w:rFonts w:ascii="Book Antiqua" w:eastAsia="Book Antiqua" w:hAnsi="Book Antiqua" w:cs="Book Antiqua"/>
          <w:i/>
          <w:iCs/>
          <w:color w:val="000000" w:themeColor="text1"/>
        </w:rPr>
        <w:t>AJNR Am J Neuroradiol</w:t>
      </w:r>
      <w:r w:rsidRPr="00E87351">
        <w:rPr>
          <w:rFonts w:ascii="Book Antiqua" w:eastAsia="Book Antiqua" w:hAnsi="Book Antiqua" w:cs="Book Antiqua"/>
          <w:color w:val="000000" w:themeColor="text1"/>
        </w:rPr>
        <w:t xml:space="preserve"> 2018; </w:t>
      </w:r>
      <w:r w:rsidRPr="00E87351">
        <w:rPr>
          <w:rFonts w:ascii="Book Antiqua" w:eastAsia="Book Antiqua" w:hAnsi="Book Antiqua" w:cs="Book Antiqua"/>
          <w:b/>
          <w:bCs/>
          <w:color w:val="000000" w:themeColor="text1"/>
        </w:rPr>
        <w:t>39</w:t>
      </w:r>
      <w:r w:rsidRPr="00E87351">
        <w:rPr>
          <w:rFonts w:ascii="Book Antiqua" w:eastAsia="Book Antiqua" w:hAnsi="Book Antiqua" w:cs="Book Antiqua"/>
          <w:color w:val="000000" w:themeColor="text1"/>
        </w:rPr>
        <w:t>: 1609-1616 [PMID: 30049723 DOI: 10.3174/ajnr.a5742]</w:t>
      </w:r>
    </w:p>
    <w:p w14:paraId="58EC473A"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17 </w:t>
      </w:r>
      <w:r w:rsidRPr="00E87351">
        <w:rPr>
          <w:rFonts w:ascii="Book Antiqua" w:eastAsia="Book Antiqua" w:hAnsi="Book Antiqua" w:cs="Book Antiqua"/>
          <w:b/>
          <w:bCs/>
          <w:color w:val="000000" w:themeColor="text1"/>
        </w:rPr>
        <w:t>Rachmadi MF</w:t>
      </w:r>
      <w:r w:rsidRPr="00E87351">
        <w:rPr>
          <w:rFonts w:ascii="Book Antiqua" w:eastAsia="Book Antiqua" w:hAnsi="Book Antiqua" w:cs="Book Antiqua"/>
          <w:color w:val="000000" w:themeColor="text1"/>
        </w:rPr>
        <w:t xml:space="preserve">, Valdés-Hernández MDC, Li H, Guerrero R, Meijboom R, Wiseman S, Waldman A, Zhang J, Rueckert D, Wardlaw J, Komura T. Limited One-time Sampling Irregularity Map (LOTS-IM) for Automatic Unsupervised Assessment of White Matter Hyperintensities and Multiple Sclerosis Lesions in Structural Brain Magnetic Resonance </w:t>
      </w:r>
      <w:r w:rsidRPr="00E87351">
        <w:rPr>
          <w:rFonts w:ascii="Book Antiqua" w:eastAsia="Book Antiqua" w:hAnsi="Book Antiqua" w:cs="Book Antiqua"/>
          <w:color w:val="000000" w:themeColor="text1"/>
        </w:rPr>
        <w:lastRenderedPageBreak/>
        <w:t xml:space="preserve">Images. </w:t>
      </w:r>
      <w:r w:rsidRPr="00E87351">
        <w:rPr>
          <w:rFonts w:ascii="Book Antiqua" w:eastAsia="Book Antiqua" w:hAnsi="Book Antiqua" w:cs="Book Antiqua"/>
          <w:i/>
          <w:iCs/>
          <w:color w:val="000000" w:themeColor="text1"/>
        </w:rPr>
        <w:t>Comput Med Imaging Graph</w:t>
      </w:r>
      <w:r w:rsidRPr="00E87351">
        <w:rPr>
          <w:rFonts w:ascii="Book Antiqua" w:eastAsia="Book Antiqua" w:hAnsi="Book Antiqua" w:cs="Book Antiqua"/>
          <w:color w:val="000000" w:themeColor="text1"/>
        </w:rPr>
        <w:t xml:space="preserve"> 2020; </w:t>
      </w:r>
      <w:r w:rsidRPr="00E87351">
        <w:rPr>
          <w:rFonts w:ascii="Book Antiqua" w:eastAsia="Book Antiqua" w:hAnsi="Book Antiqua" w:cs="Book Antiqua"/>
          <w:b/>
          <w:bCs/>
          <w:color w:val="000000" w:themeColor="text1"/>
        </w:rPr>
        <w:t>79</w:t>
      </w:r>
      <w:r w:rsidRPr="00E87351">
        <w:rPr>
          <w:rFonts w:ascii="Book Antiqua" w:eastAsia="Book Antiqua" w:hAnsi="Book Antiqua" w:cs="Book Antiqua"/>
          <w:color w:val="000000" w:themeColor="text1"/>
        </w:rPr>
        <w:t>: 101685 [PMID: 31846826 DOI: 10.1016/j.compmedimag.2019.101685]</w:t>
      </w:r>
    </w:p>
    <w:p w14:paraId="7B75724E"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18 </w:t>
      </w:r>
      <w:r w:rsidRPr="00E87351">
        <w:rPr>
          <w:rFonts w:ascii="Book Antiqua" w:eastAsia="Book Antiqua" w:hAnsi="Book Antiqua" w:cs="Book Antiqua"/>
          <w:b/>
          <w:bCs/>
          <w:color w:val="000000" w:themeColor="text1"/>
        </w:rPr>
        <w:t>Lee CK</w:t>
      </w:r>
      <w:r w:rsidRPr="00E87351">
        <w:rPr>
          <w:rFonts w:ascii="Book Antiqua" w:eastAsia="Book Antiqua" w:hAnsi="Book Antiqua" w:cs="Book Antiqua"/>
          <w:color w:val="000000" w:themeColor="text1"/>
        </w:rPr>
        <w:t xml:space="preserve">, Hofer I, Gabel E, Baldi P, Cannesson M. Development and Validation of a Deep Neural Network Model for Prediction of Postoperative In-hospital Mortality. </w:t>
      </w:r>
      <w:r w:rsidRPr="00E87351">
        <w:rPr>
          <w:rFonts w:ascii="Book Antiqua" w:eastAsia="Book Antiqua" w:hAnsi="Book Antiqua" w:cs="Book Antiqua"/>
          <w:i/>
          <w:iCs/>
          <w:color w:val="000000" w:themeColor="text1"/>
        </w:rPr>
        <w:t>Anesthesiology</w:t>
      </w:r>
      <w:r w:rsidRPr="00E87351">
        <w:rPr>
          <w:rFonts w:ascii="Book Antiqua" w:eastAsia="Book Antiqua" w:hAnsi="Book Antiqua" w:cs="Book Antiqua"/>
          <w:color w:val="000000" w:themeColor="text1"/>
        </w:rPr>
        <w:t xml:space="preserve"> 2018; </w:t>
      </w:r>
      <w:r w:rsidRPr="00E87351">
        <w:rPr>
          <w:rFonts w:ascii="Book Antiqua" w:eastAsia="Book Antiqua" w:hAnsi="Book Antiqua" w:cs="Book Antiqua"/>
          <w:b/>
          <w:bCs/>
          <w:color w:val="000000" w:themeColor="text1"/>
        </w:rPr>
        <w:t>129</w:t>
      </w:r>
      <w:r w:rsidRPr="00E87351">
        <w:rPr>
          <w:rFonts w:ascii="Book Antiqua" w:eastAsia="Book Antiqua" w:hAnsi="Book Antiqua" w:cs="Book Antiqua"/>
          <w:color w:val="000000" w:themeColor="text1"/>
        </w:rPr>
        <w:t>: 649-662 [PMID: 29664888 DOI: 10.1097/aln.0000000000002186]</w:t>
      </w:r>
    </w:p>
    <w:p w14:paraId="63AF0C4D"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19 </w:t>
      </w:r>
      <w:r w:rsidRPr="00E87351">
        <w:rPr>
          <w:rFonts w:ascii="Book Antiqua" w:eastAsia="Book Antiqua" w:hAnsi="Book Antiqua" w:cs="Book Antiqua"/>
          <w:b/>
          <w:bCs/>
          <w:color w:val="000000" w:themeColor="text1"/>
        </w:rPr>
        <w:t>Lee HC</w:t>
      </w:r>
      <w:r w:rsidRPr="00E87351">
        <w:rPr>
          <w:rFonts w:ascii="Book Antiqua" w:eastAsia="Book Antiqua" w:hAnsi="Book Antiqua" w:cs="Book Antiqua"/>
          <w:color w:val="000000" w:themeColor="text1"/>
        </w:rPr>
        <w:t xml:space="preserve">, Yoon SB, Yang SM, Kim WH, Ryu HG, Jung CW, Suh KS, Lee KH. Prediction of Acute Kidney Injury after Liver Transplantation: Machine Learning Approaches vs. Logistic Regression Model. </w:t>
      </w:r>
      <w:r w:rsidRPr="00E87351">
        <w:rPr>
          <w:rFonts w:ascii="Book Antiqua" w:eastAsia="Book Antiqua" w:hAnsi="Book Antiqua" w:cs="Book Antiqua"/>
          <w:i/>
          <w:iCs/>
          <w:color w:val="000000" w:themeColor="text1"/>
        </w:rPr>
        <w:t>J Clin Med</w:t>
      </w:r>
      <w:r w:rsidRPr="00E87351">
        <w:rPr>
          <w:rFonts w:ascii="Book Antiqua" w:eastAsia="Book Antiqua" w:hAnsi="Book Antiqua" w:cs="Book Antiqua"/>
          <w:color w:val="000000" w:themeColor="text1"/>
        </w:rPr>
        <w:t xml:space="preserve"> 2018; </w:t>
      </w:r>
      <w:r w:rsidRPr="00E87351">
        <w:rPr>
          <w:rFonts w:ascii="Book Antiqua" w:eastAsia="Book Antiqua" w:hAnsi="Book Antiqua" w:cs="Book Antiqua"/>
          <w:b/>
          <w:bCs/>
          <w:color w:val="000000" w:themeColor="text1"/>
        </w:rPr>
        <w:t>7</w:t>
      </w:r>
      <w:r w:rsidRPr="00E87351">
        <w:rPr>
          <w:rFonts w:ascii="Book Antiqua" w:eastAsia="Book Antiqua" w:hAnsi="Book Antiqua" w:cs="Book Antiqua"/>
          <w:color w:val="000000" w:themeColor="text1"/>
        </w:rPr>
        <w:t xml:space="preserve"> [PMID: 30413107 DOI: 10.3390/jcm7110428]</w:t>
      </w:r>
    </w:p>
    <w:p w14:paraId="4D77CA73"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20 </w:t>
      </w:r>
      <w:r w:rsidRPr="00E87351">
        <w:rPr>
          <w:rFonts w:ascii="Book Antiqua" w:eastAsia="Book Antiqua" w:hAnsi="Book Antiqua" w:cs="Book Antiqua"/>
          <w:b/>
          <w:bCs/>
          <w:color w:val="000000" w:themeColor="text1"/>
        </w:rPr>
        <w:t>He ZL</w:t>
      </w:r>
      <w:r w:rsidRPr="00E87351">
        <w:rPr>
          <w:rFonts w:ascii="Book Antiqua" w:eastAsia="Book Antiqua" w:hAnsi="Book Antiqua" w:cs="Book Antiqua"/>
          <w:color w:val="000000" w:themeColor="text1"/>
        </w:rPr>
        <w:t xml:space="preserve">, Zhou JB, Liu ZK, Dong SY, Zhang YT, Shen T, Zheng SS, Xu X. Application of machine learning models for predicting acute kidney injury following donation after cardiac death liver transplantation. </w:t>
      </w:r>
      <w:r w:rsidRPr="00E87351">
        <w:rPr>
          <w:rFonts w:ascii="Book Antiqua" w:eastAsia="Book Antiqua" w:hAnsi="Book Antiqua" w:cs="Book Antiqua"/>
          <w:i/>
          <w:iCs/>
          <w:color w:val="000000" w:themeColor="text1"/>
        </w:rPr>
        <w:t>Hepatobiliary Pancreat Dis Int</w:t>
      </w:r>
      <w:r w:rsidRPr="00E87351">
        <w:rPr>
          <w:rFonts w:ascii="Book Antiqua" w:eastAsia="Book Antiqua" w:hAnsi="Book Antiqua" w:cs="Book Antiqua"/>
          <w:color w:val="000000" w:themeColor="text1"/>
        </w:rPr>
        <w:t xml:space="preserve"> 2021; </w:t>
      </w:r>
      <w:r w:rsidRPr="00E87351">
        <w:rPr>
          <w:rFonts w:ascii="Book Antiqua" w:eastAsia="Book Antiqua" w:hAnsi="Book Antiqua" w:cs="Book Antiqua"/>
          <w:b/>
          <w:bCs/>
          <w:color w:val="000000" w:themeColor="text1"/>
        </w:rPr>
        <w:t>20</w:t>
      </w:r>
      <w:r w:rsidRPr="00E87351">
        <w:rPr>
          <w:rFonts w:ascii="Book Antiqua" w:eastAsia="Book Antiqua" w:hAnsi="Book Antiqua" w:cs="Book Antiqua"/>
          <w:color w:val="000000" w:themeColor="text1"/>
        </w:rPr>
        <w:t>: 222-231 [PMID: 33726966 DOI: 10.1016/j.hbpd.2021.02.001]</w:t>
      </w:r>
    </w:p>
    <w:p w14:paraId="079E8DE0"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21 </w:t>
      </w:r>
      <w:r w:rsidRPr="00E87351">
        <w:rPr>
          <w:rFonts w:ascii="Book Antiqua" w:eastAsia="Book Antiqua" w:hAnsi="Book Antiqua" w:cs="Book Antiqua"/>
          <w:b/>
          <w:bCs/>
          <w:color w:val="000000" w:themeColor="text1"/>
        </w:rPr>
        <w:t>Romano TG</w:t>
      </w:r>
      <w:r w:rsidRPr="00E87351">
        <w:rPr>
          <w:rFonts w:ascii="Book Antiqua" w:eastAsia="Book Antiqua" w:hAnsi="Book Antiqua" w:cs="Book Antiqua"/>
          <w:color w:val="000000" w:themeColor="text1"/>
        </w:rPr>
        <w:t xml:space="preserve">, Schmidtbauer I, Silva FM, Pompilio CE, D'Albuquerque LA, Macedo E. Role of MELD score and serum creatinine as prognostic tools for the development of acute kidney injury after liver transplantation. </w:t>
      </w:r>
      <w:r w:rsidRPr="00E87351">
        <w:rPr>
          <w:rFonts w:ascii="Book Antiqua" w:eastAsia="Book Antiqua" w:hAnsi="Book Antiqua" w:cs="Book Antiqua"/>
          <w:i/>
          <w:iCs/>
          <w:color w:val="000000" w:themeColor="text1"/>
        </w:rPr>
        <w:t>PLoS One</w:t>
      </w:r>
      <w:r w:rsidRPr="00E87351">
        <w:rPr>
          <w:rFonts w:ascii="Book Antiqua" w:eastAsia="Book Antiqua" w:hAnsi="Book Antiqua" w:cs="Book Antiqua"/>
          <w:color w:val="000000" w:themeColor="text1"/>
        </w:rPr>
        <w:t xml:space="preserve"> 2013; </w:t>
      </w:r>
      <w:r w:rsidRPr="00E87351">
        <w:rPr>
          <w:rFonts w:ascii="Book Antiqua" w:eastAsia="Book Antiqua" w:hAnsi="Book Antiqua" w:cs="Book Antiqua"/>
          <w:b/>
          <w:bCs/>
          <w:color w:val="000000" w:themeColor="text1"/>
        </w:rPr>
        <w:t>8</w:t>
      </w:r>
      <w:r w:rsidRPr="00E87351">
        <w:rPr>
          <w:rFonts w:ascii="Book Antiqua" w:eastAsia="Book Antiqua" w:hAnsi="Book Antiqua" w:cs="Book Antiqua"/>
          <w:color w:val="000000" w:themeColor="text1"/>
        </w:rPr>
        <w:t>: e64089 [PMID: 23717537 DOI: 10.1371/journal.pone.0064089]</w:t>
      </w:r>
    </w:p>
    <w:p w14:paraId="68B573A9"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22 </w:t>
      </w:r>
      <w:r w:rsidRPr="00E87351">
        <w:rPr>
          <w:rFonts w:ascii="Book Antiqua" w:eastAsia="Book Antiqua" w:hAnsi="Book Antiqua" w:cs="Book Antiqua"/>
          <w:b/>
          <w:bCs/>
          <w:color w:val="000000" w:themeColor="text1"/>
        </w:rPr>
        <w:t>Wong F</w:t>
      </w:r>
      <w:r w:rsidRPr="00E87351">
        <w:rPr>
          <w:rFonts w:ascii="Book Antiqua" w:eastAsia="Book Antiqua" w:hAnsi="Book Antiqua" w:cs="Book Antiqua"/>
          <w:color w:val="000000" w:themeColor="text1"/>
        </w:rPr>
        <w:t xml:space="preserve">, Nadim MK, Kellum JA, Salerno F, Bellomo R, Gerbes A, Angeli P, Moreau R, Davenport A, Jalan R, Ronco C, Genyk Y, Arroyo V. Working Party proposal for a revised classification system of renal dysfunction in patients with cirrhosis. </w:t>
      </w:r>
      <w:r w:rsidRPr="00E87351">
        <w:rPr>
          <w:rFonts w:ascii="Book Antiqua" w:eastAsia="Book Antiqua" w:hAnsi="Book Antiqua" w:cs="Book Antiqua"/>
          <w:i/>
          <w:iCs/>
          <w:color w:val="000000" w:themeColor="text1"/>
        </w:rPr>
        <w:t>Gut</w:t>
      </w:r>
      <w:r w:rsidRPr="00E87351">
        <w:rPr>
          <w:rFonts w:ascii="Book Antiqua" w:eastAsia="Book Antiqua" w:hAnsi="Book Antiqua" w:cs="Book Antiqua"/>
          <w:color w:val="000000" w:themeColor="text1"/>
        </w:rPr>
        <w:t xml:space="preserve"> 2011; </w:t>
      </w:r>
      <w:r w:rsidRPr="00E87351">
        <w:rPr>
          <w:rFonts w:ascii="Book Antiqua" w:eastAsia="Book Antiqua" w:hAnsi="Book Antiqua" w:cs="Book Antiqua"/>
          <w:b/>
          <w:bCs/>
          <w:color w:val="000000" w:themeColor="text1"/>
        </w:rPr>
        <w:t>60</w:t>
      </w:r>
      <w:r w:rsidRPr="00E87351">
        <w:rPr>
          <w:rFonts w:ascii="Book Antiqua" w:eastAsia="Book Antiqua" w:hAnsi="Book Antiqua" w:cs="Book Antiqua"/>
          <w:color w:val="000000" w:themeColor="text1"/>
        </w:rPr>
        <w:t>: 702-709 [PMID: 21325171 DOI: 10.1136/gut.2010.236133]</w:t>
      </w:r>
    </w:p>
    <w:p w14:paraId="1422F775"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23 </w:t>
      </w:r>
      <w:r w:rsidRPr="00E87351">
        <w:rPr>
          <w:rFonts w:ascii="Book Antiqua" w:eastAsia="Book Antiqua" w:hAnsi="Book Antiqua" w:cs="Book Antiqua"/>
          <w:b/>
          <w:bCs/>
          <w:color w:val="000000" w:themeColor="text1"/>
        </w:rPr>
        <w:t>Angeli P</w:t>
      </w:r>
      <w:r w:rsidRPr="00E87351">
        <w:rPr>
          <w:rFonts w:ascii="Book Antiqua" w:eastAsia="Book Antiqua" w:hAnsi="Book Antiqua" w:cs="Book Antiqua"/>
          <w:color w:val="000000" w:themeColor="text1"/>
        </w:rPr>
        <w:t xml:space="preserve">, Gines P, Wong F, Bernardi M, Boyer TD, Gerbes A, Moreau R, Jalan R, Sarin SK, Piano S, Moore K, Lee SS, Durand F, Salerno F, Caraceni P, Kim WR, Arroyo V, Garcia-Tsao G; International Club of Ascites. Diagnosis and management of acute kidney injury in patients with cirrhosis: revised consensus recommendations of the International Club of Ascites. </w:t>
      </w:r>
      <w:r w:rsidRPr="00E87351">
        <w:rPr>
          <w:rFonts w:ascii="Book Antiqua" w:eastAsia="Book Antiqua" w:hAnsi="Book Antiqua" w:cs="Book Antiqua"/>
          <w:i/>
          <w:iCs/>
          <w:color w:val="000000" w:themeColor="text1"/>
        </w:rPr>
        <w:t>Gut</w:t>
      </w:r>
      <w:r w:rsidRPr="00E87351">
        <w:rPr>
          <w:rFonts w:ascii="Book Antiqua" w:eastAsia="Book Antiqua" w:hAnsi="Book Antiqua" w:cs="Book Antiqua"/>
          <w:color w:val="000000" w:themeColor="text1"/>
        </w:rPr>
        <w:t xml:space="preserve"> 2015; </w:t>
      </w:r>
      <w:r w:rsidRPr="00E87351">
        <w:rPr>
          <w:rFonts w:ascii="Book Antiqua" w:eastAsia="Book Antiqua" w:hAnsi="Book Antiqua" w:cs="Book Antiqua"/>
          <w:b/>
          <w:bCs/>
          <w:color w:val="000000" w:themeColor="text1"/>
        </w:rPr>
        <w:t>64</w:t>
      </w:r>
      <w:r w:rsidRPr="00E87351">
        <w:rPr>
          <w:rFonts w:ascii="Book Antiqua" w:eastAsia="Book Antiqua" w:hAnsi="Book Antiqua" w:cs="Book Antiqua"/>
          <w:color w:val="000000" w:themeColor="text1"/>
        </w:rPr>
        <w:t>: 531-537 [PMID: 25631669 DOI: 10.1136/gutjnl-2014-308874]</w:t>
      </w:r>
    </w:p>
    <w:p w14:paraId="1C7C0DE9"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24 </w:t>
      </w:r>
      <w:r w:rsidRPr="00E87351">
        <w:rPr>
          <w:rFonts w:ascii="Book Antiqua" w:eastAsia="Book Antiqua" w:hAnsi="Book Antiqua" w:cs="Book Antiqua"/>
          <w:b/>
          <w:bCs/>
          <w:color w:val="000000" w:themeColor="text1"/>
        </w:rPr>
        <w:t>Briceño J</w:t>
      </w:r>
      <w:r w:rsidRPr="00E87351">
        <w:rPr>
          <w:rFonts w:ascii="Book Antiqua" w:eastAsia="Book Antiqua" w:hAnsi="Book Antiqua" w:cs="Book Antiqua"/>
          <w:color w:val="000000" w:themeColor="text1"/>
        </w:rPr>
        <w:t xml:space="preserve">, Ciria R, de la Mata M, Rufián S, López-Cillero P. Prediction of graft dysfunction based on extended criteria donors in the model for end-stage liver disease score era. </w:t>
      </w:r>
      <w:r w:rsidRPr="00E87351">
        <w:rPr>
          <w:rFonts w:ascii="Book Antiqua" w:eastAsia="Book Antiqua" w:hAnsi="Book Antiqua" w:cs="Book Antiqua"/>
          <w:i/>
          <w:iCs/>
          <w:color w:val="000000" w:themeColor="text1"/>
        </w:rPr>
        <w:t>Transplantation</w:t>
      </w:r>
      <w:r w:rsidRPr="00E87351">
        <w:rPr>
          <w:rFonts w:ascii="Book Antiqua" w:eastAsia="Book Antiqua" w:hAnsi="Book Antiqua" w:cs="Book Antiqua"/>
          <w:color w:val="000000" w:themeColor="text1"/>
        </w:rPr>
        <w:t xml:space="preserve"> 2010; </w:t>
      </w:r>
      <w:r w:rsidRPr="00E87351">
        <w:rPr>
          <w:rFonts w:ascii="Book Antiqua" w:eastAsia="Book Antiqua" w:hAnsi="Book Antiqua" w:cs="Book Antiqua"/>
          <w:b/>
          <w:bCs/>
          <w:color w:val="000000" w:themeColor="text1"/>
        </w:rPr>
        <w:t>90</w:t>
      </w:r>
      <w:r w:rsidRPr="00E87351">
        <w:rPr>
          <w:rFonts w:ascii="Book Antiqua" w:eastAsia="Book Antiqua" w:hAnsi="Book Antiqua" w:cs="Book Antiqua"/>
          <w:color w:val="000000" w:themeColor="text1"/>
        </w:rPr>
        <w:t>: 530-539 [PMID: 20581766 DOI: 10.1097/TP.0b013e3181e86b11]</w:t>
      </w:r>
    </w:p>
    <w:p w14:paraId="5E2E6548"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lastRenderedPageBreak/>
        <w:t xml:space="preserve">25 </w:t>
      </w:r>
      <w:r w:rsidRPr="00E87351">
        <w:rPr>
          <w:rFonts w:ascii="Book Antiqua" w:eastAsia="Book Antiqua" w:hAnsi="Book Antiqua" w:cs="Book Antiqua"/>
          <w:b/>
          <w:bCs/>
          <w:color w:val="000000" w:themeColor="text1"/>
        </w:rPr>
        <w:t>Chen XB</w:t>
      </w:r>
      <w:r w:rsidRPr="00E87351">
        <w:rPr>
          <w:rFonts w:ascii="Book Antiqua" w:eastAsia="Book Antiqua" w:hAnsi="Book Antiqua" w:cs="Book Antiqua"/>
          <w:color w:val="000000" w:themeColor="text1"/>
        </w:rPr>
        <w:t xml:space="preserve">, Xu MQ. Primary graft dysfunction after liver transplantation. </w:t>
      </w:r>
      <w:r w:rsidRPr="00E87351">
        <w:rPr>
          <w:rFonts w:ascii="Book Antiqua" w:eastAsia="Book Antiqua" w:hAnsi="Book Antiqua" w:cs="Book Antiqua"/>
          <w:i/>
          <w:iCs/>
          <w:color w:val="000000" w:themeColor="text1"/>
        </w:rPr>
        <w:t>Hepatobiliary Pancreat Dis Int</w:t>
      </w:r>
      <w:r w:rsidRPr="00E87351">
        <w:rPr>
          <w:rFonts w:ascii="Book Antiqua" w:eastAsia="Book Antiqua" w:hAnsi="Book Antiqua" w:cs="Book Antiqua"/>
          <w:color w:val="000000" w:themeColor="text1"/>
        </w:rPr>
        <w:t xml:space="preserve"> 2014; </w:t>
      </w:r>
      <w:r w:rsidRPr="00E87351">
        <w:rPr>
          <w:rFonts w:ascii="Book Antiqua" w:eastAsia="Book Antiqua" w:hAnsi="Book Antiqua" w:cs="Book Antiqua"/>
          <w:b/>
          <w:bCs/>
          <w:color w:val="000000" w:themeColor="text1"/>
        </w:rPr>
        <w:t>13</w:t>
      </w:r>
      <w:r w:rsidRPr="00E87351">
        <w:rPr>
          <w:rFonts w:ascii="Book Antiqua" w:eastAsia="Book Antiqua" w:hAnsi="Book Antiqua" w:cs="Book Antiqua"/>
          <w:color w:val="000000" w:themeColor="text1"/>
        </w:rPr>
        <w:t>: 125-137 [PMID: 24686540 DOI: 10.1016/s1499-3872(14)60023-0]</w:t>
      </w:r>
    </w:p>
    <w:p w14:paraId="34F0597E"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26 </w:t>
      </w:r>
      <w:r w:rsidRPr="00E87351">
        <w:rPr>
          <w:rFonts w:ascii="Book Antiqua" w:eastAsia="Book Antiqua" w:hAnsi="Book Antiqua" w:cs="Book Antiqua"/>
          <w:b/>
          <w:bCs/>
          <w:color w:val="000000" w:themeColor="text1"/>
        </w:rPr>
        <w:t>Chu MJ</w:t>
      </w:r>
      <w:r w:rsidRPr="00E87351">
        <w:rPr>
          <w:rFonts w:ascii="Book Antiqua" w:eastAsia="Book Antiqua" w:hAnsi="Book Antiqua" w:cs="Book Antiqua"/>
          <w:color w:val="000000" w:themeColor="text1"/>
        </w:rPr>
        <w:t xml:space="preserve">, Dare AJ, Phillips AR, Bartlett AS. Donor Hepatic Steatosis and Outcome After Liver Transplantation: a Systematic Review. </w:t>
      </w:r>
      <w:r w:rsidRPr="00E87351">
        <w:rPr>
          <w:rFonts w:ascii="Book Antiqua" w:eastAsia="Book Antiqua" w:hAnsi="Book Antiqua" w:cs="Book Antiqua"/>
          <w:i/>
          <w:iCs/>
          <w:color w:val="000000" w:themeColor="text1"/>
        </w:rPr>
        <w:t>J Gastrointest Surg</w:t>
      </w:r>
      <w:r w:rsidRPr="00E87351">
        <w:rPr>
          <w:rFonts w:ascii="Book Antiqua" w:eastAsia="Book Antiqua" w:hAnsi="Book Antiqua" w:cs="Book Antiqua"/>
          <w:color w:val="000000" w:themeColor="text1"/>
        </w:rPr>
        <w:t xml:space="preserve"> 2015; </w:t>
      </w:r>
      <w:r w:rsidRPr="00E87351">
        <w:rPr>
          <w:rFonts w:ascii="Book Antiqua" w:eastAsia="Book Antiqua" w:hAnsi="Book Antiqua" w:cs="Book Antiqua"/>
          <w:b/>
          <w:bCs/>
          <w:color w:val="000000" w:themeColor="text1"/>
        </w:rPr>
        <w:t>19</w:t>
      </w:r>
      <w:r w:rsidRPr="00E87351">
        <w:rPr>
          <w:rFonts w:ascii="Book Antiqua" w:eastAsia="Book Antiqua" w:hAnsi="Book Antiqua" w:cs="Book Antiqua"/>
          <w:color w:val="000000" w:themeColor="text1"/>
        </w:rPr>
        <w:t>: 1713-1724 [PMID: 25917535 DOI: 10.1007/s11605-015-2832-1]</w:t>
      </w:r>
    </w:p>
    <w:p w14:paraId="03A6048E"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27 </w:t>
      </w:r>
      <w:r w:rsidRPr="00E87351">
        <w:rPr>
          <w:rFonts w:ascii="Book Antiqua" w:eastAsia="Book Antiqua" w:hAnsi="Book Antiqua" w:cs="Book Antiqua"/>
          <w:b/>
          <w:bCs/>
          <w:color w:val="000000" w:themeColor="text1"/>
        </w:rPr>
        <w:t>Rajamani AS</w:t>
      </w:r>
      <w:r w:rsidRPr="00E87351">
        <w:rPr>
          <w:rFonts w:ascii="Book Antiqua" w:eastAsia="Book Antiqua" w:hAnsi="Book Antiqua" w:cs="Book Antiqua"/>
          <w:color w:val="000000" w:themeColor="text1"/>
        </w:rPr>
        <w:t xml:space="preserve">, Rammohan A, Sai VR, Rela M. Non-invasive real-time assessment of hepatic macrovesicular steatosis in liver donors: Hypothesis, design and proof-of-concept study. </w:t>
      </w:r>
      <w:r w:rsidRPr="00E87351">
        <w:rPr>
          <w:rFonts w:ascii="Book Antiqua" w:eastAsia="Book Antiqua" w:hAnsi="Book Antiqua" w:cs="Book Antiqua"/>
          <w:i/>
          <w:iCs/>
          <w:color w:val="000000" w:themeColor="text1"/>
        </w:rPr>
        <w:t>World J Hepatol</w:t>
      </w:r>
      <w:r w:rsidRPr="00E87351">
        <w:rPr>
          <w:rFonts w:ascii="Book Antiqua" w:eastAsia="Book Antiqua" w:hAnsi="Book Antiqua" w:cs="Book Antiqua"/>
          <w:color w:val="000000" w:themeColor="text1"/>
        </w:rPr>
        <w:t xml:space="preserve"> 2021; </w:t>
      </w:r>
      <w:r w:rsidRPr="00E87351">
        <w:rPr>
          <w:rFonts w:ascii="Book Antiqua" w:eastAsia="Book Antiqua" w:hAnsi="Book Antiqua" w:cs="Book Antiqua"/>
          <w:b/>
          <w:bCs/>
          <w:color w:val="000000" w:themeColor="text1"/>
        </w:rPr>
        <w:t>13</w:t>
      </w:r>
      <w:r w:rsidRPr="00E87351">
        <w:rPr>
          <w:rFonts w:ascii="Book Antiqua" w:eastAsia="Book Antiqua" w:hAnsi="Book Antiqua" w:cs="Book Antiqua"/>
          <w:color w:val="000000" w:themeColor="text1"/>
        </w:rPr>
        <w:t>: 1208-1214 [PMID: 34786162 DOI: 10.4254/wjh.v13.i10.1208]</w:t>
      </w:r>
    </w:p>
    <w:p w14:paraId="13095D88"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28 </w:t>
      </w:r>
      <w:r w:rsidRPr="00E87351">
        <w:rPr>
          <w:rFonts w:ascii="Book Antiqua" w:eastAsia="Book Antiqua" w:hAnsi="Book Antiqua" w:cs="Book Antiqua"/>
          <w:b/>
          <w:bCs/>
          <w:color w:val="000000" w:themeColor="text1"/>
        </w:rPr>
        <w:t>Ploeg RJ</w:t>
      </w:r>
      <w:r w:rsidRPr="00E87351">
        <w:rPr>
          <w:rFonts w:ascii="Book Antiqua" w:eastAsia="Book Antiqua" w:hAnsi="Book Antiqua" w:cs="Book Antiqua"/>
          <w:color w:val="000000" w:themeColor="text1"/>
        </w:rPr>
        <w:t xml:space="preserve">, D'Alessandro AM, Knechtle SJ, Stegall MD, Pirsch JD, Hoffmann RM, Sasaki T, Sollinger HW, Belzer FO, Kalayoglu M. Risk factors for primary dysfunction after liver transplantation--a multivariate analysis. </w:t>
      </w:r>
      <w:r w:rsidRPr="00E87351">
        <w:rPr>
          <w:rFonts w:ascii="Book Antiqua" w:eastAsia="Book Antiqua" w:hAnsi="Book Antiqua" w:cs="Book Antiqua"/>
          <w:i/>
          <w:iCs/>
          <w:color w:val="000000" w:themeColor="text1"/>
        </w:rPr>
        <w:t>Transplantation</w:t>
      </w:r>
      <w:r w:rsidRPr="00E87351">
        <w:rPr>
          <w:rFonts w:ascii="Book Antiqua" w:eastAsia="Book Antiqua" w:hAnsi="Book Antiqua" w:cs="Book Antiqua"/>
          <w:color w:val="000000" w:themeColor="text1"/>
        </w:rPr>
        <w:t xml:space="preserve"> 1993; </w:t>
      </w:r>
      <w:r w:rsidRPr="00E87351">
        <w:rPr>
          <w:rFonts w:ascii="Book Antiqua" w:eastAsia="Book Antiqua" w:hAnsi="Book Antiqua" w:cs="Book Antiqua"/>
          <w:b/>
          <w:bCs/>
          <w:color w:val="000000" w:themeColor="text1"/>
        </w:rPr>
        <w:t>55</w:t>
      </w:r>
      <w:r w:rsidRPr="00E87351">
        <w:rPr>
          <w:rFonts w:ascii="Book Antiqua" w:eastAsia="Book Antiqua" w:hAnsi="Book Antiqua" w:cs="Book Antiqua"/>
          <w:color w:val="000000" w:themeColor="text1"/>
        </w:rPr>
        <w:t>: 807-813 [PMID: 8475556 DOI: 10.1097/00007890-199304000-00024]</w:t>
      </w:r>
    </w:p>
    <w:p w14:paraId="6955E8BF"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29 </w:t>
      </w:r>
      <w:r w:rsidRPr="00E87351">
        <w:rPr>
          <w:rFonts w:ascii="Book Antiqua" w:eastAsia="Book Antiqua" w:hAnsi="Book Antiqua" w:cs="Book Antiqua"/>
          <w:b/>
          <w:bCs/>
          <w:color w:val="000000" w:themeColor="text1"/>
        </w:rPr>
        <w:t>American Society of Anesthesiologists Task Force on Perioperative Blood Management</w:t>
      </w:r>
      <w:r w:rsidRPr="00E87351">
        <w:rPr>
          <w:rFonts w:ascii="Book Antiqua" w:eastAsia="Book Antiqua" w:hAnsi="Book Antiqua" w:cs="Book Antiqua"/>
          <w:color w:val="000000" w:themeColor="text1"/>
        </w:rPr>
        <w:t xml:space="preserve">. Practice guidelines for perioperative blood management: an updated report by the American Society of Anesthesiologists Task Force on Perioperative Blood Management. </w:t>
      </w:r>
      <w:r w:rsidRPr="00E87351">
        <w:rPr>
          <w:rFonts w:ascii="Book Antiqua" w:eastAsia="Book Antiqua" w:hAnsi="Book Antiqua" w:cs="Book Antiqua"/>
          <w:i/>
          <w:iCs/>
          <w:color w:val="000000" w:themeColor="text1"/>
        </w:rPr>
        <w:t>Anesthesiology</w:t>
      </w:r>
      <w:r w:rsidRPr="00E87351">
        <w:rPr>
          <w:rFonts w:ascii="Book Antiqua" w:eastAsia="Book Antiqua" w:hAnsi="Book Antiqua" w:cs="Book Antiqua"/>
          <w:color w:val="000000" w:themeColor="text1"/>
        </w:rPr>
        <w:t xml:space="preserve"> 2015; </w:t>
      </w:r>
      <w:r w:rsidRPr="00E87351">
        <w:rPr>
          <w:rFonts w:ascii="Book Antiqua" w:eastAsia="Book Antiqua" w:hAnsi="Book Antiqua" w:cs="Book Antiqua"/>
          <w:b/>
          <w:bCs/>
          <w:color w:val="000000" w:themeColor="text1"/>
        </w:rPr>
        <w:t>122</w:t>
      </w:r>
      <w:r w:rsidRPr="00E87351">
        <w:rPr>
          <w:rFonts w:ascii="Book Antiqua" w:eastAsia="Book Antiqua" w:hAnsi="Book Antiqua" w:cs="Book Antiqua"/>
          <w:color w:val="000000" w:themeColor="text1"/>
        </w:rPr>
        <w:t>: 241-275 [PMID: 25545654 DOI: 10.1097/aln.0000000000000463]</w:t>
      </w:r>
    </w:p>
    <w:p w14:paraId="1FCEC606"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30 </w:t>
      </w:r>
      <w:r w:rsidRPr="00E87351">
        <w:rPr>
          <w:rFonts w:ascii="Book Antiqua" w:eastAsia="Book Antiqua" w:hAnsi="Book Antiqua" w:cs="Book Antiqua"/>
          <w:b/>
          <w:bCs/>
          <w:color w:val="000000" w:themeColor="text1"/>
        </w:rPr>
        <w:t>Salmasi V</w:t>
      </w:r>
      <w:r w:rsidRPr="00E87351">
        <w:rPr>
          <w:rFonts w:ascii="Book Antiqua" w:eastAsia="Book Antiqua" w:hAnsi="Book Antiqua" w:cs="Book Antiqua"/>
          <w:color w:val="000000" w:themeColor="text1"/>
        </w:rPr>
        <w:t xml:space="preserve">, Maheshwari K, Yang D, Mascha EJ, Singh A, Sessler DI, Kurz A. Relationship between Intraoperative Hypotension, Defined by Either Reduction from Baseline or Absolute Thresholds, and Acute Kidney and Myocardial Injury after Noncardiac Surgery: A Retrospective Cohort Analysis. </w:t>
      </w:r>
      <w:r w:rsidRPr="00E87351">
        <w:rPr>
          <w:rFonts w:ascii="Book Antiqua" w:eastAsia="Book Antiqua" w:hAnsi="Book Antiqua" w:cs="Book Antiqua"/>
          <w:i/>
          <w:iCs/>
          <w:color w:val="000000" w:themeColor="text1"/>
        </w:rPr>
        <w:t>Anesthesiology</w:t>
      </w:r>
      <w:r w:rsidRPr="00E87351">
        <w:rPr>
          <w:rFonts w:ascii="Book Antiqua" w:eastAsia="Book Antiqua" w:hAnsi="Book Antiqua" w:cs="Book Antiqua"/>
          <w:color w:val="000000" w:themeColor="text1"/>
        </w:rPr>
        <w:t xml:space="preserve"> 2017; </w:t>
      </w:r>
      <w:r w:rsidRPr="00E87351">
        <w:rPr>
          <w:rFonts w:ascii="Book Antiqua" w:eastAsia="Book Antiqua" w:hAnsi="Book Antiqua" w:cs="Book Antiqua"/>
          <w:b/>
          <w:bCs/>
          <w:color w:val="000000" w:themeColor="text1"/>
        </w:rPr>
        <w:t>126</w:t>
      </w:r>
      <w:r w:rsidRPr="00E87351">
        <w:rPr>
          <w:rFonts w:ascii="Book Antiqua" w:eastAsia="Book Antiqua" w:hAnsi="Book Antiqua" w:cs="Book Antiqua"/>
          <w:color w:val="000000" w:themeColor="text1"/>
        </w:rPr>
        <w:t>: 47-65 [PMID: 27792044 DOI: 10.1097/ALN.0000000000001432]</w:t>
      </w:r>
    </w:p>
    <w:p w14:paraId="5A8F9777"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31 </w:t>
      </w:r>
      <w:r w:rsidRPr="00E87351">
        <w:rPr>
          <w:rFonts w:ascii="Book Antiqua" w:eastAsia="Book Antiqua" w:hAnsi="Book Antiqua" w:cs="Book Antiqua"/>
          <w:b/>
          <w:bCs/>
          <w:color w:val="000000" w:themeColor="text1"/>
        </w:rPr>
        <w:t>Joosten A</w:t>
      </w:r>
      <w:r w:rsidRPr="00E87351">
        <w:rPr>
          <w:rFonts w:ascii="Book Antiqua" w:eastAsia="Book Antiqua" w:hAnsi="Book Antiqua" w:cs="Book Antiqua"/>
          <w:color w:val="000000" w:themeColor="text1"/>
        </w:rPr>
        <w:t xml:space="preserve">, Lucidi V, Ickx B, Van Obbergh L, Germanova D, Berna A, Alexander B, Desebbe O, Carrier FM, Cherqui D, Adam R, Duranteau J, Saugel B, Vincent JL, Rinehart J, Van der Linden P. Intraoperative hypotension during liver transplant surgery is associated with postoperative acute kidney injury: a historical cohort study. </w:t>
      </w:r>
      <w:r w:rsidRPr="00E87351">
        <w:rPr>
          <w:rFonts w:ascii="Book Antiqua" w:eastAsia="Book Antiqua" w:hAnsi="Book Antiqua" w:cs="Book Antiqua"/>
          <w:i/>
          <w:iCs/>
          <w:color w:val="000000" w:themeColor="text1"/>
        </w:rPr>
        <w:t>BMC Anesthesiol</w:t>
      </w:r>
      <w:r w:rsidRPr="00E87351">
        <w:rPr>
          <w:rFonts w:ascii="Book Antiqua" w:eastAsia="Book Antiqua" w:hAnsi="Book Antiqua" w:cs="Book Antiqua"/>
          <w:color w:val="000000" w:themeColor="text1"/>
        </w:rPr>
        <w:t xml:space="preserve"> 2021; </w:t>
      </w:r>
      <w:r w:rsidRPr="00E87351">
        <w:rPr>
          <w:rFonts w:ascii="Book Antiqua" w:eastAsia="Book Antiqua" w:hAnsi="Book Antiqua" w:cs="Book Antiqua"/>
          <w:b/>
          <w:bCs/>
          <w:color w:val="000000" w:themeColor="text1"/>
        </w:rPr>
        <w:t>21</w:t>
      </w:r>
      <w:r w:rsidRPr="00E87351">
        <w:rPr>
          <w:rFonts w:ascii="Book Antiqua" w:eastAsia="Book Antiqua" w:hAnsi="Book Antiqua" w:cs="Book Antiqua"/>
          <w:color w:val="000000" w:themeColor="text1"/>
        </w:rPr>
        <w:t>: 12 [PMID: 33430770 DOI: 10.1186/s12871-020-01228-y]</w:t>
      </w:r>
    </w:p>
    <w:p w14:paraId="51B28E6A"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lastRenderedPageBreak/>
        <w:t xml:space="preserve">32 </w:t>
      </w:r>
      <w:r w:rsidRPr="00E87351">
        <w:rPr>
          <w:rFonts w:ascii="Book Antiqua" w:eastAsia="Book Antiqua" w:hAnsi="Book Antiqua" w:cs="Book Antiqua"/>
          <w:b/>
          <w:bCs/>
          <w:color w:val="000000" w:themeColor="text1"/>
        </w:rPr>
        <w:t>Afshari A</w:t>
      </w:r>
      <w:r w:rsidRPr="00E87351">
        <w:rPr>
          <w:rFonts w:ascii="Book Antiqua" w:eastAsia="Book Antiqua" w:hAnsi="Book Antiqua" w:cs="Book Antiqua"/>
          <w:color w:val="000000" w:themeColor="text1"/>
        </w:rPr>
        <w:t xml:space="preserve">, Wikkelsø A, Brok J, Møller AM, Wetterslev J. Thrombelastography (TEG) or thromboelastometry (ROTEM) to monitor haemotherapy versus usual care in patients with massive transfusion. </w:t>
      </w:r>
      <w:r w:rsidRPr="00E87351">
        <w:rPr>
          <w:rFonts w:ascii="Book Antiqua" w:eastAsia="Book Antiqua" w:hAnsi="Book Antiqua" w:cs="Book Antiqua"/>
          <w:i/>
          <w:iCs/>
          <w:color w:val="000000" w:themeColor="text1"/>
        </w:rPr>
        <w:t>Cochrane Database Syst Rev</w:t>
      </w:r>
      <w:r w:rsidRPr="00E87351">
        <w:rPr>
          <w:rFonts w:ascii="Book Antiqua" w:eastAsia="Book Antiqua" w:hAnsi="Book Antiqua" w:cs="Book Antiqua"/>
          <w:color w:val="000000" w:themeColor="text1"/>
        </w:rPr>
        <w:t xml:space="preserve"> 2011: CD007871 [PMID: 21412912 DOI: 10.1002/14651858.cd007871.pub2]</w:t>
      </w:r>
    </w:p>
    <w:p w14:paraId="4A0E5EB6"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33 </w:t>
      </w:r>
      <w:r w:rsidRPr="00E87351">
        <w:rPr>
          <w:rFonts w:ascii="Book Antiqua" w:eastAsia="Book Antiqua" w:hAnsi="Book Antiqua" w:cs="Book Antiqua"/>
          <w:b/>
          <w:bCs/>
          <w:color w:val="000000" w:themeColor="text1"/>
        </w:rPr>
        <w:t>Pacheco LD</w:t>
      </w:r>
      <w:r w:rsidRPr="00E87351">
        <w:rPr>
          <w:rFonts w:ascii="Book Antiqua" w:eastAsia="Book Antiqua" w:hAnsi="Book Antiqua" w:cs="Book Antiqua"/>
          <w:color w:val="000000" w:themeColor="text1"/>
        </w:rPr>
        <w:t xml:space="preserve">, Saade GR, Costantine MM, Clark SL, Hankins GD. An update on the use of massive transfusion protocols in obstetrics. </w:t>
      </w:r>
      <w:r w:rsidRPr="00E87351">
        <w:rPr>
          <w:rFonts w:ascii="Book Antiqua" w:eastAsia="Book Antiqua" w:hAnsi="Book Antiqua" w:cs="Book Antiqua"/>
          <w:i/>
          <w:iCs/>
          <w:color w:val="000000" w:themeColor="text1"/>
        </w:rPr>
        <w:t>Am J Obstet Gynecol</w:t>
      </w:r>
      <w:r w:rsidRPr="00E87351">
        <w:rPr>
          <w:rFonts w:ascii="Book Antiqua" w:eastAsia="Book Antiqua" w:hAnsi="Book Antiqua" w:cs="Book Antiqua"/>
          <w:color w:val="000000" w:themeColor="text1"/>
        </w:rPr>
        <w:t xml:space="preserve"> 2016; </w:t>
      </w:r>
      <w:r w:rsidRPr="00E87351">
        <w:rPr>
          <w:rFonts w:ascii="Book Antiqua" w:eastAsia="Book Antiqua" w:hAnsi="Book Antiqua" w:cs="Book Antiqua"/>
          <w:b/>
          <w:bCs/>
          <w:color w:val="000000" w:themeColor="text1"/>
        </w:rPr>
        <w:t>214</w:t>
      </w:r>
      <w:r w:rsidRPr="00E87351">
        <w:rPr>
          <w:rFonts w:ascii="Book Antiqua" w:eastAsia="Book Antiqua" w:hAnsi="Book Antiqua" w:cs="Book Antiqua"/>
          <w:color w:val="000000" w:themeColor="text1"/>
        </w:rPr>
        <w:t>: 340-344 [PMID: 26348379 DOI: 10.1016/j.ajog.2015.08.068]</w:t>
      </w:r>
    </w:p>
    <w:p w14:paraId="24543CAB"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34 </w:t>
      </w:r>
      <w:r w:rsidRPr="00E87351">
        <w:rPr>
          <w:rFonts w:ascii="Book Antiqua" w:eastAsia="Book Antiqua" w:hAnsi="Book Antiqua" w:cs="Book Antiqua"/>
          <w:b/>
          <w:bCs/>
          <w:color w:val="000000" w:themeColor="text1"/>
        </w:rPr>
        <w:t>Holcomb JB</w:t>
      </w:r>
      <w:r w:rsidRPr="00E87351">
        <w:rPr>
          <w:rFonts w:ascii="Book Antiqua" w:eastAsia="Book Antiqua" w:hAnsi="Book Antiqua" w:cs="Book Antiqua"/>
          <w:color w:val="000000" w:themeColor="text1"/>
        </w:rPr>
        <w:t xml:space="preserve">, Tilley BC, Baraniuk S, Fox EE, Wade CE, Podbielski JM, del Junco DJ, Brasel KJ, Bulger EM, Callcut RA, Cohen MJ, Cotton BA, Fabian TC, Inaba K, Kerby JD, Muskat P, O'Keeffe T, Rizoli S, Robinson BR, Scalea TM, Schreiber MA, Stein DM, Weinberg JA, Callum JL, Hess JR, Matijevic N, Miller CN, Pittet JF, Hoyt DB, Pearson GD, Leroux B, van Belle G; PROPPR Study Group. Transfusion of plasma, platelets, and red blood cells in a 1:1:1 vs a 1:1:2 ratio and mortality in patients with severe trauma: the PROPPR randomized clinical trial. </w:t>
      </w:r>
      <w:r w:rsidRPr="00E87351">
        <w:rPr>
          <w:rFonts w:ascii="Book Antiqua" w:eastAsia="Book Antiqua" w:hAnsi="Book Antiqua" w:cs="Book Antiqua"/>
          <w:i/>
          <w:iCs/>
          <w:color w:val="000000" w:themeColor="text1"/>
        </w:rPr>
        <w:t>JAMA</w:t>
      </w:r>
      <w:r w:rsidRPr="00E87351">
        <w:rPr>
          <w:rFonts w:ascii="Book Antiqua" w:eastAsia="Book Antiqua" w:hAnsi="Book Antiqua" w:cs="Book Antiqua"/>
          <w:color w:val="000000" w:themeColor="text1"/>
        </w:rPr>
        <w:t xml:space="preserve"> 2015; </w:t>
      </w:r>
      <w:r w:rsidRPr="00E87351">
        <w:rPr>
          <w:rFonts w:ascii="Book Antiqua" w:eastAsia="Book Antiqua" w:hAnsi="Book Antiqua" w:cs="Book Antiqua"/>
          <w:b/>
          <w:bCs/>
          <w:color w:val="000000" w:themeColor="text1"/>
        </w:rPr>
        <w:t>313</w:t>
      </w:r>
      <w:r w:rsidRPr="00E87351">
        <w:rPr>
          <w:rFonts w:ascii="Book Antiqua" w:eastAsia="Book Antiqua" w:hAnsi="Book Antiqua" w:cs="Book Antiqua"/>
          <w:color w:val="000000" w:themeColor="text1"/>
        </w:rPr>
        <w:t>: 471-482 [PMID: 25647203 DOI: 10.1001/jama.2015.12]</w:t>
      </w:r>
    </w:p>
    <w:p w14:paraId="4EA829B6"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35 </w:t>
      </w:r>
      <w:r w:rsidRPr="00E87351">
        <w:rPr>
          <w:rFonts w:ascii="Book Antiqua" w:eastAsia="Book Antiqua" w:hAnsi="Book Antiqua" w:cs="Book Antiqua"/>
          <w:b/>
          <w:bCs/>
          <w:color w:val="000000" w:themeColor="text1"/>
        </w:rPr>
        <w:t>Uemura T</w:t>
      </w:r>
      <w:r w:rsidRPr="00E87351">
        <w:rPr>
          <w:rFonts w:ascii="Book Antiqua" w:eastAsia="Book Antiqua" w:hAnsi="Book Antiqua" w:cs="Book Antiqua"/>
          <w:color w:val="000000" w:themeColor="text1"/>
        </w:rPr>
        <w:t xml:space="preserve">, Randall HB, Sanchez EQ, Ikegami T, Narasimhan G, McKenna GJ, Chinnakotla S, Levy MF, Goldstein RM, Klintmalm GB. Liver retransplantation for primary nonfunction: analysis of a 20-year single-center experience. </w:t>
      </w:r>
      <w:r w:rsidRPr="00E87351">
        <w:rPr>
          <w:rFonts w:ascii="Book Antiqua" w:eastAsia="Book Antiqua" w:hAnsi="Book Antiqua" w:cs="Book Antiqua"/>
          <w:i/>
          <w:iCs/>
          <w:color w:val="000000" w:themeColor="text1"/>
        </w:rPr>
        <w:t>Liver Transpl</w:t>
      </w:r>
      <w:r w:rsidRPr="00E87351">
        <w:rPr>
          <w:rFonts w:ascii="Book Antiqua" w:eastAsia="Book Antiqua" w:hAnsi="Book Antiqua" w:cs="Book Antiqua"/>
          <w:color w:val="000000" w:themeColor="text1"/>
        </w:rPr>
        <w:t xml:space="preserve"> 2007; </w:t>
      </w:r>
      <w:r w:rsidRPr="00E87351">
        <w:rPr>
          <w:rFonts w:ascii="Book Antiqua" w:eastAsia="Book Antiqua" w:hAnsi="Book Antiqua" w:cs="Book Antiqua"/>
          <w:b/>
          <w:bCs/>
          <w:color w:val="000000" w:themeColor="text1"/>
        </w:rPr>
        <w:t>13</w:t>
      </w:r>
      <w:r w:rsidRPr="00E87351">
        <w:rPr>
          <w:rFonts w:ascii="Book Antiqua" w:eastAsia="Book Antiqua" w:hAnsi="Book Antiqua" w:cs="Book Antiqua"/>
          <w:color w:val="000000" w:themeColor="text1"/>
        </w:rPr>
        <w:t>: 227-233 [PMID: 17256780 DOI: 10.1002/Lt.20992]</w:t>
      </w:r>
    </w:p>
    <w:p w14:paraId="245510CC"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36 </w:t>
      </w:r>
      <w:r w:rsidRPr="00E87351">
        <w:rPr>
          <w:rFonts w:ascii="Book Antiqua" w:eastAsia="Book Antiqua" w:hAnsi="Book Antiqua" w:cs="Book Antiqua"/>
          <w:b/>
          <w:bCs/>
          <w:color w:val="000000" w:themeColor="text1"/>
        </w:rPr>
        <w:t>Haykin</w:t>
      </w:r>
      <w:r w:rsidRPr="00E87351">
        <w:rPr>
          <w:rFonts w:ascii="Book Antiqua" w:hAnsi="Book Antiqua" w:cs="Book Antiqua"/>
          <w:b/>
          <w:bCs/>
          <w:color w:val="000000" w:themeColor="text1"/>
          <w:lang w:eastAsia="zh-CN"/>
        </w:rPr>
        <w:t xml:space="preserve"> </w:t>
      </w:r>
      <w:r w:rsidRPr="00E87351">
        <w:rPr>
          <w:rFonts w:ascii="Book Antiqua" w:eastAsia="Book Antiqua" w:hAnsi="Book Antiqua" w:cs="Book Antiqua"/>
          <w:b/>
          <w:color w:val="000000" w:themeColor="text1"/>
        </w:rPr>
        <w:t>S</w:t>
      </w:r>
      <w:r w:rsidRPr="00E87351">
        <w:rPr>
          <w:rFonts w:ascii="Book Antiqua" w:eastAsia="Book Antiqua" w:hAnsi="Book Antiqua" w:cs="Book Antiqua"/>
          <w:color w:val="000000" w:themeColor="text1"/>
        </w:rPr>
        <w:t>. Neural networks: Principles and Practice. Bookman, 2001: 176-191</w:t>
      </w:r>
      <w:r w:rsidRPr="00E87351">
        <w:rPr>
          <w:rFonts w:ascii="Book Antiqua" w:hAnsi="Book Antiqua" w:cs="Book Antiqua"/>
          <w:color w:val="000000" w:themeColor="text1"/>
          <w:lang w:eastAsia="zh-CN"/>
        </w:rPr>
        <w:t xml:space="preserve"> </w:t>
      </w:r>
      <w:r w:rsidRPr="00E87351">
        <w:rPr>
          <w:rFonts w:ascii="Book Antiqua" w:eastAsia="Book Antiqua" w:hAnsi="Book Antiqua" w:cs="Book Antiqua"/>
          <w:color w:val="000000" w:themeColor="text1"/>
        </w:rPr>
        <w:t>[DOI:</w:t>
      </w:r>
      <w:r w:rsidRPr="00E87351">
        <w:rPr>
          <w:rFonts w:ascii="Book Antiqua" w:hAnsi="Book Antiqua" w:cs="Book Antiqua"/>
          <w:color w:val="000000" w:themeColor="text1"/>
          <w:lang w:eastAsia="zh-CN"/>
        </w:rPr>
        <w:t xml:space="preserve"> </w:t>
      </w:r>
      <w:r w:rsidRPr="00E87351">
        <w:rPr>
          <w:rFonts w:ascii="Book Antiqua" w:eastAsia="Book Antiqua" w:hAnsi="Book Antiqua" w:cs="Book Antiqua"/>
          <w:color w:val="000000" w:themeColor="text1"/>
        </w:rPr>
        <w:t>10.1002/0471221546]</w:t>
      </w:r>
    </w:p>
    <w:p w14:paraId="6E72283D"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37 </w:t>
      </w:r>
      <w:r w:rsidRPr="00E87351">
        <w:rPr>
          <w:rFonts w:ascii="Book Antiqua" w:eastAsia="Book Antiqua" w:hAnsi="Book Antiqua" w:cs="Book Antiqua"/>
          <w:b/>
          <w:bCs/>
          <w:color w:val="000000" w:themeColor="text1"/>
        </w:rPr>
        <w:t>Malinchoc M</w:t>
      </w:r>
      <w:r w:rsidRPr="00E87351">
        <w:rPr>
          <w:rFonts w:ascii="Book Antiqua" w:eastAsia="Book Antiqua" w:hAnsi="Book Antiqua" w:cs="Book Antiqua"/>
          <w:color w:val="000000" w:themeColor="text1"/>
        </w:rPr>
        <w:t xml:space="preserve">, Kamath PS, Gordon FD, Peine CJ, Rank J, ter Borg PC. A model to predict poor survival in patients undergoing transjugular intrahepatic portosystemic shunts. </w:t>
      </w:r>
      <w:r w:rsidRPr="00E87351">
        <w:rPr>
          <w:rFonts w:ascii="Book Antiqua" w:eastAsia="Book Antiqua" w:hAnsi="Book Antiqua" w:cs="Book Antiqua"/>
          <w:i/>
          <w:iCs/>
          <w:color w:val="000000" w:themeColor="text1"/>
        </w:rPr>
        <w:t>Hepatology</w:t>
      </w:r>
      <w:r w:rsidRPr="00E87351">
        <w:rPr>
          <w:rFonts w:ascii="Book Antiqua" w:eastAsia="Book Antiqua" w:hAnsi="Book Antiqua" w:cs="Book Antiqua"/>
          <w:color w:val="000000" w:themeColor="text1"/>
        </w:rPr>
        <w:t xml:space="preserve"> 2000; </w:t>
      </w:r>
      <w:r w:rsidRPr="00E87351">
        <w:rPr>
          <w:rFonts w:ascii="Book Antiqua" w:eastAsia="Book Antiqua" w:hAnsi="Book Antiqua" w:cs="Book Antiqua"/>
          <w:b/>
          <w:bCs/>
          <w:color w:val="000000" w:themeColor="text1"/>
        </w:rPr>
        <w:t>31</w:t>
      </w:r>
      <w:r w:rsidRPr="00E87351">
        <w:rPr>
          <w:rFonts w:ascii="Book Antiqua" w:eastAsia="Book Antiqua" w:hAnsi="Book Antiqua" w:cs="Book Antiqua"/>
          <w:color w:val="000000" w:themeColor="text1"/>
        </w:rPr>
        <w:t>: 864-871 [PMID: 10733541 DOI: 10.1053/he.2000.5852]</w:t>
      </w:r>
    </w:p>
    <w:p w14:paraId="2C7EACF7"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38 </w:t>
      </w:r>
      <w:r w:rsidRPr="00E87351">
        <w:rPr>
          <w:rFonts w:ascii="Book Antiqua" w:eastAsia="Book Antiqua" w:hAnsi="Book Antiqua" w:cs="Book Antiqua"/>
          <w:b/>
          <w:bCs/>
          <w:color w:val="000000" w:themeColor="text1"/>
        </w:rPr>
        <w:t>Wiesner RH</w:t>
      </w:r>
      <w:r w:rsidRPr="00E87351">
        <w:rPr>
          <w:rFonts w:ascii="Book Antiqua" w:eastAsia="Book Antiqua" w:hAnsi="Book Antiqua" w:cs="Book Antiqua"/>
          <w:color w:val="000000" w:themeColor="text1"/>
        </w:rPr>
        <w:t xml:space="preserve">, McDiarmid SV, Kamath PS, Edwards EB, Malinchoc M, Kremers WK, Krom RA, Kim WR. MELD and PELD: application of survival models to liver allocation. </w:t>
      </w:r>
      <w:r w:rsidRPr="00E87351">
        <w:rPr>
          <w:rFonts w:ascii="Book Antiqua" w:eastAsia="Book Antiqua" w:hAnsi="Book Antiqua" w:cs="Book Antiqua"/>
          <w:i/>
          <w:iCs/>
          <w:color w:val="000000" w:themeColor="text1"/>
        </w:rPr>
        <w:t>Liver Transpl</w:t>
      </w:r>
      <w:r w:rsidRPr="00E87351">
        <w:rPr>
          <w:rFonts w:ascii="Book Antiqua" w:eastAsia="Book Antiqua" w:hAnsi="Book Antiqua" w:cs="Book Antiqua"/>
          <w:color w:val="000000" w:themeColor="text1"/>
        </w:rPr>
        <w:t xml:space="preserve"> 2001; </w:t>
      </w:r>
      <w:r w:rsidRPr="00E87351">
        <w:rPr>
          <w:rFonts w:ascii="Book Antiqua" w:eastAsia="Book Antiqua" w:hAnsi="Book Antiqua" w:cs="Book Antiqua"/>
          <w:b/>
          <w:bCs/>
          <w:color w:val="000000" w:themeColor="text1"/>
        </w:rPr>
        <w:t>7</w:t>
      </w:r>
      <w:r w:rsidRPr="00E87351">
        <w:rPr>
          <w:rFonts w:ascii="Book Antiqua" w:eastAsia="Book Antiqua" w:hAnsi="Book Antiqua" w:cs="Book Antiqua"/>
          <w:color w:val="000000" w:themeColor="text1"/>
        </w:rPr>
        <w:t>: 567-580 [PMID: 11460223 DOI: 10.1053/jlts.2001.25879]</w:t>
      </w:r>
    </w:p>
    <w:p w14:paraId="12BE3C80"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39 </w:t>
      </w:r>
      <w:r w:rsidRPr="00E87351">
        <w:rPr>
          <w:rFonts w:ascii="Book Antiqua" w:eastAsia="Book Antiqua" w:hAnsi="Book Antiqua" w:cs="Book Antiqua"/>
          <w:b/>
          <w:bCs/>
          <w:color w:val="000000" w:themeColor="text1"/>
        </w:rPr>
        <w:t>Nadim MK</w:t>
      </w:r>
      <w:r w:rsidRPr="00E87351">
        <w:rPr>
          <w:rFonts w:ascii="Book Antiqua" w:eastAsia="Book Antiqua" w:hAnsi="Book Antiqua" w:cs="Book Antiqua"/>
          <w:color w:val="000000" w:themeColor="text1"/>
        </w:rPr>
        <w:t xml:space="preserve">, Genyk YS, Tokin C, Fieber J, Ananthapanyasut W, Ye W, Selby R. Impact of the etiology of acute kidney injury on outcomes following liver transplantation: acute </w:t>
      </w:r>
      <w:r w:rsidRPr="00E87351">
        <w:rPr>
          <w:rFonts w:ascii="Book Antiqua" w:eastAsia="Book Antiqua" w:hAnsi="Book Antiqua" w:cs="Book Antiqua"/>
          <w:color w:val="000000" w:themeColor="text1"/>
        </w:rPr>
        <w:lastRenderedPageBreak/>
        <w:t xml:space="preserve">tubular necrosis versus hepatorenal syndrome. </w:t>
      </w:r>
      <w:r w:rsidRPr="00E87351">
        <w:rPr>
          <w:rFonts w:ascii="Book Antiqua" w:eastAsia="Book Antiqua" w:hAnsi="Book Antiqua" w:cs="Book Antiqua"/>
          <w:i/>
          <w:iCs/>
          <w:color w:val="000000" w:themeColor="text1"/>
        </w:rPr>
        <w:t>Liver Transpl</w:t>
      </w:r>
      <w:r w:rsidRPr="00E87351">
        <w:rPr>
          <w:rFonts w:ascii="Book Antiqua" w:eastAsia="Book Antiqua" w:hAnsi="Book Antiqua" w:cs="Book Antiqua"/>
          <w:color w:val="000000" w:themeColor="text1"/>
        </w:rPr>
        <w:t xml:space="preserve"> 2012; </w:t>
      </w:r>
      <w:r w:rsidRPr="00E87351">
        <w:rPr>
          <w:rFonts w:ascii="Book Antiqua" w:eastAsia="Book Antiqua" w:hAnsi="Book Antiqua" w:cs="Book Antiqua"/>
          <w:b/>
          <w:bCs/>
          <w:color w:val="000000" w:themeColor="text1"/>
        </w:rPr>
        <w:t>18</w:t>
      </w:r>
      <w:r w:rsidRPr="00E87351">
        <w:rPr>
          <w:rFonts w:ascii="Book Antiqua" w:eastAsia="Book Antiqua" w:hAnsi="Book Antiqua" w:cs="Book Antiqua"/>
          <w:color w:val="000000" w:themeColor="text1"/>
        </w:rPr>
        <w:t>: 539-548 [PMID: 22250075 DOI: 10.1002/Lt.23384]</w:t>
      </w:r>
    </w:p>
    <w:p w14:paraId="2723B9E4"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40 </w:t>
      </w:r>
      <w:r w:rsidRPr="00E87351">
        <w:rPr>
          <w:rFonts w:ascii="Book Antiqua" w:eastAsia="Book Antiqua" w:hAnsi="Book Antiqua" w:cs="Book Antiqua"/>
          <w:b/>
          <w:bCs/>
          <w:color w:val="000000" w:themeColor="text1"/>
        </w:rPr>
        <w:t>Durand F</w:t>
      </w:r>
      <w:r w:rsidRPr="00E87351">
        <w:rPr>
          <w:rFonts w:ascii="Book Antiqua" w:eastAsia="Book Antiqua" w:hAnsi="Book Antiqua" w:cs="Book Antiqua"/>
          <w:color w:val="000000" w:themeColor="text1"/>
        </w:rPr>
        <w:t xml:space="preserve">, Graupera I, Ginès P, Olson JC, Nadim MK. Pathogenesis of Hepatorenal Syndrome: Implications for Therapy. </w:t>
      </w:r>
      <w:r w:rsidRPr="00E87351">
        <w:rPr>
          <w:rFonts w:ascii="Book Antiqua" w:eastAsia="Book Antiqua" w:hAnsi="Book Antiqua" w:cs="Book Antiqua"/>
          <w:i/>
          <w:iCs/>
          <w:color w:val="000000" w:themeColor="text1"/>
        </w:rPr>
        <w:t>Am J Kidney Dis</w:t>
      </w:r>
      <w:r w:rsidRPr="00E87351">
        <w:rPr>
          <w:rFonts w:ascii="Book Antiqua" w:eastAsia="Book Antiqua" w:hAnsi="Book Antiqua" w:cs="Book Antiqua"/>
          <w:color w:val="000000" w:themeColor="text1"/>
        </w:rPr>
        <w:t xml:space="preserve"> 2016; </w:t>
      </w:r>
      <w:r w:rsidRPr="00E87351">
        <w:rPr>
          <w:rFonts w:ascii="Book Antiqua" w:eastAsia="Book Antiqua" w:hAnsi="Book Antiqua" w:cs="Book Antiqua"/>
          <w:b/>
          <w:bCs/>
          <w:color w:val="000000" w:themeColor="text1"/>
        </w:rPr>
        <w:t>67</w:t>
      </w:r>
      <w:r w:rsidRPr="00E87351">
        <w:rPr>
          <w:rFonts w:ascii="Book Antiqua" w:eastAsia="Book Antiqua" w:hAnsi="Book Antiqua" w:cs="Book Antiqua"/>
          <w:color w:val="000000" w:themeColor="text1"/>
        </w:rPr>
        <w:t>: 318-328 [PMID: 26500178 DOI: 10.1053/j.ajkd.2015.09.013]</w:t>
      </w:r>
    </w:p>
    <w:p w14:paraId="209F2CEE"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41 </w:t>
      </w:r>
      <w:r w:rsidRPr="00E87351">
        <w:rPr>
          <w:rFonts w:ascii="Book Antiqua" w:eastAsia="Book Antiqua" w:hAnsi="Book Antiqua" w:cs="Book Antiqua"/>
          <w:b/>
          <w:bCs/>
          <w:color w:val="000000" w:themeColor="text1"/>
        </w:rPr>
        <w:t>Ginès P</w:t>
      </w:r>
      <w:r w:rsidRPr="00E87351">
        <w:rPr>
          <w:rFonts w:ascii="Book Antiqua" w:eastAsia="Book Antiqua" w:hAnsi="Book Antiqua" w:cs="Book Antiqua"/>
          <w:color w:val="000000" w:themeColor="text1"/>
        </w:rPr>
        <w:t xml:space="preserve">, Schrier RW. Renal failure in cirrhosis. </w:t>
      </w:r>
      <w:r w:rsidRPr="00E87351">
        <w:rPr>
          <w:rFonts w:ascii="Book Antiqua" w:eastAsia="Book Antiqua" w:hAnsi="Book Antiqua" w:cs="Book Antiqua"/>
          <w:i/>
          <w:iCs/>
          <w:color w:val="000000" w:themeColor="text1"/>
        </w:rPr>
        <w:t>N Engl J Med</w:t>
      </w:r>
      <w:r w:rsidRPr="00E87351">
        <w:rPr>
          <w:rFonts w:ascii="Book Antiqua" w:eastAsia="Book Antiqua" w:hAnsi="Book Antiqua" w:cs="Book Antiqua"/>
          <w:color w:val="000000" w:themeColor="text1"/>
        </w:rPr>
        <w:t xml:space="preserve"> 2009; </w:t>
      </w:r>
      <w:r w:rsidRPr="00E87351">
        <w:rPr>
          <w:rFonts w:ascii="Book Antiqua" w:eastAsia="Book Antiqua" w:hAnsi="Book Antiqua" w:cs="Book Antiqua"/>
          <w:b/>
          <w:bCs/>
          <w:color w:val="000000" w:themeColor="text1"/>
        </w:rPr>
        <w:t>361</w:t>
      </w:r>
      <w:r w:rsidRPr="00E87351">
        <w:rPr>
          <w:rFonts w:ascii="Book Antiqua" w:eastAsia="Book Antiqua" w:hAnsi="Book Antiqua" w:cs="Book Antiqua"/>
          <w:color w:val="000000" w:themeColor="text1"/>
        </w:rPr>
        <w:t>: 1279-1290 [PMID: 19776409 DOI: 10.1056/nejmra0809139]</w:t>
      </w:r>
    </w:p>
    <w:p w14:paraId="158B7CC8"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42 </w:t>
      </w:r>
      <w:r w:rsidRPr="00E87351">
        <w:rPr>
          <w:rFonts w:ascii="Book Antiqua" w:eastAsia="Book Antiqua" w:hAnsi="Book Antiqua" w:cs="Book Antiqua"/>
          <w:b/>
          <w:bCs/>
          <w:color w:val="000000" w:themeColor="text1"/>
        </w:rPr>
        <w:t>Xu ZD</w:t>
      </w:r>
      <w:r w:rsidRPr="00E87351">
        <w:rPr>
          <w:rFonts w:ascii="Book Antiqua" w:eastAsia="Book Antiqua" w:hAnsi="Book Antiqua" w:cs="Book Antiqua"/>
          <w:color w:val="000000" w:themeColor="text1"/>
        </w:rPr>
        <w:t xml:space="preserve">, Xu HT, Yuan HB, Zhang H, Ji RH, Zou Z, Fu ZR, Shi XY. Postreperfusion syndrome during orthotopic liver transplantation: a single-center experience. </w:t>
      </w:r>
      <w:r w:rsidRPr="00E87351">
        <w:rPr>
          <w:rFonts w:ascii="Book Antiqua" w:eastAsia="Book Antiqua" w:hAnsi="Book Antiqua" w:cs="Book Antiqua"/>
          <w:i/>
          <w:iCs/>
          <w:color w:val="000000" w:themeColor="text1"/>
        </w:rPr>
        <w:t>Hepatobiliary Pancreat Dis Int</w:t>
      </w:r>
      <w:r w:rsidRPr="00E87351">
        <w:rPr>
          <w:rFonts w:ascii="Book Antiqua" w:eastAsia="Book Antiqua" w:hAnsi="Book Antiqua" w:cs="Book Antiqua"/>
          <w:color w:val="000000" w:themeColor="text1"/>
        </w:rPr>
        <w:t xml:space="preserve"> 2012; </w:t>
      </w:r>
      <w:r w:rsidRPr="00E87351">
        <w:rPr>
          <w:rFonts w:ascii="Book Antiqua" w:eastAsia="Book Antiqua" w:hAnsi="Book Antiqua" w:cs="Book Antiqua"/>
          <w:b/>
          <w:bCs/>
          <w:color w:val="000000" w:themeColor="text1"/>
        </w:rPr>
        <w:t>11</w:t>
      </w:r>
      <w:r w:rsidRPr="00E87351">
        <w:rPr>
          <w:rFonts w:ascii="Book Antiqua" w:eastAsia="Book Antiqua" w:hAnsi="Book Antiqua" w:cs="Book Antiqua"/>
          <w:color w:val="000000" w:themeColor="text1"/>
        </w:rPr>
        <w:t>: 34-39 [PMID: 22251468 DOI: 10.1016/s1499-3872(11)60123-9]</w:t>
      </w:r>
    </w:p>
    <w:p w14:paraId="233EC1BA"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43 </w:t>
      </w:r>
      <w:r w:rsidRPr="00E87351">
        <w:rPr>
          <w:rFonts w:ascii="Book Antiqua" w:eastAsia="Book Antiqua" w:hAnsi="Book Antiqua" w:cs="Book Antiqua"/>
          <w:b/>
          <w:bCs/>
          <w:color w:val="000000" w:themeColor="text1"/>
        </w:rPr>
        <w:t>Valentine E</w:t>
      </w:r>
      <w:r w:rsidRPr="00E87351">
        <w:rPr>
          <w:rFonts w:ascii="Book Antiqua" w:eastAsia="Book Antiqua" w:hAnsi="Book Antiqua" w:cs="Book Antiqua"/>
          <w:color w:val="000000" w:themeColor="text1"/>
        </w:rPr>
        <w:t xml:space="preserve">, Gregorits M, Gutsche JT, Al-Ghofaily L, Augoustides JG. Clinical update in liver transplantation. </w:t>
      </w:r>
      <w:r w:rsidRPr="00E87351">
        <w:rPr>
          <w:rFonts w:ascii="Book Antiqua" w:eastAsia="Book Antiqua" w:hAnsi="Book Antiqua" w:cs="Book Antiqua"/>
          <w:i/>
          <w:iCs/>
          <w:color w:val="000000" w:themeColor="text1"/>
        </w:rPr>
        <w:t>J Cardiothorac Vasc Anesth</w:t>
      </w:r>
      <w:r w:rsidRPr="00E87351">
        <w:rPr>
          <w:rFonts w:ascii="Book Antiqua" w:eastAsia="Book Antiqua" w:hAnsi="Book Antiqua" w:cs="Book Antiqua"/>
          <w:color w:val="000000" w:themeColor="text1"/>
        </w:rPr>
        <w:t xml:space="preserve"> 2013; </w:t>
      </w:r>
      <w:r w:rsidRPr="00E87351">
        <w:rPr>
          <w:rFonts w:ascii="Book Antiqua" w:eastAsia="Book Antiqua" w:hAnsi="Book Antiqua" w:cs="Book Antiqua"/>
          <w:b/>
          <w:bCs/>
          <w:color w:val="000000" w:themeColor="text1"/>
        </w:rPr>
        <w:t>27</w:t>
      </w:r>
      <w:r w:rsidRPr="00E87351">
        <w:rPr>
          <w:rFonts w:ascii="Book Antiqua" w:eastAsia="Book Antiqua" w:hAnsi="Book Antiqua" w:cs="Book Antiqua"/>
          <w:color w:val="000000" w:themeColor="text1"/>
        </w:rPr>
        <w:t>: 809-815 [PMID: 23849528 DOI: 10.1053/j.jvca.2013.03.031]</w:t>
      </w:r>
    </w:p>
    <w:p w14:paraId="399AB178"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44 </w:t>
      </w:r>
      <w:r w:rsidRPr="00E87351">
        <w:rPr>
          <w:rFonts w:ascii="Book Antiqua" w:eastAsia="Book Antiqua" w:hAnsi="Book Antiqua" w:cs="Book Antiqua"/>
          <w:b/>
          <w:bCs/>
          <w:color w:val="000000" w:themeColor="text1"/>
        </w:rPr>
        <w:t>Park MH</w:t>
      </w:r>
      <w:r w:rsidRPr="00E87351">
        <w:rPr>
          <w:rFonts w:ascii="Book Antiqua" w:eastAsia="Book Antiqua" w:hAnsi="Book Antiqua" w:cs="Book Antiqua"/>
          <w:color w:val="000000" w:themeColor="text1"/>
        </w:rPr>
        <w:t xml:space="preserve">, Shim HS, Kim WH, Kim HJ, Kim DJ, Lee SH, Kim CS, Gwak MS, Kim GS. Clinical Risk Scoring Models for Prediction of Acute Kidney Injury after Living Donor Liver Transplantation: A Retrospective Observational Study. </w:t>
      </w:r>
      <w:r w:rsidRPr="00E87351">
        <w:rPr>
          <w:rFonts w:ascii="Book Antiqua" w:eastAsia="Book Antiqua" w:hAnsi="Book Antiqua" w:cs="Book Antiqua"/>
          <w:i/>
          <w:iCs/>
          <w:color w:val="000000" w:themeColor="text1"/>
        </w:rPr>
        <w:t>PLoS One</w:t>
      </w:r>
      <w:r w:rsidRPr="00E87351">
        <w:rPr>
          <w:rFonts w:ascii="Book Antiqua" w:eastAsia="Book Antiqua" w:hAnsi="Book Antiqua" w:cs="Book Antiqua"/>
          <w:color w:val="000000" w:themeColor="text1"/>
        </w:rPr>
        <w:t xml:space="preserve"> 2015; </w:t>
      </w:r>
      <w:r w:rsidRPr="00E87351">
        <w:rPr>
          <w:rFonts w:ascii="Book Antiqua" w:eastAsia="Book Antiqua" w:hAnsi="Book Antiqua" w:cs="Book Antiqua"/>
          <w:b/>
          <w:bCs/>
          <w:color w:val="000000" w:themeColor="text1"/>
        </w:rPr>
        <w:t>10</w:t>
      </w:r>
      <w:r w:rsidRPr="00E87351">
        <w:rPr>
          <w:rFonts w:ascii="Book Antiqua" w:eastAsia="Book Antiqua" w:hAnsi="Book Antiqua" w:cs="Book Antiqua"/>
          <w:color w:val="000000" w:themeColor="text1"/>
        </w:rPr>
        <w:t>: e0136230 [PMID: 26302370 DOI: 10.1371/journal.pone.0136230]</w:t>
      </w:r>
    </w:p>
    <w:p w14:paraId="7E972B92"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45 </w:t>
      </w:r>
      <w:r w:rsidRPr="00E87351">
        <w:rPr>
          <w:rFonts w:ascii="Book Antiqua" w:eastAsia="Book Antiqua" w:hAnsi="Book Antiqua" w:cs="Book Antiqua"/>
          <w:b/>
          <w:bCs/>
          <w:color w:val="000000" w:themeColor="text1"/>
        </w:rPr>
        <w:t>Lebrón Gallardo M</w:t>
      </w:r>
      <w:r w:rsidRPr="00E87351">
        <w:rPr>
          <w:rFonts w:ascii="Book Antiqua" w:eastAsia="Book Antiqua" w:hAnsi="Book Antiqua" w:cs="Book Antiqua"/>
          <w:color w:val="000000" w:themeColor="text1"/>
        </w:rPr>
        <w:t xml:space="preserve">, Herrera Gutierrez ME, Seller Pérez G, Curiel Balsera E, Fernández Ortega JF, Quesada García G. Risk factors for renal dysfunction in the postoperative course of liver transplant. </w:t>
      </w:r>
      <w:r w:rsidRPr="00E87351">
        <w:rPr>
          <w:rFonts w:ascii="Book Antiqua" w:eastAsia="Book Antiqua" w:hAnsi="Book Antiqua" w:cs="Book Antiqua"/>
          <w:i/>
          <w:iCs/>
          <w:color w:val="000000" w:themeColor="text1"/>
        </w:rPr>
        <w:t>Liver Transpl</w:t>
      </w:r>
      <w:r w:rsidRPr="00E87351">
        <w:rPr>
          <w:rFonts w:ascii="Book Antiqua" w:eastAsia="Book Antiqua" w:hAnsi="Book Antiqua" w:cs="Book Antiqua"/>
          <w:color w:val="000000" w:themeColor="text1"/>
        </w:rPr>
        <w:t xml:space="preserve"> 2004; </w:t>
      </w:r>
      <w:r w:rsidRPr="00E87351">
        <w:rPr>
          <w:rFonts w:ascii="Book Antiqua" w:eastAsia="Book Antiqua" w:hAnsi="Book Antiqua" w:cs="Book Antiqua"/>
          <w:b/>
          <w:bCs/>
          <w:color w:val="000000" w:themeColor="text1"/>
        </w:rPr>
        <w:t>10</w:t>
      </w:r>
      <w:r w:rsidRPr="00E87351">
        <w:rPr>
          <w:rFonts w:ascii="Book Antiqua" w:eastAsia="Book Antiqua" w:hAnsi="Book Antiqua" w:cs="Book Antiqua"/>
          <w:color w:val="000000" w:themeColor="text1"/>
        </w:rPr>
        <w:t>: 1379-1385 [PMID: 15497160 DOI: 10.1002/Lt.20215]</w:t>
      </w:r>
    </w:p>
    <w:p w14:paraId="086F7E39"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46 </w:t>
      </w:r>
      <w:r w:rsidRPr="00E87351">
        <w:rPr>
          <w:rFonts w:ascii="Book Antiqua" w:eastAsia="Book Antiqua" w:hAnsi="Book Antiqua" w:cs="Book Antiqua"/>
          <w:b/>
          <w:bCs/>
          <w:color w:val="000000" w:themeColor="text1"/>
        </w:rPr>
        <w:t>Utsumi M</w:t>
      </w:r>
      <w:r w:rsidRPr="00E87351">
        <w:rPr>
          <w:rFonts w:ascii="Book Antiqua" w:eastAsia="Book Antiqua" w:hAnsi="Book Antiqua" w:cs="Book Antiqua"/>
          <w:color w:val="000000" w:themeColor="text1"/>
        </w:rPr>
        <w:t xml:space="preserve">, Umeda Y, Sadamori H, Nagasaka T, Takaki A, Matsuda H, Shinoura S, Yoshida R, Nobuoka D, Satoh D, Fuji T, Yagi T, Fujiwara T. Risk factors for acute renal injury in living donor liver transplantation: evaluation of the RIFLE criteria. </w:t>
      </w:r>
      <w:r w:rsidRPr="00E87351">
        <w:rPr>
          <w:rFonts w:ascii="Book Antiqua" w:eastAsia="Book Antiqua" w:hAnsi="Book Antiqua" w:cs="Book Antiqua"/>
          <w:i/>
          <w:iCs/>
          <w:color w:val="000000" w:themeColor="text1"/>
        </w:rPr>
        <w:t>Transpl Int</w:t>
      </w:r>
      <w:r w:rsidRPr="00E87351">
        <w:rPr>
          <w:rFonts w:ascii="Book Antiqua" w:eastAsia="Book Antiqua" w:hAnsi="Book Antiqua" w:cs="Book Antiqua"/>
          <w:color w:val="000000" w:themeColor="text1"/>
        </w:rPr>
        <w:t xml:space="preserve"> 2013; </w:t>
      </w:r>
      <w:r w:rsidRPr="00E87351">
        <w:rPr>
          <w:rFonts w:ascii="Book Antiqua" w:eastAsia="Book Antiqua" w:hAnsi="Book Antiqua" w:cs="Book Antiqua"/>
          <w:b/>
          <w:bCs/>
          <w:color w:val="000000" w:themeColor="text1"/>
        </w:rPr>
        <w:t>26</w:t>
      </w:r>
      <w:r w:rsidRPr="00E87351">
        <w:rPr>
          <w:rFonts w:ascii="Book Antiqua" w:eastAsia="Book Antiqua" w:hAnsi="Book Antiqua" w:cs="Book Antiqua"/>
          <w:color w:val="000000" w:themeColor="text1"/>
        </w:rPr>
        <w:t>: 842-852 [PMID: 23855657 DOI: 10.1111/tri.12138]</w:t>
      </w:r>
    </w:p>
    <w:p w14:paraId="3849FFB0"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47 </w:t>
      </w:r>
      <w:r w:rsidRPr="00E87351">
        <w:rPr>
          <w:rFonts w:ascii="Book Antiqua" w:eastAsia="Book Antiqua" w:hAnsi="Book Antiqua" w:cs="Book Antiqua"/>
          <w:b/>
          <w:bCs/>
          <w:color w:val="000000" w:themeColor="text1"/>
        </w:rPr>
        <w:t>Lee SK</w:t>
      </w:r>
      <w:r w:rsidRPr="00E87351">
        <w:rPr>
          <w:rFonts w:ascii="Book Antiqua" w:eastAsia="Book Antiqua" w:hAnsi="Book Antiqua" w:cs="Book Antiqua"/>
          <w:color w:val="000000" w:themeColor="text1"/>
        </w:rPr>
        <w:t xml:space="preserve">, Park JB, Kim SJ, Choi GS, Kim DJ, Kwon CH, Lee SK, Joh JW. Early postoperative renal dysfunction in the adult living donor liver transplantation. </w:t>
      </w:r>
      <w:r w:rsidRPr="00E87351">
        <w:rPr>
          <w:rFonts w:ascii="Book Antiqua" w:eastAsia="Book Antiqua" w:hAnsi="Book Antiqua" w:cs="Book Antiqua"/>
          <w:i/>
          <w:iCs/>
          <w:color w:val="000000" w:themeColor="text1"/>
        </w:rPr>
        <w:t>Transplant Proc</w:t>
      </w:r>
      <w:r w:rsidRPr="00E87351">
        <w:rPr>
          <w:rFonts w:ascii="Book Antiqua" w:eastAsia="Book Antiqua" w:hAnsi="Book Antiqua" w:cs="Book Antiqua"/>
          <w:color w:val="000000" w:themeColor="text1"/>
        </w:rPr>
        <w:t xml:space="preserve"> 2007; </w:t>
      </w:r>
      <w:r w:rsidRPr="00E87351">
        <w:rPr>
          <w:rFonts w:ascii="Book Antiqua" w:eastAsia="Book Antiqua" w:hAnsi="Book Antiqua" w:cs="Book Antiqua"/>
          <w:b/>
          <w:bCs/>
          <w:color w:val="000000" w:themeColor="text1"/>
        </w:rPr>
        <w:t>39</w:t>
      </w:r>
      <w:r w:rsidRPr="00E87351">
        <w:rPr>
          <w:rFonts w:ascii="Book Antiqua" w:eastAsia="Book Antiqua" w:hAnsi="Book Antiqua" w:cs="Book Antiqua"/>
          <w:color w:val="000000" w:themeColor="text1"/>
        </w:rPr>
        <w:t>: 1517-1519 [PMID: 17580177 DOI: 10.1016/j.transproceed.2006.11.018]</w:t>
      </w:r>
    </w:p>
    <w:p w14:paraId="09E2D882"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lastRenderedPageBreak/>
        <w:t xml:space="preserve">48 </w:t>
      </w:r>
      <w:r w:rsidRPr="00E87351">
        <w:rPr>
          <w:rFonts w:ascii="Book Antiqua" w:eastAsia="Book Antiqua" w:hAnsi="Book Antiqua" w:cs="Book Antiqua"/>
          <w:b/>
          <w:bCs/>
          <w:color w:val="000000" w:themeColor="text1"/>
        </w:rPr>
        <w:t>Licata A</w:t>
      </w:r>
      <w:r w:rsidRPr="00E87351">
        <w:rPr>
          <w:rFonts w:ascii="Book Antiqua" w:eastAsia="Book Antiqua" w:hAnsi="Book Antiqua" w:cs="Book Antiqua"/>
          <w:color w:val="000000" w:themeColor="text1"/>
        </w:rPr>
        <w:t xml:space="preserve">, Mazzola A, Ingrassia D, Calvaruso V, Cammà C, Craxì A. Clinical implications of the hyperdynamic syndrome in cirrhosis. </w:t>
      </w:r>
      <w:r w:rsidRPr="00E87351">
        <w:rPr>
          <w:rFonts w:ascii="Book Antiqua" w:eastAsia="Book Antiqua" w:hAnsi="Book Antiqua" w:cs="Book Antiqua"/>
          <w:i/>
          <w:iCs/>
          <w:color w:val="000000" w:themeColor="text1"/>
        </w:rPr>
        <w:t>Eur J Intern Med</w:t>
      </w:r>
      <w:r w:rsidRPr="00E87351">
        <w:rPr>
          <w:rFonts w:ascii="Book Antiqua" w:eastAsia="Book Antiqua" w:hAnsi="Book Antiqua" w:cs="Book Antiqua"/>
          <w:color w:val="000000" w:themeColor="text1"/>
        </w:rPr>
        <w:t xml:space="preserve"> 2014; </w:t>
      </w:r>
      <w:r w:rsidRPr="00E87351">
        <w:rPr>
          <w:rFonts w:ascii="Book Antiqua" w:eastAsia="Book Antiqua" w:hAnsi="Book Antiqua" w:cs="Book Antiqua"/>
          <w:b/>
          <w:bCs/>
          <w:color w:val="000000" w:themeColor="text1"/>
        </w:rPr>
        <w:t>25</w:t>
      </w:r>
      <w:r w:rsidRPr="00E87351">
        <w:rPr>
          <w:rFonts w:ascii="Book Antiqua" w:eastAsia="Book Antiqua" w:hAnsi="Book Antiqua" w:cs="Book Antiqua"/>
          <w:color w:val="000000" w:themeColor="text1"/>
        </w:rPr>
        <w:t>: 795-802 [PMID: 25245607 DOI: 10.1016/j.ejim.2014.09.004]</w:t>
      </w:r>
    </w:p>
    <w:p w14:paraId="5E98B756"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49 </w:t>
      </w:r>
      <w:r w:rsidRPr="00E87351">
        <w:rPr>
          <w:rFonts w:ascii="Book Antiqua" w:eastAsia="Book Antiqua" w:hAnsi="Book Antiqua" w:cs="Book Antiqua"/>
          <w:b/>
          <w:bCs/>
          <w:color w:val="000000" w:themeColor="text1"/>
        </w:rPr>
        <w:t>Karkouti K</w:t>
      </w:r>
      <w:r w:rsidRPr="00E87351">
        <w:rPr>
          <w:rFonts w:ascii="Book Antiqua" w:eastAsia="Book Antiqua" w:hAnsi="Book Antiqua" w:cs="Book Antiqua"/>
          <w:color w:val="000000" w:themeColor="text1"/>
        </w:rPr>
        <w:t xml:space="preserve">, Wijeysundera DN, Yau TM, McCluskey SA, Chan CT, Wong PY, Crowther MA, Hozhabri S, Beattie WS. Advance targeted transfusion in anemic cardiac surgical patients for kidney protection: an unblinded randomized pilot clinical trial. </w:t>
      </w:r>
      <w:r w:rsidRPr="00E87351">
        <w:rPr>
          <w:rFonts w:ascii="Book Antiqua" w:eastAsia="Book Antiqua" w:hAnsi="Book Antiqua" w:cs="Book Antiqua"/>
          <w:i/>
          <w:iCs/>
          <w:color w:val="000000" w:themeColor="text1"/>
        </w:rPr>
        <w:t>Anesthesiology</w:t>
      </w:r>
      <w:r w:rsidRPr="00E87351">
        <w:rPr>
          <w:rFonts w:ascii="Book Antiqua" w:eastAsia="Book Antiqua" w:hAnsi="Book Antiqua" w:cs="Book Antiqua"/>
          <w:color w:val="000000" w:themeColor="text1"/>
        </w:rPr>
        <w:t xml:space="preserve"> 2012; </w:t>
      </w:r>
      <w:r w:rsidRPr="00E87351">
        <w:rPr>
          <w:rFonts w:ascii="Book Antiqua" w:eastAsia="Book Antiqua" w:hAnsi="Book Antiqua" w:cs="Book Antiqua"/>
          <w:b/>
          <w:bCs/>
          <w:color w:val="000000" w:themeColor="text1"/>
        </w:rPr>
        <w:t>116</w:t>
      </w:r>
      <w:r w:rsidRPr="00E87351">
        <w:rPr>
          <w:rFonts w:ascii="Book Antiqua" w:eastAsia="Book Antiqua" w:hAnsi="Book Antiqua" w:cs="Book Antiqua"/>
          <w:color w:val="000000" w:themeColor="text1"/>
        </w:rPr>
        <w:t>: 613-621 [PMID: 22354243 DOI: 10.1097/ALN.0b013e3182475e39]</w:t>
      </w:r>
    </w:p>
    <w:p w14:paraId="23BE3C5B" w14:textId="77777777" w:rsidR="00703676" w:rsidRPr="00E87351" w:rsidRDefault="00AA5AC6">
      <w:pPr>
        <w:spacing w:line="360" w:lineRule="auto"/>
        <w:jc w:val="both"/>
        <w:rPr>
          <w:rFonts w:ascii="Book Antiqua" w:eastAsia="Book Antiqua" w:hAnsi="Book Antiqua" w:cs="Book Antiqua"/>
          <w:color w:val="000000" w:themeColor="text1"/>
        </w:rPr>
      </w:pPr>
      <w:r w:rsidRPr="00E87351">
        <w:rPr>
          <w:rFonts w:ascii="Book Antiqua" w:eastAsia="Book Antiqua" w:hAnsi="Book Antiqua" w:cs="Book Antiqua"/>
          <w:color w:val="000000" w:themeColor="text1"/>
        </w:rPr>
        <w:t xml:space="preserve">50 </w:t>
      </w:r>
      <w:r w:rsidRPr="00E87351">
        <w:rPr>
          <w:rFonts w:ascii="Book Antiqua" w:eastAsia="Book Antiqua" w:hAnsi="Book Antiqua" w:cs="Book Antiqua"/>
          <w:b/>
          <w:bCs/>
          <w:color w:val="000000" w:themeColor="text1"/>
        </w:rPr>
        <w:t>van de Watering L</w:t>
      </w:r>
      <w:r w:rsidRPr="00E87351">
        <w:rPr>
          <w:rFonts w:ascii="Book Antiqua" w:eastAsia="Book Antiqua" w:hAnsi="Book Antiqua" w:cs="Book Antiqua"/>
          <w:color w:val="000000" w:themeColor="text1"/>
        </w:rPr>
        <w:t xml:space="preserve">. Red cell storage and prognosis. </w:t>
      </w:r>
      <w:r w:rsidRPr="00E87351">
        <w:rPr>
          <w:rFonts w:ascii="Book Antiqua" w:eastAsia="Book Antiqua" w:hAnsi="Book Antiqua" w:cs="Book Antiqua"/>
          <w:i/>
          <w:iCs/>
          <w:color w:val="000000" w:themeColor="text1"/>
        </w:rPr>
        <w:t>Vox Sang</w:t>
      </w:r>
      <w:r w:rsidRPr="00E87351">
        <w:rPr>
          <w:rFonts w:ascii="Book Antiqua" w:eastAsia="Book Antiqua" w:hAnsi="Book Antiqua" w:cs="Book Antiqua"/>
          <w:color w:val="000000" w:themeColor="text1"/>
        </w:rPr>
        <w:t xml:space="preserve"> 2011; </w:t>
      </w:r>
      <w:r w:rsidRPr="00E87351">
        <w:rPr>
          <w:rFonts w:ascii="Book Antiqua" w:eastAsia="Book Antiqua" w:hAnsi="Book Antiqua" w:cs="Book Antiqua"/>
          <w:b/>
          <w:bCs/>
          <w:color w:val="000000" w:themeColor="text1"/>
        </w:rPr>
        <w:t>100</w:t>
      </w:r>
      <w:r w:rsidRPr="00E87351">
        <w:rPr>
          <w:rFonts w:ascii="Book Antiqua" w:eastAsia="Book Antiqua" w:hAnsi="Book Antiqua" w:cs="Book Antiqua"/>
          <w:color w:val="000000" w:themeColor="text1"/>
        </w:rPr>
        <w:t>: 36-45 [PMID: 21175654 DOI: 10.1111/j.1423-0410.2010.01441.x]</w:t>
      </w:r>
    </w:p>
    <w:p w14:paraId="541E27EE" w14:textId="77777777" w:rsidR="00703676" w:rsidRPr="00E87351" w:rsidRDefault="00703676">
      <w:pPr>
        <w:spacing w:line="360" w:lineRule="auto"/>
        <w:jc w:val="both"/>
        <w:rPr>
          <w:rFonts w:ascii="Book Antiqua" w:hAnsi="Book Antiqua"/>
          <w:color w:val="000000" w:themeColor="text1"/>
        </w:rPr>
      </w:pPr>
    </w:p>
    <w:p w14:paraId="23EEAA22" w14:textId="77777777" w:rsidR="00703676" w:rsidRPr="00E87351" w:rsidRDefault="00703676">
      <w:pPr>
        <w:spacing w:line="360" w:lineRule="auto"/>
        <w:jc w:val="both"/>
        <w:rPr>
          <w:rFonts w:ascii="Book Antiqua" w:hAnsi="Book Antiqua"/>
        </w:rPr>
        <w:sectPr w:rsidR="00703676" w:rsidRPr="00E87351">
          <w:pgSz w:w="12240" w:h="15840"/>
          <w:pgMar w:top="1440" w:right="1440" w:bottom="1440" w:left="1440" w:header="720" w:footer="720" w:gutter="0"/>
          <w:cols w:space="720"/>
          <w:docGrid w:linePitch="360"/>
        </w:sectPr>
      </w:pPr>
    </w:p>
    <w:p w14:paraId="16019792"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lastRenderedPageBreak/>
        <w:t>Footnotes</w:t>
      </w:r>
    </w:p>
    <w:p w14:paraId="56207EE0"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t xml:space="preserve">Institutional review board statement: </w:t>
      </w:r>
      <w:r w:rsidRPr="00E87351">
        <w:rPr>
          <w:rFonts w:ascii="Book Antiqua" w:eastAsia="Book Antiqua" w:hAnsi="Book Antiqua" w:cs="Book Antiqua"/>
          <w:color w:val="000000"/>
        </w:rPr>
        <w:t>The study was approved by the Research Ethics Board at Assis Gurgacz University (No. 4.190.165). The study was performed according to the ethical guidelines of the 1975 Declaration of Helsinki.</w:t>
      </w:r>
    </w:p>
    <w:p w14:paraId="37B0321D" w14:textId="77777777" w:rsidR="00703676" w:rsidRPr="00E87351" w:rsidRDefault="00703676">
      <w:pPr>
        <w:spacing w:line="360" w:lineRule="auto"/>
        <w:ind w:firstLine="708"/>
        <w:jc w:val="both"/>
        <w:rPr>
          <w:rFonts w:ascii="Book Antiqua" w:hAnsi="Book Antiqua"/>
        </w:rPr>
      </w:pPr>
    </w:p>
    <w:p w14:paraId="7D7F5B19"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t xml:space="preserve">Conflict-of-interest statement: </w:t>
      </w:r>
      <w:r w:rsidRPr="00E87351">
        <w:rPr>
          <w:rFonts w:ascii="Book Antiqua" w:eastAsia="Book Antiqua" w:hAnsi="Book Antiqua" w:cs="Book Antiqua"/>
          <w:color w:val="000000"/>
        </w:rPr>
        <w:t>All authors that contributed equally to this manuscript declare no potential conflicts of interest and no financial support.</w:t>
      </w:r>
    </w:p>
    <w:p w14:paraId="19D6C2BF" w14:textId="77777777" w:rsidR="00703676" w:rsidRPr="00E87351" w:rsidRDefault="00703676">
      <w:pPr>
        <w:spacing w:line="360" w:lineRule="auto"/>
        <w:ind w:firstLine="708"/>
        <w:jc w:val="both"/>
        <w:rPr>
          <w:rFonts w:ascii="Book Antiqua" w:hAnsi="Book Antiqua"/>
        </w:rPr>
      </w:pPr>
    </w:p>
    <w:p w14:paraId="5EF9EC2E"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t xml:space="preserve">Data sharing statement: </w:t>
      </w:r>
      <w:r w:rsidRPr="00E87351">
        <w:rPr>
          <w:rFonts w:ascii="Book Antiqua" w:eastAsia="Book Antiqua" w:hAnsi="Book Antiqua" w:cs="Book Antiqua"/>
          <w:color w:val="000000"/>
        </w:rPr>
        <w:t>All authors declare that the original anonymous dataset is available on request from the corresponding author (lcbredt@gmail.com).</w:t>
      </w:r>
    </w:p>
    <w:p w14:paraId="34E695E6" w14:textId="77777777" w:rsidR="00703676" w:rsidRPr="00E87351" w:rsidRDefault="00703676">
      <w:pPr>
        <w:spacing w:line="360" w:lineRule="auto"/>
        <w:ind w:firstLine="708"/>
        <w:jc w:val="both"/>
        <w:rPr>
          <w:rFonts w:ascii="Book Antiqua" w:hAnsi="Book Antiqua"/>
        </w:rPr>
      </w:pPr>
    </w:p>
    <w:p w14:paraId="0D1175B2"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bCs/>
          <w:color w:val="000000"/>
        </w:rPr>
        <w:t xml:space="preserve">Open-Access: </w:t>
      </w:r>
      <w:r w:rsidRPr="00E8735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DCD8AC" w14:textId="77777777" w:rsidR="00703676" w:rsidRPr="00E87351" w:rsidRDefault="00703676">
      <w:pPr>
        <w:spacing w:line="360" w:lineRule="auto"/>
        <w:jc w:val="both"/>
        <w:rPr>
          <w:rFonts w:ascii="Book Antiqua" w:hAnsi="Book Antiqua"/>
        </w:rPr>
      </w:pPr>
    </w:p>
    <w:p w14:paraId="4071225D"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 xml:space="preserve">Provenance and peer review: </w:t>
      </w:r>
      <w:r w:rsidRPr="00E87351">
        <w:rPr>
          <w:rFonts w:ascii="Book Antiqua" w:eastAsia="Book Antiqua" w:hAnsi="Book Antiqua" w:cs="Book Antiqua"/>
          <w:color w:val="000000"/>
        </w:rPr>
        <w:t>Unsolicited article; Externally peer reviewed.</w:t>
      </w:r>
    </w:p>
    <w:p w14:paraId="4F402892"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 xml:space="preserve">Peer-review model: </w:t>
      </w:r>
      <w:r w:rsidRPr="00E87351">
        <w:rPr>
          <w:rFonts w:ascii="Book Antiqua" w:eastAsia="Book Antiqua" w:hAnsi="Book Antiqua" w:cs="Book Antiqua"/>
          <w:color w:val="000000"/>
        </w:rPr>
        <w:t>Single blind</w:t>
      </w:r>
    </w:p>
    <w:p w14:paraId="6B613A42" w14:textId="77777777" w:rsidR="00703676" w:rsidRPr="00E87351" w:rsidRDefault="00703676">
      <w:pPr>
        <w:spacing w:line="360" w:lineRule="auto"/>
        <w:jc w:val="both"/>
        <w:rPr>
          <w:rFonts w:ascii="Book Antiqua" w:hAnsi="Book Antiqua"/>
        </w:rPr>
      </w:pPr>
    </w:p>
    <w:p w14:paraId="0C04F249"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 xml:space="preserve">Peer-review started: </w:t>
      </w:r>
      <w:r w:rsidRPr="00E87351">
        <w:rPr>
          <w:rFonts w:ascii="Book Antiqua" w:eastAsia="Book Antiqua" w:hAnsi="Book Antiqua" w:cs="Book Antiqua"/>
          <w:color w:val="000000"/>
        </w:rPr>
        <w:t>September 27, 2021</w:t>
      </w:r>
    </w:p>
    <w:p w14:paraId="34CF9B2F"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 xml:space="preserve">First decision: </w:t>
      </w:r>
      <w:r w:rsidRPr="00E87351">
        <w:rPr>
          <w:rFonts w:ascii="Book Antiqua" w:eastAsia="Book Antiqua" w:hAnsi="Book Antiqua" w:cs="Book Antiqua"/>
          <w:color w:val="000000"/>
        </w:rPr>
        <w:t>December 2, 2021</w:t>
      </w:r>
    </w:p>
    <w:p w14:paraId="1B812A8D" w14:textId="77777777" w:rsidR="00703676" w:rsidRPr="00E87351" w:rsidRDefault="00AA5AC6">
      <w:pPr>
        <w:spacing w:line="360" w:lineRule="auto"/>
        <w:jc w:val="both"/>
        <w:rPr>
          <w:rFonts w:ascii="Book Antiqua" w:hAnsi="Book Antiqua"/>
          <w:lang w:eastAsia="zh-CN"/>
        </w:rPr>
      </w:pPr>
      <w:r w:rsidRPr="00E87351">
        <w:rPr>
          <w:rFonts w:ascii="Book Antiqua" w:eastAsia="Book Antiqua" w:hAnsi="Book Antiqua" w:cs="Book Antiqua"/>
          <w:b/>
          <w:color w:val="000000"/>
        </w:rPr>
        <w:t>Article in press:</w:t>
      </w:r>
      <w:r w:rsidRPr="00E87351">
        <w:rPr>
          <w:rFonts w:ascii="Book Antiqua" w:eastAsia="宋体" w:hAnsi="Book Antiqua" w:cs="Book Antiqua" w:hint="eastAsia"/>
          <w:b/>
          <w:color w:val="000000"/>
          <w:lang w:eastAsia="zh-CN"/>
        </w:rPr>
        <w:t xml:space="preserve"> </w:t>
      </w:r>
      <w:r w:rsidRPr="00E87351">
        <w:rPr>
          <w:rFonts w:ascii="Book Antiqua" w:eastAsia="Book Antiqua" w:hAnsi="Book Antiqua" w:cs="Book Antiqua"/>
          <w:color w:val="000000"/>
        </w:rPr>
        <w:t xml:space="preserve">February 16, 2022 </w:t>
      </w:r>
    </w:p>
    <w:p w14:paraId="454A19D8" w14:textId="77777777" w:rsidR="00703676" w:rsidRPr="00E87351" w:rsidRDefault="00703676">
      <w:pPr>
        <w:spacing w:line="360" w:lineRule="auto"/>
        <w:jc w:val="both"/>
        <w:rPr>
          <w:rFonts w:ascii="Book Antiqua" w:hAnsi="Book Antiqua"/>
        </w:rPr>
      </w:pPr>
    </w:p>
    <w:p w14:paraId="46CE5D44"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 xml:space="preserve">Specialty type: </w:t>
      </w:r>
      <w:r w:rsidRPr="00E87351">
        <w:rPr>
          <w:rFonts w:ascii="Book Antiqua" w:eastAsia="微软雅黑" w:hAnsi="Book Antiqua" w:cs="宋体"/>
        </w:rPr>
        <w:t>Gastroenterology and hepatology</w:t>
      </w:r>
    </w:p>
    <w:p w14:paraId="75DCE5D2"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 xml:space="preserve">Country/Territory of origin: </w:t>
      </w:r>
      <w:r w:rsidRPr="00E87351">
        <w:rPr>
          <w:rFonts w:ascii="Book Antiqua" w:eastAsia="Book Antiqua" w:hAnsi="Book Antiqua" w:cs="Book Antiqua"/>
          <w:color w:val="000000"/>
        </w:rPr>
        <w:t>Brazil</w:t>
      </w:r>
    </w:p>
    <w:p w14:paraId="3669AD9D"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b/>
          <w:color w:val="000000"/>
        </w:rPr>
        <w:t>Peer-review report’s scientific quality classification</w:t>
      </w:r>
    </w:p>
    <w:p w14:paraId="0F36317C"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Grade A (Excellent): 0</w:t>
      </w:r>
    </w:p>
    <w:p w14:paraId="2D152688"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lastRenderedPageBreak/>
        <w:t>Grade B (Very good): B</w:t>
      </w:r>
    </w:p>
    <w:p w14:paraId="1F7409FF"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Grade C (Good): C</w:t>
      </w:r>
    </w:p>
    <w:p w14:paraId="41B04644"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Grade D (Fair): D</w:t>
      </w:r>
    </w:p>
    <w:p w14:paraId="2284753F" w14:textId="77777777" w:rsidR="00703676" w:rsidRPr="00E87351" w:rsidRDefault="00AA5AC6">
      <w:pPr>
        <w:spacing w:line="360" w:lineRule="auto"/>
        <w:jc w:val="both"/>
        <w:rPr>
          <w:rFonts w:ascii="Book Antiqua" w:hAnsi="Book Antiqua"/>
        </w:rPr>
      </w:pPr>
      <w:r w:rsidRPr="00E87351">
        <w:rPr>
          <w:rFonts w:ascii="Book Antiqua" w:eastAsia="Book Antiqua" w:hAnsi="Book Antiqua" w:cs="Book Antiqua"/>
          <w:color w:val="000000"/>
        </w:rPr>
        <w:t>Grade E (Poor): 0</w:t>
      </w:r>
    </w:p>
    <w:p w14:paraId="4E92C3DC" w14:textId="77777777" w:rsidR="00703676" w:rsidRPr="00E87351" w:rsidRDefault="00703676">
      <w:pPr>
        <w:spacing w:line="360" w:lineRule="auto"/>
        <w:jc w:val="both"/>
        <w:rPr>
          <w:rFonts w:ascii="Book Antiqua" w:hAnsi="Book Antiqua"/>
        </w:rPr>
      </w:pPr>
    </w:p>
    <w:p w14:paraId="6F709DD2" w14:textId="77777777" w:rsidR="00703676" w:rsidRPr="00E87351" w:rsidRDefault="00AA5AC6">
      <w:pPr>
        <w:spacing w:line="360" w:lineRule="auto"/>
        <w:jc w:val="both"/>
        <w:rPr>
          <w:rFonts w:ascii="Book Antiqua" w:hAnsi="Book Antiqua" w:cs="Book Antiqua"/>
          <w:color w:val="000000"/>
          <w:lang w:eastAsia="zh-CN"/>
        </w:rPr>
      </w:pPr>
      <w:r w:rsidRPr="00E87351">
        <w:rPr>
          <w:rFonts w:ascii="Book Antiqua" w:eastAsia="Book Antiqua" w:hAnsi="Book Antiqua" w:cs="Book Antiqua"/>
          <w:b/>
          <w:color w:val="000000"/>
        </w:rPr>
        <w:t xml:space="preserve">P-Reviewer: </w:t>
      </w:r>
      <w:r w:rsidRPr="00E87351">
        <w:rPr>
          <w:rFonts w:ascii="Book Antiqua" w:eastAsia="Book Antiqua" w:hAnsi="Book Antiqua" w:cs="Book Antiqua"/>
          <w:color w:val="000000"/>
        </w:rPr>
        <w:t>Balakrishnan DS, Byeon H, Kumar I</w:t>
      </w:r>
      <w:r w:rsidRPr="00E87351">
        <w:rPr>
          <w:rFonts w:ascii="Book Antiqua" w:eastAsia="Book Antiqua" w:hAnsi="Book Antiqua" w:cs="Book Antiqua"/>
          <w:b/>
          <w:color w:val="000000"/>
        </w:rPr>
        <w:t xml:space="preserve"> S-Editor: </w:t>
      </w:r>
      <w:r w:rsidRPr="00E87351">
        <w:rPr>
          <w:rFonts w:ascii="Book Antiqua" w:hAnsi="Book Antiqua" w:cs="Book Antiqua"/>
          <w:color w:val="000000"/>
          <w:lang w:eastAsia="zh-CN"/>
        </w:rPr>
        <w:t>Wang LL</w:t>
      </w:r>
      <w:r w:rsidRPr="00E87351">
        <w:rPr>
          <w:rFonts w:ascii="Book Antiqua" w:eastAsia="Book Antiqua" w:hAnsi="Book Antiqua" w:cs="Book Antiqua"/>
          <w:b/>
          <w:color w:val="000000"/>
        </w:rPr>
        <w:t xml:space="preserve"> L-Editor: </w:t>
      </w:r>
      <w:r w:rsidRPr="00E87351">
        <w:rPr>
          <w:rFonts w:ascii="Book Antiqua" w:eastAsia="Book Antiqua" w:hAnsi="Book Antiqua" w:cs="Book Antiqua"/>
          <w:color w:val="000000"/>
        </w:rPr>
        <w:t>Wang TQ</w:t>
      </w:r>
      <w:r w:rsidRPr="00E87351">
        <w:rPr>
          <w:rFonts w:ascii="Book Antiqua" w:eastAsia="Book Antiqua" w:hAnsi="Book Antiqua" w:cs="Book Antiqua"/>
          <w:b/>
          <w:color w:val="000000"/>
        </w:rPr>
        <w:t xml:space="preserve"> P-Editor:</w:t>
      </w:r>
      <w:r w:rsidRPr="00E87351">
        <w:rPr>
          <w:rFonts w:ascii="Book Antiqua" w:hAnsi="Book Antiqua" w:cs="Book Antiqua"/>
          <w:color w:val="000000"/>
          <w:lang w:eastAsia="zh-CN"/>
        </w:rPr>
        <w:t xml:space="preserve"> Wang LL</w:t>
      </w:r>
    </w:p>
    <w:p w14:paraId="4E636565" w14:textId="77777777" w:rsidR="00703676" w:rsidRPr="00E87351" w:rsidRDefault="00703676">
      <w:pPr>
        <w:spacing w:line="360" w:lineRule="auto"/>
        <w:jc w:val="both"/>
        <w:rPr>
          <w:rFonts w:ascii="Book Antiqua" w:hAnsi="Book Antiqua" w:cs="Book Antiqua"/>
          <w:color w:val="000000"/>
          <w:lang w:eastAsia="zh-CN"/>
        </w:rPr>
      </w:pPr>
    </w:p>
    <w:p w14:paraId="5635A0F1" w14:textId="77777777" w:rsidR="00703676" w:rsidRPr="00E87351" w:rsidRDefault="00703676">
      <w:pPr>
        <w:spacing w:line="360" w:lineRule="auto"/>
        <w:jc w:val="both"/>
        <w:rPr>
          <w:rFonts w:ascii="Book Antiqua" w:hAnsi="Book Antiqua" w:cs="Book Antiqua"/>
          <w:color w:val="000000"/>
          <w:lang w:eastAsia="zh-CN"/>
        </w:rPr>
      </w:pPr>
    </w:p>
    <w:p w14:paraId="626C21CE" w14:textId="77777777" w:rsidR="00703676" w:rsidRPr="00E87351" w:rsidRDefault="00AA5AC6">
      <w:pPr>
        <w:spacing w:line="360" w:lineRule="auto"/>
        <w:jc w:val="both"/>
        <w:rPr>
          <w:rFonts w:ascii="Book Antiqua" w:hAnsi="Book Antiqua"/>
        </w:rPr>
        <w:sectPr w:rsidR="00703676" w:rsidRPr="00E87351">
          <w:pgSz w:w="12240" w:h="15840"/>
          <w:pgMar w:top="1440" w:right="1440" w:bottom="1440" w:left="1440" w:header="720" w:footer="720" w:gutter="0"/>
          <w:cols w:space="720"/>
          <w:docGrid w:linePitch="360"/>
        </w:sectPr>
      </w:pPr>
      <w:r w:rsidRPr="00E87351">
        <w:rPr>
          <w:rFonts w:ascii="Book Antiqua" w:eastAsia="Book Antiqua" w:hAnsi="Book Antiqua" w:cs="Book Antiqua"/>
          <w:b/>
          <w:color w:val="000000"/>
        </w:rPr>
        <w:t xml:space="preserve"> </w:t>
      </w:r>
    </w:p>
    <w:p w14:paraId="6959B705" w14:textId="77777777" w:rsidR="00703676" w:rsidRPr="00E87351" w:rsidRDefault="00AA5AC6">
      <w:pPr>
        <w:spacing w:line="360" w:lineRule="auto"/>
        <w:jc w:val="both"/>
        <w:rPr>
          <w:rFonts w:ascii="Book Antiqua" w:hAnsi="Book Antiqua" w:cs="Book Antiqua"/>
          <w:b/>
          <w:color w:val="000000"/>
          <w:lang w:eastAsia="zh-CN"/>
        </w:rPr>
      </w:pPr>
      <w:r w:rsidRPr="00E87351">
        <w:rPr>
          <w:rFonts w:ascii="Book Antiqua" w:eastAsia="Book Antiqua" w:hAnsi="Book Antiqua" w:cs="Book Antiqua"/>
          <w:b/>
          <w:color w:val="000000"/>
        </w:rPr>
        <w:lastRenderedPageBreak/>
        <w:t>Figure Legends</w:t>
      </w:r>
    </w:p>
    <w:p w14:paraId="31CF3D31" w14:textId="77A93660" w:rsidR="00703676" w:rsidRPr="00E87351" w:rsidRDefault="006D72AB">
      <w:pPr>
        <w:spacing w:line="360" w:lineRule="auto"/>
        <w:jc w:val="both"/>
        <w:rPr>
          <w:rFonts w:ascii="Book Antiqua" w:hAnsi="Book Antiqua"/>
          <w:lang w:eastAsia="zh-CN"/>
        </w:rPr>
      </w:pPr>
      <w:r>
        <w:rPr>
          <w:noProof/>
        </w:rPr>
        <w:drawing>
          <wp:inline distT="0" distB="0" distL="0" distR="0" wp14:anchorId="1372F3EC" wp14:editId="0AABB0C5">
            <wp:extent cx="4267200" cy="3657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7200" cy="3657600"/>
                    </a:xfrm>
                    <a:prstGeom prst="rect">
                      <a:avLst/>
                    </a:prstGeom>
                    <a:noFill/>
                    <a:ln>
                      <a:noFill/>
                    </a:ln>
                  </pic:spPr>
                </pic:pic>
              </a:graphicData>
            </a:graphic>
          </wp:inline>
        </w:drawing>
      </w:r>
    </w:p>
    <w:p w14:paraId="766B5CBC" w14:textId="22E73CAB" w:rsidR="00703676" w:rsidRPr="00E87351" w:rsidRDefault="00AA5AC6">
      <w:pPr>
        <w:autoSpaceDE w:val="0"/>
        <w:autoSpaceDN w:val="0"/>
        <w:adjustRightInd w:val="0"/>
        <w:spacing w:line="360" w:lineRule="auto"/>
        <w:jc w:val="both"/>
        <w:rPr>
          <w:rFonts w:ascii="Book Antiqua" w:hAnsi="Book Antiqua" w:cs="Arial"/>
        </w:rPr>
      </w:pPr>
      <w:r w:rsidRPr="00E87351">
        <w:rPr>
          <w:rFonts w:ascii="Book Antiqua" w:eastAsia="Book Antiqua" w:hAnsi="Book Antiqua" w:cs="Book Antiqua"/>
          <w:b/>
          <w:bCs/>
          <w:color w:val="000000"/>
        </w:rPr>
        <w:t>Figure 1</w:t>
      </w:r>
      <w:r w:rsidRPr="00E87351">
        <w:rPr>
          <w:rFonts w:ascii="Book Antiqua" w:hAnsi="Book Antiqua" w:cs="Book Antiqua"/>
          <w:b/>
          <w:bCs/>
          <w:color w:val="000000"/>
          <w:lang w:eastAsia="zh-CN"/>
        </w:rPr>
        <w:t xml:space="preserve"> </w:t>
      </w:r>
      <w:r w:rsidRPr="00E87351">
        <w:rPr>
          <w:rFonts w:ascii="Book Antiqua" w:eastAsia="Book Antiqua" w:hAnsi="Book Antiqua" w:cs="Book Antiqua"/>
          <w:b/>
          <w:color w:val="000000"/>
        </w:rPr>
        <w:t xml:space="preserve">Relationship map between the selected variables in the </w:t>
      </w:r>
      <w:r w:rsidRPr="00E87351">
        <w:rPr>
          <w:rFonts w:ascii="Book Antiqua" w:hAnsi="Book Antiqua" w:cs="Book Antiqua"/>
          <w:b/>
          <w:color w:val="000000"/>
          <w:lang w:eastAsia="zh-CN"/>
        </w:rPr>
        <w:t>l</w:t>
      </w:r>
      <w:r w:rsidRPr="00E87351">
        <w:rPr>
          <w:rFonts w:ascii="Book Antiqua" w:eastAsia="Book Antiqua" w:hAnsi="Book Antiqua" w:cs="Book Antiqua"/>
          <w:b/>
          <w:color w:val="000000"/>
        </w:rPr>
        <w:t xml:space="preserve">ogistic regression for </w:t>
      </w:r>
      <w:r w:rsidRPr="00E87351">
        <w:rPr>
          <w:rFonts w:ascii="Book Antiqua" w:hAnsi="Book Antiqua" w:cs="Book Antiqua"/>
          <w:b/>
          <w:color w:val="000000"/>
          <w:lang w:eastAsia="zh-CN"/>
        </w:rPr>
        <w:t>a</w:t>
      </w:r>
      <w:r w:rsidRPr="00E87351">
        <w:rPr>
          <w:rFonts w:ascii="Book Antiqua" w:eastAsia="Book Antiqua" w:hAnsi="Book Antiqua" w:cs="Book Antiqua"/>
          <w:b/>
          <w:color w:val="000000"/>
        </w:rPr>
        <w:t>cute kidney injury after deceased-donor liver transplantation</w:t>
      </w:r>
      <w:r w:rsidRPr="00E87351">
        <w:rPr>
          <w:rFonts w:ascii="Book Antiqua" w:hAnsi="Book Antiqua" w:cs="Book Antiqua"/>
          <w:b/>
          <w:color w:val="000000"/>
          <w:lang w:eastAsia="zh-CN"/>
        </w:rPr>
        <w:t xml:space="preserve"> </w:t>
      </w:r>
      <w:r w:rsidRPr="00E87351">
        <w:rPr>
          <w:rFonts w:ascii="Book Antiqua" w:eastAsia="Book Antiqua" w:hAnsi="Book Antiqua" w:cs="Book Antiqua"/>
          <w:b/>
          <w:color w:val="000000"/>
        </w:rPr>
        <w:t>(</w:t>
      </w:r>
      <w:r w:rsidRPr="00E87351">
        <w:rPr>
          <w:rFonts w:ascii="Book Antiqua" w:eastAsia="Book Antiqua" w:hAnsi="Book Antiqua" w:cs="Book Antiqua"/>
          <w:b/>
          <w:i/>
          <w:iCs/>
          <w:color w:val="000000"/>
        </w:rPr>
        <w:t>n</w:t>
      </w:r>
      <w:r w:rsidRPr="00E87351">
        <w:rPr>
          <w:rFonts w:ascii="Book Antiqua" w:eastAsia="Book Antiqua" w:hAnsi="Book Antiqua" w:cs="Book Antiqua"/>
          <w:b/>
          <w:color w:val="000000"/>
        </w:rPr>
        <w:t xml:space="preserve"> = 145).</w:t>
      </w:r>
      <w:r w:rsidRPr="00E87351">
        <w:rPr>
          <w:rFonts w:ascii="Book Antiqua" w:hAnsi="Book Antiqua" w:cs="Book Antiqua"/>
          <w:color w:val="000000"/>
          <w:lang w:eastAsia="zh-CN"/>
        </w:rPr>
        <w:t xml:space="preserve"> </w:t>
      </w:r>
      <w:r w:rsidRPr="00E87351">
        <w:rPr>
          <w:rFonts w:ascii="Book Antiqua" w:hAnsi="Book Antiqua" w:cs="Arial"/>
        </w:rPr>
        <w:t>MELD</w:t>
      </w:r>
      <w:r w:rsidRPr="00E87351">
        <w:rPr>
          <w:rFonts w:ascii="Book Antiqua" w:hAnsi="Book Antiqua" w:cs="Arial"/>
          <w:lang w:eastAsia="zh-CN"/>
        </w:rPr>
        <w:t>:</w:t>
      </w:r>
      <w:r w:rsidRPr="00E87351">
        <w:rPr>
          <w:rFonts w:ascii="Book Antiqua" w:hAnsi="Book Antiqua" w:cs="Arial"/>
        </w:rPr>
        <w:t xml:space="preserve"> Model for End-stage Liver Disease;</w:t>
      </w:r>
      <w:r w:rsidRPr="00E87351">
        <w:rPr>
          <w:rFonts w:ascii="Book Antiqua" w:hAnsi="Book Antiqua" w:cs="Arial"/>
          <w:color w:val="000000" w:themeColor="text1"/>
        </w:rPr>
        <w:t xml:space="preserve"> </w:t>
      </w:r>
      <w:r w:rsidRPr="00E87351">
        <w:rPr>
          <w:rFonts w:ascii="Book Antiqua" w:hAnsi="Book Antiqua" w:cs="Arial"/>
        </w:rPr>
        <w:t>KD</w:t>
      </w:r>
      <w:r w:rsidRPr="00E87351">
        <w:rPr>
          <w:rFonts w:ascii="Book Antiqua" w:hAnsi="Book Antiqua" w:cs="Arial"/>
          <w:lang w:eastAsia="zh-CN"/>
        </w:rPr>
        <w:t>:</w:t>
      </w:r>
      <w:r w:rsidRPr="00E87351">
        <w:rPr>
          <w:rFonts w:ascii="Book Antiqua" w:hAnsi="Book Antiqua" w:cs="Arial"/>
        </w:rPr>
        <w:t xml:space="preserve"> </w:t>
      </w:r>
      <w:r w:rsidRPr="00E87351">
        <w:rPr>
          <w:rFonts w:ascii="Book Antiqua" w:hAnsi="Book Antiqua" w:cs="Arial"/>
          <w:lang w:eastAsia="zh-CN"/>
        </w:rPr>
        <w:t>K</w:t>
      </w:r>
      <w:r w:rsidRPr="00E87351">
        <w:rPr>
          <w:rFonts w:ascii="Book Antiqua" w:hAnsi="Book Antiqua" w:cs="Arial"/>
        </w:rPr>
        <w:t>idney dysfunction; ECD</w:t>
      </w:r>
      <w:r w:rsidRPr="00E87351">
        <w:rPr>
          <w:rFonts w:ascii="Book Antiqua" w:hAnsi="Book Antiqua" w:cs="Arial"/>
          <w:lang w:eastAsia="zh-CN"/>
        </w:rPr>
        <w:t>:</w:t>
      </w:r>
      <w:r w:rsidRPr="00E87351">
        <w:rPr>
          <w:rFonts w:ascii="Book Antiqua" w:hAnsi="Book Antiqua" w:cs="Arial"/>
        </w:rPr>
        <w:t xml:space="preserve"> </w:t>
      </w:r>
      <w:r w:rsidRPr="00E87351">
        <w:rPr>
          <w:rFonts w:ascii="Book Antiqua" w:hAnsi="Book Antiqua" w:cs="Arial"/>
          <w:lang w:eastAsia="zh-CN"/>
        </w:rPr>
        <w:t>E</w:t>
      </w:r>
      <w:r w:rsidRPr="00E87351">
        <w:rPr>
          <w:rFonts w:ascii="Book Antiqua" w:hAnsi="Book Antiqua" w:cs="Arial"/>
        </w:rPr>
        <w:t>xtended criteria donor;</w:t>
      </w:r>
      <w:r w:rsidRPr="00E87351">
        <w:rPr>
          <w:rFonts w:ascii="Book Antiqua" w:hAnsi="Book Antiqua" w:cs="Arial"/>
          <w:color w:val="000000" w:themeColor="text1"/>
        </w:rPr>
        <w:t xml:space="preserve"> </w:t>
      </w:r>
      <w:r w:rsidRPr="00E87351">
        <w:rPr>
          <w:rFonts w:ascii="Book Antiqua" w:hAnsi="Book Antiqua" w:cs="Arial"/>
        </w:rPr>
        <w:t>IOAH</w:t>
      </w:r>
      <w:r w:rsidRPr="00E87351">
        <w:rPr>
          <w:rFonts w:ascii="Book Antiqua" w:hAnsi="Book Antiqua" w:cs="Arial"/>
          <w:lang w:eastAsia="zh-CN"/>
        </w:rPr>
        <w:t>:</w:t>
      </w:r>
      <w:r w:rsidRPr="00E87351">
        <w:rPr>
          <w:rFonts w:ascii="Book Antiqua" w:hAnsi="Book Antiqua" w:cs="Arial"/>
        </w:rPr>
        <w:t xml:space="preserve"> </w:t>
      </w:r>
      <w:r w:rsidRPr="00E87351">
        <w:rPr>
          <w:rFonts w:ascii="Book Antiqua" w:hAnsi="Book Antiqua" w:cs="Arial"/>
          <w:lang w:eastAsia="zh-CN"/>
        </w:rPr>
        <w:t>I</w:t>
      </w:r>
      <w:r w:rsidRPr="00E87351">
        <w:rPr>
          <w:rFonts w:ascii="Book Antiqua" w:hAnsi="Book Antiqua" w:cs="Arial"/>
        </w:rPr>
        <w:t>ntra-operative arterial hypotension; MBT: Massive blood transfusion; SL: Serum lactate. LR: Logistic regression; AKI: Acute kidney injury.</w:t>
      </w:r>
    </w:p>
    <w:p w14:paraId="0FD193A2" w14:textId="77777777" w:rsidR="00703676" w:rsidRPr="00E87351" w:rsidRDefault="00703676">
      <w:pPr>
        <w:autoSpaceDE w:val="0"/>
        <w:autoSpaceDN w:val="0"/>
        <w:adjustRightInd w:val="0"/>
        <w:spacing w:line="360" w:lineRule="auto"/>
        <w:jc w:val="both"/>
        <w:rPr>
          <w:rFonts w:ascii="Book Antiqua" w:hAnsi="Book Antiqua" w:cs="Arial"/>
        </w:rPr>
      </w:pPr>
    </w:p>
    <w:p w14:paraId="761960BA" w14:textId="77777777" w:rsidR="00703676" w:rsidRPr="00E87351" w:rsidRDefault="00AA5AC6">
      <w:pPr>
        <w:spacing w:line="360" w:lineRule="auto"/>
        <w:jc w:val="both"/>
        <w:rPr>
          <w:rFonts w:ascii="Book Antiqua" w:hAnsi="Book Antiqua"/>
          <w:lang w:eastAsia="zh-CN"/>
        </w:rPr>
      </w:pPr>
      <w:r w:rsidRPr="00E87351">
        <w:rPr>
          <w:rFonts w:ascii="Book Antiqua" w:hAnsi="Book Antiqua"/>
          <w:lang w:eastAsia="zh-CN"/>
        </w:rPr>
        <w:br w:type="page"/>
      </w:r>
    </w:p>
    <w:p w14:paraId="46A0A639" w14:textId="08C47568" w:rsidR="00703676" w:rsidRPr="00E87351" w:rsidRDefault="006D72AB">
      <w:pPr>
        <w:spacing w:line="360" w:lineRule="auto"/>
        <w:jc w:val="both"/>
        <w:rPr>
          <w:rFonts w:ascii="Book Antiqua" w:hAnsi="Book Antiqua"/>
          <w:lang w:eastAsia="zh-CN"/>
        </w:rPr>
      </w:pPr>
      <w:r>
        <w:rPr>
          <w:noProof/>
        </w:rPr>
        <w:lastRenderedPageBreak/>
        <w:drawing>
          <wp:inline distT="0" distB="0" distL="0" distR="0" wp14:anchorId="66AF8D9C" wp14:editId="79673E0D">
            <wp:extent cx="5715000" cy="3352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3352800"/>
                    </a:xfrm>
                    <a:prstGeom prst="rect">
                      <a:avLst/>
                    </a:prstGeom>
                    <a:noFill/>
                    <a:ln>
                      <a:noFill/>
                    </a:ln>
                  </pic:spPr>
                </pic:pic>
              </a:graphicData>
            </a:graphic>
          </wp:inline>
        </w:drawing>
      </w:r>
    </w:p>
    <w:p w14:paraId="1C15ACDB" w14:textId="77777777" w:rsidR="00703676" w:rsidRPr="00E87351" w:rsidRDefault="00AA5AC6">
      <w:pPr>
        <w:autoSpaceDE w:val="0"/>
        <w:autoSpaceDN w:val="0"/>
        <w:adjustRightInd w:val="0"/>
        <w:spacing w:line="360" w:lineRule="auto"/>
        <w:jc w:val="both"/>
        <w:rPr>
          <w:rFonts w:ascii="Book Antiqua" w:hAnsi="Book Antiqua" w:cs="Arial"/>
        </w:rPr>
      </w:pPr>
      <w:r w:rsidRPr="00E87351">
        <w:rPr>
          <w:rFonts w:ascii="Book Antiqua" w:eastAsia="Book Antiqua" w:hAnsi="Book Antiqua" w:cs="Book Antiqua"/>
          <w:b/>
          <w:bCs/>
          <w:color w:val="000000"/>
        </w:rPr>
        <w:t>Figure 2</w:t>
      </w:r>
      <w:r w:rsidRPr="00E87351">
        <w:rPr>
          <w:rFonts w:ascii="Book Antiqua" w:hAnsi="Book Antiqua" w:cs="Book Antiqua"/>
          <w:b/>
          <w:bCs/>
          <w:color w:val="000000"/>
          <w:lang w:eastAsia="zh-CN"/>
        </w:rPr>
        <w:t xml:space="preserve"> </w:t>
      </w:r>
      <w:r w:rsidRPr="00E87351">
        <w:rPr>
          <w:rFonts w:ascii="Book Antiqua" w:eastAsiaTheme="minorHAnsi" w:hAnsi="Book Antiqua" w:cs="Arial"/>
          <w:b/>
        </w:rPr>
        <w:t>Area under the receiver-operating characteristic curve</w:t>
      </w:r>
      <w:r w:rsidRPr="00E87351">
        <w:rPr>
          <w:rFonts w:ascii="Book Antiqua" w:eastAsia="Book Antiqua" w:hAnsi="Book Antiqua" w:cs="Book Antiqua"/>
          <w:b/>
          <w:color w:val="000000"/>
        </w:rPr>
        <w:t xml:space="preserve"> of the two different models for predicting </w:t>
      </w:r>
      <w:r w:rsidRPr="00E87351">
        <w:rPr>
          <w:rFonts w:ascii="Book Antiqua" w:hAnsi="Book Antiqua" w:cs="Arial"/>
          <w:b/>
          <w:lang w:eastAsia="zh-CN"/>
        </w:rPr>
        <w:t>a</w:t>
      </w:r>
      <w:r w:rsidRPr="00E87351">
        <w:rPr>
          <w:rFonts w:ascii="Book Antiqua" w:hAnsi="Book Antiqua" w:cs="Arial"/>
          <w:b/>
        </w:rPr>
        <w:t>cute kidney injury</w:t>
      </w:r>
      <w:r w:rsidRPr="00E87351">
        <w:rPr>
          <w:rFonts w:ascii="Book Antiqua" w:eastAsia="Book Antiqua" w:hAnsi="Book Antiqua" w:cs="Book Antiqua"/>
          <w:b/>
          <w:color w:val="000000"/>
        </w:rPr>
        <w:t xml:space="preserve"> (</w:t>
      </w:r>
      <w:r w:rsidRPr="00E87351">
        <w:rPr>
          <w:rFonts w:ascii="Book Antiqua" w:eastAsia="Book Antiqua" w:hAnsi="Book Antiqua" w:cs="Book Antiqua"/>
          <w:b/>
          <w:i/>
          <w:iCs/>
          <w:color w:val="000000"/>
        </w:rPr>
        <w:t>n</w:t>
      </w:r>
      <w:r w:rsidRPr="00E87351">
        <w:rPr>
          <w:rFonts w:ascii="Book Antiqua" w:eastAsia="Book Antiqua" w:hAnsi="Book Antiqua" w:cs="Book Antiqua"/>
          <w:b/>
          <w:color w:val="000000"/>
        </w:rPr>
        <w:t xml:space="preserve"> = 145).</w:t>
      </w:r>
      <w:r w:rsidRPr="00E87351">
        <w:rPr>
          <w:rFonts w:ascii="Book Antiqua" w:hAnsi="Book Antiqua" w:cs="Book Antiqua"/>
          <w:color w:val="000000"/>
          <w:lang w:eastAsia="zh-CN"/>
        </w:rPr>
        <w:t xml:space="preserve"> </w:t>
      </w:r>
      <w:r w:rsidRPr="00E87351">
        <w:rPr>
          <w:rFonts w:ascii="Book Antiqua" w:hAnsi="Book Antiqua" w:cs="Arial"/>
        </w:rPr>
        <w:t xml:space="preserve">LR: Logistic regression; </w:t>
      </w:r>
      <w:r w:rsidRPr="00E87351">
        <w:rPr>
          <w:rFonts w:ascii="Book Antiqua" w:eastAsiaTheme="minorHAnsi" w:hAnsi="Book Antiqua" w:cs="Arial"/>
        </w:rPr>
        <w:t>AUROC</w:t>
      </w:r>
      <w:r w:rsidRPr="00E87351">
        <w:rPr>
          <w:rFonts w:ascii="Book Antiqua" w:hAnsi="Book Antiqua" w:cs="Arial"/>
          <w:lang w:eastAsia="zh-CN"/>
        </w:rPr>
        <w:t>:</w:t>
      </w:r>
      <w:r w:rsidRPr="00E87351">
        <w:rPr>
          <w:rFonts w:ascii="Book Antiqua" w:eastAsiaTheme="minorHAnsi" w:hAnsi="Book Antiqua" w:cs="Arial"/>
        </w:rPr>
        <w:t xml:space="preserve"> Area under the receiver-operating characteristic curve; ANN: Artificial neural network; </w:t>
      </w:r>
      <w:r w:rsidRPr="00E87351">
        <w:rPr>
          <w:rFonts w:ascii="Book Antiqua" w:hAnsi="Book Antiqua" w:cs="Arial"/>
        </w:rPr>
        <w:t>AKI: Acute kidney injury.</w:t>
      </w:r>
    </w:p>
    <w:p w14:paraId="0695005D" w14:textId="77777777" w:rsidR="00703676" w:rsidRPr="00E87351" w:rsidRDefault="00703676">
      <w:pPr>
        <w:autoSpaceDE w:val="0"/>
        <w:autoSpaceDN w:val="0"/>
        <w:adjustRightInd w:val="0"/>
        <w:spacing w:line="360" w:lineRule="auto"/>
        <w:jc w:val="both"/>
        <w:rPr>
          <w:rFonts w:ascii="Book Antiqua" w:hAnsi="Book Antiqua" w:cs="Arial"/>
        </w:rPr>
      </w:pPr>
    </w:p>
    <w:p w14:paraId="1D3BA91C" w14:textId="77777777" w:rsidR="00703676" w:rsidRPr="00E87351" w:rsidRDefault="00AA5AC6">
      <w:pPr>
        <w:spacing w:line="360" w:lineRule="auto"/>
        <w:jc w:val="both"/>
        <w:rPr>
          <w:rFonts w:ascii="Book Antiqua" w:hAnsi="Book Antiqua"/>
          <w:lang w:eastAsia="zh-CN"/>
        </w:rPr>
      </w:pPr>
      <w:r w:rsidRPr="00E87351">
        <w:rPr>
          <w:rFonts w:ascii="Book Antiqua" w:hAnsi="Book Antiqua"/>
          <w:lang w:eastAsia="zh-CN"/>
        </w:rPr>
        <w:br w:type="page"/>
      </w:r>
    </w:p>
    <w:p w14:paraId="14D348ED" w14:textId="61D12440" w:rsidR="00703676" w:rsidRPr="00E87351" w:rsidRDefault="006D72AB">
      <w:pPr>
        <w:spacing w:line="360" w:lineRule="auto"/>
        <w:jc w:val="both"/>
        <w:rPr>
          <w:rFonts w:ascii="Book Antiqua" w:hAnsi="Book Antiqua"/>
          <w:lang w:eastAsia="zh-CN"/>
        </w:rPr>
      </w:pPr>
      <w:r>
        <w:rPr>
          <w:noProof/>
        </w:rPr>
        <w:lastRenderedPageBreak/>
        <w:drawing>
          <wp:inline distT="0" distB="0" distL="0" distR="0" wp14:anchorId="33EA7F98" wp14:editId="6C931673">
            <wp:extent cx="5181600" cy="2895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600" cy="2895600"/>
                    </a:xfrm>
                    <a:prstGeom prst="rect">
                      <a:avLst/>
                    </a:prstGeom>
                    <a:noFill/>
                    <a:ln>
                      <a:noFill/>
                    </a:ln>
                  </pic:spPr>
                </pic:pic>
              </a:graphicData>
            </a:graphic>
          </wp:inline>
        </w:drawing>
      </w:r>
    </w:p>
    <w:p w14:paraId="08A176F4" w14:textId="77777777" w:rsidR="00703676" w:rsidRPr="00E87351" w:rsidRDefault="00AA5AC6">
      <w:pPr>
        <w:autoSpaceDE w:val="0"/>
        <w:autoSpaceDN w:val="0"/>
        <w:adjustRightInd w:val="0"/>
        <w:spacing w:line="360" w:lineRule="auto"/>
        <w:jc w:val="both"/>
        <w:rPr>
          <w:rFonts w:ascii="Book Antiqua" w:hAnsi="Book Antiqua" w:cs="Arial"/>
        </w:rPr>
      </w:pPr>
      <w:r w:rsidRPr="00E87351">
        <w:rPr>
          <w:rFonts w:ascii="Book Antiqua" w:eastAsia="Book Antiqua" w:hAnsi="Book Antiqua" w:cs="Book Antiqua"/>
          <w:b/>
          <w:bCs/>
          <w:color w:val="000000"/>
        </w:rPr>
        <w:t>Figure 3</w:t>
      </w:r>
      <w:r w:rsidRPr="00E87351">
        <w:rPr>
          <w:rFonts w:ascii="Book Antiqua" w:hAnsi="Book Antiqua" w:cs="Book Antiqua"/>
          <w:b/>
          <w:bCs/>
          <w:color w:val="000000"/>
          <w:lang w:eastAsia="zh-CN"/>
        </w:rPr>
        <w:t xml:space="preserve"> </w:t>
      </w:r>
      <w:r w:rsidRPr="00E87351">
        <w:rPr>
          <w:rFonts w:ascii="Book Antiqua" w:eastAsia="Book Antiqua" w:hAnsi="Book Antiqua" w:cs="Book Antiqua"/>
          <w:b/>
          <w:color w:val="000000"/>
        </w:rPr>
        <w:t xml:space="preserve">Variance importance plot of predictors of </w:t>
      </w:r>
      <w:r w:rsidRPr="00E87351">
        <w:rPr>
          <w:rFonts w:ascii="Book Antiqua" w:hAnsi="Book Antiqua" w:cs="Arial"/>
          <w:b/>
          <w:lang w:eastAsia="zh-CN"/>
        </w:rPr>
        <w:t>a</w:t>
      </w:r>
      <w:r w:rsidRPr="00E87351">
        <w:rPr>
          <w:rFonts w:ascii="Book Antiqua" w:hAnsi="Book Antiqua" w:cs="Arial"/>
          <w:b/>
        </w:rPr>
        <w:t>cute kidney injury</w:t>
      </w:r>
      <w:r w:rsidRPr="00E87351">
        <w:rPr>
          <w:rFonts w:ascii="Book Antiqua" w:eastAsia="Book Antiqua" w:hAnsi="Book Antiqua" w:cs="Book Antiqua"/>
          <w:b/>
          <w:color w:val="000000"/>
        </w:rPr>
        <w:t xml:space="preserve"> for </w:t>
      </w:r>
      <w:r w:rsidRPr="00E87351">
        <w:rPr>
          <w:rFonts w:ascii="Book Antiqua" w:hAnsi="Book Antiqua" w:cs="Arial"/>
          <w:b/>
          <w:lang w:eastAsia="zh-CN"/>
        </w:rPr>
        <w:t>a</w:t>
      </w:r>
      <w:r w:rsidRPr="00E87351">
        <w:rPr>
          <w:rFonts w:ascii="Book Antiqua" w:hAnsi="Book Antiqua" w:cs="Arial"/>
          <w:b/>
        </w:rPr>
        <w:t>rtificial neural network</w:t>
      </w:r>
      <w:r w:rsidRPr="00E87351">
        <w:rPr>
          <w:rFonts w:ascii="Book Antiqua" w:eastAsia="Book Antiqua" w:hAnsi="Book Antiqua" w:cs="Book Antiqua"/>
          <w:b/>
          <w:color w:val="000000"/>
        </w:rPr>
        <w:t>.</w:t>
      </w:r>
      <w:r w:rsidRPr="00E87351">
        <w:rPr>
          <w:rFonts w:ascii="Book Antiqua" w:hAnsi="Book Antiqua" w:cs="Book Antiqua"/>
          <w:color w:val="000000"/>
          <w:lang w:eastAsia="zh-CN"/>
        </w:rPr>
        <w:t xml:space="preserve"> </w:t>
      </w:r>
      <w:r w:rsidRPr="00E87351">
        <w:rPr>
          <w:rFonts w:ascii="Book Antiqua" w:hAnsi="Book Antiqua" w:cs="Arial"/>
        </w:rPr>
        <w:t>KD: Kidney dysfunction; MELD: Model for End-stage Liver Disease; IOAH: Intra-operative arterial hypotension; MBT: Massive blood transfusion; ECD: Extended criteria donor; AKI: Acute kidney injury; ANN: Artificial neural network.</w:t>
      </w:r>
    </w:p>
    <w:p w14:paraId="355D33BA" w14:textId="77777777" w:rsidR="00703676" w:rsidRPr="00E87351" w:rsidRDefault="00703676">
      <w:pPr>
        <w:autoSpaceDE w:val="0"/>
        <w:autoSpaceDN w:val="0"/>
        <w:adjustRightInd w:val="0"/>
        <w:spacing w:line="360" w:lineRule="auto"/>
        <w:jc w:val="both"/>
        <w:rPr>
          <w:rFonts w:ascii="Book Antiqua" w:hAnsi="Book Antiqua" w:cs="Arial"/>
        </w:rPr>
      </w:pPr>
    </w:p>
    <w:p w14:paraId="53962C2E" w14:textId="77777777" w:rsidR="00703676" w:rsidRPr="00E87351" w:rsidRDefault="00AA5AC6">
      <w:pPr>
        <w:spacing w:line="360" w:lineRule="auto"/>
        <w:jc w:val="both"/>
        <w:rPr>
          <w:rFonts w:ascii="Book Antiqua" w:hAnsi="Book Antiqua"/>
          <w:lang w:eastAsia="zh-CN"/>
        </w:rPr>
      </w:pPr>
      <w:r w:rsidRPr="00E87351">
        <w:rPr>
          <w:rFonts w:ascii="Book Antiqua" w:hAnsi="Book Antiqua"/>
          <w:lang w:eastAsia="zh-CN"/>
        </w:rPr>
        <w:br w:type="page"/>
      </w:r>
    </w:p>
    <w:p w14:paraId="4329B0BC" w14:textId="7775B5A8" w:rsidR="00703676" w:rsidRPr="00E87351" w:rsidRDefault="006D72AB">
      <w:pPr>
        <w:spacing w:line="360" w:lineRule="auto"/>
        <w:jc w:val="both"/>
        <w:rPr>
          <w:rFonts w:ascii="Book Antiqua" w:hAnsi="Book Antiqua"/>
          <w:lang w:eastAsia="zh-CN"/>
        </w:rPr>
      </w:pPr>
      <w:r>
        <w:rPr>
          <w:noProof/>
        </w:rPr>
        <w:lastRenderedPageBreak/>
        <w:drawing>
          <wp:inline distT="0" distB="0" distL="0" distR="0" wp14:anchorId="39060307" wp14:editId="65D6AB47">
            <wp:extent cx="4495800" cy="3962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3962400"/>
                    </a:xfrm>
                    <a:prstGeom prst="rect">
                      <a:avLst/>
                    </a:prstGeom>
                    <a:noFill/>
                    <a:ln>
                      <a:noFill/>
                    </a:ln>
                  </pic:spPr>
                </pic:pic>
              </a:graphicData>
            </a:graphic>
          </wp:inline>
        </w:drawing>
      </w:r>
    </w:p>
    <w:p w14:paraId="316DF5D6" w14:textId="77777777" w:rsidR="00703676" w:rsidRPr="00E87351" w:rsidRDefault="00AA5AC6">
      <w:pPr>
        <w:autoSpaceDE w:val="0"/>
        <w:autoSpaceDN w:val="0"/>
        <w:adjustRightInd w:val="0"/>
        <w:spacing w:line="360" w:lineRule="auto"/>
        <w:jc w:val="both"/>
        <w:rPr>
          <w:rFonts w:ascii="Book Antiqua" w:eastAsiaTheme="minorHAnsi" w:hAnsi="Book Antiqua" w:cs="Arial"/>
        </w:rPr>
      </w:pPr>
      <w:r w:rsidRPr="00E87351">
        <w:rPr>
          <w:rFonts w:ascii="Book Antiqua" w:eastAsia="Book Antiqua" w:hAnsi="Book Antiqua" w:cs="Book Antiqua"/>
          <w:b/>
          <w:bCs/>
          <w:color w:val="000000"/>
        </w:rPr>
        <w:t>Figure 4</w:t>
      </w:r>
      <w:r w:rsidRPr="00E87351">
        <w:rPr>
          <w:rFonts w:ascii="Book Antiqua" w:hAnsi="Book Antiqua" w:cs="Book Antiqua"/>
          <w:b/>
          <w:bCs/>
          <w:color w:val="000000"/>
          <w:lang w:eastAsia="zh-CN"/>
        </w:rPr>
        <w:t xml:space="preserve"> </w:t>
      </w:r>
      <w:r w:rsidRPr="00E87351">
        <w:rPr>
          <w:rFonts w:ascii="Book Antiqua" w:hAnsi="Book Antiqua" w:cs="Arial"/>
          <w:b/>
        </w:rPr>
        <w:t>Artificial neural network</w:t>
      </w:r>
      <w:r w:rsidRPr="00E87351">
        <w:rPr>
          <w:rFonts w:ascii="Book Antiqua" w:eastAsia="Book Antiqua" w:hAnsi="Book Antiqua" w:cs="Book Antiqua"/>
          <w:b/>
          <w:color w:val="000000"/>
        </w:rPr>
        <w:t xml:space="preserve"> structural model diagram for </w:t>
      </w:r>
      <w:r w:rsidRPr="00E87351">
        <w:rPr>
          <w:rFonts w:ascii="Book Antiqua" w:hAnsi="Book Antiqua" w:cs="Arial"/>
          <w:b/>
          <w:lang w:eastAsia="zh-CN"/>
        </w:rPr>
        <w:t>a</w:t>
      </w:r>
      <w:r w:rsidRPr="00E87351">
        <w:rPr>
          <w:rFonts w:ascii="Book Antiqua" w:hAnsi="Book Antiqua" w:cs="Arial"/>
          <w:b/>
        </w:rPr>
        <w:t>cute kidney injury</w:t>
      </w:r>
      <w:r w:rsidRPr="00E87351">
        <w:rPr>
          <w:rFonts w:ascii="Book Antiqua" w:eastAsia="Book Antiqua" w:hAnsi="Book Antiqua" w:cs="Book Antiqua"/>
          <w:b/>
          <w:color w:val="000000"/>
        </w:rPr>
        <w:t xml:space="preserve"> after deceased-donor liver transplantation.</w:t>
      </w:r>
      <w:r w:rsidRPr="00E87351">
        <w:rPr>
          <w:rFonts w:ascii="Book Antiqua" w:hAnsi="Book Antiqua" w:cs="Book Antiqua"/>
          <w:color w:val="000000"/>
          <w:lang w:eastAsia="zh-CN"/>
        </w:rPr>
        <w:t xml:space="preserve"> </w:t>
      </w:r>
      <w:r w:rsidRPr="00E87351">
        <w:rPr>
          <w:rFonts w:ascii="Book Antiqua" w:hAnsi="Book Antiqua" w:cs="Arial"/>
        </w:rPr>
        <w:t xml:space="preserve">IOAH: Intra-operative arterial hypotension; MELD: Model for End-stage Liver Disease; KD: Kidney dysfunction; MBT: Massive blood transfusion; ECD: Extended criteria donor; AKI: Acute kidney injury; ANN: Artificial neural network; </w:t>
      </w:r>
      <w:r w:rsidRPr="00E87351">
        <w:rPr>
          <w:rFonts w:ascii="Book Antiqua" w:eastAsiaTheme="minorHAnsi" w:hAnsi="Book Antiqua" w:cs="Arial"/>
        </w:rPr>
        <w:t xml:space="preserve">RMSE: Root-mean-square error; MAE: Mean absolute error. </w:t>
      </w:r>
    </w:p>
    <w:p w14:paraId="627CEEE7" w14:textId="77777777" w:rsidR="00703676" w:rsidRPr="00E87351" w:rsidRDefault="00703676">
      <w:pPr>
        <w:spacing w:line="360" w:lineRule="auto"/>
        <w:jc w:val="both"/>
        <w:rPr>
          <w:rFonts w:ascii="Book Antiqua" w:hAnsi="Book Antiqua"/>
          <w:lang w:eastAsia="zh-CN"/>
        </w:rPr>
      </w:pPr>
    </w:p>
    <w:p w14:paraId="6DE5FDCA" w14:textId="77777777" w:rsidR="00703676" w:rsidRPr="00E87351" w:rsidRDefault="00AA5AC6">
      <w:pPr>
        <w:spacing w:after="200" w:line="276" w:lineRule="auto"/>
        <w:rPr>
          <w:rFonts w:ascii="Book Antiqua" w:hAnsi="Book Antiqua"/>
        </w:rPr>
      </w:pPr>
      <w:r w:rsidRPr="00E87351">
        <w:rPr>
          <w:rFonts w:ascii="Book Antiqua" w:hAnsi="Book Antiqua"/>
        </w:rPr>
        <w:br w:type="page"/>
      </w:r>
    </w:p>
    <w:p w14:paraId="2B462179" w14:textId="77777777" w:rsidR="00703676" w:rsidRPr="00E87351" w:rsidRDefault="00AA5AC6">
      <w:pPr>
        <w:spacing w:line="360" w:lineRule="auto"/>
        <w:jc w:val="both"/>
        <w:rPr>
          <w:rFonts w:ascii="Book Antiqua" w:hAnsi="Book Antiqua"/>
          <w:b/>
          <w:lang w:eastAsia="zh-CN"/>
        </w:rPr>
      </w:pPr>
      <w:r w:rsidRPr="00E87351">
        <w:rPr>
          <w:rFonts w:ascii="Book Antiqua" w:hAnsi="Book Antiqua"/>
          <w:b/>
          <w:lang w:eastAsia="zh-CN"/>
        </w:rPr>
        <w:lastRenderedPageBreak/>
        <w:t xml:space="preserve">Table 1 Diagnostic criteria for kidney dysfunction in cirrhosis (Wong </w:t>
      </w:r>
      <w:r w:rsidRPr="00E87351">
        <w:rPr>
          <w:rFonts w:ascii="Book Antiqua" w:hAnsi="Book Antiqua"/>
          <w:b/>
          <w:i/>
          <w:lang w:eastAsia="zh-CN"/>
        </w:rPr>
        <w:t>et al</w:t>
      </w:r>
      <w:r w:rsidRPr="00E87351">
        <w:rPr>
          <w:rFonts w:ascii="Book Antiqua" w:hAnsi="Book Antiqua"/>
          <w:b/>
          <w:vertAlign w:val="superscript"/>
          <w:lang w:eastAsia="zh-CN"/>
        </w:rPr>
        <w:t>[22]</w:t>
      </w:r>
      <w:r w:rsidRPr="00E87351">
        <w:rPr>
          <w:rFonts w:ascii="Book Antiqua" w:hAnsi="Book Antiqua"/>
          <w:b/>
          <w:lang w:eastAsia="zh-CN"/>
        </w:rPr>
        <w:t>, 2011)</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703676" w:rsidRPr="00E87351" w14:paraId="2F68810C" w14:textId="77777777">
        <w:tc>
          <w:tcPr>
            <w:tcW w:w="4463" w:type="dxa"/>
            <w:tcBorders>
              <w:top w:val="single" w:sz="4" w:space="0" w:color="auto"/>
              <w:bottom w:val="single" w:sz="4" w:space="0" w:color="auto"/>
            </w:tcBorders>
          </w:tcPr>
          <w:p w14:paraId="3C7EF8CC" w14:textId="77777777" w:rsidR="00703676" w:rsidRPr="00E87351" w:rsidRDefault="00AA5AC6">
            <w:pPr>
              <w:widowControl w:val="0"/>
              <w:spacing w:line="360" w:lineRule="auto"/>
              <w:jc w:val="both"/>
              <w:rPr>
                <w:rFonts w:ascii="Book Antiqua" w:eastAsia="Times New Roman" w:hAnsi="Book Antiqua" w:cs="Arial"/>
                <w:b/>
                <w:lang w:eastAsia="pt-BR"/>
              </w:rPr>
            </w:pPr>
            <w:r w:rsidRPr="00E87351">
              <w:rPr>
                <w:rFonts w:ascii="Book Antiqua" w:eastAsia="Times New Roman" w:hAnsi="Book Antiqua" w:cs="Arial"/>
                <w:b/>
                <w:lang w:eastAsia="pt-BR"/>
              </w:rPr>
              <w:t>Diagnosis</w:t>
            </w:r>
          </w:p>
        </w:tc>
        <w:tc>
          <w:tcPr>
            <w:tcW w:w="4464" w:type="dxa"/>
            <w:tcBorders>
              <w:top w:val="single" w:sz="4" w:space="0" w:color="auto"/>
              <w:bottom w:val="single" w:sz="4" w:space="0" w:color="auto"/>
            </w:tcBorders>
          </w:tcPr>
          <w:p w14:paraId="6E1B7BC7" w14:textId="77777777" w:rsidR="00703676" w:rsidRPr="00E87351" w:rsidRDefault="00AA5AC6">
            <w:pPr>
              <w:widowControl w:val="0"/>
              <w:spacing w:line="360" w:lineRule="auto"/>
              <w:jc w:val="both"/>
              <w:rPr>
                <w:rFonts w:ascii="Book Antiqua" w:eastAsia="Times New Roman" w:hAnsi="Book Antiqua" w:cs="Arial"/>
                <w:b/>
                <w:lang w:eastAsia="pt-BR"/>
              </w:rPr>
            </w:pPr>
            <w:r w:rsidRPr="00E87351">
              <w:rPr>
                <w:rFonts w:ascii="Book Antiqua" w:eastAsia="Times New Roman" w:hAnsi="Book Antiqua" w:cs="Arial"/>
                <w:b/>
                <w:lang w:eastAsia="pt-BR"/>
              </w:rPr>
              <w:t>Definition</w:t>
            </w:r>
          </w:p>
        </w:tc>
      </w:tr>
      <w:tr w:rsidR="00703676" w:rsidRPr="00E87351" w14:paraId="728C83C0" w14:textId="77777777">
        <w:tc>
          <w:tcPr>
            <w:tcW w:w="4463" w:type="dxa"/>
            <w:tcBorders>
              <w:top w:val="single" w:sz="4" w:space="0" w:color="auto"/>
            </w:tcBorders>
          </w:tcPr>
          <w:p w14:paraId="572B77A9" w14:textId="77777777" w:rsidR="00703676" w:rsidRPr="00E87351" w:rsidRDefault="00AA5AC6">
            <w:pPr>
              <w:widowControl w:val="0"/>
              <w:tabs>
                <w:tab w:val="left" w:pos="1189"/>
              </w:tabs>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AKI</w:t>
            </w:r>
          </w:p>
        </w:tc>
        <w:tc>
          <w:tcPr>
            <w:tcW w:w="4464" w:type="dxa"/>
            <w:tcBorders>
              <w:top w:val="single" w:sz="4" w:space="0" w:color="auto"/>
            </w:tcBorders>
          </w:tcPr>
          <w:p w14:paraId="399A611E" w14:textId="77777777" w:rsidR="00703676" w:rsidRPr="00E87351" w:rsidRDefault="00AA5AC6">
            <w:pPr>
              <w:widowControl w:val="0"/>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Rise in serum creatinine of &gt; 50% from baseline or rise of sCr by &gt; 26.4 mmol/L (&gt; 0.3 mg/dL) in &lt; 48 h</w:t>
            </w:r>
            <w:r w:rsidRPr="00E87351">
              <w:rPr>
                <w:rFonts w:ascii="Book Antiqua" w:hAnsi="Book Antiqua" w:cs="Arial" w:hint="eastAsia"/>
                <w:lang w:eastAsia="zh-CN"/>
              </w:rPr>
              <w:t xml:space="preserve">; </w:t>
            </w:r>
            <w:r w:rsidRPr="00E87351">
              <w:rPr>
                <w:rFonts w:ascii="Book Antiqua" w:eastAsia="Times New Roman" w:hAnsi="Book Antiqua" w:cs="Arial"/>
                <w:lang w:eastAsia="pt-BR"/>
              </w:rPr>
              <w:t>HRS type 1 is a specific form of AKI</w:t>
            </w:r>
          </w:p>
        </w:tc>
      </w:tr>
      <w:tr w:rsidR="00703676" w:rsidRPr="00E87351" w14:paraId="17295F5F" w14:textId="77777777">
        <w:tc>
          <w:tcPr>
            <w:tcW w:w="4463" w:type="dxa"/>
          </w:tcPr>
          <w:p w14:paraId="13A76460" w14:textId="77777777" w:rsidR="00703676" w:rsidRPr="00E87351" w:rsidRDefault="00AA5AC6">
            <w:pPr>
              <w:widowControl w:val="0"/>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CKD</w:t>
            </w:r>
          </w:p>
        </w:tc>
        <w:tc>
          <w:tcPr>
            <w:tcW w:w="4464" w:type="dxa"/>
          </w:tcPr>
          <w:p w14:paraId="17C261A9" w14:textId="77777777" w:rsidR="00703676" w:rsidRPr="00E87351" w:rsidRDefault="00AA5AC6">
            <w:pPr>
              <w:widowControl w:val="0"/>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eGFR of &lt; 60 m</w:t>
            </w:r>
            <w:r w:rsidRPr="00E87351">
              <w:rPr>
                <w:rFonts w:ascii="Book Antiqua" w:hAnsi="Book Antiqua" w:cs="Arial" w:hint="eastAsia"/>
                <w:lang w:eastAsia="zh-CN"/>
              </w:rPr>
              <w:t>L</w:t>
            </w:r>
            <w:r w:rsidRPr="00E87351">
              <w:rPr>
                <w:rFonts w:ascii="Book Antiqua" w:eastAsia="Times New Roman" w:hAnsi="Book Antiqua" w:cs="Arial"/>
                <w:lang w:eastAsia="pt-BR"/>
              </w:rPr>
              <w:t>/min for &gt; 3 mo calculated using MDRD6 formula</w:t>
            </w:r>
            <w:r w:rsidRPr="00E87351">
              <w:rPr>
                <w:rFonts w:ascii="Book Antiqua" w:hAnsi="Book Antiqua" w:cs="Arial" w:hint="eastAsia"/>
                <w:lang w:eastAsia="zh-CN"/>
              </w:rPr>
              <w:t>;</w:t>
            </w:r>
            <w:r w:rsidRPr="00E87351">
              <w:rPr>
                <w:rFonts w:ascii="Book Antiqua" w:eastAsia="Times New Roman" w:hAnsi="Book Antiqua" w:cs="Arial"/>
                <w:lang w:eastAsia="pt-BR"/>
              </w:rPr>
              <w:t xml:space="preserve"> HRS type 2 is a specific form of CKD</w:t>
            </w:r>
          </w:p>
        </w:tc>
      </w:tr>
      <w:tr w:rsidR="00703676" w:rsidRPr="00E87351" w14:paraId="2635C15F" w14:textId="77777777">
        <w:tc>
          <w:tcPr>
            <w:tcW w:w="4463" w:type="dxa"/>
          </w:tcPr>
          <w:p w14:paraId="293C8439" w14:textId="77777777" w:rsidR="00703676" w:rsidRPr="00E87351" w:rsidRDefault="00AA5AC6">
            <w:pPr>
              <w:widowControl w:val="0"/>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ACKD</w:t>
            </w:r>
          </w:p>
        </w:tc>
        <w:tc>
          <w:tcPr>
            <w:tcW w:w="4464" w:type="dxa"/>
          </w:tcPr>
          <w:p w14:paraId="11A947D7" w14:textId="77777777" w:rsidR="00703676" w:rsidRPr="00E87351" w:rsidRDefault="00AA5AC6">
            <w:pPr>
              <w:widowControl w:val="0"/>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 xml:space="preserve">Rise in serum creatinine of &gt; 50% from baseline or rise of sCr by &gt; 26.4 mmol/L (&gt; 0.3 mg/dL) in &lt; 48 h in a patient with cirrhosis whose eGFR is &lt; 60 ml/min for &gt; 3 mo calculated using MDRD6 formula </w:t>
            </w:r>
          </w:p>
        </w:tc>
      </w:tr>
    </w:tbl>
    <w:p w14:paraId="7748312D" w14:textId="77777777" w:rsidR="00703676" w:rsidRPr="00E87351" w:rsidRDefault="00AA5AC6">
      <w:pPr>
        <w:spacing w:line="360" w:lineRule="auto"/>
        <w:jc w:val="both"/>
        <w:rPr>
          <w:rFonts w:ascii="Book Antiqua" w:eastAsia="Times New Roman" w:hAnsi="Book Antiqua" w:cs="Arial"/>
          <w:i/>
          <w:lang w:eastAsia="pt-BR"/>
        </w:rPr>
      </w:pPr>
      <w:bookmarkStart w:id="1" w:name="_heading=h.3znysh7" w:colFirst="0" w:colLast="0"/>
      <w:bookmarkEnd w:id="1"/>
      <w:r w:rsidRPr="00E87351">
        <w:rPr>
          <w:rFonts w:ascii="Book Antiqua" w:eastAsia="Times New Roman" w:hAnsi="Book Antiqua" w:cs="Arial"/>
          <w:iCs/>
          <w:lang w:eastAsia="pt-BR"/>
        </w:rPr>
        <w:t>AKI: Acute kidney injury; sCr: Serum creatinine; HRS: Hepatorenal syndrome; CKD: Chronic kidney disease; eGFR: Estimated glomerular filtration rate; ACKD: Acute on chronic kidney disease; MDRD6: Modification of Diet in Renal Disease 6.</w:t>
      </w:r>
    </w:p>
    <w:p w14:paraId="2793791F" w14:textId="77777777" w:rsidR="00703676" w:rsidRPr="00E87351" w:rsidRDefault="00AA5AC6">
      <w:pPr>
        <w:spacing w:after="200" w:line="276" w:lineRule="auto"/>
        <w:rPr>
          <w:rFonts w:ascii="Book Antiqua" w:eastAsia="Times New Roman" w:hAnsi="Book Antiqua" w:cs="Arial"/>
          <w:i/>
          <w:lang w:eastAsia="pt-BR"/>
        </w:rPr>
      </w:pPr>
      <w:r w:rsidRPr="00E87351">
        <w:rPr>
          <w:rFonts w:ascii="Book Antiqua" w:eastAsia="Times New Roman" w:hAnsi="Book Antiqua" w:cs="Arial"/>
          <w:i/>
          <w:lang w:eastAsia="pt-BR"/>
        </w:rPr>
        <w:br w:type="page"/>
      </w:r>
    </w:p>
    <w:p w14:paraId="5F9A51C8" w14:textId="77777777" w:rsidR="00703676" w:rsidRPr="00E87351" w:rsidRDefault="00AA5AC6">
      <w:pPr>
        <w:spacing w:line="360" w:lineRule="auto"/>
        <w:jc w:val="both"/>
        <w:rPr>
          <w:rFonts w:ascii="Book Antiqua" w:hAnsi="Book Antiqua" w:cs="Arial"/>
          <w:b/>
          <w:i/>
          <w:lang w:eastAsia="zh-CN"/>
        </w:rPr>
      </w:pPr>
      <w:r w:rsidRPr="00E87351">
        <w:rPr>
          <w:rFonts w:ascii="Book Antiqua" w:eastAsia="Times New Roman" w:hAnsi="Book Antiqua" w:cs="Arial"/>
          <w:b/>
          <w:lang w:eastAsia="pt-BR"/>
        </w:rPr>
        <w:lastRenderedPageBreak/>
        <w:t>Table 2</w:t>
      </w:r>
      <w:r w:rsidRPr="00E87351">
        <w:rPr>
          <w:rFonts w:ascii="Book Antiqua" w:hAnsi="Book Antiqua" w:cs="Arial"/>
          <w:b/>
          <w:lang w:eastAsia="zh-CN"/>
        </w:rPr>
        <w:t xml:space="preserve"> </w:t>
      </w:r>
      <w:r w:rsidRPr="00E87351">
        <w:rPr>
          <w:rFonts w:ascii="Book Antiqua" w:eastAsia="Times New Roman" w:hAnsi="Book Antiqua" w:cs="Arial"/>
          <w:b/>
          <w:lang w:eastAsia="pt-BR"/>
        </w:rPr>
        <w:t xml:space="preserve">Definition and classification of </w:t>
      </w:r>
      <w:r w:rsidRPr="00E87351">
        <w:rPr>
          <w:rFonts w:ascii="Book Antiqua" w:hAnsi="Book Antiqua" w:cs="Arial" w:hint="eastAsia"/>
          <w:b/>
          <w:iCs/>
          <w:lang w:eastAsia="zh-CN"/>
        </w:rPr>
        <w:t>a</w:t>
      </w:r>
      <w:r w:rsidRPr="00E87351">
        <w:rPr>
          <w:rFonts w:ascii="Book Antiqua" w:eastAsia="Times New Roman" w:hAnsi="Book Antiqua" w:cs="Arial"/>
          <w:b/>
          <w:iCs/>
          <w:lang w:eastAsia="pt-BR"/>
        </w:rPr>
        <w:t>cute kidney injury</w:t>
      </w:r>
      <w:r w:rsidRPr="00E87351">
        <w:rPr>
          <w:rFonts w:ascii="Book Antiqua" w:eastAsia="Times New Roman" w:hAnsi="Book Antiqua" w:cs="Arial"/>
          <w:b/>
          <w:lang w:eastAsia="pt-BR"/>
        </w:rPr>
        <w:t xml:space="preserve"> for patients with liver cirrhosis according to the </w:t>
      </w:r>
      <w:r w:rsidRPr="00E87351">
        <w:rPr>
          <w:rFonts w:ascii="Book Antiqua" w:eastAsia="Times New Roman" w:hAnsi="Book Antiqua" w:cs="Arial"/>
          <w:b/>
          <w:iCs/>
          <w:lang w:eastAsia="pt-BR"/>
        </w:rPr>
        <w:t>International Club of Ascites</w:t>
      </w:r>
      <w:r w:rsidRPr="00E87351">
        <w:rPr>
          <w:rFonts w:ascii="Book Antiqua" w:eastAsia="Times New Roman" w:hAnsi="Book Antiqua" w:cs="Arial"/>
          <w:b/>
          <w:lang w:eastAsia="pt-BR"/>
        </w:rPr>
        <w:t xml:space="preserve"> (Angeli </w:t>
      </w:r>
      <w:r w:rsidRPr="00E87351">
        <w:rPr>
          <w:rFonts w:ascii="Book Antiqua" w:eastAsia="Times New Roman" w:hAnsi="Book Antiqua" w:cs="Arial"/>
          <w:b/>
          <w:i/>
          <w:lang w:eastAsia="pt-BR"/>
        </w:rPr>
        <w:t>et al</w:t>
      </w:r>
      <w:r w:rsidRPr="00E87351">
        <w:rPr>
          <w:rFonts w:ascii="Book Antiqua" w:hAnsi="Book Antiqua" w:cs="Arial"/>
          <w:b/>
          <w:vertAlign w:val="superscript"/>
          <w:lang w:eastAsia="zh-CN"/>
        </w:rPr>
        <w:t>[</w:t>
      </w:r>
      <w:r w:rsidRPr="00E87351">
        <w:rPr>
          <w:rFonts w:ascii="Book Antiqua" w:eastAsia="Times New Roman" w:hAnsi="Book Antiqua" w:cs="Arial"/>
          <w:b/>
          <w:vertAlign w:val="superscript"/>
          <w:lang w:eastAsia="pt-BR"/>
        </w:rPr>
        <w:t>23</w:t>
      </w:r>
      <w:r w:rsidRPr="00E87351">
        <w:rPr>
          <w:rFonts w:ascii="Book Antiqua" w:hAnsi="Book Antiqua" w:cs="Arial"/>
          <w:b/>
          <w:vertAlign w:val="superscript"/>
          <w:lang w:eastAsia="zh-CN"/>
        </w:rPr>
        <w:t>]</w:t>
      </w:r>
      <w:r w:rsidRPr="00E87351">
        <w:rPr>
          <w:rFonts w:ascii="Book Antiqua" w:eastAsia="Times New Roman" w:hAnsi="Book Antiqua" w:cs="Arial"/>
          <w:b/>
          <w:lang w:eastAsia="pt-BR"/>
        </w:rPr>
        <w:t>, 2015)</w:t>
      </w:r>
    </w:p>
    <w:tbl>
      <w:tblPr>
        <w:tblW w:w="9003" w:type="dxa"/>
        <w:tblBorders>
          <w:top w:val="single" w:sz="4" w:space="0" w:color="auto"/>
          <w:bottom w:val="single" w:sz="4" w:space="0" w:color="auto"/>
        </w:tblBorders>
        <w:tblLayout w:type="fixed"/>
        <w:tblLook w:val="04A0" w:firstRow="1" w:lastRow="0" w:firstColumn="1" w:lastColumn="0" w:noHBand="0" w:noVBand="1"/>
      </w:tblPr>
      <w:tblGrid>
        <w:gridCol w:w="2484"/>
        <w:gridCol w:w="6519"/>
      </w:tblGrid>
      <w:tr w:rsidR="00703676" w:rsidRPr="00E87351" w14:paraId="76A23EEC" w14:textId="77777777">
        <w:tc>
          <w:tcPr>
            <w:tcW w:w="2484" w:type="dxa"/>
            <w:tcBorders>
              <w:top w:val="single" w:sz="4" w:space="0" w:color="auto"/>
              <w:bottom w:val="single" w:sz="4" w:space="0" w:color="auto"/>
            </w:tcBorders>
          </w:tcPr>
          <w:p w14:paraId="3E405659" w14:textId="77777777" w:rsidR="00703676" w:rsidRPr="00E87351" w:rsidRDefault="00703676">
            <w:pPr>
              <w:spacing w:line="360" w:lineRule="auto"/>
              <w:jc w:val="both"/>
              <w:rPr>
                <w:rFonts w:ascii="Book Antiqua" w:eastAsia="Times New Roman" w:hAnsi="Book Antiqua" w:cs="Arial"/>
                <w:b/>
                <w:lang w:eastAsia="pt-BR"/>
              </w:rPr>
            </w:pPr>
          </w:p>
          <w:p w14:paraId="453D755D"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Baseline sCr</w:t>
            </w:r>
          </w:p>
        </w:tc>
        <w:tc>
          <w:tcPr>
            <w:tcW w:w="6519" w:type="dxa"/>
            <w:tcBorders>
              <w:top w:val="single" w:sz="4" w:space="0" w:color="auto"/>
              <w:bottom w:val="single" w:sz="4" w:space="0" w:color="auto"/>
            </w:tcBorders>
          </w:tcPr>
          <w:p w14:paraId="61CC533D" w14:textId="77777777" w:rsidR="00703676" w:rsidRPr="00E87351" w:rsidRDefault="00AA5AC6">
            <w:pPr>
              <w:spacing w:line="360" w:lineRule="auto"/>
              <w:jc w:val="both"/>
              <w:rPr>
                <w:rFonts w:ascii="Book Antiqua" w:hAnsi="Book Antiqua" w:cs="Arial"/>
                <w:b/>
                <w:lang w:eastAsia="zh-CN"/>
              </w:rPr>
            </w:pPr>
            <w:r w:rsidRPr="00E87351">
              <w:rPr>
                <w:rFonts w:ascii="Book Antiqua" w:eastAsia="Times New Roman" w:hAnsi="Book Antiqua" w:cs="Arial"/>
                <w:b/>
                <w:lang w:eastAsia="pt-BR"/>
              </w:rPr>
              <w:t>A sCr value obtained in 3 mo prior to hospital admission, with preference to the value dated the closest to hospital admission. In patients without a previous sCr value, the value on admission should be used</w:t>
            </w:r>
          </w:p>
        </w:tc>
      </w:tr>
      <w:tr w:rsidR="00703676" w:rsidRPr="00E87351" w14:paraId="4CFA995F" w14:textId="77777777">
        <w:tc>
          <w:tcPr>
            <w:tcW w:w="2484" w:type="dxa"/>
            <w:tcBorders>
              <w:top w:val="single" w:sz="4" w:space="0" w:color="auto"/>
            </w:tcBorders>
          </w:tcPr>
          <w:p w14:paraId="4954D5ED" w14:textId="77777777" w:rsidR="00703676" w:rsidRPr="00E87351" w:rsidRDefault="00703676">
            <w:pPr>
              <w:spacing w:line="360" w:lineRule="auto"/>
              <w:jc w:val="both"/>
              <w:rPr>
                <w:rFonts w:ascii="Book Antiqua" w:eastAsia="Times New Roman" w:hAnsi="Book Antiqua" w:cs="Arial"/>
                <w:lang w:eastAsia="pt-BR"/>
              </w:rPr>
            </w:pPr>
          </w:p>
          <w:p w14:paraId="569FB80B"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AKI definition</w:t>
            </w:r>
          </w:p>
        </w:tc>
        <w:tc>
          <w:tcPr>
            <w:tcW w:w="6519" w:type="dxa"/>
            <w:tcBorders>
              <w:top w:val="single" w:sz="4" w:space="0" w:color="auto"/>
            </w:tcBorders>
          </w:tcPr>
          <w:p w14:paraId="48645AC2" w14:textId="77777777" w:rsidR="00703676" w:rsidRPr="00E87351" w:rsidRDefault="00AA5AC6">
            <w:pPr>
              <w:spacing w:line="360" w:lineRule="auto"/>
              <w:jc w:val="both"/>
              <w:rPr>
                <w:rFonts w:ascii="Book Antiqua" w:hAnsi="Book Antiqua" w:cs="Arial"/>
                <w:lang w:eastAsia="zh-CN"/>
              </w:rPr>
            </w:pPr>
            <w:r w:rsidRPr="00E87351">
              <w:rPr>
                <w:rFonts w:ascii="Book Antiqua" w:eastAsia="Times New Roman" w:hAnsi="Book Antiqua" w:cs="Arial"/>
                <w:lang w:eastAsia="pt-BR"/>
              </w:rPr>
              <w:t>Increase in sCr ≥ 0.3 mg/dL (≥ 26.5 µmol/L) within 48 h; or the percentage increase in sCr</w:t>
            </w:r>
            <w:r w:rsidRPr="00E87351">
              <w:rPr>
                <w:rFonts w:ascii="Book Antiqua" w:hAnsi="Book Antiqua" w:cs="Arial" w:hint="eastAsia"/>
                <w:lang w:eastAsia="zh-CN"/>
              </w:rPr>
              <w:t xml:space="preserve"> </w:t>
            </w:r>
            <w:r w:rsidRPr="00E87351">
              <w:rPr>
                <w:rFonts w:ascii="Book Antiqua" w:eastAsia="Times New Roman" w:hAnsi="Book Antiqua" w:cs="Arial"/>
                <w:lang w:eastAsia="pt-BR"/>
              </w:rPr>
              <w:t>≥ 50%, which occurred in the last 7 d</w:t>
            </w:r>
          </w:p>
        </w:tc>
      </w:tr>
      <w:tr w:rsidR="00703676" w:rsidRPr="00E87351" w14:paraId="11D7EDCD" w14:textId="77777777">
        <w:tc>
          <w:tcPr>
            <w:tcW w:w="2484" w:type="dxa"/>
          </w:tcPr>
          <w:p w14:paraId="44DAA3A2"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Stage 1 AKI</w:t>
            </w:r>
          </w:p>
        </w:tc>
        <w:tc>
          <w:tcPr>
            <w:tcW w:w="6519" w:type="dxa"/>
          </w:tcPr>
          <w:p w14:paraId="12C45AB1" w14:textId="77777777" w:rsidR="00703676" w:rsidRPr="00E87351" w:rsidRDefault="00AA5AC6">
            <w:pPr>
              <w:spacing w:line="360" w:lineRule="auto"/>
              <w:jc w:val="both"/>
              <w:rPr>
                <w:rFonts w:ascii="Book Antiqua" w:hAnsi="Book Antiqua" w:cs="Arial"/>
                <w:lang w:eastAsia="zh-CN"/>
              </w:rPr>
            </w:pPr>
            <w:r w:rsidRPr="00E87351">
              <w:rPr>
                <w:rFonts w:ascii="Book Antiqua" w:eastAsia="Times New Roman" w:hAnsi="Book Antiqua" w:cs="Arial"/>
                <w:lang w:eastAsia="pt-BR"/>
              </w:rPr>
              <w:t>Increase in sCr ≥ 0.3 mg/dL (26.5 µmol/L) or an increase of 1.5 to 2 times the baseline value</w:t>
            </w:r>
          </w:p>
        </w:tc>
      </w:tr>
      <w:tr w:rsidR="00703676" w:rsidRPr="00E87351" w14:paraId="61A9C3F6" w14:textId="77777777">
        <w:tc>
          <w:tcPr>
            <w:tcW w:w="2484" w:type="dxa"/>
          </w:tcPr>
          <w:p w14:paraId="23CA9F7A"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Stage 2 AKI</w:t>
            </w:r>
          </w:p>
        </w:tc>
        <w:tc>
          <w:tcPr>
            <w:tcW w:w="6519" w:type="dxa"/>
          </w:tcPr>
          <w:p w14:paraId="2F54C22B" w14:textId="77777777" w:rsidR="00703676" w:rsidRPr="00E87351" w:rsidRDefault="00AA5AC6">
            <w:pPr>
              <w:spacing w:line="360" w:lineRule="auto"/>
              <w:jc w:val="both"/>
              <w:rPr>
                <w:rFonts w:ascii="Book Antiqua" w:hAnsi="Book Antiqua" w:cs="Arial"/>
                <w:lang w:eastAsia="zh-CN"/>
              </w:rPr>
            </w:pPr>
            <w:r w:rsidRPr="00E87351">
              <w:rPr>
                <w:rFonts w:ascii="Book Antiqua" w:eastAsia="Times New Roman" w:hAnsi="Book Antiqua" w:cs="Arial"/>
                <w:lang w:eastAsia="pt-BR"/>
              </w:rPr>
              <w:t>Increase of sCr 2 to 3 times the baseline value</w:t>
            </w:r>
          </w:p>
        </w:tc>
      </w:tr>
      <w:tr w:rsidR="00703676" w:rsidRPr="00E87351" w14:paraId="1F902AA8" w14:textId="77777777">
        <w:tc>
          <w:tcPr>
            <w:tcW w:w="2484" w:type="dxa"/>
          </w:tcPr>
          <w:p w14:paraId="48CF9420" w14:textId="77777777" w:rsidR="00703676" w:rsidRPr="00E87351" w:rsidRDefault="00703676">
            <w:pPr>
              <w:spacing w:line="360" w:lineRule="auto"/>
              <w:jc w:val="both"/>
              <w:rPr>
                <w:rFonts w:ascii="Book Antiqua" w:eastAsia="Times New Roman" w:hAnsi="Book Antiqua" w:cs="Arial"/>
                <w:lang w:eastAsia="pt-BR"/>
              </w:rPr>
            </w:pPr>
          </w:p>
          <w:p w14:paraId="5E726EB5"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Stage 3 AKI</w:t>
            </w:r>
          </w:p>
        </w:tc>
        <w:tc>
          <w:tcPr>
            <w:tcW w:w="6519" w:type="dxa"/>
          </w:tcPr>
          <w:p w14:paraId="670E02D9" w14:textId="77777777" w:rsidR="00703676" w:rsidRPr="00E87351" w:rsidRDefault="00AA5AC6">
            <w:pPr>
              <w:spacing w:line="360" w:lineRule="auto"/>
              <w:jc w:val="both"/>
              <w:rPr>
                <w:rFonts w:ascii="Book Antiqua" w:hAnsi="Book Antiqua" w:cs="Arial"/>
                <w:lang w:eastAsia="zh-CN"/>
              </w:rPr>
            </w:pPr>
            <w:r w:rsidRPr="00E87351">
              <w:rPr>
                <w:rFonts w:ascii="Book Antiqua" w:eastAsia="Times New Roman" w:hAnsi="Book Antiqua" w:cs="Arial"/>
                <w:lang w:eastAsia="pt-BR"/>
              </w:rPr>
              <w:t>Increase in sCr &gt; 3 times the baseline or sCr ≥ 4.0 mg/dL (353.6 µmol/L), with acute increase in sCr ≥ 0.3 mg/d</w:t>
            </w:r>
            <w:r w:rsidRPr="00E87351">
              <w:rPr>
                <w:rFonts w:ascii="Book Antiqua" w:hAnsi="Book Antiqua" w:cs="Arial" w:hint="eastAsia"/>
                <w:lang w:eastAsia="zh-CN"/>
              </w:rPr>
              <w:t>L</w:t>
            </w:r>
            <w:r w:rsidRPr="00E87351">
              <w:rPr>
                <w:rFonts w:ascii="Book Antiqua" w:eastAsia="Times New Roman" w:hAnsi="Book Antiqua" w:cs="Arial"/>
                <w:lang w:eastAsia="pt-BR"/>
              </w:rPr>
              <w:t xml:space="preserve"> (26.5 µmol/L) or onset of RRT </w:t>
            </w:r>
          </w:p>
        </w:tc>
      </w:tr>
    </w:tbl>
    <w:p w14:paraId="78C1311D" w14:textId="77777777" w:rsidR="00703676" w:rsidRPr="00E87351" w:rsidRDefault="00AA5AC6">
      <w:pPr>
        <w:spacing w:line="360" w:lineRule="auto"/>
        <w:jc w:val="both"/>
        <w:rPr>
          <w:rFonts w:ascii="Book Antiqua" w:eastAsia="Times New Roman" w:hAnsi="Book Antiqua" w:cs="Arial"/>
          <w:lang w:eastAsia="pt-BR"/>
        </w:rPr>
      </w:pPr>
      <w:r w:rsidRPr="00E87351">
        <w:rPr>
          <w:rFonts w:ascii="Book Antiqua" w:eastAsia="Times New Roman" w:hAnsi="Book Antiqua" w:cs="Arial"/>
          <w:iCs/>
          <w:lang w:eastAsia="pt-BR"/>
        </w:rPr>
        <w:t>AKI: Acute kidney injury; ICA: International Club of Ascites. sCr: Serum creatinine; RRT: Renal replacement therapy.</w:t>
      </w:r>
    </w:p>
    <w:p w14:paraId="26862DAF" w14:textId="77777777" w:rsidR="00703676" w:rsidRPr="00E87351" w:rsidRDefault="00AA5AC6">
      <w:pPr>
        <w:spacing w:after="200" w:line="276" w:lineRule="auto"/>
        <w:rPr>
          <w:rFonts w:ascii="Book Antiqua" w:eastAsia="Times New Roman" w:hAnsi="Book Antiqua" w:cs="Arial"/>
          <w:lang w:eastAsia="pt-BR"/>
        </w:rPr>
      </w:pPr>
      <w:r w:rsidRPr="00E87351">
        <w:rPr>
          <w:rFonts w:ascii="Book Antiqua" w:eastAsia="Times New Roman" w:hAnsi="Book Antiqua" w:cs="Arial"/>
          <w:lang w:eastAsia="pt-BR"/>
        </w:rPr>
        <w:br w:type="page"/>
      </w:r>
    </w:p>
    <w:p w14:paraId="049347B4" w14:textId="77777777" w:rsidR="00703676" w:rsidRPr="00E87351" w:rsidRDefault="00AA5AC6">
      <w:pPr>
        <w:spacing w:line="360" w:lineRule="auto"/>
        <w:jc w:val="both"/>
        <w:rPr>
          <w:rFonts w:ascii="Book Antiqua" w:eastAsia="Times New Roman" w:hAnsi="Book Antiqua" w:cs="Arial"/>
          <w:b/>
          <w:lang w:eastAsia="pt-BR"/>
        </w:rPr>
      </w:pPr>
      <w:r w:rsidRPr="00E87351">
        <w:rPr>
          <w:rFonts w:ascii="Book Antiqua" w:eastAsia="Times New Roman" w:hAnsi="Book Antiqua" w:cs="Arial"/>
          <w:b/>
          <w:lang w:eastAsia="pt-BR"/>
        </w:rPr>
        <w:lastRenderedPageBreak/>
        <w:t>Table 3</w:t>
      </w:r>
      <w:r w:rsidRPr="00E87351">
        <w:rPr>
          <w:rFonts w:ascii="Book Antiqua" w:hAnsi="Book Antiqua" w:cs="Arial" w:hint="eastAsia"/>
          <w:b/>
          <w:lang w:eastAsia="zh-CN"/>
        </w:rPr>
        <w:t xml:space="preserve"> </w:t>
      </w:r>
      <w:r w:rsidRPr="00E87351">
        <w:rPr>
          <w:rFonts w:ascii="Book Antiqua" w:eastAsia="Times New Roman" w:hAnsi="Book Antiqua" w:cs="Arial"/>
          <w:b/>
          <w:lang w:eastAsia="pt-BR"/>
        </w:rPr>
        <w:t xml:space="preserve">Diagnostic criteria and </w:t>
      </w:r>
      <w:r w:rsidRPr="00E87351">
        <w:rPr>
          <w:rFonts w:ascii="Book Antiqua" w:hAnsi="Book Antiqua" w:cs="Arial" w:hint="eastAsia"/>
          <w:b/>
          <w:iCs/>
          <w:lang w:val="pt-BR" w:eastAsia="zh-CN"/>
        </w:rPr>
        <w:t>h</w:t>
      </w:r>
      <w:r w:rsidRPr="00E87351">
        <w:rPr>
          <w:rFonts w:ascii="Book Antiqua" w:eastAsia="Times New Roman" w:hAnsi="Book Antiqua" w:cs="Arial"/>
          <w:b/>
          <w:iCs/>
          <w:lang w:val="pt-BR" w:eastAsia="pt-BR"/>
        </w:rPr>
        <w:t>epatorenal syndrome</w:t>
      </w:r>
      <w:r w:rsidRPr="00E87351">
        <w:rPr>
          <w:rFonts w:ascii="Book Antiqua" w:eastAsia="Times New Roman" w:hAnsi="Book Antiqua" w:cs="Arial"/>
          <w:b/>
          <w:lang w:eastAsia="pt-BR"/>
        </w:rPr>
        <w:t xml:space="preserve"> subtypes (Angeli </w:t>
      </w:r>
      <w:r w:rsidRPr="00E87351">
        <w:rPr>
          <w:rFonts w:ascii="Book Antiqua" w:eastAsia="Times New Roman" w:hAnsi="Book Antiqua" w:cs="Arial"/>
          <w:b/>
          <w:i/>
          <w:lang w:eastAsia="pt-BR"/>
        </w:rPr>
        <w:t>et al</w:t>
      </w:r>
      <w:r w:rsidRPr="00E87351">
        <w:rPr>
          <w:rFonts w:ascii="Book Antiqua" w:hAnsi="Book Antiqua" w:cs="Arial" w:hint="eastAsia"/>
          <w:b/>
          <w:vertAlign w:val="superscript"/>
          <w:lang w:eastAsia="zh-CN"/>
        </w:rPr>
        <w:t>[</w:t>
      </w:r>
      <w:r w:rsidRPr="00E87351">
        <w:rPr>
          <w:rFonts w:ascii="Book Antiqua" w:eastAsia="Times New Roman" w:hAnsi="Book Antiqua" w:cs="Arial"/>
          <w:b/>
          <w:vertAlign w:val="superscript"/>
          <w:lang w:eastAsia="pt-BR"/>
        </w:rPr>
        <w:t>23</w:t>
      </w:r>
      <w:r w:rsidRPr="00E87351">
        <w:rPr>
          <w:rFonts w:ascii="Book Antiqua" w:hAnsi="Book Antiqua" w:cs="Arial" w:hint="eastAsia"/>
          <w:b/>
          <w:vertAlign w:val="superscript"/>
          <w:lang w:eastAsia="zh-CN"/>
        </w:rPr>
        <w:t>]</w:t>
      </w:r>
      <w:r w:rsidRPr="00E87351">
        <w:rPr>
          <w:rFonts w:ascii="Book Antiqua" w:eastAsia="Times New Roman" w:hAnsi="Book Antiqua" w:cs="Arial"/>
          <w:b/>
          <w:lang w:eastAsia="pt-BR"/>
        </w:rPr>
        <w:t>, 2015)</w:t>
      </w:r>
    </w:p>
    <w:tbl>
      <w:tblPr>
        <w:tblW w:w="9003" w:type="dxa"/>
        <w:tblBorders>
          <w:top w:val="single" w:sz="4" w:space="0" w:color="auto"/>
          <w:bottom w:val="single" w:sz="4" w:space="0" w:color="auto"/>
        </w:tblBorders>
        <w:tblLayout w:type="fixed"/>
        <w:tblLook w:val="04A0" w:firstRow="1" w:lastRow="0" w:firstColumn="1" w:lastColumn="0" w:noHBand="0" w:noVBand="1"/>
      </w:tblPr>
      <w:tblGrid>
        <w:gridCol w:w="4508"/>
        <w:gridCol w:w="4495"/>
      </w:tblGrid>
      <w:tr w:rsidR="00703676" w:rsidRPr="00E87351" w14:paraId="1D0DA651" w14:textId="77777777">
        <w:tc>
          <w:tcPr>
            <w:tcW w:w="4508" w:type="dxa"/>
            <w:tcBorders>
              <w:top w:val="single" w:sz="4" w:space="0" w:color="auto"/>
              <w:bottom w:val="single" w:sz="4" w:space="0" w:color="auto"/>
            </w:tcBorders>
          </w:tcPr>
          <w:p w14:paraId="21326F8D" w14:textId="77777777" w:rsidR="00703676" w:rsidRPr="00E87351" w:rsidRDefault="00AA5AC6">
            <w:pPr>
              <w:spacing w:line="360" w:lineRule="auto"/>
              <w:jc w:val="both"/>
              <w:rPr>
                <w:rFonts w:ascii="Book Antiqua" w:eastAsia="Times New Roman" w:hAnsi="Book Antiqua" w:cs="Arial"/>
                <w:b/>
                <w:lang w:eastAsia="pt-BR"/>
              </w:rPr>
            </w:pPr>
            <w:r w:rsidRPr="00E87351">
              <w:rPr>
                <w:rFonts w:ascii="Book Antiqua" w:eastAsia="Times New Roman" w:hAnsi="Book Antiqua" w:cs="Arial"/>
                <w:b/>
                <w:lang w:eastAsia="pt-BR"/>
              </w:rPr>
              <w:t>Diagnostic criteria for HRS</w:t>
            </w:r>
          </w:p>
        </w:tc>
        <w:tc>
          <w:tcPr>
            <w:tcW w:w="4495" w:type="dxa"/>
            <w:tcBorders>
              <w:top w:val="single" w:sz="4" w:space="0" w:color="auto"/>
              <w:bottom w:val="single" w:sz="4" w:space="0" w:color="auto"/>
            </w:tcBorders>
          </w:tcPr>
          <w:p w14:paraId="26EE3FAD" w14:textId="07BA21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 xml:space="preserve">HRS </w:t>
            </w:r>
            <w:r w:rsidR="0096332A" w:rsidRPr="0096332A">
              <w:rPr>
                <w:rFonts w:ascii="Book Antiqua" w:eastAsia="Times New Roman" w:hAnsi="Book Antiqua" w:cs="Arial" w:hint="eastAsia"/>
                <w:b/>
                <w:lang w:val="pt-BR" w:eastAsia="pt-BR"/>
              </w:rPr>
              <w:t>s</w:t>
            </w:r>
            <w:r w:rsidRPr="00E87351">
              <w:rPr>
                <w:rFonts w:ascii="Book Antiqua" w:eastAsia="Times New Roman" w:hAnsi="Book Antiqua" w:cs="Arial"/>
                <w:b/>
                <w:lang w:val="pt-BR" w:eastAsia="pt-BR"/>
              </w:rPr>
              <w:t>ubtype</w:t>
            </w:r>
          </w:p>
        </w:tc>
      </w:tr>
      <w:tr w:rsidR="00703676" w:rsidRPr="00E87351" w14:paraId="1BA8F2EA" w14:textId="77777777">
        <w:tc>
          <w:tcPr>
            <w:tcW w:w="4508" w:type="dxa"/>
            <w:tcBorders>
              <w:top w:val="single" w:sz="4" w:space="0" w:color="auto"/>
            </w:tcBorders>
          </w:tcPr>
          <w:p w14:paraId="2FB23C6E" w14:textId="77777777" w:rsidR="00703676" w:rsidRPr="00E87351" w:rsidRDefault="00AA5AC6">
            <w:pPr>
              <w:spacing w:line="360" w:lineRule="auto"/>
              <w:jc w:val="both"/>
              <w:rPr>
                <w:rFonts w:ascii="Book Antiqua" w:hAnsi="Book Antiqua" w:cs="Arial"/>
                <w:lang w:eastAsia="zh-CN"/>
              </w:rPr>
            </w:pPr>
            <w:r w:rsidRPr="00E87351">
              <w:rPr>
                <w:rFonts w:ascii="Book Antiqua" w:eastAsia="Times New Roman" w:hAnsi="Book Antiqua" w:cs="Arial"/>
                <w:lang w:eastAsia="pt-BR"/>
              </w:rPr>
              <w:t>1) Presence of cirrhosis or ascites; 2) sCr &gt; 1.5 mg/dL or 133 µmoles/L; 3) No improvement in sCr (below 1.5 mg/dL) after at least 48 h of diuretic withdrawal and volume expansion with albumin; 4) Absence of shock; 5) Has not undergone recent treatment with nephrotoxic drugs; 6) Absence of parenchymal kidney disease as indicated by proteinuria less than 500 mg/d, microhematuria (less than 50 erythrocytes/high-magnification field), and/or abnormal renal ultrasound findings</w:t>
            </w:r>
          </w:p>
        </w:tc>
        <w:tc>
          <w:tcPr>
            <w:tcW w:w="4495" w:type="dxa"/>
            <w:tcBorders>
              <w:top w:val="single" w:sz="4" w:space="0" w:color="auto"/>
            </w:tcBorders>
          </w:tcPr>
          <w:p w14:paraId="63C51AFB" w14:textId="77777777" w:rsidR="00703676" w:rsidRPr="00E87351" w:rsidRDefault="00AA5AC6">
            <w:pPr>
              <w:spacing w:line="360" w:lineRule="auto"/>
              <w:jc w:val="both"/>
              <w:rPr>
                <w:rFonts w:ascii="Book Antiqua" w:hAnsi="Book Antiqua" w:cs="Arial"/>
                <w:lang w:eastAsia="zh-CN"/>
              </w:rPr>
            </w:pPr>
            <w:r w:rsidRPr="00E87351">
              <w:rPr>
                <w:rFonts w:ascii="Book Antiqua" w:eastAsia="Times New Roman" w:hAnsi="Book Antiqua" w:cs="Arial"/>
                <w:lang w:eastAsia="pt-BR"/>
              </w:rPr>
              <w:t>HRS type 1-Rapidly progressive renal failure defined as the doubling of initial serum creatinine to a level greater than 2.5 mg/dL or 220 µmoles/L in less than 3 wk, and associated with a very poor prognosis; HRS type 2-Moderate renal failure (sCr &gt; 1.5 mg/dL or 133 µmoles/L), following a stable or slowly progressive course, often associated with refractory ascites</w:t>
            </w:r>
          </w:p>
        </w:tc>
      </w:tr>
    </w:tbl>
    <w:p w14:paraId="3B7BCBC8"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iCs/>
          <w:lang w:val="pt-BR" w:eastAsia="pt-BR"/>
        </w:rPr>
        <w:t>HRS: Hepatorenal syndrome; sCr: Serum creatinine.</w:t>
      </w:r>
    </w:p>
    <w:p w14:paraId="17458A28" w14:textId="77777777" w:rsidR="00703676" w:rsidRPr="00E87351" w:rsidRDefault="00AA5AC6">
      <w:pPr>
        <w:spacing w:after="200" w:line="276" w:lineRule="auto"/>
        <w:rPr>
          <w:rFonts w:ascii="Book Antiqua" w:eastAsia="Times New Roman" w:hAnsi="Book Antiqua" w:cs="Arial"/>
          <w:lang w:val="pt-BR" w:eastAsia="pt-BR"/>
        </w:rPr>
      </w:pPr>
      <w:r w:rsidRPr="00E87351">
        <w:rPr>
          <w:rFonts w:ascii="Book Antiqua" w:eastAsia="Times New Roman" w:hAnsi="Book Antiqua" w:cs="Arial"/>
          <w:lang w:val="pt-BR" w:eastAsia="pt-BR"/>
        </w:rPr>
        <w:br w:type="page"/>
      </w:r>
    </w:p>
    <w:p w14:paraId="61D1D37B" w14:textId="77777777" w:rsidR="00703676" w:rsidRPr="00E87351" w:rsidRDefault="00AA5AC6">
      <w:pPr>
        <w:spacing w:line="360" w:lineRule="auto"/>
        <w:jc w:val="both"/>
        <w:rPr>
          <w:rFonts w:ascii="Book Antiqua" w:hAnsi="Book Antiqua" w:cs="Arial"/>
          <w:b/>
          <w:lang w:eastAsia="zh-CN"/>
        </w:rPr>
      </w:pPr>
      <w:r w:rsidRPr="00E87351">
        <w:rPr>
          <w:rFonts w:ascii="Book Antiqua" w:eastAsia="Times New Roman" w:hAnsi="Book Antiqua" w:cs="Arial"/>
          <w:b/>
          <w:lang w:eastAsia="pt-BR"/>
        </w:rPr>
        <w:lastRenderedPageBreak/>
        <w:t>Table 4</w:t>
      </w:r>
      <w:r w:rsidRPr="00E87351">
        <w:rPr>
          <w:rFonts w:ascii="Book Antiqua" w:hAnsi="Book Antiqua" w:cs="Arial" w:hint="eastAsia"/>
          <w:b/>
          <w:lang w:eastAsia="zh-CN"/>
        </w:rPr>
        <w:t xml:space="preserve"> </w:t>
      </w:r>
      <w:r w:rsidRPr="00E87351">
        <w:rPr>
          <w:rFonts w:ascii="Book Antiqua" w:eastAsia="Times New Roman" w:hAnsi="Book Antiqua" w:cs="Arial"/>
          <w:b/>
          <w:iCs/>
          <w:lang w:eastAsia="pt-BR"/>
        </w:rPr>
        <w:t>Acute kidney injury</w:t>
      </w:r>
      <w:r w:rsidRPr="00E87351">
        <w:rPr>
          <w:rFonts w:ascii="Book Antiqua" w:eastAsia="Times New Roman" w:hAnsi="Book Antiqua" w:cs="Arial"/>
          <w:b/>
          <w:lang w:eastAsia="pt-BR"/>
        </w:rPr>
        <w:t xml:space="preserve"> stages according to </w:t>
      </w:r>
      <w:r w:rsidRPr="00E87351">
        <w:rPr>
          <w:rFonts w:ascii="Book Antiqua" w:eastAsia="Times New Roman" w:hAnsi="Book Antiqua" w:cs="Arial"/>
          <w:b/>
          <w:iCs/>
          <w:lang w:eastAsia="pt-BR"/>
        </w:rPr>
        <w:t>International Club of Ascites</w:t>
      </w:r>
      <w:r w:rsidRPr="00E87351">
        <w:rPr>
          <w:rFonts w:ascii="Book Antiqua" w:eastAsia="Times New Roman" w:hAnsi="Book Antiqua" w:cs="Arial"/>
          <w:b/>
          <w:lang w:eastAsia="pt-BR"/>
        </w:rPr>
        <w:t xml:space="preserve"> criteria (</w:t>
      </w:r>
      <w:r w:rsidRPr="00E87351">
        <w:rPr>
          <w:rFonts w:ascii="Book Antiqua" w:eastAsia="Times New Roman" w:hAnsi="Book Antiqua" w:cs="Arial"/>
          <w:b/>
          <w:i/>
          <w:lang w:eastAsia="pt-BR"/>
        </w:rPr>
        <w:t>n</w:t>
      </w:r>
      <w:r w:rsidRPr="00E87351">
        <w:rPr>
          <w:rFonts w:ascii="Book Antiqua" w:eastAsia="Times New Roman" w:hAnsi="Book Antiqua" w:cs="Arial"/>
          <w:b/>
          <w:lang w:eastAsia="pt-BR"/>
        </w:rPr>
        <w:t xml:space="preserve"> = 145)</w:t>
      </w:r>
    </w:p>
    <w:tbl>
      <w:tblPr>
        <w:tblW w:w="8981" w:type="dxa"/>
        <w:tblBorders>
          <w:top w:val="single" w:sz="4" w:space="0" w:color="auto"/>
          <w:bottom w:val="single" w:sz="4" w:space="0" w:color="auto"/>
        </w:tblBorders>
        <w:tblLayout w:type="fixed"/>
        <w:tblLook w:val="04A0" w:firstRow="1" w:lastRow="0" w:firstColumn="1" w:lastColumn="0" w:noHBand="0" w:noVBand="1"/>
      </w:tblPr>
      <w:tblGrid>
        <w:gridCol w:w="2221"/>
        <w:gridCol w:w="2130"/>
        <w:gridCol w:w="1843"/>
        <w:gridCol w:w="2787"/>
      </w:tblGrid>
      <w:tr w:rsidR="00703676" w:rsidRPr="00E87351" w14:paraId="3450EAFD" w14:textId="77777777">
        <w:tc>
          <w:tcPr>
            <w:tcW w:w="2221" w:type="dxa"/>
            <w:tcBorders>
              <w:top w:val="single" w:sz="4" w:space="0" w:color="auto"/>
              <w:bottom w:val="single" w:sz="4" w:space="0" w:color="auto"/>
            </w:tcBorders>
            <w:shd w:val="clear" w:color="auto" w:fill="auto"/>
          </w:tcPr>
          <w:p w14:paraId="49AB034E"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Overall incidence (</w:t>
            </w:r>
            <w:r w:rsidRPr="00E87351">
              <w:rPr>
                <w:rFonts w:ascii="Book Antiqua" w:eastAsia="Times New Roman" w:hAnsi="Book Antiqua" w:cs="Arial"/>
                <w:b/>
                <w:i/>
                <w:lang w:val="pt-BR" w:eastAsia="pt-BR"/>
              </w:rPr>
              <w:t>n</w:t>
            </w:r>
            <w:r w:rsidRPr="00E87351">
              <w:rPr>
                <w:rFonts w:ascii="Book Antiqua" w:eastAsia="Times New Roman" w:hAnsi="Book Antiqua" w:cs="Arial"/>
                <w:b/>
                <w:lang w:val="pt-BR" w:eastAsia="pt-BR"/>
              </w:rPr>
              <w:t xml:space="preserve"> = 88)</w:t>
            </w:r>
          </w:p>
        </w:tc>
        <w:tc>
          <w:tcPr>
            <w:tcW w:w="2130" w:type="dxa"/>
            <w:tcBorders>
              <w:top w:val="single" w:sz="4" w:space="0" w:color="auto"/>
              <w:bottom w:val="single" w:sz="4" w:space="0" w:color="auto"/>
            </w:tcBorders>
            <w:shd w:val="clear" w:color="auto" w:fill="auto"/>
          </w:tcPr>
          <w:p w14:paraId="40AA9736"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 xml:space="preserve">Stage 1 </w:t>
            </w:r>
          </w:p>
          <w:p w14:paraId="6B77BE38"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w:t>
            </w:r>
            <w:r w:rsidRPr="00E87351">
              <w:rPr>
                <w:rFonts w:ascii="Book Antiqua" w:eastAsia="Times New Roman" w:hAnsi="Book Antiqua" w:cs="Arial"/>
                <w:b/>
                <w:i/>
                <w:lang w:val="pt-BR" w:eastAsia="pt-BR"/>
              </w:rPr>
              <w:t>n</w:t>
            </w:r>
            <w:r w:rsidRPr="00E87351">
              <w:rPr>
                <w:rFonts w:ascii="Book Antiqua" w:eastAsia="Times New Roman" w:hAnsi="Book Antiqua" w:cs="Arial"/>
                <w:b/>
                <w:lang w:val="pt-BR" w:eastAsia="pt-BR"/>
              </w:rPr>
              <w:t xml:space="preserve"> = 22)</w:t>
            </w:r>
          </w:p>
        </w:tc>
        <w:tc>
          <w:tcPr>
            <w:tcW w:w="1843" w:type="dxa"/>
            <w:tcBorders>
              <w:top w:val="single" w:sz="4" w:space="0" w:color="auto"/>
              <w:bottom w:val="single" w:sz="4" w:space="0" w:color="auto"/>
            </w:tcBorders>
            <w:shd w:val="clear" w:color="auto" w:fill="auto"/>
          </w:tcPr>
          <w:p w14:paraId="6BC94EBF"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 xml:space="preserve">Stage 2 </w:t>
            </w:r>
          </w:p>
          <w:p w14:paraId="24DEDE83"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w:t>
            </w:r>
            <w:r w:rsidRPr="00E87351">
              <w:rPr>
                <w:rFonts w:ascii="Book Antiqua" w:eastAsia="Times New Roman" w:hAnsi="Book Antiqua" w:cs="Arial"/>
                <w:b/>
                <w:i/>
                <w:lang w:val="pt-BR" w:eastAsia="pt-BR"/>
              </w:rPr>
              <w:t>n</w:t>
            </w:r>
            <w:r w:rsidRPr="00E87351">
              <w:rPr>
                <w:rFonts w:ascii="Book Antiqua" w:eastAsia="Times New Roman" w:hAnsi="Book Antiqua" w:cs="Arial"/>
                <w:b/>
                <w:lang w:val="pt-BR" w:eastAsia="pt-BR"/>
              </w:rPr>
              <w:t xml:space="preserve"> = 36)</w:t>
            </w:r>
          </w:p>
        </w:tc>
        <w:tc>
          <w:tcPr>
            <w:tcW w:w="2787" w:type="dxa"/>
            <w:tcBorders>
              <w:top w:val="single" w:sz="4" w:space="0" w:color="auto"/>
              <w:bottom w:val="single" w:sz="4" w:space="0" w:color="auto"/>
            </w:tcBorders>
            <w:shd w:val="clear" w:color="auto" w:fill="auto"/>
          </w:tcPr>
          <w:p w14:paraId="150B1B70"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 xml:space="preserve">Stage 3/RRT </w:t>
            </w:r>
          </w:p>
          <w:p w14:paraId="662854FA"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w:t>
            </w:r>
            <w:r w:rsidRPr="00E87351">
              <w:rPr>
                <w:rFonts w:ascii="Book Antiqua" w:eastAsia="Times New Roman" w:hAnsi="Book Antiqua" w:cs="Arial"/>
                <w:b/>
                <w:i/>
                <w:lang w:val="pt-BR" w:eastAsia="pt-BR"/>
              </w:rPr>
              <w:t>n</w:t>
            </w:r>
            <w:r w:rsidRPr="00E87351">
              <w:rPr>
                <w:rFonts w:ascii="Book Antiqua" w:eastAsia="Times New Roman" w:hAnsi="Book Antiqua" w:cs="Arial"/>
                <w:b/>
                <w:lang w:val="pt-BR" w:eastAsia="pt-BR"/>
              </w:rPr>
              <w:t xml:space="preserve"> = 30/12)</w:t>
            </w:r>
          </w:p>
        </w:tc>
      </w:tr>
      <w:tr w:rsidR="00703676" w:rsidRPr="00E87351" w14:paraId="634A9352" w14:textId="77777777">
        <w:tc>
          <w:tcPr>
            <w:tcW w:w="2221" w:type="dxa"/>
            <w:tcBorders>
              <w:top w:val="single" w:sz="4" w:space="0" w:color="auto"/>
            </w:tcBorders>
          </w:tcPr>
          <w:p w14:paraId="1F53C288"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60.6%</w:t>
            </w:r>
          </w:p>
        </w:tc>
        <w:tc>
          <w:tcPr>
            <w:tcW w:w="2130" w:type="dxa"/>
            <w:tcBorders>
              <w:top w:val="single" w:sz="4" w:space="0" w:color="auto"/>
            </w:tcBorders>
          </w:tcPr>
          <w:p w14:paraId="6B5A8DFB"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15.1%</w:t>
            </w:r>
          </w:p>
        </w:tc>
        <w:tc>
          <w:tcPr>
            <w:tcW w:w="1843" w:type="dxa"/>
            <w:tcBorders>
              <w:top w:val="single" w:sz="4" w:space="0" w:color="auto"/>
            </w:tcBorders>
          </w:tcPr>
          <w:p w14:paraId="0C05C754"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24.8%</w:t>
            </w:r>
          </w:p>
        </w:tc>
        <w:tc>
          <w:tcPr>
            <w:tcW w:w="2787" w:type="dxa"/>
            <w:tcBorders>
              <w:top w:val="single" w:sz="4" w:space="0" w:color="auto"/>
            </w:tcBorders>
          </w:tcPr>
          <w:p w14:paraId="54BC9FC8"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20.6/8.7%</w:t>
            </w:r>
          </w:p>
        </w:tc>
      </w:tr>
    </w:tbl>
    <w:p w14:paraId="3F029E8F" w14:textId="7745EE66" w:rsidR="00703676" w:rsidRPr="00E87351" w:rsidRDefault="00AA5AC6">
      <w:pPr>
        <w:spacing w:line="360" w:lineRule="auto"/>
        <w:jc w:val="both"/>
        <w:rPr>
          <w:rFonts w:ascii="Book Antiqua" w:eastAsia="Times New Roman" w:hAnsi="Book Antiqua" w:cs="Arial"/>
          <w:lang w:eastAsia="pt-BR"/>
        </w:rPr>
      </w:pPr>
      <w:r w:rsidRPr="00E87351">
        <w:rPr>
          <w:rFonts w:ascii="Book Antiqua" w:eastAsia="Times New Roman" w:hAnsi="Book Antiqua" w:cs="Arial"/>
          <w:iCs/>
          <w:lang w:eastAsia="pt-BR"/>
        </w:rPr>
        <w:t>RRT: Renal replacement therapy.</w:t>
      </w:r>
    </w:p>
    <w:p w14:paraId="6289B1C2" w14:textId="77777777" w:rsidR="00703676" w:rsidRPr="00E87351" w:rsidRDefault="00AA5AC6">
      <w:pPr>
        <w:spacing w:after="200" w:line="276" w:lineRule="auto"/>
        <w:rPr>
          <w:rFonts w:ascii="Book Antiqua" w:eastAsia="Times New Roman" w:hAnsi="Book Antiqua" w:cs="Arial"/>
          <w:lang w:eastAsia="pt-BR"/>
        </w:rPr>
      </w:pPr>
      <w:bookmarkStart w:id="2" w:name="_Hlk83566159"/>
      <w:r w:rsidRPr="00E87351">
        <w:rPr>
          <w:rFonts w:ascii="Book Antiqua" w:eastAsia="Times New Roman" w:hAnsi="Book Antiqua" w:cs="Arial"/>
          <w:lang w:eastAsia="pt-BR"/>
        </w:rPr>
        <w:br w:type="page"/>
      </w:r>
    </w:p>
    <w:p w14:paraId="57754933" w14:textId="77777777" w:rsidR="00703676" w:rsidRPr="00E87351" w:rsidRDefault="00AA5AC6">
      <w:pPr>
        <w:spacing w:line="360" w:lineRule="auto"/>
        <w:jc w:val="both"/>
        <w:rPr>
          <w:rFonts w:ascii="Book Antiqua" w:hAnsi="Book Antiqua" w:cs="Arial"/>
          <w:b/>
          <w:lang w:eastAsia="zh-CN"/>
        </w:rPr>
      </w:pPr>
      <w:r w:rsidRPr="00E87351">
        <w:rPr>
          <w:rFonts w:ascii="Book Antiqua" w:eastAsia="Times New Roman" w:hAnsi="Book Antiqua" w:cs="Arial"/>
          <w:b/>
          <w:lang w:eastAsia="pt-BR"/>
        </w:rPr>
        <w:lastRenderedPageBreak/>
        <w:t>Table 5</w:t>
      </w:r>
      <w:r w:rsidRPr="00E87351">
        <w:rPr>
          <w:rFonts w:ascii="Book Antiqua" w:hAnsi="Book Antiqua" w:cs="Arial" w:hint="eastAsia"/>
          <w:b/>
          <w:lang w:eastAsia="zh-CN"/>
        </w:rPr>
        <w:t xml:space="preserve"> </w:t>
      </w:r>
      <w:r w:rsidRPr="00E87351">
        <w:rPr>
          <w:rFonts w:ascii="Book Antiqua" w:eastAsia="Times New Roman" w:hAnsi="Book Antiqua" w:cs="Arial"/>
          <w:b/>
          <w:lang w:eastAsia="pt-BR"/>
        </w:rPr>
        <w:t xml:space="preserve">Patients’ preoperative baseline information according to the occurrence of </w:t>
      </w:r>
      <w:r w:rsidRPr="00E87351">
        <w:rPr>
          <w:rFonts w:ascii="Book Antiqua" w:hAnsi="Book Antiqua" w:cs="Arial" w:hint="eastAsia"/>
          <w:b/>
          <w:iCs/>
          <w:lang w:eastAsia="zh-CN"/>
        </w:rPr>
        <w:t>a</w:t>
      </w:r>
      <w:r w:rsidRPr="00E87351">
        <w:rPr>
          <w:rFonts w:ascii="Book Antiqua" w:hAnsi="Book Antiqua" w:cs="Arial"/>
          <w:b/>
          <w:iCs/>
        </w:rPr>
        <w:t>cute kidney injury</w:t>
      </w:r>
      <w:r w:rsidRPr="00E87351">
        <w:rPr>
          <w:rFonts w:ascii="Book Antiqua" w:eastAsia="Times New Roman" w:hAnsi="Book Antiqua" w:cs="Arial"/>
          <w:b/>
          <w:lang w:eastAsia="pt-BR"/>
        </w:rPr>
        <w:t xml:space="preserve"> after deceased-donor liver transplantation</w:t>
      </w:r>
      <w:r w:rsidRPr="00E87351">
        <w:rPr>
          <w:rFonts w:ascii="Book Antiqua" w:eastAsia="Times New Roman" w:hAnsi="Book Antiqua" w:cs="Arial" w:hint="eastAsia"/>
          <w:b/>
          <w:lang w:eastAsia="pt-BR"/>
        </w:rPr>
        <w:t xml:space="preserve"> </w:t>
      </w:r>
      <w:r w:rsidRPr="00E87351">
        <w:rPr>
          <w:rFonts w:ascii="Book Antiqua" w:eastAsia="Times New Roman" w:hAnsi="Book Antiqua" w:cs="Arial"/>
          <w:b/>
          <w:lang w:eastAsia="pt-BR"/>
        </w:rPr>
        <w:t>(</w:t>
      </w:r>
      <w:r w:rsidRPr="00E87351">
        <w:rPr>
          <w:rFonts w:ascii="Book Antiqua" w:eastAsia="Times New Roman" w:hAnsi="Book Antiqua" w:cs="Arial"/>
          <w:b/>
          <w:i/>
          <w:lang w:eastAsia="pt-BR"/>
        </w:rPr>
        <w:t>n</w:t>
      </w:r>
      <w:r w:rsidRPr="00E87351">
        <w:rPr>
          <w:rFonts w:ascii="Book Antiqua" w:hAnsi="Book Antiqua" w:cs="Arial" w:hint="eastAsia"/>
          <w:b/>
          <w:i/>
          <w:lang w:eastAsia="zh-CN"/>
        </w:rPr>
        <w:t xml:space="preserve"> </w:t>
      </w:r>
      <w:r w:rsidRPr="00E87351">
        <w:rPr>
          <w:rFonts w:ascii="Book Antiqua" w:eastAsia="Times New Roman" w:hAnsi="Book Antiqua" w:cs="Arial"/>
          <w:b/>
          <w:lang w:eastAsia="pt-BR"/>
        </w:rPr>
        <w:t>= 145)</w:t>
      </w:r>
    </w:p>
    <w:tbl>
      <w:tblPr>
        <w:tblW w:w="8855" w:type="dxa"/>
        <w:tblBorders>
          <w:top w:val="single" w:sz="4" w:space="0" w:color="auto"/>
          <w:bottom w:val="single" w:sz="4" w:space="0" w:color="auto"/>
        </w:tblBorders>
        <w:tblLayout w:type="fixed"/>
        <w:tblLook w:val="04A0" w:firstRow="1" w:lastRow="0" w:firstColumn="1" w:lastColumn="0" w:noHBand="0" w:noVBand="1"/>
      </w:tblPr>
      <w:tblGrid>
        <w:gridCol w:w="4531"/>
        <w:gridCol w:w="1560"/>
        <w:gridCol w:w="1772"/>
        <w:gridCol w:w="992"/>
      </w:tblGrid>
      <w:tr w:rsidR="00703676" w:rsidRPr="00E87351" w14:paraId="351B91E7" w14:textId="77777777">
        <w:trPr>
          <w:trHeight w:val="531"/>
        </w:trPr>
        <w:tc>
          <w:tcPr>
            <w:tcW w:w="4531" w:type="dxa"/>
            <w:tcBorders>
              <w:top w:val="single" w:sz="4" w:space="0" w:color="auto"/>
              <w:bottom w:val="single" w:sz="4" w:space="0" w:color="auto"/>
            </w:tcBorders>
            <w:shd w:val="clear" w:color="auto" w:fill="auto"/>
            <w:tcMar>
              <w:top w:w="15" w:type="dxa"/>
              <w:left w:w="66" w:type="dxa"/>
              <w:bottom w:w="0" w:type="dxa"/>
              <w:right w:w="66" w:type="dxa"/>
            </w:tcMar>
          </w:tcPr>
          <w:p w14:paraId="49860EAE" w14:textId="77777777" w:rsidR="00703676" w:rsidRPr="00E87351" w:rsidRDefault="00AA5AC6">
            <w:pPr>
              <w:spacing w:line="360" w:lineRule="auto"/>
              <w:jc w:val="both"/>
              <w:rPr>
                <w:rFonts w:ascii="Book Antiqua" w:hAnsi="Book Antiqua" w:cs="Arial"/>
                <w:b/>
              </w:rPr>
            </w:pPr>
            <w:r w:rsidRPr="00E87351">
              <w:rPr>
                <w:rFonts w:ascii="Book Antiqua" w:hAnsi="Book Antiqua" w:cs="Arial"/>
                <w:b/>
              </w:rPr>
              <w:t> </w:t>
            </w:r>
          </w:p>
        </w:tc>
        <w:tc>
          <w:tcPr>
            <w:tcW w:w="1560" w:type="dxa"/>
            <w:tcBorders>
              <w:top w:val="single" w:sz="4" w:space="0" w:color="auto"/>
              <w:bottom w:val="single" w:sz="4" w:space="0" w:color="auto"/>
            </w:tcBorders>
            <w:shd w:val="clear" w:color="auto" w:fill="auto"/>
            <w:tcMar>
              <w:top w:w="15" w:type="dxa"/>
              <w:left w:w="66" w:type="dxa"/>
              <w:bottom w:w="0" w:type="dxa"/>
              <w:right w:w="66" w:type="dxa"/>
            </w:tcMar>
          </w:tcPr>
          <w:p w14:paraId="36EE0B4B" w14:textId="77777777" w:rsidR="00703676" w:rsidRPr="00E87351" w:rsidRDefault="00AA5AC6">
            <w:pPr>
              <w:spacing w:line="360" w:lineRule="auto"/>
              <w:jc w:val="both"/>
              <w:rPr>
                <w:rFonts w:ascii="Book Antiqua" w:hAnsi="Book Antiqua" w:cs="Arial"/>
                <w:b/>
              </w:rPr>
            </w:pPr>
            <w:r w:rsidRPr="00E87351">
              <w:rPr>
                <w:rFonts w:ascii="Book Antiqua" w:hAnsi="Book Antiqua" w:cs="Arial"/>
                <w:b/>
              </w:rPr>
              <w:t>No AKI (</w:t>
            </w:r>
            <w:r w:rsidRPr="00E87351">
              <w:rPr>
                <w:rFonts w:ascii="Book Antiqua" w:hAnsi="Book Antiqua" w:cs="Arial"/>
                <w:b/>
                <w:i/>
              </w:rPr>
              <w:t>n</w:t>
            </w:r>
            <w:r w:rsidRPr="00E87351">
              <w:rPr>
                <w:rFonts w:ascii="Book Antiqua" w:hAnsi="Book Antiqua" w:cs="Arial"/>
                <w:b/>
              </w:rPr>
              <w:t xml:space="preserve"> = 57)</w:t>
            </w:r>
          </w:p>
        </w:tc>
        <w:tc>
          <w:tcPr>
            <w:tcW w:w="1772" w:type="dxa"/>
            <w:tcBorders>
              <w:top w:val="single" w:sz="4" w:space="0" w:color="auto"/>
              <w:bottom w:val="single" w:sz="4" w:space="0" w:color="auto"/>
            </w:tcBorders>
            <w:shd w:val="clear" w:color="auto" w:fill="auto"/>
            <w:tcMar>
              <w:top w:w="15" w:type="dxa"/>
              <w:left w:w="66" w:type="dxa"/>
              <w:bottom w:w="0" w:type="dxa"/>
              <w:right w:w="66" w:type="dxa"/>
            </w:tcMar>
          </w:tcPr>
          <w:p w14:paraId="65340D2B" w14:textId="77777777" w:rsidR="00703676" w:rsidRPr="00E87351" w:rsidRDefault="00AA5AC6">
            <w:pPr>
              <w:spacing w:line="360" w:lineRule="auto"/>
              <w:jc w:val="both"/>
              <w:rPr>
                <w:rFonts w:ascii="Book Antiqua" w:hAnsi="Book Antiqua" w:cs="Arial"/>
                <w:b/>
                <w:lang w:eastAsia="zh-CN"/>
              </w:rPr>
            </w:pPr>
            <w:r w:rsidRPr="00E87351">
              <w:rPr>
                <w:rFonts w:ascii="Book Antiqua" w:hAnsi="Book Antiqua" w:cs="Arial"/>
                <w:b/>
              </w:rPr>
              <w:t>AKI</w:t>
            </w:r>
            <w:r w:rsidRPr="00E87351">
              <w:rPr>
                <w:rFonts w:ascii="Book Antiqua" w:hAnsi="Book Antiqua" w:cs="Arial" w:hint="eastAsia"/>
                <w:b/>
                <w:lang w:eastAsia="zh-CN"/>
              </w:rPr>
              <w:t xml:space="preserve"> </w:t>
            </w:r>
          </w:p>
          <w:p w14:paraId="18EA0B0E" w14:textId="77777777" w:rsidR="00703676" w:rsidRPr="00E87351" w:rsidRDefault="00AA5AC6">
            <w:pPr>
              <w:spacing w:line="360" w:lineRule="auto"/>
              <w:jc w:val="both"/>
              <w:rPr>
                <w:rFonts w:ascii="Book Antiqua" w:hAnsi="Book Antiqua" w:cs="Arial"/>
                <w:b/>
              </w:rPr>
            </w:pPr>
            <w:r w:rsidRPr="00E87351">
              <w:rPr>
                <w:rFonts w:ascii="Book Antiqua" w:hAnsi="Book Antiqua" w:cs="Arial"/>
                <w:b/>
              </w:rPr>
              <w:t>(</w:t>
            </w:r>
            <w:r w:rsidRPr="00E87351">
              <w:rPr>
                <w:rFonts w:ascii="Book Antiqua" w:hAnsi="Book Antiqua" w:cs="Arial"/>
                <w:b/>
                <w:i/>
              </w:rPr>
              <w:t>n</w:t>
            </w:r>
            <w:r w:rsidRPr="00E87351">
              <w:rPr>
                <w:rFonts w:ascii="Book Antiqua" w:hAnsi="Book Antiqua" w:cs="Arial"/>
                <w:b/>
              </w:rPr>
              <w:t xml:space="preserve"> = 88)</w:t>
            </w:r>
          </w:p>
        </w:tc>
        <w:tc>
          <w:tcPr>
            <w:tcW w:w="992" w:type="dxa"/>
            <w:tcBorders>
              <w:top w:val="single" w:sz="4" w:space="0" w:color="auto"/>
              <w:bottom w:val="single" w:sz="4" w:space="0" w:color="auto"/>
            </w:tcBorders>
            <w:shd w:val="clear" w:color="auto" w:fill="auto"/>
            <w:tcMar>
              <w:top w:w="15" w:type="dxa"/>
              <w:left w:w="66" w:type="dxa"/>
              <w:bottom w:w="0" w:type="dxa"/>
              <w:right w:w="66" w:type="dxa"/>
            </w:tcMar>
          </w:tcPr>
          <w:p w14:paraId="65B6E928" w14:textId="77777777" w:rsidR="00703676" w:rsidRPr="00E87351" w:rsidRDefault="00AA5AC6">
            <w:pPr>
              <w:spacing w:line="360" w:lineRule="auto"/>
              <w:jc w:val="both"/>
              <w:rPr>
                <w:rFonts w:ascii="Book Antiqua" w:hAnsi="Book Antiqua" w:cs="Arial"/>
                <w:b/>
                <w:i/>
                <w:lang w:eastAsia="zh-CN"/>
              </w:rPr>
            </w:pPr>
            <w:r w:rsidRPr="00E87351">
              <w:rPr>
                <w:rFonts w:ascii="Book Antiqua" w:hAnsi="Book Antiqua" w:cs="Arial" w:hint="eastAsia"/>
                <w:b/>
                <w:i/>
                <w:lang w:eastAsia="zh-CN"/>
              </w:rPr>
              <w:t>P</w:t>
            </w:r>
            <w:r w:rsidRPr="00E87351">
              <w:rPr>
                <w:rFonts w:ascii="Book Antiqua" w:hAnsi="Book Antiqua" w:cs="Arial" w:hint="eastAsia"/>
                <w:b/>
                <w:lang w:eastAsia="zh-CN"/>
              </w:rPr>
              <w:t xml:space="preserve"> value</w:t>
            </w:r>
          </w:p>
        </w:tc>
      </w:tr>
      <w:tr w:rsidR="00703676" w:rsidRPr="00E87351" w14:paraId="792CD035" w14:textId="77777777">
        <w:trPr>
          <w:trHeight w:val="266"/>
        </w:trPr>
        <w:tc>
          <w:tcPr>
            <w:tcW w:w="4531" w:type="dxa"/>
            <w:tcBorders>
              <w:top w:val="single" w:sz="4" w:space="0" w:color="auto"/>
            </w:tcBorders>
            <w:shd w:val="clear" w:color="auto" w:fill="auto"/>
            <w:tcMar>
              <w:top w:w="15" w:type="dxa"/>
              <w:left w:w="66" w:type="dxa"/>
              <w:bottom w:w="0" w:type="dxa"/>
              <w:right w:w="66" w:type="dxa"/>
            </w:tcMar>
          </w:tcPr>
          <w:p w14:paraId="7DB913BF"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 xml:space="preserve">Male gender, </w:t>
            </w:r>
            <w:r w:rsidRPr="00E87351">
              <w:rPr>
                <w:rFonts w:ascii="Book Antiqua" w:hAnsi="Book Antiqua" w:cs="Arial"/>
                <w:i/>
              </w:rPr>
              <w:t>n</w:t>
            </w:r>
            <w:r w:rsidRPr="00E87351">
              <w:rPr>
                <w:rFonts w:ascii="Book Antiqua" w:hAnsi="Book Antiqua" w:cs="Arial"/>
              </w:rPr>
              <w:t xml:space="preserve"> (%)</w:t>
            </w:r>
          </w:p>
        </w:tc>
        <w:tc>
          <w:tcPr>
            <w:tcW w:w="1560" w:type="dxa"/>
            <w:tcBorders>
              <w:top w:val="single" w:sz="4" w:space="0" w:color="auto"/>
            </w:tcBorders>
            <w:shd w:val="clear" w:color="auto" w:fill="auto"/>
            <w:tcMar>
              <w:top w:w="15" w:type="dxa"/>
              <w:left w:w="66" w:type="dxa"/>
              <w:bottom w:w="0" w:type="dxa"/>
              <w:right w:w="66" w:type="dxa"/>
            </w:tcMar>
          </w:tcPr>
          <w:p w14:paraId="40377581"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29 (50.8)</w:t>
            </w:r>
          </w:p>
        </w:tc>
        <w:tc>
          <w:tcPr>
            <w:tcW w:w="1772" w:type="dxa"/>
            <w:tcBorders>
              <w:top w:val="single" w:sz="4" w:space="0" w:color="auto"/>
            </w:tcBorders>
            <w:shd w:val="clear" w:color="auto" w:fill="auto"/>
            <w:tcMar>
              <w:top w:w="15" w:type="dxa"/>
              <w:left w:w="66" w:type="dxa"/>
              <w:bottom w:w="0" w:type="dxa"/>
              <w:right w:w="66" w:type="dxa"/>
            </w:tcMar>
          </w:tcPr>
          <w:p w14:paraId="2AA3BE17"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49 (55.6)</w:t>
            </w:r>
          </w:p>
        </w:tc>
        <w:tc>
          <w:tcPr>
            <w:tcW w:w="992" w:type="dxa"/>
            <w:tcBorders>
              <w:top w:val="single" w:sz="4" w:space="0" w:color="auto"/>
            </w:tcBorders>
            <w:shd w:val="clear" w:color="auto" w:fill="auto"/>
            <w:tcMar>
              <w:top w:w="15" w:type="dxa"/>
              <w:left w:w="66" w:type="dxa"/>
              <w:bottom w:w="0" w:type="dxa"/>
              <w:right w:w="66" w:type="dxa"/>
            </w:tcMar>
          </w:tcPr>
          <w:p w14:paraId="66C0453B"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0.441</w:t>
            </w:r>
          </w:p>
        </w:tc>
      </w:tr>
      <w:tr w:rsidR="00703676" w:rsidRPr="00E87351" w14:paraId="565D9439" w14:textId="77777777">
        <w:trPr>
          <w:trHeight w:val="266"/>
        </w:trPr>
        <w:tc>
          <w:tcPr>
            <w:tcW w:w="4531" w:type="dxa"/>
            <w:shd w:val="clear" w:color="auto" w:fill="auto"/>
            <w:tcMar>
              <w:top w:w="15" w:type="dxa"/>
              <w:left w:w="66" w:type="dxa"/>
              <w:bottom w:w="0" w:type="dxa"/>
              <w:right w:w="66" w:type="dxa"/>
            </w:tcMar>
          </w:tcPr>
          <w:p w14:paraId="473C710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Age (y</w:t>
            </w:r>
            <w:r w:rsidRPr="00E87351">
              <w:rPr>
                <w:rFonts w:ascii="Book Antiqua" w:hAnsi="Book Antiqua" w:cs="Arial" w:hint="eastAsia"/>
                <w:lang w:eastAsia="zh-CN"/>
              </w:rPr>
              <w:t>r</w:t>
            </w:r>
            <w:r w:rsidRPr="00E87351">
              <w:rPr>
                <w:rFonts w:ascii="Book Antiqua" w:hAnsi="Book Antiqua" w:cs="Arial"/>
              </w:rPr>
              <w:t>), mean ± SD</w:t>
            </w:r>
          </w:p>
        </w:tc>
        <w:tc>
          <w:tcPr>
            <w:tcW w:w="1560" w:type="dxa"/>
            <w:shd w:val="clear" w:color="auto" w:fill="auto"/>
            <w:tcMar>
              <w:top w:w="15" w:type="dxa"/>
              <w:left w:w="66" w:type="dxa"/>
              <w:bottom w:w="0" w:type="dxa"/>
              <w:right w:w="66" w:type="dxa"/>
            </w:tcMar>
          </w:tcPr>
          <w:p w14:paraId="74C9B37F"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53.2 (± 13.56)</w:t>
            </w:r>
          </w:p>
        </w:tc>
        <w:tc>
          <w:tcPr>
            <w:tcW w:w="1772" w:type="dxa"/>
            <w:shd w:val="clear" w:color="auto" w:fill="auto"/>
            <w:tcMar>
              <w:top w:w="15" w:type="dxa"/>
              <w:left w:w="66" w:type="dxa"/>
              <w:bottom w:w="0" w:type="dxa"/>
              <w:right w:w="66" w:type="dxa"/>
            </w:tcMar>
          </w:tcPr>
          <w:p w14:paraId="78F7FCA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56.2 (± 13.26)</w:t>
            </w:r>
          </w:p>
        </w:tc>
        <w:tc>
          <w:tcPr>
            <w:tcW w:w="992" w:type="dxa"/>
            <w:shd w:val="clear" w:color="auto" w:fill="auto"/>
            <w:tcMar>
              <w:top w:w="15" w:type="dxa"/>
              <w:left w:w="66" w:type="dxa"/>
              <w:bottom w:w="0" w:type="dxa"/>
              <w:right w:w="66" w:type="dxa"/>
            </w:tcMar>
          </w:tcPr>
          <w:p w14:paraId="5CA58EA1"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0.352</w:t>
            </w:r>
          </w:p>
        </w:tc>
      </w:tr>
      <w:tr w:rsidR="00703676" w:rsidRPr="00E87351" w14:paraId="29D5D9E8" w14:textId="77777777">
        <w:trPr>
          <w:trHeight w:val="266"/>
        </w:trPr>
        <w:tc>
          <w:tcPr>
            <w:tcW w:w="4531" w:type="dxa"/>
            <w:shd w:val="clear" w:color="auto" w:fill="auto"/>
            <w:tcMar>
              <w:top w:w="15" w:type="dxa"/>
              <w:left w:w="66" w:type="dxa"/>
              <w:bottom w:w="0" w:type="dxa"/>
              <w:right w:w="66" w:type="dxa"/>
            </w:tcMar>
          </w:tcPr>
          <w:p w14:paraId="5F0C3176"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BMI, mean ± SD</w:t>
            </w:r>
          </w:p>
        </w:tc>
        <w:tc>
          <w:tcPr>
            <w:tcW w:w="1560" w:type="dxa"/>
            <w:shd w:val="clear" w:color="auto" w:fill="auto"/>
            <w:tcMar>
              <w:top w:w="15" w:type="dxa"/>
              <w:left w:w="66" w:type="dxa"/>
              <w:bottom w:w="0" w:type="dxa"/>
              <w:right w:w="66" w:type="dxa"/>
            </w:tcMar>
          </w:tcPr>
          <w:p w14:paraId="71D26524"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18.2(± 4.54)</w:t>
            </w:r>
          </w:p>
        </w:tc>
        <w:tc>
          <w:tcPr>
            <w:tcW w:w="1772" w:type="dxa"/>
            <w:shd w:val="clear" w:color="auto" w:fill="auto"/>
            <w:tcMar>
              <w:top w:w="15" w:type="dxa"/>
              <w:left w:w="66" w:type="dxa"/>
              <w:bottom w:w="0" w:type="dxa"/>
              <w:right w:w="66" w:type="dxa"/>
            </w:tcMar>
          </w:tcPr>
          <w:p w14:paraId="2F7EF7C9"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22.7 (± 4.92)</w:t>
            </w:r>
          </w:p>
        </w:tc>
        <w:tc>
          <w:tcPr>
            <w:tcW w:w="992" w:type="dxa"/>
            <w:shd w:val="clear" w:color="auto" w:fill="auto"/>
            <w:tcMar>
              <w:top w:w="15" w:type="dxa"/>
              <w:left w:w="66" w:type="dxa"/>
              <w:bottom w:w="0" w:type="dxa"/>
              <w:right w:w="66" w:type="dxa"/>
            </w:tcMar>
          </w:tcPr>
          <w:p w14:paraId="34F4AE77" w14:textId="77777777" w:rsidR="00703676" w:rsidRPr="00E87351" w:rsidRDefault="00AA5AC6">
            <w:pPr>
              <w:spacing w:line="360" w:lineRule="auto"/>
              <w:jc w:val="both"/>
              <w:rPr>
                <w:rFonts w:ascii="Book Antiqua" w:hAnsi="Book Antiqua" w:cs="Arial"/>
                <w:bCs/>
              </w:rPr>
            </w:pPr>
            <w:r w:rsidRPr="00E87351">
              <w:rPr>
                <w:rFonts w:ascii="Book Antiqua" w:hAnsi="Book Antiqua" w:cs="Arial"/>
                <w:bCs/>
                <w:color w:val="000000" w:themeColor="text1"/>
              </w:rPr>
              <w:t>0.065</w:t>
            </w:r>
          </w:p>
        </w:tc>
      </w:tr>
      <w:tr w:rsidR="00703676" w:rsidRPr="00E87351" w14:paraId="4D514DC2" w14:textId="77777777">
        <w:trPr>
          <w:trHeight w:val="266"/>
        </w:trPr>
        <w:tc>
          <w:tcPr>
            <w:tcW w:w="4531" w:type="dxa"/>
            <w:shd w:val="clear" w:color="auto" w:fill="auto"/>
            <w:tcMar>
              <w:top w:w="15" w:type="dxa"/>
              <w:left w:w="66" w:type="dxa"/>
              <w:bottom w:w="0" w:type="dxa"/>
              <w:right w:w="66" w:type="dxa"/>
            </w:tcMar>
          </w:tcPr>
          <w:p w14:paraId="0C15687C"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Biological MELD score, mean ± SD</w:t>
            </w:r>
          </w:p>
        </w:tc>
        <w:tc>
          <w:tcPr>
            <w:tcW w:w="1560" w:type="dxa"/>
            <w:shd w:val="clear" w:color="auto" w:fill="auto"/>
            <w:tcMar>
              <w:top w:w="15" w:type="dxa"/>
              <w:left w:w="66" w:type="dxa"/>
              <w:bottom w:w="0" w:type="dxa"/>
              <w:right w:w="66" w:type="dxa"/>
            </w:tcMar>
          </w:tcPr>
          <w:p w14:paraId="2C56104D"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21.67 (± 2.15)</w:t>
            </w:r>
          </w:p>
        </w:tc>
        <w:tc>
          <w:tcPr>
            <w:tcW w:w="1772" w:type="dxa"/>
            <w:shd w:val="clear" w:color="auto" w:fill="auto"/>
            <w:tcMar>
              <w:top w:w="15" w:type="dxa"/>
              <w:left w:w="66" w:type="dxa"/>
              <w:bottom w:w="0" w:type="dxa"/>
              <w:right w:w="66" w:type="dxa"/>
            </w:tcMar>
          </w:tcPr>
          <w:p w14:paraId="7CBC16B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26.05 (± 3.05)</w:t>
            </w:r>
          </w:p>
        </w:tc>
        <w:tc>
          <w:tcPr>
            <w:tcW w:w="992" w:type="dxa"/>
            <w:shd w:val="clear" w:color="auto" w:fill="auto"/>
            <w:tcMar>
              <w:top w:w="15" w:type="dxa"/>
              <w:left w:w="66" w:type="dxa"/>
              <w:bottom w:w="0" w:type="dxa"/>
              <w:right w:w="66" w:type="dxa"/>
            </w:tcMar>
          </w:tcPr>
          <w:p w14:paraId="56C13669"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&lt; 0.001</w:t>
            </w:r>
          </w:p>
        </w:tc>
      </w:tr>
      <w:tr w:rsidR="00703676" w:rsidRPr="00E87351" w14:paraId="2E680D1E" w14:textId="77777777">
        <w:trPr>
          <w:trHeight w:val="266"/>
        </w:trPr>
        <w:tc>
          <w:tcPr>
            <w:tcW w:w="4531" w:type="dxa"/>
            <w:shd w:val="clear" w:color="auto" w:fill="auto"/>
            <w:tcMar>
              <w:top w:w="15" w:type="dxa"/>
              <w:left w:w="66" w:type="dxa"/>
              <w:bottom w:w="0" w:type="dxa"/>
              <w:right w:w="66" w:type="dxa"/>
            </w:tcMar>
          </w:tcPr>
          <w:p w14:paraId="4320EFBB"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Previous ascites, </w:t>
            </w:r>
            <w:r w:rsidRPr="00E87351">
              <w:rPr>
                <w:rFonts w:ascii="Book Antiqua" w:hAnsi="Book Antiqua" w:cs="Arial"/>
                <w:i/>
              </w:rPr>
              <w:t>n</w:t>
            </w:r>
            <w:r w:rsidRPr="00E87351">
              <w:rPr>
                <w:rFonts w:ascii="Book Antiqua" w:hAnsi="Book Antiqua" w:cs="Arial"/>
              </w:rPr>
              <w:t xml:space="preserve"> (%)</w:t>
            </w:r>
          </w:p>
        </w:tc>
        <w:tc>
          <w:tcPr>
            <w:tcW w:w="1560" w:type="dxa"/>
            <w:shd w:val="clear" w:color="auto" w:fill="auto"/>
            <w:tcMar>
              <w:top w:w="15" w:type="dxa"/>
              <w:left w:w="66" w:type="dxa"/>
              <w:bottom w:w="0" w:type="dxa"/>
              <w:right w:w="66" w:type="dxa"/>
            </w:tcMar>
          </w:tcPr>
          <w:p w14:paraId="6199B41F"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24 (42.1)</w:t>
            </w:r>
          </w:p>
        </w:tc>
        <w:tc>
          <w:tcPr>
            <w:tcW w:w="1772" w:type="dxa"/>
            <w:shd w:val="clear" w:color="auto" w:fill="auto"/>
            <w:tcMar>
              <w:top w:w="15" w:type="dxa"/>
              <w:left w:w="66" w:type="dxa"/>
              <w:bottom w:w="0" w:type="dxa"/>
              <w:right w:w="66" w:type="dxa"/>
            </w:tcMar>
          </w:tcPr>
          <w:p w14:paraId="609FE546"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52 (59.0)</w:t>
            </w:r>
          </w:p>
        </w:tc>
        <w:tc>
          <w:tcPr>
            <w:tcW w:w="992" w:type="dxa"/>
            <w:shd w:val="clear" w:color="auto" w:fill="auto"/>
            <w:tcMar>
              <w:top w:w="15" w:type="dxa"/>
              <w:left w:w="66" w:type="dxa"/>
              <w:bottom w:w="0" w:type="dxa"/>
              <w:right w:w="66" w:type="dxa"/>
            </w:tcMar>
          </w:tcPr>
          <w:p w14:paraId="712B8A5D"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0.013</w:t>
            </w:r>
          </w:p>
        </w:tc>
      </w:tr>
      <w:tr w:rsidR="00703676" w:rsidRPr="00E87351" w14:paraId="632DF9EA" w14:textId="77777777">
        <w:trPr>
          <w:trHeight w:val="266"/>
        </w:trPr>
        <w:tc>
          <w:tcPr>
            <w:tcW w:w="4531" w:type="dxa"/>
            <w:shd w:val="clear" w:color="auto" w:fill="auto"/>
            <w:tcMar>
              <w:top w:w="15" w:type="dxa"/>
              <w:left w:w="66" w:type="dxa"/>
              <w:bottom w:w="0" w:type="dxa"/>
              <w:right w:w="66" w:type="dxa"/>
            </w:tcMar>
          </w:tcPr>
          <w:p w14:paraId="68CC1123"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Previous encephalopathy, </w:t>
            </w:r>
            <w:r w:rsidRPr="00E87351">
              <w:rPr>
                <w:rFonts w:ascii="Book Antiqua" w:hAnsi="Book Antiqua" w:cs="Arial"/>
                <w:i/>
              </w:rPr>
              <w:t>n</w:t>
            </w:r>
            <w:r w:rsidRPr="00E87351">
              <w:rPr>
                <w:rFonts w:ascii="Book Antiqua" w:hAnsi="Book Antiqua" w:cs="Arial"/>
              </w:rPr>
              <w:t xml:space="preserve"> (%)</w:t>
            </w:r>
          </w:p>
        </w:tc>
        <w:tc>
          <w:tcPr>
            <w:tcW w:w="1560" w:type="dxa"/>
            <w:shd w:val="clear" w:color="auto" w:fill="auto"/>
            <w:tcMar>
              <w:top w:w="15" w:type="dxa"/>
              <w:left w:w="66" w:type="dxa"/>
              <w:bottom w:w="0" w:type="dxa"/>
              <w:right w:w="66" w:type="dxa"/>
            </w:tcMar>
          </w:tcPr>
          <w:p w14:paraId="77BA525D"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18 (31.5)</w:t>
            </w:r>
          </w:p>
        </w:tc>
        <w:tc>
          <w:tcPr>
            <w:tcW w:w="1772" w:type="dxa"/>
            <w:shd w:val="clear" w:color="auto" w:fill="auto"/>
            <w:tcMar>
              <w:top w:w="15" w:type="dxa"/>
              <w:left w:w="66" w:type="dxa"/>
              <w:bottom w:w="0" w:type="dxa"/>
              <w:right w:w="66" w:type="dxa"/>
            </w:tcMar>
          </w:tcPr>
          <w:p w14:paraId="41F6B425"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39 (44.3)</w:t>
            </w:r>
          </w:p>
        </w:tc>
        <w:tc>
          <w:tcPr>
            <w:tcW w:w="992" w:type="dxa"/>
            <w:shd w:val="clear" w:color="auto" w:fill="auto"/>
            <w:tcMar>
              <w:top w:w="15" w:type="dxa"/>
              <w:left w:w="66" w:type="dxa"/>
              <w:bottom w:w="0" w:type="dxa"/>
              <w:right w:w="66" w:type="dxa"/>
            </w:tcMar>
          </w:tcPr>
          <w:p w14:paraId="3069BABF"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0.025</w:t>
            </w:r>
          </w:p>
        </w:tc>
      </w:tr>
      <w:tr w:rsidR="00703676" w:rsidRPr="00E87351" w14:paraId="62ED6617" w14:textId="77777777">
        <w:trPr>
          <w:trHeight w:val="266"/>
        </w:trPr>
        <w:tc>
          <w:tcPr>
            <w:tcW w:w="4531" w:type="dxa"/>
            <w:shd w:val="clear" w:color="auto" w:fill="auto"/>
            <w:tcMar>
              <w:top w:w="15" w:type="dxa"/>
              <w:left w:w="66" w:type="dxa"/>
              <w:bottom w:w="0" w:type="dxa"/>
              <w:right w:w="66" w:type="dxa"/>
            </w:tcMar>
          </w:tcPr>
          <w:p w14:paraId="75D97F9D"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Previous upper digestive bleeding, </w:t>
            </w:r>
            <w:r w:rsidRPr="00E87351">
              <w:rPr>
                <w:rFonts w:ascii="Book Antiqua" w:hAnsi="Book Antiqua" w:cs="Arial"/>
                <w:i/>
              </w:rPr>
              <w:t>n</w:t>
            </w:r>
            <w:r w:rsidRPr="00E87351">
              <w:rPr>
                <w:rFonts w:ascii="Book Antiqua" w:hAnsi="Book Antiqua" w:cs="Arial"/>
              </w:rPr>
              <w:t xml:space="preserve"> (%)</w:t>
            </w:r>
          </w:p>
        </w:tc>
        <w:tc>
          <w:tcPr>
            <w:tcW w:w="1560" w:type="dxa"/>
            <w:shd w:val="clear" w:color="auto" w:fill="auto"/>
            <w:tcMar>
              <w:top w:w="15" w:type="dxa"/>
              <w:left w:w="66" w:type="dxa"/>
              <w:bottom w:w="0" w:type="dxa"/>
              <w:right w:w="66" w:type="dxa"/>
            </w:tcMar>
          </w:tcPr>
          <w:p w14:paraId="3401A2A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21 (36.8)</w:t>
            </w:r>
          </w:p>
        </w:tc>
        <w:tc>
          <w:tcPr>
            <w:tcW w:w="1772" w:type="dxa"/>
            <w:shd w:val="clear" w:color="auto" w:fill="auto"/>
            <w:tcMar>
              <w:top w:w="15" w:type="dxa"/>
              <w:left w:w="66" w:type="dxa"/>
              <w:bottom w:w="0" w:type="dxa"/>
              <w:right w:w="66" w:type="dxa"/>
            </w:tcMar>
          </w:tcPr>
          <w:p w14:paraId="3DCA650B"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45 (51.1)</w:t>
            </w:r>
          </w:p>
        </w:tc>
        <w:tc>
          <w:tcPr>
            <w:tcW w:w="992" w:type="dxa"/>
            <w:shd w:val="clear" w:color="auto" w:fill="auto"/>
            <w:tcMar>
              <w:top w:w="15" w:type="dxa"/>
              <w:left w:w="66" w:type="dxa"/>
              <w:bottom w:w="0" w:type="dxa"/>
              <w:right w:w="66" w:type="dxa"/>
            </w:tcMar>
          </w:tcPr>
          <w:p w14:paraId="1893388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0.018</w:t>
            </w:r>
          </w:p>
        </w:tc>
      </w:tr>
      <w:tr w:rsidR="00703676" w:rsidRPr="00E87351" w14:paraId="166DBCCC" w14:textId="77777777">
        <w:trPr>
          <w:trHeight w:val="266"/>
        </w:trPr>
        <w:tc>
          <w:tcPr>
            <w:tcW w:w="4531" w:type="dxa"/>
            <w:shd w:val="clear" w:color="auto" w:fill="auto"/>
            <w:tcMar>
              <w:top w:w="15" w:type="dxa"/>
              <w:left w:w="66" w:type="dxa"/>
              <w:bottom w:w="0" w:type="dxa"/>
              <w:right w:w="66" w:type="dxa"/>
            </w:tcMar>
          </w:tcPr>
          <w:p w14:paraId="48727DA3"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Preexisting KD, </w:t>
            </w:r>
            <w:r w:rsidRPr="00E87351">
              <w:rPr>
                <w:rFonts w:ascii="Book Antiqua" w:hAnsi="Book Antiqua" w:cs="Arial"/>
                <w:i/>
              </w:rPr>
              <w:t>n</w:t>
            </w:r>
            <w:r w:rsidRPr="00E87351">
              <w:rPr>
                <w:rFonts w:ascii="Book Antiqua" w:hAnsi="Book Antiqua" w:cs="Arial"/>
              </w:rPr>
              <w:t xml:space="preserve"> (%)</w:t>
            </w:r>
          </w:p>
        </w:tc>
        <w:tc>
          <w:tcPr>
            <w:tcW w:w="1560" w:type="dxa"/>
            <w:shd w:val="clear" w:color="auto" w:fill="auto"/>
            <w:tcMar>
              <w:top w:w="15" w:type="dxa"/>
              <w:left w:w="66" w:type="dxa"/>
              <w:bottom w:w="0" w:type="dxa"/>
              <w:right w:w="66" w:type="dxa"/>
            </w:tcMar>
          </w:tcPr>
          <w:p w14:paraId="6B4AA4AA"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15 (26.3)</w:t>
            </w:r>
          </w:p>
        </w:tc>
        <w:tc>
          <w:tcPr>
            <w:tcW w:w="1772" w:type="dxa"/>
            <w:shd w:val="clear" w:color="auto" w:fill="auto"/>
            <w:tcMar>
              <w:top w:w="15" w:type="dxa"/>
              <w:left w:w="66" w:type="dxa"/>
              <w:bottom w:w="0" w:type="dxa"/>
              <w:right w:w="66" w:type="dxa"/>
            </w:tcMar>
          </w:tcPr>
          <w:p w14:paraId="299BEE6B"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60 (68.1)</w:t>
            </w:r>
          </w:p>
        </w:tc>
        <w:tc>
          <w:tcPr>
            <w:tcW w:w="992" w:type="dxa"/>
            <w:shd w:val="clear" w:color="auto" w:fill="auto"/>
            <w:tcMar>
              <w:top w:w="15" w:type="dxa"/>
              <w:left w:w="66" w:type="dxa"/>
              <w:bottom w:w="0" w:type="dxa"/>
              <w:right w:w="66" w:type="dxa"/>
            </w:tcMar>
          </w:tcPr>
          <w:p w14:paraId="5E163EA2"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&lt; 0.001</w:t>
            </w:r>
          </w:p>
        </w:tc>
      </w:tr>
      <w:tr w:rsidR="00703676" w:rsidRPr="00E87351" w14:paraId="526E5C6B" w14:textId="77777777">
        <w:trPr>
          <w:trHeight w:val="266"/>
        </w:trPr>
        <w:tc>
          <w:tcPr>
            <w:tcW w:w="4531" w:type="dxa"/>
            <w:shd w:val="clear" w:color="auto" w:fill="auto"/>
            <w:tcMar>
              <w:top w:w="15" w:type="dxa"/>
              <w:left w:w="66" w:type="dxa"/>
              <w:bottom w:w="0" w:type="dxa"/>
              <w:right w:w="66" w:type="dxa"/>
            </w:tcMar>
          </w:tcPr>
          <w:p w14:paraId="0AF09FD3"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HCC, </w:t>
            </w:r>
            <w:r w:rsidRPr="00E87351">
              <w:rPr>
                <w:rFonts w:ascii="Book Antiqua" w:hAnsi="Book Antiqua" w:cs="Arial"/>
                <w:i/>
              </w:rPr>
              <w:t>n</w:t>
            </w:r>
            <w:r w:rsidRPr="00E87351">
              <w:rPr>
                <w:rFonts w:ascii="Book Antiqua" w:hAnsi="Book Antiqua" w:cs="Arial"/>
              </w:rPr>
              <w:t xml:space="preserve"> (%)</w:t>
            </w:r>
          </w:p>
        </w:tc>
        <w:tc>
          <w:tcPr>
            <w:tcW w:w="1560" w:type="dxa"/>
            <w:shd w:val="clear" w:color="auto" w:fill="auto"/>
            <w:tcMar>
              <w:top w:w="15" w:type="dxa"/>
              <w:left w:w="66" w:type="dxa"/>
              <w:bottom w:w="0" w:type="dxa"/>
              <w:right w:w="66" w:type="dxa"/>
            </w:tcMar>
          </w:tcPr>
          <w:p w14:paraId="4C302097"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20 (35.0)</w:t>
            </w:r>
          </w:p>
        </w:tc>
        <w:tc>
          <w:tcPr>
            <w:tcW w:w="1772" w:type="dxa"/>
            <w:shd w:val="clear" w:color="auto" w:fill="auto"/>
            <w:tcMar>
              <w:top w:w="15" w:type="dxa"/>
              <w:left w:w="66" w:type="dxa"/>
              <w:bottom w:w="0" w:type="dxa"/>
              <w:right w:w="66" w:type="dxa"/>
            </w:tcMar>
          </w:tcPr>
          <w:p w14:paraId="6D5F30DF"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37 (42.0)</w:t>
            </w:r>
          </w:p>
        </w:tc>
        <w:tc>
          <w:tcPr>
            <w:tcW w:w="992" w:type="dxa"/>
            <w:shd w:val="clear" w:color="auto" w:fill="auto"/>
            <w:tcMar>
              <w:top w:w="15" w:type="dxa"/>
              <w:left w:w="66" w:type="dxa"/>
              <w:bottom w:w="0" w:type="dxa"/>
              <w:right w:w="66" w:type="dxa"/>
            </w:tcMar>
          </w:tcPr>
          <w:p w14:paraId="77E2CA0D"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0.069</w:t>
            </w:r>
          </w:p>
        </w:tc>
      </w:tr>
      <w:tr w:rsidR="00703676" w:rsidRPr="00E87351" w14:paraId="45146E5C" w14:textId="77777777">
        <w:trPr>
          <w:trHeight w:val="266"/>
        </w:trPr>
        <w:tc>
          <w:tcPr>
            <w:tcW w:w="4531" w:type="dxa"/>
            <w:shd w:val="clear" w:color="auto" w:fill="auto"/>
            <w:tcMar>
              <w:top w:w="15" w:type="dxa"/>
              <w:left w:w="66" w:type="dxa"/>
              <w:bottom w:w="0" w:type="dxa"/>
              <w:right w:w="66" w:type="dxa"/>
            </w:tcMar>
          </w:tcPr>
          <w:p w14:paraId="6EDC4CE9"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Systemic arterial hypertension, </w:t>
            </w:r>
            <w:r w:rsidRPr="00E87351">
              <w:rPr>
                <w:rFonts w:ascii="Book Antiqua" w:hAnsi="Book Antiqua" w:cs="Arial"/>
                <w:i/>
              </w:rPr>
              <w:t>n</w:t>
            </w:r>
            <w:r w:rsidRPr="00E87351">
              <w:rPr>
                <w:rFonts w:ascii="Book Antiqua" w:hAnsi="Book Antiqua" w:cs="Arial"/>
              </w:rPr>
              <w:t xml:space="preserve"> (%)</w:t>
            </w:r>
          </w:p>
        </w:tc>
        <w:tc>
          <w:tcPr>
            <w:tcW w:w="1560" w:type="dxa"/>
            <w:shd w:val="clear" w:color="auto" w:fill="auto"/>
            <w:tcMar>
              <w:top w:w="15" w:type="dxa"/>
              <w:left w:w="66" w:type="dxa"/>
              <w:bottom w:w="0" w:type="dxa"/>
              <w:right w:w="66" w:type="dxa"/>
            </w:tcMar>
          </w:tcPr>
          <w:p w14:paraId="147F70E5"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28 (49.1)</w:t>
            </w:r>
          </w:p>
        </w:tc>
        <w:tc>
          <w:tcPr>
            <w:tcW w:w="1772" w:type="dxa"/>
            <w:shd w:val="clear" w:color="auto" w:fill="auto"/>
            <w:tcMar>
              <w:top w:w="15" w:type="dxa"/>
              <w:left w:w="66" w:type="dxa"/>
              <w:bottom w:w="0" w:type="dxa"/>
              <w:right w:w="66" w:type="dxa"/>
            </w:tcMar>
          </w:tcPr>
          <w:p w14:paraId="781ACA8B"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46 (52.2)</w:t>
            </w:r>
          </w:p>
        </w:tc>
        <w:tc>
          <w:tcPr>
            <w:tcW w:w="992" w:type="dxa"/>
            <w:shd w:val="clear" w:color="auto" w:fill="auto"/>
            <w:tcMar>
              <w:top w:w="15" w:type="dxa"/>
              <w:left w:w="66" w:type="dxa"/>
              <w:bottom w:w="0" w:type="dxa"/>
              <w:right w:w="66" w:type="dxa"/>
            </w:tcMar>
          </w:tcPr>
          <w:p w14:paraId="36D93008"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0.083</w:t>
            </w:r>
          </w:p>
        </w:tc>
      </w:tr>
      <w:tr w:rsidR="00703676" w:rsidRPr="00E87351" w14:paraId="590F87DE" w14:textId="77777777">
        <w:trPr>
          <w:trHeight w:val="266"/>
        </w:trPr>
        <w:tc>
          <w:tcPr>
            <w:tcW w:w="4531" w:type="dxa"/>
            <w:shd w:val="clear" w:color="auto" w:fill="auto"/>
            <w:tcMar>
              <w:top w:w="15" w:type="dxa"/>
              <w:left w:w="66" w:type="dxa"/>
              <w:bottom w:w="0" w:type="dxa"/>
              <w:right w:w="66" w:type="dxa"/>
            </w:tcMar>
          </w:tcPr>
          <w:p w14:paraId="3BDA95E4"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Diabetes mellitus, </w:t>
            </w:r>
            <w:r w:rsidRPr="00E87351">
              <w:rPr>
                <w:rFonts w:ascii="Book Antiqua" w:hAnsi="Book Antiqua" w:cs="Arial"/>
                <w:i/>
              </w:rPr>
              <w:t>n</w:t>
            </w:r>
            <w:r w:rsidRPr="00E87351">
              <w:rPr>
                <w:rFonts w:ascii="Book Antiqua" w:hAnsi="Book Antiqua" w:cs="Arial"/>
              </w:rPr>
              <w:t xml:space="preserve"> (%)</w:t>
            </w:r>
          </w:p>
        </w:tc>
        <w:tc>
          <w:tcPr>
            <w:tcW w:w="1560" w:type="dxa"/>
            <w:shd w:val="clear" w:color="auto" w:fill="auto"/>
            <w:tcMar>
              <w:top w:w="15" w:type="dxa"/>
              <w:left w:w="66" w:type="dxa"/>
              <w:bottom w:w="0" w:type="dxa"/>
              <w:right w:w="66" w:type="dxa"/>
            </w:tcMar>
          </w:tcPr>
          <w:p w14:paraId="4BB516D5"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23 (40.3)</w:t>
            </w:r>
          </w:p>
        </w:tc>
        <w:tc>
          <w:tcPr>
            <w:tcW w:w="1772" w:type="dxa"/>
            <w:shd w:val="clear" w:color="auto" w:fill="auto"/>
            <w:tcMar>
              <w:top w:w="15" w:type="dxa"/>
              <w:left w:w="66" w:type="dxa"/>
              <w:bottom w:w="0" w:type="dxa"/>
              <w:right w:w="66" w:type="dxa"/>
            </w:tcMar>
          </w:tcPr>
          <w:p w14:paraId="7D39BC65"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43 (48.8)</w:t>
            </w:r>
          </w:p>
        </w:tc>
        <w:tc>
          <w:tcPr>
            <w:tcW w:w="992" w:type="dxa"/>
            <w:shd w:val="clear" w:color="auto" w:fill="auto"/>
            <w:tcMar>
              <w:top w:w="15" w:type="dxa"/>
              <w:left w:w="66" w:type="dxa"/>
              <w:bottom w:w="0" w:type="dxa"/>
              <w:right w:w="66" w:type="dxa"/>
            </w:tcMar>
          </w:tcPr>
          <w:p w14:paraId="2AFD78C9"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0.254</w:t>
            </w:r>
          </w:p>
        </w:tc>
      </w:tr>
    </w:tbl>
    <w:p w14:paraId="43DC291D" w14:textId="77777777" w:rsidR="00703676" w:rsidRPr="00E87351" w:rsidRDefault="00AA5AC6">
      <w:pPr>
        <w:tabs>
          <w:tab w:val="left" w:pos="3328"/>
        </w:tabs>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AKI: Acute kidney injury; LT: Liver transplantation; SD: Standard deviation; KD; Kidney dysfunction; BMI: Body mass index; MELD: Model for End-stage Liver Disease; HCC: Hepatocellular carcinoma.</w:t>
      </w:r>
    </w:p>
    <w:p w14:paraId="702212BA" w14:textId="77777777" w:rsidR="00703676" w:rsidRPr="00E87351" w:rsidRDefault="00AA5AC6">
      <w:pPr>
        <w:spacing w:after="200" w:line="276" w:lineRule="auto"/>
        <w:rPr>
          <w:rFonts w:ascii="Book Antiqua" w:eastAsia="Times New Roman" w:hAnsi="Book Antiqua" w:cs="Arial"/>
          <w:lang w:eastAsia="pt-BR"/>
        </w:rPr>
      </w:pPr>
      <w:r w:rsidRPr="00E87351">
        <w:rPr>
          <w:rFonts w:ascii="Book Antiqua" w:eastAsia="Times New Roman" w:hAnsi="Book Antiqua" w:cs="Arial"/>
          <w:lang w:eastAsia="pt-BR"/>
        </w:rPr>
        <w:br w:type="page"/>
      </w:r>
    </w:p>
    <w:p w14:paraId="66355790" w14:textId="77777777" w:rsidR="00703676" w:rsidRPr="00E87351" w:rsidRDefault="00AA5AC6">
      <w:pPr>
        <w:tabs>
          <w:tab w:val="left" w:pos="3328"/>
        </w:tabs>
        <w:spacing w:line="360" w:lineRule="auto"/>
        <w:jc w:val="both"/>
        <w:rPr>
          <w:rFonts w:ascii="Book Antiqua" w:hAnsi="Book Antiqua" w:cs="Arial"/>
          <w:b/>
          <w:lang w:eastAsia="zh-CN"/>
        </w:rPr>
      </w:pPr>
      <w:r w:rsidRPr="00E87351">
        <w:rPr>
          <w:rFonts w:ascii="Book Antiqua" w:eastAsia="Times New Roman" w:hAnsi="Book Antiqua" w:cs="Arial"/>
          <w:b/>
          <w:lang w:eastAsia="pt-BR"/>
        </w:rPr>
        <w:lastRenderedPageBreak/>
        <w:t>Table 6</w:t>
      </w:r>
      <w:r w:rsidRPr="00E87351">
        <w:rPr>
          <w:rFonts w:ascii="Book Antiqua" w:hAnsi="Book Antiqua" w:cs="Arial" w:hint="eastAsia"/>
          <w:b/>
          <w:lang w:eastAsia="zh-CN"/>
        </w:rPr>
        <w:t xml:space="preserve"> </w:t>
      </w:r>
      <w:r w:rsidRPr="00E87351">
        <w:rPr>
          <w:rFonts w:ascii="Book Antiqua" w:eastAsia="Times New Roman" w:hAnsi="Book Antiqua" w:cs="Arial"/>
          <w:b/>
          <w:lang w:eastAsia="pt-BR"/>
        </w:rPr>
        <w:t xml:space="preserve">Donor and graft characteristics according to the occurrence of </w:t>
      </w:r>
      <w:r w:rsidRPr="00E87351">
        <w:rPr>
          <w:rFonts w:ascii="Book Antiqua" w:hAnsi="Book Antiqua" w:cs="Arial"/>
          <w:b/>
          <w:iCs/>
          <w:lang w:eastAsia="zh-CN"/>
        </w:rPr>
        <w:t>a</w:t>
      </w:r>
      <w:r w:rsidRPr="00E87351">
        <w:rPr>
          <w:rFonts w:ascii="Book Antiqua" w:eastAsia="Times New Roman" w:hAnsi="Book Antiqua" w:cs="Arial"/>
          <w:b/>
          <w:iCs/>
          <w:lang w:eastAsia="pt-BR"/>
        </w:rPr>
        <w:t>cute kidney injury</w:t>
      </w:r>
      <w:r w:rsidRPr="00E87351">
        <w:rPr>
          <w:rFonts w:ascii="Book Antiqua" w:eastAsia="Times New Roman" w:hAnsi="Book Antiqua" w:cs="Arial"/>
          <w:b/>
          <w:lang w:eastAsia="pt-BR"/>
        </w:rPr>
        <w:t xml:space="preserve"> after deceased-donor liver transplantation (</w:t>
      </w:r>
      <w:r w:rsidRPr="00E87351">
        <w:rPr>
          <w:rFonts w:ascii="Book Antiqua" w:eastAsia="Times New Roman" w:hAnsi="Book Antiqua" w:cs="Arial"/>
          <w:b/>
          <w:i/>
          <w:lang w:eastAsia="pt-BR"/>
        </w:rPr>
        <w:t>n</w:t>
      </w:r>
      <w:r w:rsidRPr="00E87351">
        <w:rPr>
          <w:rFonts w:ascii="Book Antiqua" w:eastAsia="Times New Roman" w:hAnsi="Book Antiqua" w:cs="Arial"/>
          <w:b/>
          <w:lang w:eastAsia="pt-BR"/>
        </w:rPr>
        <w:t xml:space="preserve"> = 145)</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276"/>
        <w:gridCol w:w="1418"/>
        <w:gridCol w:w="1022"/>
      </w:tblGrid>
      <w:tr w:rsidR="00703676" w:rsidRPr="00E87351" w14:paraId="1117B035" w14:textId="77777777">
        <w:tc>
          <w:tcPr>
            <w:tcW w:w="5211" w:type="dxa"/>
            <w:tcBorders>
              <w:top w:val="single" w:sz="4" w:space="0" w:color="auto"/>
              <w:bottom w:val="single" w:sz="4" w:space="0" w:color="auto"/>
            </w:tcBorders>
          </w:tcPr>
          <w:p w14:paraId="276D2208" w14:textId="77777777" w:rsidR="00703676" w:rsidRPr="00E87351" w:rsidRDefault="00703676">
            <w:pPr>
              <w:spacing w:line="360" w:lineRule="auto"/>
              <w:jc w:val="both"/>
              <w:rPr>
                <w:rFonts w:ascii="Book Antiqua" w:hAnsi="Book Antiqua" w:cs="Arial"/>
                <w:b/>
              </w:rPr>
            </w:pPr>
          </w:p>
        </w:tc>
        <w:tc>
          <w:tcPr>
            <w:tcW w:w="1276" w:type="dxa"/>
            <w:tcBorders>
              <w:top w:val="single" w:sz="4" w:space="0" w:color="auto"/>
              <w:bottom w:val="single" w:sz="4" w:space="0" w:color="auto"/>
            </w:tcBorders>
          </w:tcPr>
          <w:p w14:paraId="20BF43E8" w14:textId="77777777" w:rsidR="00703676" w:rsidRPr="00E87351" w:rsidRDefault="00AA5AC6">
            <w:pPr>
              <w:spacing w:line="360" w:lineRule="auto"/>
              <w:jc w:val="both"/>
              <w:rPr>
                <w:rFonts w:ascii="Book Antiqua" w:hAnsi="Book Antiqua" w:cs="Arial"/>
                <w:b/>
              </w:rPr>
            </w:pPr>
            <w:r w:rsidRPr="00E87351">
              <w:rPr>
                <w:rFonts w:ascii="Book Antiqua" w:hAnsi="Book Antiqua" w:cs="Arial"/>
                <w:b/>
              </w:rPr>
              <w:t xml:space="preserve">No AKI </w:t>
            </w:r>
          </w:p>
          <w:p w14:paraId="649CDB31" w14:textId="77777777" w:rsidR="00703676" w:rsidRPr="00E87351" w:rsidRDefault="00AA5AC6">
            <w:pPr>
              <w:spacing w:line="360" w:lineRule="auto"/>
              <w:jc w:val="both"/>
              <w:rPr>
                <w:rFonts w:ascii="Book Antiqua" w:hAnsi="Book Antiqua" w:cs="Arial"/>
                <w:b/>
              </w:rPr>
            </w:pPr>
            <w:r w:rsidRPr="00E87351">
              <w:rPr>
                <w:rFonts w:ascii="Book Antiqua" w:hAnsi="Book Antiqua" w:cs="Arial"/>
                <w:b/>
              </w:rPr>
              <w:t>(</w:t>
            </w:r>
            <w:r w:rsidRPr="00E87351">
              <w:rPr>
                <w:rFonts w:ascii="Book Antiqua" w:hAnsi="Book Antiqua" w:cs="Arial"/>
                <w:b/>
                <w:i/>
              </w:rPr>
              <w:t>n</w:t>
            </w:r>
            <w:r w:rsidRPr="00E87351">
              <w:rPr>
                <w:rFonts w:ascii="Book Antiqua" w:hAnsi="Book Antiqua" w:cs="Arial"/>
                <w:b/>
              </w:rPr>
              <w:t xml:space="preserve"> = 57)</w:t>
            </w:r>
          </w:p>
        </w:tc>
        <w:tc>
          <w:tcPr>
            <w:tcW w:w="1418" w:type="dxa"/>
            <w:tcBorders>
              <w:top w:val="single" w:sz="4" w:space="0" w:color="auto"/>
              <w:bottom w:val="single" w:sz="4" w:space="0" w:color="auto"/>
            </w:tcBorders>
          </w:tcPr>
          <w:p w14:paraId="7091E4AD" w14:textId="77777777" w:rsidR="00703676" w:rsidRPr="00E87351" w:rsidRDefault="00AA5AC6">
            <w:pPr>
              <w:spacing w:line="360" w:lineRule="auto"/>
              <w:jc w:val="both"/>
              <w:rPr>
                <w:rFonts w:ascii="Book Antiqua" w:hAnsi="Book Antiqua" w:cs="Arial"/>
                <w:b/>
                <w:lang w:eastAsia="zh-CN"/>
              </w:rPr>
            </w:pPr>
            <w:r w:rsidRPr="00E87351">
              <w:rPr>
                <w:rFonts w:ascii="Book Antiqua" w:hAnsi="Book Antiqua" w:cs="Arial"/>
                <w:b/>
              </w:rPr>
              <w:t>AKI</w:t>
            </w:r>
            <w:r w:rsidRPr="00E87351">
              <w:rPr>
                <w:rFonts w:ascii="Book Antiqua" w:hAnsi="Book Antiqua" w:cs="Arial" w:hint="eastAsia"/>
                <w:b/>
                <w:lang w:eastAsia="zh-CN"/>
              </w:rPr>
              <w:t xml:space="preserve"> </w:t>
            </w:r>
          </w:p>
          <w:p w14:paraId="27FEC70C" w14:textId="77777777" w:rsidR="00703676" w:rsidRPr="00E87351" w:rsidRDefault="00AA5AC6">
            <w:pPr>
              <w:spacing w:line="360" w:lineRule="auto"/>
              <w:jc w:val="both"/>
              <w:rPr>
                <w:rFonts w:ascii="Book Antiqua" w:hAnsi="Book Antiqua" w:cs="Arial"/>
                <w:b/>
              </w:rPr>
            </w:pPr>
            <w:r w:rsidRPr="00E87351">
              <w:rPr>
                <w:rFonts w:ascii="Book Antiqua" w:hAnsi="Book Antiqua" w:cs="Arial"/>
                <w:b/>
              </w:rPr>
              <w:t>(</w:t>
            </w:r>
            <w:r w:rsidRPr="00E87351">
              <w:rPr>
                <w:rFonts w:ascii="Book Antiqua" w:hAnsi="Book Antiqua" w:cs="Arial"/>
                <w:b/>
                <w:i/>
              </w:rPr>
              <w:t>n</w:t>
            </w:r>
            <w:r w:rsidRPr="00E87351">
              <w:rPr>
                <w:rFonts w:ascii="Book Antiqua" w:hAnsi="Book Antiqua" w:cs="Arial"/>
                <w:b/>
              </w:rPr>
              <w:t xml:space="preserve"> = 88)</w:t>
            </w:r>
          </w:p>
        </w:tc>
        <w:tc>
          <w:tcPr>
            <w:tcW w:w="1022" w:type="dxa"/>
            <w:tcBorders>
              <w:top w:val="single" w:sz="4" w:space="0" w:color="auto"/>
              <w:bottom w:val="single" w:sz="4" w:space="0" w:color="auto"/>
            </w:tcBorders>
          </w:tcPr>
          <w:p w14:paraId="7426D71F" w14:textId="77777777" w:rsidR="00703676" w:rsidRPr="00E87351" w:rsidRDefault="00AA5AC6">
            <w:pPr>
              <w:spacing w:line="360" w:lineRule="auto"/>
              <w:jc w:val="both"/>
              <w:rPr>
                <w:rFonts w:ascii="Book Antiqua" w:hAnsi="Book Antiqua" w:cs="Arial"/>
                <w:b/>
                <w:lang w:eastAsia="zh-CN"/>
              </w:rPr>
            </w:pPr>
            <w:r w:rsidRPr="00E87351">
              <w:rPr>
                <w:rFonts w:ascii="Book Antiqua" w:hAnsi="Book Antiqua" w:cs="Arial" w:hint="eastAsia"/>
                <w:b/>
                <w:i/>
                <w:lang w:eastAsia="zh-CN"/>
              </w:rPr>
              <w:t xml:space="preserve">P </w:t>
            </w:r>
            <w:r w:rsidRPr="00E87351">
              <w:rPr>
                <w:rFonts w:ascii="Book Antiqua" w:hAnsi="Book Antiqua" w:cs="Arial" w:hint="eastAsia"/>
                <w:b/>
                <w:lang w:eastAsia="zh-CN"/>
              </w:rPr>
              <w:t>value</w:t>
            </w:r>
          </w:p>
        </w:tc>
      </w:tr>
      <w:tr w:rsidR="00703676" w:rsidRPr="00E87351" w14:paraId="58257F37" w14:textId="77777777">
        <w:tc>
          <w:tcPr>
            <w:tcW w:w="5211" w:type="dxa"/>
            <w:tcBorders>
              <w:top w:val="single" w:sz="4" w:space="0" w:color="auto"/>
            </w:tcBorders>
          </w:tcPr>
          <w:p w14:paraId="54CFA31D" w14:textId="77777777" w:rsidR="00703676" w:rsidRPr="00E87351" w:rsidRDefault="00AA5AC6">
            <w:pPr>
              <w:shd w:val="clear" w:color="auto" w:fill="FFFFFF"/>
              <w:spacing w:line="360" w:lineRule="auto"/>
              <w:jc w:val="both"/>
              <w:rPr>
                <w:rFonts w:ascii="Book Antiqua" w:hAnsi="Book Antiqua" w:cs="Arial"/>
              </w:rPr>
            </w:pPr>
            <w:r w:rsidRPr="00E87351">
              <w:rPr>
                <w:rFonts w:ascii="Book Antiqua" w:hAnsi="Book Antiqua" w:cs="Arial"/>
                <w:color w:val="000000" w:themeColor="text1"/>
              </w:rPr>
              <w:t xml:space="preserve">Donor &gt; 60 yr, </w:t>
            </w:r>
            <w:r w:rsidRPr="00E87351">
              <w:rPr>
                <w:rFonts w:ascii="Book Antiqua" w:hAnsi="Book Antiqua" w:cs="Arial"/>
                <w:i/>
              </w:rPr>
              <w:t>n</w:t>
            </w:r>
            <w:r w:rsidRPr="00E87351">
              <w:rPr>
                <w:rFonts w:ascii="Book Antiqua" w:hAnsi="Book Antiqua" w:cs="Arial"/>
              </w:rPr>
              <w:t xml:space="preserve"> (%)</w:t>
            </w:r>
          </w:p>
        </w:tc>
        <w:tc>
          <w:tcPr>
            <w:tcW w:w="1276" w:type="dxa"/>
            <w:tcBorders>
              <w:top w:val="single" w:sz="4" w:space="0" w:color="auto"/>
            </w:tcBorders>
          </w:tcPr>
          <w:p w14:paraId="3CB182C7"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16 (28.0)</w:t>
            </w:r>
          </w:p>
        </w:tc>
        <w:tc>
          <w:tcPr>
            <w:tcW w:w="1418" w:type="dxa"/>
            <w:tcBorders>
              <w:top w:val="single" w:sz="4" w:space="0" w:color="auto"/>
            </w:tcBorders>
          </w:tcPr>
          <w:p w14:paraId="00F2CDB6"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31 (35.2)</w:t>
            </w:r>
          </w:p>
        </w:tc>
        <w:tc>
          <w:tcPr>
            <w:tcW w:w="1022" w:type="dxa"/>
            <w:tcBorders>
              <w:top w:val="single" w:sz="4" w:space="0" w:color="auto"/>
            </w:tcBorders>
          </w:tcPr>
          <w:p w14:paraId="7DCA622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0.346</w:t>
            </w:r>
          </w:p>
        </w:tc>
      </w:tr>
      <w:tr w:rsidR="00703676" w:rsidRPr="00E87351" w14:paraId="534DBD75" w14:textId="77777777">
        <w:trPr>
          <w:trHeight w:val="205"/>
        </w:trPr>
        <w:tc>
          <w:tcPr>
            <w:tcW w:w="5211" w:type="dxa"/>
          </w:tcPr>
          <w:p w14:paraId="318E33C7" w14:textId="77777777" w:rsidR="00703676" w:rsidRPr="00E87351" w:rsidRDefault="00AA5AC6">
            <w:pPr>
              <w:shd w:val="clear" w:color="auto" w:fill="FFFFFF"/>
              <w:spacing w:line="360" w:lineRule="auto"/>
              <w:jc w:val="both"/>
              <w:rPr>
                <w:rFonts w:ascii="Book Antiqua" w:hAnsi="Book Antiqua" w:cs="Arial"/>
              </w:rPr>
            </w:pPr>
            <w:r w:rsidRPr="00E87351">
              <w:rPr>
                <w:rFonts w:ascii="Book Antiqua" w:hAnsi="Book Antiqua" w:cs="Arial"/>
                <w:color w:val="000000" w:themeColor="text1"/>
              </w:rPr>
              <w:t>Donor BMI &gt; 27-30 kg/m</w:t>
            </w:r>
            <w:r w:rsidRPr="00E87351">
              <w:rPr>
                <w:rFonts w:ascii="Book Antiqua" w:hAnsi="Book Antiqua" w:cs="Arial"/>
                <w:color w:val="000000" w:themeColor="text1"/>
                <w:vertAlign w:val="superscript"/>
              </w:rPr>
              <w:t>2</w:t>
            </w:r>
            <w:r w:rsidRPr="00E87351">
              <w:rPr>
                <w:rFonts w:ascii="Book Antiqua" w:hAnsi="Book Antiqua" w:cs="Arial"/>
                <w:color w:val="000000" w:themeColor="text1"/>
              </w:rPr>
              <w:t xml:space="preserve">, </w:t>
            </w:r>
            <w:r w:rsidRPr="00E87351">
              <w:rPr>
                <w:rFonts w:ascii="Book Antiqua" w:hAnsi="Book Antiqua" w:cs="Arial"/>
                <w:i/>
              </w:rPr>
              <w:t>n</w:t>
            </w:r>
            <w:r w:rsidRPr="00E87351">
              <w:rPr>
                <w:rFonts w:ascii="Book Antiqua" w:hAnsi="Book Antiqua" w:cs="Arial"/>
              </w:rPr>
              <w:t xml:space="preserve"> (%)</w:t>
            </w:r>
          </w:p>
        </w:tc>
        <w:tc>
          <w:tcPr>
            <w:tcW w:w="1276" w:type="dxa"/>
          </w:tcPr>
          <w:p w14:paraId="3765281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14(24.5)</w:t>
            </w:r>
          </w:p>
        </w:tc>
        <w:tc>
          <w:tcPr>
            <w:tcW w:w="1418" w:type="dxa"/>
          </w:tcPr>
          <w:p w14:paraId="3EC0E409"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28 (31.8)</w:t>
            </w:r>
          </w:p>
        </w:tc>
        <w:tc>
          <w:tcPr>
            <w:tcW w:w="1022" w:type="dxa"/>
          </w:tcPr>
          <w:p w14:paraId="08F8FEA5"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0.039</w:t>
            </w:r>
          </w:p>
        </w:tc>
      </w:tr>
      <w:tr w:rsidR="00703676" w:rsidRPr="00E87351" w14:paraId="0F4EA888" w14:textId="77777777">
        <w:tc>
          <w:tcPr>
            <w:tcW w:w="5211" w:type="dxa"/>
          </w:tcPr>
          <w:p w14:paraId="686A1036" w14:textId="77777777" w:rsidR="00703676" w:rsidRPr="00E87351" w:rsidRDefault="00AA5AC6">
            <w:pPr>
              <w:shd w:val="clear" w:color="auto" w:fill="FFFFFF"/>
              <w:spacing w:line="360" w:lineRule="auto"/>
              <w:jc w:val="both"/>
              <w:rPr>
                <w:rFonts w:ascii="Book Antiqua" w:hAnsi="Book Antiqua" w:cs="Arial"/>
              </w:rPr>
            </w:pPr>
            <w:r w:rsidRPr="00E87351">
              <w:rPr>
                <w:rFonts w:ascii="Book Antiqua" w:hAnsi="Book Antiqua" w:cs="Arial"/>
                <w:color w:val="000000" w:themeColor="text1"/>
              </w:rPr>
              <w:t xml:space="preserve">Graft macrosteatosis &gt; 30%, </w:t>
            </w:r>
            <w:r w:rsidRPr="00E87351">
              <w:rPr>
                <w:rFonts w:ascii="Book Antiqua" w:hAnsi="Book Antiqua" w:cs="Arial"/>
                <w:i/>
              </w:rPr>
              <w:t>n</w:t>
            </w:r>
            <w:r w:rsidRPr="00E87351">
              <w:rPr>
                <w:rFonts w:ascii="Book Antiqua" w:hAnsi="Book Antiqua" w:cs="Arial"/>
              </w:rPr>
              <w:t xml:space="preserve"> (%)</w:t>
            </w:r>
          </w:p>
        </w:tc>
        <w:tc>
          <w:tcPr>
            <w:tcW w:w="1276" w:type="dxa"/>
          </w:tcPr>
          <w:p w14:paraId="47FCD83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11 (19.2)</w:t>
            </w:r>
          </w:p>
        </w:tc>
        <w:tc>
          <w:tcPr>
            <w:tcW w:w="1418" w:type="dxa"/>
          </w:tcPr>
          <w:p w14:paraId="4A004FD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32 (36.3)</w:t>
            </w:r>
          </w:p>
        </w:tc>
        <w:tc>
          <w:tcPr>
            <w:tcW w:w="1022" w:type="dxa"/>
          </w:tcPr>
          <w:p w14:paraId="09049181"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0.024</w:t>
            </w:r>
          </w:p>
        </w:tc>
      </w:tr>
      <w:tr w:rsidR="00703676" w:rsidRPr="00E87351" w14:paraId="5239098C" w14:textId="77777777">
        <w:tc>
          <w:tcPr>
            <w:tcW w:w="5211" w:type="dxa"/>
          </w:tcPr>
          <w:p w14:paraId="57A41264"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GCIT </w:t>
            </w:r>
            <w:r w:rsidRPr="00E87351">
              <w:rPr>
                <w:rFonts w:ascii="Book Antiqua" w:hAnsi="Book Antiqua" w:cs="Arial"/>
                <w:color w:val="000000" w:themeColor="text1"/>
              </w:rPr>
              <w:t xml:space="preserve">&gt; 8 h, </w:t>
            </w:r>
            <w:r w:rsidRPr="00E87351">
              <w:rPr>
                <w:rFonts w:ascii="Book Antiqua" w:hAnsi="Book Antiqua" w:cs="Arial"/>
                <w:i/>
              </w:rPr>
              <w:t>n</w:t>
            </w:r>
            <w:r w:rsidRPr="00E87351">
              <w:rPr>
                <w:rFonts w:ascii="Book Antiqua" w:hAnsi="Book Antiqua" w:cs="Arial"/>
              </w:rPr>
              <w:t xml:space="preserve"> (%)</w:t>
            </w:r>
          </w:p>
        </w:tc>
        <w:tc>
          <w:tcPr>
            <w:tcW w:w="1276" w:type="dxa"/>
          </w:tcPr>
          <w:p w14:paraId="4C626DE1"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w:t>
            </w:r>
          </w:p>
        </w:tc>
        <w:tc>
          <w:tcPr>
            <w:tcW w:w="1418" w:type="dxa"/>
          </w:tcPr>
          <w:p w14:paraId="771E2BA0"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w:t>
            </w:r>
          </w:p>
        </w:tc>
        <w:tc>
          <w:tcPr>
            <w:tcW w:w="1022" w:type="dxa"/>
          </w:tcPr>
          <w:p w14:paraId="5B7C7FA0"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w:t>
            </w:r>
          </w:p>
        </w:tc>
      </w:tr>
      <w:tr w:rsidR="00703676" w:rsidRPr="00E87351" w14:paraId="75AF365C" w14:textId="77777777">
        <w:tc>
          <w:tcPr>
            <w:tcW w:w="5211" w:type="dxa"/>
          </w:tcPr>
          <w:p w14:paraId="71301354"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GWIT </w:t>
            </w:r>
            <w:r w:rsidRPr="00E87351">
              <w:rPr>
                <w:rFonts w:ascii="Book Antiqua" w:hAnsi="Book Antiqua" w:cs="Arial"/>
                <w:color w:val="000000" w:themeColor="text1"/>
              </w:rPr>
              <w:t>&gt; 40-45 min</w:t>
            </w:r>
          </w:p>
        </w:tc>
        <w:tc>
          <w:tcPr>
            <w:tcW w:w="1276" w:type="dxa"/>
          </w:tcPr>
          <w:p w14:paraId="5C6264B1"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38 (66.6)</w:t>
            </w:r>
          </w:p>
        </w:tc>
        <w:tc>
          <w:tcPr>
            <w:tcW w:w="1418" w:type="dxa"/>
          </w:tcPr>
          <w:p w14:paraId="45BDB8C9"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54 (61.3)</w:t>
            </w:r>
          </w:p>
        </w:tc>
        <w:tc>
          <w:tcPr>
            <w:tcW w:w="1022" w:type="dxa"/>
          </w:tcPr>
          <w:p w14:paraId="1A66D2B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0.349</w:t>
            </w:r>
          </w:p>
        </w:tc>
      </w:tr>
      <w:tr w:rsidR="00703676" w:rsidRPr="00E87351" w14:paraId="278151BD" w14:textId="77777777">
        <w:tc>
          <w:tcPr>
            <w:tcW w:w="5211" w:type="dxa"/>
          </w:tcPr>
          <w:p w14:paraId="5DC54CE0" w14:textId="77777777" w:rsidR="00703676" w:rsidRPr="00E87351" w:rsidRDefault="00AA5AC6">
            <w:pPr>
              <w:shd w:val="clear" w:color="auto" w:fill="FFFFFF"/>
              <w:spacing w:line="360" w:lineRule="auto"/>
              <w:jc w:val="both"/>
              <w:rPr>
                <w:rFonts w:ascii="Book Antiqua" w:hAnsi="Book Antiqua" w:cs="Arial"/>
              </w:rPr>
            </w:pPr>
            <w:r w:rsidRPr="00E87351">
              <w:rPr>
                <w:rFonts w:ascii="Book Antiqua" w:hAnsi="Book Antiqua" w:cs="Arial"/>
                <w:color w:val="000000" w:themeColor="text1"/>
              </w:rPr>
              <w:t xml:space="preserve">Donor ICU stay &gt; 4 d, </w:t>
            </w:r>
            <w:r w:rsidRPr="00E87351">
              <w:rPr>
                <w:rFonts w:ascii="Book Antiqua" w:hAnsi="Book Antiqua" w:cs="Arial"/>
                <w:i/>
              </w:rPr>
              <w:t>n</w:t>
            </w:r>
            <w:r w:rsidRPr="00E87351">
              <w:rPr>
                <w:rFonts w:ascii="Book Antiqua" w:hAnsi="Book Antiqua" w:cs="Arial"/>
              </w:rPr>
              <w:t xml:space="preserve"> (%)</w:t>
            </w:r>
          </w:p>
        </w:tc>
        <w:tc>
          <w:tcPr>
            <w:tcW w:w="1276" w:type="dxa"/>
          </w:tcPr>
          <w:p w14:paraId="7523051D" w14:textId="77777777" w:rsidR="00703676" w:rsidRPr="00E87351" w:rsidRDefault="00AA5AC6">
            <w:pPr>
              <w:tabs>
                <w:tab w:val="center" w:pos="813"/>
                <w:tab w:val="left" w:pos="1620"/>
              </w:tabs>
              <w:spacing w:line="360" w:lineRule="auto"/>
              <w:jc w:val="both"/>
              <w:rPr>
                <w:rFonts w:ascii="Book Antiqua" w:hAnsi="Book Antiqua" w:cs="Arial"/>
              </w:rPr>
            </w:pPr>
            <w:r w:rsidRPr="00E87351">
              <w:rPr>
                <w:rFonts w:ascii="Book Antiqua" w:hAnsi="Book Antiqua" w:cs="Arial"/>
              </w:rPr>
              <w:t>11 (19.2)</w:t>
            </w:r>
          </w:p>
        </w:tc>
        <w:tc>
          <w:tcPr>
            <w:tcW w:w="1418" w:type="dxa"/>
          </w:tcPr>
          <w:p w14:paraId="5B881E46"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22 (25.0)</w:t>
            </w:r>
          </w:p>
        </w:tc>
        <w:tc>
          <w:tcPr>
            <w:tcW w:w="1022" w:type="dxa"/>
          </w:tcPr>
          <w:p w14:paraId="0FFE3D46"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0.088</w:t>
            </w:r>
          </w:p>
        </w:tc>
      </w:tr>
      <w:tr w:rsidR="00703676" w:rsidRPr="00E87351" w14:paraId="1E482AFD" w14:textId="77777777">
        <w:tc>
          <w:tcPr>
            <w:tcW w:w="5211" w:type="dxa"/>
          </w:tcPr>
          <w:p w14:paraId="2729990D" w14:textId="77777777" w:rsidR="00703676" w:rsidRPr="00E87351" w:rsidRDefault="00AA5AC6">
            <w:pPr>
              <w:shd w:val="clear" w:color="auto" w:fill="FFFFFF"/>
              <w:spacing w:line="360" w:lineRule="auto"/>
              <w:jc w:val="both"/>
              <w:rPr>
                <w:rFonts w:ascii="Book Antiqua" w:hAnsi="Book Antiqua" w:cs="Arial"/>
              </w:rPr>
            </w:pPr>
            <w:r w:rsidRPr="00E87351">
              <w:rPr>
                <w:rFonts w:ascii="Book Antiqua" w:hAnsi="Book Antiqua" w:cs="Arial"/>
                <w:color w:val="000000" w:themeColor="text1"/>
              </w:rPr>
              <w:t xml:space="preserve">Donor controlled sepsis, </w:t>
            </w:r>
            <w:r w:rsidRPr="00E87351">
              <w:rPr>
                <w:rFonts w:ascii="Book Antiqua" w:hAnsi="Book Antiqua" w:cs="Arial"/>
                <w:i/>
              </w:rPr>
              <w:t>n</w:t>
            </w:r>
            <w:r w:rsidRPr="00E87351">
              <w:rPr>
                <w:rFonts w:ascii="Book Antiqua" w:hAnsi="Book Antiqua" w:cs="Arial"/>
              </w:rPr>
              <w:t xml:space="preserve"> (%)</w:t>
            </w:r>
          </w:p>
        </w:tc>
        <w:tc>
          <w:tcPr>
            <w:tcW w:w="1276" w:type="dxa"/>
          </w:tcPr>
          <w:p w14:paraId="01E155F4"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05 (8.7)</w:t>
            </w:r>
          </w:p>
        </w:tc>
        <w:tc>
          <w:tcPr>
            <w:tcW w:w="1418" w:type="dxa"/>
          </w:tcPr>
          <w:p w14:paraId="3CAB1708"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11 (12.5)</w:t>
            </w:r>
          </w:p>
        </w:tc>
        <w:tc>
          <w:tcPr>
            <w:tcW w:w="1022" w:type="dxa"/>
          </w:tcPr>
          <w:p w14:paraId="0A9F59E4"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0.061</w:t>
            </w:r>
          </w:p>
        </w:tc>
      </w:tr>
      <w:tr w:rsidR="00703676" w:rsidRPr="00E87351" w14:paraId="348DB99A" w14:textId="77777777">
        <w:tc>
          <w:tcPr>
            <w:tcW w:w="5211" w:type="dxa"/>
          </w:tcPr>
          <w:p w14:paraId="51A5F75D" w14:textId="77777777" w:rsidR="00703676" w:rsidRPr="00E87351" w:rsidRDefault="00AA5AC6">
            <w:pPr>
              <w:shd w:val="clear" w:color="auto" w:fill="FFFFFF"/>
              <w:spacing w:line="360" w:lineRule="auto"/>
              <w:jc w:val="both"/>
              <w:rPr>
                <w:rFonts w:ascii="Book Antiqua" w:hAnsi="Book Antiqua" w:cs="Arial"/>
              </w:rPr>
            </w:pPr>
            <w:r w:rsidRPr="00E87351">
              <w:rPr>
                <w:rFonts w:ascii="Book Antiqua" w:hAnsi="Book Antiqua" w:cs="Arial"/>
                <w:color w:val="000000" w:themeColor="text1"/>
              </w:rPr>
              <w:t xml:space="preserve">History of alcoholism of donor, </w:t>
            </w:r>
            <w:r w:rsidRPr="00E87351">
              <w:rPr>
                <w:rFonts w:ascii="Book Antiqua" w:hAnsi="Book Antiqua" w:cs="Arial"/>
                <w:i/>
              </w:rPr>
              <w:t>n</w:t>
            </w:r>
            <w:r w:rsidRPr="00E87351">
              <w:rPr>
                <w:rFonts w:ascii="Book Antiqua" w:hAnsi="Book Antiqua" w:cs="Arial"/>
              </w:rPr>
              <w:t xml:space="preserve"> (%)</w:t>
            </w:r>
          </w:p>
        </w:tc>
        <w:tc>
          <w:tcPr>
            <w:tcW w:w="1276" w:type="dxa"/>
          </w:tcPr>
          <w:p w14:paraId="670F8140"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08 (14.0)</w:t>
            </w:r>
          </w:p>
        </w:tc>
        <w:tc>
          <w:tcPr>
            <w:tcW w:w="1418" w:type="dxa"/>
          </w:tcPr>
          <w:p w14:paraId="58DE659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15 (17.0)</w:t>
            </w:r>
          </w:p>
        </w:tc>
        <w:tc>
          <w:tcPr>
            <w:tcW w:w="1022" w:type="dxa"/>
          </w:tcPr>
          <w:p w14:paraId="66ED316B"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0.255</w:t>
            </w:r>
          </w:p>
        </w:tc>
      </w:tr>
      <w:tr w:rsidR="00703676" w:rsidRPr="00E87351" w14:paraId="09FFC827" w14:textId="77777777">
        <w:tc>
          <w:tcPr>
            <w:tcW w:w="5211" w:type="dxa"/>
          </w:tcPr>
          <w:p w14:paraId="3C1619B8" w14:textId="77777777" w:rsidR="00703676" w:rsidRPr="00E87351" w:rsidRDefault="00AA5AC6">
            <w:pPr>
              <w:shd w:val="clear" w:color="auto" w:fill="FFFFFF"/>
              <w:spacing w:line="360" w:lineRule="auto"/>
              <w:jc w:val="both"/>
              <w:rPr>
                <w:rFonts w:ascii="Book Antiqua" w:hAnsi="Book Antiqua" w:cs="Arial"/>
                <w:color w:val="000000" w:themeColor="text1"/>
              </w:rPr>
            </w:pPr>
            <w:r w:rsidRPr="00E87351">
              <w:rPr>
                <w:rFonts w:ascii="Book Antiqua" w:hAnsi="Book Antiqua" w:cs="Arial"/>
                <w:color w:val="000000" w:themeColor="text1"/>
              </w:rPr>
              <w:t>Donor sCr &gt; 1</w:t>
            </w:r>
            <w:r w:rsidRPr="00E87351">
              <w:rPr>
                <w:rFonts w:ascii="Book Antiqua" w:hAnsi="Book Antiqua" w:cs="Arial" w:hint="eastAsia"/>
                <w:color w:val="000000" w:themeColor="text1"/>
                <w:lang w:eastAsia="zh-CN"/>
              </w:rPr>
              <w:t>.</w:t>
            </w:r>
            <w:r w:rsidRPr="00E87351">
              <w:rPr>
                <w:rFonts w:ascii="Book Antiqua" w:hAnsi="Book Antiqua" w:cs="Arial"/>
                <w:color w:val="000000" w:themeColor="text1"/>
              </w:rPr>
              <w:t xml:space="preserve">2 mg/dL, </w:t>
            </w:r>
            <w:r w:rsidRPr="00E87351">
              <w:rPr>
                <w:rFonts w:ascii="Book Antiqua" w:hAnsi="Book Antiqua" w:cs="Arial"/>
                <w:i/>
              </w:rPr>
              <w:t>n</w:t>
            </w:r>
            <w:r w:rsidRPr="00E87351">
              <w:rPr>
                <w:rFonts w:ascii="Book Antiqua" w:hAnsi="Book Antiqua" w:cs="Arial"/>
              </w:rPr>
              <w:t xml:space="preserve"> (%)</w:t>
            </w:r>
            <w:r w:rsidRPr="00E87351">
              <w:rPr>
                <w:rFonts w:ascii="Book Antiqua" w:hAnsi="Book Antiqua" w:cs="Arial"/>
                <w:color w:val="000000" w:themeColor="text1"/>
              </w:rPr>
              <w:t xml:space="preserve"> </w:t>
            </w:r>
          </w:p>
        </w:tc>
        <w:tc>
          <w:tcPr>
            <w:tcW w:w="1276" w:type="dxa"/>
          </w:tcPr>
          <w:p w14:paraId="36E57A57"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16 (28.0)</w:t>
            </w:r>
          </w:p>
        </w:tc>
        <w:tc>
          <w:tcPr>
            <w:tcW w:w="1418" w:type="dxa"/>
          </w:tcPr>
          <w:p w14:paraId="1C9334E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31 (35.2)</w:t>
            </w:r>
          </w:p>
        </w:tc>
        <w:tc>
          <w:tcPr>
            <w:tcW w:w="1022" w:type="dxa"/>
          </w:tcPr>
          <w:p w14:paraId="566208FD"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0.024</w:t>
            </w:r>
          </w:p>
        </w:tc>
      </w:tr>
      <w:tr w:rsidR="00703676" w:rsidRPr="00E87351" w14:paraId="0D14034D" w14:textId="77777777">
        <w:tc>
          <w:tcPr>
            <w:tcW w:w="5211" w:type="dxa"/>
          </w:tcPr>
          <w:p w14:paraId="34AE2569" w14:textId="77777777" w:rsidR="00703676" w:rsidRPr="00E87351" w:rsidRDefault="00AA5AC6">
            <w:pPr>
              <w:shd w:val="clear" w:color="auto" w:fill="FFFFFF"/>
              <w:spacing w:line="360" w:lineRule="auto"/>
              <w:jc w:val="both"/>
              <w:rPr>
                <w:rFonts w:ascii="Book Antiqua" w:hAnsi="Book Antiqua" w:cs="Arial"/>
                <w:color w:val="000000" w:themeColor="text1"/>
              </w:rPr>
            </w:pPr>
            <w:r w:rsidRPr="00E87351">
              <w:rPr>
                <w:rFonts w:ascii="Book Antiqua" w:hAnsi="Book Antiqua" w:cs="Arial"/>
                <w:color w:val="000000" w:themeColor="text1"/>
              </w:rPr>
              <w:t xml:space="preserve">Donor hypotensive episodes (&lt; 60 mmHg) &gt; 1 h, </w:t>
            </w:r>
            <w:r w:rsidRPr="00E87351">
              <w:rPr>
                <w:rFonts w:ascii="Book Antiqua" w:hAnsi="Book Antiqua" w:cs="Arial"/>
                <w:i/>
              </w:rPr>
              <w:t>n</w:t>
            </w:r>
            <w:r w:rsidRPr="00E87351">
              <w:rPr>
                <w:rFonts w:ascii="Book Antiqua" w:hAnsi="Book Antiqua" w:cs="Arial"/>
              </w:rPr>
              <w:t xml:space="preserve"> (%)</w:t>
            </w:r>
          </w:p>
        </w:tc>
        <w:tc>
          <w:tcPr>
            <w:tcW w:w="1276" w:type="dxa"/>
          </w:tcPr>
          <w:p w14:paraId="17DDEB30"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10 (17.5)</w:t>
            </w:r>
          </w:p>
        </w:tc>
        <w:tc>
          <w:tcPr>
            <w:tcW w:w="1418" w:type="dxa"/>
          </w:tcPr>
          <w:p w14:paraId="37945333"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18 (20.4)</w:t>
            </w:r>
          </w:p>
        </w:tc>
        <w:tc>
          <w:tcPr>
            <w:tcW w:w="1022" w:type="dxa"/>
          </w:tcPr>
          <w:p w14:paraId="50489F4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0.127</w:t>
            </w:r>
          </w:p>
        </w:tc>
      </w:tr>
      <w:tr w:rsidR="00703676" w:rsidRPr="00E87351" w14:paraId="698CC1FD" w14:textId="77777777">
        <w:tc>
          <w:tcPr>
            <w:tcW w:w="5211" w:type="dxa"/>
          </w:tcPr>
          <w:p w14:paraId="53CF4889" w14:textId="77777777" w:rsidR="00703676" w:rsidRPr="00E87351" w:rsidRDefault="00AA5AC6">
            <w:pPr>
              <w:shd w:val="clear" w:color="auto" w:fill="FFFFFF"/>
              <w:spacing w:line="360" w:lineRule="auto"/>
              <w:jc w:val="both"/>
              <w:rPr>
                <w:rFonts w:ascii="Book Antiqua" w:hAnsi="Book Antiqua" w:cs="Arial"/>
                <w:color w:val="000000" w:themeColor="text1"/>
              </w:rPr>
            </w:pPr>
            <w:r w:rsidRPr="00E87351">
              <w:rPr>
                <w:rFonts w:ascii="Book Antiqua" w:hAnsi="Book Antiqua" w:cs="Arial"/>
                <w:color w:val="000000" w:themeColor="text1"/>
              </w:rPr>
              <w:t xml:space="preserve">Donor serum bilirubin &gt; 2.0 mg/dL, </w:t>
            </w:r>
            <w:r w:rsidRPr="00E87351">
              <w:rPr>
                <w:rFonts w:ascii="Book Antiqua" w:hAnsi="Book Antiqua" w:cs="Arial"/>
                <w:i/>
              </w:rPr>
              <w:t>n</w:t>
            </w:r>
            <w:r w:rsidRPr="00E87351">
              <w:rPr>
                <w:rFonts w:ascii="Book Antiqua" w:hAnsi="Book Antiqua" w:cs="Arial"/>
              </w:rPr>
              <w:t xml:space="preserve"> (%)</w:t>
            </w:r>
          </w:p>
        </w:tc>
        <w:tc>
          <w:tcPr>
            <w:tcW w:w="1276" w:type="dxa"/>
          </w:tcPr>
          <w:p w14:paraId="521E8603"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25 (43.8)</w:t>
            </w:r>
          </w:p>
        </w:tc>
        <w:tc>
          <w:tcPr>
            <w:tcW w:w="1418" w:type="dxa"/>
          </w:tcPr>
          <w:p w14:paraId="7807FD8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48 (54.5)</w:t>
            </w:r>
          </w:p>
        </w:tc>
        <w:tc>
          <w:tcPr>
            <w:tcW w:w="1022" w:type="dxa"/>
          </w:tcPr>
          <w:p w14:paraId="6596E99B"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0.087</w:t>
            </w:r>
          </w:p>
        </w:tc>
      </w:tr>
      <w:tr w:rsidR="00703676" w:rsidRPr="00E87351" w14:paraId="49921C25" w14:textId="77777777">
        <w:tc>
          <w:tcPr>
            <w:tcW w:w="5211" w:type="dxa"/>
          </w:tcPr>
          <w:p w14:paraId="57FAE937" w14:textId="77777777" w:rsidR="00703676" w:rsidRPr="00E87351" w:rsidRDefault="00AA5AC6">
            <w:pPr>
              <w:shd w:val="clear" w:color="auto" w:fill="FFFFFF"/>
              <w:spacing w:line="360" w:lineRule="auto"/>
              <w:jc w:val="both"/>
              <w:rPr>
                <w:rFonts w:ascii="Book Antiqua" w:hAnsi="Book Antiqua" w:cs="Arial"/>
                <w:color w:val="000000" w:themeColor="text1"/>
              </w:rPr>
            </w:pPr>
            <w:r w:rsidRPr="00E87351">
              <w:rPr>
                <w:rFonts w:ascii="Book Antiqua" w:hAnsi="Book Antiqua" w:cs="Arial"/>
                <w:color w:val="000000" w:themeColor="text1"/>
              </w:rPr>
              <w:t xml:space="preserve">Donor serum ALT &gt; 170 U/L, </w:t>
            </w:r>
            <w:r w:rsidRPr="00E87351">
              <w:rPr>
                <w:rFonts w:ascii="Book Antiqua" w:hAnsi="Book Antiqua" w:cs="Arial"/>
                <w:i/>
              </w:rPr>
              <w:t>n</w:t>
            </w:r>
            <w:r w:rsidRPr="00E87351">
              <w:rPr>
                <w:rFonts w:ascii="Book Antiqua" w:hAnsi="Book Antiqua" w:cs="Arial"/>
              </w:rPr>
              <w:t xml:space="preserve"> (%)</w:t>
            </w:r>
          </w:p>
        </w:tc>
        <w:tc>
          <w:tcPr>
            <w:tcW w:w="1276" w:type="dxa"/>
          </w:tcPr>
          <w:p w14:paraId="4FD1C8CF"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11 (19.2)</w:t>
            </w:r>
          </w:p>
        </w:tc>
        <w:tc>
          <w:tcPr>
            <w:tcW w:w="1418" w:type="dxa"/>
          </w:tcPr>
          <w:p w14:paraId="3E118145"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22 (25.0)</w:t>
            </w:r>
          </w:p>
        </w:tc>
        <w:tc>
          <w:tcPr>
            <w:tcW w:w="1022" w:type="dxa"/>
          </w:tcPr>
          <w:p w14:paraId="40990643"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0.073</w:t>
            </w:r>
          </w:p>
        </w:tc>
      </w:tr>
      <w:tr w:rsidR="00703676" w:rsidRPr="00E87351" w14:paraId="65555425" w14:textId="77777777">
        <w:tc>
          <w:tcPr>
            <w:tcW w:w="5211" w:type="dxa"/>
          </w:tcPr>
          <w:p w14:paraId="054E8F30" w14:textId="77777777" w:rsidR="00703676" w:rsidRPr="00E87351" w:rsidRDefault="00AA5AC6">
            <w:pPr>
              <w:shd w:val="clear" w:color="auto" w:fill="FFFFFF"/>
              <w:spacing w:line="360" w:lineRule="auto"/>
              <w:jc w:val="both"/>
              <w:rPr>
                <w:rFonts w:ascii="Book Antiqua" w:hAnsi="Book Antiqua" w:cs="Arial"/>
                <w:color w:val="000000" w:themeColor="text1"/>
              </w:rPr>
            </w:pPr>
            <w:r w:rsidRPr="00E87351">
              <w:rPr>
                <w:rFonts w:ascii="Book Antiqua" w:hAnsi="Book Antiqua" w:cs="Arial"/>
                <w:color w:val="000000" w:themeColor="text1"/>
              </w:rPr>
              <w:t xml:space="preserve">Donor serum AST &gt; 140 U/L, </w:t>
            </w:r>
            <w:r w:rsidRPr="00E87351">
              <w:rPr>
                <w:rFonts w:ascii="Book Antiqua" w:hAnsi="Book Antiqua" w:cs="Arial"/>
                <w:i/>
              </w:rPr>
              <w:t>n</w:t>
            </w:r>
            <w:r w:rsidRPr="00E87351">
              <w:rPr>
                <w:rFonts w:ascii="Book Antiqua" w:hAnsi="Book Antiqua" w:cs="Arial"/>
              </w:rPr>
              <w:t xml:space="preserve"> (%)</w:t>
            </w:r>
          </w:p>
        </w:tc>
        <w:tc>
          <w:tcPr>
            <w:tcW w:w="1276" w:type="dxa"/>
          </w:tcPr>
          <w:p w14:paraId="31D7CC73"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05 (8.7)</w:t>
            </w:r>
          </w:p>
        </w:tc>
        <w:tc>
          <w:tcPr>
            <w:tcW w:w="1418" w:type="dxa"/>
          </w:tcPr>
          <w:p w14:paraId="3ECB3178"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13 (14.7)</w:t>
            </w:r>
          </w:p>
        </w:tc>
        <w:tc>
          <w:tcPr>
            <w:tcW w:w="1022" w:type="dxa"/>
          </w:tcPr>
          <w:p w14:paraId="14358C55"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0.023</w:t>
            </w:r>
          </w:p>
        </w:tc>
      </w:tr>
      <w:tr w:rsidR="00703676" w:rsidRPr="00E87351" w14:paraId="3BCBA799" w14:textId="77777777">
        <w:tc>
          <w:tcPr>
            <w:tcW w:w="5211" w:type="dxa"/>
          </w:tcPr>
          <w:p w14:paraId="158A0349" w14:textId="77777777" w:rsidR="00703676" w:rsidRPr="00E87351" w:rsidRDefault="00AA5AC6">
            <w:pPr>
              <w:shd w:val="clear" w:color="auto" w:fill="FFFFFF"/>
              <w:spacing w:line="360" w:lineRule="auto"/>
              <w:jc w:val="both"/>
              <w:rPr>
                <w:rFonts w:ascii="Book Antiqua" w:hAnsi="Book Antiqua" w:cs="Arial"/>
                <w:color w:val="000000" w:themeColor="text1"/>
              </w:rPr>
            </w:pPr>
            <w:r w:rsidRPr="00E87351">
              <w:rPr>
                <w:rFonts w:ascii="Book Antiqua" w:hAnsi="Book Antiqua" w:cs="Arial"/>
                <w:color w:val="000000" w:themeColor="text1"/>
              </w:rPr>
              <w:t xml:space="preserve">Use of dopamine doses &gt; 10 microg/kg per min, </w:t>
            </w:r>
            <w:r w:rsidRPr="00E87351">
              <w:rPr>
                <w:rFonts w:ascii="Book Antiqua" w:hAnsi="Book Antiqua" w:cs="Arial"/>
                <w:i/>
              </w:rPr>
              <w:t xml:space="preserve">n </w:t>
            </w:r>
            <w:r w:rsidRPr="00E87351">
              <w:rPr>
                <w:rFonts w:ascii="Book Antiqua" w:hAnsi="Book Antiqua" w:cs="Arial"/>
              </w:rPr>
              <w:t>(%)</w:t>
            </w:r>
          </w:p>
        </w:tc>
        <w:tc>
          <w:tcPr>
            <w:tcW w:w="1276" w:type="dxa"/>
          </w:tcPr>
          <w:p w14:paraId="6AACB3F3"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10 (17.5)</w:t>
            </w:r>
          </w:p>
        </w:tc>
        <w:tc>
          <w:tcPr>
            <w:tcW w:w="1418" w:type="dxa"/>
          </w:tcPr>
          <w:p w14:paraId="7E806676"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13 (14.7)</w:t>
            </w:r>
          </w:p>
        </w:tc>
        <w:tc>
          <w:tcPr>
            <w:tcW w:w="1022" w:type="dxa"/>
          </w:tcPr>
          <w:p w14:paraId="1EE7C05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0.176</w:t>
            </w:r>
          </w:p>
        </w:tc>
      </w:tr>
      <w:tr w:rsidR="00703676" w:rsidRPr="00E87351" w14:paraId="7C6468B4" w14:textId="77777777">
        <w:tc>
          <w:tcPr>
            <w:tcW w:w="5211" w:type="dxa"/>
          </w:tcPr>
          <w:p w14:paraId="0EE95D12" w14:textId="77777777" w:rsidR="00703676" w:rsidRPr="00E87351" w:rsidRDefault="00AA5AC6">
            <w:pPr>
              <w:shd w:val="clear" w:color="auto" w:fill="FFFFFF"/>
              <w:spacing w:line="360" w:lineRule="auto"/>
              <w:jc w:val="both"/>
              <w:rPr>
                <w:rFonts w:ascii="Book Antiqua" w:hAnsi="Book Antiqua" w:cs="Arial"/>
                <w:color w:val="000000" w:themeColor="text1"/>
              </w:rPr>
            </w:pPr>
            <w:r w:rsidRPr="00E87351">
              <w:rPr>
                <w:rFonts w:ascii="Book Antiqua" w:hAnsi="Book Antiqua" w:cs="Arial"/>
                <w:color w:val="000000" w:themeColor="text1"/>
              </w:rPr>
              <w:t xml:space="preserve">Donor peak serum sodium &gt; 155 mEq/L, </w:t>
            </w:r>
            <w:r w:rsidRPr="00E87351">
              <w:rPr>
                <w:rFonts w:ascii="Book Antiqua" w:hAnsi="Book Antiqua" w:cs="Arial"/>
                <w:i/>
              </w:rPr>
              <w:t xml:space="preserve">n </w:t>
            </w:r>
            <w:r w:rsidRPr="00E87351">
              <w:rPr>
                <w:rFonts w:ascii="Book Antiqua" w:hAnsi="Book Antiqua" w:cs="Arial"/>
              </w:rPr>
              <w:t>(%)</w:t>
            </w:r>
          </w:p>
        </w:tc>
        <w:tc>
          <w:tcPr>
            <w:tcW w:w="1276" w:type="dxa"/>
          </w:tcPr>
          <w:p w14:paraId="29A42FC4"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02 (3.5)</w:t>
            </w:r>
          </w:p>
        </w:tc>
        <w:tc>
          <w:tcPr>
            <w:tcW w:w="1418" w:type="dxa"/>
          </w:tcPr>
          <w:p w14:paraId="1AC93CD6"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5 (5.6)</w:t>
            </w:r>
          </w:p>
        </w:tc>
        <w:tc>
          <w:tcPr>
            <w:tcW w:w="1022" w:type="dxa"/>
          </w:tcPr>
          <w:p w14:paraId="352F8DEC" w14:textId="77777777" w:rsidR="00703676" w:rsidRPr="00E87351" w:rsidRDefault="00AA5AC6">
            <w:pPr>
              <w:spacing w:line="360" w:lineRule="auto"/>
              <w:jc w:val="both"/>
              <w:rPr>
                <w:rFonts w:ascii="Book Antiqua" w:hAnsi="Book Antiqua" w:cs="Arial"/>
                <w:bCs/>
              </w:rPr>
            </w:pPr>
            <w:r w:rsidRPr="00E87351">
              <w:rPr>
                <w:rFonts w:ascii="Book Antiqua" w:hAnsi="Book Antiqua" w:cs="Arial"/>
                <w:bCs/>
              </w:rPr>
              <w:t>0.219</w:t>
            </w:r>
          </w:p>
        </w:tc>
      </w:tr>
      <w:tr w:rsidR="00703676" w:rsidRPr="00E87351" w14:paraId="7149001E" w14:textId="77777777">
        <w:tc>
          <w:tcPr>
            <w:tcW w:w="5211" w:type="dxa"/>
          </w:tcPr>
          <w:p w14:paraId="3311B6A8" w14:textId="77777777" w:rsidR="00703676" w:rsidRPr="00E87351" w:rsidRDefault="00AA5AC6">
            <w:pPr>
              <w:shd w:val="clear" w:color="auto" w:fill="FFFFFF"/>
              <w:spacing w:line="360" w:lineRule="auto"/>
              <w:jc w:val="both"/>
              <w:rPr>
                <w:rFonts w:ascii="Book Antiqua" w:hAnsi="Book Antiqua" w:cs="Arial"/>
                <w:color w:val="000000" w:themeColor="text1"/>
              </w:rPr>
            </w:pPr>
            <w:r w:rsidRPr="00E87351">
              <w:rPr>
                <w:rFonts w:ascii="Book Antiqua" w:hAnsi="Book Antiqua" w:cs="Arial"/>
                <w:color w:val="000000" w:themeColor="text1"/>
              </w:rPr>
              <w:t>ECD (3 or more factors above),</w:t>
            </w:r>
            <w:r w:rsidRPr="00E87351">
              <w:rPr>
                <w:rFonts w:ascii="Book Antiqua" w:hAnsi="Book Antiqua" w:cs="Arial"/>
                <w:i/>
                <w:color w:val="000000" w:themeColor="text1"/>
              </w:rPr>
              <w:t xml:space="preserve"> </w:t>
            </w:r>
            <w:r w:rsidRPr="00E87351">
              <w:rPr>
                <w:rFonts w:ascii="Book Antiqua" w:hAnsi="Book Antiqua" w:cs="Arial"/>
                <w:i/>
              </w:rPr>
              <w:t>n</w:t>
            </w:r>
            <w:r w:rsidRPr="00E87351">
              <w:rPr>
                <w:rFonts w:ascii="Book Antiqua" w:hAnsi="Book Antiqua" w:cs="Arial"/>
              </w:rPr>
              <w:t xml:space="preserve"> (%)</w:t>
            </w:r>
          </w:p>
        </w:tc>
        <w:tc>
          <w:tcPr>
            <w:tcW w:w="1276" w:type="dxa"/>
          </w:tcPr>
          <w:p w14:paraId="499908D9"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07 (12.2)</w:t>
            </w:r>
          </w:p>
        </w:tc>
        <w:tc>
          <w:tcPr>
            <w:tcW w:w="1418" w:type="dxa"/>
          </w:tcPr>
          <w:p w14:paraId="0EF5410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31 (35.2)</w:t>
            </w:r>
          </w:p>
        </w:tc>
        <w:tc>
          <w:tcPr>
            <w:tcW w:w="1022" w:type="dxa"/>
          </w:tcPr>
          <w:p w14:paraId="71CD6FDA"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&lt; 0.001</w:t>
            </w:r>
          </w:p>
        </w:tc>
      </w:tr>
    </w:tbl>
    <w:p w14:paraId="18967DE8" w14:textId="77777777" w:rsidR="00703676" w:rsidRPr="00E87351" w:rsidRDefault="00AA5AC6">
      <w:pPr>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AKI: Acute kidney injury; LT: Liver transplantation; BMI: Body mass index; GCIT: Graft cold ischemia times; GWIT: Graft warm ischemia times; ICU: Intensive care unit: sCr: Serum creatinine; ALT: Alanine transaminase; AST: Aspartate transaminase; ECD: Extended criteria donor.</w:t>
      </w:r>
    </w:p>
    <w:p w14:paraId="6068DC42" w14:textId="77777777" w:rsidR="00703676" w:rsidRPr="00E87351" w:rsidRDefault="00AA5AC6">
      <w:pPr>
        <w:spacing w:after="200" w:line="276" w:lineRule="auto"/>
        <w:rPr>
          <w:rFonts w:ascii="Book Antiqua" w:eastAsia="Times New Roman" w:hAnsi="Book Antiqua" w:cs="Arial"/>
          <w:lang w:eastAsia="pt-BR"/>
        </w:rPr>
      </w:pPr>
      <w:r w:rsidRPr="00E87351">
        <w:rPr>
          <w:rFonts w:ascii="Book Antiqua" w:eastAsia="Times New Roman" w:hAnsi="Book Antiqua" w:cs="Arial"/>
          <w:lang w:eastAsia="pt-BR"/>
        </w:rPr>
        <w:br w:type="page"/>
      </w:r>
    </w:p>
    <w:p w14:paraId="31D6CBE9" w14:textId="77777777" w:rsidR="00703676" w:rsidRPr="00E87351" w:rsidRDefault="00AA5AC6">
      <w:pPr>
        <w:spacing w:line="360" w:lineRule="auto"/>
        <w:jc w:val="both"/>
        <w:rPr>
          <w:rFonts w:ascii="Book Antiqua" w:hAnsi="Book Antiqua" w:cs="Arial"/>
          <w:b/>
          <w:lang w:eastAsia="zh-CN"/>
        </w:rPr>
      </w:pPr>
      <w:r w:rsidRPr="00E87351">
        <w:rPr>
          <w:rFonts w:ascii="Book Antiqua" w:eastAsia="Times New Roman" w:hAnsi="Book Antiqua" w:cs="Arial"/>
          <w:b/>
          <w:lang w:eastAsia="pt-BR"/>
        </w:rPr>
        <w:lastRenderedPageBreak/>
        <w:t>Table 7</w:t>
      </w:r>
      <w:r w:rsidRPr="00E87351">
        <w:rPr>
          <w:rFonts w:ascii="Book Antiqua" w:hAnsi="Book Antiqua" w:cs="Arial" w:hint="eastAsia"/>
          <w:b/>
          <w:lang w:eastAsia="zh-CN"/>
        </w:rPr>
        <w:t xml:space="preserve"> </w:t>
      </w:r>
      <w:r w:rsidRPr="00E87351">
        <w:rPr>
          <w:rFonts w:ascii="Book Antiqua" w:eastAsia="Times New Roman" w:hAnsi="Book Antiqua" w:cs="Arial"/>
          <w:b/>
          <w:lang w:eastAsia="pt-BR"/>
        </w:rPr>
        <w:t xml:space="preserve">Intraoperative events in 145 deceased-donor liver transplantations according to the occurrence of postoperative </w:t>
      </w:r>
      <w:r w:rsidRPr="00E87351">
        <w:rPr>
          <w:rFonts w:ascii="Book Antiqua" w:hAnsi="Book Antiqua" w:cs="Arial" w:hint="eastAsia"/>
          <w:b/>
          <w:iCs/>
          <w:lang w:eastAsia="zh-CN"/>
        </w:rPr>
        <w:t>a</w:t>
      </w:r>
      <w:r w:rsidRPr="00E87351">
        <w:rPr>
          <w:rFonts w:ascii="Book Antiqua" w:eastAsia="Times New Roman" w:hAnsi="Book Antiqua" w:cs="Arial"/>
          <w:b/>
          <w:iCs/>
          <w:lang w:eastAsia="pt-BR"/>
        </w:rPr>
        <w:t>cute kidney injury</w:t>
      </w:r>
    </w:p>
    <w:tbl>
      <w:tblPr>
        <w:tblStyle w:val="ae"/>
        <w:tblW w:w="889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59"/>
        <w:gridCol w:w="1728"/>
        <w:gridCol w:w="1418"/>
        <w:gridCol w:w="992"/>
      </w:tblGrid>
      <w:tr w:rsidR="00703676" w:rsidRPr="00E87351" w14:paraId="7B39F3EE" w14:textId="77777777">
        <w:trPr>
          <w:trHeight w:val="499"/>
        </w:trPr>
        <w:tc>
          <w:tcPr>
            <w:tcW w:w="4759" w:type="dxa"/>
            <w:tcBorders>
              <w:top w:val="single" w:sz="4" w:space="0" w:color="auto"/>
              <w:bottom w:val="single" w:sz="4" w:space="0" w:color="auto"/>
            </w:tcBorders>
          </w:tcPr>
          <w:p w14:paraId="18596DC2" w14:textId="77777777" w:rsidR="00703676" w:rsidRPr="00E87351" w:rsidRDefault="00703676">
            <w:pPr>
              <w:spacing w:line="360" w:lineRule="auto"/>
              <w:jc w:val="both"/>
              <w:rPr>
                <w:rFonts w:ascii="Book Antiqua" w:hAnsi="Book Antiqua" w:cs="Arial"/>
                <w:b/>
              </w:rPr>
            </w:pPr>
          </w:p>
        </w:tc>
        <w:tc>
          <w:tcPr>
            <w:tcW w:w="1728" w:type="dxa"/>
            <w:tcBorders>
              <w:top w:val="single" w:sz="4" w:space="0" w:color="auto"/>
              <w:bottom w:val="single" w:sz="4" w:space="0" w:color="auto"/>
            </w:tcBorders>
          </w:tcPr>
          <w:p w14:paraId="39D46339" w14:textId="77777777" w:rsidR="00703676" w:rsidRPr="00E87351" w:rsidRDefault="00AA5AC6">
            <w:pPr>
              <w:spacing w:line="360" w:lineRule="auto"/>
              <w:jc w:val="both"/>
              <w:rPr>
                <w:rFonts w:ascii="Book Antiqua" w:hAnsi="Book Antiqua" w:cs="Arial"/>
                <w:b/>
              </w:rPr>
            </w:pPr>
            <w:r w:rsidRPr="00E87351">
              <w:rPr>
                <w:rFonts w:ascii="Book Antiqua" w:hAnsi="Book Antiqua" w:cs="Arial"/>
                <w:b/>
              </w:rPr>
              <w:t>Without AKI (</w:t>
            </w:r>
            <w:r w:rsidRPr="00E87351">
              <w:rPr>
                <w:rFonts w:ascii="Book Antiqua" w:hAnsi="Book Antiqua" w:cs="Arial"/>
                <w:b/>
                <w:i/>
              </w:rPr>
              <w:t>n</w:t>
            </w:r>
            <w:r w:rsidRPr="00E87351">
              <w:rPr>
                <w:rFonts w:ascii="Book Antiqua" w:hAnsi="Book Antiqua" w:cs="Arial"/>
                <w:b/>
              </w:rPr>
              <w:t xml:space="preserve"> = 57)</w:t>
            </w:r>
          </w:p>
        </w:tc>
        <w:tc>
          <w:tcPr>
            <w:tcW w:w="1418" w:type="dxa"/>
            <w:tcBorders>
              <w:top w:val="single" w:sz="4" w:space="0" w:color="auto"/>
              <w:bottom w:val="single" w:sz="4" w:space="0" w:color="auto"/>
            </w:tcBorders>
          </w:tcPr>
          <w:p w14:paraId="23EF60F1" w14:textId="77777777" w:rsidR="00703676" w:rsidRPr="00E87351" w:rsidRDefault="00AA5AC6">
            <w:pPr>
              <w:spacing w:line="360" w:lineRule="auto"/>
              <w:jc w:val="both"/>
              <w:rPr>
                <w:rFonts w:ascii="Book Antiqua" w:hAnsi="Book Antiqua" w:cs="Arial"/>
                <w:b/>
                <w:lang w:eastAsia="zh-CN"/>
              </w:rPr>
            </w:pPr>
            <w:r w:rsidRPr="00E87351">
              <w:rPr>
                <w:rFonts w:ascii="Book Antiqua" w:hAnsi="Book Antiqua" w:cs="Arial"/>
                <w:b/>
              </w:rPr>
              <w:t>With AKI</w:t>
            </w:r>
            <w:r w:rsidRPr="00E87351">
              <w:rPr>
                <w:rFonts w:ascii="Book Antiqua" w:hAnsi="Book Antiqua" w:cs="Arial" w:hint="eastAsia"/>
                <w:b/>
                <w:lang w:eastAsia="zh-CN"/>
              </w:rPr>
              <w:t xml:space="preserve"> </w:t>
            </w:r>
          </w:p>
          <w:p w14:paraId="3166D239" w14:textId="77777777" w:rsidR="00703676" w:rsidRPr="00E87351" w:rsidRDefault="00AA5AC6">
            <w:pPr>
              <w:spacing w:line="360" w:lineRule="auto"/>
              <w:jc w:val="both"/>
              <w:rPr>
                <w:rFonts w:ascii="Book Antiqua" w:hAnsi="Book Antiqua" w:cs="Arial"/>
                <w:b/>
              </w:rPr>
            </w:pPr>
            <w:r w:rsidRPr="00E87351">
              <w:rPr>
                <w:rFonts w:ascii="Book Antiqua" w:hAnsi="Book Antiqua" w:cs="Arial"/>
                <w:b/>
              </w:rPr>
              <w:t>(</w:t>
            </w:r>
            <w:r w:rsidRPr="00E87351">
              <w:rPr>
                <w:rFonts w:ascii="Book Antiqua" w:hAnsi="Book Antiqua" w:cs="Arial"/>
                <w:b/>
                <w:i/>
              </w:rPr>
              <w:t>n</w:t>
            </w:r>
            <w:r w:rsidRPr="00E87351">
              <w:rPr>
                <w:rFonts w:ascii="Book Antiqua" w:hAnsi="Book Antiqua" w:cs="Arial"/>
                <w:b/>
              </w:rPr>
              <w:t xml:space="preserve"> = 88)</w:t>
            </w:r>
          </w:p>
        </w:tc>
        <w:tc>
          <w:tcPr>
            <w:tcW w:w="992" w:type="dxa"/>
            <w:tcBorders>
              <w:top w:val="single" w:sz="4" w:space="0" w:color="auto"/>
              <w:bottom w:val="single" w:sz="4" w:space="0" w:color="auto"/>
            </w:tcBorders>
          </w:tcPr>
          <w:p w14:paraId="509B91EC" w14:textId="77777777" w:rsidR="00703676" w:rsidRPr="00E87351" w:rsidRDefault="00AA5AC6">
            <w:pPr>
              <w:spacing w:line="360" w:lineRule="auto"/>
              <w:jc w:val="both"/>
              <w:rPr>
                <w:rFonts w:ascii="Book Antiqua" w:hAnsi="Book Antiqua" w:cs="Arial"/>
                <w:b/>
                <w:i/>
                <w:lang w:eastAsia="zh-CN"/>
              </w:rPr>
            </w:pPr>
            <w:r w:rsidRPr="00E87351">
              <w:rPr>
                <w:rFonts w:ascii="Book Antiqua" w:hAnsi="Book Antiqua" w:cs="Arial" w:hint="eastAsia"/>
                <w:b/>
                <w:i/>
                <w:lang w:eastAsia="zh-CN"/>
              </w:rPr>
              <w:t xml:space="preserve">P </w:t>
            </w:r>
            <w:r w:rsidRPr="00E87351">
              <w:rPr>
                <w:rFonts w:ascii="Book Antiqua" w:hAnsi="Book Antiqua" w:cs="Arial" w:hint="eastAsia"/>
                <w:b/>
                <w:lang w:eastAsia="zh-CN"/>
              </w:rPr>
              <w:t>value</w:t>
            </w:r>
          </w:p>
        </w:tc>
      </w:tr>
      <w:tr w:rsidR="00703676" w:rsidRPr="00E87351" w14:paraId="1030D303" w14:textId="77777777">
        <w:trPr>
          <w:trHeight w:val="440"/>
        </w:trPr>
        <w:tc>
          <w:tcPr>
            <w:tcW w:w="4759" w:type="dxa"/>
            <w:tcBorders>
              <w:top w:val="single" w:sz="4" w:space="0" w:color="auto"/>
            </w:tcBorders>
          </w:tcPr>
          <w:p w14:paraId="794FF28F"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IOAH (bleeding/PRS), </w:t>
            </w:r>
            <w:r w:rsidRPr="00E87351">
              <w:rPr>
                <w:rFonts w:ascii="Book Antiqua" w:hAnsi="Book Antiqua" w:cs="Arial"/>
                <w:i/>
              </w:rPr>
              <w:t>n</w:t>
            </w:r>
            <w:r w:rsidRPr="00E87351">
              <w:rPr>
                <w:rFonts w:ascii="Book Antiqua" w:hAnsi="Book Antiqua" w:cs="Arial"/>
              </w:rPr>
              <w:t xml:space="preserve"> (%)</w:t>
            </w:r>
          </w:p>
        </w:tc>
        <w:tc>
          <w:tcPr>
            <w:tcW w:w="1728" w:type="dxa"/>
            <w:tcBorders>
              <w:top w:val="single" w:sz="4" w:space="0" w:color="auto"/>
            </w:tcBorders>
          </w:tcPr>
          <w:p w14:paraId="0B1956F5"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14 (24.5)</w:t>
            </w:r>
          </w:p>
        </w:tc>
        <w:tc>
          <w:tcPr>
            <w:tcW w:w="1418" w:type="dxa"/>
            <w:tcBorders>
              <w:top w:val="single" w:sz="4" w:space="0" w:color="auto"/>
            </w:tcBorders>
          </w:tcPr>
          <w:p w14:paraId="6629A3FB"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54 (61.3)</w:t>
            </w:r>
          </w:p>
        </w:tc>
        <w:tc>
          <w:tcPr>
            <w:tcW w:w="992" w:type="dxa"/>
            <w:tcBorders>
              <w:top w:val="single" w:sz="4" w:space="0" w:color="auto"/>
            </w:tcBorders>
          </w:tcPr>
          <w:p w14:paraId="6684D01D"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&lt; 0.001</w:t>
            </w:r>
          </w:p>
        </w:tc>
      </w:tr>
      <w:tr w:rsidR="00703676" w:rsidRPr="00E87351" w14:paraId="6F2C6D1B" w14:textId="77777777">
        <w:trPr>
          <w:trHeight w:val="249"/>
        </w:trPr>
        <w:tc>
          <w:tcPr>
            <w:tcW w:w="4759" w:type="dxa"/>
          </w:tcPr>
          <w:p w14:paraId="3C1BD1D6"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MBT, </w:t>
            </w:r>
            <w:r w:rsidRPr="00E87351">
              <w:rPr>
                <w:rFonts w:ascii="Book Antiqua" w:hAnsi="Book Antiqua" w:cs="Arial"/>
                <w:i/>
              </w:rPr>
              <w:t>n</w:t>
            </w:r>
            <w:r w:rsidRPr="00E87351">
              <w:rPr>
                <w:rFonts w:ascii="Book Antiqua" w:hAnsi="Book Antiqua" w:cs="Arial"/>
              </w:rPr>
              <w:t xml:space="preserve"> (%)</w:t>
            </w:r>
          </w:p>
        </w:tc>
        <w:tc>
          <w:tcPr>
            <w:tcW w:w="1728" w:type="dxa"/>
          </w:tcPr>
          <w:p w14:paraId="124DDDFB"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5 (8.7)</w:t>
            </w:r>
          </w:p>
        </w:tc>
        <w:tc>
          <w:tcPr>
            <w:tcW w:w="1418" w:type="dxa"/>
          </w:tcPr>
          <w:p w14:paraId="5049947D"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15 (17.0)</w:t>
            </w:r>
          </w:p>
        </w:tc>
        <w:tc>
          <w:tcPr>
            <w:tcW w:w="992" w:type="dxa"/>
          </w:tcPr>
          <w:p w14:paraId="31D262F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&lt; 0.001</w:t>
            </w:r>
          </w:p>
        </w:tc>
      </w:tr>
      <w:tr w:rsidR="00703676" w:rsidRPr="00E87351" w14:paraId="53F7A3C7" w14:textId="77777777">
        <w:trPr>
          <w:trHeight w:val="354"/>
        </w:trPr>
        <w:tc>
          <w:tcPr>
            <w:tcW w:w="4759" w:type="dxa"/>
          </w:tcPr>
          <w:p w14:paraId="1662A5EA"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Vasoactive drugs, </w:t>
            </w:r>
            <w:r w:rsidRPr="00E87351">
              <w:rPr>
                <w:rFonts w:ascii="Book Antiqua" w:hAnsi="Book Antiqua" w:cs="Arial"/>
                <w:i/>
              </w:rPr>
              <w:t>n</w:t>
            </w:r>
            <w:r w:rsidRPr="00E87351">
              <w:rPr>
                <w:rFonts w:ascii="Book Antiqua" w:hAnsi="Book Antiqua" w:cs="Arial"/>
              </w:rPr>
              <w:t xml:space="preserve"> (%)</w:t>
            </w:r>
          </w:p>
        </w:tc>
        <w:tc>
          <w:tcPr>
            <w:tcW w:w="1728" w:type="dxa"/>
          </w:tcPr>
          <w:p w14:paraId="6183B448"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38(66.6)</w:t>
            </w:r>
          </w:p>
        </w:tc>
        <w:tc>
          <w:tcPr>
            <w:tcW w:w="1418" w:type="dxa"/>
          </w:tcPr>
          <w:p w14:paraId="14A829CA"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48 (54.5)</w:t>
            </w:r>
          </w:p>
        </w:tc>
        <w:tc>
          <w:tcPr>
            <w:tcW w:w="992" w:type="dxa"/>
          </w:tcPr>
          <w:p w14:paraId="1257F8FC"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0.197</w:t>
            </w:r>
          </w:p>
        </w:tc>
      </w:tr>
      <w:tr w:rsidR="00703676" w:rsidRPr="00E87351" w14:paraId="794E2AA4" w14:textId="77777777">
        <w:trPr>
          <w:trHeight w:val="321"/>
        </w:trPr>
        <w:tc>
          <w:tcPr>
            <w:tcW w:w="4759" w:type="dxa"/>
          </w:tcPr>
          <w:p w14:paraId="5E52E707"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 xml:space="preserve">Cryoprecipitate transfusion, </w:t>
            </w:r>
            <w:r w:rsidRPr="00E87351">
              <w:rPr>
                <w:rFonts w:ascii="Book Antiqua" w:hAnsi="Book Antiqua" w:cs="Arial"/>
                <w:i/>
              </w:rPr>
              <w:t>n</w:t>
            </w:r>
            <w:r w:rsidRPr="00E87351">
              <w:rPr>
                <w:rFonts w:ascii="Book Antiqua" w:hAnsi="Book Antiqua" w:cs="Arial"/>
              </w:rPr>
              <w:t xml:space="preserve"> (%)</w:t>
            </w:r>
          </w:p>
        </w:tc>
        <w:tc>
          <w:tcPr>
            <w:tcW w:w="1728" w:type="dxa"/>
          </w:tcPr>
          <w:p w14:paraId="2D75DA4D"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10 (17.5)</w:t>
            </w:r>
          </w:p>
        </w:tc>
        <w:tc>
          <w:tcPr>
            <w:tcW w:w="1418" w:type="dxa"/>
          </w:tcPr>
          <w:p w14:paraId="1D447EE3"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18 (20.4)</w:t>
            </w:r>
          </w:p>
        </w:tc>
        <w:tc>
          <w:tcPr>
            <w:tcW w:w="992" w:type="dxa"/>
          </w:tcPr>
          <w:p w14:paraId="67C485C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0.169</w:t>
            </w:r>
          </w:p>
        </w:tc>
      </w:tr>
      <w:tr w:rsidR="00703676" w:rsidRPr="00E87351" w14:paraId="70A7957A" w14:textId="77777777">
        <w:trPr>
          <w:trHeight w:val="307"/>
        </w:trPr>
        <w:tc>
          <w:tcPr>
            <w:tcW w:w="4759" w:type="dxa"/>
          </w:tcPr>
          <w:p w14:paraId="46C6CA9E"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 xml:space="preserve">Piggy-back clamping, </w:t>
            </w:r>
            <w:r w:rsidRPr="00E87351">
              <w:rPr>
                <w:rFonts w:ascii="Book Antiqua" w:hAnsi="Book Antiqua" w:cs="Arial"/>
                <w:i/>
              </w:rPr>
              <w:t>n</w:t>
            </w:r>
            <w:r w:rsidRPr="00E87351">
              <w:rPr>
                <w:rFonts w:ascii="Book Antiqua" w:hAnsi="Book Antiqua" w:cs="Arial"/>
              </w:rPr>
              <w:t xml:space="preserve"> (%)</w:t>
            </w:r>
          </w:p>
        </w:tc>
        <w:tc>
          <w:tcPr>
            <w:tcW w:w="1728" w:type="dxa"/>
          </w:tcPr>
          <w:p w14:paraId="5357DEBF"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30 (52.6)</w:t>
            </w:r>
          </w:p>
        </w:tc>
        <w:tc>
          <w:tcPr>
            <w:tcW w:w="1418" w:type="dxa"/>
          </w:tcPr>
          <w:p w14:paraId="6D092CEF"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48 (54.5)</w:t>
            </w:r>
          </w:p>
        </w:tc>
        <w:tc>
          <w:tcPr>
            <w:tcW w:w="992" w:type="dxa"/>
          </w:tcPr>
          <w:p w14:paraId="140DCE14"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0.072</w:t>
            </w:r>
          </w:p>
        </w:tc>
      </w:tr>
      <w:tr w:rsidR="00703676" w:rsidRPr="00E87351" w14:paraId="73F342BD" w14:textId="77777777">
        <w:trPr>
          <w:trHeight w:val="307"/>
        </w:trPr>
        <w:tc>
          <w:tcPr>
            <w:tcW w:w="4759" w:type="dxa"/>
          </w:tcPr>
          <w:p w14:paraId="681E5CB5"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SL (mmol/L) at the end of LT, mean ± SD</w:t>
            </w:r>
          </w:p>
        </w:tc>
        <w:tc>
          <w:tcPr>
            <w:tcW w:w="1728" w:type="dxa"/>
          </w:tcPr>
          <w:p w14:paraId="6FD78177"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1.4 (± 0.3)</w:t>
            </w:r>
          </w:p>
        </w:tc>
        <w:tc>
          <w:tcPr>
            <w:tcW w:w="1418" w:type="dxa"/>
          </w:tcPr>
          <w:p w14:paraId="398E99C8"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2.8 (± 0.7)</w:t>
            </w:r>
          </w:p>
        </w:tc>
        <w:tc>
          <w:tcPr>
            <w:tcW w:w="992" w:type="dxa"/>
          </w:tcPr>
          <w:p w14:paraId="2EAE68B2"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&lt; 0.001</w:t>
            </w:r>
          </w:p>
        </w:tc>
      </w:tr>
      <w:tr w:rsidR="00703676" w:rsidRPr="00E87351" w14:paraId="1C85A653" w14:textId="77777777">
        <w:trPr>
          <w:trHeight w:val="307"/>
        </w:trPr>
        <w:tc>
          <w:tcPr>
            <w:tcW w:w="4759" w:type="dxa"/>
          </w:tcPr>
          <w:p w14:paraId="565430D7" w14:textId="77777777" w:rsidR="00703676" w:rsidRPr="00E87351" w:rsidRDefault="00AA5AC6">
            <w:pPr>
              <w:tabs>
                <w:tab w:val="left" w:pos="426"/>
              </w:tabs>
              <w:spacing w:line="360" w:lineRule="auto"/>
              <w:jc w:val="both"/>
              <w:rPr>
                <w:rFonts w:ascii="Book Antiqua" w:hAnsi="Book Antiqua" w:cs="Arial"/>
              </w:rPr>
            </w:pPr>
            <w:r w:rsidRPr="00E87351">
              <w:rPr>
                <w:rFonts w:ascii="Book Antiqua" w:hAnsi="Book Antiqua" w:cs="Arial"/>
              </w:rPr>
              <w:t>Lower serum fibrinogen (mg/dL), mean ± SD</w:t>
            </w:r>
          </w:p>
        </w:tc>
        <w:tc>
          <w:tcPr>
            <w:tcW w:w="1728" w:type="dxa"/>
          </w:tcPr>
          <w:p w14:paraId="76E27C66"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242 (± 34)</w:t>
            </w:r>
          </w:p>
        </w:tc>
        <w:tc>
          <w:tcPr>
            <w:tcW w:w="1418" w:type="dxa"/>
          </w:tcPr>
          <w:p w14:paraId="69CB3C27"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214 (± 24)</w:t>
            </w:r>
          </w:p>
        </w:tc>
        <w:tc>
          <w:tcPr>
            <w:tcW w:w="992" w:type="dxa"/>
          </w:tcPr>
          <w:p w14:paraId="34CFA1F9" w14:textId="77777777" w:rsidR="00703676" w:rsidRPr="00E87351" w:rsidRDefault="00AA5AC6">
            <w:pPr>
              <w:spacing w:line="360" w:lineRule="auto"/>
              <w:jc w:val="both"/>
              <w:rPr>
                <w:rFonts w:ascii="Book Antiqua" w:hAnsi="Book Antiqua" w:cs="Arial"/>
              </w:rPr>
            </w:pPr>
            <w:r w:rsidRPr="00E87351">
              <w:rPr>
                <w:rFonts w:ascii="Book Antiqua" w:hAnsi="Book Antiqua" w:cs="Arial"/>
              </w:rPr>
              <w:t>0.090</w:t>
            </w:r>
          </w:p>
        </w:tc>
      </w:tr>
    </w:tbl>
    <w:bookmarkEnd w:id="2"/>
    <w:p w14:paraId="4E4A81F6" w14:textId="7A768B82" w:rsidR="00703676" w:rsidRPr="00E87351" w:rsidRDefault="00AA5AC6">
      <w:pPr>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AKI: Acute kidney injury; IOAH: Intraoperative arterial hypotension; MBT: Massive blood transfusion; SL: Serum lactate; SD: Standard deviation.</w:t>
      </w:r>
    </w:p>
    <w:p w14:paraId="1B68A2F8" w14:textId="77777777" w:rsidR="00703676" w:rsidRPr="00E87351" w:rsidRDefault="00AA5AC6">
      <w:pPr>
        <w:spacing w:after="200" w:line="276" w:lineRule="auto"/>
        <w:rPr>
          <w:rFonts w:ascii="Book Antiqua" w:eastAsia="Times New Roman" w:hAnsi="Book Antiqua" w:cs="Arial"/>
          <w:b/>
          <w:lang w:eastAsia="pt-BR"/>
        </w:rPr>
      </w:pPr>
      <w:r w:rsidRPr="00E87351">
        <w:rPr>
          <w:rFonts w:ascii="Book Antiqua" w:eastAsia="Times New Roman" w:hAnsi="Book Antiqua" w:cs="Arial"/>
          <w:b/>
          <w:lang w:eastAsia="pt-BR"/>
        </w:rPr>
        <w:br w:type="page"/>
      </w:r>
    </w:p>
    <w:p w14:paraId="1840CD74" w14:textId="77777777" w:rsidR="00703676" w:rsidRPr="00E87351" w:rsidRDefault="00AA5AC6">
      <w:pPr>
        <w:spacing w:line="360" w:lineRule="auto"/>
        <w:jc w:val="both"/>
        <w:rPr>
          <w:rFonts w:ascii="Book Antiqua" w:hAnsi="Book Antiqua" w:cs="Arial"/>
          <w:b/>
          <w:lang w:eastAsia="zh-CN"/>
        </w:rPr>
      </w:pPr>
      <w:r w:rsidRPr="00E87351">
        <w:rPr>
          <w:rFonts w:ascii="Book Antiqua" w:eastAsia="Times New Roman" w:hAnsi="Book Antiqua" w:cs="Arial"/>
          <w:b/>
          <w:lang w:eastAsia="pt-BR"/>
        </w:rPr>
        <w:lastRenderedPageBreak/>
        <w:t>Table 8</w:t>
      </w:r>
      <w:r w:rsidRPr="00E87351">
        <w:rPr>
          <w:rFonts w:ascii="Book Antiqua" w:hAnsi="Book Antiqua" w:cs="Arial" w:hint="eastAsia"/>
          <w:b/>
          <w:lang w:eastAsia="zh-CN"/>
        </w:rPr>
        <w:t xml:space="preserve"> </w:t>
      </w:r>
      <w:r w:rsidRPr="00E87351">
        <w:rPr>
          <w:rFonts w:ascii="Book Antiqua" w:eastAsia="Times New Roman" w:hAnsi="Book Antiqua" w:cs="Arial"/>
          <w:b/>
          <w:lang w:eastAsia="pt-BR"/>
        </w:rPr>
        <w:t xml:space="preserve">Logistic regression analysis of risk factors for </w:t>
      </w:r>
      <w:r w:rsidRPr="00E87351">
        <w:rPr>
          <w:rFonts w:ascii="Book Antiqua" w:hAnsi="Book Antiqua" w:cs="Arial" w:hint="eastAsia"/>
          <w:b/>
          <w:lang w:eastAsia="zh-CN"/>
        </w:rPr>
        <w:t>a</w:t>
      </w:r>
      <w:r w:rsidRPr="00E87351">
        <w:rPr>
          <w:rFonts w:ascii="Book Antiqua" w:eastAsia="Times New Roman" w:hAnsi="Book Antiqua" w:cs="Arial"/>
          <w:b/>
          <w:lang w:eastAsia="pt-BR"/>
        </w:rPr>
        <w:t xml:space="preserve">cute kidney injury after </w:t>
      </w:r>
      <w:r w:rsidRPr="00E87351">
        <w:rPr>
          <w:rFonts w:ascii="Book Antiqua" w:eastAsia="Book Antiqua" w:hAnsi="Book Antiqua" w:cs="Book Antiqua"/>
          <w:b/>
          <w:color w:val="000000"/>
        </w:rPr>
        <w:t>deceased-donor liver transplantation</w:t>
      </w:r>
      <w:r w:rsidRPr="00E87351">
        <w:rPr>
          <w:rFonts w:ascii="Book Antiqua" w:eastAsia="Times New Roman" w:hAnsi="Book Antiqua" w:cs="Arial"/>
          <w:b/>
          <w:lang w:eastAsia="pt-BR"/>
        </w:rPr>
        <w:t xml:space="preserve"> (</w:t>
      </w:r>
      <w:r w:rsidRPr="00E87351">
        <w:rPr>
          <w:rFonts w:ascii="Book Antiqua" w:eastAsia="Times New Roman" w:hAnsi="Book Antiqua" w:cs="Arial"/>
          <w:b/>
          <w:i/>
          <w:lang w:eastAsia="pt-BR"/>
        </w:rPr>
        <w:t>n</w:t>
      </w:r>
      <w:r w:rsidRPr="00E87351">
        <w:rPr>
          <w:rFonts w:ascii="Book Antiqua" w:eastAsia="Times New Roman" w:hAnsi="Book Antiqua" w:cs="Arial"/>
          <w:b/>
          <w:lang w:eastAsia="pt-BR"/>
        </w:rPr>
        <w:t xml:space="preserve"> = 145)</w:t>
      </w:r>
    </w:p>
    <w:tbl>
      <w:tblPr>
        <w:tblW w:w="8642" w:type="dxa"/>
        <w:tblBorders>
          <w:top w:val="single" w:sz="4" w:space="0" w:color="auto"/>
          <w:bottom w:val="single" w:sz="4" w:space="0" w:color="auto"/>
        </w:tblBorders>
        <w:tblLayout w:type="fixed"/>
        <w:tblLook w:val="04A0" w:firstRow="1" w:lastRow="0" w:firstColumn="1" w:lastColumn="0" w:noHBand="0" w:noVBand="1"/>
      </w:tblPr>
      <w:tblGrid>
        <w:gridCol w:w="3614"/>
        <w:gridCol w:w="1417"/>
        <w:gridCol w:w="851"/>
        <w:gridCol w:w="755"/>
        <w:gridCol w:w="1013"/>
        <w:gridCol w:w="992"/>
      </w:tblGrid>
      <w:tr w:rsidR="00703676" w:rsidRPr="00E87351" w14:paraId="39D0C2C1" w14:textId="77777777">
        <w:trPr>
          <w:trHeight w:val="223"/>
        </w:trPr>
        <w:tc>
          <w:tcPr>
            <w:tcW w:w="3614" w:type="dxa"/>
            <w:tcBorders>
              <w:top w:val="single" w:sz="4" w:space="0" w:color="auto"/>
              <w:bottom w:val="single" w:sz="4" w:space="0" w:color="auto"/>
            </w:tcBorders>
            <w:shd w:val="clear" w:color="auto" w:fill="auto"/>
            <w:tcMar>
              <w:top w:w="28" w:type="dxa"/>
              <w:left w:w="28" w:type="dxa"/>
              <w:bottom w:w="28" w:type="dxa"/>
              <w:right w:w="28" w:type="dxa"/>
            </w:tcMar>
          </w:tcPr>
          <w:p w14:paraId="091687F4"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Logistic regression</w:t>
            </w:r>
          </w:p>
        </w:tc>
        <w:tc>
          <w:tcPr>
            <w:tcW w:w="1417" w:type="dxa"/>
            <w:tcBorders>
              <w:top w:val="single" w:sz="4" w:space="0" w:color="auto"/>
              <w:bottom w:val="single" w:sz="4" w:space="0" w:color="auto"/>
            </w:tcBorders>
            <w:shd w:val="clear" w:color="auto" w:fill="auto"/>
            <w:tcMar>
              <w:top w:w="28" w:type="dxa"/>
              <w:left w:w="28" w:type="dxa"/>
              <w:bottom w:w="28" w:type="dxa"/>
              <w:right w:w="28" w:type="dxa"/>
            </w:tcMar>
            <w:vAlign w:val="bottom"/>
          </w:tcPr>
          <w:p w14:paraId="406A4095"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Beta coeficient</w:t>
            </w:r>
          </w:p>
        </w:tc>
        <w:tc>
          <w:tcPr>
            <w:tcW w:w="851" w:type="dxa"/>
            <w:tcBorders>
              <w:top w:val="single" w:sz="4" w:space="0" w:color="auto"/>
              <w:bottom w:val="single" w:sz="4" w:space="0" w:color="auto"/>
            </w:tcBorders>
            <w:shd w:val="clear" w:color="auto" w:fill="auto"/>
            <w:tcMar>
              <w:top w:w="28" w:type="dxa"/>
              <w:left w:w="28" w:type="dxa"/>
              <w:bottom w:w="28" w:type="dxa"/>
              <w:right w:w="28" w:type="dxa"/>
            </w:tcMar>
            <w:vAlign w:val="bottom"/>
          </w:tcPr>
          <w:p w14:paraId="473C5CA9" w14:textId="77777777" w:rsidR="00703676" w:rsidRPr="00E87351" w:rsidRDefault="00AA5AC6">
            <w:pPr>
              <w:spacing w:line="360" w:lineRule="auto"/>
              <w:jc w:val="both"/>
              <w:rPr>
                <w:rFonts w:ascii="Book Antiqua" w:eastAsia="Times New Roman" w:hAnsi="Book Antiqua" w:cs="Arial"/>
                <w:b/>
                <w:lang w:val="pt-BR" w:eastAsia="pt-BR"/>
              </w:rPr>
            </w:pPr>
            <w:r w:rsidRPr="00E87351">
              <w:rPr>
                <w:rFonts w:ascii="Book Antiqua" w:eastAsia="Times New Roman" w:hAnsi="Book Antiqua" w:cs="Arial"/>
                <w:b/>
                <w:lang w:val="pt-BR" w:eastAsia="pt-BR"/>
              </w:rPr>
              <w:t>OR</w:t>
            </w:r>
          </w:p>
        </w:tc>
        <w:tc>
          <w:tcPr>
            <w:tcW w:w="1768" w:type="dxa"/>
            <w:gridSpan w:val="2"/>
            <w:tcBorders>
              <w:top w:val="single" w:sz="4" w:space="0" w:color="auto"/>
              <w:bottom w:val="single" w:sz="4" w:space="0" w:color="auto"/>
            </w:tcBorders>
            <w:shd w:val="clear" w:color="auto" w:fill="auto"/>
            <w:tcMar>
              <w:top w:w="28" w:type="dxa"/>
              <w:left w:w="28" w:type="dxa"/>
              <w:bottom w:w="28" w:type="dxa"/>
              <w:right w:w="28" w:type="dxa"/>
            </w:tcMar>
            <w:vAlign w:val="bottom"/>
          </w:tcPr>
          <w:p w14:paraId="71BB92A3" w14:textId="77777777" w:rsidR="00703676" w:rsidRPr="00E87351" w:rsidRDefault="00AA5AC6">
            <w:pPr>
              <w:spacing w:line="360" w:lineRule="auto"/>
              <w:jc w:val="both"/>
              <w:rPr>
                <w:rFonts w:ascii="Book Antiqua" w:hAnsi="Book Antiqua" w:cs="Arial"/>
                <w:b/>
                <w:lang w:val="pt-BR" w:eastAsia="zh-CN"/>
              </w:rPr>
            </w:pPr>
            <w:r w:rsidRPr="00E87351">
              <w:rPr>
                <w:rFonts w:ascii="Book Antiqua" w:eastAsia="Times New Roman" w:hAnsi="Book Antiqua" w:cs="Arial"/>
                <w:b/>
                <w:lang w:val="pt-BR" w:eastAsia="pt-BR"/>
              </w:rPr>
              <w:t>95%CI</w:t>
            </w:r>
          </w:p>
        </w:tc>
        <w:tc>
          <w:tcPr>
            <w:tcW w:w="992" w:type="dxa"/>
            <w:tcBorders>
              <w:top w:val="single" w:sz="4" w:space="0" w:color="auto"/>
              <w:bottom w:val="single" w:sz="4" w:space="0" w:color="auto"/>
            </w:tcBorders>
            <w:shd w:val="clear" w:color="auto" w:fill="auto"/>
            <w:tcMar>
              <w:top w:w="28" w:type="dxa"/>
              <w:left w:w="28" w:type="dxa"/>
              <w:bottom w:w="28" w:type="dxa"/>
              <w:right w:w="28" w:type="dxa"/>
            </w:tcMar>
            <w:vAlign w:val="bottom"/>
          </w:tcPr>
          <w:p w14:paraId="43F56FD9" w14:textId="77777777" w:rsidR="00703676" w:rsidRPr="00E87351" w:rsidRDefault="00AA5AC6">
            <w:pPr>
              <w:spacing w:line="360" w:lineRule="auto"/>
              <w:jc w:val="both"/>
              <w:rPr>
                <w:rFonts w:ascii="Book Antiqua" w:hAnsi="Book Antiqua" w:cs="Arial"/>
                <w:b/>
                <w:i/>
                <w:lang w:val="pt-BR" w:eastAsia="zh-CN"/>
              </w:rPr>
            </w:pPr>
            <w:r w:rsidRPr="00E87351">
              <w:rPr>
                <w:rFonts w:ascii="Book Antiqua" w:hAnsi="Book Antiqua" w:cs="Arial" w:hint="eastAsia"/>
                <w:b/>
                <w:i/>
                <w:lang w:val="pt-BR" w:eastAsia="zh-CN"/>
              </w:rPr>
              <w:t>P</w:t>
            </w:r>
            <w:r w:rsidRPr="00E87351">
              <w:rPr>
                <w:rFonts w:ascii="Book Antiqua" w:hAnsi="Book Antiqua" w:cs="Arial" w:hint="eastAsia"/>
                <w:b/>
                <w:lang w:val="pt-BR" w:eastAsia="zh-CN"/>
              </w:rPr>
              <w:t xml:space="preserve"> value</w:t>
            </w:r>
          </w:p>
        </w:tc>
      </w:tr>
      <w:tr w:rsidR="00703676" w:rsidRPr="00E87351" w14:paraId="291F40E0" w14:textId="77777777">
        <w:trPr>
          <w:trHeight w:val="441"/>
        </w:trPr>
        <w:tc>
          <w:tcPr>
            <w:tcW w:w="3614" w:type="dxa"/>
            <w:tcBorders>
              <w:top w:val="single" w:sz="4" w:space="0" w:color="auto"/>
            </w:tcBorders>
            <w:shd w:val="clear" w:color="auto" w:fill="auto"/>
            <w:tcMar>
              <w:top w:w="28" w:type="dxa"/>
              <w:left w:w="28" w:type="dxa"/>
              <w:bottom w:w="28" w:type="dxa"/>
              <w:right w:w="28" w:type="dxa"/>
            </w:tcMar>
          </w:tcPr>
          <w:p w14:paraId="18CC47AC" w14:textId="77777777" w:rsidR="00703676" w:rsidRPr="00E87351" w:rsidRDefault="00AA5AC6">
            <w:pPr>
              <w:tabs>
                <w:tab w:val="left" w:pos="426"/>
              </w:tabs>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 xml:space="preserve">Biological MELD score </w:t>
            </w:r>
            <w:r w:rsidRPr="00E87351">
              <w:rPr>
                <w:rFonts w:ascii="Book Antiqua" w:eastAsia="Times New Roman" w:hAnsi="Book Antiqua" w:cs="Arial"/>
                <w:lang w:val="pt-BR" w:eastAsia="pt-BR"/>
              </w:rPr>
              <w:t xml:space="preserve">≥ </w:t>
            </w:r>
            <w:r w:rsidRPr="00E87351">
              <w:rPr>
                <w:rFonts w:ascii="Book Antiqua" w:eastAsia="Times New Roman" w:hAnsi="Book Antiqua" w:cs="Arial"/>
                <w:lang w:eastAsia="pt-BR"/>
              </w:rPr>
              <w:t>25</w:t>
            </w:r>
          </w:p>
        </w:tc>
        <w:tc>
          <w:tcPr>
            <w:tcW w:w="1417" w:type="dxa"/>
            <w:tcBorders>
              <w:top w:val="single" w:sz="4" w:space="0" w:color="auto"/>
            </w:tcBorders>
            <w:shd w:val="clear" w:color="auto" w:fill="auto"/>
            <w:tcMar>
              <w:top w:w="28" w:type="dxa"/>
              <w:left w:w="28" w:type="dxa"/>
              <w:bottom w:w="28" w:type="dxa"/>
              <w:right w:w="28" w:type="dxa"/>
            </w:tcMar>
            <w:vAlign w:val="center"/>
          </w:tcPr>
          <w:p w14:paraId="6FE657FD"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0.194</w:t>
            </w:r>
          </w:p>
        </w:tc>
        <w:tc>
          <w:tcPr>
            <w:tcW w:w="851" w:type="dxa"/>
            <w:tcBorders>
              <w:top w:val="single" w:sz="4" w:space="0" w:color="auto"/>
            </w:tcBorders>
            <w:shd w:val="clear" w:color="auto" w:fill="auto"/>
            <w:tcMar>
              <w:top w:w="28" w:type="dxa"/>
              <w:left w:w="28" w:type="dxa"/>
              <w:bottom w:w="28" w:type="dxa"/>
              <w:right w:w="28" w:type="dxa"/>
            </w:tcMar>
          </w:tcPr>
          <w:p w14:paraId="72CA8230"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1.999</w:t>
            </w:r>
          </w:p>
        </w:tc>
        <w:tc>
          <w:tcPr>
            <w:tcW w:w="755" w:type="dxa"/>
            <w:tcBorders>
              <w:top w:val="single" w:sz="4" w:space="0" w:color="auto"/>
            </w:tcBorders>
            <w:shd w:val="clear" w:color="auto" w:fill="auto"/>
            <w:tcMar>
              <w:top w:w="28" w:type="dxa"/>
              <w:left w:w="28" w:type="dxa"/>
              <w:bottom w:w="28" w:type="dxa"/>
              <w:right w:w="28" w:type="dxa"/>
            </w:tcMar>
          </w:tcPr>
          <w:p w14:paraId="5DF16040"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1.586</w:t>
            </w:r>
          </w:p>
        </w:tc>
        <w:tc>
          <w:tcPr>
            <w:tcW w:w="1013" w:type="dxa"/>
            <w:tcBorders>
              <w:top w:val="single" w:sz="4" w:space="0" w:color="auto"/>
            </w:tcBorders>
            <w:shd w:val="clear" w:color="auto" w:fill="auto"/>
            <w:tcMar>
              <w:top w:w="28" w:type="dxa"/>
              <w:left w:w="28" w:type="dxa"/>
              <w:bottom w:w="28" w:type="dxa"/>
              <w:right w:w="28" w:type="dxa"/>
            </w:tcMar>
          </w:tcPr>
          <w:p w14:paraId="100657FC"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2.503</w:t>
            </w:r>
          </w:p>
        </w:tc>
        <w:tc>
          <w:tcPr>
            <w:tcW w:w="992" w:type="dxa"/>
            <w:tcBorders>
              <w:top w:val="single" w:sz="4" w:space="0" w:color="auto"/>
            </w:tcBorders>
            <w:shd w:val="clear" w:color="auto" w:fill="auto"/>
            <w:tcMar>
              <w:top w:w="28" w:type="dxa"/>
              <w:left w:w="28" w:type="dxa"/>
              <w:bottom w:w="28" w:type="dxa"/>
              <w:right w:w="28" w:type="dxa"/>
            </w:tcMar>
            <w:vAlign w:val="center"/>
          </w:tcPr>
          <w:p w14:paraId="5E6A2521" w14:textId="77777777" w:rsidR="00703676" w:rsidRPr="00E87351" w:rsidRDefault="00AA5AC6">
            <w:pPr>
              <w:spacing w:line="360" w:lineRule="auto"/>
              <w:jc w:val="both"/>
              <w:rPr>
                <w:rFonts w:ascii="Book Antiqua" w:eastAsia="Times New Roman" w:hAnsi="Book Antiqua" w:cs="Arial"/>
                <w:bCs/>
                <w:lang w:val="pt-BR" w:eastAsia="pt-BR"/>
              </w:rPr>
            </w:pPr>
            <w:r w:rsidRPr="00E87351">
              <w:rPr>
                <w:rFonts w:ascii="Book Antiqua" w:eastAsia="Times New Roman" w:hAnsi="Book Antiqua" w:cs="Arial"/>
                <w:bCs/>
                <w:lang w:val="pt-BR" w:eastAsia="pt-BR"/>
              </w:rPr>
              <w:t>&lt; 0.001</w:t>
            </w:r>
          </w:p>
        </w:tc>
      </w:tr>
      <w:tr w:rsidR="00703676" w:rsidRPr="00E87351" w14:paraId="172CB10D" w14:textId="77777777">
        <w:trPr>
          <w:trHeight w:val="358"/>
        </w:trPr>
        <w:tc>
          <w:tcPr>
            <w:tcW w:w="3614" w:type="dxa"/>
            <w:shd w:val="clear" w:color="auto" w:fill="auto"/>
            <w:tcMar>
              <w:top w:w="28" w:type="dxa"/>
              <w:left w:w="28" w:type="dxa"/>
              <w:bottom w:w="28" w:type="dxa"/>
              <w:right w:w="28" w:type="dxa"/>
            </w:tcMar>
          </w:tcPr>
          <w:p w14:paraId="2F089BB5" w14:textId="77777777" w:rsidR="00703676" w:rsidRPr="00E87351" w:rsidRDefault="00AA5AC6">
            <w:pPr>
              <w:tabs>
                <w:tab w:val="left" w:pos="426"/>
              </w:tabs>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 xml:space="preserve">Pre-existing KD, </w:t>
            </w:r>
            <w:r w:rsidRPr="00E87351">
              <w:rPr>
                <w:rFonts w:ascii="Book Antiqua" w:eastAsia="Times New Roman" w:hAnsi="Book Antiqua" w:cs="Arial"/>
                <w:i/>
                <w:lang w:val="pt-BR" w:eastAsia="pt-BR"/>
              </w:rPr>
              <w:t>n</w:t>
            </w:r>
            <w:r w:rsidRPr="00E87351">
              <w:rPr>
                <w:rFonts w:ascii="Book Antiqua" w:eastAsia="Times New Roman" w:hAnsi="Book Antiqua" w:cs="Arial"/>
                <w:lang w:val="pt-BR" w:eastAsia="pt-BR"/>
              </w:rPr>
              <w:t xml:space="preserve"> (%)</w:t>
            </w:r>
          </w:p>
        </w:tc>
        <w:tc>
          <w:tcPr>
            <w:tcW w:w="1417" w:type="dxa"/>
            <w:shd w:val="clear" w:color="auto" w:fill="auto"/>
            <w:tcMar>
              <w:top w:w="28" w:type="dxa"/>
              <w:left w:w="28" w:type="dxa"/>
              <w:bottom w:w="28" w:type="dxa"/>
              <w:right w:w="28" w:type="dxa"/>
            </w:tcMar>
            <w:vAlign w:val="center"/>
          </w:tcPr>
          <w:p w14:paraId="784A296B"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0.115</w:t>
            </w:r>
          </w:p>
        </w:tc>
        <w:tc>
          <w:tcPr>
            <w:tcW w:w="851" w:type="dxa"/>
            <w:shd w:val="clear" w:color="auto" w:fill="auto"/>
            <w:tcMar>
              <w:top w:w="28" w:type="dxa"/>
              <w:left w:w="28" w:type="dxa"/>
              <w:bottom w:w="28" w:type="dxa"/>
              <w:right w:w="28" w:type="dxa"/>
            </w:tcMar>
            <w:vAlign w:val="center"/>
          </w:tcPr>
          <w:p w14:paraId="5023F6B1"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eastAsia="pt-BR"/>
              </w:rPr>
              <w:t>1.279</w:t>
            </w:r>
          </w:p>
        </w:tc>
        <w:tc>
          <w:tcPr>
            <w:tcW w:w="755" w:type="dxa"/>
            <w:shd w:val="clear" w:color="auto" w:fill="auto"/>
            <w:tcMar>
              <w:top w:w="28" w:type="dxa"/>
              <w:left w:w="28" w:type="dxa"/>
              <w:bottom w:w="28" w:type="dxa"/>
              <w:right w:w="28" w:type="dxa"/>
            </w:tcMar>
            <w:vAlign w:val="center"/>
          </w:tcPr>
          <w:p w14:paraId="0EBBB1DB"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0.916</w:t>
            </w:r>
          </w:p>
        </w:tc>
        <w:tc>
          <w:tcPr>
            <w:tcW w:w="1013" w:type="dxa"/>
            <w:shd w:val="clear" w:color="auto" w:fill="auto"/>
            <w:tcMar>
              <w:top w:w="28" w:type="dxa"/>
              <w:left w:w="28" w:type="dxa"/>
              <w:bottom w:w="28" w:type="dxa"/>
              <w:right w:w="28" w:type="dxa"/>
            </w:tcMar>
            <w:vAlign w:val="center"/>
          </w:tcPr>
          <w:p w14:paraId="51A2D1F5"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1.686</w:t>
            </w:r>
          </w:p>
        </w:tc>
        <w:tc>
          <w:tcPr>
            <w:tcW w:w="992" w:type="dxa"/>
            <w:shd w:val="clear" w:color="auto" w:fill="auto"/>
            <w:tcMar>
              <w:top w:w="28" w:type="dxa"/>
              <w:left w:w="28" w:type="dxa"/>
              <w:bottom w:w="28" w:type="dxa"/>
              <w:right w:w="28" w:type="dxa"/>
            </w:tcMar>
            <w:vAlign w:val="center"/>
          </w:tcPr>
          <w:p w14:paraId="6E5D9511" w14:textId="77777777" w:rsidR="00703676" w:rsidRPr="00E87351" w:rsidRDefault="00AA5AC6">
            <w:pPr>
              <w:spacing w:line="360" w:lineRule="auto"/>
              <w:jc w:val="both"/>
              <w:rPr>
                <w:rFonts w:ascii="Book Antiqua" w:eastAsia="Times New Roman" w:hAnsi="Book Antiqua" w:cs="Arial"/>
                <w:bCs/>
                <w:lang w:val="pt-BR" w:eastAsia="pt-BR"/>
              </w:rPr>
            </w:pPr>
            <w:r w:rsidRPr="00E87351">
              <w:rPr>
                <w:rFonts w:ascii="Book Antiqua" w:eastAsia="Times New Roman" w:hAnsi="Book Antiqua" w:cs="Arial"/>
                <w:bCs/>
                <w:lang w:val="pt-BR" w:eastAsia="pt-BR"/>
              </w:rPr>
              <w:t>&lt; 0.001</w:t>
            </w:r>
          </w:p>
        </w:tc>
      </w:tr>
      <w:tr w:rsidR="00703676" w:rsidRPr="00E87351" w14:paraId="219B6EBF" w14:textId="77777777">
        <w:trPr>
          <w:trHeight w:val="112"/>
        </w:trPr>
        <w:tc>
          <w:tcPr>
            <w:tcW w:w="3614" w:type="dxa"/>
            <w:shd w:val="clear" w:color="auto" w:fill="auto"/>
            <w:tcMar>
              <w:top w:w="28" w:type="dxa"/>
              <w:left w:w="28" w:type="dxa"/>
              <w:bottom w:w="28" w:type="dxa"/>
              <w:right w:w="28" w:type="dxa"/>
            </w:tcMar>
          </w:tcPr>
          <w:p w14:paraId="28910D93" w14:textId="77777777" w:rsidR="00703676" w:rsidRPr="00E87351" w:rsidRDefault="00AA5AC6">
            <w:pPr>
              <w:shd w:val="clear" w:color="auto" w:fill="FFFFFF"/>
              <w:spacing w:line="360" w:lineRule="auto"/>
              <w:jc w:val="both"/>
              <w:rPr>
                <w:rFonts w:ascii="Book Antiqua" w:eastAsia="Times New Roman" w:hAnsi="Book Antiqua" w:cs="Arial"/>
                <w:color w:val="000000"/>
                <w:lang w:eastAsia="pt-BR"/>
              </w:rPr>
            </w:pPr>
            <w:r w:rsidRPr="00E87351">
              <w:rPr>
                <w:rFonts w:ascii="Book Antiqua" w:eastAsia="Times New Roman" w:hAnsi="Book Antiqua" w:cs="Arial"/>
                <w:color w:val="000000"/>
                <w:lang w:eastAsia="pt-BR"/>
              </w:rPr>
              <w:t>ECD (3 or more factors above)</w:t>
            </w:r>
          </w:p>
        </w:tc>
        <w:tc>
          <w:tcPr>
            <w:tcW w:w="1417" w:type="dxa"/>
            <w:shd w:val="clear" w:color="auto" w:fill="auto"/>
            <w:tcMar>
              <w:top w:w="28" w:type="dxa"/>
              <w:left w:w="28" w:type="dxa"/>
              <w:bottom w:w="28" w:type="dxa"/>
              <w:right w:w="28" w:type="dxa"/>
            </w:tcMar>
            <w:vAlign w:val="center"/>
          </w:tcPr>
          <w:p w14:paraId="5FC28FAD"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0.911</w:t>
            </w:r>
          </w:p>
        </w:tc>
        <w:tc>
          <w:tcPr>
            <w:tcW w:w="851" w:type="dxa"/>
            <w:shd w:val="clear" w:color="auto" w:fill="auto"/>
            <w:tcMar>
              <w:top w:w="28" w:type="dxa"/>
              <w:left w:w="28" w:type="dxa"/>
              <w:bottom w:w="28" w:type="dxa"/>
              <w:right w:w="28" w:type="dxa"/>
            </w:tcMar>
            <w:vAlign w:val="center"/>
          </w:tcPr>
          <w:p w14:paraId="460EC06E"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1.191</w:t>
            </w:r>
          </w:p>
        </w:tc>
        <w:tc>
          <w:tcPr>
            <w:tcW w:w="755" w:type="dxa"/>
            <w:shd w:val="clear" w:color="auto" w:fill="auto"/>
            <w:tcMar>
              <w:top w:w="28" w:type="dxa"/>
              <w:left w:w="28" w:type="dxa"/>
              <w:bottom w:w="28" w:type="dxa"/>
              <w:right w:w="28" w:type="dxa"/>
            </w:tcMar>
            <w:vAlign w:val="center"/>
          </w:tcPr>
          <w:p w14:paraId="3EF91AF8"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0.711</w:t>
            </w:r>
          </w:p>
        </w:tc>
        <w:tc>
          <w:tcPr>
            <w:tcW w:w="1013" w:type="dxa"/>
            <w:shd w:val="clear" w:color="auto" w:fill="auto"/>
            <w:tcMar>
              <w:top w:w="28" w:type="dxa"/>
              <w:left w:w="28" w:type="dxa"/>
              <w:bottom w:w="28" w:type="dxa"/>
              <w:right w:w="28" w:type="dxa"/>
            </w:tcMar>
            <w:vAlign w:val="center"/>
          </w:tcPr>
          <w:p w14:paraId="758C8238"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1.787</w:t>
            </w:r>
          </w:p>
        </w:tc>
        <w:tc>
          <w:tcPr>
            <w:tcW w:w="992" w:type="dxa"/>
            <w:shd w:val="clear" w:color="auto" w:fill="auto"/>
            <w:tcMar>
              <w:top w:w="28" w:type="dxa"/>
              <w:left w:w="28" w:type="dxa"/>
              <w:bottom w:w="28" w:type="dxa"/>
              <w:right w:w="28" w:type="dxa"/>
            </w:tcMar>
          </w:tcPr>
          <w:p w14:paraId="2A6C8E4A" w14:textId="77777777" w:rsidR="00703676" w:rsidRPr="00E87351" w:rsidRDefault="00AA5AC6">
            <w:pPr>
              <w:spacing w:line="360" w:lineRule="auto"/>
              <w:jc w:val="both"/>
              <w:rPr>
                <w:rFonts w:ascii="Book Antiqua" w:eastAsia="Times New Roman" w:hAnsi="Book Antiqua" w:cs="Arial"/>
                <w:bCs/>
                <w:lang w:val="pt-BR" w:eastAsia="pt-BR"/>
              </w:rPr>
            </w:pPr>
            <w:r w:rsidRPr="00E87351">
              <w:rPr>
                <w:rFonts w:ascii="Book Antiqua" w:eastAsia="Times New Roman" w:hAnsi="Book Antiqua" w:cs="Arial"/>
                <w:bCs/>
                <w:lang w:val="pt-BR" w:eastAsia="pt-BR"/>
              </w:rPr>
              <w:t>0.002</w:t>
            </w:r>
          </w:p>
        </w:tc>
      </w:tr>
      <w:tr w:rsidR="00703676" w:rsidRPr="00E87351" w14:paraId="442D2A30" w14:textId="77777777">
        <w:trPr>
          <w:trHeight w:val="249"/>
        </w:trPr>
        <w:tc>
          <w:tcPr>
            <w:tcW w:w="3614" w:type="dxa"/>
            <w:shd w:val="clear" w:color="auto" w:fill="auto"/>
            <w:tcMar>
              <w:top w:w="28" w:type="dxa"/>
              <w:left w:w="28" w:type="dxa"/>
              <w:bottom w:w="28" w:type="dxa"/>
              <w:right w:w="28" w:type="dxa"/>
            </w:tcMar>
            <w:vAlign w:val="center"/>
          </w:tcPr>
          <w:p w14:paraId="62F46243" w14:textId="77777777" w:rsidR="00703676" w:rsidRPr="00E87351" w:rsidRDefault="00AA5AC6">
            <w:pPr>
              <w:tabs>
                <w:tab w:val="left" w:pos="426"/>
              </w:tabs>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 xml:space="preserve">IOAH (bleeding/PRS), </w:t>
            </w:r>
            <w:r w:rsidRPr="00E87351">
              <w:rPr>
                <w:rFonts w:ascii="Book Antiqua" w:eastAsia="Times New Roman" w:hAnsi="Book Antiqua" w:cs="Arial"/>
                <w:i/>
                <w:lang w:val="pt-BR" w:eastAsia="pt-BR"/>
              </w:rPr>
              <w:t>n</w:t>
            </w:r>
            <w:r w:rsidRPr="00E87351">
              <w:rPr>
                <w:rFonts w:ascii="Book Antiqua" w:eastAsia="Times New Roman" w:hAnsi="Book Antiqua" w:cs="Arial"/>
                <w:lang w:val="pt-BR" w:eastAsia="pt-BR"/>
              </w:rPr>
              <w:t xml:space="preserve"> (%)</w:t>
            </w:r>
          </w:p>
        </w:tc>
        <w:tc>
          <w:tcPr>
            <w:tcW w:w="1417" w:type="dxa"/>
            <w:shd w:val="clear" w:color="auto" w:fill="auto"/>
            <w:tcMar>
              <w:top w:w="28" w:type="dxa"/>
              <w:left w:w="28" w:type="dxa"/>
              <w:bottom w:w="28" w:type="dxa"/>
              <w:right w:w="28" w:type="dxa"/>
            </w:tcMar>
            <w:vAlign w:val="center"/>
          </w:tcPr>
          <w:p w14:paraId="546A8C1D"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0.169</w:t>
            </w:r>
          </w:p>
        </w:tc>
        <w:tc>
          <w:tcPr>
            <w:tcW w:w="851" w:type="dxa"/>
            <w:shd w:val="clear" w:color="auto" w:fill="auto"/>
            <w:tcMar>
              <w:top w:w="28" w:type="dxa"/>
              <w:left w:w="28" w:type="dxa"/>
              <w:bottom w:w="28" w:type="dxa"/>
              <w:right w:w="28" w:type="dxa"/>
            </w:tcMar>
            <w:vAlign w:val="center"/>
          </w:tcPr>
          <w:p w14:paraId="168E2455"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1.935</w:t>
            </w:r>
          </w:p>
        </w:tc>
        <w:tc>
          <w:tcPr>
            <w:tcW w:w="755" w:type="dxa"/>
            <w:shd w:val="clear" w:color="auto" w:fill="auto"/>
            <w:tcMar>
              <w:top w:w="28" w:type="dxa"/>
              <w:left w:w="28" w:type="dxa"/>
              <w:bottom w:w="28" w:type="dxa"/>
              <w:right w:w="28" w:type="dxa"/>
            </w:tcMar>
            <w:vAlign w:val="center"/>
          </w:tcPr>
          <w:p w14:paraId="661484A7"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1.505</w:t>
            </w:r>
          </w:p>
        </w:tc>
        <w:tc>
          <w:tcPr>
            <w:tcW w:w="1013" w:type="dxa"/>
            <w:shd w:val="clear" w:color="auto" w:fill="auto"/>
            <w:tcMar>
              <w:top w:w="28" w:type="dxa"/>
              <w:left w:w="28" w:type="dxa"/>
              <w:bottom w:w="28" w:type="dxa"/>
              <w:right w:w="28" w:type="dxa"/>
            </w:tcMar>
            <w:vAlign w:val="center"/>
          </w:tcPr>
          <w:p w14:paraId="3C31E837"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2.344</w:t>
            </w:r>
          </w:p>
        </w:tc>
        <w:tc>
          <w:tcPr>
            <w:tcW w:w="992" w:type="dxa"/>
            <w:shd w:val="clear" w:color="auto" w:fill="auto"/>
            <w:tcMar>
              <w:top w:w="28" w:type="dxa"/>
              <w:left w:w="28" w:type="dxa"/>
              <w:bottom w:w="28" w:type="dxa"/>
              <w:right w:w="28" w:type="dxa"/>
            </w:tcMar>
          </w:tcPr>
          <w:p w14:paraId="61A64EE2" w14:textId="77777777" w:rsidR="00703676" w:rsidRPr="00E87351" w:rsidRDefault="00AA5AC6">
            <w:pPr>
              <w:spacing w:line="360" w:lineRule="auto"/>
              <w:jc w:val="both"/>
              <w:rPr>
                <w:rFonts w:ascii="Book Antiqua" w:eastAsia="Times New Roman" w:hAnsi="Book Antiqua" w:cs="Arial"/>
                <w:bCs/>
                <w:lang w:val="pt-BR" w:eastAsia="pt-BR"/>
              </w:rPr>
            </w:pPr>
            <w:r w:rsidRPr="00E87351">
              <w:rPr>
                <w:rFonts w:ascii="Book Antiqua" w:eastAsia="Times New Roman" w:hAnsi="Book Antiqua" w:cs="Arial"/>
                <w:bCs/>
                <w:lang w:val="pt-BR" w:eastAsia="pt-BR"/>
              </w:rPr>
              <w:t>&lt; 0.001</w:t>
            </w:r>
          </w:p>
        </w:tc>
      </w:tr>
      <w:tr w:rsidR="00703676" w:rsidRPr="00E87351" w14:paraId="77F7D17B" w14:textId="77777777">
        <w:trPr>
          <w:trHeight w:val="277"/>
        </w:trPr>
        <w:tc>
          <w:tcPr>
            <w:tcW w:w="3614" w:type="dxa"/>
            <w:shd w:val="clear" w:color="auto" w:fill="auto"/>
            <w:tcMar>
              <w:top w:w="28" w:type="dxa"/>
              <w:left w:w="28" w:type="dxa"/>
              <w:bottom w:w="28" w:type="dxa"/>
              <w:right w:w="28" w:type="dxa"/>
            </w:tcMar>
            <w:vAlign w:val="center"/>
          </w:tcPr>
          <w:p w14:paraId="13B85778" w14:textId="77777777" w:rsidR="00703676" w:rsidRPr="00E87351" w:rsidRDefault="00AA5AC6">
            <w:pPr>
              <w:tabs>
                <w:tab w:val="left" w:pos="426"/>
              </w:tabs>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MBT, n (%)</w:t>
            </w:r>
          </w:p>
        </w:tc>
        <w:tc>
          <w:tcPr>
            <w:tcW w:w="1417" w:type="dxa"/>
            <w:shd w:val="clear" w:color="auto" w:fill="auto"/>
            <w:tcMar>
              <w:top w:w="28" w:type="dxa"/>
              <w:left w:w="28" w:type="dxa"/>
              <w:bottom w:w="28" w:type="dxa"/>
              <w:right w:w="28" w:type="dxa"/>
            </w:tcMar>
            <w:vAlign w:val="center"/>
          </w:tcPr>
          <w:p w14:paraId="22005CE1"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0.125</w:t>
            </w:r>
          </w:p>
        </w:tc>
        <w:tc>
          <w:tcPr>
            <w:tcW w:w="851" w:type="dxa"/>
            <w:shd w:val="clear" w:color="auto" w:fill="auto"/>
            <w:tcMar>
              <w:top w:w="28" w:type="dxa"/>
              <w:left w:w="28" w:type="dxa"/>
              <w:bottom w:w="28" w:type="dxa"/>
              <w:right w:w="28" w:type="dxa"/>
            </w:tcMar>
            <w:vAlign w:val="center"/>
          </w:tcPr>
          <w:p w14:paraId="02F7E5C1"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1.830</w:t>
            </w:r>
          </w:p>
        </w:tc>
        <w:tc>
          <w:tcPr>
            <w:tcW w:w="755" w:type="dxa"/>
            <w:shd w:val="clear" w:color="auto" w:fill="auto"/>
            <w:tcMar>
              <w:top w:w="28" w:type="dxa"/>
              <w:left w:w="28" w:type="dxa"/>
              <w:bottom w:w="28" w:type="dxa"/>
              <w:right w:w="28" w:type="dxa"/>
            </w:tcMar>
            <w:vAlign w:val="center"/>
          </w:tcPr>
          <w:p w14:paraId="7B35D18F"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1.428</w:t>
            </w:r>
          </w:p>
        </w:tc>
        <w:tc>
          <w:tcPr>
            <w:tcW w:w="1013" w:type="dxa"/>
            <w:shd w:val="clear" w:color="auto" w:fill="auto"/>
            <w:tcMar>
              <w:top w:w="28" w:type="dxa"/>
              <w:left w:w="28" w:type="dxa"/>
              <w:bottom w:w="28" w:type="dxa"/>
              <w:right w:w="28" w:type="dxa"/>
            </w:tcMar>
            <w:vAlign w:val="center"/>
          </w:tcPr>
          <w:p w14:paraId="5AB560D9"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2.241</w:t>
            </w:r>
          </w:p>
        </w:tc>
        <w:tc>
          <w:tcPr>
            <w:tcW w:w="992" w:type="dxa"/>
            <w:shd w:val="clear" w:color="auto" w:fill="auto"/>
            <w:tcMar>
              <w:top w:w="28" w:type="dxa"/>
              <w:left w:w="28" w:type="dxa"/>
              <w:bottom w:w="28" w:type="dxa"/>
              <w:right w:w="28" w:type="dxa"/>
            </w:tcMar>
          </w:tcPr>
          <w:p w14:paraId="7B514603" w14:textId="77777777" w:rsidR="00703676" w:rsidRPr="00E87351" w:rsidRDefault="00AA5AC6">
            <w:pPr>
              <w:spacing w:line="360" w:lineRule="auto"/>
              <w:jc w:val="both"/>
              <w:rPr>
                <w:rFonts w:ascii="Book Antiqua" w:eastAsia="Times New Roman" w:hAnsi="Book Antiqua" w:cs="Arial"/>
                <w:bCs/>
                <w:lang w:val="pt-BR" w:eastAsia="pt-BR"/>
              </w:rPr>
            </w:pPr>
            <w:r w:rsidRPr="00E87351">
              <w:rPr>
                <w:rFonts w:ascii="Book Antiqua" w:eastAsia="Times New Roman" w:hAnsi="Book Antiqua" w:cs="Arial"/>
                <w:bCs/>
                <w:lang w:val="pt-BR" w:eastAsia="pt-BR"/>
              </w:rPr>
              <w:t>&lt; 0.001</w:t>
            </w:r>
          </w:p>
        </w:tc>
      </w:tr>
      <w:tr w:rsidR="00703676" w:rsidRPr="00E87351" w14:paraId="4967610F" w14:textId="77777777">
        <w:trPr>
          <w:trHeight w:val="365"/>
        </w:trPr>
        <w:tc>
          <w:tcPr>
            <w:tcW w:w="3614" w:type="dxa"/>
            <w:shd w:val="clear" w:color="auto" w:fill="auto"/>
            <w:tcMar>
              <w:top w:w="28" w:type="dxa"/>
              <w:left w:w="28" w:type="dxa"/>
              <w:bottom w:w="28" w:type="dxa"/>
              <w:right w:w="28" w:type="dxa"/>
            </w:tcMar>
            <w:vAlign w:val="center"/>
          </w:tcPr>
          <w:p w14:paraId="792C4734" w14:textId="77777777" w:rsidR="00703676" w:rsidRPr="00E87351" w:rsidRDefault="00AA5AC6">
            <w:pPr>
              <w:tabs>
                <w:tab w:val="left" w:pos="426"/>
              </w:tabs>
              <w:spacing w:line="360" w:lineRule="auto"/>
              <w:jc w:val="both"/>
              <w:rPr>
                <w:rFonts w:ascii="Book Antiqua" w:eastAsia="Times New Roman" w:hAnsi="Book Antiqua" w:cs="Arial"/>
                <w:lang w:eastAsia="pt-BR"/>
              </w:rPr>
            </w:pPr>
            <w:r w:rsidRPr="00E87351">
              <w:rPr>
                <w:rFonts w:ascii="Book Antiqua" w:eastAsia="Times New Roman" w:hAnsi="Book Antiqua" w:cs="Arial"/>
                <w:lang w:eastAsia="pt-BR"/>
              </w:rPr>
              <w:t>SL (mmol/L) ≥ 2</w:t>
            </w:r>
            <w:r w:rsidRPr="00E87351">
              <w:rPr>
                <w:rFonts w:ascii="Book Antiqua" w:hAnsi="Book Antiqua" w:cs="Arial" w:hint="eastAsia"/>
                <w:lang w:eastAsia="zh-CN"/>
              </w:rPr>
              <w:t>.</w:t>
            </w:r>
            <w:r w:rsidRPr="00E87351">
              <w:rPr>
                <w:rFonts w:ascii="Book Antiqua" w:eastAsia="Times New Roman" w:hAnsi="Book Antiqua" w:cs="Arial"/>
                <w:lang w:eastAsia="pt-BR"/>
              </w:rPr>
              <w:t>0 at the end of LT</w:t>
            </w:r>
          </w:p>
        </w:tc>
        <w:tc>
          <w:tcPr>
            <w:tcW w:w="1417" w:type="dxa"/>
            <w:shd w:val="clear" w:color="auto" w:fill="auto"/>
            <w:tcMar>
              <w:top w:w="28" w:type="dxa"/>
              <w:left w:w="28" w:type="dxa"/>
              <w:bottom w:w="28" w:type="dxa"/>
              <w:right w:w="28" w:type="dxa"/>
            </w:tcMar>
            <w:vAlign w:val="center"/>
          </w:tcPr>
          <w:p w14:paraId="32B488E8"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0.110</w:t>
            </w:r>
          </w:p>
        </w:tc>
        <w:tc>
          <w:tcPr>
            <w:tcW w:w="851" w:type="dxa"/>
            <w:shd w:val="clear" w:color="auto" w:fill="auto"/>
            <w:tcMar>
              <w:top w:w="30" w:type="dxa"/>
              <w:left w:w="30" w:type="dxa"/>
              <w:bottom w:w="30" w:type="dxa"/>
              <w:right w:w="30" w:type="dxa"/>
            </w:tcMar>
            <w:vAlign w:val="center"/>
          </w:tcPr>
          <w:p w14:paraId="52F4FF3A"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2.001</w:t>
            </w:r>
          </w:p>
        </w:tc>
        <w:tc>
          <w:tcPr>
            <w:tcW w:w="755" w:type="dxa"/>
            <w:shd w:val="clear" w:color="auto" w:fill="auto"/>
            <w:tcMar>
              <w:top w:w="28" w:type="dxa"/>
              <w:left w:w="28" w:type="dxa"/>
              <w:bottom w:w="28" w:type="dxa"/>
              <w:right w:w="28" w:type="dxa"/>
            </w:tcMar>
            <w:vAlign w:val="center"/>
          </w:tcPr>
          <w:p w14:paraId="1BF030D6"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1.616</w:t>
            </w:r>
          </w:p>
        </w:tc>
        <w:tc>
          <w:tcPr>
            <w:tcW w:w="1013" w:type="dxa"/>
            <w:shd w:val="clear" w:color="auto" w:fill="auto"/>
            <w:tcMar>
              <w:top w:w="28" w:type="dxa"/>
              <w:left w:w="28" w:type="dxa"/>
              <w:bottom w:w="28" w:type="dxa"/>
              <w:right w:w="28" w:type="dxa"/>
            </w:tcMar>
            <w:vAlign w:val="center"/>
          </w:tcPr>
          <w:p w14:paraId="688E3045" w14:textId="77777777" w:rsidR="00703676" w:rsidRPr="00E87351" w:rsidRDefault="00AA5AC6">
            <w:pPr>
              <w:spacing w:line="360" w:lineRule="auto"/>
              <w:jc w:val="both"/>
              <w:rPr>
                <w:rFonts w:ascii="Book Antiqua" w:eastAsia="Times New Roman" w:hAnsi="Book Antiqua" w:cs="Arial"/>
                <w:lang w:val="pt-BR" w:eastAsia="pt-BR"/>
              </w:rPr>
            </w:pPr>
            <w:r w:rsidRPr="00E87351">
              <w:rPr>
                <w:rFonts w:ascii="Book Antiqua" w:eastAsia="Times New Roman" w:hAnsi="Book Antiqua" w:cs="Arial"/>
                <w:lang w:val="pt-BR" w:eastAsia="pt-BR"/>
              </w:rPr>
              <w:t>2.421</w:t>
            </w:r>
          </w:p>
        </w:tc>
        <w:tc>
          <w:tcPr>
            <w:tcW w:w="992" w:type="dxa"/>
            <w:shd w:val="clear" w:color="auto" w:fill="auto"/>
            <w:tcMar>
              <w:top w:w="28" w:type="dxa"/>
              <w:left w:w="28" w:type="dxa"/>
              <w:bottom w:w="28" w:type="dxa"/>
              <w:right w:w="28" w:type="dxa"/>
            </w:tcMar>
            <w:vAlign w:val="center"/>
          </w:tcPr>
          <w:p w14:paraId="31DEBF8D" w14:textId="77777777" w:rsidR="00703676" w:rsidRPr="00E87351" w:rsidRDefault="00AA5AC6">
            <w:pPr>
              <w:spacing w:line="360" w:lineRule="auto"/>
              <w:jc w:val="both"/>
              <w:rPr>
                <w:rFonts w:ascii="Book Antiqua" w:eastAsia="Times New Roman" w:hAnsi="Book Antiqua" w:cs="Arial"/>
                <w:bCs/>
                <w:lang w:val="pt-BR" w:eastAsia="pt-BR"/>
              </w:rPr>
            </w:pPr>
            <w:r w:rsidRPr="00E87351">
              <w:rPr>
                <w:rFonts w:ascii="Book Antiqua" w:eastAsia="Times New Roman" w:hAnsi="Book Antiqua" w:cs="Arial"/>
                <w:bCs/>
                <w:lang w:val="pt-BR" w:eastAsia="pt-BR"/>
              </w:rPr>
              <w:t>&lt; 0.001</w:t>
            </w:r>
          </w:p>
        </w:tc>
      </w:tr>
    </w:tbl>
    <w:p w14:paraId="0C8F20C6" w14:textId="2C635B6F" w:rsidR="00FD5C7F" w:rsidRPr="00E87351" w:rsidRDefault="00AA5AC6">
      <w:pPr>
        <w:spacing w:line="360" w:lineRule="auto"/>
        <w:jc w:val="both"/>
        <w:rPr>
          <w:rFonts w:ascii="Book Antiqua" w:hAnsi="Book Antiqua"/>
          <w:lang w:eastAsia="zh-CN"/>
        </w:rPr>
      </w:pPr>
      <w:r w:rsidRPr="00E87351">
        <w:rPr>
          <w:rFonts w:ascii="Book Antiqua" w:hAnsi="Book Antiqua"/>
          <w:lang w:eastAsia="zh-CN"/>
        </w:rPr>
        <w:t>Hosmer and Lemeshow goodness of fit test not significant at 5% (P = 0.701); Nagelkerke R2 statistic = 0.163).</w:t>
      </w:r>
      <w:r w:rsidRPr="00E87351">
        <w:rPr>
          <w:rFonts w:ascii="Book Antiqua" w:hAnsi="Book Antiqua" w:hint="eastAsia"/>
          <w:lang w:eastAsia="zh-CN"/>
        </w:rPr>
        <w:t xml:space="preserve"> </w:t>
      </w:r>
      <w:r w:rsidRPr="00E87351">
        <w:rPr>
          <w:rFonts w:ascii="Book Antiqua" w:hAnsi="Book Antiqua"/>
          <w:lang w:eastAsia="zh-CN"/>
        </w:rPr>
        <w:t>LR: Logistic regression; AKI: Acute kidney injury; MELD: Model for End-stage Liver Disease; OR: Odds ratio; CI: Confidence interval; KD: Kidney dysfunction; ECD: Extended criteria donor; IOAH: Intra-operative arterial hypotension; MBT: Massive blood transfusion; SL: Serum lactate.</w:t>
      </w:r>
    </w:p>
    <w:p w14:paraId="28AF8092" w14:textId="77777777" w:rsidR="00FD5C7F" w:rsidRPr="00E87351" w:rsidRDefault="00FD5C7F">
      <w:pPr>
        <w:spacing w:line="360" w:lineRule="auto"/>
        <w:jc w:val="both"/>
        <w:rPr>
          <w:rFonts w:ascii="Book Antiqua" w:hAnsi="Book Antiqua"/>
          <w:lang w:eastAsia="zh-CN"/>
        </w:rPr>
      </w:pPr>
    </w:p>
    <w:p w14:paraId="69CBD63E" w14:textId="69E8F297" w:rsidR="00FD5C7F" w:rsidRPr="00E87351" w:rsidRDefault="00FD5C7F">
      <w:pPr>
        <w:spacing w:line="360" w:lineRule="auto"/>
        <w:jc w:val="both"/>
        <w:rPr>
          <w:rFonts w:ascii="Book Antiqua" w:hAnsi="Book Antiqua"/>
          <w:lang w:eastAsia="zh-CN"/>
        </w:rPr>
        <w:sectPr w:rsidR="00FD5C7F" w:rsidRPr="00E87351">
          <w:pgSz w:w="12240" w:h="15840"/>
          <w:pgMar w:top="1440" w:right="1440" w:bottom="1440" w:left="1440" w:header="720" w:footer="720" w:gutter="0"/>
          <w:cols w:space="720"/>
          <w:docGrid w:linePitch="360"/>
        </w:sectPr>
      </w:pPr>
    </w:p>
    <w:p w14:paraId="7F1B3FAF" w14:textId="77777777" w:rsidR="00FD5C7F" w:rsidRPr="00E87351" w:rsidRDefault="00FD5C7F" w:rsidP="00FD5C7F">
      <w:pPr>
        <w:jc w:val="center"/>
        <w:rPr>
          <w:rFonts w:ascii="Book Antiqua" w:hAnsi="Book Antiqua"/>
        </w:rPr>
      </w:pPr>
      <w:bookmarkStart w:id="3" w:name="_Hlk98765731"/>
    </w:p>
    <w:p w14:paraId="53670672" w14:textId="77777777" w:rsidR="00FD5C7F" w:rsidRPr="00E87351" w:rsidRDefault="00FD5C7F" w:rsidP="00FD5C7F">
      <w:pPr>
        <w:jc w:val="center"/>
        <w:rPr>
          <w:rFonts w:ascii="Book Antiqua" w:hAnsi="Book Antiqua"/>
        </w:rPr>
      </w:pPr>
    </w:p>
    <w:p w14:paraId="326F3694" w14:textId="77777777" w:rsidR="00FD5C7F" w:rsidRPr="00E87351" w:rsidRDefault="00FD5C7F" w:rsidP="00FD5C7F">
      <w:pPr>
        <w:jc w:val="center"/>
        <w:rPr>
          <w:rFonts w:ascii="Book Antiqua" w:hAnsi="Book Antiqua"/>
        </w:rPr>
      </w:pPr>
    </w:p>
    <w:p w14:paraId="6F8DAC92" w14:textId="77777777" w:rsidR="00FD5C7F" w:rsidRPr="00E87351" w:rsidRDefault="00FD5C7F" w:rsidP="00FD5C7F">
      <w:pPr>
        <w:jc w:val="center"/>
        <w:rPr>
          <w:rFonts w:ascii="Book Antiqua" w:hAnsi="Book Antiqua"/>
        </w:rPr>
      </w:pPr>
    </w:p>
    <w:p w14:paraId="292250F4" w14:textId="5DDC8CB1" w:rsidR="00FD5C7F" w:rsidRPr="00E87351" w:rsidRDefault="00FD5C7F" w:rsidP="00FD5C7F">
      <w:pPr>
        <w:jc w:val="center"/>
        <w:rPr>
          <w:rFonts w:ascii="Book Antiqua" w:hAnsi="Book Antiqua"/>
        </w:rPr>
      </w:pPr>
      <w:r w:rsidRPr="00E87351">
        <w:rPr>
          <w:rFonts w:ascii="Book Antiqua" w:hAnsi="Book Antiqua"/>
          <w:noProof/>
        </w:rPr>
        <w:drawing>
          <wp:inline distT="0" distB="0" distL="0" distR="0" wp14:anchorId="05B3CAD4" wp14:editId="48E3951E">
            <wp:extent cx="2495550" cy="1438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24887A7B" w14:textId="77777777" w:rsidR="00FD5C7F" w:rsidRPr="00E87351" w:rsidRDefault="00FD5C7F" w:rsidP="00FD5C7F">
      <w:pPr>
        <w:jc w:val="center"/>
        <w:rPr>
          <w:rFonts w:ascii="Book Antiqua" w:hAnsi="Book Antiqua"/>
        </w:rPr>
      </w:pPr>
    </w:p>
    <w:p w14:paraId="22CF925C" w14:textId="77777777" w:rsidR="00FD5C7F" w:rsidRPr="00E87351" w:rsidRDefault="00FD5C7F" w:rsidP="00FD5C7F">
      <w:pPr>
        <w:autoSpaceDE w:val="0"/>
        <w:autoSpaceDN w:val="0"/>
        <w:adjustRightInd w:val="0"/>
        <w:jc w:val="center"/>
        <w:rPr>
          <w:rFonts w:ascii="Book Antiqua" w:eastAsia="Garamond-Bold" w:hAnsi="Book Antiqua" w:cs="Garamond-Bold"/>
          <w:b/>
          <w:bCs/>
          <w:color w:val="000000"/>
          <w:sz w:val="28"/>
          <w:szCs w:val="28"/>
        </w:rPr>
      </w:pPr>
      <w:r w:rsidRPr="00E87351">
        <w:rPr>
          <w:rFonts w:ascii="Book Antiqua" w:eastAsia="TimesNewRomanPSMT" w:hAnsi="Book Antiqua" w:cs="TimesNewRomanPSMT"/>
          <w:color w:val="000000"/>
          <w:sz w:val="28"/>
          <w:szCs w:val="28"/>
        </w:rPr>
        <w:t xml:space="preserve">Published by </w:t>
      </w:r>
      <w:r w:rsidRPr="00E87351">
        <w:rPr>
          <w:rFonts w:ascii="Book Antiqua" w:eastAsia="Garamond-Bold" w:hAnsi="Book Antiqua" w:cs="Garamond-Bold"/>
          <w:b/>
          <w:bCs/>
          <w:color w:val="000000"/>
          <w:sz w:val="28"/>
          <w:szCs w:val="28"/>
        </w:rPr>
        <w:t>Baishideng Publishing Group Inc</w:t>
      </w:r>
    </w:p>
    <w:p w14:paraId="102E8674" w14:textId="77777777" w:rsidR="00FD5C7F" w:rsidRPr="00E87351" w:rsidRDefault="00FD5C7F" w:rsidP="00FD5C7F">
      <w:pPr>
        <w:autoSpaceDE w:val="0"/>
        <w:autoSpaceDN w:val="0"/>
        <w:adjustRightInd w:val="0"/>
        <w:jc w:val="center"/>
        <w:rPr>
          <w:rFonts w:ascii="Book Antiqua" w:eastAsia="TimesNewRomanPSMT" w:hAnsi="Book Antiqua" w:cs="Garamond"/>
          <w:color w:val="000000"/>
          <w:sz w:val="28"/>
          <w:szCs w:val="28"/>
        </w:rPr>
      </w:pPr>
      <w:r w:rsidRPr="00E87351">
        <w:rPr>
          <w:rFonts w:ascii="Book Antiqua" w:eastAsia="TimesNewRomanPSMT" w:hAnsi="Book Antiqua" w:cs="Garamond"/>
          <w:color w:val="000000"/>
          <w:sz w:val="28"/>
          <w:szCs w:val="28"/>
        </w:rPr>
        <w:t>7041 Koll Center Parkway, Suite 160, Pleasanton, CA 94566, USA</w:t>
      </w:r>
    </w:p>
    <w:p w14:paraId="63E8B800" w14:textId="77777777" w:rsidR="00FD5C7F" w:rsidRPr="00E87351" w:rsidRDefault="00FD5C7F" w:rsidP="00FD5C7F">
      <w:pPr>
        <w:autoSpaceDE w:val="0"/>
        <w:autoSpaceDN w:val="0"/>
        <w:adjustRightInd w:val="0"/>
        <w:jc w:val="center"/>
        <w:rPr>
          <w:rFonts w:ascii="Book Antiqua" w:eastAsia="TimesNewRomanPSMT" w:hAnsi="Book Antiqua" w:cs="Garamond"/>
          <w:color w:val="000000"/>
          <w:sz w:val="28"/>
          <w:szCs w:val="28"/>
        </w:rPr>
      </w:pPr>
      <w:r w:rsidRPr="00E87351">
        <w:rPr>
          <w:rFonts w:ascii="Book Antiqua" w:eastAsia="Garamond-Bold" w:hAnsi="Book Antiqua" w:cs="Garamond-Bold"/>
          <w:b/>
          <w:bCs/>
          <w:color w:val="000000"/>
          <w:sz w:val="28"/>
          <w:szCs w:val="28"/>
        </w:rPr>
        <w:t xml:space="preserve">Telephone: </w:t>
      </w:r>
      <w:r w:rsidRPr="00E87351">
        <w:rPr>
          <w:rFonts w:ascii="Book Antiqua" w:eastAsia="TimesNewRomanPSMT" w:hAnsi="Book Antiqua" w:cs="Garamond"/>
          <w:color w:val="000000"/>
          <w:sz w:val="28"/>
          <w:szCs w:val="28"/>
        </w:rPr>
        <w:t>+1-925-3991568</w:t>
      </w:r>
    </w:p>
    <w:p w14:paraId="71E7CA1D" w14:textId="77777777" w:rsidR="00FD5C7F" w:rsidRPr="00E87351" w:rsidRDefault="00FD5C7F" w:rsidP="00FD5C7F">
      <w:pPr>
        <w:autoSpaceDE w:val="0"/>
        <w:autoSpaceDN w:val="0"/>
        <w:adjustRightInd w:val="0"/>
        <w:jc w:val="center"/>
        <w:rPr>
          <w:rFonts w:ascii="Book Antiqua" w:eastAsia="TimesNewRomanPSMT" w:hAnsi="Book Antiqua" w:cs="Garamond"/>
          <w:color w:val="D56400"/>
          <w:sz w:val="28"/>
          <w:szCs w:val="28"/>
        </w:rPr>
      </w:pPr>
      <w:r w:rsidRPr="00E87351">
        <w:rPr>
          <w:rFonts w:ascii="Book Antiqua" w:eastAsia="Garamond-Bold" w:hAnsi="Book Antiqua" w:cs="Garamond-Bold"/>
          <w:b/>
          <w:bCs/>
          <w:color w:val="000000"/>
          <w:sz w:val="28"/>
          <w:szCs w:val="28"/>
        </w:rPr>
        <w:t xml:space="preserve">E-mail: </w:t>
      </w:r>
      <w:r w:rsidRPr="00E87351">
        <w:rPr>
          <w:rFonts w:ascii="Book Antiqua" w:eastAsia="TimesNewRomanPSMT" w:hAnsi="Book Antiqua" w:cs="Garamond"/>
          <w:color w:val="D56400"/>
          <w:sz w:val="28"/>
          <w:szCs w:val="28"/>
        </w:rPr>
        <w:t>bpgoffice@wjgnet.com</w:t>
      </w:r>
    </w:p>
    <w:p w14:paraId="6441ACE0" w14:textId="77777777" w:rsidR="00FD5C7F" w:rsidRPr="00E87351" w:rsidRDefault="00FD5C7F" w:rsidP="00FD5C7F">
      <w:pPr>
        <w:autoSpaceDE w:val="0"/>
        <w:autoSpaceDN w:val="0"/>
        <w:adjustRightInd w:val="0"/>
        <w:jc w:val="center"/>
        <w:rPr>
          <w:rFonts w:ascii="Book Antiqua" w:eastAsia="TimesNewRomanPSMT" w:hAnsi="Book Antiqua" w:cs="Garamond"/>
          <w:color w:val="D56400"/>
          <w:sz w:val="28"/>
          <w:szCs w:val="28"/>
        </w:rPr>
      </w:pPr>
      <w:r w:rsidRPr="00E87351">
        <w:rPr>
          <w:rFonts w:ascii="Book Antiqua" w:eastAsia="Garamond-Bold" w:hAnsi="Book Antiqua" w:cs="Garamond-Bold"/>
          <w:b/>
          <w:bCs/>
          <w:color w:val="000000"/>
          <w:sz w:val="28"/>
          <w:szCs w:val="28"/>
        </w:rPr>
        <w:t xml:space="preserve">Help Desk: </w:t>
      </w:r>
      <w:r w:rsidRPr="00E87351">
        <w:rPr>
          <w:rFonts w:ascii="Book Antiqua" w:eastAsia="TimesNewRomanPSMT" w:hAnsi="Book Antiqua" w:cs="Garamond"/>
          <w:color w:val="D56400"/>
          <w:sz w:val="28"/>
          <w:szCs w:val="28"/>
        </w:rPr>
        <w:t>https://www.f6publishing.com/helpdesk</w:t>
      </w:r>
    </w:p>
    <w:p w14:paraId="4691EE68" w14:textId="77777777" w:rsidR="00FD5C7F" w:rsidRPr="00E87351" w:rsidRDefault="00FD5C7F" w:rsidP="00FD5C7F">
      <w:pPr>
        <w:jc w:val="center"/>
        <w:rPr>
          <w:rFonts w:ascii="Book Antiqua" w:hAnsi="Book Antiqua"/>
        </w:rPr>
      </w:pPr>
      <w:r w:rsidRPr="00E87351">
        <w:rPr>
          <w:rFonts w:ascii="Book Antiqua" w:eastAsia="TimesNewRomanPSMT" w:hAnsi="Book Antiqua" w:cs="Garamond"/>
          <w:color w:val="D56400"/>
          <w:sz w:val="28"/>
          <w:szCs w:val="28"/>
        </w:rPr>
        <w:t>https://www.wjgnet.com</w:t>
      </w:r>
    </w:p>
    <w:p w14:paraId="6773EE3C" w14:textId="77777777" w:rsidR="00FD5C7F" w:rsidRPr="00E87351" w:rsidRDefault="00FD5C7F" w:rsidP="00FD5C7F">
      <w:pPr>
        <w:jc w:val="center"/>
        <w:rPr>
          <w:rFonts w:ascii="Book Antiqua" w:hAnsi="Book Antiqua"/>
        </w:rPr>
      </w:pPr>
    </w:p>
    <w:p w14:paraId="6587678F" w14:textId="77777777" w:rsidR="00FD5C7F" w:rsidRPr="00E87351" w:rsidRDefault="00FD5C7F" w:rsidP="00FD5C7F">
      <w:pPr>
        <w:jc w:val="center"/>
        <w:rPr>
          <w:rFonts w:ascii="Book Antiqua" w:hAnsi="Book Antiqua"/>
        </w:rPr>
      </w:pPr>
    </w:p>
    <w:p w14:paraId="169CCB25" w14:textId="77777777" w:rsidR="00FD5C7F" w:rsidRPr="00E87351" w:rsidRDefault="00FD5C7F" w:rsidP="00FD5C7F">
      <w:pPr>
        <w:jc w:val="center"/>
        <w:rPr>
          <w:rFonts w:ascii="Book Antiqua" w:hAnsi="Book Antiqua"/>
        </w:rPr>
      </w:pPr>
    </w:p>
    <w:p w14:paraId="1829F707" w14:textId="7AD32BEF" w:rsidR="00FD5C7F" w:rsidRPr="00E87351" w:rsidRDefault="00FD5C7F" w:rsidP="00FD5C7F">
      <w:pPr>
        <w:jc w:val="center"/>
        <w:rPr>
          <w:rFonts w:ascii="Book Antiqua" w:hAnsi="Book Antiqua"/>
        </w:rPr>
      </w:pPr>
      <w:r w:rsidRPr="00E87351">
        <w:rPr>
          <w:rFonts w:ascii="Book Antiqua" w:hAnsi="Book Antiqua"/>
          <w:noProof/>
        </w:rPr>
        <w:drawing>
          <wp:inline distT="0" distB="0" distL="0" distR="0" wp14:anchorId="5D78D1F3" wp14:editId="5BC39FB8">
            <wp:extent cx="1447800" cy="14382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1CF67DF2" w14:textId="77777777" w:rsidR="00FD5C7F" w:rsidRPr="00E87351" w:rsidRDefault="00FD5C7F" w:rsidP="00FD5C7F">
      <w:pPr>
        <w:jc w:val="center"/>
        <w:rPr>
          <w:rFonts w:ascii="Book Antiqua" w:hAnsi="Book Antiqua"/>
        </w:rPr>
      </w:pPr>
    </w:p>
    <w:p w14:paraId="374A5B72" w14:textId="77777777" w:rsidR="00FD5C7F" w:rsidRPr="00E87351" w:rsidRDefault="00FD5C7F" w:rsidP="00FD5C7F">
      <w:pPr>
        <w:jc w:val="center"/>
        <w:rPr>
          <w:rFonts w:ascii="Book Antiqua" w:hAnsi="Book Antiqua"/>
        </w:rPr>
      </w:pPr>
    </w:p>
    <w:p w14:paraId="3AA2F689" w14:textId="77777777" w:rsidR="00FD5C7F" w:rsidRPr="00E87351" w:rsidRDefault="00FD5C7F" w:rsidP="00FD5C7F">
      <w:pPr>
        <w:jc w:val="center"/>
        <w:rPr>
          <w:rFonts w:ascii="Book Antiqua" w:hAnsi="Book Antiqua"/>
        </w:rPr>
      </w:pPr>
    </w:p>
    <w:p w14:paraId="18D8C29C" w14:textId="77777777" w:rsidR="00FD5C7F" w:rsidRPr="00E87351" w:rsidRDefault="00FD5C7F" w:rsidP="00FD5C7F">
      <w:pPr>
        <w:jc w:val="center"/>
        <w:rPr>
          <w:rFonts w:ascii="Book Antiqua" w:hAnsi="Book Antiqua"/>
        </w:rPr>
      </w:pPr>
    </w:p>
    <w:p w14:paraId="4EAE902C" w14:textId="77777777" w:rsidR="00FD5C7F" w:rsidRPr="00E87351" w:rsidRDefault="00FD5C7F" w:rsidP="00FD5C7F">
      <w:pPr>
        <w:jc w:val="center"/>
        <w:rPr>
          <w:rFonts w:ascii="Book Antiqua" w:hAnsi="Book Antiqua"/>
        </w:rPr>
      </w:pPr>
    </w:p>
    <w:p w14:paraId="19DDB5FD" w14:textId="77777777" w:rsidR="00FD5C7F" w:rsidRPr="00E87351" w:rsidRDefault="00FD5C7F" w:rsidP="00FD5C7F">
      <w:pPr>
        <w:jc w:val="center"/>
        <w:rPr>
          <w:rFonts w:ascii="Book Antiqua" w:hAnsi="Book Antiqua"/>
        </w:rPr>
      </w:pPr>
    </w:p>
    <w:p w14:paraId="699B61C1" w14:textId="77777777" w:rsidR="00FD5C7F" w:rsidRPr="00E87351" w:rsidRDefault="00FD5C7F" w:rsidP="00FD5C7F">
      <w:pPr>
        <w:jc w:val="center"/>
        <w:rPr>
          <w:rFonts w:ascii="Book Antiqua" w:hAnsi="Book Antiqua"/>
        </w:rPr>
      </w:pPr>
    </w:p>
    <w:p w14:paraId="090227D2" w14:textId="77777777" w:rsidR="00FD5C7F" w:rsidRPr="00E87351" w:rsidRDefault="00FD5C7F" w:rsidP="00FD5C7F">
      <w:pPr>
        <w:jc w:val="center"/>
        <w:rPr>
          <w:rFonts w:ascii="Book Antiqua" w:hAnsi="Book Antiqua"/>
        </w:rPr>
      </w:pPr>
    </w:p>
    <w:p w14:paraId="32BE5CAF" w14:textId="77777777" w:rsidR="00FD5C7F" w:rsidRPr="00E87351" w:rsidRDefault="00FD5C7F" w:rsidP="00FD5C7F">
      <w:pPr>
        <w:jc w:val="center"/>
        <w:rPr>
          <w:rFonts w:ascii="Book Antiqua" w:hAnsi="Book Antiqua"/>
        </w:rPr>
      </w:pPr>
    </w:p>
    <w:p w14:paraId="4BF684A8" w14:textId="77777777" w:rsidR="00FD5C7F" w:rsidRPr="00E87351" w:rsidRDefault="00FD5C7F" w:rsidP="00FD5C7F">
      <w:pPr>
        <w:jc w:val="right"/>
        <w:rPr>
          <w:rFonts w:ascii="Book Antiqua" w:hAnsi="Book Antiqua"/>
          <w:color w:val="000000" w:themeColor="text1"/>
        </w:rPr>
      </w:pPr>
    </w:p>
    <w:p w14:paraId="4B4C0E20" w14:textId="77777777" w:rsidR="00FD5C7F" w:rsidRDefault="00FD5C7F" w:rsidP="00FD5C7F">
      <w:pPr>
        <w:jc w:val="center"/>
        <w:rPr>
          <w:rFonts w:ascii="Book Antiqua" w:eastAsia="BookAntiqua-Bold" w:hAnsi="Book Antiqua" w:cs="BookAntiqua-Bold"/>
          <w:b/>
          <w:bCs/>
          <w:color w:val="000000" w:themeColor="text1"/>
        </w:rPr>
      </w:pPr>
      <w:r w:rsidRPr="00E87351">
        <w:rPr>
          <w:rFonts w:ascii="Book Antiqua" w:eastAsia="BookAntiqua-Bold" w:hAnsi="Book Antiqua" w:cs="BookAntiqua-Bold"/>
          <w:b/>
          <w:bCs/>
          <w:color w:val="000000" w:themeColor="text1"/>
        </w:rPr>
        <w:t>© 2022 Baishideng Publishing Group Inc. All rights reserved.</w:t>
      </w:r>
      <w:r>
        <w:rPr>
          <w:rFonts w:ascii="Book Antiqua" w:eastAsia="BookAntiqua-Bold" w:hAnsi="Book Antiqua" w:cs="BookAntiqua-Bold"/>
          <w:b/>
          <w:bCs/>
          <w:color w:val="000000" w:themeColor="text1"/>
        </w:rPr>
        <w:t xml:space="preserve"> </w:t>
      </w:r>
      <w:bookmarkEnd w:id="3"/>
    </w:p>
    <w:p w14:paraId="1E035850" w14:textId="77777777" w:rsidR="00703676" w:rsidRPr="00FD5C7F" w:rsidRDefault="00703676" w:rsidP="00FD5C7F">
      <w:pPr>
        <w:spacing w:line="360" w:lineRule="auto"/>
        <w:jc w:val="both"/>
        <w:rPr>
          <w:rFonts w:ascii="Book Antiqua" w:hAnsi="Book Antiqua"/>
          <w:lang w:eastAsia="zh-CN"/>
        </w:rPr>
      </w:pPr>
    </w:p>
    <w:sectPr w:rsidR="00703676" w:rsidRPr="00FD5C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6EA79" w14:textId="77777777" w:rsidR="0012761B" w:rsidRDefault="0012761B">
      <w:r>
        <w:separator/>
      </w:r>
    </w:p>
  </w:endnote>
  <w:endnote w:type="continuationSeparator" w:id="0">
    <w:p w14:paraId="4680F097" w14:textId="77777777" w:rsidR="0012761B" w:rsidRDefault="0012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Roanoke Scrip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99E5" w14:textId="77777777" w:rsidR="00703676" w:rsidRDefault="00AA5AC6">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34</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07862" w14:textId="77777777" w:rsidR="0012761B" w:rsidRDefault="0012761B">
      <w:r>
        <w:separator/>
      </w:r>
    </w:p>
  </w:footnote>
  <w:footnote w:type="continuationSeparator" w:id="0">
    <w:p w14:paraId="61DE6696" w14:textId="77777777" w:rsidR="0012761B" w:rsidRDefault="001276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C80"/>
    <w:rsid w:val="00007FA6"/>
    <w:rsid w:val="00042DBC"/>
    <w:rsid w:val="000743C8"/>
    <w:rsid w:val="000F503E"/>
    <w:rsid w:val="0012761B"/>
    <w:rsid w:val="001303DE"/>
    <w:rsid w:val="00183CDB"/>
    <w:rsid w:val="00196B4D"/>
    <w:rsid w:val="001E5C4A"/>
    <w:rsid w:val="001F5E99"/>
    <w:rsid w:val="0024641A"/>
    <w:rsid w:val="00273D16"/>
    <w:rsid w:val="002A6A1A"/>
    <w:rsid w:val="002C1FAD"/>
    <w:rsid w:val="002E641A"/>
    <w:rsid w:val="003174F7"/>
    <w:rsid w:val="00337B33"/>
    <w:rsid w:val="00376652"/>
    <w:rsid w:val="00386927"/>
    <w:rsid w:val="003D63A5"/>
    <w:rsid w:val="003E537E"/>
    <w:rsid w:val="004079C4"/>
    <w:rsid w:val="00454321"/>
    <w:rsid w:val="0047015E"/>
    <w:rsid w:val="00481D7C"/>
    <w:rsid w:val="004B29EC"/>
    <w:rsid w:val="004E5117"/>
    <w:rsid w:val="004F0491"/>
    <w:rsid w:val="004F66A2"/>
    <w:rsid w:val="004F6AC4"/>
    <w:rsid w:val="00522198"/>
    <w:rsid w:val="00556EC6"/>
    <w:rsid w:val="0056244D"/>
    <w:rsid w:val="0058596E"/>
    <w:rsid w:val="005A247F"/>
    <w:rsid w:val="005C0E79"/>
    <w:rsid w:val="005D4E71"/>
    <w:rsid w:val="00611785"/>
    <w:rsid w:val="00633A1C"/>
    <w:rsid w:val="00665BF7"/>
    <w:rsid w:val="006C2F2D"/>
    <w:rsid w:val="006D72AB"/>
    <w:rsid w:val="006F6816"/>
    <w:rsid w:val="00703676"/>
    <w:rsid w:val="00704507"/>
    <w:rsid w:val="0071524F"/>
    <w:rsid w:val="00741A61"/>
    <w:rsid w:val="00754C4B"/>
    <w:rsid w:val="007738B1"/>
    <w:rsid w:val="007A6FEA"/>
    <w:rsid w:val="007B0FC2"/>
    <w:rsid w:val="007B195A"/>
    <w:rsid w:val="007E1E50"/>
    <w:rsid w:val="007E6C80"/>
    <w:rsid w:val="008173B0"/>
    <w:rsid w:val="008560C4"/>
    <w:rsid w:val="008C7843"/>
    <w:rsid w:val="00901213"/>
    <w:rsid w:val="00950DF9"/>
    <w:rsid w:val="0096332A"/>
    <w:rsid w:val="00972006"/>
    <w:rsid w:val="009966BD"/>
    <w:rsid w:val="009C73F8"/>
    <w:rsid w:val="009D6613"/>
    <w:rsid w:val="00A048D7"/>
    <w:rsid w:val="00A75544"/>
    <w:rsid w:val="00A85D61"/>
    <w:rsid w:val="00AA5AC6"/>
    <w:rsid w:val="00AF7BB7"/>
    <w:rsid w:val="00B07633"/>
    <w:rsid w:val="00B111AC"/>
    <w:rsid w:val="00B40D95"/>
    <w:rsid w:val="00B741BA"/>
    <w:rsid w:val="00B94072"/>
    <w:rsid w:val="00BD2B0F"/>
    <w:rsid w:val="00C04A20"/>
    <w:rsid w:val="00C07CD9"/>
    <w:rsid w:val="00C34A19"/>
    <w:rsid w:val="00C64F59"/>
    <w:rsid w:val="00C81913"/>
    <w:rsid w:val="00CB4BC5"/>
    <w:rsid w:val="00CB67D4"/>
    <w:rsid w:val="00CD69D1"/>
    <w:rsid w:val="00D807D0"/>
    <w:rsid w:val="00E24ED4"/>
    <w:rsid w:val="00E47D8B"/>
    <w:rsid w:val="00E632E0"/>
    <w:rsid w:val="00E67FE6"/>
    <w:rsid w:val="00E779A1"/>
    <w:rsid w:val="00E87351"/>
    <w:rsid w:val="00E96048"/>
    <w:rsid w:val="00E96FBC"/>
    <w:rsid w:val="00EC39B9"/>
    <w:rsid w:val="00F7493E"/>
    <w:rsid w:val="00FA49B5"/>
    <w:rsid w:val="00FC1CC5"/>
    <w:rsid w:val="00FC4846"/>
    <w:rsid w:val="00FD5C7F"/>
    <w:rsid w:val="00FF2711"/>
    <w:rsid w:val="573328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DA0BB"/>
  <w15:docId w15:val="{56BBF691-DC82-4CBB-A0F5-A3A3F2C49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Balloon Text"/>
    <w:basedOn w:val="a"/>
    <w:link w:val="a6"/>
    <w:qFormat/>
    <w:rPr>
      <w:sz w:val="18"/>
      <w:szCs w:val="18"/>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eastAsia="Times New Roman"/>
      <w:lang w:val="pt-BR" w:eastAsia="pt-BR"/>
    </w:rPr>
  </w:style>
  <w:style w:type="paragraph" w:styleId="ac">
    <w:name w:val="annotation subject"/>
    <w:basedOn w:val="a3"/>
    <w:next w:val="a3"/>
    <w:link w:val="ad"/>
    <w:semiHidden/>
    <w:unhideWhenUsed/>
    <w:qFormat/>
    <w:rPr>
      <w:b/>
      <w:bCs/>
    </w:rPr>
  </w:style>
  <w:style w:type="table" w:styleId="ae">
    <w:name w:val="Table Grid"/>
    <w:basedOn w:val="a1"/>
    <w:uiPriority w:val="39"/>
    <w:qFormat/>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bCs/>
    </w:rPr>
  </w:style>
  <w:style w:type="character" w:styleId="af0">
    <w:name w:val="Hyperlink"/>
    <w:uiPriority w:val="99"/>
    <w:qFormat/>
    <w:rPr>
      <w:rFonts w:cs="Times New Roman"/>
      <w:color w:val="0000FF"/>
      <w:u w:val="single"/>
    </w:rPr>
  </w:style>
  <w:style w:type="character" w:styleId="af1">
    <w:name w:val="annotation reference"/>
    <w:basedOn w:val="a0"/>
    <w:semiHidden/>
    <w:unhideWhenUsed/>
    <w:qFormat/>
    <w:rPr>
      <w:sz w:val="21"/>
      <w:szCs w:val="21"/>
    </w:rPr>
  </w:style>
  <w:style w:type="character" w:customStyle="1" w:styleId="jlqj4b">
    <w:name w:val="jlqj4b"/>
    <w:basedOn w:val="a0"/>
    <w:qFormat/>
  </w:style>
  <w:style w:type="character" w:customStyle="1" w:styleId="viiyi">
    <w:name w:val="viiyi"/>
    <w:basedOn w:val="a0"/>
    <w:qFormat/>
  </w:style>
  <w:style w:type="character" w:customStyle="1" w:styleId="hgkelc">
    <w:name w:val="hgkelc"/>
    <w:basedOn w:val="a0"/>
  </w:style>
  <w:style w:type="character" w:customStyle="1" w:styleId="markedcontent">
    <w:name w:val="markedcontent"/>
    <w:basedOn w:val="a0"/>
    <w:qFormat/>
  </w:style>
  <w:style w:type="character" w:customStyle="1" w:styleId="y2iqfc">
    <w:name w:val="y2iqfc"/>
    <w:basedOn w:val="a0"/>
  </w:style>
  <w:style w:type="character" w:customStyle="1" w:styleId="a6">
    <w:name w:val="批注框文本 字符"/>
    <w:basedOn w:val="a0"/>
    <w:link w:val="a5"/>
    <w:qFormat/>
    <w:rPr>
      <w:rFonts w:ascii="Times New Roman" w:eastAsiaTheme="minorEastAsia" w:hAnsi="Times New Roman" w:cs="Times New Roman"/>
      <w:sz w:val="18"/>
      <w:szCs w:val="18"/>
      <w:lang w:val="en-US"/>
    </w:rPr>
  </w:style>
  <w:style w:type="character" w:customStyle="1" w:styleId="a4">
    <w:name w:val="批注文字 字符"/>
    <w:basedOn w:val="a0"/>
    <w:link w:val="a3"/>
    <w:uiPriority w:val="99"/>
    <w:qFormat/>
    <w:rPr>
      <w:rFonts w:ascii="Times New Roman" w:eastAsiaTheme="minorEastAsia" w:hAnsi="Times New Roman" w:cs="Times New Roman"/>
      <w:sz w:val="24"/>
      <w:szCs w:val="24"/>
      <w:lang w:val="en-US"/>
    </w:rPr>
  </w:style>
  <w:style w:type="character" w:customStyle="1" w:styleId="ad">
    <w:name w:val="批注主题 字符"/>
    <w:basedOn w:val="a4"/>
    <w:link w:val="ac"/>
    <w:semiHidden/>
    <w:rPr>
      <w:rFonts w:ascii="Times New Roman" w:eastAsiaTheme="minorEastAsia" w:hAnsi="Times New Roman" w:cs="Times New Roman"/>
      <w:b/>
      <w:bCs/>
      <w:sz w:val="24"/>
      <w:szCs w:val="24"/>
      <w:lang w:val="en-US"/>
    </w:rPr>
  </w:style>
  <w:style w:type="character" w:customStyle="1" w:styleId="cf01">
    <w:name w:val="cf01"/>
    <w:basedOn w:val="a0"/>
    <w:qFormat/>
    <w:rPr>
      <w:rFonts w:ascii="Segoe UI" w:hAnsi="Segoe UI" w:cs="Segoe UI" w:hint="default"/>
      <w:sz w:val="18"/>
      <w:szCs w:val="18"/>
    </w:rPr>
  </w:style>
  <w:style w:type="character" w:customStyle="1" w:styleId="aa">
    <w:name w:val="页眉 字符"/>
    <w:basedOn w:val="a0"/>
    <w:link w:val="a9"/>
    <w:rPr>
      <w:rFonts w:ascii="Times New Roman" w:eastAsiaTheme="minorEastAsia" w:hAnsi="Times New Roman" w:cs="Times New Roman"/>
      <w:sz w:val="18"/>
      <w:szCs w:val="18"/>
      <w:lang w:val="en-US"/>
    </w:rPr>
  </w:style>
  <w:style w:type="character" w:customStyle="1" w:styleId="a8">
    <w:name w:val="页脚 字符"/>
    <w:basedOn w:val="a0"/>
    <w:link w:val="a7"/>
    <w:rPr>
      <w:rFonts w:ascii="Times New Roman" w:eastAsiaTheme="minorEastAsia" w:hAnsi="Times New Roman" w:cs="Times New Roman"/>
      <w:sz w:val="18"/>
      <w:szCs w:val="18"/>
      <w:lang w:val="en-US"/>
    </w:rPr>
  </w:style>
  <w:style w:type="character" w:customStyle="1" w:styleId="Char">
    <w:name w:val="纯文本 Char"/>
    <w:link w:val="PlainText1"/>
    <w:qFormat/>
    <w:rPr>
      <w:rFonts w:ascii="宋体" w:hAnsi="Courier New" w:cs="Courier New"/>
      <w:szCs w:val="21"/>
    </w:rPr>
  </w:style>
  <w:style w:type="paragraph" w:customStyle="1" w:styleId="PlainText1">
    <w:name w:val="Plain Text1"/>
    <w:basedOn w:val="a"/>
    <w:link w:val="Char"/>
    <w:qFormat/>
    <w:pPr>
      <w:widowControl w:val="0"/>
      <w:jc w:val="both"/>
    </w:pPr>
    <w:rPr>
      <w:rFonts w:ascii="宋体" w:eastAsiaTheme="minorHAnsi" w:hAnsi="Courier New" w:cs="Courier New"/>
      <w:sz w:val="22"/>
      <w:szCs w:val="21"/>
      <w:lang w:val="pt-BR"/>
    </w:rPr>
  </w:style>
  <w:style w:type="character" w:customStyle="1" w:styleId="id-label">
    <w:name w:val="id-label"/>
    <w:basedOn w:val="a0"/>
    <w:qFormat/>
  </w:style>
  <w:style w:type="character" w:customStyle="1" w:styleId="citation-part">
    <w:name w:val="citation-part"/>
    <w:basedOn w:val="a0"/>
    <w:qFormat/>
  </w:style>
  <w:style w:type="character" w:customStyle="1" w:styleId="docsum-pmid">
    <w:name w:val="docsum-pmid"/>
    <w:basedOn w:val="a0"/>
  </w:style>
  <w:style w:type="character" w:customStyle="1" w:styleId="docsum-journal-citation">
    <w:name w:val="docsum-journal-citation"/>
    <w:basedOn w:val="a0"/>
    <w:qFormat/>
  </w:style>
  <w:style w:type="character" w:customStyle="1" w:styleId="docsum-authors">
    <w:name w:val="docsum-authors"/>
    <w:basedOn w:val="a0"/>
    <w:qFormat/>
  </w:style>
  <w:style w:type="character" w:customStyle="1" w:styleId="identifier">
    <w:name w:val="identifier"/>
    <w:basedOn w:val="a0"/>
    <w:qFormat/>
  </w:style>
  <w:style w:type="character" w:customStyle="1" w:styleId="period">
    <w:name w:val="period"/>
    <w:basedOn w:val="a0"/>
    <w:qFormat/>
  </w:style>
  <w:style w:type="paragraph" w:customStyle="1" w:styleId="1">
    <w:name w:val="修订1"/>
    <w:hidden/>
    <w:uiPriority w:val="99"/>
    <w:semiHidden/>
    <w:qFormat/>
    <w:rPr>
      <w:rFonts w:ascii="Times New Roman" w:hAnsi="Times New Roman" w:cs="Times New Roman"/>
      <w:sz w:val="24"/>
      <w:szCs w:val="24"/>
      <w:lang w:eastAsia="en-US"/>
    </w:rPr>
  </w:style>
  <w:style w:type="character" w:styleId="af2">
    <w:name w:val="Unresolved Mention"/>
    <w:basedOn w:val="a0"/>
    <w:uiPriority w:val="99"/>
    <w:semiHidden/>
    <w:unhideWhenUsed/>
    <w:rsid w:val="002E6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607835">
      <w:bodyDiv w:val="1"/>
      <w:marLeft w:val="0"/>
      <w:marRight w:val="0"/>
      <w:marTop w:val="0"/>
      <w:marBottom w:val="0"/>
      <w:divBdr>
        <w:top w:val="none" w:sz="0" w:space="0" w:color="auto"/>
        <w:left w:val="none" w:sz="0" w:space="0" w:color="auto"/>
        <w:bottom w:val="none" w:sz="0" w:space="0" w:color="auto"/>
        <w:right w:val="none" w:sz="0" w:space="0" w:color="auto"/>
      </w:divBdr>
    </w:div>
    <w:div w:id="1384409370">
      <w:bodyDiv w:val="1"/>
      <w:marLeft w:val="0"/>
      <w:marRight w:val="0"/>
      <w:marTop w:val="0"/>
      <w:marBottom w:val="0"/>
      <w:divBdr>
        <w:top w:val="none" w:sz="0" w:space="0" w:color="auto"/>
        <w:left w:val="none" w:sz="0" w:space="0" w:color="auto"/>
        <w:bottom w:val="none" w:sz="0" w:space="0" w:color="auto"/>
        <w:right w:val="none" w:sz="0" w:space="0" w:color="auto"/>
      </w:divBdr>
    </w:div>
    <w:div w:id="1609464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nlinelibrary.wiley.com/doi/10.1111/ajt.15330"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onlinelibrary.wiley.com/doi/10.1111/ajt.15330" TargetMode="Externa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35</Pages>
  <Words>6978</Words>
  <Characters>39778</Characters>
  <Application>Microsoft Office Word</Application>
  <DocSecurity>0</DocSecurity>
  <Lines>331</Lines>
  <Paragraphs>93</Paragraphs>
  <ScaleCrop>false</ScaleCrop>
  <Company/>
  <LinksUpToDate>false</LinksUpToDate>
  <CharactersWithSpaces>46663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Wu ruirui</cp:lastModifiedBy>
  <cp:revision>24</cp:revision>
  <dcterms:created xsi:type="dcterms:W3CDTF">2022-02-16T01:57:00Z</dcterms:created>
  <dcterms:modified xsi:type="dcterms:W3CDTF">2022-03-24T05:23:00Z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A0E4F745508A48718E0B99D7F2F137D2</vt:lpwstr>
  </property>
</Properties>
</file>