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Name of Journal: </w:t>
      </w:r>
      <w:r>
        <w:rPr>
          <w:rFonts w:ascii="Book Antiqua" w:hAnsi="Book Antiqua" w:eastAsia="Book Antiqua" w:cs="Book Antiqua"/>
          <w:i/>
          <w:color w:val="000000" w:themeColor="text1"/>
          <w14:textFill>
            <w14:solidFill>
              <w14:schemeClr w14:val="tx1"/>
            </w14:solidFill>
          </w14:textFill>
        </w:rPr>
        <w:t>World Journal of Clinical Cases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NO: </w:t>
      </w:r>
      <w:r>
        <w:rPr>
          <w:rFonts w:ascii="Book Antiqua" w:hAnsi="Book Antiqua" w:eastAsia="Book Antiqua" w:cs="Book Antiqua"/>
          <w:color w:val="000000" w:themeColor="text1"/>
          <w14:textFill>
            <w14:solidFill>
              <w14:schemeClr w14:val="tx1"/>
            </w14:solidFill>
          </w14:textFill>
        </w:rPr>
        <w:t>72032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Manuscript Type: </w:t>
      </w:r>
      <w:r>
        <w:rPr>
          <w:rFonts w:ascii="Book Antiqua" w:hAnsi="Book Antiqua" w:eastAsia="Book Antiqua" w:cs="Book Antiqua"/>
          <w:color w:val="000000" w:themeColor="text1"/>
          <w14:textFill>
            <w14:solidFill>
              <w14:schemeClr w14:val="tx1"/>
            </w14:solidFill>
          </w14:textFill>
        </w:rPr>
        <w:t>CASE REPORT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Primary isolated central nervous system acute lymphoblastic leukemia with </w:t>
      </w:r>
      <w:r>
        <w:rPr>
          <w:rFonts w:ascii="Book Antiqua" w:hAnsi="Book Antiqua" w:eastAsia="Book Antiqua" w:cs="Book Antiqua"/>
          <w:b/>
          <w:bCs/>
          <w:i/>
          <w:iCs/>
          <w:color w:val="000000" w:themeColor="text1"/>
          <w14:textFill>
            <w14:solidFill>
              <w14:schemeClr w14:val="tx1"/>
            </w14:solidFill>
          </w14:textFill>
        </w:rPr>
        <w:t>BCR-ABL1</w:t>
      </w:r>
      <w:r>
        <w:rPr>
          <w:rFonts w:ascii="Book Antiqua" w:hAnsi="Book Antiqua" w:eastAsia="Book Antiqua" w:cs="Book Antiqua"/>
          <w:b/>
          <w:bCs/>
          <w:color w:val="000000" w:themeColor="text1"/>
          <w14:textFill>
            <w14:solidFill>
              <w14:schemeClr w14:val="tx1"/>
            </w14:solidFill>
          </w14:textFill>
        </w:rPr>
        <w:t xml:space="preserve"> rearrangement: A case report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Chen Y </w:t>
      </w:r>
      <w:r>
        <w:rPr>
          <w:rFonts w:ascii="Book Antiqua" w:hAnsi="Book Antiqua" w:eastAsia="Book Antiqua" w:cs="Book Antiqua"/>
          <w:i/>
          <w:iCs/>
          <w:color w:val="000000" w:themeColor="text1"/>
          <w14:textFill>
            <w14:solidFill>
              <w14:schemeClr w14:val="tx1"/>
            </w14:solidFill>
          </w14:textFill>
        </w:rPr>
        <w:t xml:space="preserve">et al. </w:t>
      </w:r>
      <w:r>
        <w:rPr>
          <w:rFonts w:ascii="Book Antiqua" w:hAnsi="Book Antiqua" w:eastAsia="Book Antiqua" w:cs="Book Antiqua"/>
          <w:color w:val="000000" w:themeColor="text1"/>
          <w14:textFill>
            <w14:solidFill>
              <w14:schemeClr w14:val="tx1"/>
            </w14:solidFill>
          </w14:textFill>
        </w:rPr>
        <w:t>A rare care of leukemia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Yan Chen, Quan-Yi Lu, Jing-Yuan Lu, Xiu-Li Hong</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Yan Chen, Quan-Yi Lu, Jing-Yuan Lu, Xiu-Li Hong, </w:t>
      </w:r>
      <w:r>
        <w:rPr>
          <w:rFonts w:ascii="Book Antiqua" w:hAnsi="Book Antiqua" w:eastAsia="Book Antiqua" w:cs="Book Antiqua"/>
          <w:color w:val="000000" w:themeColor="text1"/>
          <w14:textFill>
            <w14:solidFill>
              <w14:schemeClr w14:val="tx1"/>
            </w14:solidFill>
          </w14:textFill>
        </w:rPr>
        <w:t>Department of Hematology, Zhongshan Hospital of Xiamen University, Xiamen 361000, Fujian Province, China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Author contributions: </w:t>
      </w:r>
      <w:r>
        <w:rPr>
          <w:rStyle w:val="11"/>
          <w:rFonts w:ascii="Book Antiqua" w:hAnsi="Book Antiqua" w:eastAsia="Book Antiqua" w:cs="Book Antiqua"/>
          <w:color w:val="000000" w:themeColor="text1"/>
          <w14:textFill>
            <w14:solidFill>
              <w14:schemeClr w14:val="tx1"/>
            </w14:solidFill>
          </w14:textFill>
        </w:rPr>
        <w:t>Lu QY</w:t>
      </w:r>
      <w:r>
        <w:rPr>
          <w:rFonts w:ascii="Book Antiqua" w:hAnsi="Book Antiqua" w:eastAsia="Book Antiqua" w:cs="Book Antiqua"/>
          <w:color w:val="000000" w:themeColor="text1"/>
          <w14:textFill>
            <w14:solidFill>
              <w14:schemeClr w14:val="tx1"/>
            </w14:solidFill>
          </w14:textFill>
        </w:rPr>
        <w:t xml:space="preserve"> designed the research; </w:t>
      </w:r>
      <w:r>
        <w:rPr>
          <w:rStyle w:val="11"/>
          <w:rFonts w:ascii="Book Antiqua" w:hAnsi="Book Antiqua" w:eastAsia="Book Antiqua" w:cs="Book Antiqua"/>
          <w:color w:val="000000" w:themeColor="text1"/>
          <w14:textFill>
            <w14:solidFill>
              <w14:schemeClr w14:val="tx1"/>
            </w14:solidFill>
          </w14:textFill>
        </w:rPr>
        <w:t>Lu JY and Hong XL</w:t>
      </w:r>
      <w:r>
        <w:rPr>
          <w:rFonts w:ascii="Book Antiqua" w:hAnsi="Book Antiqua" w:eastAsia="Book Antiqua" w:cs="Book Antiqua"/>
          <w:color w:val="000000" w:themeColor="text1"/>
          <w14:textFill>
            <w14:solidFill>
              <w14:schemeClr w14:val="tx1"/>
            </w14:solidFill>
          </w14:textFill>
        </w:rPr>
        <w:t xml:space="preserve"> performed the research; </w:t>
      </w:r>
      <w:r>
        <w:rPr>
          <w:rStyle w:val="11"/>
          <w:rFonts w:ascii="Book Antiqua" w:hAnsi="Book Antiqua" w:eastAsia="Book Antiqua" w:cs="Book Antiqua"/>
          <w:color w:val="000000" w:themeColor="text1"/>
          <w14:textFill>
            <w14:solidFill>
              <w14:schemeClr w14:val="tx1"/>
            </w14:solidFill>
          </w14:textFill>
        </w:rPr>
        <w:t>Chen Y</w:t>
      </w:r>
      <w:r>
        <w:rPr>
          <w:rFonts w:ascii="Book Antiqua" w:hAnsi="Book Antiqua" w:eastAsia="Book Antiqua" w:cs="Book Antiqua"/>
          <w:color w:val="000000" w:themeColor="text1"/>
          <w14:textFill>
            <w14:solidFill>
              <w14:schemeClr w14:val="tx1"/>
            </w14:solidFill>
          </w14:textFill>
        </w:rPr>
        <w:t xml:space="preserve"> analyzed the data and wrote the manuscript; all authors have read and approve the final manuscript.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Supported by </w:t>
      </w:r>
      <w:r>
        <w:rPr>
          <w:rFonts w:ascii="Book Antiqua" w:hAnsi="Book Antiqua" w:eastAsia="Book Antiqua" w:cs="Book Antiqua"/>
          <w:color w:val="000000" w:themeColor="text1"/>
          <w14:textFill>
            <w14:solidFill>
              <w14:schemeClr w14:val="tx1"/>
            </w14:solidFill>
          </w14:textFill>
        </w:rPr>
        <w:t>the</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Science and Technology Plan Guide Project of Fujian Province, No. 2019D009.</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Corresponding author: Quan-Yi Lu, MD, Chief Doctor, </w:t>
      </w:r>
      <w:r>
        <w:rPr>
          <w:rFonts w:ascii="Book Antiqua" w:hAnsi="Book Antiqua" w:eastAsia="Book Antiqua" w:cs="Book Antiqua"/>
          <w:color w:val="000000" w:themeColor="text1"/>
          <w14:textFill>
            <w14:solidFill>
              <w14:schemeClr w14:val="tx1"/>
            </w14:solidFill>
          </w14:textFill>
        </w:rPr>
        <w:t>Department of Hematology, Zhongshan Hospital of Xiamen University, No. 209 Hubin South Road, Xiamen 361000, Fujian Province, China. luquanyi@xmu.edu.cn</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Received: </w:t>
      </w:r>
      <w:r>
        <w:rPr>
          <w:rFonts w:ascii="Book Antiqua" w:hAnsi="Book Antiqua" w:eastAsia="Book Antiqua" w:cs="Book Antiqua"/>
          <w:color w:val="000000" w:themeColor="text1"/>
          <w14:textFill>
            <w14:solidFill>
              <w14:schemeClr w14:val="tx1"/>
            </w14:solidFill>
          </w14:textFill>
        </w:rPr>
        <w:t>October 21, 2021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Revised: </w:t>
      </w:r>
      <w:r>
        <w:rPr>
          <w:rFonts w:ascii="Book Antiqua" w:hAnsi="Book Antiqua" w:eastAsia="Book Antiqua" w:cs="Book Antiqua"/>
          <w:color w:val="000000" w:themeColor="text1"/>
          <w14:textFill>
            <w14:solidFill>
              <w14:schemeClr w14:val="tx1"/>
            </w14:solidFill>
          </w14:textFill>
        </w:rPr>
        <w:t>January 4,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Accepted: </w:t>
      </w:r>
      <w:r>
        <w:rPr>
          <w:rFonts w:ascii="Book Antiqua" w:hAnsi="Book Antiqua" w:eastAsia="Book Antiqua" w:cs="Book Antiqua"/>
          <w:b w:val="0"/>
          <w:bCs w:val="0"/>
          <w:color w:val="000000" w:themeColor="text1"/>
          <w14:textFill>
            <w14:solidFill>
              <w14:schemeClr w14:val="tx1"/>
            </w14:solidFill>
          </w14:textFill>
        </w:rPr>
        <w:t>March 15, 2022</w:t>
      </w:r>
    </w:p>
    <w:p>
      <w:pPr>
        <w:spacing w:line="360" w:lineRule="auto"/>
        <w:jc w:val="both"/>
        <w:rPr>
          <w:rFonts w:hint="default" w:ascii="Book Antiqua" w:hAnsi="Book Antiqua" w:eastAsiaTheme="minorEastAsia"/>
          <w:color w:val="000000" w:themeColor="text1"/>
          <w:lang w:val="en-US" w:eastAsia="zh-CN"/>
          <w14:textFill>
            <w14:solidFill>
              <w14:schemeClr w14:val="tx1"/>
            </w14:solidFill>
          </w14:textFill>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themeColor="text1"/>
          <w14:textFill>
            <w14:solidFill>
              <w14:schemeClr w14:val="tx1"/>
            </w14:solidFill>
          </w14:textFill>
        </w:rPr>
        <w:t xml:space="preserve">Published online: </w:t>
      </w:r>
      <w:r>
        <w:rPr>
          <w:rFonts w:hint="eastAsia" w:ascii="Book Antiqua" w:hAnsi="Book Antiqua"/>
          <w:color w:val="000000" w:themeColor="text1"/>
          <w:lang w:val="en-US" w:eastAsia="zh-CN"/>
          <w14:textFill>
            <w14:solidFill>
              <w14:schemeClr w14:val="tx1"/>
            </w14:solidFill>
          </w14:textFill>
        </w:rPr>
        <w:t>May 6 2022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Abstract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BACKGROUND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i/>
          <w:iCs/>
          <w:color w:val="000000" w:themeColor="text1"/>
          <w14:textFill>
            <w14:solidFill>
              <w14:schemeClr w14:val="tx1"/>
            </w14:solidFill>
          </w14:textFill>
        </w:rPr>
        <w:t>BCR-ABL1</w:t>
      </w:r>
      <w:r>
        <w:rPr>
          <w:rFonts w:ascii="Book Antiqua" w:hAnsi="Book Antiqua" w:eastAsia="Book Antiqua" w:cs="Book Antiqua"/>
          <w:color w:val="000000" w:themeColor="text1"/>
          <w14:textFill>
            <w14:solidFill>
              <w14:schemeClr w14:val="tx1"/>
            </w14:solidFill>
          </w14:textFill>
        </w:rPr>
        <w:t xml:space="preserve"> fusion gene</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is associated with a poor prognosis and a high incidence in central nervous system (CNS) leukemia. CNS invasion which detected at the initial diagnosis is commonly with bone marrow infiltration. It is uncommon for the leukemia cells to be located primarily in the CNS without bone marrow involvement.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CASE SUMMARY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We here report the rare initial presentation of CNS-restricted </w:t>
      </w:r>
      <w:r>
        <w:rPr>
          <w:rFonts w:ascii="Book Antiqua" w:hAnsi="Book Antiqua" w:eastAsia="Book Antiqua" w:cs="Book Antiqua"/>
          <w:i/>
          <w:iCs/>
          <w:color w:val="000000" w:themeColor="text1"/>
          <w14:textFill>
            <w14:solidFill>
              <w14:schemeClr w14:val="tx1"/>
            </w14:solidFill>
          </w14:textFill>
        </w:rPr>
        <w:t>BCR-ABL</w:t>
      </w:r>
      <w:r>
        <w:rPr>
          <w:rFonts w:ascii="Book Antiqua" w:hAnsi="Book Antiqua" w:eastAsia="Book Antiqua" w:cs="Book Antiqua"/>
          <w:color w:val="000000" w:themeColor="text1"/>
          <w14:textFill>
            <w14:solidFill>
              <w14:schemeClr w14:val="tx1"/>
            </w14:solidFill>
          </w14:textFill>
        </w:rPr>
        <w:t xml:space="preserve">-positive acute lymphoblastic leukemia in a 30-year-old female patient who clinically manifested with leukemic meningitis, with no involvement in peripheral blood or bone marrow. Identification of abnormal phenotypes of blast cells, and </w:t>
      </w:r>
      <w:r>
        <w:rPr>
          <w:rFonts w:ascii="Book Antiqua" w:hAnsi="Book Antiqua" w:eastAsia="Book Antiqua" w:cs="Book Antiqua"/>
          <w:i/>
          <w:iCs/>
          <w:color w:val="000000" w:themeColor="text1"/>
          <w14:textFill>
            <w14:solidFill>
              <w14:schemeClr w14:val="tx1"/>
            </w14:solidFill>
          </w14:textFill>
        </w:rPr>
        <w:t>BCR-ABL1</w:t>
      </w:r>
      <w:r>
        <w:rPr>
          <w:rFonts w:ascii="Book Antiqua" w:hAnsi="Book Antiqua" w:eastAsia="Book Antiqua" w:cs="Book Antiqua"/>
          <w:color w:val="000000" w:themeColor="text1"/>
          <w14:textFill>
            <w14:solidFill>
              <w14:schemeClr w14:val="tx1"/>
            </w14:solidFill>
          </w14:textFill>
        </w:rPr>
        <w:t xml:space="preserve"> rearrangement in the cerebrospinal fluid alone established the diagnosis of primary CNS-isolated acute lymphocytic leukemia. The patient received a combination of intrathecal therapy and high-dose chemotherapy. But the benefits of the treatments were short-lived and she experienced recurrence.</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CONCLUSION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Flow cytometry in combination with molecular genetic analysis improved diagnostic accuracy. New approaches that may enhance the efficacy of the existing therapies and cure CNS leukemia are required.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Key Words: </w:t>
      </w:r>
      <w:r>
        <w:rPr>
          <w:rFonts w:ascii="Book Antiqua" w:hAnsi="Book Antiqua" w:eastAsia="Book Antiqua" w:cs="Book Antiqua"/>
          <w:color w:val="000000" w:themeColor="text1"/>
          <w14:textFill>
            <w14:solidFill>
              <w14:schemeClr w14:val="tx1"/>
            </w14:solidFill>
          </w14:textFill>
        </w:rPr>
        <w:t xml:space="preserve">Acute lymphoblastic leukemia; </w:t>
      </w:r>
      <w:r>
        <w:rPr>
          <w:rFonts w:ascii="Book Antiqua" w:hAnsi="Book Antiqua" w:eastAsia="Book Antiqua" w:cs="Book Antiqua"/>
          <w:i/>
          <w:iCs/>
          <w:color w:val="000000" w:themeColor="text1"/>
          <w14:textFill>
            <w14:solidFill>
              <w14:schemeClr w14:val="tx1"/>
            </w14:solidFill>
          </w14:textFill>
        </w:rPr>
        <w:t>BCR-ABL1</w:t>
      </w:r>
      <w:r>
        <w:rPr>
          <w:rFonts w:ascii="Book Antiqua" w:hAnsi="Book Antiqua" w:eastAsia="Book Antiqua" w:cs="Book Antiqua"/>
          <w:color w:val="000000" w:themeColor="text1"/>
          <w14:textFill>
            <w14:solidFill>
              <w14:schemeClr w14:val="tx1"/>
            </w14:solidFill>
          </w14:textFill>
        </w:rPr>
        <w:t>; Diagnosis; Primary central nervous system leukemia; Treatment; Case report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hint="eastAsia" w:ascii="Book Antiqua" w:hAnsi="Book Antiqua" w:eastAsia="Book Antiqua" w:cs="Book Antiqua"/>
          <w:color w:val="000000" w:themeColor="text1"/>
          <w14:textFill>
            <w14:solidFill>
              <w14:schemeClr w14:val="tx1"/>
            </w14:solidFill>
          </w14:textFill>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themeColor="text1"/>
          <w14:textFill>
            <w14:solidFill>
              <w14:schemeClr w14:val="tx1"/>
            </w14:solidFill>
          </w14:textFill>
        </w:rPr>
        <w:t xml:space="preserve">Chen Y, Lu QY, Lu JY, Hong XL. Primary isolated central nervous system acute lymphoblastic leukemia with </w:t>
      </w:r>
      <w:r>
        <w:rPr>
          <w:rFonts w:ascii="Book Antiqua" w:hAnsi="Book Antiqua" w:eastAsia="Book Antiqua" w:cs="Book Antiqua"/>
          <w:i/>
          <w:iCs/>
          <w:color w:val="000000" w:themeColor="text1"/>
          <w14:textFill>
            <w14:solidFill>
              <w14:schemeClr w14:val="tx1"/>
            </w14:solidFill>
          </w14:textFill>
        </w:rPr>
        <w:t>BCR-ABL1</w:t>
      </w:r>
      <w:r>
        <w:rPr>
          <w:rFonts w:ascii="Book Antiqua" w:hAnsi="Book Antiqua" w:eastAsia="Book Antiqua" w:cs="Book Antiqua"/>
          <w:color w:val="000000" w:themeColor="text1"/>
          <w14:textFill>
            <w14:solidFill>
              <w14:schemeClr w14:val="tx1"/>
            </w14:solidFill>
          </w14:textFill>
        </w:rPr>
        <w:t xml:space="preserve"> rearrangement: A case report</w:t>
      </w:r>
      <w:r>
        <w:rPr>
          <w:rFonts w:ascii="Book Antiqua" w:hAnsi="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i/>
          <w:iCs/>
          <w:color w:val="000000" w:themeColor="text1"/>
          <w14:textFill>
            <w14:solidFill>
              <w14:schemeClr w14:val="tx1"/>
            </w14:solidFill>
          </w14:textFill>
        </w:rPr>
        <w:t>World J Clin Cases</w:t>
      </w:r>
      <w:r>
        <w:rPr>
          <w:rFonts w:ascii="Book Antiqua" w:hAnsi="Book Antiqua" w:eastAsia="Book Antiqua" w:cs="Book Antiqua"/>
          <w:color w:val="000000" w:themeColor="text1"/>
          <w14:textFill>
            <w14:solidFill>
              <w14:schemeClr w14:val="tx1"/>
            </w14:solidFill>
          </w14:textFill>
        </w:rPr>
        <w:t xml:space="preserve"> 2022; </w:t>
      </w:r>
      <w:r>
        <w:rPr>
          <w:rFonts w:hint="eastAsia" w:ascii="Book Antiqua" w:hAnsi="Book Antiqua" w:eastAsia="宋体" w:cs="Book Antiqua"/>
          <w:color w:val="000000" w:themeColor="text1"/>
          <w:lang w:val="en-US" w:eastAsia="zh-CN"/>
          <w14:textFill>
            <w14:solidFill>
              <w14:schemeClr w14:val="tx1"/>
            </w14:solidFill>
          </w14:textFill>
        </w:rPr>
        <w:t>10</w:t>
      </w:r>
      <w:r>
        <w:rPr>
          <w:rFonts w:hint="eastAsia" w:ascii="Book Antiqua" w:hAnsi="Book Antiqua" w:eastAsia="Book Antiqua" w:cs="Book Antiqua"/>
          <w:color w:val="000000" w:themeColor="text1"/>
          <w14:textFill>
            <w14:solidFill>
              <w14:schemeClr w14:val="tx1"/>
            </w14:solidFill>
          </w14:textFill>
        </w:rPr>
        <w:t>(</w:t>
      </w:r>
      <w:r>
        <w:rPr>
          <w:rFonts w:hint="eastAsia" w:ascii="Book Antiqua" w:hAnsi="Book Antiqua" w:eastAsia="宋体" w:cs="Book Antiqua"/>
          <w:color w:val="000000" w:themeColor="text1"/>
          <w:lang w:val="en-US" w:eastAsia="zh-CN"/>
          <w14:textFill>
            <w14:solidFill>
              <w14:schemeClr w14:val="tx1"/>
            </w14:solidFill>
          </w14:textFill>
        </w:rPr>
        <w:t>13</w:t>
      </w:r>
      <w:r>
        <w:rPr>
          <w:rFonts w:hint="eastAsia" w:ascii="Book Antiqua" w:hAnsi="Book Antiqua" w:eastAsia="Book Antiqua" w:cs="Book Antiqua"/>
          <w:color w:val="000000" w:themeColor="text1"/>
          <w14:textFill>
            <w14:solidFill>
              <w14:schemeClr w14:val="tx1"/>
            </w14:solidFill>
          </w14:textFill>
        </w:rPr>
        <w:t xml:space="preserve">): </w:t>
      </w:r>
      <w:r>
        <w:rPr>
          <w:rFonts w:hint="default" w:ascii="Book Antiqua" w:hAnsi="Book Antiqua" w:eastAsia="Book Antiqua" w:cs="Book Antiqua"/>
          <w:i w:val="0"/>
          <w:iCs w:val="0"/>
          <w:color w:val="000000"/>
          <w:kern w:val="0"/>
          <w:sz w:val="24"/>
          <w:szCs w:val="24"/>
          <w:u w:val="none"/>
          <w:lang w:val="en-US" w:eastAsia="zh-CN" w:bidi="ar"/>
        </w:rPr>
        <w:t>424</w:t>
      </w:r>
      <w:r>
        <w:rPr>
          <w:rFonts w:hint="eastAsia" w:ascii="Book Antiqua" w:hAnsi="Book Antiqua" w:eastAsia="Book Antiqua" w:cs="Book Antiqua"/>
          <w:i w:val="0"/>
          <w:iCs w:val="0"/>
          <w:color w:val="000000"/>
          <w:kern w:val="0"/>
          <w:sz w:val="24"/>
          <w:szCs w:val="24"/>
          <w:u w:val="none"/>
          <w:lang w:val="en-US" w:eastAsia="zh-CN" w:bidi="ar"/>
        </w:rPr>
        <w:t>2</w:t>
      </w:r>
      <w:r>
        <w:rPr>
          <w:rFonts w:hint="default" w:ascii="Book Antiqua" w:hAnsi="Book Antiqua" w:eastAsia="Book Antiqua" w:cs="Book Antiqua"/>
          <w:i w:val="0"/>
          <w:iCs w:val="0"/>
          <w:color w:val="000000"/>
          <w:kern w:val="0"/>
          <w:sz w:val="24"/>
          <w:szCs w:val="24"/>
          <w:u w:val="none"/>
          <w:lang w:val="en-US" w:eastAsia="zh-CN" w:bidi="ar"/>
        </w:rPr>
        <w:t>-4248</w:t>
      </w:r>
    </w:p>
    <w:p>
      <w:pPr>
        <w:spacing w:line="360" w:lineRule="auto"/>
        <w:jc w:val="both"/>
        <w:rPr>
          <w:rFonts w:hint="eastAsia" w:ascii="Book Antiqua" w:hAnsi="Book Antiqua" w:eastAsia="Book Antiqua" w:cs="Book Antiqua"/>
          <w:color w:val="000000" w:themeColor="text1"/>
          <w14:textFill>
            <w14:solidFill>
              <w14:schemeClr w14:val="tx1"/>
            </w14:solidFill>
          </w14:textFill>
        </w:rPr>
      </w:pPr>
      <w:r>
        <w:rPr>
          <w:rFonts w:hint="eastAsia" w:ascii="Book Antiqua" w:hAnsi="Book Antiqua" w:eastAsia="Book Antiqua" w:cs="Book Antiqua"/>
          <w:b/>
          <w:bCs/>
          <w:color w:val="000000" w:themeColor="text1"/>
          <w14:textFill>
            <w14:solidFill>
              <w14:schemeClr w14:val="tx1"/>
            </w14:solidFill>
          </w14:textFill>
        </w:rPr>
        <w:t>URL</w:t>
      </w:r>
      <w:r>
        <w:rPr>
          <w:rFonts w:hint="eastAsia" w:ascii="Book Antiqua" w:hAnsi="Book Antiqua" w:eastAsia="Book Antiqua" w:cs="Book Antiqua"/>
          <w:color w:val="000000" w:themeColor="text1"/>
          <w14:textFill>
            <w14:solidFill>
              <w14:schemeClr w14:val="tx1"/>
            </w14:solidFill>
          </w14:textFill>
        </w:rPr>
        <w:t>: https://www.wjgnet.com/2307-8960/full/v</w:t>
      </w:r>
      <w:r>
        <w:rPr>
          <w:rFonts w:hint="eastAsia" w:ascii="Book Antiqua" w:hAnsi="Book Antiqua" w:eastAsia="宋体" w:cs="Book Antiqua"/>
          <w:color w:val="000000" w:themeColor="text1"/>
          <w:lang w:val="en-US" w:eastAsia="zh-CN"/>
          <w14:textFill>
            <w14:solidFill>
              <w14:schemeClr w14:val="tx1"/>
            </w14:solidFill>
          </w14:textFill>
        </w:rPr>
        <w:t>10</w:t>
      </w:r>
      <w:r>
        <w:rPr>
          <w:rFonts w:hint="eastAsia" w:ascii="Book Antiqua" w:hAnsi="Book Antiqua" w:eastAsia="Book Antiqua" w:cs="Book Antiqua"/>
          <w:color w:val="000000" w:themeColor="text1"/>
          <w14:textFill>
            <w14:solidFill>
              <w14:schemeClr w14:val="tx1"/>
            </w14:solidFill>
          </w14:textFill>
        </w:rPr>
        <w:t>/i</w:t>
      </w:r>
      <w:r>
        <w:rPr>
          <w:rFonts w:hint="eastAsia" w:ascii="Book Antiqua" w:hAnsi="Book Antiqua" w:eastAsia="宋体" w:cs="Book Antiqua"/>
          <w:color w:val="000000" w:themeColor="text1"/>
          <w:lang w:val="en-US" w:eastAsia="zh-CN"/>
          <w14:textFill>
            <w14:solidFill>
              <w14:schemeClr w14:val="tx1"/>
            </w14:solidFill>
          </w14:textFill>
        </w:rPr>
        <w:t>13</w:t>
      </w:r>
      <w:r>
        <w:rPr>
          <w:rFonts w:hint="eastAsia" w:ascii="Book Antiqua" w:hAnsi="Book Antiqua" w:eastAsia="Book Antiqua" w:cs="Book Antiqua"/>
          <w:color w:val="000000" w:themeColor="text1"/>
          <w14:textFill>
            <w14:solidFill>
              <w14:schemeClr w14:val="tx1"/>
            </w14:solidFill>
          </w14:textFill>
        </w:rPr>
        <w:t>/</w:t>
      </w:r>
      <w:r>
        <w:rPr>
          <w:rFonts w:hint="default" w:ascii="Book Antiqua" w:hAnsi="Book Antiqua" w:eastAsia="Book Antiqua" w:cs="Book Antiqua"/>
          <w:i w:val="0"/>
          <w:iCs w:val="0"/>
          <w:color w:val="000000"/>
          <w:kern w:val="0"/>
          <w:sz w:val="24"/>
          <w:szCs w:val="24"/>
          <w:u w:val="none"/>
          <w:lang w:val="en-US" w:eastAsia="zh-CN" w:bidi="ar"/>
        </w:rPr>
        <w:t>424</w:t>
      </w:r>
      <w:r>
        <w:rPr>
          <w:rFonts w:hint="eastAsia" w:ascii="Book Antiqua" w:hAnsi="Book Antiqua" w:eastAsia="Book Antiqua" w:cs="Book Antiqua"/>
          <w:i w:val="0"/>
          <w:iCs w:val="0"/>
          <w:color w:val="000000"/>
          <w:kern w:val="0"/>
          <w:sz w:val="24"/>
          <w:szCs w:val="24"/>
          <w:u w:val="none"/>
          <w:lang w:val="en-US" w:eastAsia="zh-CN" w:bidi="ar"/>
        </w:rPr>
        <w:t>2</w:t>
      </w:r>
      <w:r>
        <w:rPr>
          <w:rFonts w:hint="eastAsia" w:ascii="Book Antiqua" w:hAnsi="Book Antiqua" w:eastAsia="Book Antiqua" w:cs="Book Antiqua"/>
          <w:color w:val="000000" w:themeColor="text1"/>
          <w14:textFill>
            <w14:solidFill>
              <w14:schemeClr w14:val="tx1"/>
            </w14:solidFill>
          </w14:textFill>
        </w:rPr>
        <w:t>.htm</w:t>
      </w:r>
    </w:p>
    <w:p>
      <w:pPr>
        <w:spacing w:line="360" w:lineRule="auto"/>
        <w:jc w:val="both"/>
        <w:rPr>
          <w:rFonts w:ascii="Book Antiqua" w:hAnsi="Book Antiqua"/>
          <w:color w:val="000000" w:themeColor="text1"/>
          <w14:textFill>
            <w14:solidFill>
              <w14:schemeClr w14:val="tx1"/>
            </w14:solidFill>
          </w14:textFill>
        </w:rPr>
      </w:pPr>
      <w:r>
        <w:rPr>
          <w:rFonts w:hint="eastAsia" w:ascii="Book Antiqua" w:hAnsi="Book Antiqua" w:eastAsia="Book Antiqua" w:cs="Book Antiqua"/>
          <w:b/>
          <w:bCs/>
          <w:color w:val="000000" w:themeColor="text1"/>
          <w14:textFill>
            <w14:solidFill>
              <w14:schemeClr w14:val="tx1"/>
            </w14:solidFill>
          </w14:textFill>
        </w:rPr>
        <w:t>DOI</w:t>
      </w:r>
      <w:r>
        <w:rPr>
          <w:rFonts w:hint="eastAsia" w:ascii="Book Antiqua" w:hAnsi="Book Antiqua" w:eastAsia="Book Antiqua" w:cs="Book Antiqua"/>
          <w:color w:val="000000" w:themeColor="text1"/>
          <w14:textFill>
            <w14:solidFill>
              <w14:schemeClr w14:val="tx1"/>
            </w14:solidFill>
          </w14:textFill>
        </w:rPr>
        <w:t>: https://dx.doi.org/10.12998/wjcc.v</w:t>
      </w:r>
      <w:r>
        <w:rPr>
          <w:rFonts w:hint="eastAsia" w:ascii="Book Antiqua" w:hAnsi="Book Antiqua" w:eastAsia="宋体" w:cs="Book Antiqua"/>
          <w:color w:val="000000" w:themeColor="text1"/>
          <w:lang w:val="en-US" w:eastAsia="zh-CN"/>
          <w14:textFill>
            <w14:solidFill>
              <w14:schemeClr w14:val="tx1"/>
            </w14:solidFill>
          </w14:textFill>
        </w:rPr>
        <w:t>10</w:t>
      </w:r>
      <w:r>
        <w:rPr>
          <w:rFonts w:hint="eastAsia" w:ascii="Book Antiqua" w:hAnsi="Book Antiqua" w:eastAsia="Book Antiqua" w:cs="Book Antiqua"/>
          <w:color w:val="000000" w:themeColor="text1"/>
          <w14:textFill>
            <w14:solidFill>
              <w14:schemeClr w14:val="tx1"/>
            </w14:solidFill>
          </w14:textFill>
        </w:rPr>
        <w:t>.i</w:t>
      </w:r>
      <w:r>
        <w:rPr>
          <w:rFonts w:hint="eastAsia" w:ascii="Book Antiqua" w:hAnsi="Book Antiqua" w:eastAsia="宋体" w:cs="Book Antiqua"/>
          <w:color w:val="000000" w:themeColor="text1"/>
          <w:lang w:val="en-US" w:eastAsia="zh-CN"/>
          <w14:textFill>
            <w14:solidFill>
              <w14:schemeClr w14:val="tx1"/>
            </w14:solidFill>
          </w14:textFill>
        </w:rPr>
        <w:t>13</w:t>
      </w:r>
      <w:r>
        <w:rPr>
          <w:rFonts w:hint="eastAsia" w:ascii="Book Antiqua" w:hAnsi="Book Antiqua" w:eastAsia="Book Antiqua" w:cs="Book Antiqua"/>
          <w:color w:val="000000" w:themeColor="text1"/>
          <w14:textFill>
            <w14:solidFill>
              <w14:schemeClr w14:val="tx1"/>
            </w14:solidFill>
          </w14:textFill>
        </w:rPr>
        <w:t>.</w:t>
      </w:r>
      <w:r>
        <w:rPr>
          <w:rFonts w:hint="default" w:ascii="Book Antiqua" w:hAnsi="Book Antiqua" w:eastAsia="Book Antiqua" w:cs="Book Antiqua"/>
          <w:i w:val="0"/>
          <w:iCs w:val="0"/>
          <w:color w:val="000000"/>
          <w:kern w:val="0"/>
          <w:sz w:val="24"/>
          <w:szCs w:val="24"/>
          <w:u w:val="none"/>
          <w:lang w:val="en-US" w:eastAsia="zh-CN" w:bidi="ar"/>
        </w:rPr>
        <w:t>424</w:t>
      </w:r>
      <w:r>
        <w:rPr>
          <w:rFonts w:hint="eastAsia" w:ascii="Book Antiqua" w:hAnsi="Book Antiqua" w:eastAsia="Book Antiqua" w:cs="Book Antiqua"/>
          <w:i w:val="0"/>
          <w:iCs w:val="0"/>
          <w:color w:val="000000"/>
          <w:kern w:val="0"/>
          <w:sz w:val="24"/>
          <w:szCs w:val="24"/>
          <w:u w:val="none"/>
          <w:lang w:val="en-US" w:eastAsia="zh-CN" w:bidi="ar"/>
        </w:rPr>
        <w:t>2</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Core Tip: </w:t>
      </w:r>
      <w:r>
        <w:rPr>
          <w:rFonts w:ascii="Book Antiqua" w:hAnsi="Book Antiqua" w:eastAsia="Book Antiqua" w:cs="Book Antiqua"/>
          <w:color w:val="000000" w:themeColor="text1"/>
          <w14:textFill>
            <w14:solidFill>
              <w14:schemeClr w14:val="tx1"/>
            </w14:solidFill>
          </w14:textFill>
        </w:rPr>
        <w:t xml:space="preserve">We report a rare newly diagnosed case in a female patient with </w:t>
      </w:r>
      <w:r>
        <w:rPr>
          <w:rFonts w:ascii="Book Antiqua" w:hAnsi="Book Antiqua" w:eastAsia="Book Antiqua" w:cs="Book Antiqua"/>
          <w:i/>
          <w:iCs/>
          <w:color w:val="000000" w:themeColor="text1"/>
          <w14:textFill>
            <w14:solidFill>
              <w14:schemeClr w14:val="tx1"/>
            </w14:solidFill>
          </w14:textFill>
        </w:rPr>
        <w:t>BCR-ABL</w:t>
      </w:r>
      <w:r>
        <w:rPr>
          <w:rFonts w:ascii="Book Antiqua" w:hAnsi="Book Antiqua" w:eastAsia="Book Antiqua" w:cs="Book Antiqua"/>
          <w:color w:val="000000" w:themeColor="text1"/>
          <w14:textFill>
            <w14:solidFill>
              <w14:schemeClr w14:val="tx1"/>
            </w14:solidFill>
          </w14:textFill>
        </w:rPr>
        <w:t>-positive leukemia cells primarily located in the arachnoid surface and the subarachnoid space, clinically manifesting as leukemic meningitis, without blood and bone marrow involvement. Given the rarity of this specific presentation of B cell-acute lymphocytic leukemia, the diagnosis and treatment approach are challenging.</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INTRODUCTION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Acute leukemia (AL) is a malignancy hematologic disease of bone marrow (BM)-derived immature cells, which most often involves the BM and peripheral blood but may also manifest in extramedullary tissue. Acute lymphocytic leukemia (ALL) patients appear to have a higher incidence of central nervous system (CNS) disease</w:t>
      </w:r>
      <w:r>
        <w:rPr>
          <w:rStyle w:val="11"/>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than acute myelogenous leukemia. CNS leukemia can be present at the initial diagnosis concurrent with bone marrow involvement, but it also can develop at any time during the natural course of AL, even after years of complete remission, as isolated CNS relapse</w:t>
      </w:r>
      <w:r>
        <w:rPr>
          <w:rFonts w:ascii="Book Antiqua" w:hAnsi="Book Antiqua" w:eastAsia="Book Antiqua" w:cs="Book Antiqua"/>
          <w:color w:val="000000" w:themeColor="text1"/>
          <w:vertAlign w:val="superscript"/>
          <w14:textFill>
            <w14:solidFill>
              <w14:schemeClr w14:val="tx1"/>
            </w14:solidFill>
          </w14:textFill>
        </w:rPr>
        <w:t>[1]</w:t>
      </w:r>
      <w:r>
        <w:rPr>
          <w:rFonts w:ascii="Book Antiqua" w:hAnsi="Book Antiqua" w:eastAsia="Book Antiqua" w:cs="Book Antiqua"/>
          <w:color w:val="000000" w:themeColor="text1"/>
          <w14:textFill>
            <w14:solidFill>
              <w14:schemeClr w14:val="tx1"/>
            </w14:solidFill>
          </w14:textFill>
        </w:rPr>
        <w:t>. In a few cases, leukemia cells are isolated to the CNS primarily without involvement of bone marrow. However, these cases are all non-lymphoid leukemia</w:t>
      </w:r>
      <w:r>
        <w:rPr>
          <w:rFonts w:ascii="Book Antiqua" w:hAnsi="Book Antiqua" w:eastAsia="Book Antiqua" w:cs="Book Antiqua"/>
          <w:color w:val="000000" w:themeColor="text1"/>
          <w:vertAlign w:val="superscript"/>
          <w14:textFill>
            <w14:solidFill>
              <w14:schemeClr w14:val="tx1"/>
            </w14:solidFill>
          </w14:textFill>
        </w:rPr>
        <w:t>[2-4]</w:t>
      </w:r>
      <w:r>
        <w:rPr>
          <w:rFonts w:ascii="Book Antiqua" w:hAnsi="Book Antiqua" w:eastAsia="Book Antiqua" w:cs="Book Antiqua"/>
          <w:color w:val="000000" w:themeColor="text1"/>
          <w14:textFill>
            <w14:solidFill>
              <w14:schemeClr w14:val="tx1"/>
            </w14:solidFill>
          </w14:textFill>
        </w:rPr>
        <w:t xml:space="preserve">. We here report a rare case of newly diagnosed </w:t>
      </w:r>
      <w:r>
        <w:rPr>
          <w:rFonts w:ascii="Book Antiqua" w:hAnsi="Book Antiqua" w:eastAsia="Book Antiqua" w:cs="Book Antiqua"/>
          <w:i/>
          <w:iCs/>
          <w:color w:val="000000" w:themeColor="text1"/>
          <w14:textFill>
            <w14:solidFill>
              <w14:schemeClr w14:val="tx1"/>
            </w14:solidFill>
          </w14:textFill>
        </w:rPr>
        <w:t>BCR-ABL</w:t>
      </w:r>
      <w:r>
        <w:rPr>
          <w:rFonts w:ascii="Book Antiqua" w:hAnsi="Book Antiqua" w:eastAsia="Book Antiqua" w:cs="Book Antiqua"/>
          <w:color w:val="000000" w:themeColor="text1"/>
          <w14:textFill>
            <w14:solidFill>
              <w14:schemeClr w14:val="tx1"/>
            </w14:solidFill>
          </w14:textFill>
        </w:rPr>
        <w:t>-positive ALL primarily located in the superficial arachnoid and the subarachnoid space, clinically manifesting as leukemic meningitis, without peripheral blood or bone marrow involvement.</w:t>
      </w:r>
    </w:p>
    <w:p>
      <w:pPr>
        <w:spacing w:line="360" w:lineRule="auto"/>
        <w:ind w:firstLine="240"/>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CASE PRESENTATION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Chief complaints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 30-year-old Chinese woman presented with 2 mo history of unsteadiness while walking starting in May 2020.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present illness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A mo later, she presented with progressive difficulty in walking and both lower limbs dragging.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History of past illness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She denied a history of fever, wasting and night sweats.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Personal and family history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She had no personal or family history of malignancy.</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Physical examination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On physical examination, no lymphadenopathy or organomegaly was detected. The myodynamia of left distant and proximate limb were grade 5- and grade 3+ respectively. The myodynamia of right distant and proximate limb were grade 5- and grade 4- respectively. Meningeal stimulation sign was negative. Cranial nerve examination and sensory examination was within normal limits.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Laboratory examinations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Complete blood counts showed white blood cells 4.08 × 10</w:t>
      </w:r>
      <w:r>
        <w:rPr>
          <w:rFonts w:ascii="Book Antiqua" w:hAnsi="Book Antiqua" w:eastAsia="Book Antiqua" w:cs="Book Antiqua"/>
          <w:color w:val="000000" w:themeColor="text1"/>
          <w:vertAlign w:val="superscript"/>
          <w14:textFill>
            <w14:solidFill>
              <w14:schemeClr w14:val="tx1"/>
            </w14:solidFill>
          </w14:textFill>
        </w:rPr>
        <w:t>9</w:t>
      </w:r>
      <w:r>
        <w:rPr>
          <w:rFonts w:ascii="Book Antiqua" w:hAnsi="Book Antiqua" w:eastAsia="Book Antiqua" w:cs="Book Antiqua"/>
          <w:color w:val="000000" w:themeColor="text1"/>
          <w14:textFill>
            <w14:solidFill>
              <w14:schemeClr w14:val="tx1"/>
            </w14:solidFill>
          </w14:textFill>
        </w:rPr>
        <w:t>/L (normal: 4-10 × 10</w:t>
      </w:r>
      <w:r>
        <w:rPr>
          <w:rFonts w:ascii="Book Antiqua" w:hAnsi="Book Antiqua" w:eastAsia="Book Antiqua" w:cs="Book Antiqua"/>
          <w:color w:val="000000" w:themeColor="text1"/>
          <w:vertAlign w:val="superscript"/>
          <w14:textFill>
            <w14:solidFill>
              <w14:schemeClr w14:val="tx1"/>
            </w14:solidFill>
          </w14:textFill>
        </w:rPr>
        <w:t>9</w:t>
      </w:r>
      <w:r>
        <w:rPr>
          <w:rFonts w:ascii="Book Antiqua" w:hAnsi="Book Antiqua" w:eastAsia="Book Antiqua" w:cs="Book Antiqua"/>
          <w:color w:val="000000" w:themeColor="text1"/>
          <w14:textFill>
            <w14:solidFill>
              <w14:schemeClr w14:val="tx1"/>
            </w14:solidFill>
          </w14:textFill>
        </w:rPr>
        <w:t>/L), hemoglobin 134 g/L (normal: 110-160 g/L), and platelets 280 × 10</w:t>
      </w:r>
      <w:r>
        <w:rPr>
          <w:rFonts w:ascii="Book Antiqua" w:hAnsi="Book Antiqua" w:eastAsia="Book Antiqua" w:cs="Book Antiqua"/>
          <w:color w:val="000000" w:themeColor="text1"/>
          <w:vertAlign w:val="superscript"/>
          <w14:textFill>
            <w14:solidFill>
              <w14:schemeClr w14:val="tx1"/>
            </w14:solidFill>
          </w14:textFill>
        </w:rPr>
        <w:t>9</w:t>
      </w:r>
      <w:r>
        <w:rPr>
          <w:rFonts w:ascii="Book Antiqua" w:hAnsi="Book Antiqua" w:eastAsia="Book Antiqua" w:cs="Book Antiqua"/>
          <w:color w:val="000000" w:themeColor="text1"/>
          <w14:textFill>
            <w14:solidFill>
              <w14:schemeClr w14:val="tx1"/>
            </w14:solidFill>
          </w14:textFill>
        </w:rPr>
        <w:t>/L (normal: 100-300 × 10</w:t>
      </w:r>
      <w:r>
        <w:rPr>
          <w:rFonts w:ascii="Book Antiqua" w:hAnsi="Book Antiqua" w:eastAsia="Book Antiqua" w:cs="Book Antiqua"/>
          <w:color w:val="000000" w:themeColor="text1"/>
          <w:vertAlign w:val="superscript"/>
          <w14:textFill>
            <w14:solidFill>
              <w14:schemeClr w14:val="tx1"/>
            </w14:solidFill>
          </w14:textFill>
        </w:rPr>
        <w:t>9</w:t>
      </w:r>
      <w:r>
        <w:rPr>
          <w:rFonts w:ascii="Book Antiqua" w:hAnsi="Book Antiqua" w:eastAsia="Book Antiqua" w:cs="Book Antiqua"/>
          <w:color w:val="000000" w:themeColor="text1"/>
          <w14:textFill>
            <w14:solidFill>
              <w14:schemeClr w14:val="tx1"/>
            </w14:solidFill>
          </w14:textFill>
        </w:rPr>
        <w:t>/L). Peripheral blood smears were negative. Lumbar puncture demonstrated increased opening pressure (220 mm H</w:t>
      </w:r>
      <w:r>
        <w:rPr>
          <w:rFonts w:ascii="Book Antiqua" w:hAnsi="Book Antiqua" w:eastAsia="Book Antiqua" w:cs="Book Antiqua"/>
          <w:color w:val="000000" w:themeColor="text1"/>
          <w:vertAlign w:val="sub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O) and was hypercellular with numerous large malignant cells in cerebrospinal fluid (</w:t>
      </w:r>
      <w:bookmarkStart w:id="0" w:name="OLE_LINK1"/>
      <w:r>
        <w:rPr>
          <w:rFonts w:ascii="Book Antiqua" w:hAnsi="Book Antiqua" w:eastAsia="Book Antiqua" w:cs="Book Antiqua"/>
          <w:color w:val="000000" w:themeColor="text1"/>
          <w14:textFill>
            <w14:solidFill>
              <w14:schemeClr w14:val="tx1"/>
            </w14:solidFill>
          </w14:textFill>
        </w:rPr>
        <w:t>CSF</w:t>
      </w:r>
      <w:bookmarkEnd w:id="0"/>
      <w:r>
        <w:rPr>
          <w:rFonts w:ascii="Book Antiqua" w:hAnsi="Book Antiqua" w:eastAsia="Book Antiqua" w:cs="Book Antiqua"/>
          <w:color w:val="000000" w:themeColor="text1"/>
          <w14:textFill>
            <w14:solidFill>
              <w14:schemeClr w14:val="tx1"/>
            </w14:solidFill>
          </w14:textFill>
        </w:rPr>
        <w:t>) (Figure 1). As central nervous system leukemia was suspected, the patient referred to our hematology department for further evaluation.</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Flow cytometry of lumbar puncture indicated an aberrant lymphoblast population (92.8%); expression of cells of differentiation (CD) 19, CD10, CD34, human leukocyte antigen D related, CD13, and cCD79a; and absence of CD33, CD117, CD20, CD7, CD15, and cytoplasmic</w:t>
      </w:r>
      <w:r>
        <w:rPr>
          <w:rStyle w:val="10"/>
          <w:rFonts w:ascii="Book Antiqua" w:hAnsi="Book Antiqua"/>
          <w:color w:val="000000" w:themeColor="text1"/>
          <w:sz w:val="24"/>
          <w:szCs w:val="24"/>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myeloperoxidase (Figure 2). Immunophenotype was consistent with pre-B cell-ALL. Polymerase chain reaction (PCR) screening covered 56 transcripts of myeloid fusion proteins and 15 transcripts of lymphoblastic fusion proteins, and showed the presence of </w:t>
      </w:r>
      <w:r>
        <w:rPr>
          <w:rFonts w:ascii="Book Antiqua" w:hAnsi="Book Antiqua" w:eastAsia="Book Antiqua" w:cs="Book Antiqua"/>
          <w:i/>
          <w:iCs/>
          <w:color w:val="000000" w:themeColor="text1"/>
          <w14:textFill>
            <w14:solidFill>
              <w14:schemeClr w14:val="tx1"/>
            </w14:solidFill>
          </w14:textFill>
        </w:rPr>
        <w:t>BCR-ABL1</w:t>
      </w:r>
      <w:r>
        <w:rPr>
          <w:rFonts w:ascii="Book Antiqua" w:hAnsi="Book Antiqua" w:eastAsia="Segoe UI" w:cs="Segoe UI"/>
          <w:color w:val="000000" w:themeColor="text1"/>
          <w:shd w:val="clear" w:color="auto" w:fill="FFFFFF"/>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chimeric oncogene, encoding</w:t>
      </w:r>
      <w:r>
        <w:rPr>
          <w:rFonts w:ascii="Book Antiqua" w:hAnsi="Book Antiqua" w:eastAsia="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proteins of </w:t>
      </w:r>
      <w:r>
        <w:rPr>
          <w:rFonts w:ascii="Book Antiqua" w:hAnsi="Book Antiqua" w:eastAsia="宋体" w:cs="Book Antiqua"/>
          <w:color w:val="000000" w:themeColor="text1"/>
          <w:lang w:eastAsia="zh-CN"/>
          <w14:textFill>
            <w14:solidFill>
              <w14:schemeClr w14:val="tx1"/>
            </w14:solidFill>
          </w14:textFill>
        </w:rPr>
        <w:t>190</w:t>
      </w:r>
      <w:r>
        <w:rPr>
          <w:rFonts w:ascii="Book Antiqua" w:hAnsi="Book Antiqua" w:eastAsia="Book Antiqua" w:cs="Book Antiqua"/>
          <w:color w:val="000000" w:themeColor="text1"/>
          <w14:textFill>
            <w14:solidFill>
              <w14:schemeClr w14:val="tx1"/>
            </w14:solidFill>
          </w14:textFill>
        </w:rPr>
        <w:t xml:space="preserve"> kDa (p</w:t>
      </w:r>
      <w:r>
        <w:rPr>
          <w:rFonts w:ascii="Book Antiqua" w:hAnsi="Book Antiqua" w:eastAsia="宋体" w:cs="Book Antiqua"/>
          <w:color w:val="000000" w:themeColor="text1"/>
          <w:lang w:eastAsia="zh-CN"/>
          <w14:textFill>
            <w14:solidFill>
              <w14:schemeClr w14:val="tx1"/>
            </w14:solidFill>
          </w14:textFill>
        </w:rPr>
        <w:t>190</w:t>
      </w:r>
      <w:r>
        <w:rPr>
          <w:rFonts w:ascii="Book Antiqua" w:hAnsi="Book Antiqua" w:eastAsia="Book Antiqua" w:cs="Book Antiqua"/>
          <w:color w:val="000000" w:themeColor="text1"/>
          <w14:textFill>
            <w14:solidFill>
              <w14:schemeClr w14:val="tx1"/>
            </w14:solidFill>
          </w14:textFill>
        </w:rPr>
        <w:t xml:space="preserve">) in CSF. This was quantified by real-time reverse transcriptase-PCR assay and found to be 24.061% (Table 1). Fluorescence in situ hybridization from the CSF revealed that 89.5% of the 200 cells screened had </w:t>
      </w:r>
      <w:r>
        <w:rPr>
          <w:rFonts w:ascii="Book Antiqua" w:hAnsi="Book Antiqua" w:eastAsia="Book Antiqua" w:cs="Book Antiqua"/>
          <w:i/>
          <w:iCs/>
          <w:color w:val="000000" w:themeColor="text1"/>
          <w14:textFill>
            <w14:solidFill>
              <w14:schemeClr w14:val="tx1"/>
            </w14:solidFill>
          </w14:textFill>
        </w:rPr>
        <w:t>BCR-ABL</w:t>
      </w:r>
      <w:r>
        <w:rPr>
          <w:rFonts w:ascii="Book Antiqua" w:hAnsi="Book Antiqua" w:eastAsia="Book Antiqua" w:cs="Book Antiqua"/>
          <w:color w:val="000000" w:themeColor="text1"/>
          <w14:textFill>
            <w14:solidFill>
              <w14:schemeClr w14:val="tx1"/>
            </w14:solidFill>
          </w14:textFill>
        </w:rPr>
        <w:t xml:space="preserve"> fusion signals (Figure 3). Next-generation sequencing for </w:t>
      </w:r>
      <w:r>
        <w:rPr>
          <w:rFonts w:ascii="Book Antiqua" w:hAnsi="Book Antiqua" w:eastAsia="Book Antiqua" w:cs="Book Antiqua"/>
          <w:i/>
          <w:iCs/>
          <w:color w:val="000000" w:themeColor="text1"/>
          <w14:textFill>
            <w14:solidFill>
              <w14:schemeClr w14:val="tx1"/>
            </w14:solidFill>
          </w14:textFill>
        </w:rPr>
        <w:t>BCR-ABL1</w:t>
      </w:r>
      <w:r>
        <w:rPr>
          <w:rFonts w:ascii="Book Antiqua" w:hAnsi="Book Antiqua" w:eastAsia="Book Antiqua" w:cs="Book Antiqua"/>
          <w:color w:val="000000" w:themeColor="text1"/>
          <w14:textFill>
            <w14:solidFill>
              <w14:schemeClr w14:val="tx1"/>
            </w14:solidFill>
          </w14:textFill>
        </w:rPr>
        <w:t xml:space="preserve"> kinase domain mutation of CSF malignant cells did not show any mutations.</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Bone marrow biopsies were performed several times, and were normocellular by flow cytometry and cytological analysis. No genetic mutations were found in BM by next-generation sequencing (NGS). PCR screening of the same transcripts with CNS was negative and indicated absence of </w:t>
      </w:r>
      <w:r>
        <w:rPr>
          <w:rFonts w:ascii="Book Antiqua" w:hAnsi="Book Antiqua" w:eastAsia="Book Antiqua" w:cs="Book Antiqua"/>
          <w:i/>
          <w:iCs/>
          <w:color w:val="000000" w:themeColor="text1"/>
          <w14:textFill>
            <w14:solidFill>
              <w14:schemeClr w14:val="tx1"/>
            </w14:solidFill>
          </w14:textFill>
        </w:rPr>
        <w:t>BCR-ABL1</w:t>
      </w:r>
      <w:r>
        <w:rPr>
          <w:rFonts w:ascii="Book Antiqua" w:hAnsi="Book Antiqua" w:eastAsia="Book Antiqua" w:cs="Book Antiqua"/>
          <w:color w:val="000000" w:themeColor="text1"/>
          <w14:textFill>
            <w14:solidFill>
              <w14:schemeClr w14:val="tx1"/>
            </w14:solidFill>
          </w14:textFill>
        </w:rPr>
        <w:t xml:space="preserve"> (p190).</w:t>
      </w:r>
    </w:p>
    <w:p>
      <w:pPr>
        <w:spacing w:line="360" w:lineRule="auto"/>
        <w:ind w:firstLine="240"/>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i/>
          <w:color w:val="000000" w:themeColor="text1"/>
          <w14:textFill>
            <w14:solidFill>
              <w14:schemeClr w14:val="tx1"/>
            </w14:solidFill>
          </w14:textFill>
        </w:rPr>
        <w:t>Imaging examinations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There were no obvious abnormalities on brain and spine magnetic resonance imaging (MRI). Positron emission tomography-computed tomography (PET-CT) scans demonstrated no hypermetabolic involvement in other areas. There was no evidence of occuping diseases.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FINAL DIAGNOSIS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Primary isolated central nervous system acute lymphoblastic leukemia with </w:t>
      </w:r>
      <w:r>
        <w:rPr>
          <w:rFonts w:ascii="Book Antiqua" w:hAnsi="Book Antiqua" w:eastAsia="Book Antiqua" w:cs="Book Antiqua"/>
          <w:i/>
          <w:iCs/>
          <w:color w:val="000000" w:themeColor="text1"/>
          <w14:textFill>
            <w14:solidFill>
              <w14:schemeClr w14:val="tx1"/>
            </w14:solidFill>
          </w14:textFill>
        </w:rPr>
        <w:t>BCR-ABL1</w:t>
      </w:r>
      <w:r>
        <w:rPr>
          <w:rFonts w:ascii="Book Antiqua" w:hAnsi="Book Antiqua" w:eastAsia="Book Antiqua" w:cs="Book Antiqua"/>
          <w:color w:val="000000" w:themeColor="text1"/>
          <w14:textFill>
            <w14:solidFill>
              <w14:schemeClr w14:val="tx1"/>
            </w14:solidFill>
          </w14:textFill>
        </w:rPr>
        <w:t xml:space="preserve"> rearrangement.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TREATMENT</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patient initially received chemotherapy on July 23, 2020. Treatment consisted of methotrexate (3.5 g/m</w:t>
      </w:r>
      <w:r>
        <w:rPr>
          <w:rFonts w:ascii="Book Antiqua" w:hAnsi="Book Antiqua" w:eastAsia="Book Antiqua" w:cs="Book Antiqua"/>
          <w:color w:val="000000" w:themeColor="text1"/>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on day 1 plus cytarabine (2 g/m</w:t>
      </w:r>
      <w:r>
        <w:rPr>
          <w:rFonts w:ascii="Book Antiqua" w:hAnsi="Book Antiqua" w:eastAsia="Book Antiqua" w:cs="Book Antiqua"/>
          <w:color w:val="000000" w:themeColor="text1"/>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xml:space="preserve">) on day 2 and was combined with triple intrathecal chemotherapy including methotrexate 10 mg, cytarabine 50 mg and dexamethasone 5mg twice a week. After the treatments for 3 wk, she was free from symptoms. CSF cytology, flow cytometry, and </w:t>
      </w:r>
      <w:r>
        <w:rPr>
          <w:rFonts w:ascii="Book Antiqua" w:hAnsi="Book Antiqua" w:eastAsia="Book Antiqua" w:cs="Book Antiqua"/>
          <w:i/>
          <w:iCs/>
          <w:color w:val="000000" w:themeColor="text1"/>
          <w14:textFill>
            <w14:solidFill>
              <w14:schemeClr w14:val="tx1"/>
            </w14:solidFill>
          </w14:textFill>
        </w:rPr>
        <w:t>BCR-ABL1</w:t>
      </w:r>
      <w:r>
        <w:rPr>
          <w:rFonts w:ascii="Book Antiqua" w:hAnsi="Book Antiqua" w:eastAsia="Book Antiqua" w:cs="Book Antiqua"/>
          <w:color w:val="000000" w:themeColor="text1"/>
          <w14:textFill>
            <w14:solidFill>
              <w14:schemeClr w14:val="tx1"/>
            </w14:solidFill>
          </w14:textFill>
        </w:rPr>
        <w:t xml:space="preserve"> (p190) transcripts remained positive. She then underwent three cycles of methotrexate (3.5 g/m</w:t>
      </w:r>
      <w:r>
        <w:rPr>
          <w:rFonts w:ascii="Book Antiqua" w:hAnsi="Book Antiqua" w:eastAsia="Book Antiqua" w:cs="Book Antiqua"/>
          <w:color w:val="000000" w:themeColor="text1"/>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in combination with cytarabine (2 g/m</w:t>
      </w:r>
      <w:r>
        <w:rPr>
          <w:rFonts w:ascii="Book Antiqua" w:hAnsi="Book Antiqua" w:eastAsia="Book Antiqua" w:cs="Book Antiqua"/>
          <w:color w:val="000000" w:themeColor="text1"/>
          <w:vertAlign w:val="superscript"/>
          <w14:textFill>
            <w14:solidFill>
              <w14:schemeClr w14:val="tx1"/>
            </w14:solidFill>
          </w14:textFill>
        </w:rPr>
        <w:t>2</w:t>
      </w:r>
      <w:r>
        <w:rPr>
          <w:rFonts w:ascii="Book Antiqua" w:hAnsi="Book Antiqua" w:eastAsia="Book Antiqua" w:cs="Book Antiqua"/>
          <w:color w:val="000000" w:themeColor="text1"/>
          <w14:textFill>
            <w14:solidFill>
              <w14:schemeClr w14:val="tx1"/>
            </w14:solidFill>
          </w14:textFill>
        </w:rPr>
        <w:t xml:space="preserve">) twice daily on days 2 and 3, with repeating treatment every 3 wk and seven courses of intrathecal chemotherapy. CSF cytology became negative, but the disease remained detectable by flow cytometry in September 30, 2020. Due to financial reasons, the patient discontinued treatment. </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OUTCOME AND FOLLOW-UP</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She returned 4 mo later reporting the same symptoms with positive CSF cytology. Peripheral blood and bone marrow continued to be negative by flow cytometry. The patient received dasatinib (140 mg/d) in combination with steroids and intrathecal agents, but dasatinib was discontinued after 4 wk due to hematologic toxicity. After myelosuppression recovery, CSF cytology remained positive. The patient rejected further systemic drugs and only accepted intrathecal triple therapy intermittently. The patient is currently alive, with positive CSF cytology in September 2021.</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DISCUSSION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i/>
          <w:iCs/>
          <w:color w:val="000000" w:themeColor="text1"/>
          <w14:textFill>
            <w14:solidFill>
              <w14:schemeClr w14:val="tx1"/>
            </w14:solidFill>
          </w14:textFill>
        </w:rPr>
        <w:t>BCR-ABL1</w:t>
      </w:r>
      <w:r>
        <w:rPr>
          <w:rFonts w:ascii="Book Antiqua" w:hAnsi="Book Antiqua" w:eastAsia="Book Antiqua" w:cs="Book Antiqua"/>
          <w:color w:val="000000" w:themeColor="text1"/>
          <w14:textFill>
            <w14:solidFill>
              <w14:schemeClr w14:val="tx1"/>
            </w14:solidFill>
          </w14:textFill>
        </w:rPr>
        <w:t xml:space="preserve"> fusion is associated with a higher incidence of CNS leukemia than other B cell precursor-ALL</w:t>
      </w:r>
      <w:r>
        <w:rPr>
          <w:rFonts w:ascii="Book Antiqua" w:hAnsi="Book Antiqua" w:eastAsia="Book Antiqua" w:cs="Book Antiqua"/>
          <w:color w:val="000000" w:themeColor="text1"/>
          <w:vertAlign w:val="superscript"/>
          <w14:textFill>
            <w14:solidFill>
              <w14:schemeClr w14:val="tx1"/>
            </w14:solidFill>
          </w14:textFill>
        </w:rPr>
        <w:t>[5]</w:t>
      </w:r>
      <w:r>
        <w:rPr>
          <w:rFonts w:ascii="Book Antiqua" w:hAnsi="Book Antiqua" w:eastAsia="Book Antiqua" w:cs="Book Antiqua"/>
          <w:color w:val="000000" w:themeColor="text1"/>
          <w14:textFill>
            <w14:solidFill>
              <w14:schemeClr w14:val="tx1"/>
            </w14:solidFill>
          </w14:textFill>
        </w:rPr>
        <w:t xml:space="preserve">. Here, we report a case of </w:t>
      </w:r>
      <w:r>
        <w:rPr>
          <w:rFonts w:ascii="Book Antiqua" w:hAnsi="Book Antiqua" w:eastAsia="Book Antiqua" w:cs="Book Antiqua"/>
          <w:i/>
          <w:iCs/>
          <w:color w:val="000000" w:themeColor="text1"/>
          <w14:textFill>
            <w14:solidFill>
              <w14:schemeClr w14:val="tx1"/>
            </w14:solidFill>
          </w14:textFill>
        </w:rPr>
        <w:t>BCR-ABL1</w:t>
      </w:r>
      <w:r>
        <w:rPr>
          <w:rFonts w:ascii="Book Antiqua" w:hAnsi="Book Antiqua" w:eastAsia="Book Antiqua" w:cs="Book Antiqua"/>
          <w:color w:val="000000" w:themeColor="text1"/>
          <w14:textFill>
            <w14:solidFill>
              <w14:schemeClr w14:val="tx1"/>
            </w14:solidFill>
          </w14:textFill>
        </w:rPr>
        <w:t xml:space="preserve"> positive for ALL that was primarily isolated to CNS with no involvement in blood or bone marrow. Given the rarity of this condition, no standard diagnostic assessment or treatment is currently available. The most valuable diagnostic procedure was the detection of aberrant cells in the CSF. PET-CT and MRI can exclude brain parenchyma and spinal cord occupancy. Laboratory techniques including molecular biology, molecular genetics, and flow cytometry in combination with cytology improved diagnostic accuracy in the ALL with unique presentation</w:t>
      </w:r>
      <w:r>
        <w:rPr>
          <w:rFonts w:ascii="Book Antiqua" w:hAnsi="Book Antiqua" w:eastAsia="Book Antiqua" w:cs="Book Antiqua"/>
          <w:color w:val="000000" w:themeColor="text1"/>
          <w:vertAlign w:val="superscript"/>
          <w14:textFill>
            <w14:solidFill>
              <w14:schemeClr w14:val="tx1"/>
            </w14:solidFill>
          </w14:textFill>
        </w:rPr>
        <w:t>[6-8]</w:t>
      </w:r>
      <w:r>
        <w:rPr>
          <w:rFonts w:ascii="Book Antiqua" w:hAnsi="Book Antiqua" w:eastAsia="Book Antiqua" w:cs="Book Antiqua"/>
          <w:color w:val="000000" w:themeColor="text1"/>
          <w14:textFill>
            <w14:solidFill>
              <w14:schemeClr w14:val="tx1"/>
            </w14:solidFill>
          </w14:textFill>
        </w:rPr>
        <w:t xml:space="preserve">. In the present case, identification of abnormal phenotype of blast cells, and </w:t>
      </w:r>
      <w:r>
        <w:rPr>
          <w:rFonts w:ascii="Book Antiqua" w:hAnsi="Book Antiqua" w:eastAsia="Book Antiqua" w:cs="Book Antiqua"/>
          <w:i/>
          <w:iCs/>
          <w:color w:val="000000" w:themeColor="text1"/>
          <w14:textFill>
            <w14:solidFill>
              <w14:schemeClr w14:val="tx1"/>
            </w14:solidFill>
          </w14:textFill>
        </w:rPr>
        <w:t>BCR-ABL1</w:t>
      </w:r>
      <w:r>
        <w:rPr>
          <w:rFonts w:ascii="Book Antiqua" w:hAnsi="Book Antiqua" w:eastAsia="Book Antiqua" w:cs="Book Antiqua"/>
          <w:color w:val="000000" w:themeColor="text1"/>
          <w14:textFill>
            <w14:solidFill>
              <w14:schemeClr w14:val="tx1"/>
            </w14:solidFill>
          </w14:textFill>
        </w:rPr>
        <w:t xml:space="preserve"> rearrangement in the CSF alone established the diagnosis of primary CNS-isolated ALL.</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Because this is a CNS-restricted disease, treatment protocols were based on the diagnosis of primary CNS lymphoma. The patient showed a clinical response to systemic and intrathecal chemotherapy. High-dose chemotherapy with stem-cell rescue was strongly recommended, but she declined. Unfortunately, the benefits of the treatments were short-lived and she experienced recurrence.</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 xml:space="preserve">CSF blast cells did not show any </w:t>
      </w:r>
      <w:r>
        <w:rPr>
          <w:rFonts w:ascii="Book Antiqua" w:hAnsi="Book Antiqua" w:eastAsia="Book Antiqua" w:cs="Book Antiqua"/>
          <w:i/>
          <w:iCs/>
          <w:color w:val="000000" w:themeColor="text1"/>
          <w14:textFill>
            <w14:solidFill>
              <w14:schemeClr w14:val="tx1"/>
            </w14:solidFill>
          </w14:textFill>
        </w:rPr>
        <w:t>BCR-ABL1</w:t>
      </w:r>
      <w:r>
        <w:rPr>
          <w:rFonts w:ascii="Book Antiqua" w:hAnsi="Book Antiqua" w:eastAsia="Book Antiqua" w:cs="Book Antiqua"/>
          <w:color w:val="000000" w:themeColor="text1"/>
          <w14:textFill>
            <w14:solidFill>
              <w14:schemeClr w14:val="tx1"/>
            </w14:solidFill>
          </w14:textFill>
        </w:rPr>
        <w:t xml:space="preserve"> kinase domain mutation by sequencing. Imatinib does not penetrate the CNS well</w:t>
      </w:r>
      <w:r>
        <w:rPr>
          <w:rFonts w:ascii="Book Antiqua" w:hAnsi="Book Antiqua" w:eastAsia="Book Antiqua" w:cs="Book Antiqua"/>
          <w:color w:val="000000" w:themeColor="text1"/>
          <w:vertAlign w:val="superscript"/>
          <w14:textFill>
            <w14:solidFill>
              <w14:schemeClr w14:val="tx1"/>
            </w14:solidFill>
          </w14:textFill>
        </w:rPr>
        <w:t>[9]</w:t>
      </w:r>
      <w:r>
        <w:rPr>
          <w:rFonts w:ascii="Book Antiqua" w:hAnsi="Book Antiqua" w:eastAsia="Book Antiqua" w:cs="Book Antiqua"/>
          <w:color w:val="000000" w:themeColor="text1"/>
          <w14:textFill>
            <w14:solidFill>
              <w14:schemeClr w14:val="tx1"/>
            </w14:solidFill>
          </w14:textFill>
        </w:rPr>
        <w:t>. Dasatinib has been reported to exhibit better penetration into the CSF than imatinib in in vitro studies</w:t>
      </w:r>
      <w:r>
        <w:rPr>
          <w:rFonts w:ascii="Book Antiqua" w:hAnsi="Book Antiqua" w:eastAsia="Book Antiqua" w:cs="Book Antiqua"/>
          <w:color w:val="000000" w:themeColor="text1"/>
          <w:vertAlign w:val="superscript"/>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However, the use of a higher dasatinib dosage (140 mg/d) was unable offer a proper control of the patient’s CNS leukemia. Other case reports also presented that dasatinib failed to prevent CNS progression</w:t>
      </w:r>
      <w:r>
        <w:rPr>
          <w:rFonts w:ascii="Book Antiqua" w:hAnsi="Book Antiqua" w:eastAsia="Book Antiqua" w:cs="Book Antiqua"/>
          <w:color w:val="000000" w:themeColor="text1"/>
          <w:vertAlign w:val="superscript"/>
          <w14:textFill>
            <w14:solidFill>
              <w14:schemeClr w14:val="tx1"/>
            </w14:solidFill>
          </w14:textFill>
        </w:rPr>
        <w:t>[11-13]</w:t>
      </w:r>
      <w:r>
        <w:rPr>
          <w:rFonts w:ascii="Book Antiqua" w:hAnsi="Book Antiqua" w:eastAsia="Book Antiqua" w:cs="Book Antiqua"/>
          <w:color w:val="000000" w:themeColor="text1"/>
          <w14:textFill>
            <w14:solidFill>
              <w14:schemeClr w14:val="tx1"/>
            </w14:solidFill>
          </w14:textFill>
        </w:rPr>
        <w:t xml:space="preserve">. Factors except for </w:t>
      </w:r>
      <w:r>
        <w:rPr>
          <w:rFonts w:ascii="Book Antiqua" w:hAnsi="Book Antiqua" w:eastAsia="Book Antiqua" w:cs="Book Antiqua"/>
          <w:i/>
          <w:iCs/>
          <w:color w:val="000000" w:themeColor="text1"/>
          <w14:textFill>
            <w14:solidFill>
              <w14:schemeClr w14:val="tx1"/>
            </w14:solidFill>
          </w14:textFill>
        </w:rPr>
        <w:t>ABL</w:t>
      </w:r>
      <w:r>
        <w:rPr>
          <w:rFonts w:ascii="Book Antiqua" w:hAnsi="Book Antiqua" w:eastAsia="Book Antiqua" w:cs="Book Antiqua"/>
          <w:color w:val="000000" w:themeColor="text1"/>
          <w14:textFill>
            <w14:solidFill>
              <w14:schemeClr w14:val="tx1"/>
            </w14:solidFill>
          </w14:textFill>
        </w:rPr>
        <w:t xml:space="preserve"> kinase domain mutations might influence dasatinib efficacy in the CNS, such as dose intensity of dasatinib, lack of protein binding, and comedications known to decrease dasatinib plasma concentrations, but data are limited in this regard to come to a conclusion.</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The mechanisms fostering primary CNS leukemia are unknown. CNS involvement is a difficult problem in the treatment of ALL. In order to develop novel treatment programmers, it is essential to investigate the molecular mechanisms of CNS leukemia.</w:t>
      </w:r>
    </w:p>
    <w:p>
      <w:pPr>
        <w:spacing w:line="360" w:lineRule="auto"/>
        <w:ind w:firstLine="480" w:firstLineChars="200"/>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Recent studies have shown that anti-CD19 chimeric antigen receptor (CAR) T cell effectively and safely eliminate leukemia cells in the CNS</w:t>
      </w:r>
      <w:r>
        <w:rPr>
          <w:rFonts w:ascii="Book Antiqua" w:hAnsi="Book Antiqua" w:eastAsia="Book Antiqua" w:cs="Book Antiqua"/>
          <w:color w:val="000000" w:themeColor="text1"/>
          <w:vertAlign w:val="superscript"/>
          <w14:textFill>
            <w14:solidFill>
              <w14:schemeClr w14:val="tx1"/>
            </w14:solidFill>
          </w14:textFill>
        </w:rPr>
        <w:t>[14,15]</w:t>
      </w:r>
      <w:r>
        <w:rPr>
          <w:rFonts w:ascii="Book Antiqua" w:hAnsi="Book Antiqua" w:eastAsia="Book Antiqua" w:cs="Book Antiqua"/>
          <w:color w:val="000000" w:themeColor="text1"/>
          <w14:textFill>
            <w14:solidFill>
              <w14:schemeClr w14:val="tx1"/>
            </w14:solidFill>
          </w14:textFill>
        </w:rPr>
        <w:t>. Some patients who received no further therapy for CNS leukemia after CAR-T cells infusion experienced sustained remission for more than 5 mo. Cellular therapies may be able to cross blood-brain barrier in the brain. But systematic studies with larger amount of patients are needed to evaluate the superiority of CAR-T cells in CNS leukemia.</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aps/>
          <w:color w:val="000000" w:themeColor="text1"/>
          <w:u w:val="single"/>
          <w14:textFill>
            <w14:solidFill>
              <w14:schemeClr w14:val="tx1"/>
            </w14:solidFill>
          </w14:textFill>
        </w:rPr>
        <w:t>CONCLUSION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CSF examination is the most useful laboratory test in the diagnosis of the rare primary CNS-isolated ALL. Flow cytometry in combination with PCR/NGS analyses improved diagnostic accuracy and facilitated subsequent analysis of minimal residual disease. Current CNS leukemia treatment strategies are not specific and associated with long-term toxicity. CAR-T cell therapy is a new and promising approach that may improve the efficacy of the existing therapies and eliminate CNS leukemia cells.</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REFERENCES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 </w:t>
      </w:r>
      <w:r>
        <w:rPr>
          <w:rFonts w:ascii="Book Antiqua" w:hAnsi="Book Antiqua"/>
          <w:b/>
          <w:bCs/>
          <w:color w:val="000000" w:themeColor="text1"/>
          <w14:textFill>
            <w14:solidFill>
              <w14:schemeClr w14:val="tx1"/>
            </w14:solidFill>
          </w14:textFill>
        </w:rPr>
        <w:t>Deak D</w:t>
      </w:r>
      <w:r>
        <w:rPr>
          <w:rFonts w:ascii="Book Antiqua" w:hAnsi="Book Antiqua"/>
          <w:color w:val="000000" w:themeColor="text1"/>
          <w14:textFill>
            <w14:solidFill>
              <w14:schemeClr w14:val="tx1"/>
            </w14:solidFill>
          </w14:textFill>
        </w:rPr>
        <w:t xml:space="preserve">, Gorcea-Andronic N, Sas V, Teodorescu P, Constantinescu C, Iluta S, Pasca S, Hotea I, Turcas C, Moisoiu V, Zimta AA, Galdean S, Steinheber J, Rus I, Rauch S, Richlitzki C, Munteanu R, Jurj A, Petrushev B, Selicean C, Marian M, Soritau O, Andries A, Roman A, Dima D, Tanase A, Sigurjonsson O, Tomuleasa C. A narrative review of central nervous system involvement in acute leukemias. </w:t>
      </w:r>
      <w:r>
        <w:rPr>
          <w:rFonts w:ascii="Book Antiqua" w:hAnsi="Book Antiqua"/>
          <w:i/>
          <w:iCs/>
          <w:color w:val="000000" w:themeColor="text1"/>
          <w14:textFill>
            <w14:solidFill>
              <w14:schemeClr w14:val="tx1"/>
            </w14:solidFill>
          </w14:textFill>
        </w:rPr>
        <w:t>Ann Transl Med</w:t>
      </w:r>
      <w:r>
        <w:rPr>
          <w:rFonts w:ascii="Book Antiqua" w:hAnsi="Book Antiqua"/>
          <w:color w:val="000000" w:themeColor="text1"/>
          <w14:textFill>
            <w14:solidFill>
              <w14:schemeClr w14:val="tx1"/>
            </w14:solidFill>
          </w14:textFill>
        </w:rPr>
        <w:t xml:space="preserve"> 2021; </w:t>
      </w:r>
      <w:r>
        <w:rPr>
          <w:rFonts w:ascii="Book Antiqua" w:hAnsi="Book Antiqua"/>
          <w:b/>
          <w:bCs/>
          <w:color w:val="000000" w:themeColor="text1"/>
          <w14:textFill>
            <w14:solidFill>
              <w14:schemeClr w14:val="tx1"/>
            </w14:solidFill>
          </w14:textFill>
        </w:rPr>
        <w:t>9</w:t>
      </w:r>
      <w:r>
        <w:rPr>
          <w:rFonts w:ascii="Book Antiqua" w:hAnsi="Book Antiqua"/>
          <w:color w:val="000000" w:themeColor="text1"/>
          <w14:textFill>
            <w14:solidFill>
              <w14:schemeClr w14:val="tx1"/>
            </w14:solidFill>
          </w14:textFill>
        </w:rPr>
        <w:t>: 68 [PMID: 33553361 DOI: 10.21037/atm-20-3140]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2 </w:t>
      </w:r>
      <w:r>
        <w:rPr>
          <w:rFonts w:ascii="Book Antiqua" w:hAnsi="Book Antiqua"/>
          <w:b/>
          <w:bCs/>
          <w:color w:val="000000" w:themeColor="text1"/>
          <w14:textFill>
            <w14:solidFill>
              <w14:schemeClr w14:val="tx1"/>
            </w14:solidFill>
          </w14:textFill>
        </w:rPr>
        <w:t>Liu H</w:t>
      </w:r>
      <w:r>
        <w:rPr>
          <w:rFonts w:ascii="Book Antiqua" w:hAnsi="Book Antiqua"/>
          <w:color w:val="000000" w:themeColor="text1"/>
          <w14:textFill>
            <w14:solidFill>
              <w14:schemeClr w14:val="tx1"/>
            </w14:solidFill>
          </w14:textFill>
        </w:rPr>
        <w:t xml:space="preserve">, Guinipero TL, Schieffer KM, Carter C, Colace S, Leonard JR, Orr BA, Kahwash SB, Brennan PJ, Fitch JR, Kelly B, Magrini VJ, White P, Wilson RK, Mardis ER, Cottrell CE, Boué DR. </w:t>
      </w:r>
      <w:r>
        <w:rPr>
          <w:rFonts w:ascii="Book Antiqua" w:hAnsi="Book Antiqua"/>
          <w:i/>
          <w:iCs/>
          <w:color w:val="000000" w:themeColor="text1"/>
          <w14:textFill>
            <w14:solidFill>
              <w14:schemeClr w14:val="tx1"/>
            </w14:solidFill>
          </w14:textFill>
        </w:rPr>
        <w:t>De novo</w:t>
      </w:r>
      <w:r>
        <w:rPr>
          <w:rFonts w:ascii="Book Antiqua" w:hAnsi="Book Antiqua"/>
          <w:color w:val="000000" w:themeColor="text1"/>
          <w14:textFill>
            <w14:solidFill>
              <w14:schemeClr w14:val="tx1"/>
            </w14:solidFill>
          </w14:textFill>
        </w:rPr>
        <w:t xml:space="preserve"> primary central nervous system pure erythroid leukemia/sarcoma with t(1;16)(p31;q24) </w:t>
      </w:r>
      <w:r>
        <w:rPr>
          <w:rFonts w:ascii="Book Antiqua" w:hAnsi="Book Antiqua"/>
          <w:i/>
          <w:iCs/>
          <w:color w:val="000000" w:themeColor="text1"/>
          <w14:textFill>
            <w14:solidFill>
              <w14:schemeClr w14:val="tx1"/>
            </w14:solidFill>
          </w14:textFill>
        </w:rPr>
        <w:t>NFIA/CBFA2T3</w:t>
      </w:r>
      <w:r>
        <w:rPr>
          <w:rFonts w:ascii="Book Antiqua" w:hAnsi="Book Antiqua"/>
          <w:color w:val="000000" w:themeColor="text1"/>
          <w14:textFill>
            <w14:solidFill>
              <w14:schemeClr w14:val="tx1"/>
            </w14:solidFill>
          </w14:textFill>
        </w:rPr>
        <w:t xml:space="preserve"> translocation. </w:t>
      </w:r>
      <w:r>
        <w:rPr>
          <w:rFonts w:ascii="Book Antiqua" w:hAnsi="Book Antiqua"/>
          <w:i/>
          <w:iCs/>
          <w:color w:val="000000" w:themeColor="text1"/>
          <w14:textFill>
            <w14:solidFill>
              <w14:schemeClr w14:val="tx1"/>
            </w14:solidFill>
          </w14:textFill>
        </w:rPr>
        <w:t>Haematologica</w:t>
      </w:r>
      <w:r>
        <w:rPr>
          <w:rFonts w:ascii="Book Antiqua" w:hAnsi="Book Antiqua"/>
          <w:color w:val="000000" w:themeColor="text1"/>
          <w14:textFill>
            <w14:solidFill>
              <w14:schemeClr w14:val="tx1"/>
            </w14:solidFill>
          </w14:textFill>
        </w:rPr>
        <w:t xml:space="preserve"> 2020; </w:t>
      </w:r>
      <w:r>
        <w:rPr>
          <w:rFonts w:ascii="Book Antiqua" w:hAnsi="Book Antiqua"/>
          <w:b/>
          <w:bCs/>
          <w:color w:val="000000" w:themeColor="text1"/>
          <w14:textFill>
            <w14:solidFill>
              <w14:schemeClr w14:val="tx1"/>
            </w14:solidFill>
          </w14:textFill>
        </w:rPr>
        <w:t>105</w:t>
      </w:r>
      <w:r>
        <w:rPr>
          <w:rFonts w:ascii="Book Antiqua" w:hAnsi="Book Antiqua"/>
          <w:color w:val="000000" w:themeColor="text1"/>
          <w14:textFill>
            <w14:solidFill>
              <w14:schemeClr w14:val="tx1"/>
            </w14:solidFill>
          </w14:textFill>
        </w:rPr>
        <w:t>: e194-e197 [PMID: 31949013 DOI: 10.3324/haematol.2019.231928]</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3 </w:t>
      </w:r>
      <w:r>
        <w:rPr>
          <w:rFonts w:ascii="Book Antiqua" w:hAnsi="Book Antiqua"/>
          <w:b/>
          <w:bCs/>
          <w:color w:val="000000" w:themeColor="text1"/>
          <w14:textFill>
            <w14:solidFill>
              <w14:schemeClr w14:val="tx1"/>
            </w14:solidFill>
          </w14:textFill>
        </w:rPr>
        <w:t>Celebisoy N</w:t>
      </w:r>
      <w:r>
        <w:rPr>
          <w:rFonts w:ascii="Book Antiqua" w:hAnsi="Book Antiqua"/>
          <w:color w:val="000000" w:themeColor="text1"/>
          <w14:textFill>
            <w14:solidFill>
              <w14:schemeClr w14:val="tx1"/>
            </w14:solidFill>
          </w14:textFill>
        </w:rPr>
        <w:t xml:space="preserve">, Bayam FE, Cağirgan S, Hekimgil M. Primary central nervous system leukemia presenting with an isolated oculomotor palsy. </w:t>
      </w:r>
      <w:r>
        <w:rPr>
          <w:rFonts w:ascii="Book Antiqua" w:hAnsi="Book Antiqua"/>
          <w:i/>
          <w:iCs/>
          <w:color w:val="000000" w:themeColor="text1"/>
          <w14:textFill>
            <w14:solidFill>
              <w14:schemeClr w14:val="tx1"/>
            </w14:solidFill>
          </w14:textFill>
        </w:rPr>
        <w:t>J Clin Neurosci</w:t>
      </w:r>
      <w:r>
        <w:rPr>
          <w:rFonts w:ascii="Book Antiqua" w:hAnsi="Book Antiqua"/>
          <w:color w:val="000000" w:themeColor="text1"/>
          <w14:textFill>
            <w14:solidFill>
              <w14:schemeClr w14:val="tx1"/>
            </w14:solidFill>
          </w14:textFill>
        </w:rPr>
        <w:t xml:space="preserve"> 2008; </w:t>
      </w:r>
      <w:r>
        <w:rPr>
          <w:rFonts w:ascii="Book Antiqua" w:hAnsi="Book Antiqua"/>
          <w:b/>
          <w:bCs/>
          <w:color w:val="000000" w:themeColor="text1"/>
          <w14:textFill>
            <w14:solidFill>
              <w14:schemeClr w14:val="tx1"/>
            </w14:solidFill>
          </w14:textFill>
        </w:rPr>
        <w:t>15</w:t>
      </w:r>
      <w:r>
        <w:rPr>
          <w:rFonts w:ascii="Book Antiqua" w:hAnsi="Book Antiqua"/>
          <w:color w:val="000000" w:themeColor="text1"/>
          <w14:textFill>
            <w14:solidFill>
              <w14:schemeClr w14:val="tx1"/>
            </w14:solidFill>
          </w14:textFill>
        </w:rPr>
        <w:t>: 1144-1145 [PMID: 18710807 DOI: 10.1016/j.jocn.2007.09.021]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4 </w:t>
      </w:r>
      <w:r>
        <w:rPr>
          <w:rFonts w:ascii="Book Antiqua" w:hAnsi="Book Antiqua"/>
          <w:b/>
          <w:bCs/>
          <w:color w:val="000000" w:themeColor="text1"/>
          <w14:textFill>
            <w14:solidFill>
              <w14:schemeClr w14:val="tx1"/>
            </w14:solidFill>
          </w14:textFill>
        </w:rPr>
        <w:t>Park C</w:t>
      </w:r>
      <w:r>
        <w:rPr>
          <w:rFonts w:ascii="Book Antiqua" w:hAnsi="Book Antiqua"/>
          <w:color w:val="000000" w:themeColor="text1"/>
          <w14:textFill>
            <w14:solidFill>
              <w14:schemeClr w14:val="tx1"/>
            </w14:solidFill>
          </w14:textFill>
        </w:rPr>
        <w:t xml:space="preserve">, Suh D, Ramey A, Heston C, Abromowitch M. Isolated central nervous system primary acute monoblastic leukemia presenting as papilledema. </w:t>
      </w:r>
      <w:r>
        <w:rPr>
          <w:rFonts w:ascii="Book Antiqua" w:hAnsi="Book Antiqua"/>
          <w:i/>
          <w:iCs/>
          <w:color w:val="000000" w:themeColor="text1"/>
          <w14:textFill>
            <w14:solidFill>
              <w14:schemeClr w14:val="tx1"/>
            </w14:solidFill>
          </w14:textFill>
        </w:rPr>
        <w:t>Pediatr Blood Cancer</w:t>
      </w:r>
      <w:r>
        <w:rPr>
          <w:rFonts w:ascii="Book Antiqua" w:hAnsi="Book Antiqua"/>
          <w:color w:val="000000" w:themeColor="text1"/>
          <w14:textFill>
            <w14:solidFill>
              <w14:schemeClr w14:val="tx1"/>
            </w14:solidFill>
          </w14:textFill>
        </w:rPr>
        <w:t xml:space="preserve"> 2016; </w:t>
      </w:r>
      <w:r>
        <w:rPr>
          <w:rFonts w:ascii="Book Antiqua" w:hAnsi="Book Antiqua"/>
          <w:b/>
          <w:bCs/>
          <w:color w:val="000000" w:themeColor="text1"/>
          <w14:textFill>
            <w14:solidFill>
              <w14:schemeClr w14:val="tx1"/>
            </w14:solidFill>
          </w14:textFill>
        </w:rPr>
        <w:t>63</w:t>
      </w:r>
      <w:r>
        <w:rPr>
          <w:rFonts w:ascii="Book Antiqua" w:hAnsi="Book Antiqua"/>
          <w:color w:val="000000" w:themeColor="text1"/>
          <w14:textFill>
            <w14:solidFill>
              <w14:schemeClr w14:val="tx1"/>
            </w14:solidFill>
          </w14:textFill>
        </w:rPr>
        <w:t>: 2256-2257 [PMID: 27569601 DOI: 10.1002/pbc.26152]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5 </w:t>
      </w:r>
      <w:r>
        <w:rPr>
          <w:rFonts w:ascii="Book Antiqua" w:hAnsi="Book Antiqua"/>
          <w:b/>
          <w:bCs/>
          <w:color w:val="000000" w:themeColor="text1"/>
          <w14:textFill>
            <w14:solidFill>
              <w14:schemeClr w14:val="tx1"/>
            </w14:solidFill>
          </w14:textFill>
        </w:rPr>
        <w:t>Sanchez R</w:t>
      </w:r>
      <w:r>
        <w:rPr>
          <w:rFonts w:ascii="Book Antiqua" w:hAnsi="Book Antiqua"/>
          <w:color w:val="000000" w:themeColor="text1"/>
          <w14:textFill>
            <w14:solidFill>
              <w14:schemeClr w14:val="tx1"/>
            </w14:solidFill>
          </w14:textFill>
        </w:rPr>
        <w:t xml:space="preserve">, Ayala R, Alonso RA, Martínez MP, Ribera J, García O, Sanchez-Pina J, Mercadal S, Montesinos P, Martino R, Barba P, González-Campos J, Barrios M, Lavilla E, Gil C, Bernal T, Escoda L, Abella E, Amigo ML, Moreno MJ, Bravo P, Guàrdia R, Hernández-Rivas JM, García-Guiñón A, Piernas S, Ribera JM, Martínez-López J. Clinical characteristics of patients with central nervous system relapse in BCR-ABL1-positive acute lymphoblastic leukemia: the importance of characterizing ABL1 mutations in cerebrospinal fluid. </w:t>
      </w:r>
      <w:r>
        <w:rPr>
          <w:rFonts w:ascii="Book Antiqua" w:hAnsi="Book Antiqua"/>
          <w:i/>
          <w:iCs/>
          <w:color w:val="000000" w:themeColor="text1"/>
          <w14:textFill>
            <w14:solidFill>
              <w14:schemeClr w14:val="tx1"/>
            </w14:solidFill>
          </w14:textFill>
        </w:rPr>
        <w:t>Ann Hematol</w:t>
      </w:r>
      <w:r>
        <w:rPr>
          <w:rFonts w:ascii="Book Antiqua" w:hAnsi="Book Antiqua"/>
          <w:color w:val="000000" w:themeColor="text1"/>
          <w14:textFill>
            <w14:solidFill>
              <w14:schemeClr w14:val="tx1"/>
            </w14:solidFill>
          </w14:textFill>
        </w:rPr>
        <w:t xml:space="preserve"> 2017; </w:t>
      </w:r>
      <w:r>
        <w:rPr>
          <w:rFonts w:ascii="Book Antiqua" w:hAnsi="Book Antiqua"/>
          <w:b/>
          <w:bCs/>
          <w:color w:val="000000" w:themeColor="text1"/>
          <w14:textFill>
            <w14:solidFill>
              <w14:schemeClr w14:val="tx1"/>
            </w14:solidFill>
          </w14:textFill>
        </w:rPr>
        <w:t>96</w:t>
      </w:r>
      <w:r>
        <w:rPr>
          <w:rFonts w:ascii="Book Antiqua" w:hAnsi="Book Antiqua"/>
          <w:color w:val="000000" w:themeColor="text1"/>
          <w14:textFill>
            <w14:solidFill>
              <w14:schemeClr w14:val="tx1"/>
            </w14:solidFill>
          </w14:textFill>
        </w:rPr>
        <w:t>: 1069-1075 [PMID: 28451802 DOI: 10.1007/s00277-017-3002-1]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6 </w:t>
      </w:r>
      <w:r>
        <w:rPr>
          <w:rFonts w:ascii="Book Antiqua" w:hAnsi="Book Antiqua"/>
          <w:b/>
          <w:bCs/>
          <w:color w:val="000000" w:themeColor="text1"/>
          <w14:textFill>
            <w14:solidFill>
              <w14:schemeClr w14:val="tx1"/>
            </w14:solidFill>
          </w14:textFill>
        </w:rPr>
        <w:t>Bromberg JE</w:t>
      </w:r>
      <w:r>
        <w:rPr>
          <w:rFonts w:ascii="Book Antiqua" w:hAnsi="Book Antiqua"/>
          <w:color w:val="000000" w:themeColor="text1"/>
          <w14:textFill>
            <w14:solidFill>
              <w14:schemeClr w14:val="tx1"/>
            </w14:solidFill>
          </w14:textFill>
        </w:rPr>
        <w:t xml:space="preserve">, Breems DA, Kraan J, Bikker G, van der Holt B, Smitt PS, van den Bent MJ, van't Veer M, Gratama JW. CSF flow cytometry greatly improves diagnostic accuracy in CNS hematologic malignancies. </w:t>
      </w:r>
      <w:r>
        <w:rPr>
          <w:rFonts w:ascii="Book Antiqua" w:hAnsi="Book Antiqua"/>
          <w:i/>
          <w:iCs/>
          <w:color w:val="000000" w:themeColor="text1"/>
          <w14:textFill>
            <w14:solidFill>
              <w14:schemeClr w14:val="tx1"/>
            </w14:solidFill>
          </w14:textFill>
        </w:rPr>
        <w:t>Neurology</w:t>
      </w:r>
      <w:r>
        <w:rPr>
          <w:rFonts w:ascii="Book Antiqua" w:hAnsi="Book Antiqua"/>
          <w:color w:val="000000" w:themeColor="text1"/>
          <w14:textFill>
            <w14:solidFill>
              <w14:schemeClr w14:val="tx1"/>
            </w14:solidFill>
          </w14:textFill>
        </w:rPr>
        <w:t xml:space="preserve"> 2007; </w:t>
      </w:r>
      <w:r>
        <w:rPr>
          <w:rFonts w:ascii="Book Antiqua" w:hAnsi="Book Antiqua"/>
          <w:b/>
          <w:bCs/>
          <w:color w:val="000000" w:themeColor="text1"/>
          <w14:textFill>
            <w14:solidFill>
              <w14:schemeClr w14:val="tx1"/>
            </w14:solidFill>
          </w14:textFill>
        </w:rPr>
        <w:t>68</w:t>
      </w:r>
      <w:r>
        <w:rPr>
          <w:rFonts w:ascii="Book Antiqua" w:hAnsi="Book Antiqua"/>
          <w:color w:val="000000" w:themeColor="text1"/>
          <w14:textFill>
            <w14:solidFill>
              <w14:schemeClr w14:val="tx1"/>
            </w14:solidFill>
          </w14:textFill>
        </w:rPr>
        <w:t>: 1674-1679 [PMID: 17502548 DOI: 10.1212/01.wnl.0000261909.28915.83]</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7 </w:t>
      </w:r>
      <w:r>
        <w:rPr>
          <w:rFonts w:ascii="Book Antiqua" w:hAnsi="Book Antiqua"/>
          <w:b/>
          <w:bCs/>
          <w:color w:val="000000" w:themeColor="text1"/>
          <w14:textFill>
            <w14:solidFill>
              <w14:schemeClr w14:val="tx1"/>
            </w14:solidFill>
          </w14:textFill>
        </w:rPr>
        <w:t>Gaipa G</w:t>
      </w:r>
      <w:r>
        <w:rPr>
          <w:rFonts w:ascii="Book Antiqua" w:hAnsi="Book Antiqua"/>
          <w:color w:val="000000" w:themeColor="text1"/>
          <w14:textFill>
            <w14:solidFill>
              <w14:schemeClr w14:val="tx1"/>
            </w14:solidFill>
          </w14:textFill>
        </w:rPr>
        <w:t xml:space="preserve">, Cazzaniga G, Valsecchi MG, Panzer-Grümayer R, Buldini B, Silvestri D, Karawajew L, Maglia O, Ratei R, Benetello A, Sala S, Schumich A, Schrauder A, Villa T, Veltroni M, Ludwig WD, Conter V, Schrappe M, Biondi A, Dworzak MN, Basso G. Time point-dependent concordance of flow cytometry and real-time quantitative polymerase chain reaction for minimal residual disease detection in childhood acute lymphoblastic leukemia. </w:t>
      </w:r>
      <w:r>
        <w:rPr>
          <w:rFonts w:ascii="Book Antiqua" w:hAnsi="Book Antiqua"/>
          <w:i/>
          <w:iCs/>
          <w:color w:val="000000" w:themeColor="text1"/>
          <w14:textFill>
            <w14:solidFill>
              <w14:schemeClr w14:val="tx1"/>
            </w14:solidFill>
          </w14:textFill>
        </w:rPr>
        <w:t>Haematologica</w:t>
      </w:r>
      <w:r>
        <w:rPr>
          <w:rFonts w:ascii="Book Antiqua" w:hAnsi="Book Antiqua"/>
          <w:color w:val="000000" w:themeColor="text1"/>
          <w14:textFill>
            <w14:solidFill>
              <w14:schemeClr w14:val="tx1"/>
            </w14:solidFill>
          </w14:textFill>
        </w:rPr>
        <w:t xml:space="preserve"> 2012; </w:t>
      </w:r>
      <w:r>
        <w:rPr>
          <w:rFonts w:ascii="Book Antiqua" w:hAnsi="Book Antiqua"/>
          <w:b/>
          <w:bCs/>
          <w:color w:val="000000" w:themeColor="text1"/>
          <w14:textFill>
            <w14:solidFill>
              <w14:schemeClr w14:val="tx1"/>
            </w14:solidFill>
          </w14:textFill>
        </w:rPr>
        <w:t>97</w:t>
      </w:r>
      <w:r>
        <w:rPr>
          <w:rFonts w:ascii="Book Antiqua" w:hAnsi="Book Antiqua"/>
          <w:color w:val="000000" w:themeColor="text1"/>
          <w14:textFill>
            <w14:solidFill>
              <w14:schemeClr w14:val="tx1"/>
            </w14:solidFill>
          </w14:textFill>
        </w:rPr>
        <w:t>: 1582-1593 [PMID: 22581001 DOI: 10.3324/haematol.2011.060426]</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8 </w:t>
      </w:r>
      <w:r>
        <w:rPr>
          <w:rFonts w:ascii="Book Antiqua" w:hAnsi="Book Antiqua"/>
          <w:b/>
          <w:bCs/>
          <w:color w:val="000000" w:themeColor="text1"/>
          <w14:textFill>
            <w14:solidFill>
              <w14:schemeClr w14:val="tx1"/>
            </w14:solidFill>
          </w14:textFill>
        </w:rPr>
        <w:t>Wood B</w:t>
      </w:r>
      <w:r>
        <w:rPr>
          <w:rFonts w:ascii="Book Antiqua" w:hAnsi="Book Antiqua"/>
          <w:color w:val="000000" w:themeColor="text1"/>
          <w14:textFill>
            <w14:solidFill>
              <w14:schemeClr w14:val="tx1"/>
            </w14:solidFill>
          </w14:textFill>
        </w:rPr>
        <w:t xml:space="preserve">, Wu D, Crossley B, Dai Y, Williamson D, Gawad C, Borowitz MJ, Devidas M, Maloney KW, Larsen E, Winick N, Raetz E, Carroll WL, Hunger SP, Loh ML, Robins H, Kirsch I. Measurable residual disease detection by high-throughput sequencing improves risk stratification for pediatric B-ALL. </w:t>
      </w:r>
      <w:r>
        <w:rPr>
          <w:rFonts w:ascii="Book Antiqua" w:hAnsi="Book Antiqua"/>
          <w:i/>
          <w:iCs/>
          <w:color w:val="000000" w:themeColor="text1"/>
          <w14:textFill>
            <w14:solidFill>
              <w14:schemeClr w14:val="tx1"/>
            </w14:solidFill>
          </w14:textFill>
        </w:rPr>
        <w:t>Blood</w:t>
      </w:r>
      <w:r>
        <w:rPr>
          <w:rFonts w:ascii="Book Antiqua" w:hAnsi="Book Antiqua"/>
          <w:color w:val="000000" w:themeColor="text1"/>
          <w14:textFill>
            <w14:solidFill>
              <w14:schemeClr w14:val="tx1"/>
            </w14:solidFill>
          </w14:textFill>
        </w:rPr>
        <w:t xml:space="preserve"> 2018; </w:t>
      </w:r>
      <w:r>
        <w:rPr>
          <w:rFonts w:ascii="Book Antiqua" w:hAnsi="Book Antiqua"/>
          <w:b/>
          <w:bCs/>
          <w:color w:val="000000" w:themeColor="text1"/>
          <w14:textFill>
            <w14:solidFill>
              <w14:schemeClr w14:val="tx1"/>
            </w14:solidFill>
          </w14:textFill>
        </w:rPr>
        <w:t>131</w:t>
      </w:r>
      <w:r>
        <w:rPr>
          <w:rFonts w:ascii="Book Antiqua" w:hAnsi="Book Antiqua"/>
          <w:color w:val="000000" w:themeColor="text1"/>
          <w14:textFill>
            <w14:solidFill>
              <w14:schemeClr w14:val="tx1"/>
            </w14:solidFill>
          </w14:textFill>
        </w:rPr>
        <w:t>: 1350-1359 [PMID: 29284596 DOI: 10.1182/blood-2017-09-806521]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9 </w:t>
      </w:r>
      <w:r>
        <w:rPr>
          <w:rFonts w:ascii="Book Antiqua" w:hAnsi="Book Antiqua"/>
          <w:b/>
          <w:bCs/>
          <w:color w:val="000000" w:themeColor="text1"/>
          <w14:textFill>
            <w14:solidFill>
              <w14:schemeClr w14:val="tx1"/>
            </w14:solidFill>
          </w14:textFill>
        </w:rPr>
        <w:t>Takayama N</w:t>
      </w:r>
      <w:r>
        <w:rPr>
          <w:rFonts w:ascii="Book Antiqua" w:hAnsi="Book Antiqua"/>
          <w:color w:val="000000" w:themeColor="text1"/>
          <w14:textFill>
            <w14:solidFill>
              <w14:schemeClr w14:val="tx1"/>
            </w14:solidFill>
          </w14:textFill>
        </w:rPr>
        <w:t xml:space="preserve">, Sato N, O'Brien SG, Ikeda Y, Okamoto S. Imatinib mesylate has limited activity against the central nervous system involvement of Philadelphia chromosome-positive acute lymphoblastic leukaemia due to poor penetration into cerebrospinal fluid. </w:t>
      </w:r>
      <w:r>
        <w:rPr>
          <w:rFonts w:ascii="Book Antiqua" w:hAnsi="Book Antiqua"/>
          <w:i/>
          <w:iCs/>
          <w:color w:val="000000" w:themeColor="text1"/>
          <w14:textFill>
            <w14:solidFill>
              <w14:schemeClr w14:val="tx1"/>
            </w14:solidFill>
          </w14:textFill>
        </w:rPr>
        <w:t>Br J Haematol</w:t>
      </w:r>
      <w:r>
        <w:rPr>
          <w:rFonts w:ascii="Book Antiqua" w:hAnsi="Book Antiqua"/>
          <w:color w:val="000000" w:themeColor="text1"/>
          <w14:textFill>
            <w14:solidFill>
              <w14:schemeClr w14:val="tx1"/>
            </w14:solidFill>
          </w14:textFill>
        </w:rPr>
        <w:t xml:space="preserve"> 2002; </w:t>
      </w:r>
      <w:r>
        <w:rPr>
          <w:rFonts w:ascii="Book Antiqua" w:hAnsi="Book Antiqua"/>
          <w:b/>
          <w:bCs/>
          <w:color w:val="000000" w:themeColor="text1"/>
          <w14:textFill>
            <w14:solidFill>
              <w14:schemeClr w14:val="tx1"/>
            </w14:solidFill>
          </w14:textFill>
        </w:rPr>
        <w:t>119</w:t>
      </w:r>
      <w:r>
        <w:rPr>
          <w:rFonts w:ascii="Book Antiqua" w:hAnsi="Book Antiqua"/>
          <w:color w:val="000000" w:themeColor="text1"/>
          <w14:textFill>
            <w14:solidFill>
              <w14:schemeClr w14:val="tx1"/>
            </w14:solidFill>
          </w14:textFill>
        </w:rPr>
        <w:t>: 106-108 [PMID: 12358909 DOI: 10.1046/j.1365-2141.2002.03881.x]</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10 </w:t>
      </w:r>
      <w:r>
        <w:rPr>
          <w:rFonts w:ascii="Book Antiqua" w:hAnsi="Book Antiqua"/>
          <w:b/>
          <w:bCs/>
          <w:color w:val="000000" w:themeColor="text1"/>
          <w14:textFill>
            <w14:solidFill>
              <w14:schemeClr w14:val="tx1"/>
            </w14:solidFill>
          </w14:textFill>
        </w:rPr>
        <w:t>Porkka K</w:t>
      </w:r>
      <w:r>
        <w:rPr>
          <w:rFonts w:ascii="Book Antiqua" w:hAnsi="Book Antiqua"/>
          <w:color w:val="000000" w:themeColor="text1"/>
          <w14:textFill>
            <w14:solidFill>
              <w14:schemeClr w14:val="tx1"/>
            </w14:solidFill>
          </w14:textFill>
        </w:rPr>
        <w:t xml:space="preserve">, Koskenvesa P, Lundán T, Rimpiläinen J, Mustjoki S, Smykla R, Wild R, Luo R, Arnan M, Brethon B, Eccersley L, Hjorth-Hansen H, Höglund M, Klamova H, Knutsen H, Parikh S, Raffoux E, Gruber F, Brito-Babapulle F, Dombret H, Duarte RF, Elonen E, Paquette R, Zwaan CM, Lee FY. Dasatinib crosses the blood-brain barrier and is an efficient therapy for central nervous system Philadelphia chromosome-positive leukemia. </w:t>
      </w:r>
      <w:r>
        <w:rPr>
          <w:rFonts w:ascii="Book Antiqua" w:hAnsi="Book Antiqua"/>
          <w:i/>
          <w:iCs/>
          <w:color w:val="000000" w:themeColor="text1"/>
          <w14:textFill>
            <w14:solidFill>
              <w14:schemeClr w14:val="tx1"/>
            </w14:solidFill>
          </w14:textFill>
        </w:rPr>
        <w:t>Blood</w:t>
      </w:r>
      <w:r>
        <w:rPr>
          <w:rFonts w:ascii="Book Antiqua" w:hAnsi="Book Antiqua"/>
          <w:color w:val="000000" w:themeColor="text1"/>
          <w14:textFill>
            <w14:solidFill>
              <w14:schemeClr w14:val="tx1"/>
            </w14:solidFill>
          </w14:textFill>
        </w:rPr>
        <w:t xml:space="preserve"> 2008; </w:t>
      </w:r>
      <w:r>
        <w:rPr>
          <w:rFonts w:ascii="Book Antiqua" w:hAnsi="Book Antiqua"/>
          <w:b/>
          <w:bCs/>
          <w:color w:val="000000" w:themeColor="text1"/>
          <w14:textFill>
            <w14:solidFill>
              <w14:schemeClr w14:val="tx1"/>
            </w14:solidFill>
          </w14:textFill>
        </w:rPr>
        <w:t>112</w:t>
      </w:r>
      <w:r>
        <w:rPr>
          <w:rFonts w:ascii="Book Antiqua" w:hAnsi="Book Antiqua"/>
          <w:color w:val="000000" w:themeColor="text1"/>
          <w14:textFill>
            <w14:solidFill>
              <w14:schemeClr w14:val="tx1"/>
            </w14:solidFill>
          </w14:textFill>
        </w:rPr>
        <w:t>: 1005-1012 [PMID: 18477770 DOI: 10.1182/blood-2008-02-140665]</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11 </w:t>
      </w:r>
      <w:r>
        <w:rPr>
          <w:rFonts w:ascii="Book Antiqua" w:hAnsi="Book Antiqua"/>
          <w:b/>
          <w:bCs/>
          <w:color w:val="000000" w:themeColor="text1"/>
          <w14:textFill>
            <w14:solidFill>
              <w14:schemeClr w14:val="tx1"/>
            </w14:solidFill>
          </w14:textFill>
        </w:rPr>
        <w:t>Papageorgiou SG</w:t>
      </w:r>
      <w:r>
        <w:rPr>
          <w:rFonts w:ascii="Book Antiqua" w:hAnsi="Book Antiqua"/>
          <w:color w:val="000000" w:themeColor="text1"/>
          <w14:textFill>
            <w14:solidFill>
              <w14:schemeClr w14:val="tx1"/>
            </w14:solidFill>
          </w14:textFill>
        </w:rPr>
        <w:t xml:space="preserve">, Pappa V, Economopoulou C, Tsirigotis P, Konsioti F, Ionnidou ED, Chondropoulos S, Vasilatou D, Papageorgiou E, Economopoulos T, Dervenoulas J. Dasatinib induces long-term remission in imatinib-resistant Philadelphia chromosome-positive acute megakaryoblastic leukemia but fails to prevent development of central nervous system progression. </w:t>
      </w:r>
      <w:r>
        <w:rPr>
          <w:rFonts w:ascii="Book Antiqua" w:hAnsi="Book Antiqua"/>
          <w:i/>
          <w:iCs/>
          <w:color w:val="000000" w:themeColor="text1"/>
          <w14:textFill>
            <w14:solidFill>
              <w14:schemeClr w14:val="tx1"/>
            </w14:solidFill>
          </w14:textFill>
        </w:rPr>
        <w:t>Leuk Res</w:t>
      </w:r>
      <w:r>
        <w:rPr>
          <w:rFonts w:ascii="Book Antiqua" w:hAnsi="Book Antiqua"/>
          <w:color w:val="000000" w:themeColor="text1"/>
          <w14:textFill>
            <w14:solidFill>
              <w14:schemeClr w14:val="tx1"/>
            </w14:solidFill>
          </w14:textFill>
        </w:rPr>
        <w:t xml:space="preserve"> 2010; </w:t>
      </w:r>
      <w:r>
        <w:rPr>
          <w:rFonts w:ascii="Book Antiqua" w:hAnsi="Book Antiqua"/>
          <w:b/>
          <w:bCs/>
          <w:color w:val="000000" w:themeColor="text1"/>
          <w14:textFill>
            <w14:solidFill>
              <w14:schemeClr w14:val="tx1"/>
            </w14:solidFill>
          </w14:textFill>
        </w:rPr>
        <w:t>34</w:t>
      </w:r>
      <w:r>
        <w:rPr>
          <w:rFonts w:ascii="Book Antiqua" w:hAnsi="Book Antiqua"/>
          <w:color w:val="000000" w:themeColor="text1"/>
          <w14:textFill>
            <w14:solidFill>
              <w14:schemeClr w14:val="tx1"/>
            </w14:solidFill>
          </w14:textFill>
        </w:rPr>
        <w:t>: e254-e256 [PMID: 20392492 DOI: 10.1016/j.leukres.2010.03.032]</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12 </w:t>
      </w:r>
      <w:r>
        <w:rPr>
          <w:rFonts w:ascii="Book Antiqua" w:hAnsi="Book Antiqua"/>
          <w:b/>
          <w:bCs/>
          <w:color w:val="000000" w:themeColor="text1"/>
          <w14:textFill>
            <w14:solidFill>
              <w14:schemeClr w14:val="tx1"/>
            </w14:solidFill>
          </w14:textFill>
        </w:rPr>
        <w:t>Frigeri F</w:t>
      </w:r>
      <w:r>
        <w:rPr>
          <w:rFonts w:ascii="Book Antiqua" w:hAnsi="Book Antiqua"/>
          <w:color w:val="000000" w:themeColor="text1"/>
          <w14:textFill>
            <w14:solidFill>
              <w14:schemeClr w14:val="tx1"/>
            </w14:solidFill>
          </w14:textFill>
        </w:rPr>
        <w:t xml:space="preserve">, Arcamone M, Luciano L, Di Francia R, Pane F, Pinto A. Systemic dasatinib fails to prevent development of central nervous system progression in a patient with BCR-ABL unmutated Philadelphia chromosome-positive leukemia. </w:t>
      </w:r>
      <w:r>
        <w:rPr>
          <w:rFonts w:ascii="Book Antiqua" w:hAnsi="Book Antiqua"/>
          <w:i/>
          <w:iCs/>
          <w:color w:val="000000" w:themeColor="text1"/>
          <w14:textFill>
            <w14:solidFill>
              <w14:schemeClr w14:val="tx1"/>
            </w14:solidFill>
          </w14:textFill>
        </w:rPr>
        <w:t>Blood</w:t>
      </w:r>
      <w:r>
        <w:rPr>
          <w:rFonts w:ascii="Book Antiqua" w:hAnsi="Book Antiqua"/>
          <w:color w:val="000000" w:themeColor="text1"/>
          <w14:textFill>
            <w14:solidFill>
              <w14:schemeClr w14:val="tx1"/>
            </w14:solidFill>
          </w14:textFill>
        </w:rPr>
        <w:t xml:space="preserve"> 2009; </w:t>
      </w:r>
      <w:r>
        <w:rPr>
          <w:rFonts w:ascii="Book Antiqua" w:hAnsi="Book Antiqua"/>
          <w:b/>
          <w:bCs/>
          <w:color w:val="000000" w:themeColor="text1"/>
          <w14:textFill>
            <w14:solidFill>
              <w14:schemeClr w14:val="tx1"/>
            </w14:solidFill>
          </w14:textFill>
        </w:rPr>
        <w:t>113</w:t>
      </w:r>
      <w:r>
        <w:rPr>
          <w:rFonts w:ascii="Book Antiqua" w:hAnsi="Book Antiqua"/>
          <w:color w:val="000000" w:themeColor="text1"/>
          <w14:textFill>
            <w14:solidFill>
              <w14:schemeClr w14:val="tx1"/>
            </w14:solidFill>
          </w14:textFill>
        </w:rPr>
        <w:t>: 5028-5029 [PMID: 19443672 DOI: 10.1182/blood-2008-11-191080]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13 </w:t>
      </w:r>
      <w:r>
        <w:rPr>
          <w:rFonts w:ascii="Book Antiqua" w:hAnsi="Book Antiqua"/>
          <w:b/>
          <w:bCs/>
          <w:color w:val="000000" w:themeColor="text1"/>
          <w14:textFill>
            <w14:solidFill>
              <w14:schemeClr w14:val="tx1"/>
            </w14:solidFill>
          </w14:textFill>
        </w:rPr>
        <w:t>Kiran PK</w:t>
      </w:r>
      <w:r>
        <w:rPr>
          <w:rFonts w:ascii="Book Antiqua" w:hAnsi="Book Antiqua"/>
          <w:color w:val="000000" w:themeColor="text1"/>
          <w14:textFill>
            <w14:solidFill>
              <w14:schemeClr w14:val="tx1"/>
            </w14:solidFill>
          </w14:textFill>
        </w:rPr>
        <w:t xml:space="preserve">, Badarke GV, Suresh CN, Srinivas BJ, Naik R. Isolated central nervous system blast crisis in a case of chronic myeloid leukemia on dasatinib. </w:t>
      </w:r>
      <w:r>
        <w:rPr>
          <w:rFonts w:ascii="Book Antiqua" w:hAnsi="Book Antiqua"/>
          <w:i/>
          <w:iCs/>
          <w:color w:val="000000" w:themeColor="text1"/>
          <w14:textFill>
            <w14:solidFill>
              <w14:schemeClr w14:val="tx1"/>
            </w14:solidFill>
          </w14:textFill>
        </w:rPr>
        <w:t>South Asian J Cancer</w:t>
      </w:r>
      <w:r>
        <w:rPr>
          <w:rFonts w:ascii="Book Antiqua" w:hAnsi="Book Antiqua"/>
          <w:color w:val="000000" w:themeColor="text1"/>
          <w14:textFill>
            <w14:solidFill>
              <w14:schemeClr w14:val="tx1"/>
            </w14:solidFill>
          </w14:textFill>
        </w:rPr>
        <w:t xml:space="preserve"> 2018; </w:t>
      </w:r>
      <w:r>
        <w:rPr>
          <w:rFonts w:ascii="Book Antiqua" w:hAnsi="Book Antiqua"/>
          <w:b/>
          <w:bCs/>
          <w:color w:val="000000" w:themeColor="text1"/>
          <w14:textFill>
            <w14:solidFill>
              <w14:schemeClr w14:val="tx1"/>
            </w14:solidFill>
          </w14:textFill>
        </w:rPr>
        <w:t>7</w:t>
      </w:r>
      <w:r>
        <w:rPr>
          <w:rFonts w:ascii="Book Antiqua" w:hAnsi="Book Antiqua"/>
          <w:color w:val="000000" w:themeColor="text1"/>
          <w14:textFill>
            <w14:solidFill>
              <w14:schemeClr w14:val="tx1"/>
            </w14:solidFill>
          </w14:textFill>
        </w:rPr>
        <w:t>: 170 [PMID: 30112332 DOI: 10.4103/sajc.sajc_63_18]</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14 </w:t>
      </w:r>
      <w:r>
        <w:rPr>
          <w:rFonts w:ascii="Book Antiqua" w:hAnsi="Book Antiqua"/>
          <w:b/>
          <w:bCs/>
          <w:color w:val="000000" w:themeColor="text1"/>
          <w14:textFill>
            <w14:solidFill>
              <w14:schemeClr w14:val="tx1"/>
            </w14:solidFill>
          </w14:textFill>
        </w:rPr>
        <w:t>He X</w:t>
      </w:r>
      <w:r>
        <w:rPr>
          <w:rFonts w:ascii="Book Antiqua" w:hAnsi="Book Antiqua"/>
          <w:color w:val="000000" w:themeColor="text1"/>
          <w14:textFill>
            <w14:solidFill>
              <w14:schemeClr w14:val="tx1"/>
            </w14:solidFill>
          </w14:textFill>
        </w:rPr>
        <w:t xml:space="preserve">, Xiao X, Li Q, Jiang Y, Cao Y, Sun R, Jin X, Yuan T, Meng J, Ma L, Lu W, Lyu C, Liu K, Zhao M. Anti-CD19 CAR-T as a feasible and safe treatment against central nervous system leukemia after intrathecal chemotherapy in adults with relapsed or refractory B-ALL. </w:t>
      </w:r>
      <w:r>
        <w:rPr>
          <w:rFonts w:ascii="Book Antiqua" w:hAnsi="Book Antiqua"/>
          <w:i/>
          <w:iCs/>
          <w:color w:val="000000" w:themeColor="text1"/>
          <w14:textFill>
            <w14:solidFill>
              <w14:schemeClr w14:val="tx1"/>
            </w14:solidFill>
          </w14:textFill>
        </w:rPr>
        <w:t>Leukemia</w:t>
      </w:r>
      <w:r>
        <w:rPr>
          <w:rFonts w:ascii="Book Antiqua" w:hAnsi="Book Antiqua"/>
          <w:color w:val="000000" w:themeColor="text1"/>
          <w14:textFill>
            <w14:solidFill>
              <w14:schemeClr w14:val="tx1"/>
            </w14:solidFill>
          </w14:textFill>
        </w:rPr>
        <w:t xml:space="preserve"> 2019; </w:t>
      </w:r>
      <w:r>
        <w:rPr>
          <w:rFonts w:ascii="Book Antiqua" w:hAnsi="Book Antiqua"/>
          <w:b/>
          <w:bCs/>
          <w:color w:val="000000" w:themeColor="text1"/>
          <w14:textFill>
            <w14:solidFill>
              <w14:schemeClr w14:val="tx1"/>
            </w14:solidFill>
          </w14:textFill>
        </w:rPr>
        <w:t>33</w:t>
      </w:r>
      <w:r>
        <w:rPr>
          <w:rFonts w:ascii="Book Antiqua" w:hAnsi="Book Antiqua"/>
          <w:color w:val="000000" w:themeColor="text1"/>
          <w14:textFill>
            <w14:solidFill>
              <w14:schemeClr w14:val="tx1"/>
            </w14:solidFill>
          </w14:textFill>
        </w:rPr>
        <w:t>: 2102-2104 [PMID: 30846865 DOI: 10.1038/s41375-019-0437-5]</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 xml:space="preserve">15 </w:t>
      </w:r>
      <w:r>
        <w:rPr>
          <w:rFonts w:ascii="Book Antiqua" w:hAnsi="Book Antiqua"/>
          <w:b/>
          <w:bCs/>
          <w:color w:val="000000" w:themeColor="text1"/>
          <w14:textFill>
            <w14:solidFill>
              <w14:schemeClr w14:val="tx1"/>
            </w14:solidFill>
          </w14:textFill>
        </w:rPr>
        <w:t>Rheingold</w:t>
      </w:r>
      <w:r>
        <w:rPr>
          <w:rFonts w:ascii="Book Antiqua" w:hAnsi="Book Antiqua"/>
          <w:color w:val="000000" w:themeColor="text1"/>
          <w14:textFill>
            <w14:solidFill>
              <w14:schemeClr w14:val="tx1"/>
            </w14:solidFill>
          </w14:textFill>
        </w:rPr>
        <w:t xml:space="preserve"> </w:t>
      </w:r>
      <w:r>
        <w:rPr>
          <w:rFonts w:ascii="Book Antiqua" w:hAnsi="Book Antiqua"/>
          <w:b/>
          <w:bCs/>
          <w:color w:val="000000" w:themeColor="text1"/>
          <w14:textFill>
            <w14:solidFill>
              <w14:schemeClr w14:val="tx1"/>
            </w14:solidFill>
          </w14:textFill>
        </w:rPr>
        <w:t>SR</w:t>
      </w:r>
      <w:r>
        <w:rPr>
          <w:rFonts w:ascii="Book Antiqua" w:hAnsi="Book Antiqua"/>
          <w:color w:val="000000" w:themeColor="text1"/>
          <w14:textFill>
            <w14:solidFill>
              <w14:schemeClr w14:val="tx1"/>
            </w14:solidFill>
          </w14:textFill>
        </w:rPr>
        <w:t xml:space="preserve">, Chen LN, Maude SL, Aplenc R, Barker C, Barrett DM, Callahan C, Cebry K, Kulikovskaya I, Lacey SF. Efficient trafficking of chimeri antigen receptor (CAR)-modified T cells to CSF and induction of durable CNS remissions in children with CNS/combined relapsed/refractory ALL. </w:t>
      </w:r>
      <w:r>
        <w:rPr>
          <w:rFonts w:ascii="Book Antiqua" w:hAnsi="Book Antiqua"/>
          <w:i/>
          <w:iCs/>
          <w:color w:val="000000" w:themeColor="text1"/>
          <w14:textFill>
            <w14:solidFill>
              <w14:schemeClr w14:val="tx1"/>
            </w14:solidFill>
          </w14:textFill>
        </w:rPr>
        <w:t>Blood</w:t>
      </w:r>
      <w:r>
        <w:rPr>
          <w:rFonts w:ascii="Book Antiqua" w:hAnsi="Book Antiqua"/>
          <w:color w:val="000000" w:themeColor="text1"/>
          <w14:textFill>
            <w14:solidFill>
              <w14:schemeClr w14:val="tx1"/>
            </w14:solidFill>
          </w14:textFill>
        </w:rPr>
        <w:t xml:space="preserve"> 2015; </w:t>
      </w:r>
      <w:r>
        <w:rPr>
          <w:rFonts w:ascii="Book Antiqua" w:hAnsi="Book Antiqua"/>
          <w:b/>
          <w:bCs/>
          <w:color w:val="000000" w:themeColor="text1"/>
          <w14:textFill>
            <w14:solidFill>
              <w14:schemeClr w14:val="tx1"/>
            </w14:solidFill>
          </w14:textFill>
        </w:rPr>
        <w:t>58</w:t>
      </w:r>
      <w:r>
        <w:rPr>
          <w:rFonts w:ascii="Book Antiqua" w:hAnsi="Book Antiqua"/>
          <w:color w:val="000000" w:themeColor="text1"/>
          <w14:textFill>
            <w14:solidFill>
              <w14:schemeClr w14:val="tx1"/>
            </w14:solidFill>
          </w14:textFill>
        </w:rPr>
        <w:t>: 434-442 [DOI:10.1080/08977190802227828]</w:t>
      </w:r>
    </w:p>
    <w:p>
      <w:pPr>
        <w:spacing w:line="360" w:lineRule="auto"/>
        <w:jc w:val="both"/>
        <w:rPr>
          <w:rFonts w:ascii="Book Antiqua" w:hAnsi="Book Antiqua"/>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Footnotes</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Informed consent statement: </w:t>
      </w:r>
      <w:r>
        <w:rPr>
          <w:rFonts w:ascii="Book Antiqua" w:hAnsi="Book Antiqua" w:eastAsia="Book Antiqua" w:cs="Book Antiqua"/>
          <w:color w:val="000000" w:themeColor="text1"/>
          <w14:textFill>
            <w14:solidFill>
              <w14:schemeClr w14:val="tx1"/>
            </w14:solidFill>
          </w14:textFill>
        </w:rPr>
        <w:t>Written informed consent was obtained from the patient for publication of this case report.</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Conflict-of-interest statement: </w:t>
      </w:r>
      <w:r>
        <w:rPr>
          <w:rFonts w:ascii="Book Antiqua" w:hAnsi="Book Antiqua" w:eastAsia="Book Antiqua" w:cs="Book Antiqua"/>
          <w:color w:val="000000" w:themeColor="text1"/>
          <w14:textFill>
            <w14:solidFill>
              <w14:schemeClr w14:val="tx1"/>
            </w14:solidFill>
          </w14:textFill>
        </w:rPr>
        <w:t>The authors declared that they have no conflicts of interest regarding this work.</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CARE Checklist (2016) statement: </w:t>
      </w:r>
      <w:r>
        <w:rPr>
          <w:rFonts w:ascii="Book Antiqua" w:hAnsi="Book Antiqua" w:eastAsia="Book Antiqua" w:cs="Book Antiqua"/>
          <w:color w:val="000000" w:themeColor="text1"/>
          <w14:textFill>
            <w14:solidFill>
              <w14:schemeClr w14:val="tx1"/>
            </w14:solidFill>
          </w14:textFill>
        </w:rPr>
        <w:t>The authors have read the CARE Checklist (2016), and the manuscript was prepared and revised according to the CARE Checklist (2016).</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Open-Access: </w:t>
      </w:r>
      <w:r>
        <w:rPr>
          <w:rFonts w:ascii="Book Antiqua" w:hAnsi="Book Antiqua" w:eastAsia="Book Antiqua" w:cs="Book Antiqua"/>
          <w:color w:val="000000" w:themeColor="text1"/>
          <w14:textFill>
            <w14:solidFill>
              <w14:schemeClr w14:val="tx1"/>
            </w14:solidFill>
          </w14:textFill>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Provenance and peer review: </w:t>
      </w:r>
      <w:r>
        <w:rPr>
          <w:rFonts w:ascii="Book Antiqua" w:hAnsi="Book Antiqua" w:eastAsia="Book Antiqua" w:cs="Book Antiqua"/>
          <w:color w:val="000000" w:themeColor="text1"/>
          <w14:textFill>
            <w14:solidFill>
              <w14:schemeClr w14:val="tx1"/>
            </w14:solidFill>
          </w14:textFill>
        </w:rPr>
        <w:t>Unsolicited article; Externally peer reviewed.</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model: </w:t>
      </w:r>
      <w:r>
        <w:rPr>
          <w:rFonts w:ascii="Book Antiqua" w:hAnsi="Book Antiqua" w:eastAsia="Book Antiqua" w:cs="Book Antiqua"/>
          <w:color w:val="000000" w:themeColor="text1"/>
          <w14:textFill>
            <w14:solidFill>
              <w14:schemeClr w14:val="tx1"/>
            </w14:solidFill>
          </w14:textFill>
        </w:rPr>
        <w:t>Single blind</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Peer-review started: </w:t>
      </w:r>
      <w:r>
        <w:rPr>
          <w:rFonts w:ascii="Book Antiqua" w:hAnsi="Book Antiqua" w:eastAsia="Book Antiqua" w:cs="Book Antiqua"/>
          <w:color w:val="000000" w:themeColor="text1"/>
          <w14:textFill>
            <w14:solidFill>
              <w14:schemeClr w14:val="tx1"/>
            </w14:solidFill>
          </w14:textFill>
        </w:rPr>
        <w:t>October 21, 2021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First decision: </w:t>
      </w:r>
      <w:r>
        <w:rPr>
          <w:rFonts w:ascii="Book Antiqua" w:hAnsi="Book Antiqua" w:eastAsia="Book Antiqua" w:cs="Book Antiqua"/>
          <w:color w:val="000000" w:themeColor="text1"/>
          <w14:textFill>
            <w14:solidFill>
              <w14:schemeClr w14:val="tx1"/>
            </w14:solidFill>
          </w14:textFill>
        </w:rPr>
        <w:t>December 17, 2021</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Article in press: </w:t>
      </w:r>
      <w:r>
        <w:rPr>
          <w:rFonts w:ascii="Book Antiqua" w:hAnsi="Book Antiqua" w:eastAsia="Book Antiqua" w:cs="Book Antiqua"/>
          <w:b w:val="0"/>
          <w:bCs w:val="0"/>
          <w:color w:val="000000" w:themeColor="text1"/>
          <w14:textFill>
            <w14:solidFill>
              <w14:schemeClr w14:val="tx1"/>
            </w14:solidFill>
          </w14:textFill>
        </w:rPr>
        <w:t>March 15, 2022</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Specialty type: </w:t>
      </w:r>
      <w:r>
        <w:rPr>
          <w:rFonts w:ascii="Book Antiqua" w:hAnsi="Book Antiqua" w:eastAsia="Book Antiqua" w:cs="Book Antiqua"/>
          <w:color w:val="000000" w:themeColor="text1"/>
          <w14:textFill>
            <w14:solidFill>
              <w14:schemeClr w14:val="tx1"/>
            </w14:solidFill>
          </w14:textFill>
        </w:rPr>
        <w:t>Hematology</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 xml:space="preserve">Country/Territory of origin: </w:t>
      </w:r>
      <w:r>
        <w:rPr>
          <w:rFonts w:ascii="Book Antiqua" w:hAnsi="Book Antiqua" w:eastAsia="Book Antiqua" w:cs="Book Antiqua"/>
          <w:color w:val="000000" w:themeColor="text1"/>
          <w14:textFill>
            <w14:solidFill>
              <w14:schemeClr w14:val="tx1"/>
            </w14:solidFill>
          </w14:textFill>
        </w:rPr>
        <w:t>China</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Peer-review report’s scientific quality classification</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A (Excellent):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B (Very good): B, B</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C (Good):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D (Fair): 0</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color w:val="000000" w:themeColor="text1"/>
          <w14:textFill>
            <w14:solidFill>
              <w14:schemeClr w14:val="tx1"/>
            </w14:solidFill>
          </w14:textFill>
        </w:rPr>
        <w:t>Grade E (Poor): 0</w:t>
      </w:r>
    </w:p>
    <w:p>
      <w:pPr>
        <w:spacing w:line="360" w:lineRule="auto"/>
        <w:jc w:val="both"/>
        <w:rPr>
          <w:rFonts w:ascii="Book Antiqua" w:hAnsi="Book Antiqua"/>
          <w:color w:val="000000" w:themeColor="text1"/>
          <w14:textFill>
            <w14:solidFill>
              <w14:schemeClr w14:val="tx1"/>
            </w14:solidFill>
          </w14:textFill>
        </w:rPr>
      </w:pPr>
    </w:p>
    <w:p>
      <w:pPr>
        <w:spacing w:line="360" w:lineRule="auto"/>
        <w:jc w:val="both"/>
        <w:rPr>
          <w:rFonts w:ascii="Book Antiqua" w:hAnsi="Book Antiqua"/>
          <w:color w:val="000000" w:themeColor="text1"/>
          <w14:textFill>
            <w14:solidFill>
              <w14:schemeClr w14:val="tx1"/>
            </w14:solidFill>
          </w14:textFill>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themeColor="text1"/>
          <w14:textFill>
            <w14:solidFill>
              <w14:schemeClr w14:val="tx1"/>
            </w14:solidFill>
          </w14:textFill>
        </w:rPr>
        <w:t xml:space="preserve">P-Reviewer: </w:t>
      </w:r>
      <w:r>
        <w:rPr>
          <w:rFonts w:ascii="Book Antiqua" w:hAnsi="Book Antiqua" w:eastAsia="Book Antiqua" w:cs="Book Antiqua"/>
          <w:color w:val="000000" w:themeColor="text1"/>
          <w14:textFill>
            <w14:solidFill>
              <w14:schemeClr w14:val="tx1"/>
            </w14:solidFill>
          </w14:textFill>
        </w:rPr>
        <w:t>Ghimire R, Nepal; Trifan A, Romania</w:t>
      </w:r>
      <w:r>
        <w:rPr>
          <w:rFonts w:ascii="Book Antiqua" w:hAnsi="Book Antiqua" w:eastAsia="Book Antiqua" w:cs="Book Antiqua"/>
          <w:b/>
          <w:color w:val="000000" w:themeColor="text1"/>
          <w14:textFill>
            <w14:solidFill>
              <w14:schemeClr w14:val="tx1"/>
            </w14:solidFill>
          </w14:textFill>
        </w:rPr>
        <w:t xml:space="preserve"> S-Editor: </w:t>
      </w:r>
      <w:r>
        <w:rPr>
          <w:rFonts w:ascii="Book Antiqua" w:hAnsi="Book Antiqua" w:eastAsia="Book Antiqua" w:cs="Book Antiqua"/>
          <w:color w:val="000000" w:themeColor="text1"/>
          <w14:textFill>
            <w14:solidFill>
              <w14:schemeClr w14:val="tx1"/>
            </w14:solidFill>
          </w14:textFill>
        </w:rPr>
        <w:t>Guo XR</w:t>
      </w:r>
      <w:r>
        <w:rPr>
          <w:rFonts w:ascii="Book Antiqua" w:hAnsi="Book Antiqua" w:eastAsia="Book Antiqua" w:cs="Book Antiqua"/>
          <w:b/>
          <w:color w:val="000000" w:themeColor="text1"/>
          <w14:textFill>
            <w14:solidFill>
              <w14:schemeClr w14:val="tx1"/>
            </w14:solidFill>
          </w14:textFill>
        </w:rPr>
        <w:t xml:space="preserve"> L-Editor: </w:t>
      </w:r>
      <w:r>
        <w:rPr>
          <w:rFonts w:ascii="Book Antiqua" w:hAnsi="Book Antiqua" w:eastAsia="Book Antiqua" w:cs="Book Antiqua"/>
          <w:bCs/>
          <w:color w:val="000000" w:themeColor="text1"/>
          <w14:textFill>
            <w14:solidFill>
              <w14:schemeClr w14:val="tx1"/>
            </w14:solidFill>
          </w14:textFill>
        </w:rPr>
        <w:t>A</w:t>
      </w:r>
      <w:r>
        <w:rPr>
          <w:rFonts w:ascii="Book Antiqua" w:hAnsi="Book Antiqua" w:eastAsia="Book Antiqua" w:cs="Book Antiqua"/>
          <w:b/>
          <w:color w:val="000000" w:themeColor="text1"/>
          <w14:textFill>
            <w14:solidFill>
              <w14:schemeClr w14:val="tx1"/>
            </w14:solidFill>
          </w14:textFill>
        </w:rPr>
        <w:t xml:space="preserve"> P-Editor:  </w:t>
      </w:r>
      <w:r>
        <w:rPr>
          <w:rFonts w:ascii="Book Antiqua" w:hAnsi="Book Antiqua" w:eastAsia="Book Antiqua" w:cs="Book Antiqua"/>
          <w:color w:val="000000" w:themeColor="text1"/>
          <w14:textFill>
            <w14:solidFill>
              <w14:schemeClr w14:val="tx1"/>
            </w14:solidFill>
          </w14:textFill>
        </w:rPr>
        <w:t>Guo XR</w:t>
      </w:r>
    </w:p>
    <w:p>
      <w:pPr>
        <w:spacing w:line="360" w:lineRule="auto"/>
        <w:jc w:val="both"/>
        <w:rPr>
          <w:rFonts w:ascii="Book Antiqua" w:hAnsi="Book Antiqua"/>
          <w:color w:val="000000" w:themeColor="text1"/>
          <w14:textFill>
            <w14:solidFill>
              <w14:schemeClr w14:val="tx1"/>
            </w14:solidFill>
          </w14:textFill>
        </w:rPr>
      </w:pPr>
      <w:r>
        <w:rPr>
          <w:rFonts w:ascii="Book Antiqua" w:hAnsi="Book Antiqua" w:eastAsia="Book Antiqua" w:cs="Book Antiqua"/>
          <w:b/>
          <w:color w:val="000000" w:themeColor="text1"/>
          <w14:textFill>
            <w14:solidFill>
              <w14:schemeClr w14:val="tx1"/>
            </w14:solidFill>
          </w14:textFill>
        </w:rPr>
        <w:t>Figure Legends</w:t>
      </w:r>
    </w:p>
    <w:p>
      <w:pPr>
        <w:spacing w:line="360" w:lineRule="auto"/>
        <w:jc w:val="both"/>
        <w:rPr>
          <w:rFonts w:hint="eastAsia" w:ascii="Book Antiqua" w:hAnsi="Book Antiqua" w:eastAsia="宋体" w:cs="Book Antiqua"/>
          <w:color w:val="000000" w:themeColor="text1"/>
          <w:lang w:eastAsia="zh-CN"/>
          <w14:textFill>
            <w14:solidFill>
              <w14:schemeClr w14:val="tx1"/>
            </w14:solidFill>
          </w14:textFill>
        </w:rPr>
      </w:pPr>
      <w:r>
        <w:rPr>
          <w:rFonts w:hint="eastAsia" w:ascii="Book Antiqua" w:hAnsi="Book Antiqua" w:eastAsia="宋体" w:cs="Book Antiqua"/>
          <w:color w:val="000000" w:themeColor="text1"/>
          <w:lang w:eastAsia="zh-CN"/>
          <w14:textFill>
            <w14:solidFill>
              <w14:schemeClr w14:val="tx1"/>
            </w14:solidFill>
          </w14:textFill>
        </w:rPr>
        <w:drawing>
          <wp:inline distT="0" distB="0" distL="114300" distR="114300">
            <wp:extent cx="3239770" cy="2322830"/>
            <wp:effectExtent l="0" t="0" r="6350" b="8890"/>
            <wp:docPr id="7" name="图片 7" descr="WJCC-10-424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4242-g001"/>
                    <pic:cNvPicPr>
                      <a:picLocks noChangeAspect="1"/>
                    </pic:cNvPicPr>
                  </pic:nvPicPr>
                  <pic:blipFill>
                    <a:blip r:embed="rId5"/>
                    <a:stretch>
                      <a:fillRect/>
                    </a:stretch>
                  </pic:blipFill>
                  <pic:spPr>
                    <a:xfrm>
                      <a:off x="0" y="0"/>
                      <a:ext cx="3239770" cy="2322830"/>
                    </a:xfrm>
                    <a:prstGeom prst="rect">
                      <a:avLst/>
                    </a:prstGeom>
                  </pic:spPr>
                </pic:pic>
              </a:graphicData>
            </a:graphic>
          </wp:inline>
        </w:drawing>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Figure 1 Atypical lymphocytes on cerebrospinal fluid cytology.</w:t>
      </w:r>
      <w:r>
        <w:rPr>
          <w:rFonts w:ascii="Book Antiqua" w:hAnsi="Book Antiqua" w:eastAsia="Book Antiqua" w:cs="Book Antiqua"/>
          <w:color w:val="000000" w:themeColor="text1"/>
          <w14:textFill>
            <w14:solidFill>
              <w14:schemeClr w14:val="tx1"/>
            </w14:solidFill>
          </w14:textFill>
        </w:rPr>
        <w:t xml:space="preserve"> Giemsa stain (</w:t>
      </w:r>
      <w:r>
        <w:rPr>
          <w:rFonts w:ascii="Book Antiqua" w:hAnsi="Book Antiqua" w:eastAsia="Book Antiqua" w:cs="Book Antiqua"/>
          <w:color w:val="000000" w:themeColor="text1"/>
          <w:shd w:val="clear" w:color="auto" w:fill="FFFFFF"/>
          <w14:textFill>
            <w14:solidFill>
              <w14:schemeClr w14:val="tx1"/>
            </w14:solidFill>
          </w14:textFill>
        </w:rPr>
        <w:t>Magnification:</w:t>
      </w:r>
      <w:r>
        <w:rPr>
          <w:rFonts w:ascii="Book Antiqua" w:hAnsi="Book Antiqua" w:eastAsia="Book Antiqua" w:cs="Book Antiqua"/>
          <w:color w:val="000000" w:themeColor="text1"/>
          <w14:textFill>
            <w14:solidFill>
              <w14:schemeClr w14:val="tx1"/>
            </w14:solidFill>
          </w14:textFill>
        </w:rPr>
        <w:t xml:space="preserve"> 100 ×).</w:t>
      </w:r>
    </w:p>
    <w:p>
      <w:pPr>
        <w:spacing w:line="360" w:lineRule="auto"/>
        <w:jc w:val="both"/>
        <w:rPr>
          <w:rFonts w:ascii="Book Antiqua" w:hAnsi="Book Antiqua"/>
          <w:color w:val="000000" w:themeColor="text1"/>
          <w14:textFill>
            <w14:solidFill>
              <w14:schemeClr w14:val="tx1"/>
            </w14:solidFill>
          </w14:textFill>
        </w:rPr>
      </w:pPr>
      <w:r>
        <w:rPr>
          <w:rFonts w:hint="eastAsia" w:ascii="Book Antiqua" w:hAnsi="Book Antiqua" w:eastAsia="宋体" w:cs="Book Antiqua"/>
          <w:color w:val="000000" w:themeColor="text1"/>
          <w:lang w:eastAsia="zh-CN"/>
          <w14:textFill>
            <w14:solidFill>
              <w14:schemeClr w14:val="tx1"/>
            </w14:solidFill>
          </w14:textFill>
        </w:rPr>
        <w:drawing>
          <wp:inline distT="0" distB="0" distL="114300" distR="114300">
            <wp:extent cx="4608830" cy="4647565"/>
            <wp:effectExtent l="0" t="0" r="8890" b="635"/>
            <wp:docPr id="5" name="图片 5" descr="WJCC-10-424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4242-g002"/>
                    <pic:cNvPicPr>
                      <a:picLocks noChangeAspect="1"/>
                    </pic:cNvPicPr>
                  </pic:nvPicPr>
                  <pic:blipFill>
                    <a:blip r:embed="rId6"/>
                    <a:stretch>
                      <a:fillRect/>
                    </a:stretch>
                  </pic:blipFill>
                  <pic:spPr>
                    <a:xfrm>
                      <a:off x="0" y="0"/>
                      <a:ext cx="4608830" cy="4647565"/>
                    </a:xfrm>
                    <a:prstGeom prst="rect">
                      <a:avLst/>
                    </a:prstGeom>
                  </pic:spPr>
                </pic:pic>
              </a:graphicData>
            </a:graphic>
          </wp:inline>
        </w:drawing>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ascii="Book Antiqua" w:hAnsi="Book Antiqua" w:eastAsia="Book Antiqua" w:cs="Book Antiqua"/>
          <w:b/>
          <w:bCs/>
          <w:color w:val="000000" w:themeColor="text1"/>
          <w14:textFill>
            <w14:solidFill>
              <w14:schemeClr w14:val="tx1"/>
            </w14:solidFill>
          </w14:textFill>
        </w:rPr>
        <w:t xml:space="preserve">Figure 2 </w:t>
      </w:r>
      <w:bookmarkStart w:id="1" w:name="OLE_LINK2"/>
      <w:r>
        <w:rPr>
          <w:rFonts w:ascii="Book Antiqua" w:hAnsi="Book Antiqua" w:eastAsia="Book Antiqua" w:cs="Book Antiqua"/>
          <w:b/>
          <w:bCs/>
          <w:color w:val="000000" w:themeColor="text1"/>
          <w14:textFill>
            <w14:solidFill>
              <w14:schemeClr w14:val="tx1"/>
            </w14:solidFill>
          </w14:textFill>
        </w:rPr>
        <w:t>Flow cytometry</w:t>
      </w:r>
      <w:bookmarkEnd w:id="1"/>
      <w:r>
        <w:rPr>
          <w:rFonts w:ascii="Book Antiqua" w:hAnsi="Book Antiqua" w:eastAsia="Book Antiqua" w:cs="Book Antiqua"/>
          <w:b/>
          <w:bCs/>
          <w:color w:val="000000" w:themeColor="text1"/>
          <w14:textFill>
            <w14:solidFill>
              <w14:schemeClr w14:val="tx1"/>
            </w14:solidFill>
          </w14:textFill>
        </w:rPr>
        <w:t xml:space="preserve"> detection of blast infiltration of cerebrospinal fluid in the patient.</w:t>
      </w:r>
      <w:r>
        <w:rPr>
          <w:rFonts w:ascii="Book Antiqua" w:hAnsi="Book Antiqua" w:eastAsia="Book Antiqua" w:cs="Book Antiqua"/>
          <w:color w:val="000000" w:themeColor="text1"/>
          <w14:textFill>
            <w14:solidFill>
              <w14:schemeClr w14:val="tx1"/>
            </w14:solidFill>
          </w14:textFill>
        </w:rPr>
        <w:t xml:space="preserve"> </w:t>
      </w:r>
      <w:bookmarkStart w:id="2" w:name="OLE_LINK3"/>
      <w:r>
        <w:rPr>
          <w:rFonts w:ascii="Book Antiqua" w:hAnsi="Book Antiqua" w:eastAsia="Book Antiqua" w:cs="Book Antiqua"/>
          <w:color w:val="000000" w:themeColor="text1"/>
          <w14:textFill>
            <w14:solidFill>
              <w14:schemeClr w14:val="tx1"/>
            </w14:solidFill>
          </w14:textFill>
        </w:rPr>
        <w:t>The leukemic population is depicted in red</w:t>
      </w:r>
      <w:bookmarkEnd w:id="2"/>
      <w:r>
        <w:rPr>
          <w:rFonts w:ascii="Book Antiqua" w:hAnsi="Book Antiqua" w:eastAsia="Book Antiqua" w:cs="Book Antiqua"/>
          <w:color w:val="000000" w:themeColor="text1"/>
          <w14:textFill>
            <w14:solidFill>
              <w14:schemeClr w14:val="tx1"/>
            </w14:solidFill>
          </w14:textFill>
        </w:rPr>
        <w:t xml:space="preserve">. A: There is a </w:t>
      </w:r>
      <w:r>
        <w:rPr>
          <w:rFonts w:ascii="Book Antiqua" w:hAnsi="Book Antiqua" w:eastAsia="Book Antiqua" w:cs="Book Antiqua"/>
          <w:color w:val="000000"/>
        </w:rPr>
        <w:t>cells of differentiation</w:t>
      </w:r>
      <w:r>
        <w:rPr>
          <w:rFonts w:ascii="Book Antiqua" w:hAnsi="Book Antiqua" w:eastAsia="Book Antiqua" w:cs="Book Antiqua"/>
          <w:color w:val="000000" w:themeColor="text1"/>
          <w14:textFill>
            <w14:solidFill>
              <w14:schemeClr w14:val="tx1"/>
            </w14:solidFill>
          </w14:textFill>
        </w:rPr>
        <w:t xml:space="preserve"> (CD) 45-dim population of abnormal cells with low-side scatter (painted red); B: </w:t>
      </w:r>
      <w:bookmarkStart w:id="3" w:name="OLE_LINK5"/>
      <w:r>
        <w:rPr>
          <w:rFonts w:ascii="Book Antiqua" w:hAnsi="Book Antiqua" w:eastAsia="Book Antiqua" w:cs="Book Antiqua"/>
          <w:color w:val="000000" w:themeColor="text1"/>
          <w14:textFill>
            <w14:solidFill>
              <w14:schemeClr w14:val="tx1"/>
            </w14:solidFill>
          </w14:textFill>
        </w:rPr>
        <w:t>These cells are</w:t>
      </w:r>
      <w:bookmarkEnd w:id="3"/>
      <w:r>
        <w:rPr>
          <w:rFonts w:ascii="Book Antiqua" w:hAnsi="Book Antiqua" w:eastAsia="Book Antiqua" w:cs="Book Antiqua"/>
          <w:color w:val="000000" w:themeColor="text1"/>
          <w14:textFill>
            <w14:solidFill>
              <w14:schemeClr w14:val="tx1"/>
            </w14:solidFill>
          </w14:textFill>
        </w:rPr>
        <w:t xml:space="preserve"> positive for human leukocyte antigen D related </w:t>
      </w:r>
      <w:r>
        <w:rPr>
          <w:rFonts w:ascii="Book Antiqua" w:hAnsi="Book Antiqua" w:eastAsia="宋体" w:cs="宋体"/>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HLA-DR)</w:t>
      </w:r>
      <w:r>
        <w:rPr>
          <w:rFonts w:ascii="Book Antiqua" w:hAnsi="Book Antiqua" w:eastAsia="宋体" w:cs="Book Antiqua"/>
          <w:color w:val="000000" w:themeColor="text1"/>
          <w:lang w:eastAsia="zh-CN"/>
          <w14:textFill>
            <w14:solidFill>
              <w14:schemeClr w14:val="tx1"/>
            </w14:solidFill>
          </w14:textFill>
        </w:rPr>
        <w:t xml:space="preserve"> and </w:t>
      </w:r>
      <w:r>
        <w:rPr>
          <w:rFonts w:ascii="Book Antiqua" w:hAnsi="Book Antiqua" w:eastAsia="Book Antiqua" w:cs="Book Antiqua"/>
          <w:color w:val="000000" w:themeColor="text1"/>
          <w14:textFill>
            <w14:solidFill>
              <w14:schemeClr w14:val="tx1"/>
            </w14:solidFill>
          </w14:textFill>
        </w:rPr>
        <w:t>CD34; C: These cells are</w:t>
      </w:r>
      <w:r>
        <w:rPr>
          <w:rFonts w:ascii="Book Antiqua" w:hAnsi="Book Antiqua" w:eastAsia="Book Antiqua"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positive for CD</w:t>
      </w:r>
      <w:r>
        <w:rPr>
          <w:rFonts w:ascii="Book Antiqua" w:hAnsi="Book Antiqua" w:eastAsia="Book Antiqua" w:cs="Book Antiqua"/>
          <w:color w:val="000000" w:themeColor="text1"/>
          <w:lang w:eastAsia="zh-CN"/>
          <w14:textFill>
            <w14:solidFill>
              <w14:schemeClr w14:val="tx1"/>
            </w14:solidFill>
          </w14:textFill>
        </w:rPr>
        <w:t>34</w:t>
      </w:r>
      <w:r>
        <w:rPr>
          <w:rFonts w:ascii="Book Antiqua" w:hAnsi="Book Antiqua" w:eastAsia="Book Antiqua" w:cs="Book Antiqua"/>
          <w:color w:val="000000" w:themeColor="text1"/>
          <w14:textFill>
            <w14:solidFill>
              <w14:schemeClr w14:val="tx1"/>
            </w14:solidFill>
          </w14:textFill>
        </w:rPr>
        <w:t xml:space="preserve"> and negative for</w:t>
      </w:r>
      <w:r>
        <w:rPr>
          <w:rFonts w:ascii="Book Antiqua" w:hAnsi="Book Antiqua" w:eastAsia="宋体" w:cs="Book Antiqua"/>
          <w:color w:val="000000" w:themeColor="text1"/>
          <w:lang w:eastAsia="zh-CN"/>
          <w14:textFill>
            <w14:solidFill>
              <w14:schemeClr w14:val="tx1"/>
            </w14:solidFill>
          </w14:textFill>
        </w:rPr>
        <w:t xml:space="preserve"> CD33</w:t>
      </w:r>
      <w:r>
        <w:rPr>
          <w:rFonts w:ascii="Book Antiqua" w:hAnsi="Book Antiqua" w:eastAsia="Book Antiqua" w:cs="Book Antiqua"/>
          <w:color w:val="000000" w:themeColor="text1"/>
          <w14:textFill>
            <w14:solidFill>
              <w14:schemeClr w14:val="tx1"/>
            </w14:solidFill>
          </w14:textFill>
        </w:rPr>
        <w:t xml:space="preserve">; D: These cells are positive for </w:t>
      </w:r>
      <w:r>
        <w:rPr>
          <w:rFonts w:ascii="Book Antiqua" w:hAnsi="Book Antiqua" w:eastAsia="宋体" w:cs="Book Antiqua"/>
          <w:color w:val="000000" w:themeColor="text1"/>
          <w:lang w:eastAsia="zh-CN"/>
          <w14:textFill>
            <w14:solidFill>
              <w14:schemeClr w14:val="tx1"/>
            </w14:solidFill>
          </w14:textFill>
        </w:rPr>
        <w:t>CD19 and CD10.</w:t>
      </w:r>
      <w:r>
        <w:rPr>
          <w:rFonts w:ascii="Book Antiqua" w:hAnsi="Book Antiqua" w:eastAsia="Book Antiqua" w:cs="Book Antiqua"/>
          <w:color w:val="000000" w:themeColor="text1"/>
          <w14:textFill>
            <w14:solidFill>
              <w14:schemeClr w14:val="tx1"/>
            </w14:solidFill>
          </w14:textFill>
        </w:rPr>
        <w:t xml:space="preserve"> </w:t>
      </w:r>
      <w:bookmarkStart w:id="4" w:name="OLE_LINK6"/>
      <w:r>
        <w:rPr>
          <w:rFonts w:ascii="Book Antiqua" w:hAnsi="Book Antiqua" w:eastAsia="Book Antiqua" w:cs="Book Antiqua"/>
          <w:color w:val="000000" w:themeColor="text1"/>
          <w14:textFill>
            <w14:solidFill>
              <w14:schemeClr w14:val="tx1"/>
            </w14:solidFill>
          </w14:textFill>
        </w:rPr>
        <w:t>Ssint lin</w:t>
      </w:r>
      <w:bookmarkEnd w:id="4"/>
      <w:r>
        <w:rPr>
          <w:rFonts w:ascii="Book Antiqua" w:hAnsi="Book Antiqua" w:eastAsia="Book Antiqua" w:cs="Book Antiqua"/>
          <w:color w:val="000000" w:themeColor="text1"/>
          <w14:textFill>
            <w14:solidFill>
              <w14:schemeClr w14:val="tx1"/>
            </w14:solidFill>
          </w14:textFill>
        </w:rPr>
        <w:t xml:space="preserve">: </w:t>
      </w:r>
      <w:bookmarkStart w:id="5" w:name="OLE_LINK13"/>
      <w:r>
        <w:rPr>
          <w:rFonts w:ascii="Book Antiqua" w:hAnsi="Book Antiqua" w:eastAsia="Book Antiqua" w:cs="Book Antiqua"/>
          <w:color w:val="000000" w:themeColor="text1"/>
          <w14:textFill>
            <w14:solidFill>
              <w14:schemeClr w14:val="tx1"/>
            </w14:solidFill>
          </w14:textFill>
        </w:rPr>
        <w:t>Side Scatter</w:t>
      </w:r>
      <w:bookmarkEnd w:id="5"/>
      <w:r>
        <w:rPr>
          <w:rFonts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Lineage; </w:t>
      </w:r>
      <w:bookmarkStart w:id="6" w:name="OLE_LINK4"/>
      <w:r>
        <w:rPr>
          <w:rFonts w:ascii="Book Antiqua" w:hAnsi="Book Antiqua" w:eastAsia="Book Antiqua" w:cs="Book Antiqua"/>
          <w:color w:val="000000" w:themeColor="text1"/>
          <w14:textFill>
            <w14:solidFill>
              <w14:schemeClr w14:val="tx1"/>
            </w14:solidFill>
          </w14:textFill>
        </w:rPr>
        <w:t>HLA-DR</w:t>
      </w:r>
      <w:bookmarkEnd w:id="6"/>
      <w:r>
        <w:rPr>
          <w:rFonts w:ascii="Book Antiqua" w:hAnsi="Book Antiqua" w:eastAsia="Book Antiqua" w:cs="Book Antiqua"/>
          <w:color w:val="000000" w:themeColor="text1"/>
          <w14:textFill>
            <w14:solidFill>
              <w14:schemeClr w14:val="tx1"/>
            </w14:solidFill>
          </w14:textFill>
        </w:rPr>
        <w:t xml:space="preserve"> PB: </w:t>
      </w:r>
      <w:r>
        <w:rPr>
          <w:rFonts w:ascii="Book Antiqua" w:hAnsi="Book Antiqua" w:eastAsia="宋体" w:cs="Book Antiqua"/>
          <w:color w:val="000000" w:themeColor="text1"/>
          <w:lang w:eastAsia="zh-CN"/>
          <w14:textFill>
            <w14:solidFill>
              <w14:schemeClr w14:val="tx1"/>
            </w14:solidFill>
          </w14:textFill>
        </w:rPr>
        <w:t>H</w:t>
      </w:r>
      <w:r>
        <w:rPr>
          <w:rFonts w:ascii="Book Antiqua" w:hAnsi="Book Antiqua" w:eastAsia="Book Antiqua" w:cs="Book Antiqua"/>
          <w:color w:val="000000" w:themeColor="text1"/>
          <w14:textFill>
            <w14:solidFill>
              <w14:schemeClr w14:val="tx1"/>
            </w14:solidFill>
          </w14:textFill>
        </w:rPr>
        <w:t>uman leukocyte antigen D related; CD45 NGE:</w:t>
      </w:r>
      <w:r>
        <w:rPr>
          <w:rFonts w:ascii="Book Antiqua" w:hAnsi="Book Antiqua" w:eastAsia="宋体" w:cs="Book Antiqua"/>
          <w:color w:val="000000" w:themeColor="text1"/>
          <w:lang w:eastAsia="zh-CN"/>
          <w14:textFill>
            <w14:solidFill>
              <w14:schemeClr w14:val="tx1"/>
            </w14:solidFill>
          </w14:textFill>
        </w:rPr>
        <w:t xml:space="preserve"> </w:t>
      </w:r>
      <w:bookmarkStart w:id="7" w:name="OLE_LINK8"/>
      <w:r>
        <w:rPr>
          <w:rFonts w:ascii="Book Antiqua" w:hAnsi="Book Antiqua" w:eastAsia="宋体"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luster of differentiation</w:t>
      </w:r>
      <w:bookmarkEnd w:id="7"/>
      <w:r>
        <w:rPr>
          <w:rFonts w:ascii="Book Antiqua" w:hAnsi="Book Antiqua" w:eastAsia="宋体" w:cs="Book Antiqua"/>
          <w:color w:val="000000" w:themeColor="text1"/>
          <w:lang w:eastAsia="zh-CN"/>
          <w14:textFill>
            <w14:solidFill>
              <w14:schemeClr w14:val="tx1"/>
            </w14:solidFill>
          </w14:textFill>
        </w:rPr>
        <w:t xml:space="preserve"> 45 negative</w:t>
      </w:r>
      <w:r>
        <w:rPr>
          <w:rFonts w:ascii="Book Antiqua" w:hAnsi="Book Antiqua" w:eastAsia="Book Antiqua" w:cs="Book Antiqua"/>
          <w:color w:val="000000" w:themeColor="text1"/>
          <w14:textFill>
            <w14:solidFill>
              <w14:schemeClr w14:val="tx1"/>
            </w14:solidFill>
          </w14:textFill>
        </w:rPr>
        <w:t>; CD45 d</w:t>
      </w:r>
      <w:r>
        <w:rPr>
          <w:rFonts w:ascii="Book Antiqua" w:hAnsi="Book Antiqua" w:eastAsia="宋体" w:cs="Book Antiqua"/>
          <w:color w:val="000000" w:themeColor="text1"/>
          <w:lang w:eastAsia="zh-CN"/>
          <w14:textFill>
            <w14:solidFill>
              <w14:schemeClr w14:val="tx1"/>
            </w14:solidFill>
          </w14:textFill>
        </w:rPr>
        <w:t>i</w:t>
      </w:r>
      <w:r>
        <w:rPr>
          <w:rFonts w:ascii="Book Antiqua" w:hAnsi="Book Antiqua" w:eastAsia="Book Antiqua" w:cs="Book Antiqua"/>
          <w:color w:val="000000" w:themeColor="text1"/>
          <w14:textFill>
            <w14:solidFill>
              <w14:schemeClr w14:val="tx1"/>
            </w14:solidFill>
          </w14:textFill>
        </w:rPr>
        <w:t xml:space="preserve">m: </w:t>
      </w:r>
      <w:bookmarkStart w:id="8" w:name="OLE_LINK10"/>
      <w:r>
        <w:rPr>
          <w:rFonts w:ascii="Book Antiqua" w:hAnsi="Book Antiqua" w:eastAsia="宋体"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luster of differentiation</w:t>
      </w:r>
      <w:r>
        <w:rPr>
          <w:rFonts w:ascii="Book Antiqua" w:hAnsi="Book Antiqua" w:eastAsia="宋体" w:cs="Book Antiqua"/>
          <w:color w:val="000000" w:themeColor="text1"/>
          <w:lang w:eastAsia="zh-CN"/>
          <w14:textFill>
            <w14:solidFill>
              <w14:schemeClr w14:val="tx1"/>
            </w14:solidFill>
          </w14:textFill>
        </w:rPr>
        <w:t xml:space="preserve"> 45</w:t>
      </w:r>
      <w:bookmarkEnd w:id="8"/>
      <w:r>
        <w:rPr>
          <w:rFonts w:ascii="Book Antiqua" w:hAnsi="Book Antiqua" w:eastAsia="宋体" w:cs="Book Antiqua"/>
          <w:color w:val="000000" w:themeColor="text1"/>
          <w:lang w:eastAsia="zh-CN"/>
          <w14:textFill>
            <w14:solidFill>
              <w14:schemeClr w14:val="tx1"/>
            </w14:solidFill>
          </w14:textFill>
        </w:rPr>
        <w:t xml:space="preserve"> dim</w:t>
      </w:r>
      <w:r>
        <w:rPr>
          <w:rFonts w:ascii="Book Antiqua" w:hAnsi="Book Antiqua" w:eastAsia="Book Antiqua" w:cs="Book Antiqua"/>
          <w:color w:val="000000" w:themeColor="text1"/>
          <w14:textFill>
            <w14:solidFill>
              <w14:schemeClr w14:val="tx1"/>
            </w14:solidFill>
          </w14:textFill>
        </w:rPr>
        <w:t>; Mono:</w:t>
      </w:r>
      <w:r>
        <w:rPr>
          <w:rFonts w:ascii="Book Antiqua" w:hAnsi="Book Antiqua" w:eastAsia="宋体" w:cs="Book Antiqua"/>
          <w:color w:val="000000" w:themeColor="text1"/>
          <w:lang w:eastAsia="zh-CN"/>
          <w14:textFill>
            <w14:solidFill>
              <w14:schemeClr w14:val="tx1"/>
            </w14:solidFill>
          </w14:textFill>
        </w:rPr>
        <w:t xml:space="preserve"> M</w:t>
      </w:r>
      <w:r>
        <w:rPr>
          <w:rFonts w:ascii="Book Antiqua" w:hAnsi="Book Antiqua" w:eastAsia="Book Antiqua" w:cs="Book Antiqua"/>
          <w:color w:val="000000" w:themeColor="text1"/>
          <w14:textFill>
            <w14:solidFill>
              <w14:schemeClr w14:val="tx1"/>
            </w14:solidFill>
          </w14:textFill>
        </w:rPr>
        <w:t>onocyte; Lym:</w:t>
      </w:r>
      <w:r>
        <w:rPr>
          <w:rFonts w:ascii="Book Antiqua" w:hAnsi="Book Antiqua" w:eastAsia="宋体" w:cs="Book Antiqua"/>
          <w:color w:val="000000" w:themeColor="text1"/>
          <w:lang w:eastAsia="zh-CN"/>
          <w14:textFill>
            <w14:solidFill>
              <w14:schemeClr w14:val="tx1"/>
            </w14:solidFill>
          </w14:textFill>
        </w:rPr>
        <w:t xml:space="preserve"> L</w:t>
      </w:r>
      <w:r>
        <w:rPr>
          <w:rFonts w:ascii="Book Antiqua" w:hAnsi="Book Antiqua" w:eastAsia="Book Antiqua" w:cs="Book Antiqua"/>
          <w:color w:val="000000" w:themeColor="text1"/>
          <w14:textFill>
            <w14:solidFill>
              <w14:schemeClr w14:val="tx1"/>
            </w14:solidFill>
          </w14:textFill>
        </w:rPr>
        <w:t xml:space="preserve">ymphocyte; CD34 </w:t>
      </w:r>
      <w:bookmarkStart w:id="9" w:name="OLE_LINK9"/>
      <w:r>
        <w:rPr>
          <w:rFonts w:ascii="Book Antiqua" w:hAnsi="Book Antiqua" w:eastAsia="Book Antiqua" w:cs="Book Antiqua"/>
          <w:color w:val="000000" w:themeColor="text1"/>
          <w14:textFill>
            <w14:solidFill>
              <w14:schemeClr w14:val="tx1"/>
            </w14:solidFill>
          </w14:textFill>
        </w:rPr>
        <w:t>Percp-CY5.5</w:t>
      </w:r>
      <w:bookmarkEnd w:id="9"/>
      <w:r>
        <w:rPr>
          <w:rFonts w:ascii="Book Antiqua" w:hAnsi="Book Antiqua" w:eastAsia="Book Antiqua" w:cs="Book Antiqua"/>
          <w:color w:val="000000" w:themeColor="text1"/>
          <w14:textFill>
            <w14:solidFill>
              <w14:schemeClr w14:val="tx1"/>
            </w14:solidFill>
          </w14:textFill>
        </w:rPr>
        <w:t>:</w:t>
      </w:r>
      <w:r>
        <w:rPr>
          <w:rFonts w:ascii="Book Antiqua" w:hAnsi="Book Antiqua" w:eastAsia="宋体" w:cs="Book Antiqua"/>
          <w:color w:val="000000" w:themeColor="text1"/>
          <w:lang w:eastAsia="zh-CN"/>
          <w14:textFill>
            <w14:solidFill>
              <w14:schemeClr w14:val="tx1"/>
            </w14:solidFill>
          </w14:textFill>
        </w:rPr>
        <w:t xml:space="preserve"> C</w:t>
      </w:r>
      <w:r>
        <w:rPr>
          <w:rFonts w:ascii="Book Antiqua" w:hAnsi="Book Antiqua" w:eastAsia="Book Antiqua" w:cs="Book Antiqua"/>
          <w:color w:val="000000" w:themeColor="text1"/>
          <w14:textFill>
            <w14:solidFill>
              <w14:schemeClr w14:val="tx1"/>
            </w14:solidFill>
          </w14:textFill>
        </w:rPr>
        <w:t xml:space="preserve">luster of differentiation </w:t>
      </w:r>
      <w:r>
        <w:rPr>
          <w:rFonts w:ascii="Book Antiqua" w:hAnsi="Book Antiqua" w:eastAsia="宋体" w:cs="Book Antiqua"/>
          <w:color w:val="000000" w:themeColor="text1"/>
          <w:lang w:eastAsia="zh-CN"/>
          <w14:textFill>
            <w14:solidFill>
              <w14:schemeClr w14:val="tx1"/>
            </w14:solidFill>
          </w14:textFill>
        </w:rPr>
        <w:t>34 P</w:t>
      </w:r>
      <w:r>
        <w:rPr>
          <w:rFonts w:ascii="Book Antiqua" w:hAnsi="Book Antiqua" w:eastAsia="Book Antiqua" w:cs="Book Antiqua"/>
          <w:color w:val="000000" w:themeColor="text1"/>
          <w14:textFill>
            <w14:solidFill>
              <w14:schemeClr w14:val="tx1"/>
            </w14:solidFill>
          </w14:textFill>
        </w:rPr>
        <w:t>eridinin-chlorophyll proteins-Cyanine5.5; CD33 PE:</w:t>
      </w:r>
      <w:r>
        <w:rPr>
          <w:rFonts w:ascii="Book Antiqua" w:hAnsi="Book Antiqua" w:eastAsia="宋体" w:cs="Book Antiqua"/>
          <w:color w:val="000000" w:themeColor="text1"/>
          <w:lang w:eastAsia="zh-CN"/>
          <w14:textFill>
            <w14:solidFill>
              <w14:schemeClr w14:val="tx1"/>
            </w14:solidFill>
          </w14:textFill>
        </w:rPr>
        <w:t xml:space="preserve"> C</w:t>
      </w:r>
      <w:r>
        <w:rPr>
          <w:rFonts w:ascii="Book Antiqua" w:hAnsi="Book Antiqua" w:eastAsia="Book Antiqua" w:cs="Book Antiqua"/>
          <w:color w:val="000000" w:themeColor="text1"/>
          <w14:textFill>
            <w14:solidFill>
              <w14:schemeClr w14:val="tx1"/>
            </w14:solidFill>
          </w14:textFill>
        </w:rPr>
        <w:t xml:space="preserve">luster of differentiation </w:t>
      </w:r>
      <w:r>
        <w:rPr>
          <w:rFonts w:ascii="Book Antiqua" w:hAnsi="Book Antiqua" w:eastAsia="宋体" w:cs="Book Antiqua"/>
          <w:color w:val="000000" w:themeColor="text1"/>
          <w:lang w:eastAsia="zh-CN"/>
          <w14:textFill>
            <w14:solidFill>
              <w14:schemeClr w14:val="tx1"/>
            </w14:solidFill>
          </w14:textFill>
        </w:rPr>
        <w:t>33</w:t>
      </w:r>
      <w:r>
        <w:rPr>
          <w:rFonts w:ascii="Book Antiqua" w:hAnsi="Book Antiqua" w:eastAsia="Book Antiqua" w:cs="Book Antiqua"/>
          <w:color w:val="000000" w:themeColor="text1"/>
          <w14:textFill>
            <w14:solidFill>
              <w14:schemeClr w14:val="tx1"/>
            </w14:solidFill>
          </w14:textFill>
        </w:rPr>
        <w:t xml:space="preserve"> Phycoerytherin; </w:t>
      </w:r>
      <w:bookmarkStart w:id="10" w:name="OLE_LINK11"/>
      <w:r>
        <w:rPr>
          <w:rFonts w:ascii="Book Antiqua" w:hAnsi="Book Antiqua" w:eastAsia="Book Antiqua" w:cs="Book Antiqua"/>
          <w:color w:val="000000" w:themeColor="text1"/>
          <w14:textFill>
            <w14:solidFill>
              <w14:schemeClr w14:val="tx1"/>
            </w14:solidFill>
          </w14:textFill>
        </w:rPr>
        <w:t>CD</w:t>
      </w:r>
      <w:bookmarkEnd w:id="10"/>
      <w:r>
        <w:rPr>
          <w:rFonts w:ascii="Book Antiqua" w:hAnsi="Book Antiqua" w:eastAsia="Book Antiqua" w:cs="Book Antiqua"/>
          <w:color w:val="000000" w:themeColor="text1"/>
          <w14:textFill>
            <w14:solidFill>
              <w14:schemeClr w14:val="tx1"/>
            </w14:solidFill>
          </w14:textFill>
        </w:rPr>
        <w:t xml:space="preserve">19 APC: </w:t>
      </w:r>
      <w:bookmarkStart w:id="11" w:name="OLE_LINK12"/>
      <w:r>
        <w:rPr>
          <w:rFonts w:ascii="Book Antiqua" w:hAnsi="Book Antiqua" w:eastAsia="宋体" w:cs="Book Antiqua"/>
          <w:color w:val="000000" w:themeColor="text1"/>
          <w:lang w:eastAsia="zh-CN"/>
          <w14:textFill>
            <w14:solidFill>
              <w14:schemeClr w14:val="tx1"/>
            </w14:solidFill>
          </w14:textFill>
        </w:rPr>
        <w:t>C</w:t>
      </w:r>
      <w:r>
        <w:rPr>
          <w:rFonts w:ascii="Book Antiqua" w:hAnsi="Book Antiqua" w:eastAsia="Book Antiqua" w:cs="Book Antiqua"/>
          <w:color w:val="000000" w:themeColor="text1"/>
          <w14:textFill>
            <w14:solidFill>
              <w14:schemeClr w14:val="tx1"/>
            </w14:solidFill>
          </w14:textFill>
        </w:rPr>
        <w:t xml:space="preserve">luster of differentiation </w:t>
      </w:r>
      <w:r>
        <w:rPr>
          <w:rFonts w:ascii="Book Antiqua" w:hAnsi="Book Antiqua" w:eastAsia="宋体" w:cs="Book Antiqua"/>
          <w:color w:val="000000" w:themeColor="text1"/>
          <w:lang w:eastAsia="zh-CN"/>
          <w14:textFill>
            <w14:solidFill>
              <w14:schemeClr w14:val="tx1"/>
            </w14:solidFill>
          </w14:textFill>
        </w:rPr>
        <w:t>1</w:t>
      </w:r>
      <w:bookmarkEnd w:id="11"/>
      <w:r>
        <w:rPr>
          <w:rFonts w:ascii="Book Antiqua" w:hAnsi="Book Antiqua" w:eastAsia="宋体" w:cs="Book Antiqua"/>
          <w:color w:val="000000" w:themeColor="text1"/>
          <w:lang w:eastAsia="zh-CN"/>
          <w14:textFill>
            <w14:solidFill>
              <w14:schemeClr w14:val="tx1"/>
            </w14:solidFill>
          </w14:textFill>
        </w:rPr>
        <w:t xml:space="preserve">9 </w:t>
      </w:r>
      <w:r>
        <w:rPr>
          <w:rFonts w:ascii="Book Antiqua" w:hAnsi="Book Antiqua" w:eastAsia="Book Antiqua" w:cs="Book Antiqua"/>
          <w:color w:val="000000" w:themeColor="text1"/>
          <w:lang w:eastAsia="zh-CN"/>
          <w14:textFill>
            <w14:solidFill>
              <w14:schemeClr w14:val="tx1"/>
            </w14:solidFill>
          </w14:textFill>
        </w:rPr>
        <w:t>A</w:t>
      </w:r>
      <w:r>
        <w:rPr>
          <w:rFonts w:ascii="Book Antiqua" w:hAnsi="Book Antiqua" w:eastAsia="Book Antiqua" w:cs="Book Antiqua"/>
          <w:color w:val="000000" w:themeColor="text1"/>
          <w14:textFill>
            <w14:solidFill>
              <w14:schemeClr w14:val="tx1"/>
            </w14:solidFill>
          </w14:textFill>
        </w:rPr>
        <w:t>llophycocyanin;</w:t>
      </w:r>
      <w:r>
        <w:rPr>
          <w:rFonts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CD10 PC7:</w:t>
      </w:r>
      <w:r>
        <w:rPr>
          <w:rFonts w:ascii="Book Antiqua" w:hAnsi="Book Antiqua" w:eastAsia="宋体" w:cs="Book Antiqua"/>
          <w:color w:val="000000" w:themeColor="text1"/>
          <w:lang w:eastAsia="zh-CN"/>
          <w14:textFill>
            <w14:solidFill>
              <w14:schemeClr w14:val="tx1"/>
            </w14:solidFill>
          </w14:textFill>
        </w:rPr>
        <w:t xml:space="preserve"> C</w:t>
      </w:r>
      <w:r>
        <w:rPr>
          <w:rFonts w:ascii="Book Antiqua" w:hAnsi="Book Antiqua" w:eastAsia="Book Antiqua" w:cs="Book Antiqua"/>
          <w:color w:val="000000" w:themeColor="text1"/>
          <w14:textFill>
            <w14:solidFill>
              <w14:schemeClr w14:val="tx1"/>
            </w14:solidFill>
          </w14:textFill>
        </w:rPr>
        <w:t xml:space="preserve">luster of differentiation </w:t>
      </w:r>
      <w:r>
        <w:rPr>
          <w:rFonts w:ascii="Book Antiqua" w:hAnsi="Book Antiqua" w:eastAsia="宋体" w:cs="Book Antiqua"/>
          <w:color w:val="000000" w:themeColor="text1"/>
          <w:lang w:eastAsia="zh-CN"/>
          <w14:textFill>
            <w14:solidFill>
              <w14:schemeClr w14:val="tx1"/>
            </w14:solidFill>
          </w14:textFill>
        </w:rPr>
        <w:t>10</w:t>
      </w:r>
      <w:r>
        <w:rPr>
          <w:rFonts w:ascii="Book Antiqua" w:hAnsi="Book Antiqua" w:eastAsia="Book Antiqua" w:cs="Book Antiqua"/>
          <w:color w:val="000000" w:themeColor="text1"/>
          <w14:textFill>
            <w14:solidFill>
              <w14:schemeClr w14:val="tx1"/>
            </w14:solidFill>
          </w14:textFill>
        </w:rPr>
        <w:t xml:space="preserve"> Phycoerytherin-Cyanine 7.</w:t>
      </w:r>
    </w:p>
    <w:p>
      <w:pPr>
        <w:spacing w:line="360" w:lineRule="auto"/>
        <w:jc w:val="both"/>
        <w:rPr>
          <w:rFonts w:ascii="Book Antiqua" w:hAnsi="Book Antiqua" w:eastAsia="Book Antiqua" w:cs="Book Antiqua"/>
          <w:color w:val="000000" w:themeColor="text1"/>
          <w14:textFill>
            <w14:solidFill>
              <w14:schemeClr w14:val="tx1"/>
            </w14:solidFill>
          </w14:textFill>
        </w:rPr>
      </w:pPr>
      <w:r>
        <w:rPr>
          <w:rFonts w:hint="eastAsia" w:ascii="Book Antiqua" w:hAnsi="Book Antiqua" w:eastAsia="宋体" w:cs="Book Antiqua"/>
          <w:color w:val="000000" w:themeColor="text1"/>
          <w:lang w:eastAsia="zh-CN"/>
          <w14:textFill>
            <w14:solidFill>
              <w14:schemeClr w14:val="tx1"/>
            </w14:solidFill>
          </w14:textFill>
        </w:rPr>
        <w:drawing>
          <wp:inline distT="0" distB="0" distL="114300" distR="114300">
            <wp:extent cx="5753100" cy="2160905"/>
            <wp:effectExtent l="0" t="0" r="7620" b="3175"/>
            <wp:docPr id="4" name="图片 4" descr="WJCC-10-424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4242-g003"/>
                    <pic:cNvPicPr>
                      <a:picLocks noChangeAspect="1"/>
                    </pic:cNvPicPr>
                  </pic:nvPicPr>
                  <pic:blipFill>
                    <a:blip r:embed="rId7"/>
                    <a:stretch>
                      <a:fillRect/>
                    </a:stretch>
                  </pic:blipFill>
                  <pic:spPr>
                    <a:xfrm>
                      <a:off x="0" y="0"/>
                      <a:ext cx="5753100" cy="2160905"/>
                    </a:xfrm>
                    <a:prstGeom prst="rect">
                      <a:avLst/>
                    </a:prstGeom>
                  </pic:spPr>
                </pic:pic>
              </a:graphicData>
            </a:graphic>
          </wp:inline>
        </w:drawing>
      </w:r>
    </w:p>
    <w:p>
      <w:pPr>
        <w:spacing w:line="360" w:lineRule="auto"/>
        <w:jc w:val="both"/>
        <w:rPr>
          <w:rFonts w:ascii="Book Antiqua" w:hAnsi="Book Antiqua"/>
          <w:color w:val="000000" w:themeColor="text1"/>
          <w:lang w:eastAsia="zh-CN"/>
          <w14:textFill>
            <w14:solidFill>
              <w14:schemeClr w14:val="tx1"/>
            </w14:solidFill>
          </w14:textFill>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themeColor="text1"/>
          <w14:textFill>
            <w14:solidFill>
              <w14:schemeClr w14:val="tx1"/>
            </w14:solidFill>
          </w14:textFill>
        </w:rPr>
        <w:t xml:space="preserve">Figure 3 The fusion of </w:t>
      </w:r>
      <w:r>
        <w:rPr>
          <w:rFonts w:ascii="Book Antiqua" w:hAnsi="Book Antiqua" w:eastAsia="Book Antiqua" w:cs="Book Antiqua"/>
          <w:b/>
          <w:bCs/>
          <w:i/>
          <w:iCs/>
          <w:color w:val="000000" w:themeColor="text1"/>
          <w14:textFill>
            <w14:solidFill>
              <w14:schemeClr w14:val="tx1"/>
            </w14:solidFill>
          </w14:textFill>
        </w:rPr>
        <w:t>BCR-ABL1</w:t>
      </w:r>
      <w:r>
        <w:rPr>
          <w:rFonts w:ascii="Book Antiqua" w:hAnsi="Book Antiqua" w:eastAsia="Book Antiqua" w:cs="Book Antiqua"/>
          <w:b/>
          <w:bCs/>
          <w:color w:val="000000" w:themeColor="text1"/>
          <w14:textFill>
            <w14:solidFill>
              <w14:schemeClr w14:val="tx1"/>
            </w14:solidFill>
          </w14:textFill>
        </w:rPr>
        <w:t xml:space="preserve"> loci of cerebrospinal fluid was detected by fluorescence in situ hybridization using the vysis extra signal probeyielding red-green fusion signal. </w:t>
      </w:r>
      <w:r>
        <w:rPr>
          <w:rFonts w:ascii="Book Antiqua" w:hAnsi="Book Antiqua" w:eastAsia="Book Antiqua" w:cs="Book Antiqua"/>
          <w:color w:val="000000" w:themeColor="text1"/>
          <w14:textFill>
            <w14:solidFill>
              <w14:schemeClr w14:val="tx1"/>
            </w14:solidFill>
          </w14:textFill>
        </w:rPr>
        <w:t>A:</w:t>
      </w:r>
      <w:r>
        <w:rPr>
          <w:rFonts w:ascii="Book Antiqua" w:hAnsi="Book Antiqua" w:eastAsia="Book Antiqua" w:cs="Book Antiqua"/>
          <w:b/>
          <w:bCs/>
          <w:color w:val="000000" w:themeColor="text1"/>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The image shows 1 green, 1 red, and 2 yellow signals a result of fusion of red and green; B: The fusion </w:t>
      </w:r>
      <w:r>
        <w:rPr>
          <w:rFonts w:ascii="Book Antiqua" w:hAnsi="Book Antiqua"/>
          <w:color w:val="000000" w:themeColor="text1"/>
          <w:lang w:eastAsia="zh-CN"/>
          <w14:textFill>
            <w14:solidFill>
              <w14:schemeClr w14:val="tx1"/>
            </w14:solidFill>
          </w14:textFill>
        </w:rPr>
        <w:t>signal</w:t>
      </w:r>
      <w:r>
        <w:rPr>
          <w:rFonts w:ascii="Book Antiqua" w:hAnsi="Book Antiqua" w:eastAsia="宋体" w:cs="Book Antiqua"/>
          <w:color w:val="000000" w:themeColor="text1"/>
          <w:lang w:eastAsia="zh-CN"/>
          <w14:textFill>
            <w14:solidFill>
              <w14:schemeClr w14:val="tx1"/>
            </w14:solidFill>
          </w14:textFill>
        </w:rPr>
        <w:t xml:space="preserve"> </w:t>
      </w:r>
      <w:r>
        <w:rPr>
          <w:rFonts w:ascii="Book Antiqua" w:hAnsi="Book Antiqua" w:eastAsia="Book Antiqua" w:cs="Book Antiqua"/>
          <w:color w:val="000000" w:themeColor="text1"/>
          <w14:textFill>
            <w14:solidFill>
              <w14:schemeClr w14:val="tx1"/>
            </w14:solidFill>
          </w14:textFill>
        </w:rPr>
        <w:t xml:space="preserve">indicates </w:t>
      </w:r>
      <w:r>
        <w:rPr>
          <w:rFonts w:ascii="Book Antiqua" w:hAnsi="Book Antiqua"/>
          <w:color w:val="000000" w:themeColor="text1"/>
          <w:lang w:eastAsia="zh-CN"/>
          <w14:textFill>
            <w14:solidFill>
              <w14:schemeClr w14:val="tx1"/>
            </w14:solidFill>
          </w14:textFill>
        </w:rPr>
        <w:t>a reciprocal translocation between chromosomes 9 and 22 forming a BCR-ABL fusion gene.</w:t>
      </w:r>
    </w:p>
    <w:p>
      <w:pPr>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 xml:space="preserve">Table 1 Detection of </w:t>
      </w:r>
      <w:r>
        <w:rPr>
          <w:rFonts w:ascii="Book Antiqua" w:hAnsi="Book Antiqua"/>
          <w:b/>
          <w:bCs/>
          <w:i/>
          <w:iCs/>
          <w:color w:val="000000" w:themeColor="text1"/>
          <w14:textFill>
            <w14:solidFill>
              <w14:schemeClr w14:val="tx1"/>
            </w14:solidFill>
          </w14:textFill>
        </w:rPr>
        <w:t>BCR-ABL1</w:t>
      </w:r>
      <w:r>
        <w:rPr>
          <w:rFonts w:ascii="Book Antiqua" w:hAnsi="Book Antiqua"/>
          <w:b/>
          <w:bCs/>
          <w:color w:val="000000" w:themeColor="text1"/>
          <w14:textFill>
            <w14:solidFill>
              <w14:schemeClr w14:val="tx1"/>
            </w14:solidFill>
          </w14:textFill>
        </w:rPr>
        <w:t xml:space="preserve"> fusion gene copy number by real-time quantitative polymerase chain reaction in cerebrospinal fluid</w:t>
      </w:r>
    </w:p>
    <w:tbl>
      <w:tblPr>
        <w:tblStyle w:val="7"/>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88"/>
        <w:gridCol w:w="478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8" w:type="dxa"/>
            <w:tcBorders>
              <w:bottom w:val="single" w:color="auto" w:sz="4" w:space="0"/>
            </w:tcBorders>
          </w:tcPr>
          <w:p>
            <w:pPr>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Test</w:t>
            </w:r>
          </w:p>
        </w:tc>
        <w:tc>
          <w:tcPr>
            <w:tcW w:w="4788" w:type="dxa"/>
            <w:tcBorders>
              <w:bottom w:val="single" w:color="auto" w:sz="4" w:space="0"/>
            </w:tcBorders>
          </w:tcPr>
          <w:p>
            <w:pPr>
              <w:spacing w:line="360" w:lineRule="auto"/>
              <w:jc w:val="both"/>
              <w:rPr>
                <w:rFonts w:ascii="Book Antiqua" w:hAnsi="Book Antiqua"/>
                <w:b/>
                <w:bCs/>
                <w:color w:val="000000" w:themeColor="text1"/>
                <w14:textFill>
                  <w14:solidFill>
                    <w14:schemeClr w14:val="tx1"/>
                  </w14:solidFill>
                </w14:textFill>
              </w:rPr>
            </w:pPr>
            <w:r>
              <w:rPr>
                <w:rFonts w:ascii="Book Antiqua" w:hAnsi="Book Antiqua"/>
                <w:b/>
                <w:bCs/>
                <w:color w:val="000000" w:themeColor="text1"/>
                <w14:textFill>
                  <w14:solidFill>
                    <w14:schemeClr w14:val="tx1"/>
                  </w14:solidFill>
                </w14:textFill>
              </w:rPr>
              <w:t>Result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8" w:type="dxa"/>
            <w:tcBorders>
              <w:top w:val="single" w:color="auto" w:sz="4" w:space="0"/>
            </w:tcBorders>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i/>
                <w:iCs/>
                <w:color w:val="000000" w:themeColor="text1"/>
                <w14:textFill>
                  <w14:solidFill>
                    <w14:schemeClr w14:val="tx1"/>
                  </w14:solidFill>
                </w14:textFill>
              </w:rPr>
              <w:t>BCR-ABL1</w:t>
            </w:r>
            <w:r>
              <w:rPr>
                <w:rFonts w:ascii="Book Antiqua" w:hAnsi="Book Antiqua"/>
                <w:color w:val="000000" w:themeColor="text1"/>
                <w14:textFill>
                  <w14:solidFill>
                    <w14:schemeClr w14:val="tx1"/>
                  </w14:solidFill>
                </w14:textFill>
              </w:rPr>
              <w:t>(p190)</w:t>
            </w:r>
          </w:p>
        </w:tc>
        <w:tc>
          <w:tcPr>
            <w:tcW w:w="4788" w:type="dxa"/>
            <w:tcBorders>
              <w:top w:val="single" w:color="auto" w:sz="4" w:space="0"/>
            </w:tcBorders>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Positive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8" w:type="dxa"/>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i/>
                <w:iCs/>
                <w:color w:val="000000" w:themeColor="text1"/>
                <w14:textFill>
                  <w14:solidFill>
                    <w14:schemeClr w14:val="tx1"/>
                  </w14:solidFill>
                </w14:textFill>
              </w:rPr>
              <w:t>BCR-ABL1</w:t>
            </w:r>
            <w:r>
              <w:rPr>
                <w:rFonts w:ascii="Book Antiqua" w:hAnsi="Book Antiqua"/>
                <w:color w:val="000000" w:themeColor="text1"/>
                <w14:textFill>
                  <w14:solidFill>
                    <w14:schemeClr w14:val="tx1"/>
                  </w14:solidFill>
                </w14:textFill>
              </w:rPr>
              <w:t>(p210)</w:t>
            </w:r>
          </w:p>
        </w:tc>
        <w:tc>
          <w:tcPr>
            <w:tcW w:w="4788" w:type="dxa"/>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Negative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8" w:type="dxa"/>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i/>
                <w:iCs/>
                <w:color w:val="000000" w:themeColor="text1"/>
                <w14:textFill>
                  <w14:solidFill>
                    <w14:schemeClr w14:val="tx1"/>
                  </w14:solidFill>
                </w14:textFill>
              </w:rPr>
              <w:t>BCR-ABL1</w:t>
            </w:r>
            <w:r>
              <w:rPr>
                <w:rFonts w:ascii="Book Antiqua" w:hAnsi="Book Antiqua"/>
                <w:color w:val="000000" w:themeColor="text1"/>
                <w14:textFill>
                  <w14:solidFill>
                    <w14:schemeClr w14:val="tx1"/>
                  </w14:solidFill>
                </w14:textFill>
              </w:rPr>
              <w:t xml:space="preserve"> gene copy number</w:t>
            </w:r>
          </w:p>
        </w:tc>
        <w:tc>
          <w:tcPr>
            <w:tcW w:w="4788" w:type="dxa"/>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18580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8" w:type="dxa"/>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i/>
                <w:iCs/>
                <w:color w:val="000000" w:themeColor="text1"/>
                <w14:textFill>
                  <w14:solidFill>
                    <w14:schemeClr w14:val="tx1"/>
                  </w14:solidFill>
                </w14:textFill>
              </w:rPr>
              <w:t>ABL1</w:t>
            </w:r>
            <w:r>
              <w:rPr>
                <w:rFonts w:ascii="Book Antiqua" w:hAnsi="Book Antiqua"/>
                <w:color w:val="000000" w:themeColor="text1"/>
                <w14:textFill>
                  <w14:solidFill>
                    <w14:schemeClr w14:val="tx1"/>
                  </w14:solidFill>
                </w14:textFill>
              </w:rPr>
              <w:t xml:space="preserve"> gene copy number</w:t>
            </w:r>
          </w:p>
        </w:tc>
        <w:tc>
          <w:tcPr>
            <w:tcW w:w="4788" w:type="dxa"/>
          </w:tcPr>
          <w:p>
            <w:pPr>
              <w:spacing w:line="360" w:lineRule="auto"/>
              <w:jc w:val="both"/>
              <w:rPr>
                <w:rFonts w:ascii="Book Antiqua" w:hAnsi="Book Antiqua"/>
                <w:color w:val="000000" w:themeColor="text1"/>
                <w:lang w:eastAsia="zh-CN"/>
                <w14:textFill>
                  <w14:solidFill>
                    <w14:schemeClr w14:val="tx1"/>
                  </w14:solidFill>
                </w14:textFill>
              </w:rPr>
            </w:pPr>
            <w:r>
              <w:rPr>
                <w:rFonts w:ascii="Book Antiqua" w:hAnsi="Book Antiqua"/>
                <w:color w:val="000000" w:themeColor="text1"/>
                <w:lang w:eastAsia="zh-CN"/>
                <w14:textFill>
                  <w14:solidFill>
                    <w14:schemeClr w14:val="tx1"/>
                  </w14:solidFill>
                </w14:textFill>
              </w:rPr>
              <w:t>77222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788" w:type="dxa"/>
          </w:tcPr>
          <w:p>
            <w:pPr>
              <w:spacing w:line="360" w:lineRule="auto"/>
              <w:jc w:val="both"/>
              <w:rPr>
                <w:rFonts w:ascii="Book Antiqua" w:hAnsi="Book Antiqua"/>
                <w:i/>
                <w:iCs/>
                <w:color w:val="000000" w:themeColor="text1"/>
                <w14:textFill>
                  <w14:solidFill>
                    <w14:schemeClr w14:val="tx1"/>
                  </w14:solidFill>
                </w14:textFill>
              </w:rPr>
            </w:pPr>
            <w:r>
              <w:rPr>
                <w:rFonts w:ascii="Book Antiqua" w:hAnsi="Book Antiqua"/>
                <w:i/>
                <w:iCs/>
                <w:color w:val="000000" w:themeColor="text1"/>
                <w14:textFill>
                  <w14:solidFill>
                    <w14:schemeClr w14:val="tx1"/>
                  </w14:solidFill>
                </w14:textFill>
              </w:rPr>
              <w:t>BCR-ABL1/ABL1</w:t>
            </w:r>
          </w:p>
        </w:tc>
        <w:tc>
          <w:tcPr>
            <w:tcW w:w="4788" w:type="dxa"/>
          </w:tcPr>
          <w:p>
            <w:pPr>
              <w:spacing w:line="360" w:lineRule="auto"/>
              <w:jc w:val="both"/>
              <w:rPr>
                <w:rFonts w:ascii="Book Antiqua" w:hAnsi="Book Antiqua"/>
                <w:color w:val="000000" w:themeColor="text1"/>
                <w14:textFill>
                  <w14:solidFill>
                    <w14:schemeClr w14:val="tx1"/>
                  </w14:solidFill>
                </w14:textFill>
              </w:rPr>
            </w:pPr>
            <w:r>
              <w:rPr>
                <w:rFonts w:ascii="Book Antiqua" w:hAnsi="Book Antiqua"/>
                <w:color w:val="000000" w:themeColor="text1"/>
                <w14:textFill>
                  <w14:solidFill>
                    <w14:schemeClr w14:val="tx1"/>
                  </w14:solidFill>
                </w14:textFill>
              </w:rPr>
              <w:t>24.061%</w:t>
            </w:r>
          </w:p>
        </w:tc>
      </w:tr>
    </w:tbl>
    <w:p>
      <w:pPr>
        <w:spacing w:line="360" w:lineRule="auto"/>
        <w:jc w:val="both"/>
        <w:rPr>
          <w:rFonts w:ascii="Book Antiqua" w:hAnsi="Book Antiqua"/>
          <w:color w:val="000000" w:themeColor="text1"/>
          <w:lang w:eastAsia="zh-CN"/>
          <w14:textFill>
            <w14:solidFill>
              <w14:schemeClr w14:val="tx1"/>
            </w14:solidFill>
          </w14:textFill>
        </w:rPr>
        <w:sectPr>
          <w:pgSz w:w="12240" w:h="15840"/>
          <w:pgMar w:top="1440" w:right="1440" w:bottom="1440" w:left="1440" w:header="720" w:footer="720" w:gutter="0"/>
          <w:cols w:space="720" w:num="1"/>
          <w:docGrid w:linePitch="360" w:charSpace="0"/>
        </w:sectPr>
      </w:pPr>
      <w:r>
        <w:rPr>
          <w:rFonts w:ascii="Book Antiqua" w:hAnsi="Book Antiqua"/>
          <w:color w:val="000000" w:themeColor="text1"/>
          <w:lang w:eastAsia="zh-CN"/>
          <w14:textFill>
            <w14:solidFill>
              <w14:schemeClr w14:val="tx1"/>
            </w14:solidFill>
          </w14:textFill>
        </w:rPr>
        <w:t>p190: Proteins of 190 kDa; p210: Proteins of 210</w:t>
      </w:r>
      <w:bookmarkStart w:id="12" w:name="_GoBack"/>
      <w:bookmarkEnd w:id="12"/>
      <w:r>
        <w:rPr>
          <w:rFonts w:ascii="Book Antiqua" w:hAnsi="Book Antiqua"/>
          <w:color w:val="000000" w:themeColor="text1"/>
          <w:lang w:eastAsia="zh-CN"/>
          <w14:textFill>
            <w14:solidFill>
              <w14:schemeClr w14:val="tx1"/>
            </w14:solidFill>
          </w14:textFill>
        </w:rPr>
        <w:t xml:space="preserve"> kDa.</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olor w:val="000000" w:themeColor="text1"/>
          <w:lang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Segoe UI">
    <w:panose1 w:val="020B0502040204020203"/>
    <w:charset w:val="00"/>
    <w:family w:val="swiss"/>
    <w:pitch w:val="default"/>
    <w:sig w:usb0="E4002EFF" w:usb1="C000E47F" w:usb2="00000009" w:usb3="00000000" w:csb0="200001F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rFonts w:ascii="Book Antiqua" w:hAnsi="Book Antiqua"/>
        <w:color w:val="000000" w:themeColor="text1"/>
        <w:sz w:val="24"/>
        <w:szCs w:val="24"/>
        <w14:textFill>
          <w14:solidFill>
            <w14:schemeClr w14:val="tx1"/>
          </w14:solidFill>
        </w14:textFill>
      </w:rPr>
    </w:pPr>
    <w:r>
      <w:rPr>
        <w:rFonts w:ascii="Book Antiqua" w:hAnsi="Book Antiqua"/>
        <w:color w:val="000000" w:themeColor="text1"/>
        <w:sz w:val="24"/>
        <w:szCs w:val="24"/>
        <w:lang w:val="zh-CN" w:eastAsia="zh-CN"/>
        <w14:textFill>
          <w14:solidFill>
            <w14:schemeClr w14:val="tx1"/>
          </w14:solidFill>
        </w14:textFill>
      </w:rPr>
      <w:t xml:space="preserve">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PAGE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r>
      <w:rPr>
        <w:rFonts w:ascii="Book Antiqua" w:hAnsi="Book Antiqua"/>
        <w:color w:val="000000" w:themeColor="text1"/>
        <w:sz w:val="24"/>
        <w:szCs w:val="24"/>
        <w:lang w:val="zh-CN" w:eastAsia="zh-CN"/>
        <w14:textFill>
          <w14:solidFill>
            <w14:schemeClr w14:val="tx1"/>
          </w14:solidFill>
        </w14:textFill>
      </w:rPr>
      <w:t xml:space="preserve"> / </w:t>
    </w:r>
    <w:r>
      <w:rPr>
        <w:rFonts w:ascii="Book Antiqua" w:hAnsi="Book Antiqua"/>
        <w:color w:val="000000" w:themeColor="text1"/>
        <w:sz w:val="24"/>
        <w:szCs w:val="24"/>
        <w14:textFill>
          <w14:solidFill>
            <w14:schemeClr w14:val="tx1"/>
          </w14:solidFill>
        </w14:textFill>
      </w:rPr>
      <w:fldChar w:fldCharType="begin"/>
    </w:r>
    <w:r>
      <w:rPr>
        <w:rFonts w:ascii="Book Antiqua" w:hAnsi="Book Antiqua"/>
        <w:color w:val="000000" w:themeColor="text1"/>
        <w:sz w:val="24"/>
        <w:szCs w:val="24"/>
        <w14:textFill>
          <w14:solidFill>
            <w14:schemeClr w14:val="tx1"/>
          </w14:solidFill>
        </w14:textFill>
      </w:rPr>
      <w:instrText xml:space="preserve">NUMPAGES  \* Arabic  \* MERGEFORMAT</w:instrText>
    </w:r>
    <w:r>
      <w:rPr>
        <w:rFonts w:ascii="Book Antiqua" w:hAnsi="Book Antiqua"/>
        <w:color w:val="000000" w:themeColor="text1"/>
        <w:sz w:val="24"/>
        <w:szCs w:val="24"/>
        <w14:textFill>
          <w14:solidFill>
            <w14:schemeClr w14:val="tx1"/>
          </w14:solidFill>
        </w14:textFill>
      </w:rPr>
      <w:fldChar w:fldCharType="separate"/>
    </w:r>
    <w:r>
      <w:rPr>
        <w:rFonts w:ascii="Book Antiqua" w:hAnsi="Book Antiqua"/>
        <w:color w:val="000000" w:themeColor="text1"/>
        <w:sz w:val="24"/>
        <w:szCs w:val="24"/>
        <w:lang w:val="zh-CN" w:eastAsia="zh-CN"/>
        <w14:textFill>
          <w14:solidFill>
            <w14:schemeClr w14:val="tx1"/>
          </w14:solidFill>
        </w14:textFill>
      </w:rPr>
      <w:t>2</w:t>
    </w:r>
    <w:r>
      <w:rPr>
        <w:rFonts w:ascii="Book Antiqua" w:hAnsi="Book Antiqua"/>
        <w:color w:val="000000" w:themeColor="text1"/>
        <w:sz w:val="24"/>
        <w:szCs w:val="24"/>
        <w14:textFill>
          <w14:solidFill>
            <w14:schemeClr w14:val="tx1"/>
          </w14:solidFill>
        </w14:textFill>
      </w:rP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459A6"/>
    <w:rsid w:val="00053C6E"/>
    <w:rsid w:val="00061178"/>
    <w:rsid w:val="000749DE"/>
    <w:rsid w:val="0009509B"/>
    <w:rsid w:val="000B1435"/>
    <w:rsid w:val="000C4425"/>
    <w:rsid w:val="000C7832"/>
    <w:rsid w:val="00100EF9"/>
    <w:rsid w:val="001050D2"/>
    <w:rsid w:val="001218C8"/>
    <w:rsid w:val="001253F7"/>
    <w:rsid w:val="00133083"/>
    <w:rsid w:val="00190D8B"/>
    <w:rsid w:val="001A2881"/>
    <w:rsid w:val="001B4671"/>
    <w:rsid w:val="001F1BBD"/>
    <w:rsid w:val="00222E46"/>
    <w:rsid w:val="00241763"/>
    <w:rsid w:val="00241CFA"/>
    <w:rsid w:val="00253A81"/>
    <w:rsid w:val="00256961"/>
    <w:rsid w:val="00262922"/>
    <w:rsid w:val="00274DD2"/>
    <w:rsid w:val="002851F9"/>
    <w:rsid w:val="002A189C"/>
    <w:rsid w:val="002B155F"/>
    <w:rsid w:val="002B629B"/>
    <w:rsid w:val="002B7B8A"/>
    <w:rsid w:val="002D6C3A"/>
    <w:rsid w:val="002E73F2"/>
    <w:rsid w:val="002F3AC8"/>
    <w:rsid w:val="002F4333"/>
    <w:rsid w:val="00313EF3"/>
    <w:rsid w:val="00320823"/>
    <w:rsid w:val="00342F75"/>
    <w:rsid w:val="0035119E"/>
    <w:rsid w:val="00360D49"/>
    <w:rsid w:val="003657A2"/>
    <w:rsid w:val="00374472"/>
    <w:rsid w:val="003768A6"/>
    <w:rsid w:val="00394FA7"/>
    <w:rsid w:val="00397C13"/>
    <w:rsid w:val="003B3397"/>
    <w:rsid w:val="003C4B07"/>
    <w:rsid w:val="003F5134"/>
    <w:rsid w:val="004176C3"/>
    <w:rsid w:val="00436063"/>
    <w:rsid w:val="004406C6"/>
    <w:rsid w:val="00442C17"/>
    <w:rsid w:val="00443541"/>
    <w:rsid w:val="00446384"/>
    <w:rsid w:val="004806DC"/>
    <w:rsid w:val="004A5853"/>
    <w:rsid w:val="004E4518"/>
    <w:rsid w:val="004F08D2"/>
    <w:rsid w:val="004F5335"/>
    <w:rsid w:val="005011D7"/>
    <w:rsid w:val="005042D8"/>
    <w:rsid w:val="0050606D"/>
    <w:rsid w:val="00512836"/>
    <w:rsid w:val="00525218"/>
    <w:rsid w:val="0053214B"/>
    <w:rsid w:val="00544214"/>
    <w:rsid w:val="005500F9"/>
    <w:rsid w:val="005555CB"/>
    <w:rsid w:val="005A6178"/>
    <w:rsid w:val="005C47B9"/>
    <w:rsid w:val="005D19A0"/>
    <w:rsid w:val="005E23CF"/>
    <w:rsid w:val="0062589E"/>
    <w:rsid w:val="0066230E"/>
    <w:rsid w:val="00663FAF"/>
    <w:rsid w:val="00682EC0"/>
    <w:rsid w:val="00684FB5"/>
    <w:rsid w:val="006870B5"/>
    <w:rsid w:val="006A5428"/>
    <w:rsid w:val="006B52DC"/>
    <w:rsid w:val="006E66AC"/>
    <w:rsid w:val="007205DC"/>
    <w:rsid w:val="007211C8"/>
    <w:rsid w:val="00722B09"/>
    <w:rsid w:val="0072672B"/>
    <w:rsid w:val="00727109"/>
    <w:rsid w:val="007524CB"/>
    <w:rsid w:val="00752F5C"/>
    <w:rsid w:val="0075369B"/>
    <w:rsid w:val="00754C88"/>
    <w:rsid w:val="0077166D"/>
    <w:rsid w:val="007864DB"/>
    <w:rsid w:val="0079061C"/>
    <w:rsid w:val="007A5EDB"/>
    <w:rsid w:val="007B0248"/>
    <w:rsid w:val="007C1AA9"/>
    <w:rsid w:val="008104B9"/>
    <w:rsid w:val="00820FF9"/>
    <w:rsid w:val="00845B12"/>
    <w:rsid w:val="008470C5"/>
    <w:rsid w:val="00847886"/>
    <w:rsid w:val="00865357"/>
    <w:rsid w:val="008707EE"/>
    <w:rsid w:val="00896C13"/>
    <w:rsid w:val="008B0747"/>
    <w:rsid w:val="008B07BF"/>
    <w:rsid w:val="008C3C69"/>
    <w:rsid w:val="008F13EF"/>
    <w:rsid w:val="0091235E"/>
    <w:rsid w:val="0093760F"/>
    <w:rsid w:val="0096361F"/>
    <w:rsid w:val="009669B7"/>
    <w:rsid w:val="009A05D2"/>
    <w:rsid w:val="009B3897"/>
    <w:rsid w:val="009B4F3C"/>
    <w:rsid w:val="009E70C4"/>
    <w:rsid w:val="009F6E8F"/>
    <w:rsid w:val="00A20119"/>
    <w:rsid w:val="00A31157"/>
    <w:rsid w:val="00A37063"/>
    <w:rsid w:val="00A651A2"/>
    <w:rsid w:val="00A7148E"/>
    <w:rsid w:val="00A77B3E"/>
    <w:rsid w:val="00A82CA0"/>
    <w:rsid w:val="00A844D1"/>
    <w:rsid w:val="00AC3DA0"/>
    <w:rsid w:val="00AF099F"/>
    <w:rsid w:val="00AF7862"/>
    <w:rsid w:val="00B10FED"/>
    <w:rsid w:val="00B2143F"/>
    <w:rsid w:val="00B22EFD"/>
    <w:rsid w:val="00B25E68"/>
    <w:rsid w:val="00B514D0"/>
    <w:rsid w:val="00B70111"/>
    <w:rsid w:val="00B75287"/>
    <w:rsid w:val="00B90F15"/>
    <w:rsid w:val="00B9136D"/>
    <w:rsid w:val="00C0156A"/>
    <w:rsid w:val="00C30D6B"/>
    <w:rsid w:val="00C70D1E"/>
    <w:rsid w:val="00C87258"/>
    <w:rsid w:val="00CA2A55"/>
    <w:rsid w:val="00CB128B"/>
    <w:rsid w:val="00CB22DB"/>
    <w:rsid w:val="00CC3807"/>
    <w:rsid w:val="00CC480A"/>
    <w:rsid w:val="00CD263C"/>
    <w:rsid w:val="00CF05F6"/>
    <w:rsid w:val="00CF0CC9"/>
    <w:rsid w:val="00CF7FFC"/>
    <w:rsid w:val="00D151F6"/>
    <w:rsid w:val="00D447DC"/>
    <w:rsid w:val="00D859FF"/>
    <w:rsid w:val="00DA2C56"/>
    <w:rsid w:val="00DA3A72"/>
    <w:rsid w:val="00DC01DD"/>
    <w:rsid w:val="00DE4953"/>
    <w:rsid w:val="00DE65B8"/>
    <w:rsid w:val="00DE6AE5"/>
    <w:rsid w:val="00E0400B"/>
    <w:rsid w:val="00E07BDD"/>
    <w:rsid w:val="00E23168"/>
    <w:rsid w:val="00E2794C"/>
    <w:rsid w:val="00E432B3"/>
    <w:rsid w:val="00E44F51"/>
    <w:rsid w:val="00E53A03"/>
    <w:rsid w:val="00E74CC4"/>
    <w:rsid w:val="00E752C3"/>
    <w:rsid w:val="00EC7CDA"/>
    <w:rsid w:val="00F20B70"/>
    <w:rsid w:val="00F51B89"/>
    <w:rsid w:val="00F52B1A"/>
    <w:rsid w:val="00F67567"/>
    <w:rsid w:val="00F67FFC"/>
    <w:rsid w:val="00F86192"/>
    <w:rsid w:val="00FA3BC7"/>
    <w:rsid w:val="00FB5881"/>
    <w:rsid w:val="00FD02DC"/>
    <w:rsid w:val="00FF622B"/>
    <w:rsid w:val="011442F9"/>
    <w:rsid w:val="04053C67"/>
    <w:rsid w:val="05FA6667"/>
    <w:rsid w:val="07391925"/>
    <w:rsid w:val="083B04D7"/>
    <w:rsid w:val="08EF448A"/>
    <w:rsid w:val="0AA72C08"/>
    <w:rsid w:val="0CEF2A86"/>
    <w:rsid w:val="0D1368B1"/>
    <w:rsid w:val="10853E2D"/>
    <w:rsid w:val="110E0772"/>
    <w:rsid w:val="12144C6E"/>
    <w:rsid w:val="123C051C"/>
    <w:rsid w:val="14014501"/>
    <w:rsid w:val="15932B49"/>
    <w:rsid w:val="1B0167A6"/>
    <w:rsid w:val="1C5A0F9C"/>
    <w:rsid w:val="1E177D46"/>
    <w:rsid w:val="22747060"/>
    <w:rsid w:val="23411E36"/>
    <w:rsid w:val="27F232C1"/>
    <w:rsid w:val="296413DB"/>
    <w:rsid w:val="29A95581"/>
    <w:rsid w:val="2E5758B0"/>
    <w:rsid w:val="2F8D4B0A"/>
    <w:rsid w:val="30253642"/>
    <w:rsid w:val="30D329F1"/>
    <w:rsid w:val="36344EDE"/>
    <w:rsid w:val="36370E76"/>
    <w:rsid w:val="36CE14D0"/>
    <w:rsid w:val="373614CD"/>
    <w:rsid w:val="3CEC7DD1"/>
    <w:rsid w:val="3E075B49"/>
    <w:rsid w:val="3E1342AD"/>
    <w:rsid w:val="41735686"/>
    <w:rsid w:val="469A6FE4"/>
    <w:rsid w:val="47FA3FA4"/>
    <w:rsid w:val="4B6B4415"/>
    <w:rsid w:val="4C9F59CC"/>
    <w:rsid w:val="500876B4"/>
    <w:rsid w:val="58763D61"/>
    <w:rsid w:val="59DB1995"/>
    <w:rsid w:val="5B4F43E9"/>
    <w:rsid w:val="5BE10DB9"/>
    <w:rsid w:val="5C400D67"/>
    <w:rsid w:val="5CE47EC3"/>
    <w:rsid w:val="5DE23E43"/>
    <w:rsid w:val="5E945E40"/>
    <w:rsid w:val="65794C1B"/>
    <w:rsid w:val="68614EFB"/>
    <w:rsid w:val="686B7E31"/>
    <w:rsid w:val="6B04469B"/>
    <w:rsid w:val="6F00141D"/>
    <w:rsid w:val="6F255A66"/>
    <w:rsid w:val="7089131F"/>
    <w:rsid w:val="71324139"/>
    <w:rsid w:val="716D33C3"/>
    <w:rsid w:val="7315786E"/>
    <w:rsid w:val="74EE1297"/>
    <w:rsid w:val="79F12155"/>
    <w:rsid w:val="79F226B7"/>
    <w:rsid w:val="7A0802C1"/>
    <w:rsid w:val="7B2935CA"/>
    <w:rsid w:val="7CFE66BC"/>
    <w:rsid w:val="7D1513DD"/>
    <w:rsid w:val="7DA16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unhideWhenUsed/>
    <w:qFormat/>
    <w:uiPriority w:val="99"/>
  </w:style>
  <w:style w:type="paragraph" w:styleId="3">
    <w:name w:val="footer"/>
    <w:basedOn w:val="1"/>
    <w:link w:val="13"/>
    <w:unhideWhenUsed/>
    <w:qFormat/>
    <w:uiPriority w:val="99"/>
    <w:pPr>
      <w:tabs>
        <w:tab w:val="center" w:pos="4153"/>
        <w:tab w:val="right" w:pos="8306"/>
      </w:tabs>
      <w:snapToGrid w:val="0"/>
    </w:pPr>
    <w:rPr>
      <w:sz w:val="18"/>
      <w:szCs w:val="18"/>
    </w:r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5"/>
    <w:semiHidden/>
    <w:unhideWhenUsed/>
    <w:uiPriority w:val="0"/>
    <w:rPr>
      <w:b/>
      <w:bCs/>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Emphasis"/>
    <w:basedOn w:val="8"/>
    <w:qFormat/>
    <w:uiPriority w:val="0"/>
    <w:rPr>
      <w:i/>
    </w:rPr>
  </w:style>
  <w:style w:type="character" w:styleId="10">
    <w:name w:val="annotation reference"/>
    <w:basedOn w:val="8"/>
    <w:semiHidden/>
    <w:unhideWhenUsed/>
    <w:qFormat/>
    <w:uiPriority w:val="0"/>
    <w:rPr>
      <w:sz w:val="21"/>
      <w:szCs w:val="21"/>
    </w:rPr>
  </w:style>
  <w:style w:type="character" w:customStyle="1" w:styleId="11">
    <w:name w:val="15"/>
    <w:basedOn w:val="8"/>
    <w:qFormat/>
    <w:uiPriority w:val="0"/>
  </w:style>
  <w:style w:type="character" w:customStyle="1" w:styleId="12">
    <w:name w:val="页眉 字符"/>
    <w:basedOn w:val="8"/>
    <w:link w:val="4"/>
    <w:qFormat/>
    <w:uiPriority w:val="0"/>
    <w:rPr>
      <w:sz w:val="18"/>
      <w:szCs w:val="18"/>
    </w:rPr>
  </w:style>
  <w:style w:type="character" w:customStyle="1" w:styleId="13">
    <w:name w:val="页脚 字符"/>
    <w:basedOn w:val="8"/>
    <w:link w:val="3"/>
    <w:qFormat/>
    <w:uiPriority w:val="99"/>
    <w:rPr>
      <w:sz w:val="18"/>
      <w:szCs w:val="18"/>
    </w:rPr>
  </w:style>
  <w:style w:type="character" w:customStyle="1" w:styleId="14">
    <w:name w:val="批注文字 字符"/>
    <w:basedOn w:val="8"/>
    <w:link w:val="2"/>
    <w:semiHidden/>
    <w:qFormat/>
    <w:uiPriority w:val="0"/>
    <w:rPr>
      <w:sz w:val="24"/>
      <w:szCs w:val="24"/>
    </w:rPr>
  </w:style>
  <w:style w:type="character" w:customStyle="1" w:styleId="15">
    <w:name w:val="批注主题 字符"/>
    <w:basedOn w:val="14"/>
    <w:link w:val="5"/>
    <w:semiHidden/>
    <w:qFormat/>
    <w:uiPriority w:val="0"/>
    <w:rPr>
      <w:b/>
      <w:bCs/>
      <w:sz w:val="24"/>
      <w:szCs w:val="24"/>
    </w:rPr>
  </w:style>
  <w:style w:type="character" w:styleId="16">
    <w:name w:val="Placeholder Text"/>
    <w:basedOn w:val="8"/>
    <w:semiHidden/>
    <w:qFormat/>
    <w:uiPriority w:val="99"/>
    <w:rPr>
      <w:color w:val="808080"/>
    </w:rPr>
  </w:style>
  <w:style w:type="character" w:customStyle="1" w:styleId="17">
    <w:name w:val="批注文字 字符1"/>
    <w:basedOn w:val="8"/>
    <w:qFormat/>
    <w:uiPriority w:val="99"/>
    <w:rPr>
      <w:rFonts w:ascii="Calibri" w:hAnsi="Calibri" w:cs="Times New Roman"/>
      <w:color w:val="auto"/>
      <w:kern w:val="0"/>
      <w:sz w:val="22"/>
      <w:szCs w:val="22"/>
      <w:lang w:val="en-GB" w:eastAsia="en-US"/>
    </w:rPr>
  </w:style>
  <w:style w:type="paragraph" w:customStyle="1" w:styleId="18">
    <w:name w:val="修订1"/>
    <w:hidden/>
    <w:semiHidden/>
    <w:qFormat/>
    <w:uiPriority w:val="99"/>
    <w:rPr>
      <w:rFonts w:ascii="Times New Roman" w:hAnsi="Times New Roman" w:cs="Times New Roman" w:eastAsiaTheme="minorEastAsia"/>
      <w:sz w:val="24"/>
      <w:szCs w:val="24"/>
      <w:lang w:val="en-US" w:eastAsia="en-US" w:bidi="ar-SA"/>
    </w:rPr>
  </w:style>
  <w:style w:type="paragraph" w:customStyle="1" w:styleId="19">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2960</Words>
  <Characters>17386</Characters>
  <Lines>144</Lines>
  <Paragraphs>40</Paragraphs>
  <TotalTime>0</TotalTime>
  <ScaleCrop>false</ScaleCrop>
  <LinksUpToDate>false</LinksUpToDate>
  <CharactersWithSpaces>20237</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2022-03-15T04:47:00Z</dcterms:created>
  <dc:creator>HQC</dc:creator>
  <cp:lastModifiedBy>晓晨</cp:lastModifiedBy>
  <dcterms:modified xsi:type="dcterms:W3CDTF">2022-04-30T03:58:15Z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D6C009FB5AE54B6DB385297325E41C00</vt:lpwstr>
  </property>
</Properties>
</file>