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E7110"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3427A2"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72172</w:t>
      </w:r>
    </w:p>
    <w:p w14:paraId="60E1743A"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434C816" w14:textId="77777777" w:rsidR="00BD474D" w:rsidRDefault="00BD474D">
      <w:pPr>
        <w:spacing w:line="360" w:lineRule="auto"/>
        <w:jc w:val="both"/>
        <w:rPr>
          <w:rFonts w:ascii="Book Antiqua" w:hAnsi="Book Antiqua"/>
        </w:rPr>
      </w:pPr>
    </w:p>
    <w:p w14:paraId="37ECC6DD"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Acute coronary artery stent thrombosis caused by a spasm: A case report</w:t>
      </w:r>
    </w:p>
    <w:p w14:paraId="1195E215" w14:textId="77777777" w:rsidR="00BD474D" w:rsidRDefault="00BD474D">
      <w:pPr>
        <w:spacing w:line="360" w:lineRule="auto"/>
        <w:jc w:val="both"/>
        <w:rPr>
          <w:rFonts w:ascii="Book Antiqua" w:hAnsi="Book Antiqua"/>
        </w:rPr>
      </w:pPr>
    </w:p>
    <w:p w14:paraId="3E0EF248"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 xml:space="preserve">Meng LP </w:t>
      </w:r>
      <w:r>
        <w:rPr>
          <w:rFonts w:ascii="Book Antiqua" w:eastAsia="Book Antiqua" w:hAnsi="Book Antiqua" w:cs="Book Antiqua"/>
          <w:i/>
          <w:color w:val="000000"/>
        </w:rPr>
        <w:t>et al</w:t>
      </w:r>
      <w:r>
        <w:rPr>
          <w:rFonts w:ascii="Book Antiqua" w:eastAsia="Book Antiqua" w:hAnsi="Book Antiqua" w:cs="Book Antiqua"/>
          <w:color w:val="000000"/>
        </w:rPr>
        <w:t>. AST caused by a spasm</w:t>
      </w:r>
    </w:p>
    <w:p w14:paraId="5E7185E7" w14:textId="77777777" w:rsidR="00BD474D" w:rsidRDefault="00BD474D">
      <w:pPr>
        <w:spacing w:line="360" w:lineRule="auto"/>
        <w:jc w:val="both"/>
        <w:rPr>
          <w:rFonts w:ascii="Book Antiqua" w:hAnsi="Book Antiqua"/>
        </w:rPr>
      </w:pPr>
    </w:p>
    <w:p w14:paraId="442ACF47"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Li-Ping Meng, Ping Wang, Fang Peng</w:t>
      </w:r>
    </w:p>
    <w:p w14:paraId="395EA0E6" w14:textId="77777777" w:rsidR="00BD474D" w:rsidRDefault="00BD474D">
      <w:pPr>
        <w:spacing w:line="360" w:lineRule="auto"/>
        <w:jc w:val="both"/>
        <w:rPr>
          <w:rFonts w:ascii="Book Antiqua" w:hAnsi="Book Antiqua"/>
        </w:rPr>
      </w:pPr>
    </w:p>
    <w:p w14:paraId="7E4F63AE"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Li-Ping Meng, Ping Wang, Fang Peng,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Cardiology, Shaoxing People's Hospital, Shaoxing 312000, Zhejiang</w:t>
      </w:r>
      <w:r>
        <w:rPr>
          <w:rFonts w:ascii="Book Antiqua" w:hAnsi="Book Antiqua"/>
        </w:rPr>
        <w:t xml:space="preserve"> </w:t>
      </w:r>
      <w:r>
        <w:rPr>
          <w:rFonts w:ascii="Book Antiqua" w:eastAsia="Book Antiqua" w:hAnsi="Book Antiqua" w:cs="Book Antiqua"/>
          <w:color w:val="000000"/>
        </w:rPr>
        <w:t>Province, China</w:t>
      </w:r>
    </w:p>
    <w:p w14:paraId="46AFF908" w14:textId="77777777" w:rsidR="00BD474D" w:rsidRDefault="00BD474D">
      <w:pPr>
        <w:spacing w:line="360" w:lineRule="auto"/>
        <w:jc w:val="both"/>
        <w:rPr>
          <w:rFonts w:ascii="Book Antiqua" w:hAnsi="Book Antiqua"/>
        </w:rPr>
      </w:pPr>
    </w:p>
    <w:p w14:paraId="67F17442"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Meng LP, Wang P, and Peng F performed the operation and attended the patient together; Meng LP wrote the paper.</w:t>
      </w:r>
    </w:p>
    <w:p w14:paraId="3505E557" w14:textId="77777777" w:rsidR="00BD474D" w:rsidRDefault="00BD474D">
      <w:pPr>
        <w:spacing w:line="360" w:lineRule="auto"/>
        <w:jc w:val="both"/>
        <w:rPr>
          <w:rFonts w:ascii="Book Antiqua" w:hAnsi="Book Antiqua"/>
        </w:rPr>
      </w:pPr>
    </w:p>
    <w:p w14:paraId="3E3BFA85" w14:textId="77777777" w:rsidR="00BD474D" w:rsidRDefault="005F3FF6">
      <w:pPr>
        <w:spacing w:line="360" w:lineRule="auto"/>
        <w:jc w:val="both"/>
        <w:rPr>
          <w:rFonts w:ascii="Book Antiqua" w:hAnsi="Book Antiqua"/>
        </w:rPr>
      </w:pPr>
      <w:r>
        <w:rPr>
          <w:rFonts w:ascii="Book Antiqua" w:eastAsia="Book Antiqua" w:hAnsi="Book Antiqua" w:cs="Book Antiqua"/>
          <w:b/>
          <w:bCs/>
          <w:color w:val="000000"/>
        </w:rPr>
        <w:t>Supported by</w:t>
      </w:r>
      <w:r w:rsidR="009B2ABB">
        <w:rPr>
          <w:rFonts w:ascii="Book Antiqua" w:eastAsia="Book Antiqua" w:hAnsi="Book Antiqua" w:cs="Book Antiqua"/>
          <w:b/>
          <w:bCs/>
          <w:color w:val="000000"/>
        </w:rPr>
        <w:t xml:space="preserve"> </w:t>
      </w:r>
      <w:r w:rsidR="009B2ABB">
        <w:rPr>
          <w:rFonts w:ascii="Book Antiqua" w:eastAsia="Book Antiqua" w:hAnsi="Book Antiqua" w:cs="Book Antiqua"/>
          <w:color w:val="000000"/>
        </w:rPr>
        <w:t>the National Natural Science Foundation of China, No. 82000252.</w:t>
      </w:r>
    </w:p>
    <w:p w14:paraId="1E0697D6" w14:textId="77777777" w:rsidR="00BD474D" w:rsidRDefault="00BD474D">
      <w:pPr>
        <w:spacing w:line="360" w:lineRule="auto"/>
        <w:jc w:val="both"/>
        <w:rPr>
          <w:rFonts w:ascii="Book Antiqua" w:hAnsi="Book Antiqua"/>
        </w:rPr>
      </w:pPr>
    </w:p>
    <w:p w14:paraId="7DFBA635"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Corresponding author: Fang Peng, MD, Chief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Cardiology, Shaoxing People’s Hospital, No. 568 Zhongxing North Road, Shaoxing 312000, Zhejiang Province, China. sxrmyypf@126.com</w:t>
      </w:r>
    </w:p>
    <w:p w14:paraId="3A244BAC" w14:textId="77777777" w:rsidR="00BD474D" w:rsidRDefault="00BD474D">
      <w:pPr>
        <w:spacing w:line="360" w:lineRule="auto"/>
        <w:jc w:val="both"/>
        <w:rPr>
          <w:rFonts w:ascii="Book Antiqua" w:hAnsi="Book Antiqua"/>
        </w:rPr>
      </w:pPr>
    </w:p>
    <w:p w14:paraId="1D77C83F"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7, 2021</w:t>
      </w:r>
    </w:p>
    <w:p w14:paraId="1749ECA9"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25, 2021</w:t>
      </w:r>
    </w:p>
    <w:p w14:paraId="0A08C5B9" w14:textId="77777777" w:rsidR="00BD474D" w:rsidRPr="005F3FF6" w:rsidRDefault="009B2ABB">
      <w:pPr>
        <w:spacing w:line="360" w:lineRule="auto"/>
        <w:jc w:val="both"/>
        <w:rPr>
          <w:rFonts w:ascii="Book Antiqua" w:hAnsi="Book Antiqua"/>
        </w:rPr>
      </w:pPr>
      <w:r>
        <w:rPr>
          <w:rFonts w:ascii="Book Antiqua" w:eastAsia="Book Antiqua" w:hAnsi="Book Antiqua" w:cs="Book Antiqua"/>
          <w:b/>
          <w:bCs/>
          <w:color w:val="000000"/>
        </w:rPr>
        <w:t>Accepted:</w:t>
      </w:r>
      <w:r w:rsidRPr="005F3FF6">
        <w:rPr>
          <w:rFonts w:ascii="Book Antiqua" w:eastAsia="Book Antiqua" w:hAnsi="Book Antiqua" w:cs="Book Antiqua"/>
          <w:color w:val="000000"/>
        </w:rPr>
        <w:t xml:space="preserve"> February 20, 2022</w:t>
      </w:r>
    </w:p>
    <w:p w14:paraId="0D95F1C6"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5F3FF6">
        <w:rPr>
          <w:rFonts w:ascii="Book Antiqua" w:eastAsia="Book Antiqua" w:hAnsi="Book Antiqua" w:cs="Book Antiqua"/>
          <w:color w:val="000000"/>
          <w:shd w:val="clear" w:color="auto" w:fill="FFFFFF"/>
        </w:rPr>
        <w:t>March 26, 2022</w:t>
      </w:r>
    </w:p>
    <w:p w14:paraId="4C68E8CF" w14:textId="77777777" w:rsidR="00BD474D" w:rsidRDefault="00BD474D">
      <w:pPr>
        <w:spacing w:line="360" w:lineRule="auto"/>
        <w:jc w:val="both"/>
        <w:rPr>
          <w:rFonts w:ascii="Book Antiqua" w:hAnsi="Book Antiqua"/>
        </w:rPr>
        <w:sectPr w:rsidR="00BD474D">
          <w:footerReference w:type="default" r:id="rId7"/>
          <w:pgSz w:w="12240" w:h="15840"/>
          <w:pgMar w:top="1440" w:right="1440" w:bottom="1440" w:left="1440" w:header="720" w:footer="720" w:gutter="0"/>
          <w:cols w:space="720"/>
          <w:docGrid w:linePitch="360"/>
        </w:sectPr>
      </w:pPr>
    </w:p>
    <w:p w14:paraId="6FB829A8"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72317C8"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BACKGROUND</w:t>
      </w:r>
    </w:p>
    <w:p w14:paraId="68540FF9"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Acute stent thrombosis (AST) is a serious complication of percutaneous coronary intervention (PCI). The causes of AST include the use of stents of inappropriate diameters, multiple overlapping stents, or excessively long stents; incomplete stent expansion; poor stent adhesion; incomplete coverage of dissection; formation of thrombosis or intramural hematomas; vascular injury secondary to intraoperative mechanical manipulation; insufficient dose administration of postoperative antiplatelet medications; and resistance to antiplatelet drugs. Cases of AST secondary to coronary artery spasms are rare, with only a few reports in the literature.</w:t>
      </w:r>
    </w:p>
    <w:p w14:paraId="7BF5A5C2" w14:textId="77777777" w:rsidR="00BD474D" w:rsidRDefault="00BD474D" w:rsidP="005F3FF6">
      <w:pPr>
        <w:spacing w:line="360" w:lineRule="auto"/>
        <w:jc w:val="both"/>
        <w:rPr>
          <w:rFonts w:ascii="Book Antiqua" w:hAnsi="Book Antiqua"/>
          <w:lang w:eastAsia="zh-CN"/>
        </w:rPr>
      </w:pPr>
    </w:p>
    <w:p w14:paraId="19E50FAC"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CASE SUMMARY</w:t>
      </w:r>
    </w:p>
    <w:p w14:paraId="0396E745"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 xml:space="preserve">A 55-year-old man was admitted to the hospital with a chief complaint of back pain for 2 d. He was diagnosed with coronary heart disease and acute myocardial infarction (AMI) based on electrocardiography results and creatinine kinase myocardial band, troponin I, and troponin T levels. A 2.5 mm × 33.0 mm drug-eluting stent was inserted into the occluded portion of the right coronary artery. Aspirin, clopidogrel, and atorvastatin were started. Six days later, the patient developed AST after taking a bath in the morning. Repeat coronary angiography showed occlusion of the proximal stent, and intravascular ultrasound showed severe coronary artery spasms. The patient’s AST was thought to be caused by coronary artery spasms and treated with percutaneous transluminal coronary angioplasty. Postoperatively, he was administered diltiazem to inhibit coronary artery spasms and prevent future episodes of AST. He survived and reported no discomfort at the 2-mo follow-up after the operation and initiation of drug treatment. </w:t>
      </w:r>
    </w:p>
    <w:p w14:paraId="4F32F4DE" w14:textId="77777777" w:rsidR="00BD474D" w:rsidRDefault="00BD474D" w:rsidP="005F3FF6">
      <w:pPr>
        <w:spacing w:line="360" w:lineRule="auto"/>
        <w:jc w:val="both"/>
        <w:rPr>
          <w:rFonts w:ascii="Book Antiqua" w:hAnsi="Book Antiqua"/>
          <w:lang w:eastAsia="zh-CN"/>
        </w:rPr>
      </w:pPr>
    </w:p>
    <w:p w14:paraId="70E8C854"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CONCLUSION</w:t>
      </w:r>
    </w:p>
    <w:p w14:paraId="2D5A3CFF"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lastRenderedPageBreak/>
        <w:t>Coronary spasms can cause both AMI and AST. For patients who exhibit coronary spasms during PCI, diltiazem administration could reduce spasms and prevent future AST.</w:t>
      </w:r>
    </w:p>
    <w:p w14:paraId="79E2CD7D" w14:textId="77777777" w:rsidR="00BD474D" w:rsidRDefault="00BD474D">
      <w:pPr>
        <w:spacing w:line="360" w:lineRule="auto"/>
        <w:jc w:val="both"/>
        <w:rPr>
          <w:rFonts w:ascii="Book Antiqua" w:hAnsi="Book Antiqua"/>
        </w:rPr>
      </w:pPr>
    </w:p>
    <w:p w14:paraId="0CF21FDC"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stent thrombosis; Coronary spasm; Kounis syndrome; Case report</w:t>
      </w:r>
    </w:p>
    <w:p w14:paraId="3FBD00AE" w14:textId="77777777" w:rsidR="00BD474D" w:rsidRDefault="00BD474D">
      <w:pPr>
        <w:spacing w:line="360" w:lineRule="auto"/>
        <w:jc w:val="both"/>
        <w:rPr>
          <w:rFonts w:ascii="Book Antiqua" w:hAnsi="Book Antiqua"/>
          <w:lang w:eastAsia="zh-CN"/>
        </w:rPr>
      </w:pPr>
    </w:p>
    <w:p w14:paraId="50CFF12C" w14:textId="77777777" w:rsidR="002C7BC7" w:rsidRDefault="002C7BC7" w:rsidP="002C7BC7">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5463F648" w14:textId="77777777" w:rsidR="005F3FF6" w:rsidRDefault="005F3FF6">
      <w:pPr>
        <w:spacing w:line="360" w:lineRule="auto"/>
        <w:jc w:val="both"/>
        <w:rPr>
          <w:rFonts w:ascii="Book Antiqua" w:hAnsi="Book Antiqua"/>
          <w:lang w:eastAsia="zh-CN"/>
        </w:rPr>
      </w:pPr>
    </w:p>
    <w:p w14:paraId="19EC0512" w14:textId="77777777" w:rsidR="005F3FF6" w:rsidRPr="00155F3B" w:rsidRDefault="004253EC">
      <w:pPr>
        <w:spacing w:line="360" w:lineRule="auto"/>
        <w:jc w:val="both"/>
        <w:rPr>
          <w:rFonts w:ascii="Book Antiqua" w:hAnsi="Book Antiqua" w:cs="Book Antiqua"/>
          <w:color w:val="000000"/>
          <w:lang w:eastAsia="zh-CN"/>
        </w:rPr>
      </w:pPr>
      <w:r w:rsidRPr="004253EC">
        <w:rPr>
          <w:rFonts w:ascii="Book Antiqua" w:eastAsia="Book Antiqua" w:hAnsi="Book Antiqua" w:cs="Book Antiqua"/>
          <w:b/>
          <w:color w:val="000000"/>
        </w:rPr>
        <w:t xml:space="preserve">Citation: </w:t>
      </w:r>
      <w:r w:rsidR="009B2ABB">
        <w:rPr>
          <w:rFonts w:ascii="Book Antiqua" w:eastAsia="Book Antiqua" w:hAnsi="Book Antiqua" w:cs="Book Antiqua"/>
          <w:color w:val="000000"/>
        </w:rPr>
        <w:t xml:space="preserve">Meng LP, Wang P, Peng F. Acute coronary artery stent thrombosis caused by a spasm: A case report. </w:t>
      </w:r>
      <w:r w:rsidR="009B2ABB">
        <w:rPr>
          <w:rFonts w:ascii="Book Antiqua" w:eastAsia="Book Antiqua" w:hAnsi="Book Antiqua" w:cs="Book Antiqua"/>
          <w:i/>
          <w:iCs/>
          <w:color w:val="000000"/>
        </w:rPr>
        <w:t>World J Clin Cases</w:t>
      </w:r>
      <w:r w:rsidR="009B2ABB">
        <w:rPr>
          <w:rFonts w:ascii="Book Antiqua" w:eastAsia="Book Antiqua" w:hAnsi="Book Antiqua" w:cs="Book Antiqua"/>
          <w:color w:val="000000"/>
        </w:rPr>
        <w:t xml:space="preserve"> 2022; </w:t>
      </w:r>
      <w:r w:rsidR="009B2ABB">
        <w:rPr>
          <w:rFonts w:ascii="Book Antiqua" w:eastAsia="Book Antiqua" w:hAnsi="Book Antiqua" w:cs="Book Antiqua" w:hint="eastAsia"/>
          <w:color w:val="000000"/>
        </w:rPr>
        <w:t xml:space="preserve">9(31): </w:t>
      </w:r>
      <w:r w:rsidR="00155F3B">
        <w:rPr>
          <w:rFonts w:ascii="Book Antiqua" w:hAnsi="Book Antiqua" w:cs="Book Antiqua" w:hint="eastAsia"/>
          <w:color w:val="000000"/>
          <w:lang w:eastAsia="zh-CN"/>
        </w:rPr>
        <w:t>292</w:t>
      </w:r>
      <w:r w:rsidR="009B1D66">
        <w:rPr>
          <w:rFonts w:ascii="Book Antiqua" w:hAnsi="Book Antiqua" w:cs="Book Antiqua" w:hint="eastAsia"/>
          <w:color w:val="000000"/>
          <w:lang w:eastAsia="zh-CN"/>
        </w:rPr>
        <w:t>3</w:t>
      </w:r>
      <w:r w:rsidR="009B2ABB">
        <w:rPr>
          <w:rFonts w:ascii="Book Antiqua" w:eastAsia="Book Antiqua" w:hAnsi="Book Antiqua" w:cs="Book Antiqua" w:hint="eastAsia"/>
          <w:color w:val="000000"/>
        </w:rPr>
        <w:t>-</w:t>
      </w:r>
      <w:r w:rsidR="00155F3B">
        <w:rPr>
          <w:rFonts w:ascii="Book Antiqua" w:hAnsi="Book Antiqua" w:cs="Book Antiqua" w:hint="eastAsia"/>
          <w:color w:val="000000"/>
          <w:lang w:eastAsia="zh-CN"/>
        </w:rPr>
        <w:t>29</w:t>
      </w:r>
      <w:r w:rsidR="009B1D66">
        <w:rPr>
          <w:rFonts w:ascii="Book Antiqua" w:hAnsi="Book Antiqua" w:cs="Book Antiqua" w:hint="eastAsia"/>
          <w:color w:val="000000"/>
          <w:lang w:eastAsia="zh-CN"/>
        </w:rPr>
        <w:t>30</w:t>
      </w:r>
    </w:p>
    <w:p w14:paraId="0E8B4002" w14:textId="77777777" w:rsidR="005F3FF6" w:rsidRDefault="009B2ABB">
      <w:pPr>
        <w:spacing w:line="360" w:lineRule="auto"/>
        <w:jc w:val="both"/>
        <w:rPr>
          <w:rFonts w:ascii="Book Antiqua" w:hAnsi="Book Antiqua" w:cs="Book Antiqua"/>
          <w:color w:val="000000"/>
          <w:lang w:eastAsia="zh-CN"/>
        </w:rPr>
      </w:pPr>
      <w:r w:rsidRPr="005F3FF6">
        <w:rPr>
          <w:rFonts w:ascii="Book Antiqua" w:eastAsia="Book Antiqua" w:hAnsi="Book Antiqua" w:cs="Book Antiqua" w:hint="eastAsia"/>
          <w:b/>
          <w:color w:val="000000"/>
        </w:rPr>
        <w:t xml:space="preserve">URL: </w:t>
      </w:r>
      <w:r w:rsidR="005F3FF6" w:rsidRPr="005F3FF6">
        <w:rPr>
          <w:rFonts w:ascii="Book Antiqua" w:eastAsia="Book Antiqua" w:hAnsi="Book Antiqua" w:cs="Book Antiqua" w:hint="eastAsia"/>
          <w:color w:val="000000"/>
        </w:rPr>
        <w:t>https://www.wjgnet.com/2307-8960/full/v</w:t>
      </w:r>
      <w:r w:rsidR="005F3FF6" w:rsidRPr="005F3FF6">
        <w:rPr>
          <w:rFonts w:ascii="Book Antiqua" w:eastAsia="宋体" w:hAnsi="Book Antiqua" w:cs="Book Antiqua" w:hint="eastAsia"/>
          <w:color w:val="000000"/>
          <w:lang w:eastAsia="zh-CN"/>
        </w:rPr>
        <w:t>10</w:t>
      </w:r>
      <w:r w:rsidR="005F3FF6" w:rsidRPr="005F3FF6">
        <w:rPr>
          <w:rFonts w:ascii="Book Antiqua" w:eastAsia="Book Antiqua" w:hAnsi="Book Antiqua" w:cs="Book Antiqua" w:hint="eastAsia"/>
          <w:color w:val="000000"/>
        </w:rPr>
        <w:t>/i</w:t>
      </w:r>
      <w:r w:rsidR="005F3FF6" w:rsidRPr="005F3FF6">
        <w:rPr>
          <w:rFonts w:ascii="Book Antiqua" w:eastAsia="宋体" w:hAnsi="Book Antiqua" w:cs="Book Antiqua" w:hint="eastAsia"/>
          <w:color w:val="000000"/>
          <w:lang w:eastAsia="zh-CN"/>
        </w:rPr>
        <w:t>9</w:t>
      </w:r>
      <w:r w:rsidR="005F3FF6" w:rsidRPr="005F3FF6">
        <w:rPr>
          <w:rFonts w:ascii="Book Antiqua" w:eastAsia="Book Antiqua" w:hAnsi="Book Antiqua" w:cs="Book Antiqua" w:hint="eastAsia"/>
          <w:color w:val="000000"/>
        </w:rPr>
        <w:t>/</w:t>
      </w:r>
      <w:r w:rsidR="00155F3B">
        <w:rPr>
          <w:rFonts w:ascii="Book Antiqua" w:hAnsi="Book Antiqua" w:cs="Book Antiqua" w:hint="eastAsia"/>
          <w:color w:val="000000"/>
          <w:lang w:eastAsia="zh-CN"/>
        </w:rPr>
        <w:t>292</w:t>
      </w:r>
      <w:r w:rsidR="009B1D66">
        <w:rPr>
          <w:rFonts w:ascii="Book Antiqua" w:hAnsi="Book Antiqua" w:cs="Book Antiqua" w:hint="eastAsia"/>
          <w:color w:val="000000"/>
          <w:lang w:eastAsia="zh-CN"/>
        </w:rPr>
        <w:t>3</w:t>
      </w:r>
      <w:r w:rsidR="005F3FF6" w:rsidRPr="005F3FF6">
        <w:rPr>
          <w:rFonts w:ascii="Book Antiqua" w:eastAsia="Book Antiqua" w:hAnsi="Book Antiqua" w:cs="Book Antiqua" w:hint="eastAsia"/>
          <w:color w:val="000000"/>
        </w:rPr>
        <w:t>.htm</w:t>
      </w:r>
    </w:p>
    <w:p w14:paraId="0F23569C" w14:textId="77777777" w:rsidR="00BD474D" w:rsidRPr="00155F3B" w:rsidRDefault="009B2ABB">
      <w:pPr>
        <w:spacing w:line="360" w:lineRule="auto"/>
        <w:jc w:val="both"/>
        <w:rPr>
          <w:rFonts w:ascii="Book Antiqua" w:hAnsi="Book Antiqua"/>
          <w:lang w:eastAsia="zh-CN"/>
        </w:rPr>
      </w:pPr>
      <w:r w:rsidRPr="005F3FF6">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w:t>
      </w:r>
      <w:r w:rsidR="00155F3B">
        <w:rPr>
          <w:rFonts w:ascii="Book Antiqua" w:hAnsi="Book Antiqua" w:cs="Book Antiqua" w:hint="eastAsia"/>
          <w:color w:val="000000"/>
          <w:lang w:eastAsia="zh-CN"/>
        </w:rPr>
        <w:t>292</w:t>
      </w:r>
      <w:r w:rsidR="009B1D66">
        <w:rPr>
          <w:rFonts w:ascii="Book Antiqua" w:hAnsi="Book Antiqua" w:cs="Book Antiqua" w:hint="eastAsia"/>
          <w:color w:val="000000"/>
          <w:lang w:eastAsia="zh-CN"/>
        </w:rPr>
        <w:t>3</w:t>
      </w:r>
    </w:p>
    <w:p w14:paraId="59BE55E5" w14:textId="77777777" w:rsidR="00BD474D" w:rsidRDefault="00BD474D">
      <w:pPr>
        <w:spacing w:line="360" w:lineRule="auto"/>
        <w:jc w:val="both"/>
        <w:rPr>
          <w:rFonts w:ascii="Book Antiqua" w:hAnsi="Book Antiqua"/>
        </w:rPr>
      </w:pPr>
    </w:p>
    <w:p w14:paraId="75F20702"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Acute stent thrombosis (AST) is a serious complication of percutaneous coronary intervention (PCI). The causes of AST include the use of stents of inappropriate diameters, multiple overlapping stents, or excessively long stents; incomplete stent expansion; poor stent adhesion; incomplete coverage of dissection; formation of thrombosis or intramural hematomas; vascular injury secondary to intraoperative mechanical manipulation; insufficient dose administration of postoperative antiplatelet medications; and resistance to antiplatelet drugs. Cases of AST secondary to coronary artery spasms are rare. We report a case of AST in a 52-year-old man possibly caused by a coronary artery spasm. Coronary spasms can cause both AMI and AST. For patients with coronary spasms during PCI, diltiazem administration could reduce spasms and prevent future AST.</w:t>
      </w:r>
    </w:p>
    <w:p w14:paraId="6103C93E" w14:textId="77777777" w:rsidR="005F3FF6" w:rsidRDefault="005F3FF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94C308E"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2AEF9A0B"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Acute stent thrombosis (AST) is a serious complication of percutaneous coronary intervention (PCI). When bare metal stents were often used, the incidence rate of AST was approximately 1.2%</w:t>
      </w:r>
      <w:r>
        <w:rPr>
          <w:rFonts w:ascii="Book Antiqua" w:eastAsia="Book Antiqua" w:hAnsi="Book Antiqua" w:cs="Book Antiqua"/>
          <w:color w:val="000000"/>
          <w:vertAlign w:val="superscript"/>
        </w:rPr>
        <w:t>[1]</w:t>
      </w:r>
      <w:r>
        <w:rPr>
          <w:rFonts w:ascii="Book Antiqua" w:eastAsia="Book Antiqua" w:hAnsi="Book Antiqua" w:cs="Book Antiqua"/>
          <w:color w:val="000000"/>
        </w:rPr>
        <w:t>. However, in recent years, because of the widespread use of drug-eluting stents and continuous advancements in the treatment of complex lesions, the incidence rate of AST has been increasing</w:t>
      </w:r>
      <w:r>
        <w:rPr>
          <w:rFonts w:ascii="Book Antiqua" w:eastAsia="Book Antiqua" w:hAnsi="Book Antiqua" w:cs="Book Antiqua"/>
          <w:color w:val="000000"/>
          <w:vertAlign w:val="superscript"/>
        </w:rPr>
        <w:t>[2]</w:t>
      </w:r>
      <w:r>
        <w:rPr>
          <w:rFonts w:ascii="Book Antiqua" w:eastAsia="Book Antiqua" w:hAnsi="Book Antiqua" w:cs="Book Antiqua"/>
          <w:color w:val="000000"/>
        </w:rPr>
        <w:t>. Currently, the known causes of AST include the use of stents of inappropriate diameters, multiple overlapping stents, or excessively long stents; incomplete coverage of dissection; incomplete stent expansion; poor stent adhesion; formation of thrombosis or intramural hematomas; vascular injury secondary to intraoperative mechanical manipulation; insufficient dose administration of postoperative antiplatelet medications; and resistance to antiplatelet drugs</w:t>
      </w:r>
      <w:r>
        <w:rPr>
          <w:rFonts w:ascii="Book Antiqua" w:eastAsia="Book Antiqua" w:hAnsi="Book Antiqua" w:cs="Book Antiqua"/>
          <w:color w:val="000000"/>
          <w:vertAlign w:val="superscript"/>
        </w:rPr>
        <w:t>[3,4]</w:t>
      </w:r>
      <w:r>
        <w:rPr>
          <w:rFonts w:ascii="Book Antiqua" w:eastAsia="Book Antiqua" w:hAnsi="Book Antiqua" w:cs="Book Antiqua"/>
          <w:color w:val="000000"/>
        </w:rPr>
        <w:t>. However, the occurrence of AST secondary to coronary artery spasms is rare, with only a few cases reported in the literature</w:t>
      </w:r>
      <w:r>
        <w:rPr>
          <w:rFonts w:ascii="Book Antiqua" w:eastAsia="Book Antiqua" w:hAnsi="Book Antiqua" w:cs="Book Antiqua"/>
          <w:color w:val="000000"/>
          <w:vertAlign w:val="superscript"/>
        </w:rPr>
        <w:t>[5]</w:t>
      </w:r>
      <w:r>
        <w:rPr>
          <w:rFonts w:ascii="Book Antiqua" w:eastAsia="Book Antiqua" w:hAnsi="Book Antiqua" w:cs="Book Antiqua"/>
          <w:color w:val="000000"/>
        </w:rPr>
        <w:t>. Here, we report a case of AST possibly caused by a coronary artery spasm.</w:t>
      </w:r>
    </w:p>
    <w:p w14:paraId="44F56566" w14:textId="77777777" w:rsidR="00BD474D" w:rsidRDefault="00BD474D" w:rsidP="005F3FF6">
      <w:pPr>
        <w:spacing w:line="360" w:lineRule="auto"/>
        <w:jc w:val="both"/>
        <w:rPr>
          <w:rFonts w:ascii="Book Antiqua" w:hAnsi="Book Antiqua"/>
          <w:lang w:eastAsia="zh-CN"/>
        </w:rPr>
      </w:pPr>
    </w:p>
    <w:p w14:paraId="153FC5E3"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A97420C"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Chief complaints</w:t>
      </w:r>
    </w:p>
    <w:p w14:paraId="27CDA31F"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A 55-year-old man was admitted to the hospital with a chief complaint of back pain for 2 d.</w:t>
      </w:r>
    </w:p>
    <w:p w14:paraId="16F7B129" w14:textId="77777777" w:rsidR="00BD474D" w:rsidRDefault="00BD474D">
      <w:pPr>
        <w:spacing w:line="360" w:lineRule="auto"/>
        <w:jc w:val="both"/>
        <w:rPr>
          <w:rFonts w:ascii="Book Antiqua" w:hAnsi="Book Antiqua"/>
        </w:rPr>
      </w:pPr>
    </w:p>
    <w:p w14:paraId="37541DA7"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1026C81"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Two days before admission, the patient developed non-radiating back pain, nausea, discomfort, fatigue, and an impending sense of doom. He reported no shortness of breath or vomiting. His symptoms lasted for 6-7 h and improved afterwards. He did not seek medical consultation until the day of admission.</w:t>
      </w:r>
    </w:p>
    <w:p w14:paraId="45096CBA" w14:textId="77777777" w:rsidR="00BD474D" w:rsidRDefault="00BD474D" w:rsidP="005F3FF6">
      <w:pPr>
        <w:spacing w:line="360" w:lineRule="auto"/>
        <w:jc w:val="both"/>
        <w:rPr>
          <w:rFonts w:ascii="Book Antiqua" w:hAnsi="Book Antiqua"/>
          <w:lang w:eastAsia="zh-CN"/>
        </w:rPr>
      </w:pPr>
    </w:p>
    <w:p w14:paraId="159CE993"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FB9634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The patient had hypertension for 3 years and was on irbesartan 80 mg qd.</w:t>
      </w:r>
    </w:p>
    <w:p w14:paraId="46216697" w14:textId="77777777" w:rsidR="00BD474D" w:rsidRDefault="00BD474D">
      <w:pPr>
        <w:spacing w:line="360" w:lineRule="auto"/>
        <w:jc w:val="both"/>
        <w:rPr>
          <w:rFonts w:ascii="Book Antiqua" w:hAnsi="Book Antiqua"/>
        </w:rPr>
      </w:pPr>
    </w:p>
    <w:p w14:paraId="0A698E9E"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lastRenderedPageBreak/>
        <w:t>Personal and family history</w:t>
      </w:r>
    </w:p>
    <w:p w14:paraId="0E90FC1F"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The patient reported no history of smoking, diabetes, or malignancy.</w:t>
      </w:r>
    </w:p>
    <w:p w14:paraId="6B24F7FE" w14:textId="77777777" w:rsidR="00BD474D" w:rsidRDefault="00BD474D">
      <w:pPr>
        <w:spacing w:line="360" w:lineRule="auto"/>
        <w:jc w:val="both"/>
        <w:rPr>
          <w:rFonts w:ascii="Book Antiqua" w:hAnsi="Book Antiqua"/>
        </w:rPr>
      </w:pPr>
    </w:p>
    <w:p w14:paraId="044AB719"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Physical examination</w:t>
      </w:r>
    </w:p>
    <w:p w14:paraId="415EFC3E"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Physical examination revealed no abnormalities.</w:t>
      </w:r>
    </w:p>
    <w:p w14:paraId="73FFBF45" w14:textId="77777777" w:rsidR="00BD474D" w:rsidRDefault="00BD474D">
      <w:pPr>
        <w:spacing w:line="360" w:lineRule="auto"/>
        <w:jc w:val="both"/>
        <w:rPr>
          <w:rFonts w:ascii="Book Antiqua" w:hAnsi="Book Antiqua"/>
        </w:rPr>
      </w:pPr>
    </w:p>
    <w:p w14:paraId="3559B7B9"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DE9FF36"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 xml:space="preserve">At the hospital, the electrocardiogram showed a sinus rhythm; possible inferior myocardial infarction in leads II, III, and aVF; and mild ST-segment depression. The patient was administered with ticagrelor 180 mg, aspirin 300 mg, and atorvastatin 20 mg before emergency department transfer. The repeat electrocardiogram showed an abnormal sinus rhythm; Q wave; and II, III, aVF T-wave changes (Figure 1). Blood examination revealed a troponin level of 23.85 ng/mL and a creatine kinase myocardial band isoenzyme level of 90.2 U/L. The patient was admitted to the critical care unit for acute inferior myocardial infarction. </w:t>
      </w:r>
    </w:p>
    <w:p w14:paraId="24F08DA4" w14:textId="77777777" w:rsidR="00BD474D" w:rsidRDefault="00BD474D">
      <w:pPr>
        <w:spacing w:line="360" w:lineRule="auto"/>
        <w:jc w:val="both"/>
        <w:rPr>
          <w:rFonts w:ascii="Book Antiqua" w:hAnsi="Book Antiqua"/>
        </w:rPr>
      </w:pPr>
    </w:p>
    <w:p w14:paraId="3B7689F2" w14:textId="77777777" w:rsidR="00BD474D" w:rsidRDefault="009B2ABB">
      <w:pPr>
        <w:spacing w:line="360" w:lineRule="auto"/>
        <w:jc w:val="both"/>
        <w:rPr>
          <w:rFonts w:ascii="Book Antiqua" w:hAnsi="Book Antiqua"/>
        </w:rPr>
      </w:pPr>
      <w:r>
        <w:rPr>
          <w:rFonts w:ascii="Book Antiqua" w:eastAsia="Book Antiqua" w:hAnsi="Book Antiqua" w:cs="Book Antiqua"/>
          <w:b/>
          <w:i/>
          <w:color w:val="000000"/>
        </w:rPr>
        <w:t>Imaging examinations</w:t>
      </w:r>
    </w:p>
    <w:p w14:paraId="4D96D9B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Six days later, the patient’s troponin levels returned to normal. Coronary angiography showed no left main coronary or left circumflex artery stenosis, 60% stenosis in the proximal left anterior descending artery, 60%-70% stenosis in the proximal right coronary artery (RCA), and complete occlusion of the middle parts of the RCA (Figure 2A).</w:t>
      </w:r>
    </w:p>
    <w:p w14:paraId="2F2A076F" w14:textId="77777777" w:rsidR="00BD474D" w:rsidRDefault="009B2ABB">
      <w:pPr>
        <w:spacing w:line="360" w:lineRule="auto"/>
        <w:ind w:firstLine="440"/>
        <w:jc w:val="both"/>
        <w:rPr>
          <w:rFonts w:ascii="Book Antiqua" w:hAnsi="Book Antiqua"/>
        </w:rPr>
      </w:pPr>
      <w:r>
        <w:rPr>
          <w:rFonts w:ascii="Book Antiqua" w:eastAsia="Book Antiqua" w:hAnsi="Book Antiqua" w:cs="Book Antiqua"/>
          <w:color w:val="000000"/>
        </w:rPr>
        <w:t>Balloon angioplasty was performed with a 2.0 mm × 15.0 mm balloon in the middle part of the RCA. Repeat angiography showed 90% stenosis in both the middle and distal parts of the RCA (Figure 2B). Distal RCA stenosis resolved after injecting 2 mL of nitroglycerin (Figure 2C). A 2.5 mm × 33.0 mm drug-eluting stent was then inserted into the middle part of the RCA. A Thrombolysis in Myocardial Infarction (TIMI) flow grade of 3 was documented postoperatively (Figure 2D).</w:t>
      </w:r>
    </w:p>
    <w:p w14:paraId="7A6C06A3" w14:textId="77777777" w:rsidR="00BD474D" w:rsidRDefault="00BD474D" w:rsidP="005F3FF6">
      <w:pPr>
        <w:spacing w:line="360" w:lineRule="auto"/>
        <w:jc w:val="both"/>
        <w:rPr>
          <w:rFonts w:ascii="Book Antiqua" w:hAnsi="Book Antiqua"/>
          <w:lang w:eastAsia="zh-CN"/>
        </w:rPr>
      </w:pPr>
    </w:p>
    <w:p w14:paraId="1D4788D6"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lastRenderedPageBreak/>
        <w:t>FINAL DIAGNOSIS</w:t>
      </w:r>
    </w:p>
    <w:p w14:paraId="5C5949B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 xml:space="preserve">Final diagnoses of coronary heart disease, acute myocardial infarction (AMI), and AST were made. </w:t>
      </w:r>
    </w:p>
    <w:p w14:paraId="686CDDDF" w14:textId="77777777" w:rsidR="00BD474D" w:rsidRDefault="00BD474D">
      <w:pPr>
        <w:spacing w:line="360" w:lineRule="auto"/>
        <w:jc w:val="both"/>
        <w:rPr>
          <w:rFonts w:ascii="Book Antiqua" w:hAnsi="Book Antiqua"/>
        </w:rPr>
      </w:pPr>
    </w:p>
    <w:p w14:paraId="3388944C"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9ADEABF"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The patient was started on aspirin, clopidogrel, and atorvastatin. He recovered well from the operation and was scheduled to leave the hospital on June 15, 2020. However, on the day of the supposed discharge, he suddenly developed pain and discomfort in his back lasting over 10 min. The electrocardiogram showed a sinus rhythm with abnormal Q waves and ST elevations of 0.05-0.10 mv in leads II, III, and aVF (Figure 3). His symptoms improved slightly after sublingual nitroglycerin administration. AST was suspected, and he was transferred to the digital subtraction tomography room. Coronary angiography showed occlusion in the proximal stent (Figure 4A, Video 1). After performing percutaneous transluminal coronary angioplasty using a 2.5 mm × 20.0 mm balloon, the distal end of the RCA showed 90% stenosis. After expanding the stent sequentially from the distal to proximal segments using 15 atm pressure, RCA showed 90% stenosis (Figure 4B). The balloon was withdrawn, and intracoronary nitroglycerin was administered. Repeat angiography then revealed a patent distal right coronary artery with TIMI flow grade 3 (Figure 4C). An intravascular ultrasound catheter inserted in the distal end of the right coronary artery showed no obvious plaque (Figure 5A) and good adherence of the stent (Figure 5B). Postoperatively, the etiology of AST was suspected to be coronary artery spasms. Diltiazem administration was started to reduce coronary artery spasms. Postoperatively, back discomfort disappeared, and ST segments in leads II, III, and aVF dropped.</w:t>
      </w:r>
    </w:p>
    <w:p w14:paraId="401371A3" w14:textId="77777777" w:rsidR="00BD474D" w:rsidRDefault="00BD474D">
      <w:pPr>
        <w:spacing w:line="360" w:lineRule="auto"/>
        <w:jc w:val="both"/>
        <w:rPr>
          <w:rFonts w:ascii="Book Antiqua" w:hAnsi="Book Antiqua"/>
        </w:rPr>
      </w:pPr>
    </w:p>
    <w:p w14:paraId="44FB424C"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62B2D68"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 xml:space="preserve">On hospitalization day 4, the patient reported no discomfort. He was discharged and started on antiplatelet therapy with aspirin and clopidogrel, diltiazem to reduce </w:t>
      </w:r>
      <w:r>
        <w:rPr>
          <w:rFonts w:ascii="Book Antiqua" w:eastAsia="Book Antiqua" w:hAnsi="Book Antiqua" w:cs="Book Antiqua"/>
          <w:color w:val="000000"/>
        </w:rPr>
        <w:lastRenderedPageBreak/>
        <w:t>coronary spasms, and atorvastatin to stabilize atherosclerotic plaques. He reported no discomfort at the 2-mo follow-up.</w:t>
      </w:r>
    </w:p>
    <w:p w14:paraId="7179D9C7" w14:textId="77777777" w:rsidR="00BD474D" w:rsidRDefault="00BD474D">
      <w:pPr>
        <w:spacing w:line="360" w:lineRule="auto"/>
        <w:jc w:val="both"/>
        <w:rPr>
          <w:rFonts w:ascii="Book Antiqua" w:hAnsi="Book Antiqua"/>
        </w:rPr>
      </w:pPr>
    </w:p>
    <w:p w14:paraId="6AA48FD1"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62E2DC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AST is a serious complication of PCI. A recent meta-analysis of 30 clinical studies involving a total 221066 patients showed that the incidences of confirmed, highly probable, and possible AST were 0.4%, 0.2%, and 0.6%, respectively</w:t>
      </w:r>
      <w:r>
        <w:rPr>
          <w:rFonts w:ascii="Book Antiqua" w:eastAsia="Book Antiqua" w:hAnsi="Book Antiqua" w:cs="Book Antiqua"/>
          <w:color w:val="000000"/>
          <w:vertAlign w:val="superscript"/>
        </w:rPr>
        <w:t>[6]</w:t>
      </w:r>
      <w:r>
        <w:rPr>
          <w:rFonts w:ascii="Book Antiqua" w:eastAsia="Book Antiqua" w:hAnsi="Book Antiqua" w:cs="Book Antiqua"/>
          <w:color w:val="000000"/>
        </w:rPr>
        <w:t>. Despite the low incidence, AST leads to acute coronary syndrome and has a mortality rate of 20%-40%</w:t>
      </w:r>
      <w:r>
        <w:rPr>
          <w:rFonts w:ascii="Book Antiqua" w:eastAsia="Book Antiqua" w:hAnsi="Book Antiqua" w:cs="Book Antiqua"/>
          <w:color w:val="000000"/>
          <w:vertAlign w:val="superscript"/>
        </w:rPr>
        <w:t>[7]</w:t>
      </w:r>
      <w:r>
        <w:rPr>
          <w:rFonts w:ascii="Book Antiqua" w:eastAsia="Book Antiqua" w:hAnsi="Book Antiqua" w:cs="Book Antiqua"/>
          <w:color w:val="000000"/>
        </w:rPr>
        <w:t>. Understanding the risk factors for AST and pathophysiology of its occurrence and development may provide insights to aid the development of preventive and active treatments.</w:t>
      </w:r>
    </w:p>
    <w:p w14:paraId="749DFD02" w14:textId="77777777" w:rsidR="00BD474D" w:rsidRDefault="009B2ABB">
      <w:pPr>
        <w:spacing w:line="360" w:lineRule="auto"/>
        <w:ind w:firstLine="440"/>
        <w:jc w:val="both"/>
        <w:rPr>
          <w:rFonts w:ascii="Book Antiqua" w:eastAsia="Book Antiqua" w:hAnsi="Book Antiqua" w:cs="Book Antiqua"/>
          <w:color w:val="000000"/>
        </w:rPr>
      </w:pPr>
      <w:r>
        <w:rPr>
          <w:rFonts w:ascii="Book Antiqua" w:eastAsia="Book Antiqua" w:hAnsi="Book Antiqua" w:cs="Book Antiqua"/>
          <w:color w:val="000000"/>
        </w:rPr>
        <w:t xml:space="preserve">Iakovou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showed that decreased left ventricular ejection fraction is associated with the occurrence of AST. The ACUITY trial showed that insulin-treated diabetes and ST-segment elevations ≥ 0.1 mv are independent risk factors for AST within 1 year after PCI</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Kuchulakanti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showed that diabetes and acute and chronic renal failure are risk factors for AST in patients with drug-coated stent implants. A study on platelet hyperresponsiveness to adenosine diphosphate involving over 10000 patients proposed platelet hyperresponsiveness as a major risk factor for AST after PCI</w:t>
      </w:r>
      <w:r>
        <w:rPr>
          <w:rFonts w:ascii="Book Antiqua" w:eastAsia="Book Antiqua" w:hAnsi="Book Antiqua" w:cs="Book Antiqua"/>
          <w:color w:val="000000"/>
          <w:vertAlign w:val="superscript"/>
        </w:rPr>
        <w:t>[10]</w:t>
      </w:r>
      <w:r>
        <w:rPr>
          <w:rFonts w:ascii="Book Antiqua" w:eastAsia="Book Antiqua" w:hAnsi="Book Antiqua" w:cs="Book Antiqua"/>
          <w:color w:val="000000"/>
        </w:rPr>
        <w:t>. Insufficient use or premature discontinuation of antiplatelet drugs and clopidogrel resistance are also major causes of thrombosis after PCI. In recent years, cases of AST secondary to heparin-induced thrombocytopenia have been reported frequently</w:t>
      </w:r>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w:t>
      </w:r>
    </w:p>
    <w:p w14:paraId="6C0022E5" w14:textId="77777777" w:rsidR="00BD474D" w:rsidRDefault="009B2ABB">
      <w:pPr>
        <w:spacing w:line="360" w:lineRule="auto"/>
        <w:ind w:firstLine="440"/>
        <w:jc w:val="both"/>
        <w:rPr>
          <w:rFonts w:ascii="Book Antiqua" w:hAnsi="Book Antiqua"/>
        </w:rPr>
      </w:pPr>
      <w:r>
        <w:rPr>
          <w:rFonts w:ascii="Book Antiqua" w:eastAsia="Book Antiqua" w:hAnsi="Book Antiqua" w:cs="Book Antiqua"/>
          <w:color w:val="000000"/>
        </w:rPr>
        <w:t xml:space="preserve">Clinical risk factors for AST include current or past acute coronary syndrome, diabetes, and smoking. Coronary artery disease-related risk factors for AST include restenosis, bridging vessel disease, opening, coronary artery bifurcation, chronic occlusive arterial disease, and small vessel disease. Intraoperative technical risk factors for AST include the use of stents of inappropriate diameters, multiple overlapping stents, or excessively long stents; incomplete coverage of dissection; incomplete stent expansion; poor stent adherence; formation of thrombosis or intramural hematomas, and vascular damage secondary to mechanical manipulation. Drug-related risk factors </w:t>
      </w:r>
      <w:r>
        <w:rPr>
          <w:rFonts w:ascii="Book Antiqua" w:eastAsia="Book Antiqua" w:hAnsi="Book Antiqua" w:cs="Book Antiqua"/>
          <w:color w:val="000000"/>
        </w:rPr>
        <w:lastRenderedPageBreak/>
        <w:t>for AST include poor response to aspirin or clopidogrel and premature discontinuation of antiplatelet drugs.</w:t>
      </w:r>
    </w:p>
    <w:p w14:paraId="5C479E0E" w14:textId="77777777" w:rsidR="00BD474D" w:rsidRDefault="009B2ABB">
      <w:pPr>
        <w:spacing w:line="360" w:lineRule="auto"/>
        <w:ind w:firstLine="440"/>
        <w:jc w:val="both"/>
        <w:rPr>
          <w:rFonts w:ascii="Book Antiqua" w:hAnsi="Book Antiqua"/>
        </w:rPr>
      </w:pPr>
      <w:r>
        <w:rPr>
          <w:rFonts w:ascii="Book Antiqua" w:eastAsia="Book Antiqua" w:hAnsi="Book Antiqua" w:cs="Book Antiqua"/>
          <w:color w:val="000000"/>
        </w:rPr>
        <w:t>Coronary artery spasms can lead to acute coronary syndrome and myocardial infarction</w:t>
      </w:r>
      <w:r>
        <w:rPr>
          <w:rFonts w:ascii="Book Antiqua" w:eastAsia="Book Antiqua" w:hAnsi="Book Antiqua" w:cs="Book Antiqua"/>
          <w:color w:val="000000"/>
          <w:vertAlign w:val="superscript"/>
        </w:rPr>
        <w:t>[13,14]</w:t>
      </w:r>
      <w:r>
        <w:rPr>
          <w:rFonts w:ascii="Book Antiqua" w:eastAsia="Book Antiqua" w:hAnsi="Book Antiqua" w:cs="Book Antiqua"/>
          <w:color w:val="000000"/>
        </w:rPr>
        <w:t>; however, the occurrence of AST secondary to coronary spasms is rare and often only reported in the context of Kounis syndrome</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Kounis syndrome refers to the occurrence of acute coronary syndrome secondary to an allergic reaction. Exposure to allergens induces derangements in the neuroendocrine system and mast cell degranulation. This releases abundant inflammatory transmitters, which lead to coronary artery spasms or atherosclerotic plaque rupture. These events ultimately lead to stent thrombosis and AMI. Greif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 AST caused by a wasp bite after PCI. Tzanis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a case of early stent thrombosis secondary to an allergic reaction caused by rice intake. In our case, spasms were observed at the distal end of the coronary artery during PCI and resolved with nitroglycerin administration. At first, the spasms were not adequately appreciable and simply thought to be an effect of the surgical procedure, eluding the possibility of myocardial infarction resulting from a coronary artery spasm. During the second operation, the distal end of the stent showed severe stenosis after passing the balloon; however, the stenosis disappeared after intracoronary nitroglycerin administration, and subsequent intravascular ultrasound confirmed coronary artery spasms as the cause. The cold bath before the occurrence of AST was the patient’s first bath after 12 d of bed rest. It acted as an acute stimulus to the body and possibly caused neuroendocrine derangements that ultimately led to coronary artery spasms at the distal end of the stent. After adjusting the patient’s medications, subsequent follow-up consultations documented no cardiac events for 2 mo; this indicated the effectiveness of the medications used after PTCA and a good patient prognosis. However, for our patient, it is still difficult to ascertain the distal coronary spasm as the sole cause of AST.</w:t>
      </w:r>
    </w:p>
    <w:p w14:paraId="42876A75" w14:textId="77777777" w:rsidR="00BD474D" w:rsidRDefault="00BD474D">
      <w:pPr>
        <w:spacing w:line="360" w:lineRule="auto"/>
        <w:jc w:val="both"/>
        <w:rPr>
          <w:rFonts w:ascii="Book Antiqua" w:hAnsi="Book Antiqua"/>
        </w:rPr>
      </w:pPr>
    </w:p>
    <w:p w14:paraId="600BEF81" w14:textId="77777777" w:rsidR="00BD474D" w:rsidRDefault="009B2AB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4F0225F"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lastRenderedPageBreak/>
        <w:t>Coronary artery spasms can cause both AMI and AST. For patients who exhibit coronary spasms during PCI, diltiazem administration is advised to reduce these spasms and prevent AST.</w:t>
      </w:r>
    </w:p>
    <w:p w14:paraId="4B636FAD" w14:textId="77777777" w:rsidR="00BD474D" w:rsidRDefault="00BD474D">
      <w:pPr>
        <w:spacing w:line="360" w:lineRule="auto"/>
        <w:jc w:val="both"/>
        <w:rPr>
          <w:rFonts w:ascii="Book Antiqua" w:hAnsi="Book Antiqua"/>
        </w:rPr>
      </w:pPr>
    </w:p>
    <w:p w14:paraId="40C01F88"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REFERENCES</w:t>
      </w:r>
    </w:p>
    <w:p w14:paraId="25867C86" w14:textId="77777777" w:rsidR="00BD474D" w:rsidRDefault="009B2ABB">
      <w:pPr>
        <w:spacing w:line="360" w:lineRule="auto"/>
        <w:jc w:val="both"/>
        <w:rPr>
          <w:rFonts w:ascii="Book Antiqua" w:hAnsi="Book Antiqua"/>
        </w:rPr>
      </w:pPr>
      <w:r>
        <w:rPr>
          <w:rFonts w:ascii="Book Antiqua" w:hAnsi="Book Antiqua"/>
        </w:rPr>
        <w:t xml:space="preserve">1 </w:t>
      </w:r>
      <w:r>
        <w:rPr>
          <w:rFonts w:ascii="Book Antiqua" w:hAnsi="Book Antiqua"/>
          <w:b/>
          <w:bCs/>
        </w:rPr>
        <w:t>Verhaegen C</w:t>
      </w:r>
      <w:r>
        <w:rPr>
          <w:rFonts w:ascii="Book Antiqua" w:hAnsi="Book Antiqua"/>
        </w:rPr>
        <w:t xml:space="preserve">, Kautbally S, Zapareto DC, Brusa D, Courtoy G, Aydin S, Bouzin C, Oury C, Bertrand L, Jacques PJ, Beauloye C, Horman S, Kefer J. Early thrombogenicity of coronary stents: comparison of bioresorbable polymer sirolimus-eluting and bare metal stents in an aortic rat model. </w:t>
      </w:r>
      <w:r>
        <w:rPr>
          <w:rFonts w:ascii="Book Antiqua" w:hAnsi="Book Antiqua"/>
          <w:i/>
          <w:iCs/>
        </w:rPr>
        <w:t>Am J Cardiovasc Dis</w:t>
      </w:r>
      <w:r>
        <w:rPr>
          <w:rFonts w:ascii="Book Antiqua" w:hAnsi="Book Antiqua"/>
        </w:rPr>
        <w:t xml:space="preserve"> 2020; </w:t>
      </w:r>
      <w:r>
        <w:rPr>
          <w:rFonts w:ascii="Book Antiqua" w:hAnsi="Book Antiqua"/>
          <w:b/>
          <w:bCs/>
        </w:rPr>
        <w:t>10</w:t>
      </w:r>
      <w:r>
        <w:rPr>
          <w:rFonts w:ascii="Book Antiqua" w:hAnsi="Book Antiqua"/>
        </w:rPr>
        <w:t>: 72-83 [PMID: 32685265]</w:t>
      </w:r>
    </w:p>
    <w:p w14:paraId="3363EB89" w14:textId="77777777" w:rsidR="00BD474D" w:rsidRDefault="009B2ABB">
      <w:pPr>
        <w:spacing w:line="360" w:lineRule="auto"/>
        <w:jc w:val="both"/>
        <w:rPr>
          <w:rFonts w:ascii="Book Antiqua" w:hAnsi="Book Antiqua"/>
        </w:rPr>
      </w:pPr>
      <w:r>
        <w:rPr>
          <w:rFonts w:ascii="Book Antiqua" w:hAnsi="Book Antiqua"/>
        </w:rPr>
        <w:t xml:space="preserve">2 </w:t>
      </w:r>
      <w:r>
        <w:rPr>
          <w:rFonts w:ascii="Book Antiqua" w:hAnsi="Book Antiqua"/>
          <w:b/>
          <w:bCs/>
        </w:rPr>
        <w:t>Lupi A</w:t>
      </w:r>
      <w:r>
        <w:rPr>
          <w:rFonts w:ascii="Book Antiqua" w:hAnsi="Book Antiqua"/>
        </w:rPr>
        <w:t xml:space="preserve">, Ugo F, De Martino L, Infantino V, Iannaccone M, Iorio S, Di Leo A, Colangelo S, Zanera M, Schaffer A, Persampieri S, Garbo R, Senatore G. Real-World Experience With a Tapered Biodegradable Polymer-Coated Sirolimus-Eluting Stent in Patients With Long Coronary Artery Stenoses. </w:t>
      </w:r>
      <w:r>
        <w:rPr>
          <w:rFonts w:ascii="Book Antiqua" w:hAnsi="Book Antiqua"/>
          <w:i/>
          <w:iCs/>
        </w:rPr>
        <w:t>Cardiol Res</w:t>
      </w:r>
      <w:r>
        <w:rPr>
          <w:rFonts w:ascii="Book Antiqua" w:hAnsi="Book Antiqua"/>
        </w:rPr>
        <w:t xml:space="preserve"> 2020; </w:t>
      </w:r>
      <w:r>
        <w:rPr>
          <w:rFonts w:ascii="Book Antiqua" w:hAnsi="Book Antiqua"/>
          <w:b/>
          <w:bCs/>
        </w:rPr>
        <w:t>11</w:t>
      </w:r>
      <w:r>
        <w:rPr>
          <w:rFonts w:ascii="Book Antiqua" w:hAnsi="Book Antiqua"/>
        </w:rPr>
        <w:t>: 219-225 [PMID: 32595806 DOI: 10.14740/cr1055]</w:t>
      </w:r>
    </w:p>
    <w:p w14:paraId="1B4FABDB" w14:textId="77777777" w:rsidR="00BD474D" w:rsidRDefault="009B2ABB">
      <w:pPr>
        <w:spacing w:line="360" w:lineRule="auto"/>
        <w:jc w:val="both"/>
        <w:rPr>
          <w:rFonts w:ascii="Book Antiqua" w:hAnsi="Book Antiqua"/>
        </w:rPr>
      </w:pPr>
      <w:r>
        <w:rPr>
          <w:rFonts w:ascii="Book Antiqua" w:hAnsi="Book Antiqua"/>
        </w:rPr>
        <w:t xml:space="preserve">3 </w:t>
      </w:r>
      <w:r>
        <w:rPr>
          <w:rFonts w:ascii="Book Antiqua" w:hAnsi="Book Antiqua"/>
          <w:b/>
          <w:bCs/>
        </w:rPr>
        <w:t>Natsuaki M</w:t>
      </w:r>
      <w:r>
        <w:rPr>
          <w:rFonts w:ascii="Book Antiqua" w:hAnsi="Book Antiqua"/>
        </w:rPr>
        <w:t xml:space="preserve">, Morimoto T, Watanabe H, Abe M, Kawai K, Nakao K, Ando K, Tanabe K, Ikari Y, Igarashi Hanaoka K, Morino Y, Kozuma K, Kadota K, Kimura T; STOPDAPT-1 and STOPDAPT-2 Trial Investigators. Clopidogrel Monotherapy vs. Aspirin Monotherapy Following Short-Term Dual Antiplatelet Therapy in Patients Receiving Everolimus-Eluting Coronary Stent Implantation. </w:t>
      </w:r>
      <w:r>
        <w:rPr>
          <w:rFonts w:ascii="Book Antiqua" w:hAnsi="Book Antiqua"/>
          <w:i/>
          <w:iCs/>
        </w:rPr>
        <w:t>Circ J</w:t>
      </w:r>
      <w:r>
        <w:rPr>
          <w:rFonts w:ascii="Book Antiqua" w:hAnsi="Book Antiqua"/>
        </w:rPr>
        <w:t xml:space="preserve"> 2020; </w:t>
      </w:r>
      <w:r>
        <w:rPr>
          <w:rFonts w:ascii="Book Antiqua" w:hAnsi="Book Antiqua"/>
          <w:b/>
          <w:bCs/>
        </w:rPr>
        <w:t>84</w:t>
      </w:r>
      <w:r>
        <w:rPr>
          <w:rFonts w:ascii="Book Antiqua" w:hAnsi="Book Antiqua"/>
        </w:rPr>
        <w:t>: 1483-1492 [PMID: 32684537 DOI: 10.1253/circj.CJ-20-0298]</w:t>
      </w:r>
    </w:p>
    <w:p w14:paraId="5A80B62A" w14:textId="77777777" w:rsidR="00BD474D" w:rsidRDefault="009B2ABB">
      <w:pPr>
        <w:spacing w:line="360" w:lineRule="auto"/>
        <w:jc w:val="both"/>
        <w:rPr>
          <w:rFonts w:ascii="Book Antiqua" w:hAnsi="Book Antiqua"/>
        </w:rPr>
      </w:pPr>
      <w:r>
        <w:rPr>
          <w:rFonts w:ascii="Book Antiqua" w:hAnsi="Book Antiqua"/>
        </w:rPr>
        <w:t xml:space="preserve">4 </w:t>
      </w:r>
      <w:r>
        <w:rPr>
          <w:rFonts w:ascii="Book Antiqua" w:hAnsi="Book Antiqua"/>
          <w:b/>
          <w:bCs/>
        </w:rPr>
        <w:t>Byrne RA</w:t>
      </w:r>
      <w:r>
        <w:rPr>
          <w:rFonts w:ascii="Book Antiqua" w:hAnsi="Book Antiqua"/>
        </w:rPr>
        <w:t xml:space="preserve">, Joner M, Kastrati A. Stent thrombosis and restenosis: what have we learned and where are we going? The Andreas Grüntzig Lecture ESC 2014. </w:t>
      </w:r>
      <w:r>
        <w:rPr>
          <w:rFonts w:ascii="Book Antiqua" w:hAnsi="Book Antiqua"/>
          <w:i/>
          <w:iCs/>
        </w:rPr>
        <w:t>Eur Heart J</w:t>
      </w:r>
      <w:r>
        <w:rPr>
          <w:rFonts w:ascii="Book Antiqua" w:hAnsi="Book Antiqua"/>
        </w:rPr>
        <w:t xml:space="preserve"> 2015; </w:t>
      </w:r>
      <w:r>
        <w:rPr>
          <w:rFonts w:ascii="Book Antiqua" w:hAnsi="Book Antiqua"/>
          <w:b/>
          <w:bCs/>
        </w:rPr>
        <w:t>36</w:t>
      </w:r>
      <w:r>
        <w:rPr>
          <w:rFonts w:ascii="Book Antiqua" w:hAnsi="Book Antiqua"/>
        </w:rPr>
        <w:t>: 3320-3331 [PMID: 26417060 DOI: 10.1093/eurheartj/ehv511]</w:t>
      </w:r>
    </w:p>
    <w:p w14:paraId="16D95FA6" w14:textId="77777777" w:rsidR="00BD474D" w:rsidRDefault="009B2ABB">
      <w:pPr>
        <w:spacing w:line="360" w:lineRule="auto"/>
        <w:jc w:val="both"/>
        <w:rPr>
          <w:rFonts w:ascii="Book Antiqua" w:hAnsi="Book Antiqua"/>
        </w:rPr>
      </w:pPr>
      <w:r>
        <w:rPr>
          <w:rFonts w:ascii="Book Antiqua" w:hAnsi="Book Antiqua"/>
        </w:rPr>
        <w:t xml:space="preserve">5 </w:t>
      </w:r>
      <w:r>
        <w:rPr>
          <w:rFonts w:ascii="Book Antiqua" w:hAnsi="Book Antiqua"/>
          <w:b/>
          <w:bCs/>
        </w:rPr>
        <w:t>Greif M</w:t>
      </w:r>
      <w:r>
        <w:rPr>
          <w:rFonts w:ascii="Book Antiqua" w:hAnsi="Book Antiqua"/>
        </w:rPr>
        <w:t xml:space="preserve">, Pohl T, Oversohl N, Reithmann C, Steinbeck G, Becker A. Acute stent thrombosis in a sirolimus eluting stent after wasp sting causing acute myocardial infarction: a case report. </w:t>
      </w:r>
      <w:r>
        <w:rPr>
          <w:rFonts w:ascii="Book Antiqua" w:hAnsi="Book Antiqua"/>
          <w:i/>
          <w:iCs/>
        </w:rPr>
        <w:t>Cases J</w:t>
      </w:r>
      <w:r>
        <w:rPr>
          <w:rFonts w:ascii="Book Antiqua" w:hAnsi="Book Antiqua"/>
        </w:rPr>
        <w:t xml:space="preserve"> 2009; </w:t>
      </w:r>
      <w:r>
        <w:rPr>
          <w:rFonts w:ascii="Book Antiqua" w:hAnsi="Book Antiqua"/>
          <w:b/>
          <w:bCs/>
        </w:rPr>
        <w:t>2</w:t>
      </w:r>
      <w:r>
        <w:rPr>
          <w:rFonts w:ascii="Book Antiqua" w:hAnsi="Book Antiqua"/>
        </w:rPr>
        <w:t>: 7800 [PMID: 19918484 DOI: 10.4076/1757-1626-2-7800]</w:t>
      </w:r>
    </w:p>
    <w:p w14:paraId="2C37167B" w14:textId="77777777" w:rsidR="00BD474D" w:rsidRDefault="009B2ABB">
      <w:pPr>
        <w:spacing w:line="360" w:lineRule="auto"/>
        <w:jc w:val="both"/>
        <w:rPr>
          <w:rFonts w:ascii="Book Antiqua" w:hAnsi="Book Antiqua"/>
        </w:rPr>
      </w:pPr>
      <w:r>
        <w:rPr>
          <w:rFonts w:ascii="Book Antiqua" w:hAnsi="Book Antiqua"/>
        </w:rPr>
        <w:t xml:space="preserve">6 </w:t>
      </w:r>
      <w:r>
        <w:rPr>
          <w:rFonts w:ascii="Book Antiqua" w:hAnsi="Book Antiqua"/>
          <w:b/>
          <w:bCs/>
        </w:rPr>
        <w:t>Lipinski MJ</w:t>
      </w:r>
      <w:r>
        <w:rPr>
          <w:rFonts w:ascii="Book Antiqua" w:hAnsi="Book Antiqua"/>
        </w:rPr>
        <w:t xml:space="preserve">, Escarcega RO, Baker NC, Benn HA, Gaglia MA Jr, Torguson R, Waksman R. Scaffold Thrombosis After Percutaneous Coronary Intervention With </w:t>
      </w:r>
      <w:r>
        <w:rPr>
          <w:rFonts w:ascii="Book Antiqua" w:hAnsi="Book Antiqua"/>
        </w:rPr>
        <w:lastRenderedPageBreak/>
        <w:t xml:space="preserve">ABSORB Bioresorbable Vascular Scaffold: A Systematic Review and Meta-Analysis. </w:t>
      </w:r>
      <w:r>
        <w:rPr>
          <w:rFonts w:ascii="Book Antiqua" w:hAnsi="Book Antiqua"/>
          <w:i/>
          <w:iCs/>
        </w:rPr>
        <w:t>JACC Cardiovasc Interv</w:t>
      </w:r>
      <w:r>
        <w:rPr>
          <w:rFonts w:ascii="Book Antiqua" w:hAnsi="Book Antiqua"/>
        </w:rPr>
        <w:t xml:space="preserve"> 2016; </w:t>
      </w:r>
      <w:r>
        <w:rPr>
          <w:rFonts w:ascii="Book Antiqua" w:hAnsi="Book Antiqua"/>
          <w:b/>
          <w:bCs/>
        </w:rPr>
        <w:t>9</w:t>
      </w:r>
      <w:r>
        <w:rPr>
          <w:rFonts w:ascii="Book Antiqua" w:hAnsi="Book Antiqua"/>
        </w:rPr>
        <w:t>: 12-24 [PMID: 26762906 DOI: 10.1016/j.jcin.2015.09.024]</w:t>
      </w:r>
    </w:p>
    <w:p w14:paraId="586648D8" w14:textId="77777777" w:rsidR="00BD474D" w:rsidRDefault="009B2ABB">
      <w:pPr>
        <w:spacing w:line="360" w:lineRule="auto"/>
        <w:jc w:val="both"/>
        <w:rPr>
          <w:rFonts w:ascii="Book Antiqua" w:hAnsi="Book Antiqua"/>
        </w:rPr>
      </w:pPr>
      <w:r>
        <w:rPr>
          <w:rFonts w:ascii="Book Antiqua" w:hAnsi="Book Antiqua"/>
        </w:rPr>
        <w:t xml:space="preserve">7 </w:t>
      </w:r>
      <w:r>
        <w:rPr>
          <w:rFonts w:ascii="Book Antiqua" w:hAnsi="Book Antiqua"/>
          <w:b/>
          <w:bCs/>
        </w:rPr>
        <w:t>Kuchulakanti PK</w:t>
      </w:r>
      <w:r>
        <w:rPr>
          <w:rFonts w:ascii="Book Antiqua" w:hAnsi="Book Antiqua"/>
        </w:rPr>
        <w:t xml:space="preserve">, Chu WW, Torguson R, Ohlmann P, Rha SW, Clavijo LC, Kim SW, Bui A, Gevorkian N, Xue Z, Smith K, Fournadjieva J, Suddath WO, Satler LF, Pichard AD, Kent KM, Waksman R. Correlates and long-term outcomes of angiographically proven stent thrombosis with sirolimus- and paclitaxel-eluting stents. </w:t>
      </w:r>
      <w:r>
        <w:rPr>
          <w:rFonts w:ascii="Book Antiqua" w:hAnsi="Book Antiqua"/>
          <w:i/>
          <w:iCs/>
        </w:rPr>
        <w:t>Circulation</w:t>
      </w:r>
      <w:r>
        <w:rPr>
          <w:rFonts w:ascii="Book Antiqua" w:hAnsi="Book Antiqua"/>
        </w:rPr>
        <w:t xml:space="preserve"> 2006; </w:t>
      </w:r>
      <w:r>
        <w:rPr>
          <w:rFonts w:ascii="Book Antiqua" w:hAnsi="Book Antiqua"/>
          <w:b/>
          <w:bCs/>
        </w:rPr>
        <w:t>113</w:t>
      </w:r>
      <w:r>
        <w:rPr>
          <w:rFonts w:ascii="Book Antiqua" w:hAnsi="Book Antiqua"/>
        </w:rPr>
        <w:t>: 1108-1113 [PMID: 16490815 DOI: 10.1161/CIRCULATIONAHA.105.600155]</w:t>
      </w:r>
    </w:p>
    <w:p w14:paraId="67057057" w14:textId="77777777" w:rsidR="00BD474D" w:rsidRDefault="009B2ABB">
      <w:pPr>
        <w:spacing w:line="360" w:lineRule="auto"/>
        <w:jc w:val="both"/>
        <w:rPr>
          <w:rFonts w:ascii="Book Antiqua" w:hAnsi="Book Antiqua"/>
        </w:rPr>
      </w:pPr>
      <w:r>
        <w:rPr>
          <w:rFonts w:ascii="Book Antiqua" w:hAnsi="Book Antiqua"/>
        </w:rPr>
        <w:t xml:space="preserve">8 </w:t>
      </w:r>
      <w:r>
        <w:rPr>
          <w:rFonts w:ascii="Book Antiqua" w:hAnsi="Book Antiqua"/>
          <w:b/>
          <w:bCs/>
        </w:rPr>
        <w:t>Iakovou I</w:t>
      </w:r>
      <w:r>
        <w:rPr>
          <w:rFonts w:ascii="Book Antiqua" w:hAnsi="Book Antiqua"/>
        </w:rPr>
        <w:t xml:space="preserve">, Schmidt T, Bonizzoni E, Ge L, Sangiorgi GM, Stankovic G, Airoldi F, Chieffo A, Montorfano M, Carlino M, Michev I, Corvaja N, Briguori C, Gerckens U, Grube E, Colombo A. Incidence, predictors, and outcome of thrombosis after successful implantation of drug-eluting stents. </w:t>
      </w:r>
      <w:r>
        <w:rPr>
          <w:rFonts w:ascii="Book Antiqua" w:hAnsi="Book Antiqua"/>
          <w:i/>
          <w:iCs/>
        </w:rPr>
        <w:t>JAMA</w:t>
      </w:r>
      <w:r>
        <w:rPr>
          <w:rFonts w:ascii="Book Antiqua" w:hAnsi="Book Antiqua"/>
        </w:rPr>
        <w:t xml:space="preserve"> 2005; </w:t>
      </w:r>
      <w:r>
        <w:rPr>
          <w:rFonts w:ascii="Book Antiqua" w:hAnsi="Book Antiqua"/>
          <w:b/>
          <w:bCs/>
        </w:rPr>
        <w:t>293</w:t>
      </w:r>
      <w:r>
        <w:rPr>
          <w:rFonts w:ascii="Book Antiqua" w:hAnsi="Book Antiqua"/>
        </w:rPr>
        <w:t>: 2126-2130 [PMID: 15870416 DOI: 10.1001/jama.293.17.2126]</w:t>
      </w:r>
    </w:p>
    <w:p w14:paraId="56B3ACB2" w14:textId="77777777" w:rsidR="00BD474D" w:rsidRDefault="009B2ABB">
      <w:pPr>
        <w:spacing w:line="360" w:lineRule="auto"/>
        <w:jc w:val="both"/>
        <w:rPr>
          <w:rFonts w:ascii="Book Antiqua" w:hAnsi="Book Antiqua"/>
        </w:rPr>
      </w:pPr>
      <w:r>
        <w:rPr>
          <w:rFonts w:ascii="Book Antiqua" w:hAnsi="Book Antiqua"/>
        </w:rPr>
        <w:t xml:space="preserve">9 </w:t>
      </w:r>
      <w:r>
        <w:rPr>
          <w:rFonts w:ascii="Book Antiqua" w:hAnsi="Book Antiqua"/>
          <w:b/>
          <w:bCs/>
        </w:rPr>
        <w:t>Généreux P</w:t>
      </w:r>
      <w:r>
        <w:rPr>
          <w:rFonts w:ascii="Book Antiqua" w:hAnsi="Book Antiqua"/>
        </w:rPr>
        <w:t xml:space="preserve">, Madhavan MV, Mintz GS, Maehara A, Palmerini T, Lasalle L, Xu K, McAndrew T, Kirtane A, Lansky AJ, Brener SJ, Mehran R, Stone GW. Ischemic outcomes after coronary intervention of calcified vessels in acute coronary syndromes. Pooled analysis from the HORIZONS-AMI (Harmonizing Outcomes With Revascularization and Stents in Acute Myocardial Infarction) and ACUITY (Acute Catheterization and Urgent Intervention Triage Strategy) TRIALS. </w:t>
      </w:r>
      <w:r>
        <w:rPr>
          <w:rFonts w:ascii="Book Antiqua" w:hAnsi="Book Antiqua"/>
          <w:i/>
          <w:iCs/>
        </w:rPr>
        <w:t>J Am Coll Cardiol</w:t>
      </w:r>
      <w:r>
        <w:rPr>
          <w:rFonts w:ascii="Book Antiqua" w:hAnsi="Book Antiqua"/>
        </w:rPr>
        <w:t xml:space="preserve"> 2014; </w:t>
      </w:r>
      <w:r>
        <w:rPr>
          <w:rFonts w:ascii="Book Antiqua" w:hAnsi="Book Antiqua"/>
          <w:b/>
          <w:bCs/>
        </w:rPr>
        <w:t>63</w:t>
      </w:r>
      <w:r>
        <w:rPr>
          <w:rFonts w:ascii="Book Antiqua" w:hAnsi="Book Antiqua"/>
        </w:rPr>
        <w:t>: 1845-1854 [PMID: 24561145 DOI: 10.1016/j.jacc.2014.01.034]</w:t>
      </w:r>
    </w:p>
    <w:p w14:paraId="45F50281" w14:textId="77777777" w:rsidR="00BD474D" w:rsidRDefault="009B2ABB">
      <w:pPr>
        <w:spacing w:line="360" w:lineRule="auto"/>
        <w:jc w:val="both"/>
        <w:rPr>
          <w:rFonts w:ascii="Book Antiqua" w:hAnsi="Book Antiqua"/>
        </w:rPr>
      </w:pPr>
      <w:r>
        <w:rPr>
          <w:rFonts w:ascii="Book Antiqua" w:hAnsi="Book Antiqua"/>
        </w:rPr>
        <w:t xml:space="preserve">10 </w:t>
      </w:r>
      <w:r>
        <w:rPr>
          <w:rFonts w:ascii="Book Antiqua" w:hAnsi="Book Antiqua"/>
          <w:b/>
          <w:bCs/>
        </w:rPr>
        <w:t>Stone GW</w:t>
      </w:r>
      <w:r>
        <w:rPr>
          <w:rFonts w:ascii="Book Antiqua" w:hAnsi="Book Antiqua"/>
        </w:rPr>
        <w:t xml:space="preserve">, Witzenbichler B, Weisz G, Rinaldi MJ, Neumann FJ, Metzger DC, Henry TD, Cox DA, Duffy PL, Mazzaferri E, Gurbel PA, Xu K, Parise H, Kirtane AJ, Brodie BR, Mehran R, Stuckey TD; ADAPT-DES Investigators. Platelet reactivity and clinical outcomes after coronary artery implantation of drug-eluting stents (ADAPT-DES): a prospective multicentre registry study. </w:t>
      </w:r>
      <w:r>
        <w:rPr>
          <w:rFonts w:ascii="Book Antiqua" w:hAnsi="Book Antiqua"/>
          <w:i/>
          <w:iCs/>
        </w:rPr>
        <w:t>Lancet</w:t>
      </w:r>
      <w:r>
        <w:rPr>
          <w:rFonts w:ascii="Book Antiqua" w:hAnsi="Book Antiqua"/>
        </w:rPr>
        <w:t xml:space="preserve"> 2013; </w:t>
      </w:r>
      <w:r>
        <w:rPr>
          <w:rFonts w:ascii="Book Antiqua" w:hAnsi="Book Antiqua"/>
          <w:b/>
          <w:bCs/>
        </w:rPr>
        <w:t>382</w:t>
      </w:r>
      <w:r>
        <w:rPr>
          <w:rFonts w:ascii="Book Antiqua" w:hAnsi="Book Antiqua"/>
        </w:rPr>
        <w:t>: 614-623 [PMID: 23890998 DOI: 10.1016/S0140-6736(13)61170-8]</w:t>
      </w:r>
    </w:p>
    <w:p w14:paraId="636DE089" w14:textId="77777777" w:rsidR="00BD474D" w:rsidRDefault="009B2ABB">
      <w:pPr>
        <w:spacing w:line="360" w:lineRule="auto"/>
        <w:jc w:val="both"/>
        <w:rPr>
          <w:rFonts w:ascii="Book Antiqua" w:hAnsi="Book Antiqua"/>
        </w:rPr>
      </w:pPr>
      <w:r>
        <w:rPr>
          <w:rFonts w:ascii="Book Antiqua" w:hAnsi="Book Antiqua"/>
        </w:rPr>
        <w:t xml:space="preserve">11 </w:t>
      </w:r>
      <w:r>
        <w:rPr>
          <w:rFonts w:ascii="Book Antiqua" w:hAnsi="Book Antiqua"/>
          <w:b/>
          <w:bCs/>
        </w:rPr>
        <w:t>Voudris V</w:t>
      </w:r>
      <w:r>
        <w:rPr>
          <w:rFonts w:ascii="Book Antiqua" w:hAnsi="Book Antiqua"/>
        </w:rPr>
        <w:t xml:space="preserve">, Georgiadou P, Kalogris P, Kostelidou T, Karabinis A, Gerotziafas G. Missed Heparin-Induced Thrombocytopenia (HIT) Diagnosis in a Patient with Acute Stent Thrombosis. </w:t>
      </w:r>
      <w:r>
        <w:rPr>
          <w:rFonts w:ascii="Book Antiqua" w:hAnsi="Book Antiqua"/>
          <w:i/>
          <w:iCs/>
        </w:rPr>
        <w:t>Am J Case Rep</w:t>
      </w:r>
      <w:r>
        <w:rPr>
          <w:rFonts w:ascii="Book Antiqua" w:hAnsi="Book Antiqua"/>
        </w:rPr>
        <w:t xml:space="preserve"> 2019; </w:t>
      </w:r>
      <w:r>
        <w:rPr>
          <w:rFonts w:ascii="Book Antiqua" w:hAnsi="Book Antiqua"/>
          <w:b/>
          <w:bCs/>
        </w:rPr>
        <w:t>20</w:t>
      </w:r>
      <w:r>
        <w:rPr>
          <w:rFonts w:ascii="Book Antiqua" w:hAnsi="Book Antiqua"/>
        </w:rPr>
        <w:t>: 753-757 [PMID: 31133634 DOI: 10.12659/AJCR.914988]</w:t>
      </w:r>
    </w:p>
    <w:p w14:paraId="094BC12A" w14:textId="77777777" w:rsidR="00BD474D" w:rsidRDefault="009B2ABB">
      <w:pPr>
        <w:spacing w:line="360" w:lineRule="auto"/>
        <w:jc w:val="both"/>
        <w:rPr>
          <w:rFonts w:ascii="Book Antiqua" w:hAnsi="Book Antiqua"/>
        </w:rPr>
      </w:pPr>
      <w:r>
        <w:rPr>
          <w:rFonts w:ascii="Book Antiqua" w:hAnsi="Book Antiqua"/>
        </w:rPr>
        <w:lastRenderedPageBreak/>
        <w:t xml:space="preserve">12 </w:t>
      </w:r>
      <w:r>
        <w:rPr>
          <w:rFonts w:ascii="Book Antiqua" w:hAnsi="Book Antiqua"/>
          <w:b/>
          <w:bCs/>
        </w:rPr>
        <w:t>Ben Messaoud M</w:t>
      </w:r>
      <w:r>
        <w:rPr>
          <w:rFonts w:ascii="Book Antiqua" w:hAnsi="Book Antiqua"/>
        </w:rPr>
        <w:t xml:space="preserve">, Maatouk M, Boussaada MM, Mahjoub M, Mnari W, Gamra H. Case Report: Concomitant coronary stent and femoral artery thrombosis in the setting of heparin-induced thrombocytopenia. </w:t>
      </w:r>
      <w:r>
        <w:rPr>
          <w:rFonts w:ascii="Book Antiqua" w:hAnsi="Book Antiqua"/>
          <w:i/>
          <w:iCs/>
        </w:rPr>
        <w:t>F1000Res</w:t>
      </w:r>
      <w:r>
        <w:rPr>
          <w:rFonts w:ascii="Book Antiqua" w:hAnsi="Book Antiqua"/>
        </w:rPr>
        <w:t xml:space="preserve"> 2019; </w:t>
      </w:r>
      <w:r>
        <w:rPr>
          <w:rFonts w:ascii="Book Antiqua" w:hAnsi="Book Antiqua"/>
          <w:b/>
          <w:bCs/>
        </w:rPr>
        <w:t>8</w:t>
      </w:r>
      <w:r>
        <w:rPr>
          <w:rFonts w:ascii="Book Antiqua" w:hAnsi="Book Antiqua"/>
        </w:rPr>
        <w:t>: 667 [PMID: 31316756 DOI: 10.12688/f1000research.19041.1]</w:t>
      </w:r>
    </w:p>
    <w:p w14:paraId="3A3E101F" w14:textId="77777777" w:rsidR="00BD474D" w:rsidRDefault="009B2ABB">
      <w:pPr>
        <w:spacing w:line="360" w:lineRule="auto"/>
        <w:jc w:val="both"/>
        <w:rPr>
          <w:rFonts w:ascii="Book Antiqua" w:hAnsi="Book Antiqua"/>
        </w:rPr>
      </w:pPr>
      <w:r>
        <w:rPr>
          <w:rFonts w:ascii="Book Antiqua" w:hAnsi="Book Antiqua"/>
        </w:rPr>
        <w:t xml:space="preserve">13 </w:t>
      </w:r>
      <w:r>
        <w:rPr>
          <w:rFonts w:ascii="Book Antiqua" w:hAnsi="Book Antiqua"/>
          <w:b/>
          <w:bCs/>
        </w:rPr>
        <w:t>Om SY</w:t>
      </w:r>
      <w:r>
        <w:rPr>
          <w:rFonts w:ascii="Book Antiqua" w:hAnsi="Book Antiqua"/>
        </w:rPr>
        <w:t xml:space="preserve">, Yoo SY, Cho GY, Kim M, Woo Y, Lee S, Kim DH, Song JM, Kang DH, Cheong SS, Park SW, Park SJ, Song JK. Diagnostic and Prognostic Value of Ergonovine Echocardiography for Noninvasive Diagnosis of Coronary Vasospasm. </w:t>
      </w:r>
      <w:r>
        <w:rPr>
          <w:rFonts w:ascii="Book Antiqua" w:hAnsi="Book Antiqua"/>
          <w:i/>
          <w:iCs/>
        </w:rPr>
        <w:t>JACC Cardiovasc Imaging</w:t>
      </w:r>
      <w:r>
        <w:rPr>
          <w:rFonts w:ascii="Book Antiqua" w:hAnsi="Book Antiqua"/>
        </w:rPr>
        <w:t xml:space="preserve"> 2020; </w:t>
      </w:r>
      <w:r>
        <w:rPr>
          <w:rFonts w:ascii="Book Antiqua" w:hAnsi="Book Antiqua"/>
          <w:b/>
          <w:bCs/>
        </w:rPr>
        <w:t>13</w:t>
      </w:r>
      <w:r>
        <w:rPr>
          <w:rFonts w:ascii="Book Antiqua" w:hAnsi="Book Antiqua"/>
        </w:rPr>
        <w:t>: 1875-1887 [PMID: 32417336 DOI: 10.1016/j.jcmg.2020.03.008]</w:t>
      </w:r>
    </w:p>
    <w:p w14:paraId="79FD4103" w14:textId="77777777" w:rsidR="00BD474D" w:rsidRDefault="009B2ABB">
      <w:pPr>
        <w:spacing w:line="360" w:lineRule="auto"/>
        <w:jc w:val="both"/>
        <w:rPr>
          <w:rFonts w:ascii="Book Antiqua" w:hAnsi="Book Antiqua"/>
        </w:rPr>
      </w:pPr>
      <w:r>
        <w:rPr>
          <w:rFonts w:ascii="Book Antiqua" w:hAnsi="Book Antiqua"/>
        </w:rPr>
        <w:t xml:space="preserve">14 </w:t>
      </w:r>
      <w:r>
        <w:rPr>
          <w:rFonts w:ascii="Book Antiqua" w:hAnsi="Book Antiqua"/>
          <w:b/>
          <w:bCs/>
        </w:rPr>
        <w:t>Niccoli G</w:t>
      </w:r>
      <w:r>
        <w:rPr>
          <w:rFonts w:ascii="Book Antiqua" w:hAnsi="Book Antiqua"/>
        </w:rPr>
        <w:t xml:space="preserve">, Camici PG. Myocardial infarction with non-obstructive coronary arteries: what is the prognosis? </w:t>
      </w:r>
      <w:r>
        <w:rPr>
          <w:rFonts w:ascii="Book Antiqua" w:hAnsi="Book Antiqua"/>
          <w:i/>
          <w:iCs/>
        </w:rPr>
        <w:t>Eur Heart J Suppl</w:t>
      </w:r>
      <w:r>
        <w:rPr>
          <w:rFonts w:ascii="Book Antiqua" w:hAnsi="Book Antiqua"/>
        </w:rPr>
        <w:t xml:space="preserve"> 2020; </w:t>
      </w:r>
      <w:r>
        <w:rPr>
          <w:rFonts w:ascii="Book Antiqua" w:hAnsi="Book Antiqua"/>
          <w:b/>
          <w:bCs/>
        </w:rPr>
        <w:t>22</w:t>
      </w:r>
      <w:r>
        <w:rPr>
          <w:rFonts w:ascii="Book Antiqua" w:hAnsi="Book Antiqua"/>
        </w:rPr>
        <w:t>: E40-E45 [PMID: 32523437 DOI: 10.1093/eurheartj/suaa057]</w:t>
      </w:r>
    </w:p>
    <w:p w14:paraId="03B4026F" w14:textId="77777777" w:rsidR="00BD474D" w:rsidRDefault="009B2ABB">
      <w:pPr>
        <w:spacing w:line="360" w:lineRule="auto"/>
        <w:jc w:val="both"/>
        <w:rPr>
          <w:rFonts w:ascii="Book Antiqua" w:hAnsi="Book Antiqua"/>
        </w:rPr>
      </w:pPr>
      <w:r>
        <w:rPr>
          <w:rFonts w:ascii="Book Antiqua" w:hAnsi="Book Antiqua"/>
        </w:rPr>
        <w:t xml:space="preserve">15 </w:t>
      </w:r>
      <w:r>
        <w:rPr>
          <w:rFonts w:ascii="Book Antiqua" w:hAnsi="Book Antiqua"/>
          <w:b/>
          <w:bCs/>
        </w:rPr>
        <w:t>Sciatti E</w:t>
      </w:r>
      <w:r>
        <w:rPr>
          <w:rFonts w:ascii="Book Antiqua" w:hAnsi="Book Antiqua"/>
        </w:rPr>
        <w:t xml:space="preserve">, Vizzardi E, Cani DS, Castiello A, Bonadei I, Savoldi D, Metra M, D'Aloia A. Kounis syndrome, a disease to know: Case report and review of the literature. </w:t>
      </w:r>
      <w:r>
        <w:rPr>
          <w:rFonts w:ascii="Book Antiqua" w:hAnsi="Book Antiqua"/>
          <w:i/>
          <w:iCs/>
        </w:rPr>
        <w:t>Monaldi Arch Chest Dis</w:t>
      </w:r>
      <w:r>
        <w:rPr>
          <w:rFonts w:ascii="Book Antiqua" w:hAnsi="Book Antiqua"/>
        </w:rPr>
        <w:t xml:space="preserve"> 2018; </w:t>
      </w:r>
      <w:r>
        <w:rPr>
          <w:rFonts w:ascii="Book Antiqua" w:hAnsi="Book Antiqua"/>
          <w:b/>
          <w:bCs/>
        </w:rPr>
        <w:t>88</w:t>
      </w:r>
      <w:r>
        <w:rPr>
          <w:rFonts w:ascii="Book Antiqua" w:hAnsi="Book Antiqua"/>
        </w:rPr>
        <w:t>: 898 [PMID: 29557575 DOI: 10.4081/monaldi.2018.898]</w:t>
      </w:r>
    </w:p>
    <w:p w14:paraId="2BCE16FF" w14:textId="77777777" w:rsidR="00BD474D" w:rsidRDefault="009B2ABB">
      <w:pPr>
        <w:spacing w:line="360" w:lineRule="auto"/>
        <w:jc w:val="both"/>
        <w:rPr>
          <w:rFonts w:ascii="Book Antiqua" w:hAnsi="Book Antiqua"/>
        </w:rPr>
      </w:pPr>
      <w:r>
        <w:rPr>
          <w:rFonts w:ascii="Book Antiqua" w:hAnsi="Book Antiqua"/>
        </w:rPr>
        <w:t xml:space="preserve">16 </w:t>
      </w:r>
      <w:r>
        <w:rPr>
          <w:rFonts w:ascii="Book Antiqua" w:hAnsi="Book Antiqua"/>
          <w:b/>
          <w:bCs/>
        </w:rPr>
        <w:t>Chen JP</w:t>
      </w:r>
      <w:r>
        <w:rPr>
          <w:rFonts w:ascii="Book Antiqua" w:hAnsi="Book Antiqua"/>
        </w:rPr>
        <w:t xml:space="preserve">, Hou D, Pendyala L, Goudevenos JA, Kounis NG. Drug-eluting stent thrombosis: the Kounis hypersensitivity-associated acute coronary syndrome revisited. </w:t>
      </w:r>
      <w:r>
        <w:rPr>
          <w:rFonts w:ascii="Book Antiqua" w:hAnsi="Book Antiqua"/>
          <w:i/>
          <w:iCs/>
        </w:rPr>
        <w:t>JACC Cardiovasc Interv</w:t>
      </w:r>
      <w:r>
        <w:rPr>
          <w:rFonts w:ascii="Book Antiqua" w:hAnsi="Book Antiqua"/>
        </w:rPr>
        <w:t xml:space="preserve"> 2009; </w:t>
      </w:r>
      <w:r>
        <w:rPr>
          <w:rFonts w:ascii="Book Antiqua" w:hAnsi="Book Antiqua"/>
          <w:b/>
          <w:bCs/>
        </w:rPr>
        <w:t>2</w:t>
      </w:r>
      <w:r>
        <w:rPr>
          <w:rFonts w:ascii="Book Antiqua" w:hAnsi="Book Antiqua"/>
        </w:rPr>
        <w:t>: 583-593 [PMID: 19628178 DOI: 10.1016/j.jcin.2009.04.017]</w:t>
      </w:r>
    </w:p>
    <w:p w14:paraId="1C54F0BB" w14:textId="77777777" w:rsidR="00BD474D" w:rsidRDefault="009B2ABB">
      <w:pPr>
        <w:spacing w:line="360" w:lineRule="auto"/>
        <w:jc w:val="both"/>
        <w:rPr>
          <w:rFonts w:ascii="Book Antiqua" w:hAnsi="Book Antiqua"/>
        </w:rPr>
      </w:pPr>
      <w:r>
        <w:rPr>
          <w:rFonts w:ascii="Book Antiqua" w:hAnsi="Book Antiqua"/>
        </w:rPr>
        <w:t xml:space="preserve">17 </w:t>
      </w:r>
      <w:r>
        <w:rPr>
          <w:rFonts w:ascii="Book Antiqua" w:hAnsi="Book Antiqua"/>
          <w:b/>
          <w:bCs/>
        </w:rPr>
        <w:t>Tzanis G</w:t>
      </w:r>
      <w:r>
        <w:rPr>
          <w:rFonts w:ascii="Book Antiqua" w:hAnsi="Book Antiqua"/>
        </w:rPr>
        <w:t xml:space="preserve">, Bonou M, Mikos N, Biliou S, Koniari I, Kounis NG, Barbetseas J. Early stent thrombosis secondary to food allergic reaction: Kounis syndrome following rice pudding ingestion. </w:t>
      </w:r>
      <w:r>
        <w:rPr>
          <w:rFonts w:ascii="Book Antiqua" w:hAnsi="Book Antiqua"/>
          <w:i/>
          <w:iCs/>
        </w:rPr>
        <w:t>World J Cardiol</w:t>
      </w:r>
      <w:r>
        <w:rPr>
          <w:rFonts w:ascii="Book Antiqua" w:hAnsi="Book Antiqua"/>
        </w:rPr>
        <w:t xml:space="preserve"> 2017; </w:t>
      </w:r>
      <w:r>
        <w:rPr>
          <w:rFonts w:ascii="Book Antiqua" w:hAnsi="Book Antiqua"/>
          <w:b/>
          <w:bCs/>
        </w:rPr>
        <w:t>9</w:t>
      </w:r>
      <w:r>
        <w:rPr>
          <w:rFonts w:ascii="Book Antiqua" w:hAnsi="Book Antiqua"/>
        </w:rPr>
        <w:t>: 283-288 [PMID: 28400926 DOI: 10.4330/wjc.v9.i3.283]</w:t>
      </w:r>
    </w:p>
    <w:p w14:paraId="01A40357" w14:textId="77777777" w:rsidR="00BD474D" w:rsidRDefault="00BD474D">
      <w:pPr>
        <w:spacing w:line="360" w:lineRule="auto"/>
        <w:jc w:val="both"/>
        <w:rPr>
          <w:rFonts w:ascii="Book Antiqua" w:hAnsi="Book Antiqua"/>
        </w:rPr>
      </w:pPr>
    </w:p>
    <w:p w14:paraId="0C20C613" w14:textId="77777777" w:rsidR="00BD474D" w:rsidRDefault="00BD474D">
      <w:pPr>
        <w:spacing w:line="360" w:lineRule="auto"/>
        <w:jc w:val="both"/>
        <w:rPr>
          <w:rFonts w:ascii="Book Antiqua" w:hAnsi="Book Antiqua"/>
        </w:rPr>
        <w:sectPr w:rsidR="00BD474D">
          <w:pgSz w:w="12240" w:h="15840"/>
          <w:pgMar w:top="1440" w:right="1440" w:bottom="1440" w:left="1440" w:header="720" w:footer="720" w:gutter="0"/>
          <w:cols w:space="720"/>
          <w:docGrid w:linePitch="360"/>
        </w:sectPr>
      </w:pPr>
    </w:p>
    <w:p w14:paraId="605B737C"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F6A4450" w14:textId="77777777" w:rsidR="00BD474D" w:rsidRDefault="009B2AB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informed consent for publication of the case.</w:t>
      </w:r>
    </w:p>
    <w:p w14:paraId="1ACB6E35" w14:textId="77777777" w:rsidR="00BD474D" w:rsidRDefault="00BD474D">
      <w:pPr>
        <w:spacing w:line="360" w:lineRule="auto"/>
        <w:jc w:val="both"/>
        <w:rPr>
          <w:rFonts w:ascii="Book Antiqua" w:hAnsi="Book Antiqua"/>
        </w:rPr>
      </w:pPr>
    </w:p>
    <w:p w14:paraId="094FA320" w14:textId="77777777" w:rsidR="00BD474D" w:rsidRDefault="009B2A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4F31BB1F" w14:textId="77777777" w:rsidR="00BD474D" w:rsidRDefault="00BD474D">
      <w:pPr>
        <w:spacing w:line="360" w:lineRule="auto"/>
        <w:jc w:val="both"/>
      </w:pPr>
    </w:p>
    <w:p w14:paraId="41E46C74" w14:textId="77777777" w:rsidR="00BD474D" w:rsidRDefault="009B2AB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73216FF6" w14:textId="77777777" w:rsidR="00BD474D" w:rsidRDefault="00BD474D">
      <w:pPr>
        <w:spacing w:line="360" w:lineRule="auto"/>
        <w:jc w:val="both"/>
        <w:rPr>
          <w:rFonts w:ascii="Book Antiqua" w:hAnsi="Book Antiqua"/>
        </w:rPr>
      </w:pPr>
    </w:p>
    <w:p w14:paraId="64D117B1" w14:textId="77777777" w:rsidR="00BD474D" w:rsidRPr="005F3FF6" w:rsidRDefault="009B2ABB">
      <w:pPr>
        <w:spacing w:line="360" w:lineRule="auto"/>
        <w:jc w:val="both"/>
        <w:rPr>
          <w:rFonts w:ascii="Book Antiqua" w:hAnsi="Book Antiqua"/>
          <w:lang w:eastAsia="zh-CN"/>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is an open-access article that was selected by an in-house editor and fully peer-reviewed by external reviewers. It is distributed in accordance with the Creative Commons Attribution NonCommercial (CC BY-NC 4.0) license, which permits others to distribute, remix, adapt, and build upon this work non-commercially as well as license their derivative works on different terms, provided the original work is properly cited and the use is non-commercial. See: https://creativecommons.org/Licenses/by-nc/4.0/</w:t>
      </w:r>
    </w:p>
    <w:p w14:paraId="4486CDB9" w14:textId="77777777" w:rsidR="00BD474D" w:rsidRDefault="00BD474D">
      <w:pPr>
        <w:spacing w:line="360" w:lineRule="auto"/>
        <w:jc w:val="both"/>
        <w:rPr>
          <w:rFonts w:ascii="Book Antiqua" w:hAnsi="Book Antiqua"/>
        </w:rPr>
      </w:pPr>
    </w:p>
    <w:p w14:paraId="028F05AE" w14:textId="77777777" w:rsidR="00BD474D" w:rsidRPr="005F3FF6" w:rsidRDefault="009B2ABB">
      <w:pPr>
        <w:spacing w:line="360" w:lineRule="auto"/>
        <w:jc w:val="both"/>
        <w:rPr>
          <w:rFonts w:ascii="Book Antiqua" w:hAnsi="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peer-reviewed</w:t>
      </w:r>
      <w:r w:rsidR="005F3FF6">
        <w:rPr>
          <w:rFonts w:ascii="Book Antiqua" w:hAnsi="Book Antiqua" w:cs="Book Antiqua" w:hint="eastAsia"/>
          <w:color w:val="000000"/>
          <w:lang w:eastAsia="zh-CN"/>
        </w:rPr>
        <w:t>.</w:t>
      </w:r>
    </w:p>
    <w:p w14:paraId="43D9A506"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Single-blind</w:t>
      </w:r>
    </w:p>
    <w:p w14:paraId="0F9CB598" w14:textId="77777777" w:rsidR="00BD474D" w:rsidRDefault="00BD474D">
      <w:pPr>
        <w:spacing w:line="360" w:lineRule="auto"/>
        <w:jc w:val="both"/>
        <w:rPr>
          <w:rFonts w:ascii="Book Antiqua" w:hAnsi="Book Antiqua"/>
        </w:rPr>
      </w:pPr>
    </w:p>
    <w:p w14:paraId="09EF4D9B"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7, 2021</w:t>
      </w:r>
    </w:p>
    <w:p w14:paraId="3C80EE6D"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3947B180"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20, 2022</w:t>
      </w:r>
    </w:p>
    <w:p w14:paraId="0E71568B" w14:textId="77777777" w:rsidR="00BD474D" w:rsidRDefault="00BD474D">
      <w:pPr>
        <w:spacing w:line="360" w:lineRule="auto"/>
        <w:jc w:val="both"/>
        <w:rPr>
          <w:rFonts w:ascii="Book Antiqua" w:hAnsi="Book Antiqua"/>
        </w:rPr>
      </w:pPr>
    </w:p>
    <w:p w14:paraId="2D11BA36"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1C21676F"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89E18B"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C9E71A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Grade A (Excellent): 0</w:t>
      </w:r>
    </w:p>
    <w:p w14:paraId="157A090E"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Grade B (Very good): 0</w:t>
      </w:r>
    </w:p>
    <w:p w14:paraId="05BA105E"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4E12950E"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Grade D (Fair): D</w:t>
      </w:r>
    </w:p>
    <w:p w14:paraId="39ED08B0" w14:textId="77777777" w:rsidR="00BD474D" w:rsidRDefault="009B2ABB">
      <w:pPr>
        <w:spacing w:line="360" w:lineRule="auto"/>
        <w:jc w:val="both"/>
        <w:rPr>
          <w:rFonts w:ascii="Book Antiqua" w:hAnsi="Book Antiqua"/>
        </w:rPr>
      </w:pPr>
      <w:r>
        <w:rPr>
          <w:rFonts w:ascii="Book Antiqua" w:eastAsia="Book Antiqua" w:hAnsi="Book Antiqua" w:cs="Book Antiqua"/>
          <w:color w:val="000000"/>
        </w:rPr>
        <w:t>Grade E (Poor): 0</w:t>
      </w:r>
    </w:p>
    <w:p w14:paraId="5573102B" w14:textId="77777777" w:rsidR="00BD474D" w:rsidRDefault="00BD474D">
      <w:pPr>
        <w:spacing w:line="360" w:lineRule="auto"/>
        <w:jc w:val="both"/>
        <w:rPr>
          <w:rFonts w:ascii="Book Antiqua" w:hAnsi="Book Antiqua"/>
        </w:rPr>
      </w:pPr>
    </w:p>
    <w:p w14:paraId="3A401F5B" w14:textId="77777777" w:rsidR="00BD474D" w:rsidRDefault="009B2ABB">
      <w:pPr>
        <w:spacing w:line="360" w:lineRule="auto"/>
        <w:jc w:val="both"/>
        <w:rPr>
          <w:rFonts w:ascii="Book Antiqua" w:eastAsia="宋体" w:hAnsi="Book Antiqua"/>
          <w:lang w:eastAsia="zh-CN"/>
        </w:rPr>
        <w:sectPr w:rsidR="00BD474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TERAGAWA H, Wang P</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Pr="005F3FF6">
        <w:rPr>
          <w:rFonts w:ascii="Book Antiqua" w:eastAsia="宋体" w:hAnsi="Book Antiqua" w:cs="Book Antiqua"/>
          <w:bCs/>
          <w:color w:val="000000"/>
          <w:lang w:eastAsia="zh-CN"/>
        </w:rPr>
        <w:t xml:space="preserve">Cai </w:t>
      </w:r>
      <w:r>
        <w:rPr>
          <w:rFonts w:ascii="Book Antiqua" w:eastAsia="宋体" w:hAnsi="Book Antiqua" w:cs="Book Antiqua" w:hint="eastAsia"/>
          <w:bCs/>
          <w:color w:val="000000"/>
          <w:lang w:eastAsia="zh-CN"/>
        </w:rPr>
        <w:t>YX</w:t>
      </w:r>
    </w:p>
    <w:p w14:paraId="48FFC8D0" w14:textId="77777777" w:rsidR="00BD474D" w:rsidRDefault="009B2ABB">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7C7BCD7" w14:textId="420AE2CD" w:rsidR="00BD474D" w:rsidRDefault="007B0C26">
      <w:pPr>
        <w:spacing w:line="360" w:lineRule="auto"/>
        <w:jc w:val="both"/>
        <w:rPr>
          <w:rFonts w:ascii="Book Antiqua" w:eastAsia="Book Antiqua" w:hAnsi="Book Antiqua" w:cs="Book Antiqua"/>
          <w:color w:val="000000"/>
        </w:rPr>
      </w:pPr>
      <w:r>
        <w:rPr>
          <w:noProof/>
        </w:rPr>
        <w:drawing>
          <wp:inline distT="0" distB="0" distL="0" distR="0" wp14:anchorId="4BB612C5" wp14:editId="06B44CE6">
            <wp:extent cx="5943600" cy="3093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64A43F72" w14:textId="77777777" w:rsidR="00BD474D" w:rsidRDefault="009B2ABB">
      <w:pPr>
        <w:spacing w:line="360" w:lineRule="auto"/>
        <w:jc w:val="both"/>
        <w:rPr>
          <w:rFonts w:ascii="Book Antiqua" w:hAnsi="Book Antiqua"/>
          <w:b/>
        </w:rPr>
      </w:pPr>
      <w:r>
        <w:rPr>
          <w:rFonts w:ascii="Book Antiqua" w:eastAsia="Book Antiqua" w:hAnsi="Book Antiqua" w:cs="Book Antiqua"/>
          <w:b/>
          <w:color w:val="000000"/>
        </w:rPr>
        <w:t>Figure 1 The first electrocardiogram of the patient at the emergency department shows inferior myocardial infarction.</w:t>
      </w:r>
    </w:p>
    <w:p w14:paraId="0C22F33A" w14:textId="77777777" w:rsidR="00BD474D" w:rsidRDefault="009B2ABB">
      <w:pPr>
        <w:rPr>
          <w:rFonts w:ascii="Book Antiqua" w:hAnsi="Book Antiqua"/>
        </w:rPr>
      </w:pPr>
      <w:r>
        <w:rPr>
          <w:rFonts w:ascii="Book Antiqua" w:hAnsi="Book Antiqua"/>
        </w:rPr>
        <w:br w:type="page"/>
      </w:r>
    </w:p>
    <w:p w14:paraId="33D9A062" w14:textId="4FDF9DB4" w:rsidR="00BD474D" w:rsidRDefault="007B0C26">
      <w:pPr>
        <w:spacing w:line="360" w:lineRule="auto"/>
        <w:jc w:val="both"/>
        <w:rPr>
          <w:rFonts w:ascii="Book Antiqua" w:hAnsi="Book Antiqua"/>
        </w:rPr>
      </w:pPr>
      <w:r>
        <w:rPr>
          <w:noProof/>
        </w:rPr>
        <w:lastRenderedPageBreak/>
        <w:drawing>
          <wp:inline distT="0" distB="0" distL="0" distR="0" wp14:anchorId="7A0F22F1" wp14:editId="06B459A4">
            <wp:extent cx="4038600" cy="4480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4480560"/>
                    </a:xfrm>
                    <a:prstGeom prst="rect">
                      <a:avLst/>
                    </a:prstGeom>
                    <a:noFill/>
                    <a:ln>
                      <a:noFill/>
                    </a:ln>
                  </pic:spPr>
                </pic:pic>
              </a:graphicData>
            </a:graphic>
          </wp:inline>
        </w:drawing>
      </w:r>
    </w:p>
    <w:p w14:paraId="3EEA9ECD" w14:textId="77777777" w:rsidR="00BD474D" w:rsidRDefault="009B2AB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2 Photographs of the patient’s first emergency percutaneous coronary intervention</w:t>
      </w:r>
      <w:r w:rsidRPr="005F3FF6">
        <w:rPr>
          <w:rFonts w:ascii="Book Antiqua" w:eastAsia="Book Antiqua" w:hAnsi="Book Antiqua" w:cs="Book Antiqua"/>
          <w:b/>
          <w:color w:val="000000"/>
        </w:rPr>
        <w:t xml:space="preserve">. </w:t>
      </w:r>
      <w:r>
        <w:rPr>
          <w:rFonts w:ascii="Book Antiqua" w:eastAsia="Book Antiqua" w:hAnsi="Book Antiqua" w:cs="Book Antiqua"/>
          <w:color w:val="000000"/>
        </w:rPr>
        <w:t>A: 60%-70% diffuse stenosis in the proximal part of the right coronary artery, approximately 50% stenosis in the middle part, and total occlusion beyond the middle and distal parts; B: After balloon dilation, digital subtraction angiography shows 90% stenosis in the middle and distal parts of the right coronary and 90% stenosis in the distal part; C: Stenosis of the distal right coronary artery has disappeared after injecting 2 mL of nitroglycerin; D: No stenosis in the middle or distal part of the right coronary artery after stent implantation, with Thrombolysis in Myocardial Infarction flow grade 3.</w:t>
      </w:r>
    </w:p>
    <w:p w14:paraId="49DAF816" w14:textId="77777777" w:rsidR="00BD474D" w:rsidRDefault="009B2ABB">
      <w:pPr>
        <w:rPr>
          <w:rFonts w:ascii="Book Antiqua" w:eastAsia="Book Antiqua" w:hAnsi="Book Antiqua" w:cs="Book Antiqua"/>
          <w:color w:val="000000"/>
        </w:rPr>
      </w:pPr>
      <w:r>
        <w:rPr>
          <w:rFonts w:ascii="Book Antiqua" w:eastAsia="Book Antiqua" w:hAnsi="Book Antiqua" w:cs="Book Antiqua"/>
          <w:color w:val="000000"/>
        </w:rPr>
        <w:br w:type="page"/>
      </w:r>
    </w:p>
    <w:p w14:paraId="706C471F" w14:textId="54ADFB9C" w:rsidR="00BD474D" w:rsidRDefault="007B0C26">
      <w:pPr>
        <w:spacing w:line="360" w:lineRule="auto"/>
        <w:jc w:val="both"/>
        <w:rPr>
          <w:rFonts w:ascii="Book Antiqua" w:hAnsi="Book Antiqua"/>
        </w:rPr>
      </w:pPr>
      <w:r>
        <w:rPr>
          <w:noProof/>
        </w:rPr>
        <w:lastRenderedPageBreak/>
        <w:drawing>
          <wp:inline distT="0" distB="0" distL="0" distR="0" wp14:anchorId="5E4775E8" wp14:editId="79912BF4">
            <wp:extent cx="5943600" cy="3395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95345"/>
                    </a:xfrm>
                    <a:prstGeom prst="rect">
                      <a:avLst/>
                    </a:prstGeom>
                    <a:noFill/>
                    <a:ln>
                      <a:noFill/>
                    </a:ln>
                  </pic:spPr>
                </pic:pic>
              </a:graphicData>
            </a:graphic>
          </wp:inline>
        </w:drawing>
      </w:r>
    </w:p>
    <w:p w14:paraId="04F15605" w14:textId="77777777" w:rsidR="005F3FF6" w:rsidRDefault="009B2A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3 The electrocardiogram shows inferior myocardial infarction after the patient has taken a bath.</w:t>
      </w:r>
    </w:p>
    <w:p w14:paraId="397DA4B4" w14:textId="77777777" w:rsidR="005F3FF6" w:rsidRDefault="005F3FF6">
      <w:pPr>
        <w:rPr>
          <w:rFonts w:ascii="Book Antiqua" w:eastAsia="Book Antiqua" w:hAnsi="Book Antiqua" w:cs="Book Antiqua"/>
          <w:b/>
          <w:color w:val="000000"/>
        </w:rPr>
      </w:pPr>
      <w:r>
        <w:rPr>
          <w:rFonts w:ascii="Book Antiqua" w:eastAsia="Book Antiqua" w:hAnsi="Book Antiqua" w:cs="Book Antiqua"/>
          <w:b/>
          <w:color w:val="000000"/>
        </w:rPr>
        <w:br w:type="page"/>
      </w:r>
    </w:p>
    <w:p w14:paraId="242471A6" w14:textId="33AEE3CB" w:rsidR="00BD474D" w:rsidRDefault="007B0C26">
      <w:pPr>
        <w:spacing w:line="360" w:lineRule="auto"/>
        <w:jc w:val="both"/>
        <w:rPr>
          <w:rFonts w:ascii="Book Antiqua" w:eastAsia="Book Antiqua" w:hAnsi="Book Antiqua" w:cs="Book Antiqua"/>
          <w:color w:val="000000"/>
        </w:rPr>
      </w:pPr>
      <w:r>
        <w:rPr>
          <w:noProof/>
        </w:rPr>
        <w:lastRenderedPageBreak/>
        <w:drawing>
          <wp:inline distT="0" distB="0" distL="0" distR="0" wp14:anchorId="4ED0751A" wp14:editId="09744A07">
            <wp:extent cx="5943600" cy="20859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r w:rsidR="009B2ABB">
        <w:rPr>
          <w:rFonts w:ascii="Book Antiqua" w:eastAsia="Book Antiqua" w:hAnsi="Book Antiqua" w:cs="Book Antiqua"/>
          <w:b/>
          <w:color w:val="000000"/>
        </w:rPr>
        <w:t>Figure 4 Acute thrombosis in a stent undergoing emergency percutaneous coronary intervention</w:t>
      </w:r>
      <w:r w:rsidR="009B2ABB">
        <w:rPr>
          <w:rFonts w:ascii="Book Antiqua" w:hAnsi="Book Antiqua" w:hint="eastAsia"/>
          <w:b/>
          <w:lang w:eastAsia="zh-CN"/>
        </w:rPr>
        <w:t>.</w:t>
      </w:r>
      <w:r w:rsidR="009B2ABB">
        <w:rPr>
          <w:rFonts w:ascii="Book Antiqua" w:hAnsi="Book Antiqua"/>
          <w:b/>
          <w:lang w:eastAsia="zh-CN"/>
        </w:rPr>
        <w:t xml:space="preserve"> </w:t>
      </w:r>
      <w:r w:rsidR="009B2ABB">
        <w:rPr>
          <w:rFonts w:ascii="Book Antiqua" w:eastAsia="Book Antiqua" w:hAnsi="Book Antiqua" w:cs="Book Antiqua"/>
          <w:color w:val="000000"/>
        </w:rPr>
        <w:t>A: The proximal part of the right coronary artery stent is occluded; B: After thrombus formation in the balloon-expanded stent, 90% stenosis of the distal right coronary artery is seen on the radiograph; C: The distal part of the right coronary artery is patent after the second nitroglycerin administration into the coronary artery, with Thrombolysis in Myocardial Infarction flow grade 3.</w:t>
      </w:r>
    </w:p>
    <w:p w14:paraId="2528A222" w14:textId="77777777" w:rsidR="00BD474D" w:rsidRDefault="009B2ABB">
      <w:pPr>
        <w:rPr>
          <w:rFonts w:ascii="Book Antiqua" w:eastAsia="Book Antiqua" w:hAnsi="Book Antiqua" w:cs="Book Antiqua"/>
          <w:color w:val="000000"/>
        </w:rPr>
      </w:pPr>
      <w:r>
        <w:rPr>
          <w:rFonts w:ascii="Book Antiqua" w:eastAsia="Book Antiqua" w:hAnsi="Book Antiqua" w:cs="Book Antiqua"/>
          <w:color w:val="000000"/>
        </w:rPr>
        <w:br w:type="page"/>
      </w:r>
    </w:p>
    <w:p w14:paraId="22E0A801" w14:textId="41E69114" w:rsidR="00BD474D" w:rsidRDefault="007B0C26">
      <w:pPr>
        <w:spacing w:line="360" w:lineRule="auto"/>
        <w:jc w:val="both"/>
        <w:rPr>
          <w:rFonts w:ascii="Book Antiqua" w:hAnsi="Book Antiqua"/>
        </w:rPr>
      </w:pPr>
      <w:r>
        <w:rPr>
          <w:noProof/>
        </w:rPr>
        <w:lastRenderedPageBreak/>
        <w:drawing>
          <wp:inline distT="0" distB="0" distL="0" distR="0" wp14:anchorId="4B96DD2E" wp14:editId="43FC521A">
            <wp:extent cx="5829300" cy="1927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1927860"/>
                    </a:xfrm>
                    <a:prstGeom prst="rect">
                      <a:avLst/>
                    </a:prstGeom>
                    <a:noFill/>
                    <a:ln>
                      <a:noFill/>
                    </a:ln>
                  </pic:spPr>
                </pic:pic>
              </a:graphicData>
            </a:graphic>
          </wp:inline>
        </w:drawing>
      </w:r>
    </w:p>
    <w:p w14:paraId="1F99E3F0" w14:textId="77777777" w:rsidR="005F3FF6" w:rsidRDefault="009B2AB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5 Intravascular ultrasound shows coronary stenosis. </w:t>
      </w:r>
      <w:r>
        <w:rPr>
          <w:rFonts w:ascii="Book Antiqua" w:eastAsia="Book Antiqua" w:hAnsi="Book Antiqua" w:cs="Book Antiqua"/>
          <w:color w:val="000000"/>
        </w:rPr>
        <w:t>A: The distal end of the right coronary artery shows no stenosis; B: The stent adheres well and shows no stenosis.</w:t>
      </w:r>
    </w:p>
    <w:p w14:paraId="6DCA4327" w14:textId="77777777" w:rsidR="005F3FF6" w:rsidRDefault="005F3FF6">
      <w:pPr>
        <w:rPr>
          <w:rFonts w:ascii="Book Antiqua" w:eastAsia="Book Antiqua" w:hAnsi="Book Antiqua" w:cs="Book Antiqua"/>
          <w:color w:val="000000"/>
        </w:rPr>
      </w:pPr>
      <w:r>
        <w:rPr>
          <w:rFonts w:ascii="Book Antiqua" w:eastAsia="Book Antiqua" w:hAnsi="Book Antiqua" w:cs="Book Antiqua"/>
          <w:color w:val="000000"/>
        </w:rPr>
        <w:br w:type="page"/>
      </w:r>
    </w:p>
    <w:p w14:paraId="037F2EA0" w14:textId="77777777" w:rsidR="002C7BC7" w:rsidRDefault="002C7BC7" w:rsidP="002C7BC7">
      <w:pPr>
        <w:jc w:val="center"/>
        <w:rPr>
          <w:rFonts w:ascii="Book Antiqua" w:hAnsi="Book Antiqua"/>
        </w:rPr>
      </w:pPr>
    </w:p>
    <w:p w14:paraId="412C628D" w14:textId="77777777" w:rsidR="002C7BC7" w:rsidRDefault="002C7BC7" w:rsidP="002C7BC7">
      <w:pPr>
        <w:jc w:val="center"/>
        <w:rPr>
          <w:rFonts w:ascii="Book Antiqua" w:hAnsi="Book Antiqua"/>
        </w:rPr>
      </w:pPr>
    </w:p>
    <w:p w14:paraId="5ECD9E6D" w14:textId="77777777" w:rsidR="002C7BC7" w:rsidRDefault="002C7BC7" w:rsidP="002C7BC7">
      <w:pPr>
        <w:jc w:val="center"/>
        <w:rPr>
          <w:rFonts w:ascii="Book Antiqua" w:hAnsi="Book Antiqua"/>
        </w:rPr>
      </w:pPr>
    </w:p>
    <w:p w14:paraId="1143A852" w14:textId="77777777" w:rsidR="002C7BC7" w:rsidRDefault="002C7BC7" w:rsidP="002C7BC7">
      <w:pPr>
        <w:jc w:val="center"/>
        <w:rPr>
          <w:rFonts w:ascii="Book Antiqua" w:hAnsi="Book Antiqua"/>
        </w:rPr>
      </w:pPr>
    </w:p>
    <w:p w14:paraId="6B9D1AC4" w14:textId="77777777" w:rsidR="002C7BC7" w:rsidRDefault="002C7BC7" w:rsidP="002C7BC7">
      <w:pPr>
        <w:jc w:val="center"/>
        <w:rPr>
          <w:rFonts w:ascii="Book Antiqua" w:hAnsi="Book Antiqua"/>
        </w:rPr>
      </w:pPr>
    </w:p>
    <w:p w14:paraId="0518CE43" w14:textId="77777777" w:rsidR="002C7BC7" w:rsidRDefault="002C7BC7" w:rsidP="002C7BC7">
      <w:pPr>
        <w:jc w:val="center"/>
        <w:rPr>
          <w:rFonts w:ascii="Book Antiqua" w:hAnsi="Book Antiqua"/>
        </w:rPr>
      </w:pPr>
      <w:r>
        <w:rPr>
          <w:rFonts w:ascii="Book Antiqua" w:hAnsi="Book Antiqua"/>
          <w:noProof/>
          <w:lang w:eastAsia="zh-CN"/>
        </w:rPr>
        <w:drawing>
          <wp:inline distT="0" distB="0" distL="0" distR="0" wp14:anchorId="7BF5D869" wp14:editId="217C3626">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AD99F6" w14:textId="77777777" w:rsidR="002C7BC7" w:rsidRDefault="002C7BC7" w:rsidP="002C7BC7">
      <w:pPr>
        <w:jc w:val="center"/>
        <w:rPr>
          <w:rFonts w:ascii="Book Antiqua" w:hAnsi="Book Antiqua"/>
        </w:rPr>
      </w:pPr>
    </w:p>
    <w:p w14:paraId="55F83FFE" w14:textId="77777777" w:rsidR="002C7BC7" w:rsidRDefault="002C7BC7" w:rsidP="002C7BC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FBBD402" w14:textId="77777777" w:rsidR="002C7BC7" w:rsidRDefault="002C7BC7" w:rsidP="002C7BC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3C1174F" w14:textId="77777777" w:rsidR="002C7BC7" w:rsidRDefault="002C7BC7" w:rsidP="002C7BC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1A80F96" w14:textId="77777777" w:rsidR="002C7BC7" w:rsidRDefault="002C7BC7" w:rsidP="002C7B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76AB7D3" w14:textId="77777777" w:rsidR="002C7BC7" w:rsidRDefault="002C7BC7" w:rsidP="002C7B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1AD451" w14:textId="77777777" w:rsidR="002C7BC7" w:rsidRDefault="002C7BC7" w:rsidP="002C7BC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450303F" w14:textId="77777777" w:rsidR="002C7BC7" w:rsidRDefault="002C7BC7" w:rsidP="002C7BC7">
      <w:pPr>
        <w:jc w:val="center"/>
        <w:rPr>
          <w:rFonts w:ascii="Book Antiqua" w:hAnsi="Book Antiqua"/>
        </w:rPr>
      </w:pPr>
    </w:p>
    <w:p w14:paraId="5357AE70" w14:textId="77777777" w:rsidR="002C7BC7" w:rsidRDefault="002C7BC7" w:rsidP="002C7BC7">
      <w:pPr>
        <w:jc w:val="center"/>
        <w:rPr>
          <w:rFonts w:ascii="Book Antiqua" w:hAnsi="Book Antiqua"/>
        </w:rPr>
      </w:pPr>
    </w:p>
    <w:p w14:paraId="65CBD873" w14:textId="77777777" w:rsidR="002C7BC7" w:rsidRDefault="002C7BC7" w:rsidP="002C7BC7">
      <w:pPr>
        <w:jc w:val="center"/>
        <w:rPr>
          <w:rFonts w:ascii="Book Antiqua" w:hAnsi="Book Antiqua"/>
        </w:rPr>
      </w:pPr>
    </w:p>
    <w:p w14:paraId="583BA4D8" w14:textId="77777777" w:rsidR="002C7BC7" w:rsidRDefault="002C7BC7" w:rsidP="002C7BC7">
      <w:pPr>
        <w:jc w:val="center"/>
        <w:rPr>
          <w:rFonts w:ascii="Book Antiqua" w:hAnsi="Book Antiqua"/>
        </w:rPr>
      </w:pPr>
      <w:r>
        <w:rPr>
          <w:rFonts w:ascii="Book Antiqua" w:hAnsi="Book Antiqua"/>
          <w:noProof/>
          <w:lang w:eastAsia="zh-CN"/>
        </w:rPr>
        <w:drawing>
          <wp:inline distT="0" distB="0" distL="0" distR="0" wp14:anchorId="353608FA" wp14:editId="750328FF">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2FCFFC" w14:textId="77777777" w:rsidR="002C7BC7" w:rsidRDefault="002C7BC7" w:rsidP="002C7BC7">
      <w:pPr>
        <w:jc w:val="center"/>
        <w:rPr>
          <w:rFonts w:ascii="Book Antiqua" w:hAnsi="Book Antiqua"/>
        </w:rPr>
      </w:pPr>
    </w:p>
    <w:p w14:paraId="5C4A9E08" w14:textId="77777777" w:rsidR="002C7BC7" w:rsidRDefault="002C7BC7" w:rsidP="002C7BC7">
      <w:pPr>
        <w:jc w:val="center"/>
        <w:rPr>
          <w:rFonts w:ascii="Book Antiqua" w:hAnsi="Book Antiqua"/>
        </w:rPr>
      </w:pPr>
    </w:p>
    <w:p w14:paraId="359D8E8C" w14:textId="77777777" w:rsidR="002C7BC7" w:rsidRDefault="002C7BC7" w:rsidP="002C7BC7">
      <w:pPr>
        <w:jc w:val="center"/>
        <w:rPr>
          <w:rFonts w:ascii="Book Antiqua" w:hAnsi="Book Antiqua"/>
        </w:rPr>
      </w:pPr>
    </w:p>
    <w:p w14:paraId="78726214" w14:textId="77777777" w:rsidR="002C7BC7" w:rsidRDefault="002C7BC7" w:rsidP="002C7BC7">
      <w:pPr>
        <w:jc w:val="center"/>
        <w:rPr>
          <w:rFonts w:ascii="Book Antiqua" w:hAnsi="Book Antiqua"/>
        </w:rPr>
      </w:pPr>
    </w:p>
    <w:p w14:paraId="57299592" w14:textId="77777777" w:rsidR="002C7BC7" w:rsidRDefault="002C7BC7" w:rsidP="002C7BC7">
      <w:pPr>
        <w:jc w:val="center"/>
        <w:rPr>
          <w:rFonts w:ascii="Book Antiqua" w:hAnsi="Book Antiqua"/>
        </w:rPr>
      </w:pPr>
    </w:p>
    <w:p w14:paraId="715BE910" w14:textId="77777777" w:rsidR="002C7BC7" w:rsidRDefault="002C7BC7" w:rsidP="002C7BC7">
      <w:pPr>
        <w:jc w:val="center"/>
        <w:rPr>
          <w:rFonts w:ascii="Book Antiqua" w:hAnsi="Book Antiqua"/>
        </w:rPr>
      </w:pPr>
    </w:p>
    <w:p w14:paraId="6E0901A5" w14:textId="77777777" w:rsidR="002C7BC7" w:rsidRDefault="002C7BC7" w:rsidP="002C7BC7">
      <w:pPr>
        <w:jc w:val="center"/>
        <w:rPr>
          <w:rFonts w:ascii="Book Antiqua" w:hAnsi="Book Antiqua"/>
        </w:rPr>
      </w:pPr>
    </w:p>
    <w:p w14:paraId="6A911A70" w14:textId="77777777" w:rsidR="002C7BC7" w:rsidRDefault="002C7BC7" w:rsidP="002C7BC7">
      <w:pPr>
        <w:jc w:val="center"/>
        <w:rPr>
          <w:rFonts w:ascii="Book Antiqua" w:hAnsi="Book Antiqua"/>
        </w:rPr>
      </w:pPr>
    </w:p>
    <w:p w14:paraId="5BB0327F" w14:textId="77777777" w:rsidR="002C7BC7" w:rsidRDefault="002C7BC7" w:rsidP="002C7BC7">
      <w:pPr>
        <w:jc w:val="center"/>
        <w:rPr>
          <w:rFonts w:ascii="Book Antiqua" w:hAnsi="Book Antiqua"/>
        </w:rPr>
      </w:pPr>
    </w:p>
    <w:p w14:paraId="118E1CFD" w14:textId="77777777" w:rsidR="002C7BC7" w:rsidRDefault="002C7BC7" w:rsidP="002C7BC7">
      <w:pPr>
        <w:jc w:val="right"/>
        <w:rPr>
          <w:rFonts w:ascii="Book Antiqua" w:hAnsi="Book Antiqua"/>
          <w:color w:val="000000" w:themeColor="text1"/>
        </w:rPr>
      </w:pPr>
    </w:p>
    <w:p w14:paraId="13FACA23" w14:textId="77777777" w:rsidR="002C7BC7" w:rsidRDefault="002C7BC7" w:rsidP="002C7BC7">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7296B59" w14:textId="77777777" w:rsidR="00BD474D" w:rsidRDefault="00BD474D">
      <w:pPr>
        <w:spacing w:line="360" w:lineRule="auto"/>
        <w:jc w:val="both"/>
        <w:rPr>
          <w:rFonts w:ascii="Book Antiqua" w:hAnsi="Book Antiqua"/>
        </w:rPr>
      </w:pPr>
    </w:p>
    <w:sectPr w:rsidR="00BD47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6645" w14:textId="77777777" w:rsidR="00C26A3B" w:rsidRDefault="00C26A3B">
      <w:r>
        <w:separator/>
      </w:r>
    </w:p>
  </w:endnote>
  <w:endnote w:type="continuationSeparator" w:id="0">
    <w:p w14:paraId="206F31A0" w14:textId="77777777" w:rsidR="00C26A3B" w:rsidRDefault="00C2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07788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4DF614C2" w14:textId="77777777" w:rsidR="00BD474D" w:rsidRDefault="009B2ABB">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B1D66">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B1D66">
              <w:rPr>
                <w:rFonts w:ascii="Book Antiqua" w:hAnsi="Book Antiqua"/>
                <w:b/>
                <w:bCs/>
                <w:noProof/>
                <w:sz w:val="24"/>
                <w:szCs w:val="24"/>
              </w:rPr>
              <w:t>19</w:t>
            </w:r>
            <w:r>
              <w:rPr>
                <w:rFonts w:ascii="Book Antiqua" w:hAnsi="Book Antiqua"/>
                <w:b/>
                <w:bCs/>
                <w:sz w:val="24"/>
                <w:szCs w:val="24"/>
              </w:rPr>
              <w:fldChar w:fldCharType="end"/>
            </w:r>
          </w:p>
        </w:sdtContent>
      </w:sdt>
    </w:sdtContent>
  </w:sdt>
  <w:p w14:paraId="74872ED0" w14:textId="77777777" w:rsidR="00BD474D" w:rsidRDefault="00BD474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53779" w14:textId="77777777" w:rsidR="00C26A3B" w:rsidRDefault="00C26A3B">
      <w:r>
        <w:separator/>
      </w:r>
    </w:p>
  </w:footnote>
  <w:footnote w:type="continuationSeparator" w:id="0">
    <w:p w14:paraId="5AA730A7" w14:textId="77777777" w:rsidR="00C26A3B" w:rsidRDefault="00C26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BDD"/>
    <w:rsid w:val="00010DEB"/>
    <w:rsid w:val="00044BF7"/>
    <w:rsid w:val="00047591"/>
    <w:rsid w:val="000B2108"/>
    <w:rsid w:val="000C7BCD"/>
    <w:rsid w:val="000D2043"/>
    <w:rsid w:val="000D338C"/>
    <w:rsid w:val="00101620"/>
    <w:rsid w:val="00141983"/>
    <w:rsid w:val="00143CFD"/>
    <w:rsid w:val="00155F3B"/>
    <w:rsid w:val="00160C6F"/>
    <w:rsid w:val="001634AB"/>
    <w:rsid w:val="0016717A"/>
    <w:rsid w:val="001C05E4"/>
    <w:rsid w:val="001C4AE3"/>
    <w:rsid w:val="001E4D5D"/>
    <w:rsid w:val="00205517"/>
    <w:rsid w:val="00220736"/>
    <w:rsid w:val="0025101B"/>
    <w:rsid w:val="0025519A"/>
    <w:rsid w:val="002770A2"/>
    <w:rsid w:val="00285AB3"/>
    <w:rsid w:val="00287213"/>
    <w:rsid w:val="002B6E1E"/>
    <w:rsid w:val="002C15EC"/>
    <w:rsid w:val="002C1F34"/>
    <w:rsid w:val="002C7BC7"/>
    <w:rsid w:val="002D2A97"/>
    <w:rsid w:val="00301598"/>
    <w:rsid w:val="00304F50"/>
    <w:rsid w:val="00311409"/>
    <w:rsid w:val="00333D57"/>
    <w:rsid w:val="00335086"/>
    <w:rsid w:val="003411FE"/>
    <w:rsid w:val="00350706"/>
    <w:rsid w:val="00357709"/>
    <w:rsid w:val="003964B2"/>
    <w:rsid w:val="003B0056"/>
    <w:rsid w:val="003B05A9"/>
    <w:rsid w:val="003F4068"/>
    <w:rsid w:val="00407EBA"/>
    <w:rsid w:val="004253EC"/>
    <w:rsid w:val="0044207F"/>
    <w:rsid w:val="00463DA5"/>
    <w:rsid w:val="00470183"/>
    <w:rsid w:val="004874C9"/>
    <w:rsid w:val="004A6B25"/>
    <w:rsid w:val="004B1B31"/>
    <w:rsid w:val="004D4CD6"/>
    <w:rsid w:val="004E3D96"/>
    <w:rsid w:val="004E7A96"/>
    <w:rsid w:val="00500616"/>
    <w:rsid w:val="00525FC5"/>
    <w:rsid w:val="005441DF"/>
    <w:rsid w:val="005453A1"/>
    <w:rsid w:val="0056089A"/>
    <w:rsid w:val="005920B3"/>
    <w:rsid w:val="005A09D3"/>
    <w:rsid w:val="005A426D"/>
    <w:rsid w:val="005A4C0D"/>
    <w:rsid w:val="005B7581"/>
    <w:rsid w:val="005E5CC7"/>
    <w:rsid w:val="005F3FF6"/>
    <w:rsid w:val="005F455C"/>
    <w:rsid w:val="0060204D"/>
    <w:rsid w:val="006031FC"/>
    <w:rsid w:val="00614554"/>
    <w:rsid w:val="0061583D"/>
    <w:rsid w:val="006238EE"/>
    <w:rsid w:val="006447BA"/>
    <w:rsid w:val="00653030"/>
    <w:rsid w:val="006574A7"/>
    <w:rsid w:val="006728F3"/>
    <w:rsid w:val="00677315"/>
    <w:rsid w:val="00685ACF"/>
    <w:rsid w:val="0069773B"/>
    <w:rsid w:val="006B44F8"/>
    <w:rsid w:val="006C6274"/>
    <w:rsid w:val="006F6146"/>
    <w:rsid w:val="00711F12"/>
    <w:rsid w:val="00714D79"/>
    <w:rsid w:val="0072034E"/>
    <w:rsid w:val="0076198A"/>
    <w:rsid w:val="00767414"/>
    <w:rsid w:val="00772471"/>
    <w:rsid w:val="007743B7"/>
    <w:rsid w:val="00777D26"/>
    <w:rsid w:val="00784C82"/>
    <w:rsid w:val="00784CA4"/>
    <w:rsid w:val="00797F1A"/>
    <w:rsid w:val="007A4673"/>
    <w:rsid w:val="007A5720"/>
    <w:rsid w:val="007B0C26"/>
    <w:rsid w:val="007B757A"/>
    <w:rsid w:val="007D76AC"/>
    <w:rsid w:val="00807DFA"/>
    <w:rsid w:val="00822C4D"/>
    <w:rsid w:val="008326F5"/>
    <w:rsid w:val="0084301D"/>
    <w:rsid w:val="00856928"/>
    <w:rsid w:val="00857CF4"/>
    <w:rsid w:val="00864305"/>
    <w:rsid w:val="00872D79"/>
    <w:rsid w:val="008A312A"/>
    <w:rsid w:val="008E3C0E"/>
    <w:rsid w:val="0093122C"/>
    <w:rsid w:val="00937505"/>
    <w:rsid w:val="00954FD3"/>
    <w:rsid w:val="00961659"/>
    <w:rsid w:val="0096207C"/>
    <w:rsid w:val="00986E87"/>
    <w:rsid w:val="009B1D66"/>
    <w:rsid w:val="009B2ABB"/>
    <w:rsid w:val="009B43C6"/>
    <w:rsid w:val="009C10C7"/>
    <w:rsid w:val="009C7B52"/>
    <w:rsid w:val="009F1201"/>
    <w:rsid w:val="00A169E1"/>
    <w:rsid w:val="00A2235D"/>
    <w:rsid w:val="00A2649B"/>
    <w:rsid w:val="00A45FB1"/>
    <w:rsid w:val="00A76C27"/>
    <w:rsid w:val="00A77B3E"/>
    <w:rsid w:val="00A81D84"/>
    <w:rsid w:val="00AC29B7"/>
    <w:rsid w:val="00AD6AFD"/>
    <w:rsid w:val="00AD7892"/>
    <w:rsid w:val="00B11B8C"/>
    <w:rsid w:val="00B2394B"/>
    <w:rsid w:val="00B9722E"/>
    <w:rsid w:val="00BC4C32"/>
    <w:rsid w:val="00BD474D"/>
    <w:rsid w:val="00BE1B00"/>
    <w:rsid w:val="00BF1632"/>
    <w:rsid w:val="00C11522"/>
    <w:rsid w:val="00C12A08"/>
    <w:rsid w:val="00C26A3B"/>
    <w:rsid w:val="00C32ADE"/>
    <w:rsid w:val="00C34CC6"/>
    <w:rsid w:val="00C40882"/>
    <w:rsid w:val="00C564EB"/>
    <w:rsid w:val="00C63257"/>
    <w:rsid w:val="00C64A7B"/>
    <w:rsid w:val="00C71203"/>
    <w:rsid w:val="00C819C1"/>
    <w:rsid w:val="00C824FB"/>
    <w:rsid w:val="00C967AF"/>
    <w:rsid w:val="00CA2A55"/>
    <w:rsid w:val="00CC4D31"/>
    <w:rsid w:val="00CD222C"/>
    <w:rsid w:val="00CD38EA"/>
    <w:rsid w:val="00CD4D6F"/>
    <w:rsid w:val="00CE66EB"/>
    <w:rsid w:val="00CF1E25"/>
    <w:rsid w:val="00D146CB"/>
    <w:rsid w:val="00D21390"/>
    <w:rsid w:val="00D2225E"/>
    <w:rsid w:val="00D23912"/>
    <w:rsid w:val="00D502C1"/>
    <w:rsid w:val="00D50E7C"/>
    <w:rsid w:val="00D56870"/>
    <w:rsid w:val="00D831AF"/>
    <w:rsid w:val="00D92318"/>
    <w:rsid w:val="00DA22D1"/>
    <w:rsid w:val="00DE0A2A"/>
    <w:rsid w:val="00DF4CB8"/>
    <w:rsid w:val="00DF4E80"/>
    <w:rsid w:val="00E07A18"/>
    <w:rsid w:val="00E309CC"/>
    <w:rsid w:val="00E37F2B"/>
    <w:rsid w:val="00E77BC2"/>
    <w:rsid w:val="00E91290"/>
    <w:rsid w:val="00E91B45"/>
    <w:rsid w:val="00ED6502"/>
    <w:rsid w:val="00EE3565"/>
    <w:rsid w:val="00F06407"/>
    <w:rsid w:val="00F403BC"/>
    <w:rsid w:val="00F52473"/>
    <w:rsid w:val="00F67250"/>
    <w:rsid w:val="00F80336"/>
    <w:rsid w:val="00F913E8"/>
    <w:rsid w:val="00F923AD"/>
    <w:rsid w:val="00FA4975"/>
    <w:rsid w:val="00FE0BB8"/>
    <w:rsid w:val="00FE7596"/>
    <w:rsid w:val="00FF46C6"/>
    <w:rsid w:val="7F6F28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F63BB"/>
  <w15:docId w15:val="{655288E4-DE77-493A-ACDE-97B3B000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Hyperlink"/>
    <w:basedOn w:val="a0"/>
    <w:unhideWhenUsed/>
    <w:rPr>
      <w:color w:val="0000FF" w:themeColor="hyperlink"/>
      <w:u w:val="single"/>
    </w:rPr>
  </w:style>
  <w:style w:type="character" w:styleId="ae">
    <w:name w:val="annotation reference"/>
    <w:basedOn w:val="a0"/>
    <w:semiHidden/>
    <w:unhideWhenUsed/>
    <w:rPr>
      <w:sz w:val="16"/>
      <w:szCs w:val="16"/>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qFormat/>
  </w:style>
  <w:style w:type="character" w:customStyle="1" w:styleId="ac">
    <w:name w:val="批注主题 字符"/>
    <w:basedOn w:val="a4"/>
    <w:link w:val="ab"/>
    <w:semiHidden/>
    <w:rPr>
      <w:b/>
      <w:bCs/>
    </w:rPr>
  </w:style>
  <w:style w:type="character" w:customStyle="1" w:styleId="10">
    <w:name w:val="未处理的提及1"/>
    <w:basedOn w:val="a0"/>
    <w:uiPriority w:val="99"/>
    <w:semiHidden/>
    <w:unhideWhenUsed/>
    <w:rPr>
      <w:color w:val="605E5C"/>
      <w:shd w:val="clear" w:color="auto" w:fill="E1DFDD"/>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00635">
      <w:bodyDiv w:val="1"/>
      <w:marLeft w:val="0"/>
      <w:marRight w:val="0"/>
      <w:marTop w:val="0"/>
      <w:marBottom w:val="0"/>
      <w:divBdr>
        <w:top w:val="none" w:sz="0" w:space="0" w:color="auto"/>
        <w:left w:val="none" w:sz="0" w:space="0" w:color="auto"/>
        <w:bottom w:val="none" w:sz="0" w:space="0" w:color="auto"/>
        <w:right w:val="none" w:sz="0" w:space="0" w:color="auto"/>
      </w:divBdr>
    </w:div>
    <w:div w:id="1396851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3371</Words>
  <Characters>19221</Characters>
  <Application>Microsoft Office Word</Application>
  <DocSecurity>0</DocSecurity>
  <Lines>160</Lines>
  <Paragraphs>45</Paragraphs>
  <ScaleCrop>false</ScaleCrop>
  <Company>HP</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Akanksha Akanksha</dc:creator>
  <cp:lastModifiedBy>li xiang</cp:lastModifiedBy>
  <cp:revision>10</cp:revision>
  <dcterms:created xsi:type="dcterms:W3CDTF">2022-02-19T20:27:00Z</dcterms:created>
  <dcterms:modified xsi:type="dcterms:W3CDTF">2022-03-22T10:47:00Z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58ED3B02F3584616A86635460DBA76F7</vt:lpwstr>
  </property>
</Properties>
</file>