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E3" w:rsidRPr="00EF7CB1" w:rsidRDefault="007275E3" w:rsidP="00A60D1E">
      <w:pPr>
        <w:adjustRightInd w:val="0"/>
        <w:snapToGrid w:val="0"/>
        <w:spacing w:after="0" w:line="360" w:lineRule="auto"/>
        <w:jc w:val="both"/>
        <w:rPr>
          <w:rFonts w:ascii="Book Antiqua" w:eastAsia="BatangChe" w:hAnsi="Book Antiqua"/>
          <w:i/>
          <w:sz w:val="24"/>
          <w:szCs w:val="24"/>
          <w:lang w:val="en-GB"/>
        </w:rPr>
      </w:pPr>
      <w:bookmarkStart w:id="0" w:name="OLE_LINK19"/>
      <w:bookmarkStart w:id="1" w:name="OLE_LINK20"/>
      <w:bookmarkStart w:id="2" w:name="OLE_LINK28"/>
      <w:bookmarkStart w:id="3" w:name="OLE_LINK29"/>
      <w:bookmarkStart w:id="4" w:name="OLE_LINK53"/>
      <w:r w:rsidRPr="00EF7CB1">
        <w:rPr>
          <w:rFonts w:ascii="Book Antiqua" w:eastAsia="BatangChe" w:hAnsi="Book Antiqua"/>
          <w:b/>
          <w:sz w:val="24"/>
          <w:szCs w:val="24"/>
          <w:lang w:val="en-GB"/>
        </w:rPr>
        <w:t xml:space="preserve">Name of journal: </w:t>
      </w:r>
      <w:r w:rsidRPr="00EF7CB1">
        <w:rPr>
          <w:rFonts w:ascii="Book Antiqua" w:eastAsia="BatangChe" w:hAnsi="Book Antiqua"/>
          <w:i/>
          <w:sz w:val="24"/>
          <w:szCs w:val="24"/>
          <w:lang w:val="en-GB"/>
        </w:rPr>
        <w:t>World Journal of Gastroenterology</w:t>
      </w:r>
    </w:p>
    <w:p w:rsidR="007275E3" w:rsidRPr="00EF7CB1" w:rsidRDefault="007275E3" w:rsidP="00A60D1E">
      <w:pPr>
        <w:adjustRightInd w:val="0"/>
        <w:snapToGrid w:val="0"/>
        <w:spacing w:after="0" w:line="360" w:lineRule="auto"/>
        <w:jc w:val="both"/>
        <w:rPr>
          <w:rFonts w:ascii="Book Antiqua" w:hAnsi="Book Antiqua"/>
          <w:b/>
          <w:sz w:val="24"/>
          <w:szCs w:val="24"/>
          <w:lang w:val="en-GB" w:eastAsia="zh-CN"/>
        </w:rPr>
      </w:pPr>
      <w:r w:rsidRPr="00EF7CB1">
        <w:rPr>
          <w:rFonts w:ascii="Book Antiqua" w:eastAsia="BatangChe" w:hAnsi="Book Antiqua"/>
          <w:b/>
          <w:sz w:val="24"/>
          <w:szCs w:val="24"/>
          <w:lang w:val="en-GB"/>
        </w:rPr>
        <w:t xml:space="preserve">ESPS Manuscript NO: </w:t>
      </w:r>
      <w:r w:rsidRPr="00EF7CB1">
        <w:rPr>
          <w:rFonts w:ascii="Book Antiqua" w:hAnsi="Book Antiqua"/>
          <w:b/>
          <w:sz w:val="24"/>
          <w:szCs w:val="24"/>
          <w:lang w:val="en-GB"/>
        </w:rPr>
        <w:t>7</w:t>
      </w:r>
      <w:r w:rsidRPr="00EF7CB1">
        <w:rPr>
          <w:rFonts w:ascii="Book Antiqua" w:hAnsi="Book Antiqua"/>
          <w:b/>
          <w:sz w:val="24"/>
          <w:szCs w:val="24"/>
          <w:lang w:val="en-GB" w:eastAsia="zh-CN"/>
        </w:rPr>
        <w:t>245</w:t>
      </w:r>
    </w:p>
    <w:p w:rsidR="007275E3" w:rsidRPr="000D334C" w:rsidRDefault="007275E3" w:rsidP="00A60D1E">
      <w:pPr>
        <w:adjustRightInd w:val="0"/>
        <w:snapToGrid w:val="0"/>
        <w:spacing w:after="0" w:line="360" w:lineRule="auto"/>
        <w:jc w:val="both"/>
        <w:rPr>
          <w:rFonts w:ascii="Book Antiqua" w:hAnsi="Book Antiqua"/>
          <w:b/>
          <w:sz w:val="24"/>
          <w:szCs w:val="24"/>
          <w:lang w:val="en-GB"/>
        </w:rPr>
      </w:pPr>
      <w:r w:rsidRPr="00EF7CB1">
        <w:rPr>
          <w:rFonts w:ascii="Book Antiqua" w:eastAsia="BatangChe" w:hAnsi="Book Antiqua"/>
          <w:b/>
          <w:sz w:val="24"/>
          <w:szCs w:val="24"/>
          <w:lang w:val="en-GB"/>
        </w:rPr>
        <w:t>Columns:</w:t>
      </w:r>
      <w:bookmarkEnd w:id="0"/>
      <w:bookmarkEnd w:id="1"/>
      <w:r w:rsidRPr="000D334C">
        <w:rPr>
          <w:rFonts w:ascii="Book Antiqua" w:hAnsi="Book Antiqua"/>
          <w:b/>
          <w:sz w:val="24"/>
          <w:szCs w:val="24"/>
          <w:lang w:val="en-GB"/>
        </w:rPr>
        <w:t xml:space="preserve"> </w:t>
      </w:r>
      <w:bookmarkStart w:id="5" w:name="OLE_LINK56"/>
      <w:bookmarkStart w:id="6" w:name="OLE_LINK57"/>
      <w:bookmarkEnd w:id="2"/>
      <w:bookmarkEnd w:id="3"/>
      <w:r w:rsidRPr="000D334C">
        <w:rPr>
          <w:rFonts w:ascii="Book Antiqua" w:hAnsi="Book Antiqua"/>
          <w:b/>
          <w:sz w:val="24"/>
          <w:szCs w:val="24"/>
          <w:lang w:val="en-GB"/>
        </w:rPr>
        <w:t>PROSPECTIVE STUDY</w:t>
      </w:r>
    </w:p>
    <w:bookmarkEnd w:id="4"/>
    <w:bookmarkEnd w:id="5"/>
    <w:bookmarkEnd w:id="6"/>
    <w:p w:rsidR="007275E3" w:rsidRPr="00EF7CB1" w:rsidRDefault="007275E3" w:rsidP="00A60D1E">
      <w:pPr>
        <w:spacing w:after="0" w:line="360" w:lineRule="auto"/>
        <w:jc w:val="both"/>
        <w:rPr>
          <w:rFonts w:ascii="Book Antiqua" w:eastAsia="幼圆" w:hAnsi="Book Antiqua" w:cs="宋体"/>
          <w:b/>
          <w:bCs/>
          <w:sz w:val="24"/>
          <w:szCs w:val="24"/>
          <w:lang w:val="en-GB"/>
        </w:rPr>
      </w:pPr>
    </w:p>
    <w:p w:rsidR="007275E3" w:rsidRPr="00EF7CB1" w:rsidRDefault="007275E3" w:rsidP="00A60D1E">
      <w:pPr>
        <w:spacing w:after="0" w:line="360" w:lineRule="auto"/>
        <w:jc w:val="both"/>
        <w:rPr>
          <w:rFonts w:ascii="Book Antiqua" w:hAnsi="Book Antiqua" w:cs="Arial"/>
          <w:b/>
          <w:sz w:val="24"/>
          <w:szCs w:val="24"/>
        </w:rPr>
      </w:pPr>
      <w:r w:rsidRPr="00EF7CB1">
        <w:rPr>
          <w:rFonts w:ascii="Book Antiqua" w:hAnsi="Book Antiqua" w:cs="Arial"/>
          <w:b/>
          <w:sz w:val="24"/>
          <w:szCs w:val="24"/>
        </w:rPr>
        <w:t>Subclinical abnormal glucose tolerance is a predictor of death in liver cirrhosis</w:t>
      </w:r>
    </w:p>
    <w:p w:rsidR="007275E3" w:rsidRPr="00EF7CB1" w:rsidRDefault="007275E3" w:rsidP="00A60D1E">
      <w:pPr>
        <w:spacing w:after="0" w:line="360" w:lineRule="auto"/>
        <w:jc w:val="both"/>
        <w:rPr>
          <w:rFonts w:ascii="Book Antiqua" w:hAnsi="Book Antiqua" w:cs="Arial"/>
          <w:b/>
          <w:sz w:val="24"/>
          <w:szCs w:val="24"/>
        </w:rPr>
      </w:pPr>
    </w:p>
    <w:p w:rsidR="007275E3" w:rsidRPr="00EF7CB1" w:rsidRDefault="007275E3" w:rsidP="00A60D1E">
      <w:pPr>
        <w:spacing w:after="0" w:line="360" w:lineRule="auto"/>
        <w:jc w:val="both"/>
        <w:rPr>
          <w:rFonts w:ascii="Book Antiqua" w:hAnsi="Book Antiqua" w:cs="Arial"/>
          <w:sz w:val="24"/>
          <w:szCs w:val="24"/>
          <w:lang w:val="es-ES"/>
        </w:rPr>
      </w:pPr>
      <w:r w:rsidRPr="00EF7CB1">
        <w:rPr>
          <w:rFonts w:ascii="Book Antiqua" w:hAnsi="Book Antiqua" w:cs="Arial"/>
          <w:sz w:val="24"/>
          <w:szCs w:val="24"/>
          <w:lang w:val="es-ES"/>
        </w:rPr>
        <w:t xml:space="preserve">García-Compeán D </w:t>
      </w:r>
      <w:r w:rsidRPr="00EF7CB1">
        <w:rPr>
          <w:rFonts w:ascii="Book Antiqua" w:hAnsi="Book Antiqua" w:cs="Arial"/>
          <w:i/>
          <w:sz w:val="24"/>
          <w:szCs w:val="24"/>
          <w:lang w:val="es-ES"/>
        </w:rPr>
        <w:t>et al</w:t>
      </w:r>
      <w:r w:rsidRPr="00EF7CB1">
        <w:rPr>
          <w:rFonts w:ascii="Book Antiqua" w:hAnsi="Book Antiqua" w:cs="Arial"/>
          <w:b/>
          <w:sz w:val="24"/>
          <w:szCs w:val="24"/>
          <w:lang w:val="es-ES"/>
        </w:rPr>
        <w:t xml:space="preserve"> </w:t>
      </w:r>
      <w:r w:rsidRPr="00EF7CB1">
        <w:rPr>
          <w:rFonts w:ascii="Book Antiqua" w:hAnsi="Book Antiqua" w:cs="Arial"/>
          <w:sz w:val="24"/>
          <w:szCs w:val="24"/>
          <w:lang w:val="es-ES"/>
        </w:rPr>
        <w:t>Subclinical abnormal glucose tolerance and cirrhosis</w:t>
      </w:r>
    </w:p>
    <w:p w:rsidR="007275E3" w:rsidRPr="00EF7CB1" w:rsidRDefault="007275E3" w:rsidP="00A60D1E">
      <w:pPr>
        <w:spacing w:after="0" w:line="360" w:lineRule="auto"/>
        <w:jc w:val="both"/>
        <w:rPr>
          <w:rFonts w:ascii="Book Antiqua" w:hAnsi="Book Antiqua" w:cs="宋体"/>
          <w:bCs/>
          <w:sz w:val="24"/>
          <w:szCs w:val="24"/>
          <w:lang w:val="es-ES"/>
        </w:rPr>
      </w:pPr>
    </w:p>
    <w:p w:rsidR="007275E3" w:rsidRPr="00EF7CB1" w:rsidRDefault="007275E3" w:rsidP="00A60D1E">
      <w:pPr>
        <w:spacing w:after="0" w:line="360" w:lineRule="auto"/>
        <w:jc w:val="both"/>
        <w:rPr>
          <w:rFonts w:ascii="Book Antiqua" w:hAnsi="Book Antiqua" w:cs="Arial"/>
          <w:sz w:val="24"/>
          <w:szCs w:val="24"/>
          <w:lang w:val="es-ES"/>
        </w:rPr>
      </w:pPr>
      <w:r w:rsidRPr="00EF7CB1">
        <w:rPr>
          <w:rFonts w:ascii="Book Antiqua" w:hAnsi="Book Antiqua" w:cs="Arial"/>
          <w:sz w:val="24"/>
          <w:szCs w:val="24"/>
          <w:lang w:val="es-ES"/>
        </w:rPr>
        <w:t>Diego García-Compeán, Joel Omar Jáquez- Quintana,</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Fernando Javier Lavalle-González,</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José Alberto González-González,</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Linda Elsa Muñoz-Espinosa,</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Jesús Zacarías Villarreal-Pérez,</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Héctor J Maldonado-Garza</w:t>
      </w:r>
    </w:p>
    <w:p w:rsidR="007275E3" w:rsidRPr="00EF7CB1" w:rsidRDefault="00C377FC" w:rsidP="00A60D1E">
      <w:pPr>
        <w:spacing w:after="0" w:line="360" w:lineRule="auto"/>
        <w:jc w:val="both"/>
        <w:rPr>
          <w:rFonts w:ascii="Book Antiqua" w:hAnsi="Book Antiqua"/>
          <w:sz w:val="24"/>
          <w:szCs w:val="24"/>
          <w:lang w:val="es-ES"/>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198120</wp:posOffset>
                </wp:positionV>
                <wp:extent cx="5943600" cy="0"/>
                <wp:effectExtent l="19050" t="26670" r="1905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3R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" strokecolor="gray" strokeweight="3pt"/>
            </w:pict>
          </mc:Fallback>
        </mc:AlternateContent>
      </w:r>
    </w:p>
    <w:p w:rsidR="007275E3" w:rsidRPr="00EF7CB1" w:rsidRDefault="007275E3" w:rsidP="00A60D1E">
      <w:pPr>
        <w:spacing w:after="0" w:line="360" w:lineRule="auto"/>
        <w:jc w:val="both"/>
        <w:rPr>
          <w:rFonts w:ascii="Book Antiqua" w:hAnsi="Book Antiqua" w:cs="Arial"/>
          <w:sz w:val="24"/>
          <w:szCs w:val="24"/>
          <w:lang w:val="es-ES" w:eastAsia="zh-CN"/>
        </w:rPr>
      </w:pPr>
      <w:r w:rsidRPr="00EF7CB1">
        <w:rPr>
          <w:rFonts w:ascii="Book Antiqua" w:hAnsi="Book Antiqua" w:cs="Arial"/>
          <w:b/>
          <w:sz w:val="24"/>
          <w:szCs w:val="24"/>
          <w:lang w:val="es-ES"/>
        </w:rPr>
        <w:t>Diego García-Compeán, Joel Omar Jáquez- Quintana, José Alberto González-González, Héctor J Maldonado-Garza</w:t>
      </w:r>
      <w:r w:rsidRPr="00EF7CB1">
        <w:rPr>
          <w:rFonts w:ascii="Book Antiqua" w:hAnsi="Book Antiqua" w:cs="Arial"/>
          <w:sz w:val="24"/>
          <w:szCs w:val="24"/>
          <w:lang w:val="es-ES" w:eastAsia="zh-CN"/>
        </w:rPr>
        <w:t>,</w:t>
      </w:r>
      <w:r w:rsidRPr="00EF7CB1">
        <w:rPr>
          <w:rFonts w:ascii="Book Antiqua" w:hAnsi="Book Antiqua" w:cs="Arial"/>
          <w:sz w:val="24"/>
          <w:szCs w:val="24"/>
          <w:lang w:val="es-ES"/>
        </w:rPr>
        <w:t xml:space="preserve"> </w:t>
      </w:r>
      <w:r w:rsidRPr="00864629">
        <w:rPr>
          <w:rFonts w:ascii="Book Antiqua" w:hAnsi="Book Antiqua" w:cs="Arial"/>
          <w:sz w:val="24"/>
          <w:szCs w:val="24"/>
          <w:lang w:val="es-ES" w:eastAsia="es-MX"/>
        </w:rPr>
        <w:t>Gastroenterology Service and Department of Internal Medicine, University Hospital "Dr. Jose E. Gonzalez” and Medical School</w:t>
      </w:r>
      <w:r w:rsidRPr="00864629">
        <w:rPr>
          <w:rFonts w:ascii="Book Antiqua" w:hAnsi="Book Antiqua" w:cs="Arial"/>
          <w:sz w:val="24"/>
          <w:szCs w:val="24"/>
          <w:lang w:val="es-ES" w:eastAsia="zh-CN"/>
        </w:rPr>
        <w:t xml:space="preserve">, </w:t>
      </w:r>
      <w:r w:rsidRPr="00EF7CB1">
        <w:rPr>
          <w:rFonts w:ascii="Book Antiqua" w:hAnsi="Book Antiqua" w:cs="Arial"/>
          <w:sz w:val="24"/>
          <w:szCs w:val="24"/>
          <w:lang w:val="es-ES"/>
        </w:rPr>
        <w:t xml:space="preserve">Universidad Autónoma de Nuevo León, </w:t>
      </w:r>
      <w:r w:rsidRPr="00864629">
        <w:rPr>
          <w:rFonts w:ascii="Book Antiqua" w:hAnsi="Book Antiqua" w:cs="Arial"/>
          <w:sz w:val="24"/>
          <w:szCs w:val="24"/>
          <w:lang w:val="es-ES"/>
        </w:rPr>
        <w:t>Monterrey</w:t>
      </w:r>
      <w:r w:rsidRPr="00864629">
        <w:rPr>
          <w:rStyle w:val="a3"/>
          <w:rFonts w:ascii="Book Antiqua" w:hAnsi="Book Antiqua" w:cs="Arial"/>
          <w:color w:val="auto"/>
          <w:sz w:val="24"/>
          <w:szCs w:val="24"/>
          <w:u w:val="none"/>
          <w:lang w:val="es-ES"/>
        </w:rPr>
        <w:t xml:space="preserve"> </w:t>
      </w:r>
      <w:r w:rsidRPr="00864629">
        <w:rPr>
          <w:rStyle w:val="st1"/>
          <w:rFonts w:ascii="Book Antiqua" w:hAnsi="Book Antiqua" w:cs="Arial"/>
          <w:sz w:val="24"/>
          <w:szCs w:val="24"/>
          <w:lang w:val="es-ES"/>
        </w:rPr>
        <w:t>64320</w:t>
      </w:r>
      <w:r w:rsidRPr="00EF7CB1">
        <w:rPr>
          <w:rFonts w:ascii="Book Antiqua" w:hAnsi="Book Antiqua" w:cs="Arial"/>
          <w:sz w:val="24"/>
          <w:szCs w:val="24"/>
          <w:lang w:val="es-ES"/>
        </w:rPr>
        <w:t>, Mexico</w:t>
      </w:r>
    </w:p>
    <w:p w:rsidR="007275E3" w:rsidRPr="00EF7CB1" w:rsidRDefault="007275E3" w:rsidP="00A60D1E">
      <w:pPr>
        <w:spacing w:after="0" w:line="360" w:lineRule="auto"/>
        <w:jc w:val="both"/>
        <w:rPr>
          <w:rFonts w:ascii="Book Antiqua" w:hAnsi="Book Antiqua" w:cs="Arial"/>
          <w:sz w:val="24"/>
          <w:szCs w:val="24"/>
          <w:lang w:val="es-ES" w:eastAsia="zh-CN"/>
        </w:rPr>
      </w:pPr>
    </w:p>
    <w:p w:rsidR="007275E3" w:rsidRPr="00EF7CB1" w:rsidRDefault="007275E3" w:rsidP="00A60D1E">
      <w:pPr>
        <w:spacing w:after="0" w:line="360" w:lineRule="auto"/>
        <w:jc w:val="both"/>
        <w:rPr>
          <w:rFonts w:ascii="Book Antiqua" w:hAnsi="Book Antiqua" w:cs="Arial"/>
          <w:sz w:val="24"/>
          <w:szCs w:val="24"/>
          <w:lang w:val="es-ES" w:eastAsia="zh-CN"/>
        </w:rPr>
      </w:pPr>
      <w:r w:rsidRPr="00EF7CB1">
        <w:rPr>
          <w:rFonts w:ascii="Book Antiqua" w:hAnsi="Book Antiqua" w:cs="Arial"/>
          <w:b/>
          <w:sz w:val="24"/>
          <w:szCs w:val="24"/>
          <w:lang w:val="es-ES"/>
        </w:rPr>
        <w:t>Fernando Javier Lavalle-González, Jesús Zacarías Villarreal-Pérez</w:t>
      </w:r>
      <w:r w:rsidRPr="00EF7CB1">
        <w:rPr>
          <w:rFonts w:ascii="Book Antiqua" w:hAnsi="Book Antiqua" w:cs="Arial"/>
          <w:b/>
          <w:sz w:val="24"/>
          <w:szCs w:val="24"/>
          <w:lang w:val="es-ES" w:eastAsia="zh-CN"/>
        </w:rPr>
        <w:t>,</w:t>
      </w:r>
      <w:r w:rsidRPr="00EF7CB1">
        <w:rPr>
          <w:rFonts w:ascii="Book Antiqua" w:hAnsi="Book Antiqua" w:cs="Arial"/>
          <w:sz w:val="24"/>
          <w:szCs w:val="24"/>
          <w:lang w:val="es-ES"/>
        </w:rPr>
        <w:t xml:space="preserve"> </w:t>
      </w:r>
      <w:r w:rsidRPr="00864629">
        <w:rPr>
          <w:rFonts w:ascii="Book Antiqua" w:hAnsi="Book Antiqua" w:cs="Arial"/>
          <w:sz w:val="24"/>
          <w:szCs w:val="24"/>
          <w:lang w:val="es-ES"/>
        </w:rPr>
        <w:t xml:space="preserve">Endocrinology Service </w:t>
      </w:r>
      <w:r w:rsidRPr="00864629">
        <w:rPr>
          <w:rFonts w:ascii="Book Antiqua" w:hAnsi="Book Antiqua" w:cs="Arial"/>
          <w:sz w:val="24"/>
          <w:szCs w:val="24"/>
          <w:lang w:val="es-ES" w:eastAsia="es-MX"/>
        </w:rPr>
        <w:t>and Department of Internal Medicine, University Hospital "Dr. Jose E. Gonzalez” and Medical School</w:t>
      </w:r>
      <w:r w:rsidRPr="00864629">
        <w:rPr>
          <w:rFonts w:ascii="Book Antiqua" w:hAnsi="Book Antiqua" w:cs="Arial"/>
          <w:sz w:val="24"/>
          <w:szCs w:val="24"/>
          <w:lang w:val="es-ES" w:eastAsia="zh-CN"/>
        </w:rPr>
        <w:t>,</w:t>
      </w:r>
      <w:r w:rsidRPr="00864629">
        <w:rPr>
          <w:rFonts w:ascii="Book Antiqua" w:hAnsi="Book Antiqua" w:cs="Arial"/>
          <w:sz w:val="24"/>
          <w:szCs w:val="24"/>
          <w:lang w:val="es-ES" w:eastAsia="es-MX"/>
        </w:rPr>
        <w:t xml:space="preserve"> </w:t>
      </w:r>
      <w:r w:rsidRPr="00EF7CB1">
        <w:rPr>
          <w:rFonts w:ascii="Book Antiqua" w:hAnsi="Book Antiqua" w:cs="Arial"/>
          <w:sz w:val="24"/>
          <w:szCs w:val="24"/>
          <w:lang w:val="es-ES"/>
        </w:rPr>
        <w:t xml:space="preserve">Universidad Autónoma de Nuevo León, </w:t>
      </w:r>
      <w:r w:rsidRPr="00864629">
        <w:rPr>
          <w:rFonts w:ascii="Book Antiqua" w:hAnsi="Book Antiqua" w:cs="Arial"/>
          <w:sz w:val="24"/>
          <w:szCs w:val="24"/>
          <w:lang w:val="es-ES"/>
        </w:rPr>
        <w:t>Monterrey</w:t>
      </w:r>
      <w:r w:rsidRPr="00864629">
        <w:rPr>
          <w:rStyle w:val="a3"/>
          <w:rFonts w:ascii="Book Antiqua" w:hAnsi="Book Antiqua" w:cs="Arial"/>
          <w:color w:val="auto"/>
          <w:sz w:val="24"/>
          <w:szCs w:val="24"/>
          <w:u w:val="none"/>
          <w:lang w:val="es-ES"/>
        </w:rPr>
        <w:t xml:space="preserve"> </w:t>
      </w:r>
      <w:r w:rsidRPr="00864629">
        <w:rPr>
          <w:rStyle w:val="st1"/>
          <w:rFonts w:ascii="Book Antiqua" w:hAnsi="Book Antiqua" w:cs="Arial"/>
          <w:sz w:val="24"/>
          <w:szCs w:val="24"/>
          <w:lang w:val="es-ES"/>
        </w:rPr>
        <w:t>64320</w:t>
      </w:r>
      <w:r>
        <w:rPr>
          <w:rFonts w:ascii="Book Antiqua" w:hAnsi="Book Antiqua" w:cs="Arial"/>
          <w:sz w:val="24"/>
          <w:szCs w:val="24"/>
          <w:lang w:val="es-ES"/>
        </w:rPr>
        <w:t>, México</w:t>
      </w:r>
    </w:p>
    <w:p w:rsidR="007275E3" w:rsidRPr="00EF7CB1" w:rsidRDefault="007275E3" w:rsidP="00A60D1E">
      <w:pPr>
        <w:spacing w:after="0" w:line="360" w:lineRule="auto"/>
        <w:jc w:val="both"/>
        <w:rPr>
          <w:rFonts w:ascii="Book Antiqua" w:hAnsi="Book Antiqua" w:cs="Arial"/>
          <w:sz w:val="24"/>
          <w:szCs w:val="24"/>
          <w:lang w:val="es-ES" w:eastAsia="zh-CN"/>
        </w:rPr>
      </w:pPr>
    </w:p>
    <w:p w:rsidR="007275E3" w:rsidRPr="00864629" w:rsidRDefault="007275E3" w:rsidP="00A60D1E">
      <w:pPr>
        <w:spacing w:after="0" w:line="360" w:lineRule="auto"/>
        <w:jc w:val="both"/>
        <w:rPr>
          <w:rFonts w:ascii="Book Antiqua" w:hAnsi="Book Antiqua" w:cs="Arial"/>
          <w:sz w:val="24"/>
          <w:szCs w:val="24"/>
          <w:lang w:val="es-ES" w:eastAsia="zh-CN"/>
        </w:rPr>
      </w:pPr>
      <w:r w:rsidRPr="00EF7CB1">
        <w:rPr>
          <w:rFonts w:ascii="Book Antiqua" w:hAnsi="Book Antiqua" w:cs="Arial"/>
          <w:b/>
          <w:sz w:val="24"/>
          <w:szCs w:val="24"/>
          <w:lang w:val="es-ES"/>
        </w:rPr>
        <w:lastRenderedPageBreak/>
        <w:t>Linda Elsa Muñoz-Espinosa</w:t>
      </w:r>
      <w:r w:rsidRPr="00EF7CB1">
        <w:rPr>
          <w:rFonts w:ascii="Book Antiqua" w:hAnsi="Book Antiqua" w:cs="Arial"/>
          <w:b/>
          <w:sz w:val="24"/>
          <w:szCs w:val="24"/>
          <w:lang w:val="es-ES" w:eastAsia="zh-CN"/>
        </w:rPr>
        <w:t>,</w:t>
      </w:r>
      <w:r w:rsidRPr="00EF7CB1">
        <w:rPr>
          <w:rFonts w:ascii="Book Antiqua" w:hAnsi="Book Antiqua" w:cs="Arial"/>
          <w:b/>
          <w:sz w:val="24"/>
          <w:szCs w:val="24"/>
          <w:lang w:val="es-ES"/>
        </w:rPr>
        <w:t xml:space="preserve"> </w:t>
      </w:r>
      <w:r w:rsidRPr="00864629">
        <w:rPr>
          <w:rFonts w:ascii="Book Antiqua" w:hAnsi="Book Antiqua" w:cs="Arial"/>
          <w:sz w:val="24"/>
          <w:szCs w:val="24"/>
          <w:lang w:val="es-ES"/>
        </w:rPr>
        <w:t xml:space="preserve">Liver Unit, </w:t>
      </w:r>
      <w:r w:rsidRPr="00864629">
        <w:rPr>
          <w:rFonts w:ascii="Book Antiqua" w:hAnsi="Book Antiqua" w:cs="Arial"/>
          <w:sz w:val="24"/>
          <w:szCs w:val="24"/>
          <w:lang w:val="es-ES" w:eastAsia="es-MX"/>
        </w:rPr>
        <w:t>University Hospital "Dr. José E. González” and Medical School</w:t>
      </w:r>
      <w:r w:rsidRPr="00864629">
        <w:rPr>
          <w:rFonts w:ascii="Book Antiqua" w:hAnsi="Book Antiqua" w:cs="Arial"/>
          <w:sz w:val="24"/>
          <w:szCs w:val="24"/>
          <w:lang w:val="es-ES" w:eastAsia="zh-CN"/>
        </w:rPr>
        <w:t xml:space="preserve">, </w:t>
      </w:r>
      <w:r w:rsidRPr="00864629">
        <w:rPr>
          <w:rFonts w:ascii="Book Antiqua" w:hAnsi="Book Antiqua" w:cs="Arial"/>
          <w:sz w:val="24"/>
          <w:szCs w:val="24"/>
          <w:lang w:val="es-ES"/>
        </w:rPr>
        <w:t>Universidad Autónoma de Nuevo León, Monterrey</w:t>
      </w:r>
      <w:r w:rsidRPr="00864629">
        <w:rPr>
          <w:rStyle w:val="a3"/>
          <w:rFonts w:ascii="Book Antiqua" w:hAnsi="Book Antiqua" w:cs="Arial"/>
          <w:color w:val="auto"/>
          <w:sz w:val="24"/>
          <w:szCs w:val="24"/>
          <w:u w:val="none"/>
          <w:lang w:val="es-ES"/>
        </w:rPr>
        <w:t xml:space="preserve"> </w:t>
      </w:r>
      <w:r w:rsidRPr="00864629">
        <w:rPr>
          <w:rStyle w:val="st1"/>
          <w:rFonts w:ascii="Book Antiqua" w:hAnsi="Book Antiqua" w:cs="Arial"/>
          <w:sz w:val="24"/>
          <w:szCs w:val="24"/>
          <w:lang w:val="es-ES"/>
        </w:rPr>
        <w:t>64320</w:t>
      </w:r>
      <w:r w:rsidRPr="00864629">
        <w:rPr>
          <w:rFonts w:ascii="Book Antiqua" w:hAnsi="Book Antiqua" w:cs="Arial"/>
          <w:sz w:val="24"/>
          <w:szCs w:val="24"/>
          <w:lang w:val="es-ES"/>
        </w:rPr>
        <w:t>, México</w:t>
      </w:r>
    </w:p>
    <w:p w:rsidR="007275E3" w:rsidRPr="00864629" w:rsidRDefault="007275E3" w:rsidP="00A60D1E">
      <w:pPr>
        <w:spacing w:after="0" w:line="360" w:lineRule="auto"/>
        <w:jc w:val="both"/>
        <w:rPr>
          <w:rFonts w:ascii="Book Antiqua" w:hAnsi="Book Antiqua" w:cs="Arial"/>
          <w:b/>
          <w:sz w:val="24"/>
          <w:szCs w:val="24"/>
          <w:lang w:val="es-ES"/>
        </w:rPr>
      </w:pP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b/>
          <w:sz w:val="24"/>
          <w:szCs w:val="24"/>
        </w:rPr>
        <w:t xml:space="preserve">Author contributions: </w:t>
      </w:r>
      <w:r w:rsidRPr="00883166">
        <w:rPr>
          <w:rFonts w:ascii="Book Antiqua" w:hAnsi="Book Antiqua" w:cs="Arial"/>
          <w:sz w:val="24"/>
          <w:szCs w:val="24"/>
        </w:rPr>
        <w:t>García-Compeán</w:t>
      </w:r>
      <w:r w:rsidRPr="00EF7CB1">
        <w:rPr>
          <w:rFonts w:ascii="Book Antiqua" w:hAnsi="Book Antiqua" w:cs="Arial"/>
          <w:sz w:val="24"/>
          <w:szCs w:val="24"/>
        </w:rPr>
        <w:t xml:space="preserve"> D designed wrote and coordinated the research; </w:t>
      </w:r>
      <w:r w:rsidRPr="00883166">
        <w:rPr>
          <w:rFonts w:ascii="Book Antiqua" w:hAnsi="Book Antiqua" w:cs="Arial"/>
          <w:sz w:val="24"/>
          <w:szCs w:val="24"/>
        </w:rPr>
        <w:t>Jáquez- Quintana</w:t>
      </w:r>
      <w:r w:rsidRPr="00EF7CB1">
        <w:rPr>
          <w:rFonts w:ascii="Book Antiqua" w:hAnsi="Book Antiqua" w:cs="Arial"/>
          <w:sz w:val="24"/>
          <w:szCs w:val="24"/>
        </w:rPr>
        <w:t xml:space="preserve"> JO</w:t>
      </w:r>
      <w:r w:rsidRPr="00EF7CB1">
        <w:rPr>
          <w:rFonts w:ascii="Book Antiqua" w:hAnsi="Book Antiqua" w:cs="Arial"/>
          <w:sz w:val="24"/>
          <w:szCs w:val="24"/>
          <w:lang w:eastAsia="zh-CN"/>
        </w:rPr>
        <w:t xml:space="preserve"> and </w:t>
      </w:r>
      <w:r w:rsidRPr="00883166">
        <w:rPr>
          <w:rFonts w:ascii="Book Antiqua" w:hAnsi="Book Antiqua" w:cs="Arial"/>
          <w:sz w:val="24"/>
          <w:szCs w:val="24"/>
        </w:rPr>
        <w:t>González-González</w:t>
      </w:r>
      <w:r w:rsidRPr="00EF7CB1">
        <w:rPr>
          <w:rFonts w:ascii="Book Antiqua" w:hAnsi="Book Antiqua" w:cs="Arial"/>
          <w:sz w:val="24"/>
          <w:szCs w:val="24"/>
        </w:rPr>
        <w:t xml:space="preserve"> JA evaluated patients at inclusion and follow-up; </w:t>
      </w:r>
      <w:r w:rsidRPr="00883166">
        <w:rPr>
          <w:rFonts w:ascii="Book Antiqua" w:hAnsi="Book Antiqua" w:cs="Arial"/>
          <w:sz w:val="24"/>
          <w:szCs w:val="24"/>
        </w:rPr>
        <w:t>Lavalle-González</w:t>
      </w:r>
      <w:r w:rsidRPr="00883166">
        <w:rPr>
          <w:rFonts w:ascii="Book Antiqua" w:hAnsi="Book Antiqua" w:cs="Arial"/>
          <w:sz w:val="24"/>
          <w:szCs w:val="24"/>
          <w:lang w:eastAsia="zh-CN"/>
        </w:rPr>
        <w:t xml:space="preserve"> FJ</w:t>
      </w:r>
      <w:r w:rsidRPr="00EF7CB1">
        <w:rPr>
          <w:rFonts w:ascii="Book Antiqua" w:hAnsi="Book Antiqua" w:cs="Arial"/>
          <w:sz w:val="24"/>
          <w:szCs w:val="24"/>
        </w:rPr>
        <w:t xml:space="preserve"> and </w:t>
      </w:r>
      <w:r w:rsidRPr="00883166">
        <w:rPr>
          <w:rFonts w:ascii="Book Antiqua" w:hAnsi="Book Antiqua" w:cs="Arial"/>
          <w:sz w:val="24"/>
          <w:szCs w:val="24"/>
        </w:rPr>
        <w:t>Villarreal-Pérez</w:t>
      </w:r>
      <w:r w:rsidRPr="00EF7CB1">
        <w:rPr>
          <w:rFonts w:ascii="Book Antiqua" w:hAnsi="Book Antiqua" w:cs="Arial"/>
          <w:sz w:val="24"/>
          <w:szCs w:val="24"/>
        </w:rPr>
        <w:t xml:space="preserve"> JZ participated in laboratory testings and revision of the text; </w:t>
      </w:r>
      <w:r w:rsidRPr="00883166">
        <w:rPr>
          <w:rFonts w:ascii="Book Antiqua" w:hAnsi="Book Antiqua" w:cs="Arial"/>
          <w:sz w:val="24"/>
          <w:szCs w:val="24"/>
        </w:rPr>
        <w:t>Muñoz-Espinosa</w:t>
      </w:r>
      <w:r w:rsidRPr="00EF7CB1">
        <w:rPr>
          <w:rFonts w:ascii="Book Antiqua" w:hAnsi="Book Antiqua" w:cs="Arial"/>
          <w:sz w:val="24"/>
          <w:szCs w:val="24"/>
        </w:rPr>
        <w:t xml:space="preserve"> LE and Maldonado- Garza H reviewed the text.</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b/>
          <w:sz w:val="24"/>
          <w:szCs w:val="24"/>
        </w:rPr>
        <w:t>Supported by</w:t>
      </w:r>
      <w:r w:rsidRPr="00EF7CB1">
        <w:rPr>
          <w:rFonts w:ascii="Book Antiqua" w:hAnsi="Book Antiqua" w:cs="Arial"/>
          <w:sz w:val="24"/>
          <w:szCs w:val="24"/>
        </w:rPr>
        <w:t xml:space="preserve"> Gastroenterology and Endocrinology Services of the University Hospital, Universidad Autónoma de Nuevo León, Monterrey, México</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b/>
          <w:sz w:val="24"/>
          <w:szCs w:val="24"/>
        </w:rPr>
        <w:t xml:space="preserve">Correspondence to: </w:t>
      </w:r>
      <w:r w:rsidRPr="00883166">
        <w:rPr>
          <w:rFonts w:ascii="Book Antiqua" w:hAnsi="Book Antiqua" w:cs="Arial"/>
          <w:b/>
          <w:sz w:val="24"/>
          <w:szCs w:val="24"/>
        </w:rPr>
        <w:t>Diego García-Compeán,</w:t>
      </w:r>
      <w:r w:rsidRPr="00EF7CB1">
        <w:rPr>
          <w:rFonts w:ascii="Book Antiqua" w:hAnsi="Book Antiqua" w:cs="Arial"/>
          <w:b/>
          <w:sz w:val="24"/>
          <w:szCs w:val="24"/>
        </w:rPr>
        <w:t xml:space="preserve"> MD</w:t>
      </w:r>
      <w:r w:rsidRPr="00EF7CB1">
        <w:rPr>
          <w:rFonts w:ascii="Book Antiqua" w:hAnsi="Book Antiqua" w:cs="Arial"/>
          <w:sz w:val="24"/>
          <w:szCs w:val="24"/>
          <w:lang w:eastAsia="zh-CN"/>
        </w:rPr>
        <w:t>,</w:t>
      </w:r>
      <w:r w:rsidRPr="00EF7CB1">
        <w:rPr>
          <w:rFonts w:ascii="Book Antiqua" w:hAnsi="Book Antiqua" w:cs="Arial"/>
          <w:sz w:val="24"/>
          <w:szCs w:val="24"/>
        </w:rPr>
        <w:t xml:space="preserve"> </w:t>
      </w:r>
      <w:r w:rsidRPr="00EF7CB1">
        <w:rPr>
          <w:rFonts w:ascii="Book Antiqua" w:hAnsi="Book Antiqua" w:cs="Arial"/>
          <w:sz w:val="24"/>
          <w:szCs w:val="24"/>
          <w:lang w:eastAsia="es-MX"/>
        </w:rPr>
        <w:t>Gastroenterology Service and Department of Internal Medicine, University Hospital "Dr. Jose E. Gonzalez” and Medical School</w:t>
      </w:r>
      <w:r w:rsidRPr="00EF7CB1">
        <w:rPr>
          <w:rFonts w:ascii="Book Antiqua" w:hAnsi="Book Antiqua" w:cs="Arial"/>
          <w:sz w:val="24"/>
          <w:szCs w:val="24"/>
          <w:lang w:eastAsia="zh-CN"/>
        </w:rPr>
        <w:t xml:space="preserve">, </w:t>
      </w:r>
      <w:r w:rsidRPr="00883166">
        <w:rPr>
          <w:rFonts w:ascii="Book Antiqua" w:hAnsi="Book Antiqua" w:cs="Arial"/>
          <w:sz w:val="24"/>
          <w:szCs w:val="24"/>
        </w:rPr>
        <w:t xml:space="preserve">Universidad Autónoma de Nuevo León, Madero y Gonzalitos S/N, </w:t>
      </w:r>
      <w:r w:rsidRPr="00EF7CB1">
        <w:rPr>
          <w:rFonts w:ascii="Book Antiqua" w:hAnsi="Book Antiqua" w:cs="Arial"/>
          <w:sz w:val="24"/>
          <w:szCs w:val="24"/>
        </w:rPr>
        <w:t>Monterrey</w:t>
      </w:r>
      <w:r w:rsidRPr="00EF7CB1">
        <w:rPr>
          <w:rStyle w:val="a3"/>
          <w:rFonts w:ascii="Book Antiqua" w:hAnsi="Book Antiqua" w:cs="Arial"/>
          <w:color w:val="auto"/>
          <w:sz w:val="24"/>
          <w:szCs w:val="24"/>
          <w:u w:val="none"/>
        </w:rPr>
        <w:t xml:space="preserve"> </w:t>
      </w:r>
      <w:r w:rsidRPr="00EF7CB1">
        <w:rPr>
          <w:rStyle w:val="st1"/>
          <w:rFonts w:ascii="Book Antiqua" w:hAnsi="Book Antiqua" w:cs="Arial"/>
          <w:sz w:val="24"/>
          <w:szCs w:val="24"/>
        </w:rPr>
        <w:t>64320</w:t>
      </w:r>
      <w:r w:rsidRPr="00883166">
        <w:rPr>
          <w:rFonts w:ascii="Book Antiqua" w:hAnsi="Book Antiqua" w:cs="Arial"/>
          <w:sz w:val="24"/>
          <w:szCs w:val="24"/>
        </w:rPr>
        <w:t xml:space="preserve">, </w:t>
      </w:r>
      <w:r w:rsidRPr="0019268B">
        <w:rPr>
          <w:rFonts w:ascii="Book Antiqua" w:hAnsi="Book Antiqua" w:cs="Arial"/>
          <w:sz w:val="24"/>
          <w:szCs w:val="24"/>
        </w:rPr>
        <w:t>México. digarciacompean@prodigy.net.mx</w:t>
      </w:r>
    </w:p>
    <w:p w:rsidR="007275E3" w:rsidRPr="00883166"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b/>
          <w:sz w:val="24"/>
          <w:szCs w:val="24"/>
        </w:rPr>
        <w:t xml:space="preserve">Telephone: </w:t>
      </w:r>
      <w:r w:rsidRPr="00EF7CB1">
        <w:rPr>
          <w:rFonts w:ascii="Book Antiqua" w:hAnsi="Book Antiqua" w:cs="Arial"/>
          <w:sz w:val="24"/>
          <w:szCs w:val="24"/>
        </w:rPr>
        <w:t xml:space="preserve">+52-81-83487315 </w:t>
      </w:r>
      <w:r w:rsidRPr="00EF7CB1">
        <w:rPr>
          <w:rFonts w:ascii="Book Antiqua" w:hAnsi="Book Antiqua" w:cs="Arial"/>
          <w:b/>
          <w:sz w:val="24"/>
          <w:szCs w:val="24"/>
        </w:rPr>
        <w:t xml:space="preserve">Fax: </w:t>
      </w:r>
      <w:r w:rsidRPr="00EF7CB1">
        <w:rPr>
          <w:rFonts w:ascii="Book Antiqua" w:hAnsi="Book Antiqua" w:cs="Arial"/>
          <w:sz w:val="24"/>
          <w:szCs w:val="24"/>
        </w:rPr>
        <w:t>+52-81-89891381</w:t>
      </w:r>
    </w:p>
    <w:p w:rsidR="007275E3" w:rsidRPr="00EF7CB1" w:rsidRDefault="007275E3" w:rsidP="00A60D1E">
      <w:pPr>
        <w:spacing w:after="0" w:line="360" w:lineRule="auto"/>
        <w:jc w:val="both"/>
        <w:rPr>
          <w:rFonts w:ascii="Book Antiqua" w:hAnsi="Book Antiqua" w:cs="Arial"/>
          <w:sz w:val="24"/>
          <w:szCs w:val="24"/>
        </w:rPr>
      </w:pPr>
    </w:p>
    <w:p w:rsidR="007275E3" w:rsidRPr="00EF7CB1" w:rsidRDefault="007275E3" w:rsidP="00A60D1E">
      <w:pPr>
        <w:spacing w:after="0" w:line="360" w:lineRule="auto"/>
        <w:jc w:val="both"/>
        <w:rPr>
          <w:rFonts w:ascii="Book Antiqua" w:hAnsi="Book Antiqua"/>
          <w:sz w:val="24"/>
          <w:szCs w:val="24"/>
          <w:lang w:eastAsia="zh-CN"/>
        </w:rPr>
      </w:pPr>
      <w:r w:rsidRPr="00EF7CB1">
        <w:rPr>
          <w:rFonts w:ascii="Book Antiqua" w:hAnsi="Book Antiqua"/>
          <w:b/>
          <w:sz w:val="24"/>
          <w:szCs w:val="24"/>
        </w:rPr>
        <w:t xml:space="preserve">Received: </w:t>
      </w:r>
      <w:r w:rsidRPr="00EF7CB1">
        <w:rPr>
          <w:rFonts w:ascii="Book Antiqua" w:hAnsi="Book Antiqua"/>
          <w:sz w:val="24"/>
          <w:szCs w:val="24"/>
        </w:rPr>
        <w:t xml:space="preserve">November </w:t>
      </w:r>
      <w:r w:rsidRPr="00EF7CB1">
        <w:rPr>
          <w:rFonts w:ascii="Book Antiqua" w:hAnsi="Book Antiqua"/>
          <w:sz w:val="24"/>
          <w:szCs w:val="24"/>
          <w:lang w:eastAsia="zh-CN"/>
        </w:rPr>
        <w:t xml:space="preserve">10, </w:t>
      </w:r>
      <w:r w:rsidRPr="00EF7CB1">
        <w:rPr>
          <w:rFonts w:ascii="Book Antiqua" w:hAnsi="Book Antiqua"/>
          <w:sz w:val="24"/>
          <w:szCs w:val="24"/>
        </w:rPr>
        <w:t xml:space="preserve">2013 </w:t>
      </w:r>
      <w:r w:rsidRPr="00EF7CB1">
        <w:rPr>
          <w:rFonts w:ascii="Book Antiqua" w:hAnsi="Book Antiqua"/>
          <w:b/>
          <w:sz w:val="24"/>
          <w:szCs w:val="24"/>
        </w:rPr>
        <w:t>Revised:</w:t>
      </w:r>
      <w:r w:rsidRPr="00EF7CB1">
        <w:rPr>
          <w:rFonts w:ascii="Book Antiqua" w:hAnsi="Book Antiqua"/>
          <w:sz w:val="24"/>
          <w:szCs w:val="24"/>
        </w:rPr>
        <w:t xml:space="preserve"> </w:t>
      </w:r>
      <w:r w:rsidRPr="00EF7CB1">
        <w:rPr>
          <w:rFonts w:ascii="Book Antiqua" w:hAnsi="Book Antiqua"/>
          <w:sz w:val="24"/>
          <w:szCs w:val="24"/>
          <w:lang w:eastAsia="zh-CN"/>
        </w:rPr>
        <w:t>February</w:t>
      </w:r>
      <w:r w:rsidRPr="00EF7CB1">
        <w:rPr>
          <w:rFonts w:ascii="Book Antiqua" w:hAnsi="Book Antiqua"/>
          <w:sz w:val="24"/>
          <w:szCs w:val="24"/>
        </w:rPr>
        <w:t xml:space="preserve"> </w:t>
      </w:r>
      <w:r w:rsidRPr="00EF7CB1">
        <w:rPr>
          <w:rFonts w:ascii="Book Antiqua" w:hAnsi="Book Antiqua"/>
          <w:sz w:val="24"/>
          <w:szCs w:val="24"/>
          <w:lang w:eastAsia="zh-CN"/>
        </w:rPr>
        <w:t>5</w:t>
      </w:r>
      <w:r w:rsidRPr="00EF7CB1">
        <w:rPr>
          <w:rFonts w:ascii="Book Antiqua" w:hAnsi="Book Antiqua"/>
          <w:sz w:val="24"/>
          <w:szCs w:val="24"/>
        </w:rPr>
        <w:t xml:space="preserve">, 2014 </w:t>
      </w:r>
    </w:p>
    <w:p w:rsidR="000A5B48" w:rsidRDefault="007275E3" w:rsidP="000A5B48">
      <w:pPr>
        <w:rPr>
          <w:rFonts w:ascii="Book Antiqua" w:hAnsi="Book Antiqua"/>
          <w:sz w:val="24"/>
          <w:szCs w:val="24"/>
        </w:rPr>
      </w:pPr>
      <w:r w:rsidRPr="00EF7CB1">
        <w:rPr>
          <w:rFonts w:ascii="Book Antiqua" w:hAnsi="Book Antiqua"/>
          <w:b/>
          <w:sz w:val="24"/>
          <w:szCs w:val="24"/>
        </w:rPr>
        <w:t xml:space="preserve">Accepted: </w:t>
      </w:r>
      <w:bookmarkStart w:id="7" w:name="OLE_LINK2"/>
      <w:bookmarkStart w:id="8" w:name="OLE_LINK1"/>
      <w:r w:rsidR="000A5B48">
        <w:rPr>
          <w:rFonts w:ascii="Book Antiqua" w:hAnsi="Book Antiqua"/>
          <w:sz w:val="24"/>
          <w:szCs w:val="24"/>
        </w:rPr>
        <w:t>March 19, 2014</w:t>
      </w:r>
      <w:bookmarkEnd w:id="7"/>
      <w:bookmarkEnd w:id="8"/>
    </w:p>
    <w:p w:rsidR="007275E3" w:rsidRPr="00EF7CB1" w:rsidRDefault="007275E3" w:rsidP="00A60D1E">
      <w:pPr>
        <w:spacing w:after="0" w:line="360" w:lineRule="auto"/>
        <w:jc w:val="both"/>
        <w:rPr>
          <w:rFonts w:ascii="Book Antiqua" w:hAnsi="Book Antiqua"/>
          <w:sz w:val="24"/>
          <w:szCs w:val="24"/>
        </w:rPr>
      </w:pPr>
      <w:bookmarkStart w:id="9" w:name="_GoBack"/>
      <w:bookmarkEnd w:id="9"/>
    </w:p>
    <w:p w:rsidR="007275E3" w:rsidRPr="00EF7CB1" w:rsidRDefault="007275E3" w:rsidP="00A60D1E">
      <w:pPr>
        <w:spacing w:after="0" w:line="360" w:lineRule="auto"/>
        <w:jc w:val="both"/>
        <w:rPr>
          <w:rFonts w:ascii="Book Antiqua" w:hAnsi="Book Antiqua"/>
          <w:b/>
          <w:sz w:val="24"/>
          <w:szCs w:val="24"/>
        </w:rPr>
      </w:pPr>
      <w:r w:rsidRPr="00EF7CB1">
        <w:rPr>
          <w:rFonts w:ascii="Book Antiqua" w:hAnsi="Book Antiqua"/>
          <w:b/>
          <w:sz w:val="24"/>
          <w:szCs w:val="24"/>
        </w:rPr>
        <w:t xml:space="preserve">Published online: </w:t>
      </w:r>
    </w:p>
    <w:p w:rsidR="007275E3" w:rsidRPr="00EF7CB1" w:rsidRDefault="007275E3" w:rsidP="00A60D1E">
      <w:pPr>
        <w:spacing w:after="0" w:line="360" w:lineRule="auto"/>
        <w:jc w:val="both"/>
        <w:rPr>
          <w:rFonts w:ascii="Book Antiqua" w:hAnsi="Book Antiqua" w:cs="Arial"/>
          <w:sz w:val="24"/>
          <w:szCs w:val="24"/>
        </w:rPr>
      </w:pPr>
    </w:p>
    <w:p w:rsidR="007275E3" w:rsidRPr="00EF7CB1" w:rsidRDefault="007275E3" w:rsidP="00A60D1E">
      <w:pPr>
        <w:pStyle w:val="a4"/>
        <w:spacing w:line="360" w:lineRule="auto"/>
        <w:jc w:val="both"/>
        <w:rPr>
          <w:rFonts w:ascii="Book Antiqua" w:hAnsi="Book Antiqua"/>
          <w:b/>
          <w:snapToGrid w:val="0"/>
          <w:sz w:val="24"/>
          <w:szCs w:val="24"/>
          <w:lang w:val="fr-FR"/>
        </w:rPr>
      </w:pPr>
      <w:r w:rsidRPr="00EF7CB1">
        <w:rPr>
          <w:rFonts w:ascii="Book Antiqua" w:hAnsi="Book Antiqua"/>
          <w:b/>
          <w:bCs/>
          <w:sz w:val="24"/>
          <w:szCs w:val="24"/>
          <w:lang w:val="en-GB"/>
        </w:rPr>
        <w:t>Abstract</w:t>
      </w: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b/>
          <w:snapToGrid w:val="0"/>
          <w:sz w:val="24"/>
          <w:szCs w:val="24"/>
        </w:rPr>
        <w:t>AIM</w:t>
      </w:r>
      <w:r w:rsidRPr="00EF7CB1">
        <w:rPr>
          <w:rFonts w:ascii="Book Antiqua" w:hAnsi="Book Antiqua" w:cs="Arial"/>
          <w:sz w:val="24"/>
          <w:szCs w:val="24"/>
        </w:rPr>
        <w:t>: To determine if subclinical abnormal glucose tolerance (SAGT) has influence on survival of non diabetic patients with liver cirrhosis.</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b/>
          <w:sz w:val="24"/>
          <w:szCs w:val="24"/>
        </w:rPr>
        <w:t xml:space="preserve">METHODS: </w:t>
      </w:r>
      <w:r w:rsidRPr="00EF7CB1">
        <w:rPr>
          <w:rFonts w:ascii="Book Antiqua" w:hAnsi="Book Antiqua" w:cs="Arial"/>
          <w:sz w:val="24"/>
          <w:szCs w:val="24"/>
        </w:rPr>
        <w:t>In total, 100 patients with compensated liver cirrhosis and normal fasting plasma glucose were included. Fasting plasma insulin (FPI) levels were measured, and oral glucose tolerance test (OGTT) was performed. According to OGTT results two groups of patients were formed: with normal glucose tolerance (NGT) and with SAGT. Patients were followed every three months. The mean follow-up was 932 d (range of 180-1925). Survival was analyzed by the Kaplan-Meyer method, and predictive factors of death were analyzed by regression testing Cox’s proportional hazard model</w:t>
      </w:r>
      <w:r w:rsidRPr="00EF7CB1">
        <w:rPr>
          <w:rFonts w:ascii="Book Antiqua" w:hAnsi="Book Antiqua" w:cs="Arial"/>
          <w:sz w:val="24"/>
          <w:szCs w:val="24"/>
          <w:lang w:eastAsia="zh-CN"/>
        </w:rPr>
        <w:t>.</w:t>
      </w:r>
    </w:p>
    <w:p w:rsidR="007275E3" w:rsidRPr="00EF7CB1" w:rsidRDefault="007275E3" w:rsidP="00A60D1E">
      <w:pPr>
        <w:spacing w:after="0" w:line="360" w:lineRule="auto"/>
        <w:jc w:val="both"/>
        <w:rPr>
          <w:rFonts w:ascii="Book Antiqua" w:hAnsi="Book Antiqua" w:cs="Arial"/>
          <w:sz w:val="24"/>
          <w:szCs w:val="24"/>
        </w:rPr>
      </w:pP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b/>
          <w:sz w:val="24"/>
          <w:szCs w:val="24"/>
        </w:rPr>
        <w:t>RESULTS</w:t>
      </w:r>
      <w:r w:rsidRPr="00EF7CB1">
        <w:rPr>
          <w:rFonts w:ascii="Book Antiqua" w:hAnsi="Book Antiqua" w:cs="Arial"/>
          <w:sz w:val="24"/>
          <w:szCs w:val="24"/>
        </w:rPr>
        <w:t xml:space="preserve">: Of the included patients, 30 showed NGT and 70 SAGT. Groups were significantly different only in age, INR, FPI and HOMA2-IR. Patients with SAGT showed lower 5-year cumulated survival than NGT patients (31.7 </w:t>
      </w:r>
      <w:r w:rsidRPr="00EF7CB1">
        <w:rPr>
          <w:rFonts w:ascii="Book Antiqua" w:hAnsi="Book Antiqua" w:cs="Arial"/>
          <w:i/>
          <w:sz w:val="24"/>
          <w:szCs w:val="24"/>
        </w:rPr>
        <w:t>vs</w:t>
      </w:r>
      <w:r w:rsidRPr="00EF7CB1">
        <w:rPr>
          <w:rFonts w:ascii="Book Antiqua" w:hAnsi="Book Antiqua" w:cs="Arial"/>
          <w:sz w:val="24"/>
          <w:szCs w:val="24"/>
        </w:rPr>
        <w:t xml:space="preserve"> 71.6%,</w:t>
      </w:r>
      <w:r w:rsidRPr="00EF7CB1">
        <w:rPr>
          <w:rFonts w:ascii="Book Antiqua" w:hAnsi="Book Antiqua" w:cs="Arial"/>
          <w:sz w:val="24"/>
          <w:szCs w:val="24"/>
          <w:lang w:eastAsia="zh-CN"/>
        </w:rPr>
        <w:t xml:space="preserve"> </w:t>
      </w:r>
      <w:r w:rsidRPr="00EF7CB1">
        <w:rPr>
          <w:rFonts w:ascii="Book Antiqua" w:hAnsi="Book Antiqua" w:cs="Arial"/>
          <w:i/>
          <w:sz w:val="24"/>
          <w:szCs w:val="24"/>
          <w:lang w:eastAsia="zh-CN"/>
        </w:rPr>
        <w:t>P</w:t>
      </w:r>
      <w:r w:rsidRPr="00EF7CB1">
        <w:rPr>
          <w:rFonts w:ascii="Book Antiqua" w:hAnsi="Book Antiqua" w:cs="Arial"/>
          <w:sz w:val="24"/>
          <w:szCs w:val="24"/>
          <w:lang w:eastAsia="zh-CN"/>
        </w:rPr>
        <w:t xml:space="preserve"> </w:t>
      </w:r>
      <w:r w:rsidRPr="00EF7CB1">
        <w:rPr>
          <w:rFonts w:ascii="Book Antiqua" w:hAnsi="Book Antiqua" w:cs="Arial"/>
          <w:sz w:val="24"/>
          <w:szCs w:val="24"/>
        </w:rPr>
        <w:t>=</w:t>
      </w:r>
      <w:r w:rsidRPr="00EF7CB1">
        <w:rPr>
          <w:rFonts w:ascii="Book Antiqua" w:hAnsi="Book Antiqua" w:cs="Arial"/>
          <w:sz w:val="24"/>
          <w:szCs w:val="24"/>
          <w:lang w:eastAsia="zh-CN"/>
        </w:rPr>
        <w:t xml:space="preserve"> </w:t>
      </w:r>
      <w:r w:rsidRPr="00EF7CB1">
        <w:rPr>
          <w:rFonts w:ascii="Book Antiqua" w:hAnsi="Book Antiqua" w:cs="Arial"/>
          <w:sz w:val="24"/>
          <w:szCs w:val="24"/>
        </w:rPr>
        <w:t xml:space="preserve">0.02). Differences in survival were significant only after 3 years of follow up. SAGT, Child-Pugh group B, and high Child-Pugh and MELD scores were independent predictors of death. The causes of death in 90.3% of cases were due to complications related to liver disease. </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b/>
          <w:sz w:val="24"/>
          <w:szCs w:val="24"/>
        </w:rPr>
        <w:lastRenderedPageBreak/>
        <w:t>CONCLUSION</w:t>
      </w:r>
      <w:r w:rsidRPr="00EF7CB1">
        <w:rPr>
          <w:rFonts w:ascii="Book Antiqua" w:hAnsi="Book Antiqua" w:cs="Arial"/>
          <w:sz w:val="24"/>
          <w:szCs w:val="24"/>
        </w:rPr>
        <w:t xml:space="preserve">: SAGT was associated with lower survival. SAGT, Child-Pugh group B, and high Child-Pugh and MELD scores were independent negative predictors of survival. </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sz w:val="24"/>
          <w:szCs w:val="24"/>
        </w:rPr>
      </w:pPr>
      <w:r w:rsidRPr="00EF7CB1">
        <w:rPr>
          <w:rFonts w:ascii="Book Antiqua" w:hAnsi="Book Antiqua"/>
          <w:sz w:val="24"/>
          <w:szCs w:val="24"/>
        </w:rPr>
        <w:sym w:font="Symbol" w:char="F0D3"/>
      </w:r>
      <w:r w:rsidRPr="00EF7CB1">
        <w:rPr>
          <w:rFonts w:ascii="Book Antiqua" w:hAnsi="Book Antiqua"/>
          <w:sz w:val="24"/>
          <w:szCs w:val="24"/>
        </w:rPr>
        <w:t>2014 Baishideng Publishing Group Co., Limited. All rights reserved.</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b/>
          <w:sz w:val="24"/>
          <w:szCs w:val="24"/>
        </w:rPr>
        <w:t>Key words:</w:t>
      </w:r>
      <w:r w:rsidRPr="00EF7CB1">
        <w:rPr>
          <w:rFonts w:ascii="Book Antiqua" w:hAnsi="Book Antiqua"/>
          <w:sz w:val="24"/>
          <w:szCs w:val="24"/>
        </w:rPr>
        <w:t xml:space="preserve"> </w:t>
      </w:r>
      <w:r w:rsidRPr="00EF7CB1">
        <w:rPr>
          <w:rFonts w:ascii="Book Antiqua" w:hAnsi="Book Antiqua" w:cs="Arial"/>
          <w:sz w:val="24"/>
          <w:szCs w:val="24"/>
        </w:rPr>
        <w:t>Diabetes mellitus</w:t>
      </w:r>
      <w:r w:rsidRPr="00EF7CB1">
        <w:rPr>
          <w:rFonts w:ascii="Book Antiqua" w:hAnsi="Book Antiqua" w:cs="Arial"/>
          <w:sz w:val="24"/>
          <w:szCs w:val="24"/>
          <w:lang w:eastAsia="zh-CN"/>
        </w:rPr>
        <w:t>;</w:t>
      </w:r>
      <w:r w:rsidRPr="00EF7CB1">
        <w:rPr>
          <w:rFonts w:ascii="Book Antiqua" w:hAnsi="Book Antiqua" w:cs="Arial"/>
          <w:sz w:val="24"/>
          <w:szCs w:val="24"/>
        </w:rPr>
        <w:t xml:space="preserve"> </w:t>
      </w:r>
      <w:r w:rsidRPr="00EF7CB1">
        <w:rPr>
          <w:rFonts w:ascii="Book Antiqua" w:hAnsi="Book Antiqua" w:cs="Arial"/>
          <w:sz w:val="24"/>
          <w:szCs w:val="24"/>
          <w:lang w:eastAsia="zh-CN"/>
        </w:rPr>
        <w:t>L</w:t>
      </w:r>
      <w:r w:rsidRPr="00EF7CB1">
        <w:rPr>
          <w:rFonts w:ascii="Book Antiqua" w:hAnsi="Book Antiqua" w:cs="Arial"/>
          <w:sz w:val="24"/>
          <w:szCs w:val="24"/>
        </w:rPr>
        <w:t>iver cirrhosis</w:t>
      </w:r>
      <w:r w:rsidRPr="00EF7CB1">
        <w:rPr>
          <w:rFonts w:ascii="Book Antiqua" w:hAnsi="Book Antiqua" w:cs="Arial"/>
          <w:sz w:val="24"/>
          <w:szCs w:val="24"/>
          <w:lang w:eastAsia="zh-CN"/>
        </w:rPr>
        <w:t>;</w:t>
      </w:r>
      <w:r w:rsidRPr="00EF7CB1">
        <w:rPr>
          <w:rFonts w:ascii="Book Antiqua" w:hAnsi="Book Antiqua" w:cs="Arial"/>
          <w:sz w:val="24"/>
          <w:szCs w:val="24"/>
        </w:rPr>
        <w:t xml:space="preserve"> Oral glucose tolerance test</w:t>
      </w:r>
      <w:r w:rsidRPr="00EF7CB1">
        <w:rPr>
          <w:rFonts w:ascii="Book Antiqua" w:hAnsi="Book Antiqua" w:cs="Arial"/>
          <w:sz w:val="24"/>
          <w:szCs w:val="24"/>
          <w:lang w:eastAsia="zh-CN"/>
        </w:rPr>
        <w:t>;</w:t>
      </w:r>
      <w:r w:rsidRPr="00EF7CB1">
        <w:rPr>
          <w:rFonts w:ascii="Book Antiqua" w:hAnsi="Book Antiqua" w:cs="Arial"/>
          <w:sz w:val="24"/>
          <w:szCs w:val="24"/>
        </w:rPr>
        <w:t xml:space="preserve"> </w:t>
      </w:r>
      <w:r w:rsidRPr="00EF7CB1">
        <w:rPr>
          <w:rFonts w:ascii="Book Antiqua" w:hAnsi="Book Antiqua" w:cs="Arial"/>
          <w:sz w:val="24"/>
          <w:szCs w:val="24"/>
          <w:lang w:eastAsia="zh-CN"/>
        </w:rPr>
        <w:t>S</w:t>
      </w:r>
      <w:r w:rsidRPr="00EF7CB1">
        <w:rPr>
          <w:rFonts w:ascii="Book Antiqua" w:hAnsi="Book Antiqua" w:cs="Arial"/>
          <w:sz w:val="24"/>
          <w:szCs w:val="24"/>
        </w:rPr>
        <w:t>urvival</w:t>
      </w:r>
      <w:r w:rsidRPr="00EF7CB1">
        <w:rPr>
          <w:rFonts w:ascii="Book Antiqua" w:hAnsi="Book Antiqua" w:cs="Arial"/>
          <w:sz w:val="24"/>
          <w:szCs w:val="24"/>
          <w:lang w:eastAsia="zh-CN"/>
        </w:rPr>
        <w:t>;</w:t>
      </w:r>
      <w:r w:rsidRPr="00EF7CB1">
        <w:rPr>
          <w:rFonts w:ascii="Book Antiqua" w:hAnsi="Book Antiqua" w:cs="Arial"/>
          <w:sz w:val="24"/>
          <w:szCs w:val="24"/>
        </w:rPr>
        <w:t xml:space="preserve"> </w:t>
      </w:r>
      <w:r w:rsidRPr="00EF7CB1">
        <w:rPr>
          <w:rFonts w:ascii="Book Antiqua" w:hAnsi="Book Antiqua" w:cs="Arial"/>
          <w:sz w:val="24"/>
          <w:szCs w:val="24"/>
          <w:lang w:eastAsia="zh-CN"/>
        </w:rPr>
        <w:t>G</w:t>
      </w:r>
      <w:r w:rsidRPr="00EF7CB1">
        <w:rPr>
          <w:rFonts w:ascii="Book Antiqua" w:hAnsi="Book Antiqua" w:cs="Arial"/>
          <w:sz w:val="24"/>
          <w:szCs w:val="24"/>
        </w:rPr>
        <w:t>lucose metabolism disorders</w:t>
      </w:r>
    </w:p>
    <w:p w:rsidR="007275E3" w:rsidRPr="00EF7CB1" w:rsidRDefault="007275E3" w:rsidP="00A60D1E">
      <w:pPr>
        <w:spacing w:after="0" w:line="360" w:lineRule="auto"/>
        <w:jc w:val="both"/>
        <w:rPr>
          <w:rFonts w:ascii="Book Antiqua" w:hAnsi="Book Antiqua"/>
          <w:b/>
          <w:sz w:val="24"/>
          <w:szCs w:val="24"/>
        </w:rPr>
      </w:pPr>
    </w:p>
    <w:p w:rsidR="007275E3" w:rsidRPr="00EF7CB1" w:rsidRDefault="007275E3" w:rsidP="00A60D1E">
      <w:pPr>
        <w:spacing w:after="0" w:line="360" w:lineRule="auto"/>
        <w:jc w:val="both"/>
        <w:rPr>
          <w:rFonts w:ascii="Book Antiqua" w:hAnsi="Book Antiqua"/>
          <w:sz w:val="24"/>
          <w:szCs w:val="24"/>
        </w:rPr>
      </w:pPr>
      <w:r w:rsidRPr="00EF7CB1">
        <w:rPr>
          <w:rFonts w:ascii="Book Antiqua" w:eastAsia="Arial Unicode MS" w:hAnsi="Book Antiqua" w:cs="Arial Unicode MS"/>
          <w:b/>
          <w:sz w:val="24"/>
          <w:szCs w:val="24"/>
        </w:rPr>
        <w:t xml:space="preserve">Core tip: </w:t>
      </w:r>
      <w:r w:rsidRPr="00EF7CB1">
        <w:rPr>
          <w:rFonts w:ascii="Book Antiqua" w:hAnsi="Book Antiqua"/>
          <w:sz w:val="24"/>
          <w:szCs w:val="24"/>
        </w:rPr>
        <w:t>In this controlled prospective long term study we demonstrated that subclinical forms of abnormal glucose tolerance (IGT</w:t>
      </w:r>
      <w:r w:rsidRPr="00EF7CB1">
        <w:rPr>
          <w:rFonts w:ascii="Book Antiqua" w:hAnsi="Book Antiqua"/>
          <w:sz w:val="24"/>
          <w:szCs w:val="24"/>
          <w:lang w:eastAsia="zh-CN"/>
        </w:rPr>
        <w:t>)</w:t>
      </w:r>
      <w:r w:rsidRPr="00EF7CB1">
        <w:rPr>
          <w:rFonts w:ascii="Book Antiqua" w:hAnsi="Book Antiqua"/>
          <w:sz w:val="24"/>
          <w:szCs w:val="24"/>
        </w:rPr>
        <w:t xml:space="preserve"> or</w:t>
      </w:r>
      <w:r w:rsidRPr="00EF7CB1">
        <w:rPr>
          <w:rFonts w:ascii="Book Antiqua" w:hAnsi="Book Antiqua" w:cs="Arial"/>
          <w:sz w:val="24"/>
          <w:szCs w:val="24"/>
        </w:rPr>
        <w:t xml:space="preserve"> diabetes mellitus</w:t>
      </w:r>
      <w:r w:rsidRPr="00EF7CB1">
        <w:rPr>
          <w:rFonts w:ascii="Book Antiqua" w:hAnsi="Book Antiqua" w:cs="Arial"/>
          <w:sz w:val="24"/>
          <w:szCs w:val="24"/>
          <w:lang w:eastAsia="zh-CN"/>
        </w:rPr>
        <w:t xml:space="preserve"> (DM</w:t>
      </w:r>
      <w:r w:rsidRPr="00EF7CB1">
        <w:rPr>
          <w:rFonts w:ascii="Book Antiqua" w:hAnsi="Book Antiqua"/>
          <w:sz w:val="24"/>
          <w:szCs w:val="24"/>
        </w:rPr>
        <w:t xml:space="preserve">) may influence survival of non diabetic cirrhotic patients. Previously it had been demonstrated that clinically overt DM is associated with low survival of cirrhotic patients. This issue is important since a high proportion of cirrhotic patients (about 70%) without history of DM and normal fasting plasma glucose has subclinical abnormal glucose tolerance. The use of oral glucose tolerance test for early recognition and treatment of DM may improve prognosis of these patients. </w:t>
      </w:r>
    </w:p>
    <w:p w:rsidR="007275E3" w:rsidRPr="00EF7CB1" w:rsidRDefault="007275E3" w:rsidP="00A60D1E">
      <w:pPr>
        <w:spacing w:after="0" w:line="360" w:lineRule="auto"/>
        <w:jc w:val="both"/>
        <w:rPr>
          <w:rFonts w:ascii="Book Antiqua" w:eastAsia="Arial Unicode MS" w:hAnsi="Book Antiqua" w:cs="Arial Unicode MS"/>
          <w:b/>
          <w:sz w:val="24"/>
          <w:szCs w:val="24"/>
        </w:rPr>
      </w:pPr>
    </w:p>
    <w:p w:rsidR="007275E3" w:rsidRPr="00883166"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sz w:val="24"/>
          <w:szCs w:val="24"/>
          <w:lang w:val="es-ES"/>
        </w:rPr>
        <w:t>García-Compeán</w:t>
      </w:r>
      <w:r w:rsidRPr="00EF7CB1">
        <w:rPr>
          <w:rFonts w:ascii="Book Antiqua" w:hAnsi="Book Antiqua" w:cs="Arial"/>
          <w:sz w:val="24"/>
          <w:szCs w:val="24"/>
          <w:lang w:val="es-ES" w:eastAsia="zh-CN"/>
        </w:rPr>
        <w:t xml:space="preserve"> D</w:t>
      </w:r>
      <w:r w:rsidRPr="00EF7CB1">
        <w:rPr>
          <w:rFonts w:ascii="Book Antiqua" w:hAnsi="Book Antiqua" w:cs="Arial"/>
          <w:sz w:val="24"/>
          <w:szCs w:val="24"/>
          <w:lang w:val="es-ES"/>
        </w:rPr>
        <w:t>, Jáquez- Quintana</w:t>
      </w:r>
      <w:r w:rsidRPr="00EF7CB1">
        <w:rPr>
          <w:rFonts w:ascii="Book Antiqua" w:hAnsi="Book Antiqua" w:cs="Arial"/>
          <w:sz w:val="24"/>
          <w:szCs w:val="24"/>
          <w:lang w:val="es-ES" w:eastAsia="zh-CN"/>
        </w:rPr>
        <w:t xml:space="preserve"> JO</w:t>
      </w:r>
      <w:r w:rsidRPr="00EF7CB1">
        <w:rPr>
          <w:rFonts w:ascii="Book Antiqua" w:hAnsi="Book Antiqua" w:cs="Arial"/>
          <w:sz w:val="24"/>
          <w:szCs w:val="24"/>
          <w:lang w:val="es-ES"/>
        </w:rPr>
        <w:t>,</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Lavalle-González</w:t>
      </w:r>
      <w:r w:rsidRPr="00EF7CB1">
        <w:rPr>
          <w:rFonts w:ascii="Book Antiqua" w:hAnsi="Book Antiqua" w:cs="Arial"/>
          <w:sz w:val="24"/>
          <w:szCs w:val="24"/>
          <w:lang w:val="es-ES" w:eastAsia="zh-CN"/>
        </w:rPr>
        <w:t xml:space="preserve"> FJ</w:t>
      </w:r>
      <w:r w:rsidRPr="00EF7CB1">
        <w:rPr>
          <w:rFonts w:ascii="Book Antiqua" w:hAnsi="Book Antiqua" w:cs="Arial"/>
          <w:sz w:val="24"/>
          <w:szCs w:val="24"/>
          <w:lang w:val="es-ES"/>
        </w:rPr>
        <w:t>,</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González-González</w:t>
      </w:r>
      <w:r w:rsidRPr="00EF7CB1">
        <w:rPr>
          <w:rFonts w:ascii="Book Antiqua" w:hAnsi="Book Antiqua" w:cs="Arial"/>
          <w:sz w:val="24"/>
          <w:szCs w:val="24"/>
          <w:lang w:val="es-ES" w:eastAsia="zh-CN"/>
        </w:rPr>
        <w:t xml:space="preserve"> JA</w:t>
      </w:r>
      <w:r w:rsidRPr="00EF7CB1">
        <w:rPr>
          <w:rFonts w:ascii="Book Antiqua" w:hAnsi="Book Antiqua" w:cs="Arial"/>
          <w:sz w:val="24"/>
          <w:szCs w:val="24"/>
          <w:lang w:val="es-ES"/>
        </w:rPr>
        <w:t>,</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Muñoz-Espinosa</w:t>
      </w:r>
      <w:r w:rsidRPr="00EF7CB1">
        <w:rPr>
          <w:rFonts w:ascii="Book Antiqua" w:hAnsi="Book Antiqua" w:cs="Arial"/>
          <w:sz w:val="24"/>
          <w:szCs w:val="24"/>
          <w:lang w:val="es-ES" w:eastAsia="zh-CN"/>
        </w:rPr>
        <w:t xml:space="preserve"> LE</w:t>
      </w:r>
      <w:r w:rsidRPr="00EF7CB1">
        <w:rPr>
          <w:rFonts w:ascii="Book Antiqua" w:hAnsi="Book Antiqua" w:cs="Arial"/>
          <w:sz w:val="24"/>
          <w:szCs w:val="24"/>
          <w:lang w:val="es-ES"/>
        </w:rPr>
        <w:t>,</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Villarreal-Pérez</w:t>
      </w:r>
      <w:r w:rsidRPr="00EF7CB1">
        <w:rPr>
          <w:rFonts w:ascii="Book Antiqua" w:hAnsi="Book Antiqua" w:cs="Arial"/>
          <w:sz w:val="24"/>
          <w:szCs w:val="24"/>
          <w:lang w:val="es-ES" w:eastAsia="zh-CN"/>
        </w:rPr>
        <w:t xml:space="preserve"> JZ</w:t>
      </w:r>
      <w:r w:rsidRPr="00EF7CB1">
        <w:rPr>
          <w:rFonts w:ascii="Book Antiqua" w:hAnsi="Book Antiqua" w:cs="Arial"/>
          <w:sz w:val="24"/>
          <w:szCs w:val="24"/>
          <w:lang w:val="es-ES"/>
        </w:rPr>
        <w:t>,</w:t>
      </w:r>
      <w:r w:rsidRPr="00EF7CB1">
        <w:rPr>
          <w:rFonts w:ascii="Book Antiqua" w:hAnsi="Book Antiqua" w:cs="Arial"/>
          <w:sz w:val="24"/>
          <w:szCs w:val="24"/>
          <w:vertAlign w:val="superscript"/>
          <w:lang w:val="es-ES"/>
        </w:rPr>
        <w:t xml:space="preserve"> </w:t>
      </w:r>
      <w:r w:rsidRPr="00EF7CB1">
        <w:rPr>
          <w:rFonts w:ascii="Book Antiqua" w:hAnsi="Book Antiqua" w:cs="Arial"/>
          <w:sz w:val="24"/>
          <w:szCs w:val="24"/>
          <w:lang w:val="es-ES"/>
        </w:rPr>
        <w:t>Maldonado-Garza</w:t>
      </w:r>
      <w:r w:rsidRPr="00EF7CB1">
        <w:rPr>
          <w:rFonts w:ascii="Book Antiqua" w:hAnsi="Book Antiqua" w:cs="Arial"/>
          <w:sz w:val="24"/>
          <w:szCs w:val="24"/>
          <w:lang w:val="es-ES" w:eastAsia="zh-CN"/>
        </w:rPr>
        <w:t xml:space="preserve"> HJ</w:t>
      </w:r>
      <w:r w:rsidRPr="00EF7CB1">
        <w:rPr>
          <w:rFonts w:ascii="Book Antiqua" w:hAnsi="Book Antiqua" w:cs="Arial" w:hint="eastAsia"/>
          <w:sz w:val="24"/>
          <w:szCs w:val="24"/>
          <w:lang w:val="es-ES" w:eastAsia="zh-CN"/>
        </w:rPr>
        <w:t>。</w:t>
      </w:r>
      <w:r w:rsidRPr="00EF7CB1">
        <w:rPr>
          <w:rFonts w:ascii="Book Antiqua" w:hAnsi="Book Antiqua" w:cs="Arial"/>
          <w:sz w:val="24"/>
          <w:szCs w:val="24"/>
          <w:lang w:val="es-ES" w:eastAsia="zh-CN"/>
        </w:rPr>
        <w:t xml:space="preserve"> </w:t>
      </w:r>
      <w:r w:rsidRPr="00EF7CB1">
        <w:rPr>
          <w:rFonts w:ascii="Book Antiqua" w:hAnsi="Book Antiqua" w:cs="Arial"/>
          <w:sz w:val="24"/>
          <w:szCs w:val="24"/>
        </w:rPr>
        <w:t>Subclinical abnormal glucose tolerance is a predictor of death in liver cirrhosis</w:t>
      </w:r>
      <w:r>
        <w:rPr>
          <w:rFonts w:ascii="Book Antiqua" w:hAnsi="Book Antiqua" w:cs="Arial"/>
          <w:sz w:val="24"/>
          <w:szCs w:val="24"/>
        </w:rPr>
        <w:t>.</w:t>
      </w:r>
    </w:p>
    <w:p w:rsidR="007275E3" w:rsidRPr="00EF7CB1" w:rsidRDefault="007275E3" w:rsidP="00A60D1E">
      <w:pPr>
        <w:spacing w:after="0" w:line="360" w:lineRule="auto"/>
        <w:jc w:val="both"/>
        <w:rPr>
          <w:rFonts w:ascii="Book Antiqua" w:hAnsi="Book Antiqua"/>
          <w:sz w:val="24"/>
          <w:szCs w:val="24"/>
          <w:lang w:eastAsia="zh-CN"/>
        </w:rPr>
      </w:pPr>
    </w:p>
    <w:p w:rsidR="007275E3" w:rsidRPr="00EF7CB1" w:rsidRDefault="007275E3" w:rsidP="00A60D1E">
      <w:pPr>
        <w:pStyle w:val="ab"/>
        <w:spacing w:line="360" w:lineRule="auto"/>
        <w:rPr>
          <w:rFonts w:ascii="Book Antiqua" w:hAnsi="Book Antiqua"/>
          <w:b/>
          <w:sz w:val="24"/>
          <w:szCs w:val="24"/>
        </w:rPr>
      </w:pPr>
      <w:r w:rsidRPr="00EF7CB1">
        <w:rPr>
          <w:rFonts w:ascii="Book Antiqua" w:hAnsi="Book Antiqua"/>
          <w:b/>
          <w:sz w:val="24"/>
          <w:szCs w:val="24"/>
        </w:rPr>
        <w:t xml:space="preserve">Available from: URL: </w:t>
      </w:r>
    </w:p>
    <w:p w:rsidR="007275E3" w:rsidRPr="00EF7CB1" w:rsidRDefault="007275E3" w:rsidP="00A60D1E">
      <w:pPr>
        <w:pStyle w:val="ab"/>
        <w:spacing w:line="360" w:lineRule="auto"/>
        <w:rPr>
          <w:rFonts w:ascii="Book Antiqua" w:hAnsi="Book Antiqua"/>
          <w:b/>
          <w:sz w:val="24"/>
          <w:szCs w:val="24"/>
        </w:rPr>
      </w:pPr>
      <w:r w:rsidRPr="00EF7CB1">
        <w:rPr>
          <w:rFonts w:ascii="Book Antiqua" w:hAnsi="Book Antiqua"/>
          <w:b/>
          <w:sz w:val="24"/>
          <w:szCs w:val="24"/>
        </w:rPr>
        <w:t xml:space="preserve">DOI: </w:t>
      </w:r>
    </w:p>
    <w:p w:rsidR="007275E3" w:rsidRPr="00EF7CB1" w:rsidRDefault="007275E3" w:rsidP="00A60D1E">
      <w:pPr>
        <w:pStyle w:val="Predefinito"/>
        <w:spacing w:after="0" w:line="360" w:lineRule="auto"/>
        <w:jc w:val="both"/>
        <w:rPr>
          <w:rFonts w:ascii="Book Antiqua" w:hAnsi="Book Antiqua" w:cs="Arial"/>
          <w:b/>
          <w:sz w:val="24"/>
          <w:szCs w:val="24"/>
          <w:lang w:val="en-US" w:eastAsia="zh-CN"/>
        </w:rPr>
      </w:pPr>
    </w:p>
    <w:p w:rsidR="007275E3" w:rsidRDefault="007275E3" w:rsidP="00A60D1E">
      <w:pPr>
        <w:spacing w:after="0" w:line="360" w:lineRule="auto"/>
        <w:jc w:val="both"/>
        <w:rPr>
          <w:rFonts w:ascii="Book Antiqua" w:hAnsi="Book Antiqua" w:cs="Arial"/>
          <w:b/>
          <w:sz w:val="24"/>
          <w:szCs w:val="24"/>
        </w:rPr>
      </w:pPr>
    </w:p>
    <w:p w:rsidR="007275E3" w:rsidRDefault="007275E3" w:rsidP="00A60D1E">
      <w:pPr>
        <w:spacing w:after="0" w:line="360" w:lineRule="auto"/>
        <w:jc w:val="both"/>
        <w:rPr>
          <w:rFonts w:ascii="Book Antiqua" w:hAnsi="Book Antiqua" w:cs="Arial"/>
          <w:b/>
          <w:sz w:val="24"/>
          <w:szCs w:val="24"/>
        </w:rPr>
      </w:pPr>
    </w:p>
    <w:p w:rsidR="007275E3" w:rsidRPr="00EF7CB1" w:rsidRDefault="007275E3" w:rsidP="00A60D1E">
      <w:pPr>
        <w:spacing w:after="0" w:line="360" w:lineRule="auto"/>
        <w:jc w:val="both"/>
        <w:rPr>
          <w:rFonts w:ascii="Book Antiqua" w:hAnsi="Book Antiqua" w:cs="Arial"/>
          <w:b/>
          <w:sz w:val="24"/>
          <w:szCs w:val="24"/>
        </w:rPr>
      </w:pPr>
      <w:r w:rsidRPr="00EF7CB1">
        <w:rPr>
          <w:rFonts w:ascii="Book Antiqua" w:hAnsi="Book Antiqua" w:cs="Arial"/>
          <w:b/>
          <w:sz w:val="24"/>
          <w:szCs w:val="24"/>
        </w:rPr>
        <w:t>INTRODUCTION</w:t>
      </w:r>
    </w:p>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Overt diabetes mellitus (DM) has been reported in 21%</w:t>
      </w:r>
      <w:r w:rsidRPr="00EF7CB1">
        <w:rPr>
          <w:rFonts w:ascii="Book Antiqua" w:hAnsi="Book Antiqua" w:cs="Arial"/>
          <w:sz w:val="24"/>
          <w:szCs w:val="24"/>
          <w:lang w:eastAsia="zh-CN"/>
        </w:rPr>
        <w:t>-</w:t>
      </w:r>
      <w:r w:rsidRPr="00EF7CB1">
        <w:rPr>
          <w:rFonts w:ascii="Book Antiqua" w:hAnsi="Book Antiqua" w:cs="Arial"/>
          <w:sz w:val="24"/>
          <w:szCs w:val="24"/>
        </w:rPr>
        <w:t>30% of patients with liver cirrhosis (LC)</w:t>
      </w:r>
      <w:r w:rsidRPr="00EF7CB1">
        <w:rPr>
          <w:rFonts w:ascii="Book Antiqua" w:hAnsi="Book Antiqua"/>
          <w:sz w:val="24"/>
          <w:szCs w:val="24"/>
          <w:vertAlign w:val="superscript"/>
        </w:rPr>
        <w:t>[1]</w:t>
      </w:r>
      <w:r w:rsidRPr="00EF7CB1">
        <w:rPr>
          <w:rFonts w:ascii="Book Antiqua" w:hAnsi="Book Antiqua" w:cs="Arial"/>
          <w:sz w:val="24"/>
          <w:szCs w:val="24"/>
        </w:rPr>
        <w:t>. DM may arise from a progressive disorder of insulin secretion in the presence of liver and muscle resistance to insulin</w:t>
      </w:r>
      <w:r w:rsidRPr="00EF7CB1">
        <w:rPr>
          <w:rFonts w:ascii="Book Antiqua" w:hAnsi="Book Antiqua"/>
          <w:sz w:val="24"/>
          <w:szCs w:val="24"/>
          <w:vertAlign w:val="superscript"/>
        </w:rPr>
        <w:t>[2,3]</w:t>
      </w:r>
      <w:r w:rsidRPr="00EF7CB1">
        <w:rPr>
          <w:rFonts w:ascii="Book Antiqua" w:hAnsi="Book Antiqua"/>
          <w:sz w:val="24"/>
          <w:szCs w:val="24"/>
        </w:rPr>
        <w:t>.</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rPr>
        <w:t>DM is related to LC in two ways: (</w:t>
      </w:r>
      <w:r w:rsidRPr="00EF7CB1">
        <w:rPr>
          <w:rFonts w:ascii="Book Antiqua" w:hAnsi="Book Antiqua" w:cs="Arial"/>
          <w:sz w:val="24"/>
          <w:szCs w:val="24"/>
          <w:lang w:eastAsia="zh-CN"/>
        </w:rPr>
        <w:t>1</w:t>
      </w:r>
      <w:r w:rsidRPr="00EF7CB1">
        <w:rPr>
          <w:rFonts w:ascii="Book Antiqua" w:hAnsi="Book Antiqua" w:cs="Arial"/>
          <w:sz w:val="24"/>
          <w:szCs w:val="24"/>
        </w:rPr>
        <w:t>) type 2 diabetes mellitus (T2DM) (often associated with metabolic syndrome) causes non alcoholic fatty liver disease (NAFLD) (steatosis, steatohepatitis, LC, and hepatocellular carcinoma)</w:t>
      </w:r>
      <w:r w:rsidRPr="00EF7CB1">
        <w:rPr>
          <w:rFonts w:ascii="Book Antiqua" w:hAnsi="Book Antiqua"/>
          <w:sz w:val="24"/>
          <w:szCs w:val="24"/>
          <w:vertAlign w:val="superscript"/>
        </w:rPr>
        <w:t>[4-7]</w:t>
      </w:r>
      <w:r w:rsidRPr="00EF7CB1">
        <w:rPr>
          <w:rFonts w:ascii="Book Antiqua" w:hAnsi="Book Antiqua"/>
          <w:sz w:val="24"/>
          <w:szCs w:val="24"/>
          <w:lang w:eastAsia="zh-CN"/>
        </w:rPr>
        <w:t>;</w:t>
      </w:r>
      <w:r w:rsidRPr="00EF7CB1">
        <w:rPr>
          <w:rFonts w:ascii="Book Antiqua" w:hAnsi="Book Antiqua" w:cs="Arial"/>
          <w:sz w:val="24"/>
          <w:szCs w:val="24"/>
        </w:rPr>
        <w:t xml:space="preserve"> and (</w:t>
      </w:r>
      <w:r w:rsidRPr="00EF7CB1">
        <w:rPr>
          <w:rFonts w:ascii="Book Antiqua" w:hAnsi="Book Antiqua" w:cs="Arial"/>
          <w:sz w:val="24"/>
          <w:szCs w:val="24"/>
          <w:lang w:eastAsia="zh-CN"/>
        </w:rPr>
        <w:t>2</w:t>
      </w:r>
      <w:r w:rsidRPr="00EF7CB1">
        <w:rPr>
          <w:rFonts w:ascii="Book Antiqua" w:hAnsi="Book Antiqua" w:cs="Arial"/>
          <w:sz w:val="24"/>
          <w:szCs w:val="24"/>
        </w:rPr>
        <w:t>) DM may develop as a complication of LC, which is known as “hepatogenous diabetes” (HD)</w:t>
      </w:r>
      <w:r w:rsidRPr="00EF7CB1">
        <w:rPr>
          <w:rFonts w:ascii="Book Antiqua" w:hAnsi="Book Antiqua"/>
          <w:sz w:val="24"/>
          <w:szCs w:val="24"/>
          <w:vertAlign w:val="superscript"/>
        </w:rPr>
        <w:t>[8,9]</w:t>
      </w:r>
      <w:r w:rsidRPr="00EF7CB1">
        <w:rPr>
          <w:rFonts w:ascii="Book Antiqua" w:hAnsi="Book Antiqua"/>
          <w:sz w:val="24"/>
          <w:szCs w:val="24"/>
        </w:rPr>
        <w:t xml:space="preserve">. </w:t>
      </w:r>
      <w:r w:rsidRPr="00EF7CB1">
        <w:rPr>
          <w:rFonts w:ascii="Book Antiqua" w:hAnsi="Book Antiqua" w:cs="Arial"/>
          <w:sz w:val="24"/>
          <w:szCs w:val="24"/>
        </w:rPr>
        <w:t>As liver disease advances, DM becomes clinically evident</w:t>
      </w:r>
      <w:r w:rsidRPr="00EF7CB1">
        <w:rPr>
          <w:rFonts w:ascii="Book Antiqua" w:hAnsi="Book Antiqua"/>
          <w:sz w:val="24"/>
          <w:szCs w:val="24"/>
          <w:vertAlign w:val="superscript"/>
        </w:rPr>
        <w:t>[10,11]</w:t>
      </w:r>
      <w:r w:rsidRPr="00EF7CB1">
        <w:rPr>
          <w:rFonts w:ascii="Book Antiqua" w:hAnsi="Book Antiqua"/>
          <w:sz w:val="24"/>
          <w:szCs w:val="24"/>
        </w:rPr>
        <w:t xml:space="preserve">. </w:t>
      </w:r>
      <w:r w:rsidRPr="00EF7CB1">
        <w:rPr>
          <w:rFonts w:ascii="Book Antiqua" w:hAnsi="Book Antiqua" w:cs="Arial"/>
          <w:sz w:val="24"/>
          <w:szCs w:val="24"/>
        </w:rPr>
        <w:t>T2DM and HD are associated with increased risk of complications of chronic liver diseases and mortality</w:t>
      </w:r>
      <w:r w:rsidRPr="00EF7CB1">
        <w:rPr>
          <w:rFonts w:ascii="Book Antiqua" w:hAnsi="Book Antiqua"/>
          <w:sz w:val="24"/>
          <w:szCs w:val="24"/>
          <w:vertAlign w:val="superscript"/>
        </w:rPr>
        <w:t>[7,9,12-17]</w:t>
      </w:r>
      <w:r w:rsidRPr="00EF7CB1">
        <w:rPr>
          <w:rFonts w:ascii="Book Antiqua" w:hAnsi="Book Antiqua"/>
          <w:sz w:val="24"/>
          <w:szCs w:val="24"/>
        </w:rPr>
        <w:t xml:space="preserve">. </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rPr>
        <w:t>On the other hand, subclinical abnormal glucose tolerance disorders (SAGT), such as impaired glucose tolerance or DM (called subclinical since they are detected only by means of an oral glucose tolerance test), may be observed in 45 and 22%, respectively, of patients with LC and no history of DM</w:t>
      </w:r>
      <w:r w:rsidRPr="00EF7CB1">
        <w:rPr>
          <w:rFonts w:ascii="Book Antiqua" w:hAnsi="Book Antiqua"/>
          <w:sz w:val="24"/>
          <w:szCs w:val="24"/>
          <w:vertAlign w:val="superscript"/>
        </w:rPr>
        <w:t>[18,19]</w:t>
      </w:r>
      <w:r w:rsidRPr="00EF7CB1">
        <w:rPr>
          <w:rFonts w:ascii="Book Antiqua" w:hAnsi="Book Antiqua"/>
          <w:sz w:val="24"/>
          <w:szCs w:val="24"/>
        </w:rPr>
        <w:t xml:space="preserve">. </w:t>
      </w:r>
      <w:r w:rsidRPr="00EF7CB1">
        <w:rPr>
          <w:rFonts w:ascii="Book Antiqua" w:hAnsi="Book Antiqua" w:cs="Arial"/>
          <w:sz w:val="24"/>
          <w:szCs w:val="24"/>
        </w:rPr>
        <w:t>Therefore, the prevalence of DM and impaired glucose tolerance (IGT) may be underestimated when only fasting plasma glucose (FPG) levels are taken into account. Our group has recently published a study determining the prevalence of T2DM, DH and IGT in patients with LC who underwent oral glucose tolerance test (OGTT). In total, 86% of the cases had either overt or subclinical IGT and DM, with or without insulin resistance (IR)</w:t>
      </w:r>
      <w:r w:rsidRPr="00EF7CB1">
        <w:rPr>
          <w:rFonts w:ascii="Book Antiqua" w:hAnsi="Book Antiqua"/>
          <w:sz w:val="24"/>
          <w:szCs w:val="24"/>
          <w:vertAlign w:val="superscript"/>
        </w:rPr>
        <w:t>[18]</w:t>
      </w:r>
      <w:r w:rsidRPr="00EF7CB1">
        <w:rPr>
          <w:rFonts w:ascii="Book Antiqua" w:hAnsi="Book Antiqua" w:cs="Arial"/>
          <w:sz w:val="24"/>
          <w:szCs w:val="24"/>
        </w:rPr>
        <w:t>.</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rPr>
        <w:lastRenderedPageBreak/>
        <w:t>The negative influence of the SAGT on the survival of cirrhotic patients was demonstrated in one study carried out in Japan, which found that patients with IGT or DM diagnosed by OGTT, had a significantly lower 5-year survival rate</w:t>
      </w:r>
      <w:r w:rsidRPr="00EF7CB1">
        <w:rPr>
          <w:rFonts w:ascii="Book Antiqua" w:hAnsi="Book Antiqua"/>
          <w:sz w:val="24"/>
          <w:szCs w:val="24"/>
          <w:vertAlign w:val="superscript"/>
        </w:rPr>
        <w:t>[20]</w:t>
      </w:r>
      <w:r w:rsidRPr="00EF7CB1">
        <w:rPr>
          <w:rFonts w:ascii="Book Antiqua" w:hAnsi="Book Antiqua"/>
          <w:sz w:val="24"/>
          <w:szCs w:val="24"/>
        </w:rPr>
        <w:t xml:space="preserve">. </w:t>
      </w:r>
      <w:r w:rsidRPr="00EF7CB1">
        <w:rPr>
          <w:rFonts w:ascii="Book Antiqua" w:hAnsi="Book Antiqua" w:cs="Arial"/>
          <w:sz w:val="24"/>
          <w:szCs w:val="24"/>
        </w:rPr>
        <w:t>However, similar findings have not been reported by others elsewhere.</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rPr>
        <w:t>The aims of this study were: (</w:t>
      </w:r>
      <w:r w:rsidRPr="00EF7CB1">
        <w:rPr>
          <w:rFonts w:ascii="Book Antiqua" w:hAnsi="Book Antiqua" w:cs="Arial"/>
          <w:sz w:val="24"/>
          <w:szCs w:val="24"/>
          <w:lang w:eastAsia="zh-CN"/>
        </w:rPr>
        <w:t>1</w:t>
      </w:r>
      <w:r w:rsidRPr="00EF7CB1">
        <w:rPr>
          <w:rFonts w:ascii="Book Antiqua" w:hAnsi="Book Antiqua" w:cs="Arial"/>
          <w:sz w:val="24"/>
          <w:szCs w:val="24"/>
        </w:rPr>
        <w:t>) to evaluate if SAGT has any influence on survival of patients with compensated LC and normal FPG levels; and (</w:t>
      </w:r>
      <w:r w:rsidRPr="00EF7CB1">
        <w:rPr>
          <w:rFonts w:ascii="Book Antiqua" w:hAnsi="Book Antiqua" w:cs="Arial"/>
          <w:sz w:val="24"/>
          <w:szCs w:val="24"/>
          <w:lang w:eastAsia="zh-CN"/>
        </w:rPr>
        <w:t>2</w:t>
      </w:r>
      <w:r w:rsidRPr="00EF7CB1">
        <w:rPr>
          <w:rFonts w:ascii="Book Antiqua" w:hAnsi="Book Antiqua" w:cs="Arial"/>
          <w:sz w:val="24"/>
          <w:szCs w:val="24"/>
        </w:rPr>
        <w:t>) to identify mortality predictors.</w:t>
      </w:r>
    </w:p>
    <w:p w:rsidR="007275E3" w:rsidRPr="00EF7CB1" w:rsidRDefault="007275E3" w:rsidP="00A60D1E">
      <w:pPr>
        <w:spacing w:after="0" w:line="360" w:lineRule="auto"/>
        <w:jc w:val="both"/>
        <w:rPr>
          <w:rFonts w:ascii="Book Antiqua" w:hAnsi="Book Antiqua" w:cs="Arial"/>
          <w:b/>
          <w:sz w:val="24"/>
          <w:szCs w:val="24"/>
        </w:rPr>
      </w:pPr>
    </w:p>
    <w:p w:rsidR="007275E3" w:rsidRPr="00EF7CB1" w:rsidRDefault="007275E3" w:rsidP="00A60D1E">
      <w:pPr>
        <w:spacing w:after="0" w:line="360" w:lineRule="auto"/>
        <w:jc w:val="both"/>
        <w:rPr>
          <w:rFonts w:ascii="Book Antiqua" w:hAnsi="Book Antiqua" w:cs="Arial"/>
          <w:sz w:val="24"/>
          <w:szCs w:val="24"/>
          <w:lang w:eastAsia="es-ES"/>
        </w:rPr>
      </w:pPr>
      <w:r w:rsidRPr="00EF7CB1">
        <w:rPr>
          <w:rFonts w:ascii="Book Antiqua" w:hAnsi="Book Antiqua" w:cs="Arial"/>
          <w:b/>
          <w:sz w:val="24"/>
          <w:szCs w:val="24"/>
          <w:lang w:val="en-GB"/>
        </w:rPr>
        <w:t>MATERIALS AND METHODS</w:t>
      </w:r>
    </w:p>
    <w:p w:rsidR="007275E3" w:rsidRPr="00EF7CB1" w:rsidRDefault="007275E3" w:rsidP="00A60D1E">
      <w:pPr>
        <w:spacing w:after="0" w:line="360" w:lineRule="auto"/>
        <w:jc w:val="both"/>
        <w:rPr>
          <w:rFonts w:ascii="Book Antiqua" w:hAnsi="Book Antiqua" w:cs="Arial"/>
          <w:b/>
          <w:i/>
          <w:sz w:val="24"/>
          <w:szCs w:val="24"/>
          <w:lang w:eastAsia="zh-CN"/>
        </w:rPr>
      </w:pPr>
      <w:r w:rsidRPr="00EF7CB1">
        <w:rPr>
          <w:rFonts w:ascii="Book Antiqua" w:hAnsi="Book Antiqua" w:cs="Arial"/>
          <w:b/>
          <w:i/>
          <w:sz w:val="24"/>
          <w:szCs w:val="24"/>
        </w:rPr>
        <w:t>Patients</w:t>
      </w: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sz w:val="24"/>
          <w:szCs w:val="24"/>
        </w:rPr>
        <w:t>Patients with LC, who were seen in our hospital from August 2007 to August 2012, were prospectively evaluated. Only those with normal FPG (&lt;</w:t>
      </w:r>
      <w:r w:rsidRPr="00EF7CB1">
        <w:rPr>
          <w:rFonts w:ascii="Book Antiqua" w:hAnsi="Book Antiqua" w:cs="Arial"/>
          <w:sz w:val="24"/>
          <w:szCs w:val="24"/>
          <w:lang w:eastAsia="zh-CN"/>
        </w:rPr>
        <w:t xml:space="preserve"> </w:t>
      </w:r>
      <w:r w:rsidRPr="00EF7CB1">
        <w:rPr>
          <w:rFonts w:ascii="Book Antiqua" w:hAnsi="Book Antiqua" w:cs="Arial"/>
          <w:sz w:val="24"/>
          <w:szCs w:val="24"/>
        </w:rPr>
        <w:t>100</w:t>
      </w:r>
      <w:r w:rsidRPr="00EF7CB1">
        <w:rPr>
          <w:rFonts w:ascii="Book Antiqua" w:hAnsi="Book Antiqua" w:cs="Arial"/>
          <w:sz w:val="24"/>
          <w:szCs w:val="24"/>
          <w:lang w:eastAsia="zh-CN"/>
        </w:rPr>
        <w:t xml:space="preserve"> </w:t>
      </w:r>
      <w:r w:rsidRPr="00EF7CB1">
        <w:rPr>
          <w:rFonts w:ascii="Book Antiqua" w:hAnsi="Book Antiqua" w:cs="Arial"/>
          <w:sz w:val="24"/>
          <w:szCs w:val="24"/>
        </w:rPr>
        <w:t>mg/dL), no history of overt DM, with clinical or histological diagnosis of LC, aged over 18 years old and without clinically evident complications of liver disease (</w:t>
      </w:r>
      <w:r w:rsidRPr="00EF7CB1">
        <w:rPr>
          <w:rFonts w:ascii="Book Antiqua" w:hAnsi="Book Antiqua" w:cs="Arial"/>
          <w:i/>
          <w:sz w:val="24"/>
          <w:szCs w:val="24"/>
        </w:rPr>
        <w:t>e.g.</w:t>
      </w:r>
      <w:r w:rsidRPr="00EF7CB1">
        <w:rPr>
          <w:rFonts w:ascii="Book Antiqua" w:hAnsi="Book Antiqua" w:cs="Arial"/>
          <w:sz w:val="24"/>
          <w:szCs w:val="24"/>
          <w:lang w:eastAsia="zh-CN"/>
        </w:rPr>
        <w:t>,</w:t>
      </w:r>
      <w:r w:rsidRPr="00EF7CB1">
        <w:rPr>
          <w:rFonts w:ascii="Book Antiqua" w:hAnsi="Book Antiqua" w:cs="Arial"/>
          <w:sz w:val="24"/>
          <w:szCs w:val="24"/>
        </w:rPr>
        <w:t xml:space="preserve"> esophageal or gastric variceal bleeding, hepatic encephalopathy, hepatorenal syndrome, infection, spontaneous bacterial peritonitis, and moderate to severe ascites), were selected for the study (patients with complications were excluded in order to avoid the effect of medications used for treating them, on glucose metabolism of patients). Clinical diagnosis of LC was made by using a combination of clinical symptoms, laboratory tests and imaging studies (abdominal ultrasonography or CT scan)</w:t>
      </w:r>
      <w:r w:rsidRPr="00EF7CB1">
        <w:rPr>
          <w:rFonts w:ascii="Book Antiqua" w:hAnsi="Book Antiqua"/>
          <w:sz w:val="24"/>
          <w:szCs w:val="24"/>
          <w:vertAlign w:val="superscript"/>
        </w:rPr>
        <w:t>[21,22]</w:t>
      </w:r>
      <w:r w:rsidRPr="00EF7CB1">
        <w:rPr>
          <w:rFonts w:ascii="Book Antiqua" w:hAnsi="Book Antiqua" w:cs="Arial"/>
          <w:sz w:val="24"/>
          <w:szCs w:val="24"/>
        </w:rPr>
        <w:t>.</w:t>
      </w:r>
      <w:r w:rsidRPr="00EF7CB1">
        <w:rPr>
          <w:rFonts w:ascii="Book Antiqua" w:hAnsi="Book Antiqua" w:cs="Arial"/>
          <w:sz w:val="24"/>
          <w:szCs w:val="24"/>
          <w:lang w:eastAsia="zh-CN"/>
        </w:rPr>
        <w:t xml:space="preserve"> </w:t>
      </w:r>
      <w:r w:rsidRPr="00EF7CB1">
        <w:rPr>
          <w:rFonts w:ascii="Book Antiqua" w:hAnsi="Book Antiqua" w:cs="Arial"/>
          <w:sz w:val="24"/>
          <w:szCs w:val="24"/>
        </w:rPr>
        <w:t>T</w:t>
      </w:r>
      <w:r w:rsidRPr="00EF7CB1">
        <w:rPr>
          <w:rFonts w:ascii="Book Antiqua" w:hAnsi="Book Antiqua"/>
          <w:sz w:val="24"/>
          <w:szCs w:val="24"/>
        </w:rPr>
        <w:t xml:space="preserve">he etiology of cirrhosis was determined as follows: Alcohol-related cirrhosis was determined when daily alcohol consumption was of &gt; 80 g in men and &gt; 40 g in women for at least 10 years with negative viral, metabolic and autoimmune markers. Diagnosis of </w:t>
      </w:r>
      <w:r w:rsidRPr="00EF7CB1">
        <w:rPr>
          <w:rFonts w:ascii="Book Antiqua" w:hAnsi="Book Antiqua"/>
          <w:sz w:val="24"/>
          <w:szCs w:val="24"/>
        </w:rPr>
        <w:lastRenderedPageBreak/>
        <w:t>hepatitis C virus and B virus related cirrhosis was determined with specific viral markers (HBsAg or anti-HCV). Autoimmune liver disease was diagnosed with specific autoimmune markers (anti-nuclear antibodies, anti-smooth muscle antibodies or liver-kidney anti-microsomal antibodies), meanwhile cryptogenic cirrhosis was established in the absence of any of the causes above described</w:t>
      </w:r>
      <w:r w:rsidRPr="00EF7CB1">
        <w:rPr>
          <w:rFonts w:ascii="Book Antiqua" w:hAnsi="Book Antiqua"/>
          <w:sz w:val="24"/>
          <w:szCs w:val="24"/>
          <w:vertAlign w:val="superscript"/>
        </w:rPr>
        <w:t>[23]</w:t>
      </w:r>
      <w:r w:rsidRPr="00EF7CB1">
        <w:rPr>
          <w:rFonts w:ascii="Book Antiqua" w:hAnsi="Book Antiqua"/>
          <w:sz w:val="24"/>
          <w:szCs w:val="24"/>
        </w:rPr>
        <w:t>.</w:t>
      </w: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sz w:val="24"/>
          <w:szCs w:val="24"/>
        </w:rPr>
        <w:tab/>
        <w:t>Informed consent was obtained from each patient. The protocol was approved by The Research and Ethics Committee of the Faculty of Medicine of the Autonomous University of Nuevo Leon in Monterrey.</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b/>
          <w:i/>
          <w:sz w:val="24"/>
          <w:szCs w:val="24"/>
        </w:rPr>
        <w:t>Fasting plasma insulin and OGTT</w:t>
      </w:r>
    </w:p>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Fasting plasma insulin (FPI)</w:t>
      </w:r>
      <w:r w:rsidRPr="00EF7CB1">
        <w:rPr>
          <w:rFonts w:ascii="Book Antiqua" w:hAnsi="Book Antiqua" w:cs="Arial"/>
          <w:b/>
          <w:i/>
          <w:sz w:val="24"/>
          <w:szCs w:val="24"/>
        </w:rPr>
        <w:t xml:space="preserve"> </w:t>
      </w:r>
      <w:r w:rsidRPr="00EF7CB1">
        <w:rPr>
          <w:rFonts w:ascii="Book Antiqua" w:hAnsi="Book Antiqua" w:cs="Arial"/>
          <w:sz w:val="24"/>
          <w:szCs w:val="24"/>
        </w:rPr>
        <w:t>levels were measured and OGTT was performed according to the WHO criteria</w:t>
      </w:r>
      <w:r w:rsidRPr="00EF7CB1">
        <w:rPr>
          <w:rFonts w:ascii="Book Antiqua" w:hAnsi="Book Antiqua" w:cs="Arial"/>
          <w:sz w:val="24"/>
          <w:szCs w:val="24"/>
          <w:vertAlign w:val="superscript"/>
        </w:rPr>
        <w:t>[24]</w:t>
      </w:r>
      <w:r w:rsidRPr="00EF7CB1">
        <w:rPr>
          <w:rFonts w:ascii="Book Antiqua" w:hAnsi="Book Antiqua" w:cs="Arial"/>
          <w:sz w:val="24"/>
          <w:szCs w:val="24"/>
        </w:rPr>
        <w:t>. Patients were fasted for at least 12 hours, and baseline plasma glucose was measured; then, they were given an oral glucose load (75 g). Additionally, plasma glucose (PG) levels were measured every 30 min for 2 h. The results were interpreted as follows: a) normal glucose tolerance (NGT) if 2-h PG was &lt;</w:t>
      </w:r>
      <w:r w:rsidRPr="00EF7CB1">
        <w:rPr>
          <w:rFonts w:ascii="Book Antiqua" w:hAnsi="Book Antiqua" w:cs="Arial"/>
          <w:sz w:val="24"/>
          <w:szCs w:val="24"/>
          <w:lang w:eastAsia="zh-CN"/>
        </w:rPr>
        <w:t xml:space="preserve"> </w:t>
      </w:r>
      <w:r w:rsidRPr="00EF7CB1">
        <w:rPr>
          <w:rFonts w:ascii="Book Antiqua" w:hAnsi="Book Antiqua" w:cs="Arial"/>
          <w:sz w:val="24"/>
          <w:szCs w:val="24"/>
        </w:rPr>
        <w:t>140 mg/dL; IGT if 2-h PG was between 140 mg/dL and 200 mg/dL; and DM if 2-h PG was &gt;</w:t>
      </w:r>
      <w:r w:rsidRPr="00EF7CB1">
        <w:rPr>
          <w:rFonts w:ascii="Book Antiqua" w:hAnsi="Book Antiqua" w:cs="Arial"/>
          <w:sz w:val="24"/>
          <w:szCs w:val="24"/>
          <w:lang w:eastAsia="zh-CN"/>
        </w:rPr>
        <w:t xml:space="preserve"> </w:t>
      </w:r>
      <w:r w:rsidRPr="00EF7CB1">
        <w:rPr>
          <w:rFonts w:ascii="Book Antiqua" w:hAnsi="Book Antiqua" w:cs="Arial"/>
          <w:sz w:val="24"/>
          <w:szCs w:val="24"/>
        </w:rPr>
        <w:t>200 mg/dL. Plasma HbA1c was not used for diagnosing diabetes mellitus due to its low sensitivity reported in cirrhotic patients</w:t>
      </w:r>
      <w:r w:rsidRPr="00EF7CB1">
        <w:rPr>
          <w:rFonts w:ascii="Book Antiqua" w:hAnsi="Book Antiqua"/>
          <w:sz w:val="24"/>
          <w:szCs w:val="24"/>
          <w:vertAlign w:val="superscript"/>
        </w:rPr>
        <w:t>[19]</w:t>
      </w:r>
      <w:r w:rsidRPr="00EF7CB1">
        <w:rPr>
          <w:rFonts w:ascii="Book Antiqua" w:hAnsi="Book Antiqua"/>
          <w:sz w:val="24"/>
          <w:szCs w:val="24"/>
        </w:rPr>
        <w:t>.</w:t>
      </w:r>
    </w:p>
    <w:p w:rsidR="007275E3" w:rsidRPr="00EF7CB1" w:rsidRDefault="007275E3" w:rsidP="008924AC">
      <w:pPr>
        <w:spacing w:after="0" w:line="360" w:lineRule="auto"/>
        <w:ind w:firstLineChars="200" w:firstLine="480"/>
        <w:jc w:val="both"/>
        <w:rPr>
          <w:rFonts w:ascii="Book Antiqua" w:hAnsi="Book Antiqua" w:cs="Arial"/>
          <w:sz w:val="24"/>
          <w:szCs w:val="24"/>
          <w:lang w:eastAsia="zh-CN"/>
        </w:rPr>
      </w:pPr>
      <w:r w:rsidRPr="00EF7CB1">
        <w:rPr>
          <w:rFonts w:ascii="Book Antiqua" w:hAnsi="Book Antiqua" w:cs="Arial"/>
          <w:sz w:val="24"/>
          <w:szCs w:val="24"/>
        </w:rPr>
        <w:t>FPI was measured by using the electrochemiluminescence method (normal values: 5–20</w:t>
      </w:r>
      <w:r w:rsidRPr="00EF7CB1">
        <w:rPr>
          <w:rFonts w:ascii="Book Antiqua" w:hAnsi="Book Antiqua" w:cs="Arial"/>
          <w:sz w:val="24"/>
          <w:szCs w:val="24"/>
          <w:lang w:eastAsia="zh-CN"/>
        </w:rPr>
        <w:t xml:space="preserve"> </w:t>
      </w:r>
      <w:r w:rsidRPr="00EF7CB1">
        <w:rPr>
          <w:rFonts w:ascii="Book Antiqua" w:hAnsi="Book Antiqua" w:cs="Arial"/>
          <w:sz w:val="24"/>
          <w:szCs w:val="24"/>
        </w:rPr>
        <w:t>μU/mL). HOMA2-IR index (Homeostasis Model Assessment 2-Insulin Resistance Index) was calculated using the following online software (</w:t>
      </w:r>
      <w:hyperlink r:id="rId8" w:history="1">
        <w:r w:rsidRPr="00EF7CB1">
          <w:rPr>
            <w:rStyle w:val="a3"/>
            <w:rFonts w:ascii="Book Antiqua" w:hAnsi="Book Antiqua" w:cs="Arial"/>
            <w:color w:val="auto"/>
            <w:sz w:val="24"/>
            <w:szCs w:val="24"/>
            <w:u w:val="none"/>
          </w:rPr>
          <w:t>http://www.dtu.ox.ac.uk/homacalculator/index.php</w:t>
        </w:r>
      </w:hyperlink>
      <w:r w:rsidRPr="00EF7CB1">
        <w:rPr>
          <w:rFonts w:ascii="Book Antiqua" w:hAnsi="Book Antiqua" w:cs="Arial"/>
          <w:sz w:val="24"/>
          <w:szCs w:val="24"/>
        </w:rPr>
        <w:t xml:space="preserve">). </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b/>
          <w:i/>
          <w:sz w:val="24"/>
          <w:szCs w:val="24"/>
        </w:rPr>
        <w:t xml:space="preserve">Assessments </w:t>
      </w:r>
    </w:p>
    <w:p w:rsidR="007275E3" w:rsidRPr="00EF7CB1" w:rsidRDefault="007275E3" w:rsidP="00A60D1E">
      <w:pPr>
        <w:spacing w:after="0" w:line="360" w:lineRule="auto"/>
        <w:jc w:val="both"/>
        <w:rPr>
          <w:rFonts w:ascii="Book Antiqua" w:hAnsi="Book Antiqua"/>
          <w:sz w:val="24"/>
          <w:szCs w:val="24"/>
          <w:lang w:eastAsia="zh-CN"/>
        </w:rPr>
      </w:pPr>
      <w:r w:rsidRPr="00EF7CB1">
        <w:rPr>
          <w:rFonts w:ascii="Book Antiqua" w:hAnsi="Book Antiqua" w:cs="Arial"/>
          <w:sz w:val="24"/>
          <w:szCs w:val="24"/>
        </w:rPr>
        <w:lastRenderedPageBreak/>
        <w:t>The following data were recorded in a data base specially designed for the study: gender, age, and family history of DM as well as laboratory blood tests results (serum hemoglobin, leukocytes, platelets, BUN, creatinine, albumin, bilirubin, aspartate aminotransferase, γ-</w:t>
      </w:r>
      <w:r w:rsidRPr="00EF7CB1">
        <w:rPr>
          <w:rFonts w:ascii="Book Antiqua" w:hAnsi="Book Antiqua"/>
          <w:sz w:val="24"/>
          <w:szCs w:val="24"/>
        </w:rPr>
        <w:t xml:space="preserve"> </w:t>
      </w:r>
      <w:r w:rsidRPr="00EF7CB1">
        <w:rPr>
          <w:rFonts w:ascii="Book Antiqua" w:hAnsi="Book Antiqua" w:cs="Arial"/>
          <w:sz w:val="24"/>
          <w:szCs w:val="24"/>
        </w:rPr>
        <w:t>glutamyltranspeptidase, alkaline phosphatase, cholesterol, triglycerides, and INR). The body mass index (BMI) was calculated, and construed as follows: normal if &lt; 24.9, overweight between 25 and 29.9, and obesity if &gt; 30</w:t>
      </w:r>
      <w:r w:rsidRPr="00EF7CB1">
        <w:rPr>
          <w:rFonts w:ascii="Book Antiqua" w:hAnsi="Book Antiqua"/>
          <w:sz w:val="24"/>
          <w:szCs w:val="24"/>
          <w:vertAlign w:val="superscript"/>
        </w:rPr>
        <w:t>[25]</w:t>
      </w:r>
      <w:r w:rsidRPr="00EF7CB1">
        <w:rPr>
          <w:rFonts w:ascii="Book Antiqua" w:hAnsi="Book Antiqua"/>
          <w:sz w:val="24"/>
          <w:szCs w:val="24"/>
        </w:rPr>
        <w:t xml:space="preserve">. </w:t>
      </w:r>
      <w:r w:rsidRPr="00EF7CB1">
        <w:rPr>
          <w:rFonts w:ascii="Book Antiqua" w:hAnsi="Book Antiqua" w:cs="Arial"/>
          <w:sz w:val="24"/>
          <w:szCs w:val="24"/>
        </w:rPr>
        <w:t>Liver function was estimated using Child-Pugh and MELD (Model for End-Stage Liver Disease) classifications</w:t>
      </w:r>
      <w:r w:rsidRPr="00EF7CB1">
        <w:rPr>
          <w:rFonts w:ascii="Book Antiqua" w:hAnsi="Book Antiqua"/>
          <w:sz w:val="24"/>
          <w:szCs w:val="24"/>
          <w:vertAlign w:val="superscript"/>
        </w:rPr>
        <w:t>[26,27]</w:t>
      </w:r>
      <w:r w:rsidRPr="00EF7CB1">
        <w:rPr>
          <w:rFonts w:ascii="Book Antiqua" w:hAnsi="Book Antiqua"/>
          <w:sz w:val="24"/>
          <w:szCs w:val="24"/>
        </w:rPr>
        <w:t>.</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b/>
          <w:i/>
          <w:sz w:val="24"/>
          <w:szCs w:val="24"/>
        </w:rPr>
        <w:t>Follow-up</w:t>
      </w:r>
    </w:p>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 xml:space="preserve">All patients were followed-up every 3 mo in the outpatient department. A full clinical examination was made in each interview. Laboratory blood testing (serum hemoglobin, hematocrit, blood cell count, glucose, creatinine, BUN, liver function tests and coagulation tests) was also performed. Moreover, plasma alpha-fetoprotein and liver ultrasonography were performed every 6 months. Additionally, hospital admissions were recorded during which clinical course of the patient was determined. Patients or relatives of them were contacted by telephone when he or she did not attend to appointments. Callings were done in order to determine the clinical status of the patient, or to inquire whether their death occurred. </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rPr>
        <w:t xml:space="preserve">During follow-up patients were treated with life style and diet modifications, and in particular cases with oral hypoglycemic agents or insulin administration. No antidiabetic medication was given to those with impaired glucose tolerance. </w:t>
      </w:r>
    </w:p>
    <w:p w:rsidR="007275E3" w:rsidRPr="00EF7CB1" w:rsidRDefault="007275E3" w:rsidP="00A60D1E">
      <w:pPr>
        <w:spacing w:after="0" w:line="360" w:lineRule="auto"/>
        <w:jc w:val="both"/>
        <w:rPr>
          <w:rFonts w:ascii="Book Antiqua" w:hAnsi="Book Antiqua" w:cs="Arial"/>
          <w:i/>
          <w:sz w:val="24"/>
          <w:szCs w:val="24"/>
        </w:rPr>
      </w:pPr>
    </w:p>
    <w:p w:rsidR="007275E3" w:rsidRPr="00EF7CB1" w:rsidRDefault="007275E3" w:rsidP="00A60D1E">
      <w:pPr>
        <w:spacing w:after="0" w:line="360" w:lineRule="auto"/>
        <w:jc w:val="both"/>
        <w:outlineLvl w:val="0"/>
        <w:rPr>
          <w:rFonts w:ascii="Book Antiqua" w:hAnsi="Book Antiqua" w:cs="Arial"/>
          <w:b/>
          <w:i/>
          <w:sz w:val="24"/>
          <w:szCs w:val="24"/>
        </w:rPr>
      </w:pPr>
      <w:r w:rsidRPr="00EF7CB1">
        <w:rPr>
          <w:rFonts w:ascii="Book Antiqua" w:hAnsi="Book Antiqua" w:cs="Arial"/>
          <w:b/>
          <w:i/>
          <w:sz w:val="24"/>
          <w:szCs w:val="24"/>
        </w:rPr>
        <w:lastRenderedPageBreak/>
        <w:t xml:space="preserve">Statistical analysis </w:t>
      </w:r>
    </w:p>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 xml:space="preserve">Continuous variables were expressed as means and standard deviations, while non-continuous variables as medians and ranges. Categorical variables were expressed as relative proportions. Intergroup comparisons were made by Student </w:t>
      </w:r>
      <w:r w:rsidRPr="00EF7CB1">
        <w:rPr>
          <w:rFonts w:ascii="Book Antiqua" w:hAnsi="Book Antiqua" w:cs="Arial"/>
          <w:i/>
          <w:sz w:val="24"/>
          <w:szCs w:val="24"/>
        </w:rPr>
        <w:t>t</w:t>
      </w:r>
      <w:r w:rsidRPr="00EF7CB1">
        <w:rPr>
          <w:rFonts w:ascii="Book Antiqua" w:hAnsi="Book Antiqua" w:cs="Arial"/>
          <w:sz w:val="24"/>
          <w:szCs w:val="24"/>
        </w:rPr>
        <w:t xml:space="preserve">, </w:t>
      </w:r>
      <w:r w:rsidRPr="00EF7CB1">
        <w:rPr>
          <w:rFonts w:ascii="Book Antiqua" w:eastAsia="MingLiU" w:hAnsi="Book Antiqua" w:cs="Arial"/>
          <w:sz w:val="24"/>
          <w:szCs w:val="24"/>
        </w:rPr>
        <w:sym w:font="Symbol" w:char="F063"/>
      </w:r>
      <w:r w:rsidRPr="00EF7CB1">
        <w:rPr>
          <w:rFonts w:ascii="Book Antiqua" w:hAnsi="Book Antiqua" w:cs="Arial"/>
          <w:i/>
          <w:iCs/>
          <w:sz w:val="24"/>
          <w:szCs w:val="24"/>
          <w:vertAlign w:val="superscript"/>
        </w:rPr>
        <w:t xml:space="preserve">2 </w:t>
      </w:r>
      <w:r w:rsidRPr="00EF7CB1">
        <w:rPr>
          <w:rFonts w:ascii="Book Antiqua" w:hAnsi="Book Antiqua" w:cs="Arial"/>
          <w:sz w:val="24"/>
          <w:szCs w:val="24"/>
        </w:rPr>
        <w:t>and Mann-Whitney tests. Variables were analyzed using regression testing Cox’s proportional hazard model in order to determine independent predictive factors of mortality</w:t>
      </w:r>
      <w:r w:rsidRPr="00EF7CB1">
        <w:rPr>
          <w:rFonts w:ascii="Book Antiqua" w:hAnsi="Book Antiqua"/>
          <w:sz w:val="24"/>
          <w:szCs w:val="24"/>
          <w:vertAlign w:val="superscript"/>
        </w:rPr>
        <w:t>[28]</w:t>
      </w:r>
      <w:r w:rsidRPr="00EF7CB1">
        <w:rPr>
          <w:rFonts w:ascii="Book Antiqua" w:hAnsi="Book Antiqua"/>
          <w:sz w:val="24"/>
          <w:szCs w:val="24"/>
        </w:rPr>
        <w:t>.</w:t>
      </w:r>
      <w:r w:rsidRPr="00EF7CB1">
        <w:rPr>
          <w:rFonts w:ascii="Book Antiqua" w:hAnsi="Book Antiqua" w:cs="Arial"/>
          <w:sz w:val="24"/>
          <w:szCs w:val="24"/>
        </w:rPr>
        <w:t xml:space="preserve"> Only the variables that were statistically significant in univariate analysis were analyzed in multivariate analysis. The results were expressed as hazard ratios (HR) with 95% confidence intervals, and the p-value was calculated.</w:t>
      </w:r>
    </w:p>
    <w:p w:rsidR="007275E3" w:rsidRPr="00EF7CB1" w:rsidRDefault="007275E3" w:rsidP="008924AC">
      <w:pPr>
        <w:spacing w:after="0" w:line="360" w:lineRule="auto"/>
        <w:ind w:firstLineChars="200" w:firstLine="480"/>
        <w:jc w:val="both"/>
        <w:rPr>
          <w:rFonts w:ascii="Book Antiqua" w:hAnsi="Book Antiqua" w:cs="Arial"/>
          <w:sz w:val="24"/>
          <w:szCs w:val="24"/>
          <w:lang w:eastAsia="zh-CN"/>
        </w:rPr>
      </w:pPr>
      <w:r w:rsidRPr="00EF7CB1">
        <w:rPr>
          <w:rFonts w:ascii="Book Antiqua" w:hAnsi="Book Antiqua" w:cs="Arial"/>
          <w:sz w:val="24"/>
          <w:szCs w:val="24"/>
        </w:rPr>
        <w:t xml:space="preserve">The cumulative survival was analyzed using the Kaplan-Meier method, and the curves were compared using log-rank test. A </w:t>
      </w:r>
      <w:r w:rsidRPr="00EF7CB1">
        <w:rPr>
          <w:rFonts w:ascii="Book Antiqua" w:hAnsi="Book Antiqua" w:cs="Arial"/>
          <w:i/>
          <w:sz w:val="24"/>
          <w:szCs w:val="24"/>
        </w:rPr>
        <w:t>P</w:t>
      </w:r>
      <w:r w:rsidRPr="00EF7CB1">
        <w:rPr>
          <w:rFonts w:ascii="Book Antiqua" w:hAnsi="Book Antiqua" w:cs="Arial"/>
          <w:sz w:val="24"/>
          <w:szCs w:val="24"/>
        </w:rPr>
        <w:t>-value of less than 0.05 was considered statistically significant. All statistical analyses were done using the statistical package SPSS v17.0 (Chicago, Illinois, U</w:t>
      </w:r>
      <w:r w:rsidRPr="00EF7CB1">
        <w:rPr>
          <w:rFonts w:ascii="Book Antiqua" w:hAnsi="Book Antiqua" w:cs="Arial"/>
          <w:sz w:val="24"/>
          <w:szCs w:val="24"/>
          <w:lang w:eastAsia="zh-CN"/>
        </w:rPr>
        <w:t>nited States</w:t>
      </w:r>
      <w:r w:rsidRPr="00EF7CB1">
        <w:rPr>
          <w:rFonts w:ascii="Book Antiqua" w:hAnsi="Book Antiqua" w:cs="Arial"/>
          <w:sz w:val="24"/>
          <w:szCs w:val="24"/>
        </w:rPr>
        <w:t>).</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sz w:val="24"/>
          <w:szCs w:val="24"/>
        </w:rPr>
      </w:pPr>
      <w:r w:rsidRPr="00EF7CB1">
        <w:rPr>
          <w:rFonts w:ascii="Book Antiqua" w:hAnsi="Book Antiqua" w:cs="Arial"/>
          <w:b/>
          <w:sz w:val="24"/>
          <w:szCs w:val="24"/>
        </w:rPr>
        <w:t>RESULTS</w:t>
      </w: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b/>
          <w:i/>
          <w:sz w:val="24"/>
          <w:szCs w:val="24"/>
        </w:rPr>
        <w:t>Patient population</w:t>
      </w:r>
    </w:p>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Of 293 cirrhotic patients evaluated, 124 (42.3%) met the inclusion criteria. However, 24 (8.1%) of them were not finally included due to the following reasons: 13 refused to participate into the study, 8 found difficult to attend consultation because they lived in another state, and 3 did not attend their appointments for performing OGTT (Figure 1).</w:t>
      </w:r>
    </w:p>
    <w:p w:rsidR="007275E3" w:rsidRPr="00EF7CB1" w:rsidRDefault="007275E3" w:rsidP="008924AC">
      <w:pPr>
        <w:spacing w:after="0" w:line="360" w:lineRule="auto"/>
        <w:ind w:firstLineChars="200" w:firstLine="480"/>
        <w:jc w:val="both"/>
        <w:rPr>
          <w:rFonts w:ascii="Book Antiqua" w:hAnsi="Book Antiqua" w:cs="Arial"/>
          <w:sz w:val="24"/>
          <w:szCs w:val="24"/>
          <w:lang w:eastAsia="zh-CN"/>
        </w:rPr>
      </w:pPr>
      <w:r w:rsidRPr="00EF7CB1">
        <w:rPr>
          <w:rFonts w:ascii="Book Antiqua" w:hAnsi="Book Antiqua" w:cs="Arial"/>
          <w:sz w:val="24"/>
          <w:szCs w:val="24"/>
        </w:rPr>
        <w:t xml:space="preserve">Finally, 100 (34.1%) patients were included into the study. Their clinical and biochemical characteristics are shown in Table 1. Although BMI is not the best </w:t>
      </w:r>
      <w:r w:rsidRPr="00EF7CB1">
        <w:rPr>
          <w:rFonts w:ascii="Book Antiqua" w:hAnsi="Book Antiqua" w:cs="Arial"/>
          <w:sz w:val="24"/>
          <w:szCs w:val="24"/>
        </w:rPr>
        <w:lastRenderedPageBreak/>
        <w:t xml:space="preserve">procedure for assessing nutritional status in cirrhotic patients (particularly in those with ascites), this method showed that most of them (69%) were overweight or obese. The etiology of cirrhosis was predominantly alcoholic and cryptogenic (47% and 26%, respectively). The diagnosis of LC was confirmed by liver biopsy in 44% of cases. In total, 47% and 53% of patients were assigned into the groups A and B of the Child-Pugh classification. The mean Child-Pugh score was 6.9 ± 1. 8 points and the mean MELD score was 8.9 ± 4.8. The mean values of FPI levels and HOMA2-IR Index were 15.9 ± 10.2 µU/mL, and 2.67 ± 1.6 respectively. </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b/>
          <w:i/>
          <w:sz w:val="24"/>
          <w:szCs w:val="24"/>
        </w:rPr>
        <w:t>Clinical characteristics and survival rate of patients</w:t>
      </w: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sz w:val="24"/>
          <w:szCs w:val="24"/>
        </w:rPr>
        <w:t xml:space="preserve">Two groups were formed according to the results of OGTT: those with NGT (30 patients) and those with SAGT (70 patients, 44 with IGT and 26 with DM). Clinical and biochemical characteristics are shown in Table 1. SAGT patients were significantly older and had higher values of INR, FPI and HOMA2-IR. Notwithstanding, although Child-Pugh and MELD scores were mildly higher in patients with SAGT, these differences were not statistically significant. </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b/>
          <w:i/>
          <w:sz w:val="24"/>
          <w:szCs w:val="24"/>
        </w:rPr>
        <w:t>Follow-up</w:t>
      </w:r>
    </w:p>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The mean follow-up was 932 d (range of 180-1925). At the end of follow up, 19 (19%) patients (5 NGT patients and 14 SAGT patients) developed overt IGT (7 cases) or overt DM (12 cases). All patients with SAGT were prescribed dietary and life style modifications. At different times of follow up, oral anti diabetic medications were prescribed in 6, and subcutaneous insulin was prescribed in 2 out of 12 patients with overt DM.</w:t>
      </w:r>
    </w:p>
    <w:p w:rsidR="007275E3" w:rsidRPr="00EF7CB1" w:rsidRDefault="007275E3" w:rsidP="008924AC">
      <w:pPr>
        <w:spacing w:after="0" w:line="360" w:lineRule="auto"/>
        <w:ind w:firstLineChars="200" w:firstLine="480"/>
        <w:jc w:val="both"/>
        <w:rPr>
          <w:rFonts w:ascii="Book Antiqua" w:hAnsi="Book Antiqua" w:cs="Arial"/>
          <w:sz w:val="24"/>
          <w:szCs w:val="24"/>
          <w:lang w:eastAsia="zh-CN"/>
        </w:rPr>
      </w:pPr>
      <w:r w:rsidRPr="00EF7CB1">
        <w:rPr>
          <w:rFonts w:ascii="Book Antiqua" w:hAnsi="Book Antiqua" w:cs="Arial"/>
          <w:sz w:val="24"/>
          <w:szCs w:val="24"/>
        </w:rPr>
        <w:lastRenderedPageBreak/>
        <w:t>In total, 49% of alcoholic patients consistently stopped alcohol consumption, the 47% of patients with hepatitis C virus infection were treated with antiviral therapy, the 50% and 90% of patients with hepatitis B virus infection or autoimmune liver disease were treated. There were no dropouts.</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b/>
          <w:i/>
          <w:sz w:val="24"/>
          <w:szCs w:val="24"/>
        </w:rPr>
        <w:t>Cumulative survival</w:t>
      </w:r>
    </w:p>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The mean survival time was 1448 d (range: 1256-1925) in the patients with NGT, while it was 1116 (range 990-1790) in the patients with SAGT (</w:t>
      </w:r>
      <w:r w:rsidRPr="00EF7CB1">
        <w:rPr>
          <w:rFonts w:ascii="Book Antiqua" w:hAnsi="Book Antiqua" w:cs="Arial"/>
          <w:i/>
          <w:sz w:val="24"/>
          <w:szCs w:val="24"/>
          <w:lang w:eastAsia="zh-CN"/>
        </w:rPr>
        <w:t>P</w:t>
      </w:r>
      <w:r w:rsidRPr="00EF7CB1">
        <w:rPr>
          <w:rFonts w:ascii="Book Antiqua" w:hAnsi="Book Antiqua" w:cs="Arial"/>
          <w:sz w:val="24"/>
          <w:szCs w:val="24"/>
        </w:rPr>
        <w:t xml:space="preserve"> = 0.045). Cumulative survival curve of patients with NGT and SAGT is shown in Figure 2. SAGT patients had significantly lower survival (</w:t>
      </w:r>
      <w:r w:rsidRPr="00EF7CB1">
        <w:rPr>
          <w:rFonts w:ascii="Book Antiqua" w:hAnsi="Book Antiqua" w:cs="Arial"/>
          <w:i/>
          <w:sz w:val="24"/>
          <w:szCs w:val="24"/>
          <w:lang w:eastAsia="zh-CN"/>
        </w:rPr>
        <w:t>P</w:t>
      </w:r>
      <w:r w:rsidRPr="00EF7CB1">
        <w:rPr>
          <w:rFonts w:ascii="Book Antiqua" w:hAnsi="Book Antiqua" w:cs="Arial"/>
          <w:sz w:val="24"/>
          <w:szCs w:val="24"/>
        </w:rPr>
        <w:t xml:space="preserve"> = 0.02).</w:t>
      </w:r>
    </w:p>
    <w:p w:rsidR="007275E3" w:rsidRPr="00EF7CB1" w:rsidRDefault="007275E3" w:rsidP="008924AC">
      <w:pPr>
        <w:spacing w:after="0" w:line="360" w:lineRule="auto"/>
        <w:ind w:firstLineChars="200" w:firstLine="480"/>
        <w:jc w:val="both"/>
        <w:rPr>
          <w:rFonts w:ascii="Book Antiqua" w:hAnsi="Book Antiqua" w:cs="Arial"/>
          <w:sz w:val="24"/>
          <w:szCs w:val="24"/>
          <w:lang w:eastAsia="zh-CN"/>
        </w:rPr>
      </w:pPr>
      <w:r w:rsidRPr="00EF7CB1">
        <w:rPr>
          <w:rFonts w:ascii="Book Antiqua" w:hAnsi="Book Antiqua" w:cs="Arial"/>
          <w:sz w:val="24"/>
          <w:szCs w:val="24"/>
        </w:rPr>
        <w:t>One to 5-year survival rates are shown in Table 2. Statistically significant differences were observed only after three years of follow-up. Increasing differences were observed over time until the end of follow up.</w:t>
      </w:r>
    </w:p>
    <w:p w:rsidR="007275E3" w:rsidRPr="00EF7CB1" w:rsidRDefault="007275E3" w:rsidP="008924AC">
      <w:pPr>
        <w:spacing w:after="0" w:line="360" w:lineRule="auto"/>
        <w:ind w:firstLineChars="200" w:firstLine="480"/>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b/>
          <w:i/>
          <w:sz w:val="24"/>
          <w:szCs w:val="24"/>
        </w:rPr>
        <w:t>Causes of death</w:t>
      </w: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sz w:val="24"/>
          <w:szCs w:val="24"/>
        </w:rPr>
        <w:t>In total 31 patients died (5 form NGT group and 26 form SAGT group). The causes of death are shown in Table 3. Twenty eight (90.3%) died due to the following complications related to liver disease: 8 due to esophageal variceal bleeding (25.8%), 6 due chronic liver failure (19.3%), 5 due to spontaneous bacterial peritonitis and other infections (16.2%), 5 due to hepatorenal syndrome (16.2%) and 4 due to hepatocellular carcinoma (12.9%). Additionally, 2 of the remaining patients died due to renal impairment (6.4%), and 1 due to cardiovascular disease (3.2%). There were no significant differences in the cause of death among patients with NGT vs. those with SAGT.</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i/>
          <w:sz w:val="24"/>
          <w:szCs w:val="24"/>
        </w:rPr>
      </w:pPr>
      <w:r w:rsidRPr="00EF7CB1">
        <w:rPr>
          <w:rFonts w:ascii="Book Antiqua" w:hAnsi="Book Antiqua" w:cs="Arial"/>
          <w:b/>
          <w:i/>
          <w:sz w:val="24"/>
          <w:szCs w:val="24"/>
        </w:rPr>
        <w:t>Predictors of death</w:t>
      </w:r>
    </w:p>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sz w:val="24"/>
          <w:szCs w:val="24"/>
        </w:rPr>
        <w:t xml:space="preserve">Serum creatinine, albumin, INR, Child-Pugh group B, Child-Pugh and MELD scores, SAGT as well as FPI were statistically significant according to univariate analysis. However, only Child-Pugh group B (HR = 8.2, 95%CI: 2.0-28.5, </w:t>
      </w:r>
      <w:r w:rsidRPr="00EF7CB1">
        <w:rPr>
          <w:rFonts w:ascii="Book Antiqua" w:hAnsi="Book Antiqua" w:cs="Arial"/>
          <w:i/>
          <w:sz w:val="24"/>
          <w:szCs w:val="24"/>
          <w:lang w:eastAsia="zh-CN"/>
        </w:rPr>
        <w:t>P</w:t>
      </w:r>
      <w:r w:rsidRPr="00EF7CB1">
        <w:rPr>
          <w:rFonts w:ascii="Book Antiqua" w:hAnsi="Book Antiqua" w:cs="Arial"/>
          <w:sz w:val="24"/>
          <w:szCs w:val="24"/>
        </w:rPr>
        <w:t xml:space="preserve"> = 0.02), Child-Pugh score (HR = 10.2, 95%CI: 2.4-21.9, </w:t>
      </w:r>
      <w:r w:rsidRPr="00EF7CB1">
        <w:rPr>
          <w:rFonts w:ascii="Book Antiqua" w:hAnsi="Book Antiqua" w:cs="Arial"/>
          <w:i/>
          <w:sz w:val="24"/>
          <w:szCs w:val="24"/>
          <w:lang w:eastAsia="zh-CN"/>
        </w:rPr>
        <w:t>P</w:t>
      </w:r>
      <w:r w:rsidRPr="00EF7CB1">
        <w:rPr>
          <w:rFonts w:ascii="Book Antiqua" w:hAnsi="Book Antiqua" w:cs="Arial"/>
          <w:sz w:val="24"/>
          <w:szCs w:val="24"/>
        </w:rPr>
        <w:t xml:space="preserve"> = 0.008), MELD score (HR = 12.3, 95%CI: 6.4-33.6, </w:t>
      </w:r>
      <w:r w:rsidRPr="00EF7CB1">
        <w:rPr>
          <w:rFonts w:ascii="Book Antiqua" w:hAnsi="Book Antiqua" w:cs="Arial"/>
          <w:i/>
          <w:sz w:val="24"/>
          <w:szCs w:val="24"/>
          <w:lang w:eastAsia="zh-CN"/>
        </w:rPr>
        <w:t>P</w:t>
      </w:r>
      <w:r w:rsidRPr="00EF7CB1">
        <w:rPr>
          <w:rFonts w:ascii="Book Antiqua" w:hAnsi="Book Antiqua" w:cs="Arial"/>
          <w:sz w:val="24"/>
          <w:szCs w:val="24"/>
        </w:rPr>
        <w:t xml:space="preserve"> = 0.001), and SAGT (HR = 3.2, 95%CI: 2.8-54.2, </w:t>
      </w:r>
      <w:r w:rsidRPr="00EF7CB1">
        <w:rPr>
          <w:rFonts w:ascii="Book Antiqua" w:hAnsi="Book Antiqua" w:cs="Arial"/>
          <w:i/>
          <w:sz w:val="24"/>
          <w:szCs w:val="24"/>
          <w:lang w:eastAsia="zh-CN"/>
        </w:rPr>
        <w:t xml:space="preserve">P </w:t>
      </w:r>
      <w:r w:rsidRPr="00EF7CB1">
        <w:rPr>
          <w:rFonts w:ascii="Book Antiqua" w:hAnsi="Book Antiqua" w:cs="Arial"/>
          <w:sz w:val="24"/>
          <w:szCs w:val="24"/>
        </w:rPr>
        <w:t xml:space="preserve">= 0.01) were independent predictors of survival according to multivariate analysis (Table 4). </w:t>
      </w:r>
    </w:p>
    <w:p w:rsidR="007275E3" w:rsidRPr="00EF7CB1" w:rsidRDefault="007275E3" w:rsidP="00A60D1E">
      <w:pPr>
        <w:spacing w:after="0" w:line="360" w:lineRule="auto"/>
        <w:jc w:val="both"/>
        <w:rPr>
          <w:rFonts w:ascii="Book Antiqua" w:hAnsi="Book Antiqua" w:cs="Arial"/>
          <w:sz w:val="24"/>
          <w:szCs w:val="24"/>
          <w:lang w:eastAsia="zh-CN"/>
        </w:rPr>
      </w:pPr>
    </w:p>
    <w:p w:rsidR="007275E3" w:rsidRPr="00EF7CB1" w:rsidRDefault="007275E3" w:rsidP="00A60D1E">
      <w:pPr>
        <w:spacing w:after="0" w:line="360" w:lineRule="auto"/>
        <w:jc w:val="both"/>
        <w:rPr>
          <w:rFonts w:ascii="Book Antiqua" w:hAnsi="Book Antiqua" w:cs="Arial"/>
          <w:b/>
          <w:sz w:val="24"/>
          <w:szCs w:val="24"/>
        </w:rPr>
      </w:pPr>
      <w:r w:rsidRPr="00EF7CB1">
        <w:rPr>
          <w:rFonts w:ascii="Book Antiqua" w:hAnsi="Book Antiqua" w:cs="Arial"/>
          <w:sz w:val="24"/>
          <w:szCs w:val="24"/>
        </w:rPr>
        <w:t>D</w:t>
      </w:r>
      <w:r w:rsidRPr="00EF7CB1">
        <w:rPr>
          <w:rFonts w:ascii="Book Antiqua" w:hAnsi="Book Antiqua" w:cs="Arial"/>
          <w:b/>
          <w:sz w:val="24"/>
          <w:szCs w:val="24"/>
        </w:rPr>
        <w:t>ISCUSSION</w:t>
      </w:r>
    </w:p>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 xml:space="preserve">Our study suggests that SAGT may have negative impact on the survival of patients with LC, as those who showed this abnormality had lower 5-year survival than those who had NGT. Significant differences in survival were observed after 3 years of follow-up (Table 2). These results are consistent with another study, carried out </w:t>
      </w:r>
      <w:r w:rsidRPr="00EF7CB1">
        <w:rPr>
          <w:rFonts w:ascii="Cambria Math" w:hAnsi="Cambria Math" w:cs="Cambria Math"/>
          <w:sz w:val="24"/>
          <w:szCs w:val="24"/>
        </w:rPr>
        <w:t>​​</w:t>
      </w:r>
      <w:r w:rsidRPr="00EF7CB1">
        <w:rPr>
          <w:rFonts w:ascii="Book Antiqua" w:hAnsi="Book Antiqua" w:cs="Arial"/>
          <w:sz w:val="24"/>
          <w:szCs w:val="24"/>
        </w:rPr>
        <w:t>in Japan, with 58 cirrhotic patients without overt DM who underwent OGTT</w:t>
      </w:r>
      <w:r w:rsidRPr="00EF7CB1">
        <w:rPr>
          <w:rFonts w:ascii="Book Antiqua" w:hAnsi="Book Antiqua"/>
          <w:sz w:val="24"/>
          <w:szCs w:val="24"/>
          <w:vertAlign w:val="superscript"/>
        </w:rPr>
        <w:t>[20]</w:t>
      </w:r>
      <w:r w:rsidRPr="00EF7CB1">
        <w:rPr>
          <w:rFonts w:ascii="Book Antiqua" w:hAnsi="Book Antiqua"/>
          <w:sz w:val="24"/>
          <w:szCs w:val="24"/>
        </w:rPr>
        <w:t>.</w:t>
      </w:r>
      <w:r w:rsidRPr="00EF7CB1">
        <w:rPr>
          <w:rFonts w:ascii="Book Antiqua" w:hAnsi="Book Antiqua" w:cs="Arial"/>
          <w:sz w:val="24"/>
          <w:szCs w:val="24"/>
        </w:rPr>
        <w:t xml:space="preserve"> In this study, 5-year survival rate was lower in patients with IGT and DM compared to those with NGT. Albumin and abnormal OGTT were independent negative predictors of survival</w:t>
      </w:r>
      <w:r w:rsidRPr="00EF7CB1">
        <w:rPr>
          <w:rFonts w:ascii="Book Antiqua" w:hAnsi="Book Antiqua"/>
          <w:sz w:val="24"/>
          <w:szCs w:val="24"/>
          <w:vertAlign w:val="superscript"/>
        </w:rPr>
        <w:t>[20]</w:t>
      </w:r>
      <w:r w:rsidRPr="00EF7CB1">
        <w:rPr>
          <w:rFonts w:ascii="Book Antiqua" w:hAnsi="Book Antiqua"/>
          <w:sz w:val="24"/>
          <w:szCs w:val="24"/>
        </w:rPr>
        <w:t xml:space="preserve">. </w:t>
      </w:r>
      <w:r w:rsidRPr="00EF7CB1">
        <w:rPr>
          <w:rFonts w:ascii="Book Antiqua" w:hAnsi="Book Antiqua" w:cs="Arial"/>
          <w:sz w:val="24"/>
          <w:szCs w:val="24"/>
        </w:rPr>
        <w:t>Despite the similarities in results of both studies, ours differs in the following points: (</w:t>
      </w:r>
      <w:r w:rsidRPr="00EF7CB1">
        <w:rPr>
          <w:rFonts w:ascii="Book Antiqua" w:hAnsi="Book Antiqua" w:cs="Arial"/>
          <w:sz w:val="24"/>
          <w:szCs w:val="24"/>
          <w:lang w:eastAsia="zh-CN"/>
        </w:rPr>
        <w:t>1</w:t>
      </w:r>
      <w:r w:rsidRPr="00EF7CB1">
        <w:rPr>
          <w:rFonts w:ascii="Book Antiqua" w:hAnsi="Book Antiqua" w:cs="Arial"/>
          <w:sz w:val="24"/>
          <w:szCs w:val="24"/>
        </w:rPr>
        <w:t xml:space="preserve">) 74% of our patients had alcoholic and cryptogenic cirrhosis, while 78.5% of patients in the Japanese study had viral etiology (HBV and HCV). The causes of chronic liver disease in our patients were identical to those observed in most western countries, where alcohol and metabolic syndrome are the predominant causes (especially nowadays, that the frequency of obesity and nonalcoholic fatty liver disease have dramatically </w:t>
      </w:r>
      <w:r w:rsidRPr="00EF7CB1">
        <w:rPr>
          <w:rFonts w:ascii="Book Antiqua" w:hAnsi="Book Antiqua" w:cs="Arial"/>
          <w:sz w:val="24"/>
          <w:szCs w:val="24"/>
        </w:rPr>
        <w:lastRenderedPageBreak/>
        <w:t>increased), while viral etiology is predominantly observed in Asiatic countries</w:t>
      </w:r>
      <w:r w:rsidRPr="00EF7CB1">
        <w:rPr>
          <w:rFonts w:ascii="Book Antiqua" w:hAnsi="Book Antiqua"/>
          <w:sz w:val="24"/>
          <w:szCs w:val="24"/>
          <w:vertAlign w:val="superscript"/>
        </w:rPr>
        <w:t>[29,31]</w:t>
      </w:r>
      <w:r w:rsidRPr="00EF7CB1">
        <w:rPr>
          <w:rFonts w:ascii="Book Antiqua" w:hAnsi="Book Antiqua" w:cs="Arial"/>
          <w:sz w:val="24"/>
          <w:szCs w:val="24"/>
        </w:rPr>
        <w:t>; (</w:t>
      </w:r>
      <w:r w:rsidRPr="00EF7CB1">
        <w:rPr>
          <w:rFonts w:ascii="Book Antiqua" w:hAnsi="Book Antiqua" w:cs="Arial"/>
          <w:sz w:val="24"/>
          <w:szCs w:val="24"/>
          <w:lang w:eastAsia="zh-CN"/>
        </w:rPr>
        <w:t>2</w:t>
      </w:r>
      <w:r w:rsidRPr="00EF7CB1">
        <w:rPr>
          <w:rFonts w:ascii="Book Antiqua" w:hAnsi="Book Antiqua" w:cs="Arial"/>
          <w:sz w:val="24"/>
          <w:szCs w:val="24"/>
        </w:rPr>
        <w:t>) At time of inclusion, our patients did not have liver-related complications, whereas in the Japanese study, up to 30% had ascites and hepatic encephalopathy, and finally (</w:t>
      </w:r>
      <w:r w:rsidRPr="00EF7CB1">
        <w:rPr>
          <w:rFonts w:ascii="Book Antiqua" w:hAnsi="Book Antiqua" w:cs="Arial"/>
          <w:sz w:val="24"/>
          <w:szCs w:val="24"/>
          <w:lang w:eastAsia="zh-CN"/>
        </w:rPr>
        <w:t>3</w:t>
      </w:r>
      <w:r w:rsidRPr="00EF7CB1">
        <w:rPr>
          <w:rFonts w:ascii="Book Antiqua" w:hAnsi="Book Antiqua" w:cs="Arial"/>
          <w:sz w:val="24"/>
          <w:szCs w:val="24"/>
        </w:rPr>
        <w:t>) The number of patients in our study was almost twice.</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rPr>
        <w:t>The mechanism by which SAGT may be involved in the occurrence of death of cirrhotic patients is difficult to explain. DM may induce progression of liver fibrosis, inflammation and liver failure, or may increase cardiovascular complications and atherosclerosis. In a study with virus C-infected patients, IR and DM were significantly associated with liver fibrosis</w:t>
      </w:r>
      <w:r w:rsidRPr="00EF7CB1">
        <w:rPr>
          <w:rFonts w:ascii="Book Antiqua" w:hAnsi="Book Antiqua"/>
          <w:sz w:val="24"/>
          <w:szCs w:val="24"/>
          <w:vertAlign w:val="superscript"/>
        </w:rPr>
        <w:t>[32]</w:t>
      </w:r>
      <w:r w:rsidRPr="00EF7CB1">
        <w:rPr>
          <w:rFonts w:ascii="Book Antiqua" w:hAnsi="Book Antiqua"/>
          <w:sz w:val="24"/>
          <w:szCs w:val="24"/>
        </w:rPr>
        <w:t>.</w:t>
      </w:r>
      <w:r w:rsidRPr="00EF7CB1">
        <w:rPr>
          <w:rFonts w:ascii="Book Antiqua" w:hAnsi="Book Antiqua" w:cs="Arial"/>
          <w:sz w:val="24"/>
          <w:szCs w:val="24"/>
        </w:rPr>
        <w:t xml:space="preserve"> Furthermore, in other reports, it has been suggested that DM can increase fibrosis, incidence of hepatocellular carcinoma, and resistance to antiviral therapy in patients with hepatitis C virus</w:t>
      </w:r>
      <w:r w:rsidRPr="00EF7CB1">
        <w:rPr>
          <w:rFonts w:ascii="Book Antiqua" w:hAnsi="Book Antiqua"/>
          <w:sz w:val="24"/>
          <w:szCs w:val="24"/>
          <w:vertAlign w:val="superscript"/>
        </w:rPr>
        <w:t>[33]</w:t>
      </w:r>
      <w:r w:rsidRPr="00EF7CB1">
        <w:rPr>
          <w:rFonts w:ascii="Book Antiqua" w:hAnsi="Book Antiqua"/>
          <w:sz w:val="24"/>
          <w:szCs w:val="24"/>
        </w:rPr>
        <w:t>.</w:t>
      </w:r>
      <w:r w:rsidRPr="00EF7CB1">
        <w:rPr>
          <w:rFonts w:ascii="Book Antiqua" w:hAnsi="Book Antiqua" w:cs="Arial"/>
          <w:sz w:val="24"/>
          <w:szCs w:val="24"/>
        </w:rPr>
        <w:t xml:space="preserve"> DM may be involved in the progression of liver fibrosis and inflammation through diverse mechanisms: it is likely that adipokine production (such as leptin and TNF-alpha, which activate inflammatory pathways exacerbating liver injury) is increased by insulin resistance</w:t>
      </w:r>
      <w:r w:rsidRPr="00EF7CB1">
        <w:rPr>
          <w:rFonts w:ascii="Book Antiqua" w:hAnsi="Book Antiqua"/>
          <w:sz w:val="24"/>
          <w:szCs w:val="24"/>
          <w:vertAlign w:val="superscript"/>
        </w:rPr>
        <w:t>[34-36]</w:t>
      </w:r>
      <w:r w:rsidRPr="00EF7CB1">
        <w:rPr>
          <w:rFonts w:ascii="Book Antiqua" w:hAnsi="Book Antiqua"/>
          <w:sz w:val="24"/>
          <w:szCs w:val="24"/>
        </w:rPr>
        <w:t xml:space="preserve">. </w:t>
      </w:r>
      <w:r w:rsidRPr="00EF7CB1">
        <w:rPr>
          <w:rFonts w:ascii="Book Antiqua" w:hAnsi="Book Antiqua" w:cs="Arial"/>
          <w:sz w:val="24"/>
          <w:szCs w:val="24"/>
        </w:rPr>
        <w:t>Leptin and oxidative stress associated with liver inflammation may activate the transforming growth factor beta 1 (TGF-β1), which is one of the most potent profibrogenic cytokines produced in the liver. TGF-β1 activates the liver stellate cells which are the major source of collagen I and III and extracellular matrix proteins</w:t>
      </w:r>
      <w:r w:rsidRPr="00EF7CB1">
        <w:rPr>
          <w:rFonts w:ascii="Book Antiqua" w:hAnsi="Book Antiqua"/>
          <w:sz w:val="24"/>
          <w:szCs w:val="24"/>
          <w:vertAlign w:val="superscript"/>
        </w:rPr>
        <w:t>[37-39]</w:t>
      </w:r>
      <w:r w:rsidRPr="00EF7CB1">
        <w:rPr>
          <w:rFonts w:ascii="Book Antiqua" w:hAnsi="Book Antiqua"/>
          <w:sz w:val="24"/>
          <w:szCs w:val="24"/>
        </w:rPr>
        <w:t xml:space="preserve">. </w:t>
      </w:r>
      <w:r w:rsidRPr="00EF7CB1">
        <w:rPr>
          <w:rFonts w:ascii="Book Antiqua" w:hAnsi="Book Antiqua" w:cs="Arial"/>
          <w:sz w:val="24"/>
          <w:szCs w:val="24"/>
        </w:rPr>
        <w:t xml:space="preserve">In our study, SAGT as well as high Child-Pugh and MELD scores were independent predictors of death. This suggests that SAGT combined with other etiologic agents of liver cirrhosis might have induced liver failure and death. </w:t>
      </w:r>
    </w:p>
    <w:p w:rsidR="007275E3" w:rsidRPr="00EF7CB1" w:rsidRDefault="007275E3" w:rsidP="00A60D1E">
      <w:pPr>
        <w:pStyle w:val="aa"/>
        <w:shd w:val="clear" w:color="auto" w:fill="FFFFFF"/>
        <w:spacing w:before="0" w:beforeAutospacing="0" w:after="0" w:afterAutospacing="0" w:line="360" w:lineRule="auto"/>
        <w:ind w:firstLineChars="200" w:firstLine="480"/>
        <w:jc w:val="both"/>
        <w:rPr>
          <w:rFonts w:ascii="Book Antiqua" w:hAnsi="Book Antiqua" w:cs="Arial"/>
          <w:lang w:val="en-US"/>
        </w:rPr>
      </w:pPr>
      <w:r w:rsidRPr="00EF7CB1">
        <w:rPr>
          <w:rFonts w:ascii="Book Antiqua" w:hAnsi="Book Antiqua" w:cs="Arial"/>
          <w:lang w:val="en-US"/>
        </w:rPr>
        <w:t>On the other hand, as it has been pointed out in other publications, most of our patients with SAGT died from liver disease related complications</w:t>
      </w:r>
      <w:r w:rsidRPr="00EF7CB1">
        <w:rPr>
          <w:rFonts w:ascii="Book Antiqua" w:hAnsi="Book Antiqua"/>
          <w:vertAlign w:val="superscript"/>
          <w:lang w:val="en-US"/>
        </w:rPr>
        <w:t>[9,20,40]</w:t>
      </w:r>
      <w:r w:rsidRPr="00EF7CB1">
        <w:rPr>
          <w:rFonts w:ascii="Book Antiqua" w:hAnsi="Book Antiqua" w:cs="Arial"/>
          <w:lang w:val="en-US"/>
        </w:rPr>
        <w:t xml:space="preserve"> (Table </w:t>
      </w:r>
      <w:r w:rsidRPr="00EF7CB1">
        <w:rPr>
          <w:rFonts w:ascii="Book Antiqua" w:hAnsi="Book Antiqua" w:cs="Arial"/>
          <w:lang w:val="en-US"/>
        </w:rPr>
        <w:lastRenderedPageBreak/>
        <w:t>3).</w:t>
      </w:r>
      <w:r w:rsidRPr="00EF7CB1">
        <w:rPr>
          <w:rFonts w:ascii="Book Antiqua" w:hAnsi="Book Antiqua" w:cs="Arial"/>
          <w:lang w:val="en-US" w:eastAsia="es-ES_tradnl"/>
        </w:rPr>
        <w:t xml:space="preserve"> D</w:t>
      </w:r>
      <w:r w:rsidRPr="00EF7CB1">
        <w:rPr>
          <w:rFonts w:ascii="Book Antiqua" w:hAnsi="Book Antiqua" w:cs="Arial"/>
          <w:lang w:val="en-US"/>
        </w:rPr>
        <w:t>M increases the incidence of severe infections by inducing immunosuppression. Cirrhotic patients with DM have a higher prevalence of infections compared to non-diabetic ones. In a recent study, spontaneous bacterial peritonitis was more frequent in patients with cryptogenic cirrhosis (which is associated with DM) compared to those with cirrhosis of other causes</w:t>
      </w:r>
      <w:r w:rsidRPr="00EF7CB1">
        <w:rPr>
          <w:rFonts w:ascii="Book Antiqua" w:hAnsi="Book Antiqua"/>
          <w:vertAlign w:val="superscript"/>
          <w:lang w:val="en-US"/>
        </w:rPr>
        <w:t>[41]</w:t>
      </w:r>
      <w:r w:rsidRPr="00EF7CB1">
        <w:rPr>
          <w:rFonts w:ascii="Book Antiqua" w:hAnsi="Book Antiqua"/>
          <w:lang w:val="en-US"/>
        </w:rPr>
        <w:t xml:space="preserve">. </w:t>
      </w:r>
      <w:r w:rsidRPr="00EF7CB1">
        <w:rPr>
          <w:rFonts w:ascii="Book Antiqua" w:hAnsi="Book Antiqua" w:cs="Arial"/>
          <w:lang w:val="en-US"/>
        </w:rPr>
        <w:t>These infected patients had higher in-hospital mortality due to sepsis, liver failure, and hepatorenal syndrome</w:t>
      </w:r>
      <w:r w:rsidRPr="00EF7CB1">
        <w:rPr>
          <w:rFonts w:ascii="Book Antiqua" w:hAnsi="Book Antiqua"/>
          <w:vertAlign w:val="superscript"/>
          <w:lang w:val="en-US"/>
        </w:rPr>
        <w:t>[42]</w:t>
      </w:r>
      <w:r w:rsidRPr="00EF7CB1">
        <w:rPr>
          <w:rFonts w:ascii="Book Antiqua" w:hAnsi="Book Antiqua"/>
          <w:lang w:val="en-US"/>
        </w:rPr>
        <w:t xml:space="preserve">. </w:t>
      </w:r>
      <w:r w:rsidRPr="00EF7CB1">
        <w:rPr>
          <w:rFonts w:ascii="Book Antiqua" w:hAnsi="Book Antiqua" w:cs="Arial"/>
          <w:lang w:val="en-US"/>
        </w:rPr>
        <w:t>In addition, DM may increase the risk of variceal bleeding, as postprandial hyperglycemia that occurs in diabetic patients produces splanchnic vasodilatation and increases the flow and pressure of the porto systemic venous system</w:t>
      </w:r>
      <w:r w:rsidRPr="00EF7CB1">
        <w:rPr>
          <w:rFonts w:ascii="Book Antiqua" w:hAnsi="Book Antiqua"/>
          <w:vertAlign w:val="superscript"/>
          <w:lang w:val="en-US"/>
        </w:rPr>
        <w:t>[43]</w:t>
      </w:r>
      <w:r w:rsidRPr="00EF7CB1">
        <w:rPr>
          <w:rFonts w:ascii="Book Antiqua" w:hAnsi="Book Antiqua"/>
          <w:lang w:val="en-US"/>
        </w:rPr>
        <w:t xml:space="preserve">. </w:t>
      </w:r>
      <w:r w:rsidRPr="00EF7CB1">
        <w:rPr>
          <w:rFonts w:ascii="Book Antiqua" w:hAnsi="Book Antiqua" w:cs="Arial"/>
          <w:lang w:val="en-US"/>
        </w:rPr>
        <w:t>Also, esophageal variceal bleeding increases the risk of infection and death by inducing bacterial intestinal translocation</w:t>
      </w:r>
      <w:r w:rsidRPr="00EF7CB1">
        <w:rPr>
          <w:rFonts w:ascii="Book Antiqua" w:hAnsi="Book Antiqua"/>
          <w:vertAlign w:val="superscript"/>
          <w:lang w:val="en-US"/>
        </w:rPr>
        <w:t>[44]</w:t>
      </w:r>
      <w:r w:rsidRPr="00EF7CB1">
        <w:rPr>
          <w:rFonts w:ascii="Book Antiqua" w:hAnsi="Book Antiqua"/>
          <w:lang w:val="en-US"/>
        </w:rPr>
        <w:t xml:space="preserve">. </w:t>
      </w:r>
      <w:r w:rsidRPr="00EF7CB1">
        <w:rPr>
          <w:rFonts w:ascii="Book Antiqua" w:hAnsi="Book Antiqua" w:cs="Arial"/>
          <w:lang w:val="en-US"/>
        </w:rPr>
        <w:t>The DM has been also associated with an increased risk of hepatic encephalopathy (HE). A significant association between malnutrition and diabetes with HE was observed in a study with cirrhotic patients</w:t>
      </w:r>
      <w:r w:rsidRPr="00EF7CB1">
        <w:rPr>
          <w:rFonts w:ascii="Book Antiqua" w:hAnsi="Book Antiqua"/>
          <w:vertAlign w:val="superscript"/>
          <w:lang w:val="en-US"/>
        </w:rPr>
        <w:t>[45]</w:t>
      </w:r>
      <w:r w:rsidRPr="00EF7CB1">
        <w:rPr>
          <w:rFonts w:ascii="Book Antiqua" w:hAnsi="Book Antiqua"/>
          <w:lang w:val="en-US"/>
        </w:rPr>
        <w:t xml:space="preserve">. </w:t>
      </w:r>
      <w:r w:rsidRPr="00EF7CB1">
        <w:rPr>
          <w:rFonts w:ascii="Book Antiqua" w:hAnsi="Book Antiqua" w:cs="Arial"/>
          <w:lang w:val="en-US"/>
        </w:rPr>
        <w:t>In multivariate analysis, Child-Pugh classification, malnutrition and DM showed independent correlation with HE. Plasma ammonium ion levels were related to insulin resistance and muscle mass. Authors concluded that nutritional status and insulin resistance might be implicated in the pathogenesis of HE.</w:t>
      </w:r>
      <w:r w:rsidRPr="00EF7CB1">
        <w:rPr>
          <w:rFonts w:ascii="Book Antiqua" w:hAnsi="Book Antiqua"/>
          <w:vertAlign w:val="superscript"/>
          <w:lang w:val="en-US"/>
        </w:rPr>
        <w:t>[45]</w:t>
      </w:r>
      <w:r w:rsidRPr="00EF7CB1">
        <w:rPr>
          <w:rFonts w:ascii="Book Antiqua" w:hAnsi="Book Antiqua"/>
          <w:lang w:val="en-US"/>
        </w:rPr>
        <w:t>.</w:t>
      </w:r>
      <w:r w:rsidRPr="00EF7CB1">
        <w:rPr>
          <w:rFonts w:ascii="Book Antiqua" w:hAnsi="Book Antiqua" w:cs="Arial"/>
          <w:lang w:val="en-US"/>
        </w:rPr>
        <w:t xml:space="preserve"> </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lang w:eastAsia="es-ES_tradnl"/>
        </w:rPr>
        <w:t xml:space="preserve"> On the other hand, some authors reported </w:t>
      </w:r>
      <w:r w:rsidRPr="00EF7CB1">
        <w:rPr>
          <w:rFonts w:ascii="Book Antiqua" w:hAnsi="Book Antiqua" w:cs="Arial"/>
          <w:sz w:val="24"/>
          <w:szCs w:val="24"/>
        </w:rPr>
        <w:t>low frequency of diabetic complications in cirrhotic patients</w:t>
      </w:r>
      <w:r w:rsidRPr="00EF7CB1">
        <w:rPr>
          <w:rFonts w:ascii="Book Antiqua" w:hAnsi="Book Antiqua"/>
          <w:sz w:val="24"/>
          <w:szCs w:val="24"/>
          <w:vertAlign w:val="superscript"/>
        </w:rPr>
        <w:t>[46]</w:t>
      </w:r>
      <w:r w:rsidRPr="00EF7CB1">
        <w:rPr>
          <w:rFonts w:ascii="Book Antiqua" w:hAnsi="Book Antiqua" w:cs="Arial"/>
          <w:sz w:val="24"/>
          <w:szCs w:val="24"/>
        </w:rPr>
        <w:t>. However, these observations have been recently challenged: in two published studies, patients with chronic hepatitis C compared to controls, showed significant higher carotid intima media thickness, greater number of carotid plaques and carotid atherosclerosis affection</w:t>
      </w:r>
      <w:r w:rsidRPr="00EF7CB1">
        <w:rPr>
          <w:rFonts w:ascii="Book Antiqua" w:hAnsi="Book Antiqua"/>
          <w:sz w:val="24"/>
          <w:szCs w:val="24"/>
          <w:vertAlign w:val="superscript"/>
        </w:rPr>
        <w:t>[47,48]</w:t>
      </w:r>
      <w:r w:rsidRPr="00EF7CB1">
        <w:rPr>
          <w:rFonts w:ascii="Book Antiqua" w:hAnsi="Book Antiqua"/>
          <w:sz w:val="24"/>
          <w:szCs w:val="24"/>
        </w:rPr>
        <w:t>.</w:t>
      </w:r>
      <w:r w:rsidRPr="00EF7CB1">
        <w:rPr>
          <w:rFonts w:ascii="Book Antiqua" w:hAnsi="Book Antiqua" w:cs="Arial"/>
          <w:sz w:val="24"/>
          <w:szCs w:val="24"/>
        </w:rPr>
        <w:t>In one of these studies</w:t>
      </w:r>
      <w:r w:rsidRPr="00EF7CB1">
        <w:rPr>
          <w:rFonts w:ascii="Book Antiqua" w:hAnsi="Book Antiqua"/>
          <w:sz w:val="24"/>
          <w:szCs w:val="24"/>
          <w:vertAlign w:val="superscript"/>
        </w:rPr>
        <w:t>[47]</w:t>
      </w:r>
      <w:r w:rsidRPr="00EF7CB1">
        <w:rPr>
          <w:rFonts w:ascii="Book Antiqua" w:hAnsi="Book Antiqua" w:cs="Arial"/>
          <w:sz w:val="24"/>
          <w:szCs w:val="24"/>
        </w:rPr>
        <w:t xml:space="preserve"> , older age and severe hepatic fibrosis were independently </w:t>
      </w:r>
      <w:r w:rsidRPr="00EF7CB1">
        <w:rPr>
          <w:rFonts w:ascii="Book Antiqua" w:hAnsi="Book Antiqua" w:cs="Arial"/>
          <w:sz w:val="24"/>
          <w:szCs w:val="24"/>
        </w:rPr>
        <w:lastRenderedPageBreak/>
        <w:t>associated to early carotid atherosclerosis. In the other one</w:t>
      </w:r>
      <w:r w:rsidRPr="00EF7CB1">
        <w:rPr>
          <w:rFonts w:ascii="Book Antiqua" w:hAnsi="Book Antiqua"/>
          <w:sz w:val="24"/>
          <w:szCs w:val="24"/>
          <w:vertAlign w:val="superscript"/>
        </w:rPr>
        <w:t>[48]</w:t>
      </w:r>
      <w:r w:rsidRPr="00EF7CB1">
        <w:rPr>
          <w:rFonts w:ascii="Book Antiqua" w:hAnsi="Book Antiqua" w:cs="Arial"/>
          <w:sz w:val="24"/>
          <w:szCs w:val="24"/>
        </w:rPr>
        <w:t xml:space="preserve">, diabetes and metabolic syndrome were associated with carotid plaques. The precise prevalence of cardiovascular disease or atherosclerosis, and their role in the induction of death in cirrhotic patients with DM, need to be defined in future well conducted studies . </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rPr>
        <w:t>In our study, we did not observe significant differences in the causes of death among patients with NGT compared to those with SAGT (Table 3).This may be due to the small number of individuals in each group. Some differences might be clearly evident using a larger sample of patients.</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rPr>
        <w:t xml:space="preserve">Although the negative impact of DM on survival of cirrhotic patients is well known long time ago, the beneficial effects of early detection and treatment of DM and IGT for reducing complications and mortality rates have not been clearly determined. In our study, analysis of this issue was not performed due to the low number of patients. This important point has to be determined in future studies. </w:t>
      </w:r>
    </w:p>
    <w:p w:rsidR="007275E3" w:rsidRPr="00EF7CB1" w:rsidRDefault="007275E3" w:rsidP="008924AC">
      <w:pPr>
        <w:spacing w:after="0" w:line="360" w:lineRule="auto"/>
        <w:ind w:firstLineChars="200" w:firstLine="480"/>
        <w:jc w:val="both"/>
        <w:rPr>
          <w:rFonts w:ascii="Book Antiqua" w:hAnsi="Book Antiqua" w:cs="Arial"/>
          <w:sz w:val="24"/>
          <w:szCs w:val="24"/>
        </w:rPr>
      </w:pPr>
      <w:r w:rsidRPr="00EF7CB1">
        <w:rPr>
          <w:rFonts w:ascii="Book Antiqua" w:hAnsi="Book Antiqua" w:cs="Arial"/>
          <w:sz w:val="24"/>
          <w:szCs w:val="24"/>
        </w:rPr>
        <w:t>In conclusion, SAGT disorders were associated with reduced long term survival in patients with compensated LC and normal FPG. Additionally, SAGT, Child-Pugh group B, and high Child-Pugh and MELD scores were independent negative predictors of survival. These findings suggest that the SAGT may give rise to morbid conditions that increase mortality of patients. According to this, the OGTT is useful for accurate assessment of mortality in non-diabetic cirrhotic patients.</w:t>
      </w:r>
    </w:p>
    <w:p w:rsidR="007275E3" w:rsidRPr="00EF7CB1" w:rsidRDefault="007275E3" w:rsidP="00A60D1E">
      <w:pPr>
        <w:spacing w:after="0" w:line="360" w:lineRule="auto"/>
        <w:jc w:val="both"/>
        <w:rPr>
          <w:rFonts w:ascii="Book Antiqua" w:hAnsi="Book Antiqua" w:cs="Arial"/>
          <w:sz w:val="24"/>
          <w:szCs w:val="24"/>
        </w:rPr>
      </w:pPr>
    </w:p>
    <w:p w:rsidR="007275E3" w:rsidRPr="00EF7CB1" w:rsidRDefault="007275E3" w:rsidP="00A60D1E">
      <w:pPr>
        <w:spacing w:after="0" w:line="360" w:lineRule="auto"/>
        <w:jc w:val="both"/>
        <w:rPr>
          <w:rFonts w:ascii="Book Antiqua" w:hAnsi="Book Antiqua" w:cs="Arial"/>
          <w:b/>
          <w:sz w:val="24"/>
          <w:szCs w:val="24"/>
        </w:rPr>
      </w:pPr>
      <w:r w:rsidRPr="00EF7CB1">
        <w:rPr>
          <w:rFonts w:ascii="Book Antiqua" w:hAnsi="Book Antiqua" w:cs="Arial"/>
          <w:b/>
          <w:sz w:val="24"/>
          <w:szCs w:val="24"/>
        </w:rPr>
        <w:t>COMMENTS</w:t>
      </w:r>
    </w:p>
    <w:p w:rsidR="007275E3" w:rsidRPr="00EF7CB1" w:rsidRDefault="007275E3" w:rsidP="00A60D1E">
      <w:pPr>
        <w:spacing w:after="0" w:line="360" w:lineRule="auto"/>
        <w:jc w:val="both"/>
        <w:rPr>
          <w:rFonts w:ascii="Book Antiqua" w:hAnsi="Book Antiqua"/>
          <w:b/>
          <w:bCs/>
          <w:i/>
          <w:sz w:val="24"/>
          <w:szCs w:val="24"/>
        </w:rPr>
      </w:pPr>
      <w:r w:rsidRPr="00EF7CB1">
        <w:rPr>
          <w:rFonts w:ascii="Book Antiqua" w:hAnsi="Book Antiqua"/>
          <w:bCs/>
          <w:sz w:val="24"/>
          <w:szCs w:val="24"/>
        </w:rPr>
        <w:t xml:space="preserve"> </w:t>
      </w:r>
      <w:r w:rsidRPr="00EF7CB1">
        <w:rPr>
          <w:rFonts w:ascii="Book Antiqua" w:hAnsi="Book Antiqua"/>
          <w:b/>
          <w:bCs/>
          <w:i/>
          <w:sz w:val="24"/>
          <w:szCs w:val="24"/>
        </w:rPr>
        <w:t>Background</w:t>
      </w:r>
    </w:p>
    <w:p w:rsidR="007275E3" w:rsidRPr="00EF7CB1" w:rsidRDefault="007275E3" w:rsidP="00A60D1E">
      <w:pPr>
        <w:spacing w:after="0" w:line="360" w:lineRule="auto"/>
        <w:jc w:val="both"/>
        <w:rPr>
          <w:rFonts w:ascii="Book Antiqua" w:hAnsi="Book Antiqua"/>
          <w:sz w:val="24"/>
          <w:szCs w:val="24"/>
          <w:lang w:eastAsia="zh-CN"/>
        </w:rPr>
      </w:pPr>
      <w:r w:rsidRPr="00EF7CB1">
        <w:rPr>
          <w:rFonts w:ascii="Book Antiqua" w:hAnsi="Book Antiqua"/>
          <w:sz w:val="24"/>
          <w:szCs w:val="24"/>
        </w:rPr>
        <w:lastRenderedPageBreak/>
        <w:t xml:space="preserve"> Overt diabetes mellitus (DM) may be found in 30% of patients with liver cirrhosis of diverse etiology. Since long time ago, it is known that overt DM is linked to a reduction of survival of patients with liver cirrhosis. Causes of death of these patients are mostly due to liver disease complications. Noneless, 60% of non diabetic patients with liver cirrhosis may have abnormal glucose tolerance disorders, either impaired glucose tolerance (IGT) orDM, after an oral glucose tolerance test. </w:t>
      </w:r>
    </w:p>
    <w:p w:rsidR="007275E3" w:rsidRPr="00EF7CB1" w:rsidRDefault="007275E3" w:rsidP="00A60D1E">
      <w:pPr>
        <w:spacing w:after="0" w:line="360" w:lineRule="auto"/>
        <w:jc w:val="both"/>
        <w:rPr>
          <w:rFonts w:ascii="Book Antiqua" w:hAnsi="Book Antiqua"/>
          <w:sz w:val="24"/>
          <w:szCs w:val="24"/>
          <w:lang w:eastAsia="zh-CN"/>
        </w:rPr>
      </w:pPr>
    </w:p>
    <w:p w:rsidR="007275E3" w:rsidRPr="00EF7CB1" w:rsidRDefault="007275E3" w:rsidP="00A60D1E">
      <w:pPr>
        <w:spacing w:after="0" w:line="360" w:lineRule="auto"/>
        <w:jc w:val="both"/>
        <w:rPr>
          <w:rFonts w:ascii="Book Antiqua" w:hAnsi="Book Antiqua"/>
          <w:b/>
          <w:i/>
          <w:sz w:val="24"/>
          <w:szCs w:val="24"/>
        </w:rPr>
      </w:pPr>
      <w:r w:rsidRPr="00EF7CB1">
        <w:rPr>
          <w:rFonts w:ascii="Book Antiqua" w:hAnsi="Book Antiqua"/>
          <w:b/>
          <w:bCs/>
          <w:i/>
          <w:sz w:val="24"/>
          <w:szCs w:val="24"/>
        </w:rPr>
        <w:t>Research frontiers</w:t>
      </w:r>
    </w:p>
    <w:p w:rsidR="007275E3" w:rsidRPr="00EF7CB1" w:rsidRDefault="007275E3" w:rsidP="00A60D1E">
      <w:pPr>
        <w:spacing w:after="0" w:line="360" w:lineRule="auto"/>
        <w:jc w:val="both"/>
        <w:rPr>
          <w:rFonts w:ascii="Book Antiqua" w:hAnsi="Book Antiqua"/>
          <w:sz w:val="24"/>
          <w:szCs w:val="24"/>
          <w:lang w:eastAsia="zh-CN"/>
        </w:rPr>
      </w:pPr>
      <w:r w:rsidRPr="00EF7CB1">
        <w:rPr>
          <w:rFonts w:ascii="Book Antiqua" w:hAnsi="Book Antiqua"/>
          <w:sz w:val="24"/>
          <w:szCs w:val="24"/>
        </w:rPr>
        <w:t xml:space="preserve"> The impact of subclinical forms of IGT and DM on survival of cirrhotic patients has not been extensively described. In this paper, </w:t>
      </w:r>
      <w:r w:rsidRPr="00EF7CB1">
        <w:rPr>
          <w:rFonts w:ascii="Book Antiqua" w:hAnsi="Book Antiqua"/>
          <w:sz w:val="24"/>
          <w:szCs w:val="24"/>
          <w:lang w:eastAsia="zh-CN"/>
        </w:rPr>
        <w:t xml:space="preserve">the authors </w:t>
      </w:r>
      <w:r w:rsidRPr="00EF7CB1">
        <w:rPr>
          <w:rFonts w:ascii="Book Antiqua" w:hAnsi="Book Antiqua"/>
          <w:sz w:val="24"/>
          <w:szCs w:val="24"/>
        </w:rPr>
        <w:t>demonstrate that patients with these forms of abnormal glucose tolerance have a reduced long term survival than those with normal glucose tolerance. Nevertheless, this study does not allow demonstrating the mechanisms by which abnormal glucose tolerance may reduce survival of patients</w:t>
      </w:r>
    </w:p>
    <w:p w:rsidR="007275E3" w:rsidRPr="00EF7CB1" w:rsidRDefault="007275E3" w:rsidP="00A60D1E">
      <w:pPr>
        <w:spacing w:after="0" w:line="360" w:lineRule="auto"/>
        <w:jc w:val="both"/>
        <w:rPr>
          <w:rFonts w:ascii="Book Antiqua" w:hAnsi="Book Antiqua"/>
          <w:sz w:val="24"/>
          <w:szCs w:val="24"/>
        </w:rPr>
      </w:pPr>
    </w:p>
    <w:p w:rsidR="007275E3" w:rsidRPr="00EF7CB1" w:rsidRDefault="007275E3" w:rsidP="00A60D1E">
      <w:pPr>
        <w:spacing w:after="0" w:line="360" w:lineRule="auto"/>
        <w:jc w:val="both"/>
        <w:rPr>
          <w:rFonts w:ascii="Book Antiqua" w:hAnsi="Book Antiqua"/>
          <w:b/>
          <w:bCs/>
          <w:i/>
          <w:sz w:val="24"/>
          <w:szCs w:val="24"/>
        </w:rPr>
      </w:pPr>
      <w:r w:rsidRPr="00EF7CB1">
        <w:rPr>
          <w:rFonts w:ascii="Book Antiqua" w:hAnsi="Book Antiqua"/>
          <w:b/>
          <w:bCs/>
          <w:i/>
          <w:sz w:val="24"/>
          <w:szCs w:val="24"/>
        </w:rPr>
        <w:t>Related publications</w:t>
      </w:r>
    </w:p>
    <w:p w:rsidR="007275E3" w:rsidRPr="00EF7CB1" w:rsidRDefault="007275E3" w:rsidP="00A60D1E">
      <w:pPr>
        <w:spacing w:after="0" w:line="360" w:lineRule="auto"/>
        <w:jc w:val="both"/>
        <w:rPr>
          <w:rFonts w:ascii="Book Antiqua" w:hAnsi="Book Antiqua"/>
          <w:sz w:val="24"/>
          <w:szCs w:val="24"/>
          <w:lang w:eastAsia="zh-CN"/>
        </w:rPr>
      </w:pPr>
      <w:r w:rsidRPr="00EF7CB1">
        <w:rPr>
          <w:rFonts w:ascii="Book Antiqua" w:hAnsi="Book Antiqua"/>
          <w:sz w:val="24"/>
          <w:szCs w:val="24"/>
        </w:rPr>
        <w:t xml:space="preserve"> The impact of subclinical forms of abnormal glucose tolerance on survival of cirrhotic patients has been described in only one study performed in Japan. In this study, patients with IGT and DM detected with </w:t>
      </w:r>
      <w:r w:rsidRPr="00EF7CB1">
        <w:rPr>
          <w:rFonts w:ascii="Book Antiqua" w:hAnsi="Book Antiqua" w:cs="Arial"/>
          <w:sz w:val="24"/>
          <w:szCs w:val="24"/>
        </w:rPr>
        <w:t>oral glucose tolerance test (OGTT)</w:t>
      </w:r>
      <w:r w:rsidRPr="00EF7CB1">
        <w:rPr>
          <w:rFonts w:ascii="Book Antiqua" w:hAnsi="Book Antiqua"/>
          <w:sz w:val="24"/>
          <w:szCs w:val="24"/>
        </w:rPr>
        <w:t xml:space="preserve">, had reduced 5-year survival than those with normal glucose tolerance. </w:t>
      </w:r>
    </w:p>
    <w:p w:rsidR="007275E3" w:rsidRPr="00EF7CB1" w:rsidRDefault="007275E3" w:rsidP="00A60D1E">
      <w:pPr>
        <w:spacing w:after="0" w:line="360" w:lineRule="auto"/>
        <w:jc w:val="both"/>
        <w:rPr>
          <w:rFonts w:ascii="Book Antiqua" w:hAnsi="Book Antiqua"/>
          <w:sz w:val="24"/>
          <w:szCs w:val="24"/>
          <w:lang w:eastAsia="zh-CN"/>
        </w:rPr>
      </w:pPr>
    </w:p>
    <w:p w:rsidR="007275E3" w:rsidRPr="00EF7CB1" w:rsidRDefault="007275E3" w:rsidP="00A60D1E">
      <w:pPr>
        <w:spacing w:after="0" w:line="360" w:lineRule="auto"/>
        <w:jc w:val="both"/>
        <w:rPr>
          <w:rFonts w:ascii="Book Antiqua" w:hAnsi="Book Antiqua"/>
          <w:b/>
          <w:bCs/>
          <w:i/>
          <w:sz w:val="24"/>
          <w:szCs w:val="24"/>
        </w:rPr>
      </w:pPr>
      <w:r w:rsidRPr="00EF7CB1">
        <w:rPr>
          <w:rFonts w:ascii="Book Antiqua" w:hAnsi="Book Antiqua"/>
          <w:b/>
          <w:i/>
          <w:sz w:val="24"/>
          <w:szCs w:val="24"/>
        </w:rPr>
        <w:t xml:space="preserve"> </w:t>
      </w:r>
      <w:r w:rsidRPr="00EF7CB1">
        <w:rPr>
          <w:rFonts w:ascii="Book Antiqua" w:hAnsi="Book Antiqua"/>
          <w:b/>
          <w:bCs/>
          <w:i/>
          <w:sz w:val="24"/>
          <w:szCs w:val="24"/>
        </w:rPr>
        <w:t>Innovations and breakthroughs</w:t>
      </w:r>
    </w:p>
    <w:p w:rsidR="007275E3" w:rsidRPr="00EF7CB1" w:rsidRDefault="007275E3" w:rsidP="00A60D1E">
      <w:pPr>
        <w:spacing w:after="0" w:line="360" w:lineRule="auto"/>
        <w:jc w:val="both"/>
        <w:rPr>
          <w:rFonts w:ascii="Book Antiqua" w:hAnsi="Book Antiqua"/>
          <w:sz w:val="24"/>
          <w:szCs w:val="24"/>
          <w:lang w:eastAsia="zh-CN"/>
        </w:rPr>
      </w:pPr>
      <w:r w:rsidRPr="00EF7CB1">
        <w:rPr>
          <w:rFonts w:ascii="Book Antiqua" w:hAnsi="Book Antiqua"/>
          <w:sz w:val="24"/>
          <w:szCs w:val="24"/>
        </w:rPr>
        <w:lastRenderedPageBreak/>
        <w:t xml:space="preserve">Most of the patients in the previously published study had cirrhosis of viral etiology and 30% had liver complications while in ours, patients were clinically compensated and most of them had alcoholic and cryptogenic etiology. In addition the sample size of our study was double. </w:t>
      </w:r>
    </w:p>
    <w:p w:rsidR="007275E3" w:rsidRPr="00EF7CB1" w:rsidRDefault="007275E3" w:rsidP="00A60D1E">
      <w:pPr>
        <w:spacing w:after="0" w:line="360" w:lineRule="auto"/>
        <w:jc w:val="both"/>
        <w:rPr>
          <w:rFonts w:ascii="Book Antiqua" w:hAnsi="Book Antiqua"/>
          <w:sz w:val="24"/>
          <w:szCs w:val="24"/>
          <w:lang w:eastAsia="zh-CN"/>
        </w:rPr>
      </w:pPr>
    </w:p>
    <w:p w:rsidR="007275E3" w:rsidRPr="00EF7CB1" w:rsidRDefault="007275E3" w:rsidP="00A60D1E">
      <w:pPr>
        <w:spacing w:after="0" w:line="360" w:lineRule="auto"/>
        <w:jc w:val="both"/>
        <w:rPr>
          <w:rFonts w:ascii="Book Antiqua" w:hAnsi="Book Antiqua"/>
          <w:b/>
          <w:bCs/>
          <w:i/>
          <w:sz w:val="24"/>
          <w:szCs w:val="24"/>
        </w:rPr>
      </w:pPr>
      <w:r w:rsidRPr="00EF7CB1">
        <w:rPr>
          <w:rFonts w:ascii="Book Antiqua" w:hAnsi="Book Antiqua"/>
          <w:b/>
          <w:i/>
          <w:sz w:val="24"/>
          <w:szCs w:val="24"/>
        </w:rPr>
        <w:t xml:space="preserve"> </w:t>
      </w:r>
      <w:r w:rsidRPr="00EF7CB1">
        <w:rPr>
          <w:rFonts w:ascii="Book Antiqua" w:hAnsi="Book Antiqua"/>
          <w:b/>
          <w:bCs/>
          <w:i/>
          <w:sz w:val="24"/>
          <w:szCs w:val="24"/>
        </w:rPr>
        <w:t xml:space="preserve">Applications </w:t>
      </w:r>
    </w:p>
    <w:p w:rsidR="007275E3" w:rsidRPr="00EF7CB1" w:rsidRDefault="007275E3" w:rsidP="00A60D1E">
      <w:pPr>
        <w:spacing w:after="0" w:line="360" w:lineRule="auto"/>
        <w:jc w:val="both"/>
        <w:rPr>
          <w:rFonts w:ascii="Book Antiqua" w:hAnsi="Book Antiqua"/>
          <w:sz w:val="24"/>
          <w:szCs w:val="24"/>
          <w:lang w:eastAsia="zh-CN"/>
        </w:rPr>
      </w:pPr>
      <w:r w:rsidRPr="00EF7CB1">
        <w:rPr>
          <w:rFonts w:ascii="Book Antiqua" w:hAnsi="Book Antiqua"/>
          <w:sz w:val="24"/>
          <w:szCs w:val="24"/>
        </w:rPr>
        <w:t>The practical applications of the findings of this study are clear: early detection of abnormal glucose tolerance conditions through OGTT allows early treatment of DM and consequently a reduction of complications and mortality of patients.</w:t>
      </w:r>
      <w:r w:rsidRPr="00EF7CB1">
        <w:rPr>
          <w:rFonts w:ascii="Book Antiqua" w:hAnsi="Book Antiqua"/>
          <w:sz w:val="24"/>
          <w:szCs w:val="24"/>
          <w:lang w:eastAsia="zh-CN"/>
        </w:rPr>
        <w:t xml:space="preserve"> </w:t>
      </w:r>
      <w:r w:rsidRPr="00EF7CB1">
        <w:rPr>
          <w:rFonts w:ascii="Book Antiqua" w:hAnsi="Book Antiqua"/>
          <w:sz w:val="24"/>
          <w:szCs w:val="24"/>
        </w:rPr>
        <w:t>It is suggested the use of OGTT in all patients with liver cirrhosis without previous DM, in order to assess prognosis of survival. Those with DM may be included in a close monitoring and an early treatment program.</w:t>
      </w:r>
      <w:r w:rsidRPr="00EF7CB1">
        <w:rPr>
          <w:rFonts w:ascii="Book Antiqua" w:hAnsi="Book Antiqua"/>
          <w:sz w:val="24"/>
          <w:szCs w:val="24"/>
          <w:lang w:eastAsia="zh-CN"/>
        </w:rPr>
        <w:t xml:space="preserve"> </w:t>
      </w:r>
      <w:r w:rsidRPr="00EF7CB1">
        <w:rPr>
          <w:rFonts w:ascii="Book Antiqua" w:hAnsi="Book Antiqua"/>
          <w:sz w:val="24"/>
          <w:szCs w:val="24"/>
        </w:rPr>
        <w:t>Future studies concerning the mechanisms by which DM induces death of cirrhotic patients may allow focusing prevention and therapeutic measures.</w:t>
      </w:r>
    </w:p>
    <w:p w:rsidR="007275E3" w:rsidRPr="00EF7CB1" w:rsidRDefault="007275E3" w:rsidP="00A60D1E">
      <w:pPr>
        <w:spacing w:after="0" w:line="360" w:lineRule="auto"/>
        <w:jc w:val="both"/>
        <w:rPr>
          <w:rFonts w:ascii="Book Antiqua" w:hAnsi="Book Antiqua"/>
          <w:sz w:val="24"/>
          <w:szCs w:val="24"/>
          <w:lang w:eastAsia="zh-CN"/>
        </w:rPr>
      </w:pPr>
    </w:p>
    <w:p w:rsidR="007275E3" w:rsidRPr="00EF7CB1" w:rsidRDefault="007275E3" w:rsidP="00A60D1E">
      <w:pPr>
        <w:spacing w:after="0" w:line="360" w:lineRule="auto"/>
        <w:jc w:val="both"/>
        <w:rPr>
          <w:rFonts w:ascii="Book Antiqua" w:hAnsi="Book Antiqua" w:cs="Arial"/>
          <w:b/>
          <w:bCs/>
          <w:i/>
          <w:sz w:val="24"/>
          <w:szCs w:val="24"/>
        </w:rPr>
      </w:pPr>
      <w:r w:rsidRPr="00EF7CB1">
        <w:rPr>
          <w:rFonts w:ascii="Book Antiqua" w:hAnsi="Book Antiqua" w:cs="Arial"/>
          <w:b/>
          <w:bCs/>
          <w:i/>
          <w:sz w:val="24"/>
          <w:szCs w:val="24"/>
        </w:rPr>
        <w:t>Terminology</w:t>
      </w:r>
    </w:p>
    <w:p w:rsidR="007275E3" w:rsidRPr="00EF7CB1" w:rsidRDefault="007275E3" w:rsidP="00A60D1E">
      <w:pPr>
        <w:spacing w:after="0" w:line="360" w:lineRule="auto"/>
        <w:jc w:val="both"/>
        <w:rPr>
          <w:rFonts w:ascii="Book Antiqua" w:hAnsi="Book Antiqua" w:cs="Arial"/>
          <w:bCs/>
          <w:sz w:val="24"/>
          <w:szCs w:val="24"/>
          <w:lang w:eastAsia="zh-CN"/>
        </w:rPr>
      </w:pPr>
      <w:r w:rsidRPr="00EF7CB1">
        <w:rPr>
          <w:rFonts w:ascii="Book Antiqua" w:hAnsi="Book Antiqua" w:cs="Arial"/>
          <w:bCs/>
          <w:sz w:val="24"/>
          <w:szCs w:val="24"/>
        </w:rPr>
        <w:t xml:space="preserve">Subclinical abnormal glucose tolerance refers to impaired glucose tolerance and diabetes mellitus detected with an oral glucose tolerance test. </w:t>
      </w:r>
    </w:p>
    <w:p w:rsidR="007275E3" w:rsidRPr="00EF7CB1" w:rsidRDefault="007275E3" w:rsidP="00A60D1E">
      <w:pPr>
        <w:spacing w:after="0" w:line="360" w:lineRule="auto"/>
        <w:jc w:val="both"/>
        <w:rPr>
          <w:rFonts w:ascii="Book Antiqua" w:hAnsi="Book Antiqua" w:cs="Arial"/>
          <w:bCs/>
          <w:sz w:val="24"/>
          <w:szCs w:val="24"/>
          <w:lang w:eastAsia="zh-CN"/>
        </w:rPr>
      </w:pPr>
    </w:p>
    <w:p w:rsidR="007275E3" w:rsidRPr="00EF7CB1" w:rsidRDefault="007275E3" w:rsidP="00A60D1E">
      <w:pPr>
        <w:spacing w:after="0" w:line="360" w:lineRule="auto"/>
        <w:jc w:val="both"/>
        <w:rPr>
          <w:rFonts w:ascii="Book Antiqua" w:hAnsi="Book Antiqua"/>
          <w:b/>
          <w:i/>
          <w:sz w:val="24"/>
          <w:szCs w:val="24"/>
        </w:rPr>
      </w:pPr>
      <w:r w:rsidRPr="00EF7CB1">
        <w:rPr>
          <w:rFonts w:ascii="Book Antiqua" w:hAnsi="Book Antiqua"/>
          <w:b/>
          <w:bCs/>
          <w:i/>
          <w:sz w:val="24"/>
          <w:szCs w:val="24"/>
        </w:rPr>
        <w:t>Peer review</w:t>
      </w:r>
    </w:p>
    <w:p w:rsidR="007275E3" w:rsidRPr="00EF7CB1" w:rsidRDefault="007275E3" w:rsidP="00A60D1E">
      <w:pPr>
        <w:spacing w:after="0" w:line="360" w:lineRule="auto"/>
        <w:jc w:val="both"/>
        <w:rPr>
          <w:rFonts w:ascii="Book Antiqua" w:hAnsi="Book Antiqua"/>
          <w:b/>
          <w:sz w:val="24"/>
          <w:szCs w:val="24"/>
        </w:rPr>
      </w:pPr>
      <w:r w:rsidRPr="00EF7CB1">
        <w:rPr>
          <w:rFonts w:ascii="Book Antiqua" w:hAnsi="Book Antiqua"/>
          <w:sz w:val="24"/>
          <w:szCs w:val="24"/>
        </w:rPr>
        <w:t>The investigators correlated the subclinical abnormal glucose tolerance and reduced survival in cirrhosis patients, and found the subclinical abnormal glucose tolerance was associated with lower survival.</w:t>
      </w:r>
    </w:p>
    <w:p w:rsidR="007275E3" w:rsidRPr="00EF7CB1" w:rsidRDefault="007275E3" w:rsidP="00A60D1E">
      <w:pPr>
        <w:tabs>
          <w:tab w:val="left" w:pos="927"/>
        </w:tabs>
        <w:spacing w:after="0" w:line="360" w:lineRule="auto"/>
        <w:jc w:val="both"/>
        <w:rPr>
          <w:rFonts w:ascii="Book Antiqua" w:hAnsi="Book Antiqua"/>
          <w:b/>
          <w:sz w:val="24"/>
          <w:szCs w:val="24"/>
        </w:rPr>
      </w:pPr>
      <w:r w:rsidRPr="00EF7CB1">
        <w:rPr>
          <w:rFonts w:ascii="Book Antiqua" w:hAnsi="Book Antiqua"/>
          <w:b/>
          <w:sz w:val="24"/>
          <w:szCs w:val="24"/>
        </w:rPr>
        <w:tab/>
      </w:r>
    </w:p>
    <w:p w:rsidR="007275E3" w:rsidRPr="00EF7CB1" w:rsidRDefault="007275E3" w:rsidP="00A60D1E">
      <w:pPr>
        <w:spacing w:after="0" w:line="360" w:lineRule="auto"/>
        <w:jc w:val="both"/>
        <w:rPr>
          <w:rFonts w:ascii="Book Antiqua" w:hAnsi="Book Antiqua"/>
          <w:b/>
          <w:sz w:val="24"/>
          <w:szCs w:val="24"/>
          <w:lang w:eastAsia="zh-CN"/>
        </w:rPr>
      </w:pPr>
      <w:r w:rsidRPr="00EF7CB1">
        <w:rPr>
          <w:rFonts w:ascii="Book Antiqua" w:hAnsi="Book Antiqua"/>
          <w:b/>
          <w:sz w:val="24"/>
          <w:szCs w:val="24"/>
        </w:rPr>
        <w:lastRenderedPageBreak/>
        <w:t>REFERENCES</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1 </w:t>
      </w:r>
      <w:r w:rsidRPr="00EF7CB1">
        <w:rPr>
          <w:rFonts w:ascii="Book Antiqua" w:hAnsi="Book Antiqua" w:cs="宋体"/>
          <w:b/>
          <w:bCs/>
          <w:sz w:val="24"/>
          <w:szCs w:val="24"/>
          <w:lang w:eastAsia="zh-CN"/>
        </w:rPr>
        <w:t>Hickman IJ</w:t>
      </w:r>
      <w:r w:rsidRPr="00EF7CB1">
        <w:rPr>
          <w:rFonts w:ascii="Book Antiqua" w:hAnsi="Book Antiqua" w:cs="宋体"/>
          <w:sz w:val="24"/>
          <w:szCs w:val="24"/>
          <w:lang w:eastAsia="zh-CN"/>
        </w:rPr>
        <w:t xml:space="preserve">, Macdonald GA. Impact of diabetes on the severity of liver disease. </w:t>
      </w:r>
      <w:r w:rsidRPr="00EF7CB1">
        <w:rPr>
          <w:rFonts w:ascii="Book Antiqua" w:hAnsi="Book Antiqua" w:cs="宋体"/>
          <w:i/>
          <w:iCs/>
          <w:sz w:val="24"/>
          <w:szCs w:val="24"/>
          <w:lang w:eastAsia="zh-CN"/>
        </w:rPr>
        <w:t>Am J Med</w:t>
      </w:r>
      <w:r w:rsidRPr="00EF7CB1">
        <w:rPr>
          <w:rFonts w:ascii="Book Antiqua" w:hAnsi="Book Antiqua" w:cs="宋体"/>
          <w:sz w:val="24"/>
          <w:szCs w:val="24"/>
          <w:lang w:eastAsia="zh-CN"/>
        </w:rPr>
        <w:t xml:space="preserve"> 2007; </w:t>
      </w:r>
      <w:r w:rsidRPr="00EF7CB1">
        <w:rPr>
          <w:rFonts w:ascii="Book Antiqua" w:hAnsi="Book Antiqua" w:cs="宋体"/>
          <w:b/>
          <w:bCs/>
          <w:sz w:val="24"/>
          <w:szCs w:val="24"/>
          <w:lang w:eastAsia="zh-CN"/>
        </w:rPr>
        <w:t>120</w:t>
      </w:r>
      <w:r w:rsidRPr="00EF7CB1">
        <w:rPr>
          <w:rFonts w:ascii="Book Antiqua" w:hAnsi="Book Antiqua" w:cs="宋体"/>
          <w:sz w:val="24"/>
          <w:szCs w:val="24"/>
          <w:lang w:eastAsia="zh-CN"/>
        </w:rPr>
        <w:t>: 829-834 [PMID: 17904449 DOI: 10.1016/j.amjmed.2007.03.025]</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 </w:t>
      </w:r>
      <w:r w:rsidRPr="00EF7CB1">
        <w:rPr>
          <w:rFonts w:ascii="Book Antiqua" w:hAnsi="Book Antiqua" w:cs="宋体"/>
          <w:b/>
          <w:bCs/>
          <w:sz w:val="24"/>
          <w:szCs w:val="24"/>
          <w:lang w:eastAsia="zh-CN"/>
        </w:rPr>
        <w:t>Petrides AS</w:t>
      </w:r>
      <w:r w:rsidRPr="00EF7CB1">
        <w:rPr>
          <w:rFonts w:ascii="Book Antiqua" w:hAnsi="Book Antiqua" w:cs="宋体"/>
          <w:sz w:val="24"/>
          <w:szCs w:val="24"/>
          <w:lang w:eastAsia="zh-CN"/>
        </w:rPr>
        <w:t xml:space="preserve">, Vogt C, Schulze-Berge D, Matthews D, Strohmeyer G. Pathogenesis of glucose intolerance and diabetes mellitus in cirrhosis. </w:t>
      </w:r>
      <w:r w:rsidRPr="00EF7CB1">
        <w:rPr>
          <w:rFonts w:ascii="Book Antiqua" w:hAnsi="Book Antiqua" w:cs="宋体"/>
          <w:i/>
          <w:iCs/>
          <w:sz w:val="24"/>
          <w:szCs w:val="24"/>
          <w:lang w:eastAsia="zh-CN"/>
        </w:rPr>
        <w:t>Hepatology</w:t>
      </w:r>
      <w:r w:rsidRPr="00EF7CB1">
        <w:rPr>
          <w:rFonts w:ascii="Book Antiqua" w:hAnsi="Book Antiqua" w:cs="宋体"/>
          <w:sz w:val="24"/>
          <w:szCs w:val="24"/>
          <w:lang w:eastAsia="zh-CN"/>
        </w:rPr>
        <w:t xml:space="preserve"> 1994; </w:t>
      </w:r>
      <w:r w:rsidRPr="00EF7CB1">
        <w:rPr>
          <w:rFonts w:ascii="Book Antiqua" w:hAnsi="Book Antiqua" w:cs="宋体"/>
          <w:b/>
          <w:bCs/>
          <w:sz w:val="24"/>
          <w:szCs w:val="24"/>
          <w:lang w:eastAsia="zh-CN"/>
        </w:rPr>
        <w:t>19</w:t>
      </w:r>
      <w:r w:rsidRPr="00EF7CB1">
        <w:rPr>
          <w:rFonts w:ascii="Book Antiqua" w:hAnsi="Book Antiqua" w:cs="宋体"/>
          <w:sz w:val="24"/>
          <w:szCs w:val="24"/>
          <w:lang w:eastAsia="zh-CN"/>
        </w:rPr>
        <w:t>: 616-627 [PMID: 8119686 DOI: 10.1002/hep.1840190312]</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 </w:t>
      </w:r>
      <w:r w:rsidRPr="00EF7CB1">
        <w:rPr>
          <w:rFonts w:ascii="Book Antiqua" w:hAnsi="Book Antiqua" w:cs="宋体"/>
          <w:b/>
          <w:bCs/>
          <w:sz w:val="24"/>
          <w:szCs w:val="24"/>
          <w:lang w:eastAsia="zh-CN"/>
        </w:rPr>
        <w:t>Petrides AS</w:t>
      </w:r>
      <w:r w:rsidRPr="00EF7CB1">
        <w:rPr>
          <w:rFonts w:ascii="Book Antiqua" w:hAnsi="Book Antiqua" w:cs="宋体"/>
          <w:sz w:val="24"/>
          <w:szCs w:val="24"/>
          <w:lang w:eastAsia="zh-CN"/>
        </w:rPr>
        <w:t xml:space="preserve">, Stanley T, Matthews DE, Vogt C, Bush AJ, Lambeth H. Insulin resistance in cirrhosis: prolonged reduction of hyperinsulinemia normalizes insulin sensitivity. </w:t>
      </w:r>
      <w:r w:rsidRPr="00EF7CB1">
        <w:rPr>
          <w:rFonts w:ascii="Book Antiqua" w:hAnsi="Book Antiqua" w:cs="宋体"/>
          <w:i/>
          <w:iCs/>
          <w:sz w:val="24"/>
          <w:szCs w:val="24"/>
          <w:lang w:eastAsia="zh-CN"/>
        </w:rPr>
        <w:t>Hepatology</w:t>
      </w:r>
      <w:r w:rsidRPr="00EF7CB1">
        <w:rPr>
          <w:rFonts w:ascii="Book Antiqua" w:hAnsi="Book Antiqua" w:cs="宋体"/>
          <w:sz w:val="24"/>
          <w:szCs w:val="24"/>
          <w:lang w:eastAsia="zh-CN"/>
        </w:rPr>
        <w:t xml:space="preserve"> 1998; </w:t>
      </w:r>
      <w:r w:rsidRPr="00EF7CB1">
        <w:rPr>
          <w:rFonts w:ascii="Book Antiqua" w:hAnsi="Book Antiqua" w:cs="宋体"/>
          <w:b/>
          <w:bCs/>
          <w:sz w:val="24"/>
          <w:szCs w:val="24"/>
          <w:lang w:eastAsia="zh-CN"/>
        </w:rPr>
        <w:t>28</w:t>
      </w:r>
      <w:r w:rsidRPr="00EF7CB1">
        <w:rPr>
          <w:rFonts w:ascii="Book Antiqua" w:hAnsi="Book Antiqua" w:cs="宋体"/>
          <w:sz w:val="24"/>
          <w:szCs w:val="24"/>
          <w:lang w:eastAsia="zh-CN"/>
        </w:rPr>
        <w:t>: 141-149 [PMID: 9657106 DOI: 10.1002/hep.510280119]</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4 </w:t>
      </w:r>
      <w:r w:rsidRPr="00EF7CB1">
        <w:rPr>
          <w:rFonts w:ascii="Book Antiqua" w:hAnsi="Book Antiqua" w:cs="宋体"/>
          <w:b/>
          <w:bCs/>
          <w:sz w:val="24"/>
          <w:szCs w:val="24"/>
          <w:lang w:eastAsia="zh-CN"/>
        </w:rPr>
        <w:t>Lewis JR</w:t>
      </w:r>
      <w:r w:rsidRPr="00EF7CB1">
        <w:rPr>
          <w:rFonts w:ascii="Book Antiqua" w:hAnsi="Book Antiqua" w:cs="宋体"/>
          <w:sz w:val="24"/>
          <w:szCs w:val="24"/>
          <w:lang w:eastAsia="zh-CN"/>
        </w:rPr>
        <w:t xml:space="preserve">, Mohanty SR. Nonalcoholic fatty liver disease: a review and update. </w:t>
      </w:r>
      <w:r w:rsidRPr="00EF7CB1">
        <w:rPr>
          <w:rFonts w:ascii="Book Antiqua" w:hAnsi="Book Antiqua" w:cs="宋体"/>
          <w:i/>
          <w:iCs/>
          <w:sz w:val="24"/>
          <w:szCs w:val="24"/>
          <w:lang w:eastAsia="zh-CN"/>
        </w:rPr>
        <w:t>Dig Dis Sci</w:t>
      </w:r>
      <w:r w:rsidRPr="00EF7CB1">
        <w:rPr>
          <w:rFonts w:ascii="Book Antiqua" w:hAnsi="Book Antiqua" w:cs="宋体"/>
          <w:sz w:val="24"/>
          <w:szCs w:val="24"/>
          <w:lang w:eastAsia="zh-CN"/>
        </w:rPr>
        <w:t xml:space="preserve"> 2010; </w:t>
      </w:r>
      <w:r w:rsidRPr="00EF7CB1">
        <w:rPr>
          <w:rFonts w:ascii="Book Antiqua" w:hAnsi="Book Antiqua" w:cs="宋体"/>
          <w:b/>
          <w:bCs/>
          <w:sz w:val="24"/>
          <w:szCs w:val="24"/>
          <w:lang w:eastAsia="zh-CN"/>
        </w:rPr>
        <w:t>55</w:t>
      </w:r>
      <w:r w:rsidRPr="00EF7CB1">
        <w:rPr>
          <w:rFonts w:ascii="Book Antiqua" w:hAnsi="Book Antiqua" w:cs="宋体"/>
          <w:sz w:val="24"/>
          <w:szCs w:val="24"/>
          <w:lang w:eastAsia="zh-CN"/>
        </w:rPr>
        <w:t>: 560-578 [PMID: 20101463 DOI: 10.1007/s10620-009-1081-0]</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5</w:t>
      </w:r>
      <w:r w:rsidRPr="00EF7CB1">
        <w:rPr>
          <w:rFonts w:ascii="Book Antiqua" w:hAnsi="Book Antiqua" w:cs="宋体"/>
          <w:b/>
          <w:sz w:val="24"/>
          <w:szCs w:val="24"/>
          <w:lang w:eastAsia="zh-CN"/>
        </w:rPr>
        <w:t xml:space="preserve"> </w:t>
      </w:r>
      <w:bookmarkStart w:id="10" w:name="OLE_LINK3"/>
      <w:bookmarkStart w:id="11" w:name="OLE_LINK4"/>
      <w:r w:rsidRPr="00EF7CB1">
        <w:rPr>
          <w:rFonts w:ascii="Book Antiqua" w:hAnsi="Book Antiqua" w:cs="宋体"/>
          <w:b/>
          <w:sz w:val="24"/>
          <w:szCs w:val="24"/>
          <w:lang w:eastAsia="zh-CN"/>
        </w:rPr>
        <w:t>Blendea MC</w:t>
      </w:r>
      <w:r w:rsidRPr="00EF7CB1">
        <w:rPr>
          <w:rFonts w:ascii="Book Antiqua" w:hAnsi="Book Antiqua" w:cs="宋体"/>
          <w:sz w:val="24"/>
          <w:szCs w:val="24"/>
          <w:lang w:eastAsia="zh-CN"/>
        </w:rPr>
        <w:t>, Thompson MJ, Malkani S. Diabetes andChronic liver disease: Etiology and pitfalls in monitoring</w:t>
      </w:r>
      <w:bookmarkEnd w:id="10"/>
      <w:bookmarkEnd w:id="11"/>
      <w:r w:rsidRPr="00EF7CB1">
        <w:rPr>
          <w:rFonts w:ascii="Book Antiqua" w:hAnsi="Book Antiqua" w:cs="宋体"/>
          <w:sz w:val="24"/>
          <w:szCs w:val="24"/>
          <w:lang w:eastAsia="zh-CN"/>
        </w:rPr>
        <w:t>.</w:t>
      </w:r>
      <w:r w:rsidRPr="00EF7CB1">
        <w:rPr>
          <w:rFonts w:ascii="Book Antiqua" w:hAnsi="Book Antiqua" w:cs="宋体"/>
          <w:i/>
          <w:sz w:val="24"/>
          <w:szCs w:val="24"/>
          <w:lang w:eastAsia="zh-CN"/>
        </w:rPr>
        <w:t xml:space="preserve"> Clin Diabetes </w:t>
      </w:r>
      <w:r w:rsidRPr="00EF7CB1">
        <w:rPr>
          <w:rFonts w:ascii="Book Antiqua" w:hAnsi="Book Antiqua" w:cs="宋体"/>
          <w:sz w:val="24"/>
          <w:szCs w:val="24"/>
          <w:lang w:eastAsia="zh-CN"/>
        </w:rPr>
        <w:t xml:space="preserve">2010; </w:t>
      </w:r>
      <w:r w:rsidRPr="00EF7CB1">
        <w:rPr>
          <w:rFonts w:ascii="Book Antiqua" w:hAnsi="Book Antiqua" w:cs="宋体"/>
          <w:b/>
          <w:sz w:val="24"/>
          <w:szCs w:val="24"/>
          <w:lang w:eastAsia="zh-CN"/>
        </w:rPr>
        <w:t>28</w:t>
      </w:r>
      <w:r w:rsidRPr="00EF7CB1">
        <w:rPr>
          <w:rFonts w:ascii="Book Antiqua" w:hAnsi="Book Antiqua" w:cs="宋体"/>
          <w:sz w:val="24"/>
          <w:szCs w:val="24"/>
          <w:lang w:eastAsia="zh-CN"/>
        </w:rPr>
        <w:t>: 139-144 [DOI: 10.2337/diaclin.28.4.139]</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6 </w:t>
      </w:r>
      <w:r w:rsidRPr="00EF7CB1">
        <w:rPr>
          <w:rFonts w:ascii="Book Antiqua" w:hAnsi="Book Antiqua" w:cs="宋体"/>
          <w:b/>
          <w:bCs/>
          <w:sz w:val="24"/>
          <w:szCs w:val="24"/>
          <w:lang w:eastAsia="zh-CN"/>
        </w:rPr>
        <w:t>Porepa L</w:t>
      </w:r>
      <w:r w:rsidRPr="00EF7CB1">
        <w:rPr>
          <w:rFonts w:ascii="Book Antiqua" w:hAnsi="Book Antiqua" w:cs="宋体"/>
          <w:sz w:val="24"/>
          <w:szCs w:val="24"/>
          <w:lang w:eastAsia="zh-CN"/>
        </w:rPr>
        <w:t xml:space="preserve">, Ray JG, Sanchez-Romeu P, Booth GL. Newly diagnosed diabetes mellitus as a risk factor for serious liver disease. </w:t>
      </w:r>
      <w:r w:rsidRPr="00EF7CB1">
        <w:rPr>
          <w:rFonts w:ascii="Book Antiqua" w:hAnsi="Book Antiqua" w:cs="宋体"/>
          <w:i/>
          <w:iCs/>
          <w:sz w:val="24"/>
          <w:szCs w:val="24"/>
          <w:lang w:eastAsia="zh-CN"/>
        </w:rPr>
        <w:t>CMAJ</w:t>
      </w:r>
      <w:r w:rsidRPr="00EF7CB1">
        <w:rPr>
          <w:rFonts w:ascii="Book Antiqua" w:hAnsi="Book Antiqua" w:cs="宋体"/>
          <w:sz w:val="24"/>
          <w:szCs w:val="24"/>
          <w:lang w:eastAsia="zh-CN"/>
        </w:rPr>
        <w:t xml:space="preserve"> 2010; </w:t>
      </w:r>
      <w:r w:rsidRPr="00EF7CB1">
        <w:rPr>
          <w:rFonts w:ascii="Book Antiqua" w:hAnsi="Book Antiqua" w:cs="宋体"/>
          <w:b/>
          <w:bCs/>
          <w:sz w:val="24"/>
          <w:szCs w:val="24"/>
          <w:lang w:eastAsia="zh-CN"/>
        </w:rPr>
        <w:t>182</w:t>
      </w:r>
      <w:r w:rsidRPr="00EF7CB1">
        <w:rPr>
          <w:rFonts w:ascii="Book Antiqua" w:hAnsi="Book Antiqua" w:cs="宋体"/>
          <w:sz w:val="24"/>
          <w:szCs w:val="24"/>
          <w:lang w:eastAsia="zh-CN"/>
        </w:rPr>
        <w:t>: E526-E531 [PMID: 20566726 DOI: 10.1503/cmaj.092144]</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7 </w:t>
      </w:r>
      <w:r w:rsidRPr="00EF7CB1">
        <w:rPr>
          <w:rFonts w:ascii="Book Antiqua" w:hAnsi="Book Antiqua" w:cs="宋体"/>
          <w:b/>
          <w:bCs/>
          <w:sz w:val="24"/>
          <w:szCs w:val="24"/>
          <w:lang w:eastAsia="zh-CN"/>
        </w:rPr>
        <w:t>Loria P</w:t>
      </w:r>
      <w:r w:rsidRPr="00EF7CB1">
        <w:rPr>
          <w:rFonts w:ascii="Book Antiqua" w:hAnsi="Book Antiqua" w:cs="宋体"/>
          <w:sz w:val="24"/>
          <w:szCs w:val="24"/>
          <w:lang w:eastAsia="zh-CN"/>
        </w:rPr>
        <w:t xml:space="preserve">, Lonardo A, Anania F. Liver and diabetes. A vicious circle. </w:t>
      </w:r>
      <w:r w:rsidRPr="00EF7CB1">
        <w:rPr>
          <w:rFonts w:ascii="Book Antiqua" w:hAnsi="Book Antiqua" w:cs="宋体"/>
          <w:i/>
          <w:iCs/>
          <w:sz w:val="24"/>
          <w:szCs w:val="24"/>
          <w:lang w:eastAsia="zh-CN"/>
        </w:rPr>
        <w:t>Hepatol Res</w:t>
      </w:r>
      <w:r w:rsidRPr="00EF7CB1">
        <w:rPr>
          <w:rFonts w:ascii="Book Antiqua" w:hAnsi="Book Antiqua" w:cs="宋体"/>
          <w:sz w:val="24"/>
          <w:szCs w:val="24"/>
          <w:lang w:eastAsia="zh-CN"/>
        </w:rPr>
        <w:t xml:space="preserve"> 2013; </w:t>
      </w:r>
      <w:r w:rsidRPr="00EF7CB1">
        <w:rPr>
          <w:rFonts w:ascii="Book Antiqua" w:hAnsi="Book Antiqua" w:cs="宋体"/>
          <w:b/>
          <w:bCs/>
          <w:sz w:val="24"/>
          <w:szCs w:val="24"/>
          <w:lang w:eastAsia="zh-CN"/>
        </w:rPr>
        <w:t>43</w:t>
      </w:r>
      <w:r w:rsidRPr="00EF7CB1">
        <w:rPr>
          <w:rFonts w:ascii="Book Antiqua" w:hAnsi="Book Antiqua" w:cs="宋体"/>
          <w:sz w:val="24"/>
          <w:szCs w:val="24"/>
          <w:lang w:eastAsia="zh-CN"/>
        </w:rPr>
        <w:t>: 51-64 [PMID: 23332087 DOI: 10.1111/j.1872-034X.2012.01031.x]</w:t>
      </w:r>
    </w:p>
    <w:p w:rsidR="007275E3" w:rsidRPr="00EF7CB1" w:rsidRDefault="007275E3" w:rsidP="00A60D1E">
      <w:pPr>
        <w:spacing w:after="0" w:line="360" w:lineRule="auto"/>
        <w:jc w:val="both"/>
        <w:rPr>
          <w:rFonts w:ascii="Book Antiqua" w:hAnsi="Book Antiqua" w:cs="宋体"/>
          <w:sz w:val="24"/>
          <w:szCs w:val="24"/>
          <w:lang w:eastAsia="zh-CN"/>
        </w:rPr>
      </w:pPr>
      <w:r w:rsidRPr="0019268B">
        <w:rPr>
          <w:rFonts w:ascii="Book Antiqua" w:hAnsi="Book Antiqua" w:cs="宋体"/>
          <w:sz w:val="24"/>
          <w:szCs w:val="24"/>
          <w:lang w:val="es-ES" w:eastAsia="zh-CN"/>
        </w:rPr>
        <w:t xml:space="preserve">8 </w:t>
      </w:r>
      <w:r w:rsidRPr="0019268B">
        <w:rPr>
          <w:rFonts w:ascii="Book Antiqua" w:hAnsi="Book Antiqua" w:cs="宋体"/>
          <w:b/>
          <w:bCs/>
          <w:sz w:val="24"/>
          <w:szCs w:val="24"/>
          <w:lang w:val="es-ES" w:eastAsia="zh-CN"/>
        </w:rPr>
        <w:t>García-Compean D</w:t>
      </w:r>
      <w:r w:rsidRPr="0019268B">
        <w:rPr>
          <w:rFonts w:ascii="Book Antiqua" w:hAnsi="Book Antiqua" w:cs="宋体"/>
          <w:sz w:val="24"/>
          <w:szCs w:val="24"/>
          <w:lang w:val="es-ES" w:eastAsia="zh-CN"/>
        </w:rPr>
        <w:t xml:space="preserve">, Jaquez-Quintana JO, Maldonado-Garza H. Hepatogenous diabetes. </w:t>
      </w:r>
      <w:r w:rsidRPr="00EF7CB1">
        <w:rPr>
          <w:rFonts w:ascii="Book Antiqua" w:hAnsi="Book Antiqua" w:cs="宋体"/>
          <w:sz w:val="24"/>
          <w:szCs w:val="24"/>
          <w:lang w:eastAsia="zh-CN"/>
        </w:rPr>
        <w:t xml:space="preserve">Current views of an ancient problem. </w:t>
      </w:r>
      <w:r w:rsidRPr="00EF7CB1">
        <w:rPr>
          <w:rFonts w:ascii="Book Antiqua" w:hAnsi="Book Antiqua" w:cs="宋体"/>
          <w:i/>
          <w:iCs/>
          <w:sz w:val="24"/>
          <w:szCs w:val="24"/>
          <w:lang w:eastAsia="zh-CN"/>
        </w:rPr>
        <w:t>Ann Hepatol</w:t>
      </w:r>
      <w:r w:rsidRPr="00EF7CB1">
        <w:rPr>
          <w:rFonts w:ascii="Book Antiqua" w:hAnsi="Book Antiqua" w:cs="宋体"/>
          <w:sz w:val="24"/>
          <w:szCs w:val="24"/>
          <w:lang w:eastAsia="zh-CN"/>
        </w:rPr>
        <w:t xml:space="preserve"> 2009; </w:t>
      </w:r>
      <w:r w:rsidRPr="00EF7CB1">
        <w:rPr>
          <w:rFonts w:ascii="Book Antiqua" w:hAnsi="Book Antiqua" w:cs="宋体"/>
          <w:b/>
          <w:bCs/>
          <w:sz w:val="24"/>
          <w:szCs w:val="24"/>
          <w:lang w:eastAsia="zh-CN"/>
        </w:rPr>
        <w:t>8</w:t>
      </w:r>
      <w:r w:rsidRPr="00EF7CB1">
        <w:rPr>
          <w:rFonts w:ascii="Book Antiqua" w:hAnsi="Book Antiqua" w:cs="宋体"/>
          <w:sz w:val="24"/>
          <w:szCs w:val="24"/>
          <w:lang w:eastAsia="zh-CN"/>
        </w:rPr>
        <w:t>: 13-20 [PMID: 19221528]</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lastRenderedPageBreak/>
        <w:t xml:space="preserve">9 </w:t>
      </w:r>
      <w:r w:rsidRPr="00EF7CB1">
        <w:rPr>
          <w:rFonts w:ascii="Book Antiqua" w:hAnsi="Book Antiqua" w:cs="宋体"/>
          <w:b/>
          <w:bCs/>
          <w:sz w:val="24"/>
          <w:szCs w:val="24"/>
          <w:lang w:eastAsia="zh-CN"/>
        </w:rPr>
        <w:t>Holstein A</w:t>
      </w:r>
      <w:r w:rsidRPr="00EF7CB1">
        <w:rPr>
          <w:rFonts w:ascii="Book Antiqua" w:hAnsi="Book Antiqua" w:cs="宋体"/>
          <w:sz w:val="24"/>
          <w:szCs w:val="24"/>
          <w:lang w:eastAsia="zh-CN"/>
        </w:rPr>
        <w:t xml:space="preserve">, Hinze S, Thiessen E, Plaschke A, Egberts EH. Clinical implications of hepatogenous diabetes in liver cirrhosis. </w:t>
      </w:r>
      <w:r w:rsidRPr="00EF7CB1">
        <w:rPr>
          <w:rFonts w:ascii="Book Antiqua" w:hAnsi="Book Antiqua" w:cs="宋体"/>
          <w:i/>
          <w:iCs/>
          <w:sz w:val="24"/>
          <w:szCs w:val="24"/>
          <w:lang w:eastAsia="zh-CN"/>
        </w:rPr>
        <w:t>J Gastroenterol Hepatol</w:t>
      </w:r>
      <w:r w:rsidRPr="00EF7CB1">
        <w:rPr>
          <w:rFonts w:ascii="Book Antiqua" w:hAnsi="Book Antiqua" w:cs="宋体"/>
          <w:sz w:val="24"/>
          <w:szCs w:val="24"/>
          <w:lang w:eastAsia="zh-CN"/>
        </w:rPr>
        <w:t xml:space="preserve"> 2002; </w:t>
      </w:r>
      <w:r w:rsidRPr="00EF7CB1">
        <w:rPr>
          <w:rFonts w:ascii="Book Antiqua" w:hAnsi="Book Antiqua" w:cs="宋体"/>
          <w:b/>
          <w:bCs/>
          <w:sz w:val="24"/>
          <w:szCs w:val="24"/>
          <w:lang w:eastAsia="zh-CN"/>
        </w:rPr>
        <w:t>17</w:t>
      </w:r>
      <w:r w:rsidRPr="00EF7CB1">
        <w:rPr>
          <w:rFonts w:ascii="Book Antiqua" w:hAnsi="Book Antiqua" w:cs="宋体"/>
          <w:sz w:val="24"/>
          <w:szCs w:val="24"/>
          <w:lang w:eastAsia="zh-CN"/>
        </w:rPr>
        <w:t>: 677-681 [PMID: 12100613 DOI: 10.1046/j.1440-1746.2002.02755.x]</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10 </w:t>
      </w:r>
      <w:r w:rsidRPr="00EF7CB1">
        <w:rPr>
          <w:rFonts w:ascii="Book Antiqua" w:hAnsi="Book Antiqua" w:cs="宋体"/>
          <w:b/>
          <w:bCs/>
          <w:sz w:val="24"/>
          <w:szCs w:val="24"/>
          <w:lang w:eastAsia="zh-CN"/>
        </w:rPr>
        <w:t>Del Vecchio Blanco C</w:t>
      </w:r>
      <w:r w:rsidRPr="00EF7CB1">
        <w:rPr>
          <w:rFonts w:ascii="Book Antiqua" w:hAnsi="Book Antiqua" w:cs="宋体"/>
          <w:sz w:val="24"/>
          <w:szCs w:val="24"/>
          <w:lang w:eastAsia="zh-CN"/>
        </w:rPr>
        <w:t xml:space="preserve">, Gentile S, Marmo R, Carbone L, Coltorti M. Alterations of glucose metabolism in chronic liver disease. </w:t>
      </w:r>
      <w:r w:rsidRPr="00EF7CB1">
        <w:rPr>
          <w:rFonts w:ascii="Book Antiqua" w:hAnsi="Book Antiqua" w:cs="宋体"/>
          <w:i/>
          <w:iCs/>
          <w:sz w:val="24"/>
          <w:szCs w:val="24"/>
          <w:lang w:eastAsia="zh-CN"/>
        </w:rPr>
        <w:t>Diabetes Res Clin Pract</w:t>
      </w:r>
      <w:r w:rsidRPr="00EF7CB1">
        <w:rPr>
          <w:rFonts w:ascii="Book Antiqua" w:hAnsi="Book Antiqua" w:cs="宋体"/>
          <w:sz w:val="24"/>
          <w:szCs w:val="24"/>
          <w:lang w:eastAsia="zh-CN"/>
        </w:rPr>
        <w:t xml:space="preserve"> 1990; </w:t>
      </w:r>
      <w:r w:rsidRPr="00EF7CB1">
        <w:rPr>
          <w:rFonts w:ascii="Book Antiqua" w:hAnsi="Book Antiqua" w:cs="宋体"/>
          <w:b/>
          <w:bCs/>
          <w:sz w:val="24"/>
          <w:szCs w:val="24"/>
          <w:lang w:eastAsia="zh-CN"/>
        </w:rPr>
        <w:t>8</w:t>
      </w:r>
      <w:r w:rsidRPr="00EF7CB1">
        <w:rPr>
          <w:rFonts w:ascii="Book Antiqua" w:hAnsi="Book Antiqua" w:cs="宋体"/>
          <w:sz w:val="24"/>
          <w:szCs w:val="24"/>
          <w:lang w:eastAsia="zh-CN"/>
        </w:rPr>
        <w:t>: 29-36 [PMID: 2153513 DOI: 10.1016/0168-8227(90)90093-9]</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11 </w:t>
      </w:r>
      <w:r w:rsidRPr="00EF7CB1">
        <w:rPr>
          <w:rFonts w:ascii="Book Antiqua" w:hAnsi="Book Antiqua" w:cs="宋体"/>
          <w:b/>
          <w:bCs/>
          <w:sz w:val="24"/>
          <w:szCs w:val="24"/>
          <w:lang w:eastAsia="zh-CN"/>
        </w:rPr>
        <w:t>Tolman KG</w:t>
      </w:r>
      <w:r w:rsidRPr="00EF7CB1">
        <w:rPr>
          <w:rFonts w:ascii="Book Antiqua" w:hAnsi="Book Antiqua" w:cs="宋体"/>
          <w:sz w:val="24"/>
          <w:szCs w:val="24"/>
          <w:lang w:eastAsia="zh-CN"/>
        </w:rPr>
        <w:t xml:space="preserve">, Fonseca V, Dalpiaz A, Tan MH. Spectrum of liver disease in type 2 diabetes and management of patients with diabetes and liver disease. </w:t>
      </w:r>
      <w:r w:rsidRPr="00EF7CB1">
        <w:rPr>
          <w:rFonts w:ascii="Book Antiqua" w:hAnsi="Book Antiqua" w:cs="宋体"/>
          <w:i/>
          <w:iCs/>
          <w:sz w:val="24"/>
          <w:szCs w:val="24"/>
          <w:lang w:eastAsia="zh-CN"/>
        </w:rPr>
        <w:t>Diabetes Care</w:t>
      </w:r>
      <w:r w:rsidRPr="00EF7CB1">
        <w:rPr>
          <w:rFonts w:ascii="Book Antiqua" w:hAnsi="Book Antiqua" w:cs="宋体"/>
          <w:sz w:val="24"/>
          <w:szCs w:val="24"/>
          <w:lang w:eastAsia="zh-CN"/>
        </w:rPr>
        <w:t xml:space="preserve"> 2007; </w:t>
      </w:r>
      <w:r w:rsidRPr="00EF7CB1">
        <w:rPr>
          <w:rFonts w:ascii="Book Antiqua" w:hAnsi="Book Antiqua" w:cs="宋体"/>
          <w:b/>
          <w:bCs/>
          <w:sz w:val="24"/>
          <w:szCs w:val="24"/>
          <w:lang w:eastAsia="zh-CN"/>
        </w:rPr>
        <w:t>30</w:t>
      </w:r>
      <w:r w:rsidRPr="00EF7CB1">
        <w:rPr>
          <w:rFonts w:ascii="Book Antiqua" w:hAnsi="Book Antiqua" w:cs="宋体"/>
          <w:sz w:val="24"/>
          <w:szCs w:val="24"/>
          <w:lang w:eastAsia="zh-CN"/>
        </w:rPr>
        <w:t>: 734-743 [PMID: 17327353 DOI: 10.2337/dc06-1539]</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12 </w:t>
      </w:r>
      <w:r w:rsidRPr="00EF7CB1">
        <w:rPr>
          <w:rFonts w:ascii="Book Antiqua" w:hAnsi="Book Antiqua" w:cs="宋体"/>
          <w:b/>
          <w:bCs/>
          <w:sz w:val="24"/>
          <w:szCs w:val="24"/>
          <w:lang w:eastAsia="zh-CN"/>
        </w:rPr>
        <w:t>Bianchi G</w:t>
      </w:r>
      <w:r w:rsidRPr="00EF7CB1">
        <w:rPr>
          <w:rFonts w:ascii="Book Antiqua" w:hAnsi="Book Antiqua" w:cs="宋体"/>
          <w:sz w:val="24"/>
          <w:szCs w:val="24"/>
          <w:lang w:eastAsia="zh-CN"/>
        </w:rPr>
        <w:t xml:space="preserve">, Marchesini G, Zoli M, Bugianesi E, Fabbri A, Pisi E. Prognostic significance of diabetes in patients with cirrhosis. </w:t>
      </w:r>
      <w:r w:rsidRPr="00EF7CB1">
        <w:rPr>
          <w:rFonts w:ascii="Book Antiqua" w:hAnsi="Book Antiqua" w:cs="宋体"/>
          <w:i/>
          <w:iCs/>
          <w:sz w:val="24"/>
          <w:szCs w:val="24"/>
          <w:lang w:eastAsia="zh-CN"/>
        </w:rPr>
        <w:t>Hepatology</w:t>
      </w:r>
      <w:r w:rsidRPr="00EF7CB1">
        <w:rPr>
          <w:rFonts w:ascii="Book Antiqua" w:hAnsi="Book Antiqua" w:cs="宋体"/>
          <w:sz w:val="24"/>
          <w:szCs w:val="24"/>
          <w:lang w:eastAsia="zh-CN"/>
        </w:rPr>
        <w:t xml:space="preserve"> 1994; </w:t>
      </w:r>
      <w:r w:rsidRPr="00EF7CB1">
        <w:rPr>
          <w:rFonts w:ascii="Book Antiqua" w:hAnsi="Book Antiqua" w:cs="宋体"/>
          <w:b/>
          <w:bCs/>
          <w:sz w:val="24"/>
          <w:szCs w:val="24"/>
          <w:lang w:eastAsia="zh-CN"/>
        </w:rPr>
        <w:t>20</w:t>
      </w:r>
      <w:r w:rsidRPr="00EF7CB1">
        <w:rPr>
          <w:rFonts w:ascii="Book Antiqua" w:hAnsi="Book Antiqua" w:cs="宋体"/>
          <w:sz w:val="24"/>
          <w:szCs w:val="24"/>
          <w:lang w:eastAsia="zh-CN"/>
        </w:rPr>
        <w:t>: 119-125 [PMID: 8020880]</w:t>
      </w:r>
    </w:p>
    <w:p w:rsidR="007275E3" w:rsidRPr="0019268B" w:rsidRDefault="007275E3" w:rsidP="00A60D1E">
      <w:pPr>
        <w:spacing w:after="0" w:line="360" w:lineRule="auto"/>
        <w:jc w:val="both"/>
        <w:rPr>
          <w:rFonts w:ascii="Book Antiqua" w:hAnsi="Book Antiqua" w:cs="宋体"/>
          <w:sz w:val="24"/>
          <w:szCs w:val="24"/>
          <w:lang w:val="es-ES" w:eastAsia="zh-CN"/>
        </w:rPr>
      </w:pPr>
      <w:r w:rsidRPr="00EF7CB1">
        <w:rPr>
          <w:rFonts w:ascii="Book Antiqua" w:hAnsi="Book Antiqua" w:cs="宋体"/>
          <w:sz w:val="24"/>
          <w:szCs w:val="24"/>
          <w:lang w:eastAsia="zh-CN"/>
        </w:rPr>
        <w:t xml:space="preserve">13 </w:t>
      </w:r>
      <w:r w:rsidRPr="00EF7CB1">
        <w:rPr>
          <w:rFonts w:ascii="Book Antiqua" w:hAnsi="Book Antiqua" w:cs="宋体"/>
          <w:b/>
          <w:bCs/>
          <w:sz w:val="24"/>
          <w:szCs w:val="24"/>
          <w:lang w:eastAsia="zh-CN"/>
        </w:rPr>
        <w:t>Lonardo A</w:t>
      </w:r>
      <w:r w:rsidRPr="00EF7CB1">
        <w:rPr>
          <w:rFonts w:ascii="Book Antiqua" w:hAnsi="Book Antiqua" w:cs="宋体"/>
          <w:sz w:val="24"/>
          <w:szCs w:val="24"/>
          <w:lang w:eastAsia="zh-CN"/>
        </w:rPr>
        <w:t xml:space="preserve">, Carulli N, Loria P. HCV and diabetes. A two-question-based reappraisal. </w:t>
      </w:r>
      <w:r w:rsidRPr="0019268B">
        <w:rPr>
          <w:rFonts w:ascii="Book Antiqua" w:hAnsi="Book Antiqua" w:cs="宋体"/>
          <w:i/>
          <w:iCs/>
          <w:sz w:val="24"/>
          <w:szCs w:val="24"/>
          <w:lang w:val="es-ES" w:eastAsia="zh-CN"/>
        </w:rPr>
        <w:t>Dig Liver Dis</w:t>
      </w:r>
      <w:r w:rsidRPr="0019268B">
        <w:rPr>
          <w:rFonts w:ascii="Book Antiqua" w:hAnsi="Book Antiqua" w:cs="宋体"/>
          <w:sz w:val="24"/>
          <w:szCs w:val="24"/>
          <w:lang w:val="es-ES" w:eastAsia="zh-CN"/>
        </w:rPr>
        <w:t xml:space="preserve"> 2007; </w:t>
      </w:r>
      <w:r w:rsidRPr="0019268B">
        <w:rPr>
          <w:rFonts w:ascii="Book Antiqua" w:hAnsi="Book Antiqua" w:cs="宋体"/>
          <w:b/>
          <w:bCs/>
          <w:sz w:val="24"/>
          <w:szCs w:val="24"/>
          <w:lang w:val="es-ES" w:eastAsia="zh-CN"/>
        </w:rPr>
        <w:t>39</w:t>
      </w:r>
      <w:r w:rsidRPr="0019268B">
        <w:rPr>
          <w:rFonts w:ascii="Book Antiqua" w:hAnsi="Book Antiqua" w:cs="宋体"/>
          <w:sz w:val="24"/>
          <w:szCs w:val="24"/>
          <w:lang w:val="es-ES" w:eastAsia="zh-CN"/>
        </w:rPr>
        <w:t>: 753-761 [PMID: 17611176]</w:t>
      </w:r>
    </w:p>
    <w:p w:rsidR="007275E3" w:rsidRPr="00EF7CB1" w:rsidRDefault="007275E3" w:rsidP="00A60D1E">
      <w:pPr>
        <w:spacing w:after="0" w:line="360" w:lineRule="auto"/>
        <w:jc w:val="both"/>
        <w:rPr>
          <w:rFonts w:ascii="Book Antiqua" w:hAnsi="Book Antiqua" w:cs="宋体"/>
          <w:sz w:val="24"/>
          <w:szCs w:val="24"/>
          <w:lang w:eastAsia="zh-CN"/>
        </w:rPr>
      </w:pPr>
      <w:r w:rsidRPr="0019268B">
        <w:rPr>
          <w:rFonts w:ascii="Book Antiqua" w:hAnsi="Book Antiqua" w:cs="宋体"/>
          <w:sz w:val="24"/>
          <w:szCs w:val="24"/>
          <w:lang w:val="es-ES" w:eastAsia="zh-CN"/>
        </w:rPr>
        <w:t xml:space="preserve">14 </w:t>
      </w:r>
      <w:r w:rsidRPr="0019268B">
        <w:rPr>
          <w:rFonts w:ascii="Book Antiqua" w:hAnsi="Book Antiqua" w:cs="宋体"/>
          <w:b/>
          <w:bCs/>
          <w:sz w:val="24"/>
          <w:szCs w:val="24"/>
          <w:lang w:val="es-ES" w:eastAsia="zh-CN"/>
        </w:rPr>
        <w:t>Quintana JO</w:t>
      </w:r>
      <w:r w:rsidRPr="0019268B">
        <w:rPr>
          <w:rFonts w:ascii="Book Antiqua" w:hAnsi="Book Antiqua" w:cs="宋体"/>
          <w:sz w:val="24"/>
          <w:szCs w:val="24"/>
          <w:lang w:val="es-ES" w:eastAsia="zh-CN"/>
        </w:rPr>
        <w:t xml:space="preserve">, García-Compean D, González JA, Pérez JZ, González FJ, Espinosa LE, Hernández PL, Cabello ER, Villarreal ER, Rendón RF, Garza HM. </w:t>
      </w:r>
      <w:r w:rsidRPr="00EF7CB1">
        <w:rPr>
          <w:rFonts w:ascii="Book Antiqua" w:hAnsi="Book Antiqua" w:cs="宋体"/>
          <w:sz w:val="24"/>
          <w:szCs w:val="24"/>
          <w:lang w:eastAsia="zh-CN"/>
        </w:rPr>
        <w:t xml:space="preserve">The impact of diabetes mellitus in mortality of patients with compensated liver cirrhosis-a prospective study. </w:t>
      </w:r>
      <w:r w:rsidRPr="00EF7CB1">
        <w:rPr>
          <w:rFonts w:ascii="Book Antiqua" w:hAnsi="Book Antiqua" w:cs="宋体"/>
          <w:i/>
          <w:iCs/>
          <w:sz w:val="24"/>
          <w:szCs w:val="24"/>
          <w:lang w:eastAsia="zh-CN"/>
        </w:rPr>
        <w:t>Ann Hepatol</w:t>
      </w:r>
      <w:r w:rsidRPr="00EF7CB1">
        <w:rPr>
          <w:rFonts w:ascii="Book Antiqua" w:hAnsi="Book Antiqua" w:cs="宋体"/>
          <w:sz w:val="24"/>
          <w:szCs w:val="24"/>
          <w:lang w:eastAsia="zh-CN"/>
        </w:rPr>
        <w:t xml:space="preserve"> 2011; </w:t>
      </w:r>
      <w:r w:rsidRPr="00EF7CB1">
        <w:rPr>
          <w:rFonts w:ascii="Book Antiqua" w:hAnsi="Book Antiqua" w:cs="宋体"/>
          <w:b/>
          <w:bCs/>
          <w:sz w:val="24"/>
          <w:szCs w:val="24"/>
          <w:lang w:eastAsia="zh-CN"/>
        </w:rPr>
        <w:t>10</w:t>
      </w:r>
      <w:r w:rsidRPr="00EF7CB1">
        <w:rPr>
          <w:rFonts w:ascii="Book Antiqua" w:hAnsi="Book Antiqua" w:cs="宋体"/>
          <w:sz w:val="24"/>
          <w:szCs w:val="24"/>
          <w:lang w:eastAsia="zh-CN"/>
        </w:rPr>
        <w:t>: 56-62 [PMID: 21301011]</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15 </w:t>
      </w:r>
      <w:r w:rsidRPr="00EF7CB1">
        <w:rPr>
          <w:rFonts w:ascii="Book Antiqua" w:hAnsi="Book Antiqua" w:cs="宋体"/>
          <w:b/>
          <w:bCs/>
          <w:sz w:val="24"/>
          <w:szCs w:val="24"/>
          <w:lang w:eastAsia="zh-CN"/>
        </w:rPr>
        <w:t>Harrison SA</w:t>
      </w:r>
      <w:r w:rsidRPr="00EF7CB1">
        <w:rPr>
          <w:rFonts w:ascii="Book Antiqua" w:hAnsi="Book Antiqua" w:cs="宋体"/>
          <w:sz w:val="24"/>
          <w:szCs w:val="24"/>
          <w:lang w:eastAsia="zh-CN"/>
        </w:rPr>
        <w:t xml:space="preserve">. Liver disease in patients with diabetes mellitus. </w:t>
      </w:r>
      <w:r w:rsidRPr="00EF7CB1">
        <w:rPr>
          <w:rFonts w:ascii="Book Antiqua" w:hAnsi="Book Antiqua" w:cs="宋体"/>
          <w:i/>
          <w:iCs/>
          <w:sz w:val="24"/>
          <w:szCs w:val="24"/>
          <w:lang w:eastAsia="zh-CN"/>
        </w:rPr>
        <w:t>J Clin Gastroenterol</w:t>
      </w:r>
      <w:r w:rsidRPr="00EF7CB1">
        <w:rPr>
          <w:rFonts w:ascii="Book Antiqua" w:hAnsi="Book Antiqua" w:cs="宋体"/>
          <w:sz w:val="24"/>
          <w:szCs w:val="24"/>
          <w:lang w:eastAsia="zh-CN"/>
        </w:rPr>
        <w:t xml:space="preserve"> 2006; </w:t>
      </w:r>
      <w:r w:rsidRPr="00EF7CB1">
        <w:rPr>
          <w:rFonts w:ascii="Book Antiqua" w:hAnsi="Book Antiqua" w:cs="宋体"/>
          <w:b/>
          <w:bCs/>
          <w:sz w:val="24"/>
          <w:szCs w:val="24"/>
          <w:lang w:eastAsia="zh-CN"/>
        </w:rPr>
        <w:t>40</w:t>
      </w:r>
      <w:r w:rsidRPr="00EF7CB1">
        <w:rPr>
          <w:rFonts w:ascii="Book Antiqua" w:hAnsi="Book Antiqua" w:cs="宋体"/>
          <w:sz w:val="24"/>
          <w:szCs w:val="24"/>
          <w:lang w:eastAsia="zh-CN"/>
        </w:rPr>
        <w:t>: 68-76 [PMID: 16340637 DOI: 10.1097/01.mcg.0000190774.91875.d2]</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16 </w:t>
      </w:r>
      <w:r w:rsidRPr="00EF7CB1">
        <w:rPr>
          <w:rFonts w:ascii="Book Antiqua" w:hAnsi="Book Antiqua" w:cs="宋体"/>
          <w:b/>
          <w:bCs/>
          <w:sz w:val="24"/>
          <w:szCs w:val="24"/>
          <w:lang w:eastAsia="zh-CN"/>
        </w:rPr>
        <w:t>de Marco R</w:t>
      </w:r>
      <w:r w:rsidRPr="00EF7CB1">
        <w:rPr>
          <w:rFonts w:ascii="Book Antiqua" w:hAnsi="Book Antiqua" w:cs="宋体"/>
          <w:sz w:val="24"/>
          <w:szCs w:val="24"/>
          <w:lang w:eastAsia="zh-CN"/>
        </w:rPr>
        <w:t xml:space="preserve">, Locatelli F, Zoppini G, Verlato G, Bonora E, Muggeo M. Cause-specific mortality in type 2 diabetes. The Verona Diabetes Study. </w:t>
      </w:r>
      <w:r w:rsidRPr="00EF7CB1">
        <w:rPr>
          <w:rFonts w:ascii="Book Antiqua" w:hAnsi="Book Antiqua" w:cs="宋体"/>
          <w:i/>
          <w:iCs/>
          <w:sz w:val="24"/>
          <w:szCs w:val="24"/>
          <w:lang w:eastAsia="zh-CN"/>
        </w:rPr>
        <w:t>Diabetes Care</w:t>
      </w:r>
      <w:r w:rsidRPr="00EF7CB1">
        <w:rPr>
          <w:rFonts w:ascii="Book Antiqua" w:hAnsi="Book Antiqua" w:cs="宋体"/>
          <w:sz w:val="24"/>
          <w:szCs w:val="24"/>
          <w:lang w:eastAsia="zh-CN"/>
        </w:rPr>
        <w:t xml:space="preserve"> 1999; </w:t>
      </w:r>
      <w:r w:rsidRPr="00EF7CB1">
        <w:rPr>
          <w:rFonts w:ascii="Book Antiqua" w:hAnsi="Book Antiqua" w:cs="宋体"/>
          <w:b/>
          <w:bCs/>
          <w:sz w:val="24"/>
          <w:szCs w:val="24"/>
          <w:lang w:eastAsia="zh-CN"/>
        </w:rPr>
        <w:t>22</w:t>
      </w:r>
      <w:r w:rsidRPr="00EF7CB1">
        <w:rPr>
          <w:rFonts w:ascii="Book Antiqua" w:hAnsi="Book Antiqua" w:cs="宋体"/>
          <w:sz w:val="24"/>
          <w:szCs w:val="24"/>
          <w:lang w:eastAsia="zh-CN"/>
        </w:rPr>
        <w:t>: 756-761 [PMID: 10332677 DOI: 10.2337/diacare.22.5.756]</w:t>
      </w:r>
    </w:p>
    <w:p w:rsidR="007275E3" w:rsidRPr="0019268B" w:rsidRDefault="007275E3" w:rsidP="00A60D1E">
      <w:pPr>
        <w:spacing w:after="0" w:line="360" w:lineRule="auto"/>
        <w:jc w:val="both"/>
        <w:rPr>
          <w:rFonts w:ascii="Book Antiqua" w:hAnsi="Book Antiqua" w:cs="宋体"/>
          <w:sz w:val="24"/>
          <w:szCs w:val="24"/>
          <w:lang w:val="es-ES" w:eastAsia="zh-CN"/>
        </w:rPr>
      </w:pPr>
      <w:r w:rsidRPr="00EF7CB1">
        <w:rPr>
          <w:rFonts w:ascii="Book Antiqua" w:hAnsi="Book Antiqua" w:cs="宋体"/>
          <w:sz w:val="24"/>
          <w:szCs w:val="24"/>
          <w:lang w:eastAsia="zh-CN"/>
        </w:rPr>
        <w:lastRenderedPageBreak/>
        <w:t xml:space="preserve">17 </w:t>
      </w:r>
      <w:r w:rsidRPr="00EF7CB1">
        <w:rPr>
          <w:rFonts w:ascii="Book Antiqua" w:hAnsi="Book Antiqua" w:cs="宋体"/>
          <w:b/>
          <w:bCs/>
          <w:sz w:val="24"/>
          <w:szCs w:val="24"/>
          <w:lang w:eastAsia="zh-CN"/>
        </w:rPr>
        <w:t>El-Serag HB</w:t>
      </w:r>
      <w:r w:rsidRPr="00EF7CB1">
        <w:rPr>
          <w:rFonts w:ascii="Book Antiqua" w:hAnsi="Book Antiqua" w:cs="宋体"/>
          <w:sz w:val="24"/>
          <w:szCs w:val="24"/>
          <w:lang w:eastAsia="zh-CN"/>
        </w:rPr>
        <w:t xml:space="preserve">, Everhart JE. Diabetes increases the risk of acute hepatic failure. </w:t>
      </w:r>
      <w:r w:rsidRPr="0019268B">
        <w:rPr>
          <w:rFonts w:ascii="Book Antiqua" w:hAnsi="Book Antiqua" w:cs="宋体"/>
          <w:i/>
          <w:iCs/>
          <w:sz w:val="24"/>
          <w:szCs w:val="24"/>
          <w:lang w:val="es-ES" w:eastAsia="zh-CN"/>
        </w:rPr>
        <w:t>Gastroenterology</w:t>
      </w:r>
      <w:r w:rsidRPr="0019268B">
        <w:rPr>
          <w:rFonts w:ascii="Book Antiqua" w:hAnsi="Book Antiqua" w:cs="宋体"/>
          <w:sz w:val="24"/>
          <w:szCs w:val="24"/>
          <w:lang w:val="es-ES" w:eastAsia="zh-CN"/>
        </w:rPr>
        <w:t xml:space="preserve"> 2002; </w:t>
      </w:r>
      <w:r w:rsidRPr="0019268B">
        <w:rPr>
          <w:rFonts w:ascii="Book Antiqua" w:hAnsi="Book Antiqua" w:cs="宋体"/>
          <w:b/>
          <w:bCs/>
          <w:sz w:val="24"/>
          <w:szCs w:val="24"/>
          <w:lang w:val="es-ES" w:eastAsia="zh-CN"/>
        </w:rPr>
        <w:t>122</w:t>
      </w:r>
      <w:r w:rsidRPr="0019268B">
        <w:rPr>
          <w:rFonts w:ascii="Book Antiqua" w:hAnsi="Book Antiqua" w:cs="宋体"/>
          <w:sz w:val="24"/>
          <w:szCs w:val="24"/>
          <w:lang w:val="es-ES" w:eastAsia="zh-CN"/>
        </w:rPr>
        <w:t>: 1822-1828 [PMID: 12055590 DOI: 10.1053/gast.2002.33650]</w:t>
      </w:r>
    </w:p>
    <w:p w:rsidR="007275E3" w:rsidRPr="00EF7CB1" w:rsidRDefault="007275E3" w:rsidP="00A60D1E">
      <w:pPr>
        <w:spacing w:after="0" w:line="360" w:lineRule="auto"/>
        <w:jc w:val="both"/>
        <w:rPr>
          <w:rFonts w:ascii="Book Antiqua" w:hAnsi="Book Antiqua" w:cs="宋体"/>
          <w:sz w:val="24"/>
          <w:szCs w:val="24"/>
          <w:lang w:eastAsia="zh-CN"/>
        </w:rPr>
      </w:pPr>
      <w:r w:rsidRPr="0019268B">
        <w:rPr>
          <w:rFonts w:ascii="Book Antiqua" w:hAnsi="Book Antiqua" w:cs="宋体"/>
          <w:sz w:val="24"/>
          <w:szCs w:val="24"/>
          <w:lang w:val="es-ES" w:eastAsia="zh-CN"/>
        </w:rPr>
        <w:t xml:space="preserve">18 </w:t>
      </w:r>
      <w:r w:rsidRPr="0019268B">
        <w:rPr>
          <w:rFonts w:ascii="Book Antiqua" w:hAnsi="Book Antiqua" w:cs="宋体"/>
          <w:b/>
          <w:bCs/>
          <w:sz w:val="24"/>
          <w:szCs w:val="24"/>
          <w:lang w:val="es-ES" w:eastAsia="zh-CN"/>
        </w:rPr>
        <w:t>García-Compeán D</w:t>
      </w:r>
      <w:r w:rsidRPr="0019268B">
        <w:rPr>
          <w:rFonts w:ascii="Book Antiqua" w:hAnsi="Book Antiqua" w:cs="宋体"/>
          <w:sz w:val="24"/>
          <w:szCs w:val="24"/>
          <w:lang w:val="es-ES" w:eastAsia="zh-CN"/>
        </w:rPr>
        <w:t xml:space="preserve">, Jáquez-Quintana JO, Lavalle-González FJ, Reyes-Cabello E, González-González JA, Muñoz-Espinosa LE, Vázquez-Elizondo G, Villarreal-Pérez JZ, Maldonado-Garza HJ. </w:t>
      </w:r>
      <w:r w:rsidRPr="00EF7CB1">
        <w:rPr>
          <w:rFonts w:ascii="Book Antiqua" w:hAnsi="Book Antiqua" w:cs="宋体"/>
          <w:sz w:val="24"/>
          <w:szCs w:val="24"/>
          <w:lang w:eastAsia="zh-CN"/>
        </w:rPr>
        <w:t xml:space="preserve">The prevalence and clinical characteristics of glucose metabolism disorders in patients with liver cirrhosis. A prospective study. </w:t>
      </w:r>
      <w:r w:rsidRPr="00EF7CB1">
        <w:rPr>
          <w:rFonts w:ascii="Book Antiqua" w:hAnsi="Book Antiqua" w:cs="宋体"/>
          <w:i/>
          <w:iCs/>
          <w:sz w:val="24"/>
          <w:szCs w:val="24"/>
          <w:lang w:eastAsia="zh-CN"/>
        </w:rPr>
        <w:t>Ann Hepatol</w:t>
      </w:r>
      <w:r w:rsidRPr="00EF7CB1">
        <w:rPr>
          <w:rFonts w:ascii="Book Antiqua" w:hAnsi="Book Antiqua" w:cs="宋体"/>
          <w:sz w:val="24"/>
          <w:szCs w:val="24"/>
          <w:lang w:eastAsia="zh-CN"/>
        </w:rPr>
        <w:t xml:space="preserve"> 2012; </w:t>
      </w:r>
      <w:r w:rsidRPr="00EF7CB1">
        <w:rPr>
          <w:rFonts w:ascii="Book Antiqua" w:hAnsi="Book Antiqua" w:cs="宋体"/>
          <w:b/>
          <w:bCs/>
          <w:sz w:val="24"/>
          <w:szCs w:val="24"/>
          <w:lang w:eastAsia="zh-CN"/>
        </w:rPr>
        <w:t>11</w:t>
      </w:r>
      <w:r w:rsidRPr="00EF7CB1">
        <w:rPr>
          <w:rFonts w:ascii="Book Antiqua" w:hAnsi="Book Antiqua" w:cs="宋体"/>
          <w:sz w:val="24"/>
          <w:szCs w:val="24"/>
          <w:lang w:eastAsia="zh-CN"/>
        </w:rPr>
        <w:t>: 240-248 [PMID: 22345342]</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19 </w:t>
      </w:r>
      <w:r w:rsidRPr="00EF7CB1">
        <w:rPr>
          <w:rFonts w:ascii="Book Antiqua" w:hAnsi="Book Antiqua" w:cs="宋体"/>
          <w:b/>
          <w:bCs/>
          <w:sz w:val="24"/>
          <w:szCs w:val="24"/>
          <w:lang w:eastAsia="zh-CN"/>
        </w:rPr>
        <w:t>Cacciatore L</w:t>
      </w:r>
      <w:r w:rsidRPr="00EF7CB1">
        <w:rPr>
          <w:rFonts w:ascii="Book Antiqua" w:hAnsi="Book Antiqua" w:cs="宋体"/>
          <w:sz w:val="24"/>
          <w:szCs w:val="24"/>
          <w:lang w:eastAsia="zh-CN"/>
        </w:rPr>
        <w:t xml:space="preserve">, Cozzolino G, Giardina MG, De Marco F, Sacca L, Esposito P, Francica G, Lonardo A, Matarazzo M, Varriale A. Abnormalities of glucose metabolism induced by liver cirrhosis and glycosylated hemoglobin levels in chronic liver disease. </w:t>
      </w:r>
      <w:r w:rsidRPr="00EF7CB1">
        <w:rPr>
          <w:rFonts w:ascii="Book Antiqua" w:hAnsi="Book Antiqua" w:cs="宋体"/>
          <w:i/>
          <w:iCs/>
          <w:sz w:val="24"/>
          <w:szCs w:val="24"/>
          <w:lang w:eastAsia="zh-CN"/>
        </w:rPr>
        <w:t>Diabetes Res</w:t>
      </w:r>
      <w:r w:rsidRPr="00EF7CB1">
        <w:rPr>
          <w:rFonts w:ascii="Book Antiqua" w:hAnsi="Book Antiqua" w:cs="宋体"/>
          <w:sz w:val="24"/>
          <w:szCs w:val="24"/>
          <w:lang w:eastAsia="zh-CN"/>
        </w:rPr>
        <w:t xml:space="preserve"> 1988; </w:t>
      </w:r>
      <w:r w:rsidRPr="00EF7CB1">
        <w:rPr>
          <w:rFonts w:ascii="Book Antiqua" w:hAnsi="Book Antiqua" w:cs="宋体"/>
          <w:b/>
          <w:bCs/>
          <w:sz w:val="24"/>
          <w:szCs w:val="24"/>
          <w:lang w:eastAsia="zh-CN"/>
        </w:rPr>
        <w:t>7</w:t>
      </w:r>
      <w:r w:rsidRPr="00EF7CB1">
        <w:rPr>
          <w:rFonts w:ascii="Book Antiqua" w:hAnsi="Book Antiqua" w:cs="宋体"/>
          <w:sz w:val="24"/>
          <w:szCs w:val="24"/>
          <w:lang w:eastAsia="zh-CN"/>
        </w:rPr>
        <w:t>: 185-188 [PMID: 3402168]</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20 </w:t>
      </w:r>
      <w:r w:rsidRPr="00EF7CB1">
        <w:rPr>
          <w:rFonts w:ascii="Book Antiqua" w:hAnsi="Book Antiqua" w:cs="宋体"/>
          <w:b/>
          <w:bCs/>
          <w:sz w:val="24"/>
          <w:szCs w:val="24"/>
          <w:lang w:eastAsia="zh-CN"/>
        </w:rPr>
        <w:t>Nishida T</w:t>
      </w:r>
      <w:r w:rsidRPr="00EF7CB1">
        <w:rPr>
          <w:rFonts w:ascii="Book Antiqua" w:hAnsi="Book Antiqua" w:cs="宋体"/>
          <w:sz w:val="24"/>
          <w:szCs w:val="24"/>
          <w:lang w:eastAsia="zh-CN"/>
        </w:rPr>
        <w:t xml:space="preserve">, Tsuji S, Tsujii M, Arimitsu S, Haruna Y, Imano E, Suzuki M, Kanda T, Kawano S, Hiramatsu N, Hayashi N, Hori M. Oral glucose tolerance test predicts prognosis of patients with liver cirrhosis. </w:t>
      </w:r>
      <w:r w:rsidRPr="00EF7CB1">
        <w:rPr>
          <w:rFonts w:ascii="Book Antiqua" w:hAnsi="Book Antiqua" w:cs="宋体"/>
          <w:i/>
          <w:iCs/>
          <w:sz w:val="24"/>
          <w:szCs w:val="24"/>
          <w:lang w:eastAsia="zh-CN"/>
        </w:rPr>
        <w:t>Am J Gastroenterol</w:t>
      </w:r>
      <w:r w:rsidRPr="00EF7CB1">
        <w:rPr>
          <w:rFonts w:ascii="Book Antiqua" w:hAnsi="Book Antiqua" w:cs="宋体"/>
          <w:sz w:val="24"/>
          <w:szCs w:val="24"/>
          <w:lang w:eastAsia="zh-CN"/>
        </w:rPr>
        <w:t xml:space="preserve"> 2006; </w:t>
      </w:r>
      <w:r w:rsidRPr="00EF7CB1">
        <w:rPr>
          <w:rFonts w:ascii="Book Antiqua" w:hAnsi="Book Antiqua" w:cs="宋体"/>
          <w:b/>
          <w:bCs/>
          <w:sz w:val="24"/>
          <w:szCs w:val="24"/>
          <w:lang w:eastAsia="zh-CN"/>
        </w:rPr>
        <w:t>101</w:t>
      </w:r>
      <w:r w:rsidRPr="00EF7CB1">
        <w:rPr>
          <w:rFonts w:ascii="Book Antiqua" w:hAnsi="Book Antiqua" w:cs="宋体"/>
          <w:sz w:val="24"/>
          <w:szCs w:val="24"/>
          <w:lang w:eastAsia="zh-CN"/>
        </w:rPr>
        <w:t>: 70-75 [PMID: 16405536 DOI: 10.1111/j.1572-0241.2005.00307.x]</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21 </w:t>
      </w:r>
      <w:r w:rsidRPr="00EF7CB1">
        <w:rPr>
          <w:rFonts w:ascii="Book Antiqua" w:hAnsi="Book Antiqua" w:cs="宋体"/>
          <w:b/>
          <w:bCs/>
          <w:sz w:val="24"/>
          <w:szCs w:val="24"/>
          <w:lang w:eastAsia="zh-CN"/>
        </w:rPr>
        <w:t>Cozzolino G</w:t>
      </w:r>
      <w:r w:rsidRPr="00EF7CB1">
        <w:rPr>
          <w:rFonts w:ascii="Book Antiqua" w:hAnsi="Book Antiqua" w:cs="宋体"/>
          <w:sz w:val="24"/>
          <w:szCs w:val="24"/>
          <w:lang w:eastAsia="zh-CN"/>
        </w:rPr>
        <w:t xml:space="preserve">, Lonardo A, Francica G, Amendola F, Cacciatore L. Differential diagnosis between hepatic cirrhosis and chronic active hepatitis: specificity and sensitivity of physical and laboratory findings in a series from the Mediterranean area. </w:t>
      </w:r>
      <w:r w:rsidRPr="00EF7CB1">
        <w:rPr>
          <w:rFonts w:ascii="Book Antiqua" w:hAnsi="Book Antiqua" w:cs="宋体"/>
          <w:i/>
          <w:iCs/>
          <w:sz w:val="24"/>
          <w:szCs w:val="24"/>
          <w:lang w:eastAsia="zh-CN"/>
        </w:rPr>
        <w:t>Am J Gastroenterol</w:t>
      </w:r>
      <w:r w:rsidRPr="00EF7CB1">
        <w:rPr>
          <w:rFonts w:ascii="Book Antiqua" w:hAnsi="Book Antiqua" w:cs="宋体"/>
          <w:sz w:val="24"/>
          <w:szCs w:val="24"/>
          <w:lang w:eastAsia="zh-CN"/>
        </w:rPr>
        <w:t xml:space="preserve"> 1983; </w:t>
      </w:r>
      <w:r w:rsidRPr="00EF7CB1">
        <w:rPr>
          <w:rFonts w:ascii="Book Antiqua" w:hAnsi="Book Antiqua" w:cs="宋体"/>
          <w:b/>
          <w:bCs/>
          <w:sz w:val="24"/>
          <w:szCs w:val="24"/>
          <w:lang w:eastAsia="zh-CN"/>
        </w:rPr>
        <w:t>78</w:t>
      </w:r>
      <w:r w:rsidRPr="00EF7CB1">
        <w:rPr>
          <w:rFonts w:ascii="Book Antiqua" w:hAnsi="Book Antiqua" w:cs="宋体"/>
          <w:sz w:val="24"/>
          <w:szCs w:val="24"/>
          <w:lang w:eastAsia="zh-CN"/>
        </w:rPr>
        <w:t>: 442-445 [PMID: 6869354]</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22 </w:t>
      </w:r>
      <w:r w:rsidRPr="00EF7CB1">
        <w:rPr>
          <w:rFonts w:ascii="Book Antiqua" w:hAnsi="Book Antiqua" w:cs="宋体"/>
          <w:b/>
          <w:bCs/>
          <w:sz w:val="24"/>
          <w:szCs w:val="24"/>
          <w:lang w:eastAsia="zh-CN"/>
        </w:rPr>
        <w:t>Udell JA</w:t>
      </w:r>
      <w:r w:rsidRPr="00EF7CB1">
        <w:rPr>
          <w:rFonts w:ascii="Book Antiqua" w:hAnsi="Book Antiqua" w:cs="宋体"/>
          <w:sz w:val="24"/>
          <w:szCs w:val="24"/>
          <w:lang w:eastAsia="zh-CN"/>
        </w:rPr>
        <w:t xml:space="preserve">, Wang CS, Tinmouth J, FitzGerald JM, Ayas NT, Simel DL, Schulzer M, Mak E, Yoshida EM. Does this patient with liver disease have cirrhosis? </w:t>
      </w:r>
      <w:r w:rsidRPr="00EF7CB1">
        <w:rPr>
          <w:rFonts w:ascii="Book Antiqua" w:hAnsi="Book Antiqua" w:cs="宋体"/>
          <w:i/>
          <w:iCs/>
          <w:sz w:val="24"/>
          <w:szCs w:val="24"/>
          <w:lang w:eastAsia="zh-CN"/>
        </w:rPr>
        <w:t>JAMA</w:t>
      </w:r>
      <w:r w:rsidRPr="00EF7CB1">
        <w:rPr>
          <w:rFonts w:ascii="Book Antiqua" w:hAnsi="Book Antiqua" w:cs="宋体"/>
          <w:sz w:val="24"/>
          <w:szCs w:val="24"/>
          <w:lang w:eastAsia="zh-CN"/>
        </w:rPr>
        <w:t xml:space="preserve"> 2012; </w:t>
      </w:r>
      <w:r w:rsidRPr="00EF7CB1">
        <w:rPr>
          <w:rFonts w:ascii="Book Antiqua" w:hAnsi="Book Antiqua" w:cs="宋体"/>
          <w:b/>
          <w:bCs/>
          <w:sz w:val="24"/>
          <w:szCs w:val="24"/>
          <w:lang w:eastAsia="zh-CN"/>
        </w:rPr>
        <w:t>307</w:t>
      </w:r>
      <w:r w:rsidRPr="00EF7CB1">
        <w:rPr>
          <w:rFonts w:ascii="Book Antiqua" w:hAnsi="Book Antiqua" w:cs="宋体"/>
          <w:sz w:val="24"/>
          <w:szCs w:val="24"/>
          <w:lang w:eastAsia="zh-CN"/>
        </w:rPr>
        <w:t>: 832-842 [PMID: 22357834 DOI: 10.1001/jama.2012.186]</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lastRenderedPageBreak/>
        <w:t xml:space="preserve">23 </w:t>
      </w:r>
      <w:r w:rsidRPr="00EF7CB1">
        <w:rPr>
          <w:rFonts w:ascii="Book Antiqua" w:hAnsi="Book Antiqua" w:cs="宋体"/>
          <w:b/>
          <w:bCs/>
          <w:sz w:val="24"/>
          <w:szCs w:val="24"/>
          <w:lang w:eastAsia="zh-CN"/>
        </w:rPr>
        <w:t>Caldwell SH</w:t>
      </w:r>
      <w:r w:rsidRPr="00EF7CB1">
        <w:rPr>
          <w:rFonts w:ascii="Book Antiqua" w:hAnsi="Book Antiqua" w:cs="宋体"/>
          <w:sz w:val="24"/>
          <w:szCs w:val="24"/>
          <w:lang w:eastAsia="zh-CN"/>
        </w:rPr>
        <w:t xml:space="preserve">, Oelsner DH, Iezzoni JC, Hespenheide EE, Battle EH, Driscoll CJ. Cryptogenic cirrhosis: clinical characterization and risk factors for underlying disease. </w:t>
      </w:r>
      <w:r w:rsidRPr="00EF7CB1">
        <w:rPr>
          <w:rFonts w:ascii="Book Antiqua" w:hAnsi="Book Antiqua" w:cs="宋体"/>
          <w:i/>
          <w:iCs/>
          <w:sz w:val="24"/>
          <w:szCs w:val="24"/>
          <w:lang w:eastAsia="zh-CN"/>
        </w:rPr>
        <w:t>Hepatology</w:t>
      </w:r>
      <w:r w:rsidRPr="00EF7CB1">
        <w:rPr>
          <w:rFonts w:ascii="Book Antiqua" w:hAnsi="Book Antiqua" w:cs="宋体"/>
          <w:sz w:val="24"/>
          <w:szCs w:val="24"/>
          <w:lang w:eastAsia="zh-CN"/>
        </w:rPr>
        <w:t xml:space="preserve"> 1999; </w:t>
      </w:r>
      <w:r w:rsidRPr="00EF7CB1">
        <w:rPr>
          <w:rFonts w:ascii="Book Antiqua" w:hAnsi="Book Antiqua" w:cs="宋体"/>
          <w:b/>
          <w:bCs/>
          <w:sz w:val="24"/>
          <w:szCs w:val="24"/>
          <w:lang w:eastAsia="zh-CN"/>
        </w:rPr>
        <w:t>29</w:t>
      </w:r>
      <w:r w:rsidRPr="00EF7CB1">
        <w:rPr>
          <w:rFonts w:ascii="Book Antiqua" w:hAnsi="Book Antiqua" w:cs="宋体"/>
          <w:sz w:val="24"/>
          <w:szCs w:val="24"/>
          <w:lang w:eastAsia="zh-CN"/>
        </w:rPr>
        <w:t>: 664-669 [PMID: 10051466 DOI: 10.1002/hep.510290347]</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24 </w:t>
      </w:r>
      <w:r w:rsidRPr="00EF7CB1">
        <w:rPr>
          <w:rFonts w:ascii="Book Antiqua" w:hAnsi="Book Antiqua" w:cs="宋体"/>
          <w:b/>
          <w:bCs/>
          <w:sz w:val="24"/>
          <w:szCs w:val="24"/>
          <w:lang w:eastAsia="zh-CN"/>
        </w:rPr>
        <w:t>Alberti KG</w:t>
      </w:r>
      <w:r w:rsidRPr="00EF7CB1">
        <w:rPr>
          <w:rFonts w:ascii="Book Antiqua" w:hAnsi="Book Antiqua" w:cs="宋体"/>
          <w:sz w:val="24"/>
          <w:szCs w:val="24"/>
          <w:lang w:eastAsia="zh-CN"/>
        </w:rPr>
        <w:t xml:space="preserve">, Zimmet PZ. Definition, diagnosis and classification of diabetes mellitus and its complications. Part 1: diagnosis and classification of diabetes mellitus provisional report of a WHO consultation. </w:t>
      </w:r>
      <w:r w:rsidRPr="00EF7CB1">
        <w:rPr>
          <w:rFonts w:ascii="Book Antiqua" w:hAnsi="Book Antiqua" w:cs="宋体"/>
          <w:i/>
          <w:iCs/>
          <w:sz w:val="24"/>
          <w:szCs w:val="24"/>
          <w:lang w:eastAsia="zh-CN"/>
        </w:rPr>
        <w:t>Diabet Med</w:t>
      </w:r>
      <w:r w:rsidRPr="00EF7CB1">
        <w:rPr>
          <w:rFonts w:ascii="Book Antiqua" w:hAnsi="Book Antiqua" w:cs="宋体"/>
          <w:sz w:val="24"/>
          <w:szCs w:val="24"/>
          <w:lang w:eastAsia="zh-CN"/>
        </w:rPr>
        <w:t xml:space="preserve"> 1998; </w:t>
      </w:r>
      <w:r w:rsidRPr="00EF7CB1">
        <w:rPr>
          <w:rFonts w:ascii="Book Antiqua" w:hAnsi="Book Antiqua" w:cs="宋体"/>
          <w:b/>
          <w:bCs/>
          <w:sz w:val="24"/>
          <w:szCs w:val="24"/>
          <w:lang w:eastAsia="zh-CN"/>
        </w:rPr>
        <w:t>15</w:t>
      </w:r>
      <w:r w:rsidRPr="00EF7CB1">
        <w:rPr>
          <w:rFonts w:ascii="Book Antiqua" w:hAnsi="Book Antiqua" w:cs="宋体"/>
          <w:sz w:val="24"/>
          <w:szCs w:val="24"/>
          <w:lang w:eastAsia="zh-CN"/>
        </w:rPr>
        <w:t>: 539-553 [PMID: 9686693 DOI: 3.0.CO; 2-S']</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25 </w:t>
      </w:r>
      <w:r w:rsidRPr="00EF7CB1">
        <w:rPr>
          <w:rFonts w:ascii="Book Antiqua" w:hAnsi="Book Antiqua" w:cs="宋体"/>
          <w:b/>
          <w:bCs/>
          <w:sz w:val="24"/>
          <w:szCs w:val="24"/>
          <w:lang w:eastAsia="zh-CN"/>
        </w:rPr>
        <w:t>Nguyen DM</w:t>
      </w:r>
      <w:r w:rsidRPr="00EF7CB1">
        <w:rPr>
          <w:rFonts w:ascii="Book Antiqua" w:hAnsi="Book Antiqua" w:cs="宋体"/>
          <w:sz w:val="24"/>
          <w:szCs w:val="24"/>
          <w:lang w:eastAsia="zh-CN"/>
        </w:rPr>
        <w:t xml:space="preserve">, El-Serag HB. The epidemiology of obesity. </w:t>
      </w:r>
      <w:r w:rsidRPr="00EF7CB1">
        <w:rPr>
          <w:rFonts w:ascii="Book Antiqua" w:hAnsi="Book Antiqua" w:cs="宋体"/>
          <w:i/>
          <w:iCs/>
          <w:sz w:val="24"/>
          <w:szCs w:val="24"/>
          <w:lang w:eastAsia="zh-CN"/>
        </w:rPr>
        <w:t>Gastroenterol Clin North Am</w:t>
      </w:r>
      <w:r w:rsidRPr="00EF7CB1">
        <w:rPr>
          <w:rFonts w:ascii="Book Antiqua" w:hAnsi="Book Antiqua" w:cs="宋体"/>
          <w:sz w:val="24"/>
          <w:szCs w:val="24"/>
          <w:lang w:eastAsia="zh-CN"/>
        </w:rPr>
        <w:t xml:space="preserve"> 2010; </w:t>
      </w:r>
      <w:r w:rsidRPr="00EF7CB1">
        <w:rPr>
          <w:rFonts w:ascii="Book Antiqua" w:hAnsi="Book Antiqua" w:cs="宋体"/>
          <w:b/>
          <w:bCs/>
          <w:sz w:val="24"/>
          <w:szCs w:val="24"/>
          <w:lang w:eastAsia="zh-CN"/>
        </w:rPr>
        <w:t>39</w:t>
      </w:r>
      <w:r w:rsidRPr="00EF7CB1">
        <w:rPr>
          <w:rFonts w:ascii="Book Antiqua" w:hAnsi="Book Antiqua" w:cs="宋体"/>
          <w:sz w:val="24"/>
          <w:szCs w:val="24"/>
          <w:lang w:eastAsia="zh-CN"/>
        </w:rPr>
        <w:t>: 1-7 [PMID: 20202574 DOI: 10.1016/j.gtc.2009.12.014]</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26 </w:t>
      </w:r>
      <w:r w:rsidRPr="00EF7CB1">
        <w:rPr>
          <w:rFonts w:ascii="Book Antiqua" w:hAnsi="Book Antiqua" w:cs="宋体"/>
          <w:b/>
          <w:bCs/>
          <w:sz w:val="24"/>
          <w:szCs w:val="24"/>
          <w:lang w:eastAsia="zh-CN"/>
        </w:rPr>
        <w:t>Pugh RN</w:t>
      </w:r>
      <w:r w:rsidRPr="00EF7CB1">
        <w:rPr>
          <w:rFonts w:ascii="Book Antiqua" w:hAnsi="Book Antiqua" w:cs="宋体"/>
          <w:sz w:val="24"/>
          <w:szCs w:val="24"/>
          <w:lang w:eastAsia="zh-CN"/>
        </w:rPr>
        <w:t xml:space="preserve">, Murray-Lyon IM, Dawson JL, Pietroni MC, Williams R. Transection of the oesophagus for bleeding oesophageal varices. </w:t>
      </w:r>
      <w:r w:rsidRPr="00EF7CB1">
        <w:rPr>
          <w:rFonts w:ascii="Book Antiqua" w:hAnsi="Book Antiqua" w:cs="宋体"/>
          <w:i/>
          <w:iCs/>
          <w:sz w:val="24"/>
          <w:szCs w:val="24"/>
          <w:lang w:eastAsia="zh-CN"/>
        </w:rPr>
        <w:t>Br J Surg</w:t>
      </w:r>
      <w:r w:rsidRPr="00EF7CB1">
        <w:rPr>
          <w:rFonts w:ascii="Book Antiqua" w:hAnsi="Book Antiqua" w:cs="宋体"/>
          <w:sz w:val="24"/>
          <w:szCs w:val="24"/>
          <w:lang w:eastAsia="zh-CN"/>
        </w:rPr>
        <w:t xml:space="preserve"> 1973; </w:t>
      </w:r>
      <w:r w:rsidRPr="00EF7CB1">
        <w:rPr>
          <w:rFonts w:ascii="Book Antiqua" w:hAnsi="Book Antiqua" w:cs="宋体"/>
          <w:b/>
          <w:bCs/>
          <w:sz w:val="24"/>
          <w:szCs w:val="24"/>
          <w:lang w:eastAsia="zh-CN"/>
        </w:rPr>
        <w:t>60</w:t>
      </w:r>
      <w:r w:rsidRPr="00EF7CB1">
        <w:rPr>
          <w:rFonts w:ascii="Book Antiqua" w:hAnsi="Book Antiqua" w:cs="宋体"/>
          <w:sz w:val="24"/>
          <w:szCs w:val="24"/>
          <w:lang w:eastAsia="zh-CN"/>
        </w:rPr>
        <w:t>: 646-649 [PMID: 4541913 DOI: 10.1002/bjs.1800600817]</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27 </w:t>
      </w:r>
      <w:r w:rsidRPr="00EF7CB1">
        <w:rPr>
          <w:rFonts w:ascii="Book Antiqua" w:hAnsi="Book Antiqua" w:cs="宋体"/>
          <w:b/>
          <w:bCs/>
          <w:sz w:val="24"/>
          <w:szCs w:val="24"/>
          <w:lang w:eastAsia="zh-CN"/>
        </w:rPr>
        <w:t>Kamath PS</w:t>
      </w:r>
      <w:r w:rsidRPr="00EF7CB1">
        <w:rPr>
          <w:rFonts w:ascii="Book Antiqua" w:hAnsi="Book Antiqua" w:cs="宋体"/>
          <w:sz w:val="24"/>
          <w:szCs w:val="24"/>
          <w:lang w:eastAsia="zh-CN"/>
        </w:rPr>
        <w:t xml:space="preserve">, Kim WR. The model for end-stage liver disease (MELD). </w:t>
      </w:r>
      <w:r w:rsidRPr="00EF7CB1">
        <w:rPr>
          <w:rFonts w:ascii="Book Antiqua" w:hAnsi="Book Antiqua" w:cs="宋体"/>
          <w:i/>
          <w:iCs/>
          <w:sz w:val="24"/>
          <w:szCs w:val="24"/>
          <w:lang w:eastAsia="zh-CN"/>
        </w:rPr>
        <w:t>Hepatology</w:t>
      </w:r>
      <w:r w:rsidRPr="00EF7CB1">
        <w:rPr>
          <w:rFonts w:ascii="Book Antiqua" w:hAnsi="Book Antiqua" w:cs="宋体"/>
          <w:sz w:val="24"/>
          <w:szCs w:val="24"/>
          <w:lang w:eastAsia="zh-CN"/>
        </w:rPr>
        <w:t xml:space="preserve"> 2007; </w:t>
      </w:r>
      <w:r w:rsidRPr="00EF7CB1">
        <w:rPr>
          <w:rFonts w:ascii="Book Antiqua" w:hAnsi="Book Antiqua" w:cs="宋体"/>
          <w:b/>
          <w:bCs/>
          <w:sz w:val="24"/>
          <w:szCs w:val="24"/>
          <w:lang w:eastAsia="zh-CN"/>
        </w:rPr>
        <w:t>45</w:t>
      </w:r>
      <w:r w:rsidRPr="00EF7CB1">
        <w:rPr>
          <w:rFonts w:ascii="Book Antiqua" w:hAnsi="Book Antiqua" w:cs="宋体"/>
          <w:sz w:val="24"/>
          <w:szCs w:val="24"/>
          <w:lang w:eastAsia="zh-CN"/>
        </w:rPr>
        <w:t>: 797-805 [PMID: 17326206 DOI: 10.1002/hep.21563]</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28 </w:t>
      </w:r>
      <w:r w:rsidRPr="00EF7CB1">
        <w:rPr>
          <w:rFonts w:ascii="Book Antiqua" w:hAnsi="Book Antiqua" w:cs="宋体"/>
          <w:b/>
          <w:sz w:val="24"/>
          <w:szCs w:val="24"/>
          <w:lang w:eastAsia="zh-CN"/>
        </w:rPr>
        <w:t>Cox D</w:t>
      </w:r>
      <w:r w:rsidRPr="00EF7CB1">
        <w:rPr>
          <w:rFonts w:ascii="Book Antiqua" w:hAnsi="Book Antiqua" w:cs="宋体"/>
          <w:sz w:val="24"/>
          <w:szCs w:val="24"/>
          <w:lang w:eastAsia="zh-CN"/>
        </w:rPr>
        <w:t>. Regression models and life tables.</w:t>
      </w:r>
      <w:r w:rsidRPr="00EF7CB1">
        <w:rPr>
          <w:rFonts w:ascii="Book Antiqua" w:hAnsi="Book Antiqua" w:cs="宋体"/>
          <w:i/>
          <w:sz w:val="24"/>
          <w:szCs w:val="24"/>
          <w:lang w:eastAsia="zh-CN"/>
        </w:rPr>
        <w:t xml:space="preserve"> J Roy Statist Soc</w:t>
      </w:r>
      <w:r w:rsidRPr="00EF7CB1">
        <w:rPr>
          <w:rFonts w:ascii="Book Antiqua" w:hAnsi="Book Antiqua" w:cs="宋体"/>
          <w:sz w:val="24"/>
          <w:szCs w:val="24"/>
          <w:lang w:eastAsia="zh-CN"/>
        </w:rPr>
        <w:t xml:space="preserve"> 1972; </w:t>
      </w:r>
      <w:r w:rsidRPr="00EF7CB1">
        <w:rPr>
          <w:rFonts w:ascii="Book Antiqua" w:hAnsi="Book Antiqua" w:cs="宋体"/>
          <w:b/>
          <w:sz w:val="24"/>
          <w:szCs w:val="24"/>
          <w:lang w:eastAsia="zh-CN"/>
        </w:rPr>
        <w:t>34</w:t>
      </w:r>
      <w:r w:rsidRPr="00EF7CB1">
        <w:rPr>
          <w:rFonts w:ascii="Book Antiqua" w:hAnsi="Book Antiqua" w:cs="宋体"/>
          <w:sz w:val="24"/>
          <w:szCs w:val="24"/>
          <w:lang w:eastAsia="zh-CN"/>
        </w:rPr>
        <w:t>: 187–220</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29 </w:t>
      </w:r>
      <w:r w:rsidRPr="00EF7CB1">
        <w:rPr>
          <w:rFonts w:ascii="Book Antiqua" w:hAnsi="Book Antiqua" w:cs="宋体"/>
          <w:b/>
          <w:bCs/>
          <w:sz w:val="24"/>
          <w:szCs w:val="24"/>
          <w:lang w:eastAsia="zh-CN"/>
        </w:rPr>
        <w:t>Petrasch S</w:t>
      </w:r>
      <w:r w:rsidRPr="00EF7CB1">
        <w:rPr>
          <w:rFonts w:ascii="Book Antiqua" w:hAnsi="Book Antiqua" w:cs="宋体"/>
          <w:sz w:val="24"/>
          <w:szCs w:val="24"/>
          <w:lang w:eastAsia="zh-CN"/>
        </w:rPr>
        <w:t xml:space="preserve">, Stein H, Kosco MH, Brittinger G. Follicular dendritic cells in non-Hodgkin lymphomas: localisation, characterisation and pathophysiological aspects. </w:t>
      </w:r>
      <w:r w:rsidRPr="00EF7CB1">
        <w:rPr>
          <w:rFonts w:ascii="Book Antiqua" w:hAnsi="Book Antiqua" w:cs="宋体"/>
          <w:i/>
          <w:iCs/>
          <w:sz w:val="24"/>
          <w:szCs w:val="24"/>
          <w:lang w:eastAsia="zh-CN"/>
        </w:rPr>
        <w:t>Eur J Cancer</w:t>
      </w:r>
      <w:r w:rsidRPr="00EF7CB1">
        <w:rPr>
          <w:rFonts w:ascii="Book Antiqua" w:hAnsi="Book Antiqua" w:cs="宋体"/>
          <w:sz w:val="24"/>
          <w:szCs w:val="24"/>
          <w:lang w:eastAsia="zh-CN"/>
        </w:rPr>
        <w:t xml:space="preserve"> 1991; </w:t>
      </w:r>
      <w:r w:rsidRPr="00EF7CB1">
        <w:rPr>
          <w:rFonts w:ascii="Book Antiqua" w:hAnsi="Book Antiqua" w:cs="宋体"/>
          <w:b/>
          <w:bCs/>
          <w:sz w:val="24"/>
          <w:szCs w:val="24"/>
          <w:lang w:eastAsia="zh-CN"/>
        </w:rPr>
        <w:t>27</w:t>
      </w:r>
      <w:r w:rsidRPr="00EF7CB1">
        <w:rPr>
          <w:rFonts w:ascii="Book Antiqua" w:hAnsi="Book Antiqua" w:cs="宋体"/>
          <w:sz w:val="24"/>
          <w:szCs w:val="24"/>
          <w:lang w:eastAsia="zh-CN"/>
        </w:rPr>
        <w:t>: 1052-1056 [PMID: 1832893 DOI: 10.1016/S0140-6736(08)60383-9]</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30 </w:t>
      </w:r>
      <w:r w:rsidRPr="00EF7CB1">
        <w:rPr>
          <w:rFonts w:ascii="Book Antiqua" w:hAnsi="Book Antiqua" w:cs="宋体"/>
          <w:b/>
          <w:bCs/>
          <w:sz w:val="24"/>
          <w:szCs w:val="24"/>
          <w:lang w:eastAsia="zh-CN"/>
        </w:rPr>
        <w:t>Angulo P</w:t>
      </w:r>
      <w:r w:rsidRPr="00EF7CB1">
        <w:rPr>
          <w:rFonts w:ascii="Book Antiqua" w:hAnsi="Book Antiqua" w:cs="宋体"/>
          <w:sz w:val="24"/>
          <w:szCs w:val="24"/>
          <w:lang w:eastAsia="zh-CN"/>
        </w:rPr>
        <w:t xml:space="preserve">. GI epidemiology: nonalcoholic fatty liver disease. </w:t>
      </w:r>
      <w:r w:rsidRPr="00EF7CB1">
        <w:rPr>
          <w:rFonts w:ascii="Book Antiqua" w:hAnsi="Book Antiqua" w:cs="宋体"/>
          <w:i/>
          <w:iCs/>
          <w:sz w:val="24"/>
          <w:szCs w:val="24"/>
          <w:lang w:eastAsia="zh-CN"/>
        </w:rPr>
        <w:t>Aliment Pharmacol Ther</w:t>
      </w:r>
      <w:r w:rsidRPr="00EF7CB1">
        <w:rPr>
          <w:rFonts w:ascii="Book Antiqua" w:hAnsi="Book Antiqua" w:cs="宋体"/>
          <w:sz w:val="24"/>
          <w:szCs w:val="24"/>
          <w:lang w:eastAsia="zh-CN"/>
        </w:rPr>
        <w:t xml:space="preserve"> 2007; </w:t>
      </w:r>
      <w:r w:rsidRPr="00EF7CB1">
        <w:rPr>
          <w:rFonts w:ascii="Book Antiqua" w:hAnsi="Book Antiqua" w:cs="宋体"/>
          <w:b/>
          <w:bCs/>
          <w:sz w:val="24"/>
          <w:szCs w:val="24"/>
          <w:lang w:eastAsia="zh-CN"/>
        </w:rPr>
        <w:t>25</w:t>
      </w:r>
      <w:r w:rsidRPr="00EF7CB1">
        <w:rPr>
          <w:rFonts w:ascii="Book Antiqua" w:hAnsi="Book Antiqua" w:cs="宋体"/>
          <w:sz w:val="24"/>
          <w:szCs w:val="24"/>
          <w:lang w:eastAsia="zh-CN"/>
        </w:rPr>
        <w:t>: 883-889 [PMID: 17402991 DOI: 10.1111/j.1365-2036.2007.03246.x]</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31 </w:t>
      </w:r>
      <w:r w:rsidRPr="00EF7CB1">
        <w:rPr>
          <w:rFonts w:ascii="Book Antiqua" w:hAnsi="Book Antiqua" w:cs="宋体"/>
          <w:b/>
          <w:bCs/>
          <w:sz w:val="24"/>
          <w:szCs w:val="24"/>
          <w:lang w:eastAsia="zh-CN"/>
        </w:rPr>
        <w:t>Tellez-Avila FI</w:t>
      </w:r>
      <w:r w:rsidRPr="00EF7CB1">
        <w:rPr>
          <w:rFonts w:ascii="Book Antiqua" w:hAnsi="Book Antiqua" w:cs="宋体"/>
          <w:sz w:val="24"/>
          <w:szCs w:val="24"/>
          <w:lang w:eastAsia="zh-CN"/>
        </w:rPr>
        <w:t xml:space="preserve">, Sanchez-Avila F, García-Saenz-de-Sicilia M, Chavez-Tapia NC, Franco-Guzman AM, Lopez-Arce G, Cerda-Contreras E, Uribe M. Prevalence of </w:t>
      </w:r>
      <w:r w:rsidRPr="00EF7CB1">
        <w:rPr>
          <w:rFonts w:ascii="Book Antiqua" w:hAnsi="Book Antiqua" w:cs="宋体"/>
          <w:sz w:val="24"/>
          <w:szCs w:val="24"/>
          <w:lang w:eastAsia="zh-CN"/>
        </w:rPr>
        <w:lastRenderedPageBreak/>
        <w:t xml:space="preserve">metabolic syndrome, obesity and diabetes type 2 in cryptogenic cirrhosis. </w:t>
      </w:r>
      <w:r w:rsidRPr="00EF7CB1">
        <w:rPr>
          <w:rFonts w:ascii="Book Antiqua" w:hAnsi="Book Antiqua" w:cs="宋体"/>
          <w:i/>
          <w:iCs/>
          <w:sz w:val="24"/>
          <w:szCs w:val="24"/>
          <w:lang w:eastAsia="zh-CN"/>
        </w:rPr>
        <w:t>World J Gastroenterol</w:t>
      </w:r>
      <w:r w:rsidRPr="00EF7CB1">
        <w:rPr>
          <w:rFonts w:ascii="Book Antiqua" w:hAnsi="Book Antiqua" w:cs="宋体"/>
          <w:sz w:val="24"/>
          <w:szCs w:val="24"/>
          <w:lang w:eastAsia="zh-CN"/>
        </w:rPr>
        <w:t xml:space="preserve"> 2008; </w:t>
      </w:r>
      <w:r w:rsidRPr="00EF7CB1">
        <w:rPr>
          <w:rFonts w:ascii="Book Antiqua" w:hAnsi="Book Antiqua" w:cs="宋体"/>
          <w:b/>
          <w:bCs/>
          <w:sz w:val="24"/>
          <w:szCs w:val="24"/>
          <w:lang w:eastAsia="zh-CN"/>
        </w:rPr>
        <w:t>14</w:t>
      </w:r>
      <w:r w:rsidRPr="00EF7CB1">
        <w:rPr>
          <w:rFonts w:ascii="Book Antiqua" w:hAnsi="Book Antiqua" w:cs="宋体"/>
          <w:sz w:val="24"/>
          <w:szCs w:val="24"/>
          <w:lang w:eastAsia="zh-CN"/>
        </w:rPr>
        <w:t>: 4771-4775 [PMID: 18720537 DOI: 10.3748/wjg.14.4771]</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32 </w:t>
      </w:r>
      <w:r w:rsidRPr="00EF7CB1">
        <w:rPr>
          <w:rFonts w:ascii="Book Antiqua" w:hAnsi="Book Antiqua" w:cs="宋体"/>
          <w:b/>
          <w:bCs/>
          <w:sz w:val="24"/>
          <w:szCs w:val="24"/>
          <w:lang w:eastAsia="zh-CN"/>
        </w:rPr>
        <w:t>Taura N</w:t>
      </w:r>
      <w:r w:rsidRPr="00EF7CB1">
        <w:rPr>
          <w:rFonts w:ascii="Book Antiqua" w:hAnsi="Book Antiqua" w:cs="宋体"/>
          <w:sz w:val="24"/>
          <w:szCs w:val="24"/>
          <w:lang w:eastAsia="zh-CN"/>
        </w:rPr>
        <w:t xml:space="preserve">, Ichikawa T, Hamasaki K, Nakao K, Nishimura D, Goto T, Fukuta M, Kawashimo H, Fujimoto M, Kusumoto K, Motoyoshi Y, Shibata H, Abiru N, Yamasaki H, Eguchi K. Association between liver fibrosis and insulin sensitivity in chronic hepatitis C patients. </w:t>
      </w:r>
      <w:r w:rsidRPr="00EF7CB1">
        <w:rPr>
          <w:rFonts w:ascii="Book Antiqua" w:hAnsi="Book Antiqua" w:cs="宋体"/>
          <w:i/>
          <w:iCs/>
          <w:sz w:val="24"/>
          <w:szCs w:val="24"/>
          <w:lang w:eastAsia="zh-CN"/>
        </w:rPr>
        <w:t>Am J Gastroenterol</w:t>
      </w:r>
      <w:r w:rsidRPr="00EF7CB1">
        <w:rPr>
          <w:rFonts w:ascii="Book Antiqua" w:hAnsi="Book Antiqua" w:cs="宋体"/>
          <w:sz w:val="24"/>
          <w:szCs w:val="24"/>
          <w:lang w:eastAsia="zh-CN"/>
        </w:rPr>
        <w:t xml:space="preserve"> 2006; </w:t>
      </w:r>
      <w:r w:rsidRPr="00EF7CB1">
        <w:rPr>
          <w:rFonts w:ascii="Book Antiqua" w:hAnsi="Book Antiqua" w:cs="宋体"/>
          <w:b/>
          <w:bCs/>
          <w:sz w:val="24"/>
          <w:szCs w:val="24"/>
          <w:lang w:eastAsia="zh-CN"/>
        </w:rPr>
        <w:t>101</w:t>
      </w:r>
      <w:r w:rsidRPr="00EF7CB1">
        <w:rPr>
          <w:rFonts w:ascii="Book Antiqua" w:hAnsi="Book Antiqua" w:cs="宋体"/>
          <w:sz w:val="24"/>
          <w:szCs w:val="24"/>
          <w:lang w:eastAsia="zh-CN"/>
        </w:rPr>
        <w:t>: 2752-2759 [PMID: 17026566 DOI: 10.1111/j.1572-0241.2006.00835.x]</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33 </w:t>
      </w:r>
      <w:r w:rsidRPr="00EF7CB1">
        <w:rPr>
          <w:rFonts w:ascii="Book Antiqua" w:hAnsi="Book Antiqua" w:cs="宋体"/>
          <w:b/>
          <w:bCs/>
          <w:sz w:val="24"/>
          <w:szCs w:val="24"/>
          <w:lang w:eastAsia="zh-CN"/>
        </w:rPr>
        <w:t>Pattullo V</w:t>
      </w:r>
      <w:r w:rsidRPr="00EF7CB1">
        <w:rPr>
          <w:rFonts w:ascii="Book Antiqua" w:hAnsi="Book Antiqua" w:cs="宋体"/>
          <w:sz w:val="24"/>
          <w:szCs w:val="24"/>
          <w:lang w:eastAsia="zh-CN"/>
        </w:rPr>
        <w:t xml:space="preserve">, Heathcote J. Hepatitis C and diabetes: one treatment for two diseases? </w:t>
      </w:r>
      <w:r w:rsidRPr="00EF7CB1">
        <w:rPr>
          <w:rFonts w:ascii="Book Antiqua" w:hAnsi="Book Antiqua" w:cs="宋体"/>
          <w:i/>
          <w:iCs/>
          <w:sz w:val="24"/>
          <w:szCs w:val="24"/>
          <w:lang w:eastAsia="zh-CN"/>
        </w:rPr>
        <w:t>Liver Int</w:t>
      </w:r>
      <w:r w:rsidRPr="00EF7CB1">
        <w:rPr>
          <w:rFonts w:ascii="Book Antiqua" w:hAnsi="Book Antiqua" w:cs="宋体"/>
          <w:sz w:val="24"/>
          <w:szCs w:val="24"/>
          <w:lang w:eastAsia="zh-CN"/>
        </w:rPr>
        <w:t xml:space="preserve"> 2010; </w:t>
      </w:r>
      <w:r w:rsidRPr="00EF7CB1">
        <w:rPr>
          <w:rFonts w:ascii="Book Antiqua" w:hAnsi="Book Antiqua" w:cs="宋体"/>
          <w:b/>
          <w:bCs/>
          <w:sz w:val="24"/>
          <w:szCs w:val="24"/>
          <w:lang w:eastAsia="zh-CN"/>
        </w:rPr>
        <w:t>30</w:t>
      </w:r>
      <w:r w:rsidRPr="00EF7CB1">
        <w:rPr>
          <w:rFonts w:ascii="Book Antiqua" w:hAnsi="Book Antiqua" w:cs="宋体"/>
          <w:sz w:val="24"/>
          <w:szCs w:val="24"/>
          <w:lang w:eastAsia="zh-CN"/>
        </w:rPr>
        <w:t>: 356-364 [PMID: 20040049 DOI: 10.1111/j.1478-3231.2009.02185.x]</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34 </w:t>
      </w:r>
      <w:r w:rsidRPr="00EF7CB1">
        <w:rPr>
          <w:rFonts w:ascii="Book Antiqua" w:hAnsi="Book Antiqua" w:cs="宋体"/>
          <w:b/>
          <w:bCs/>
          <w:sz w:val="24"/>
          <w:szCs w:val="24"/>
          <w:lang w:eastAsia="zh-CN"/>
        </w:rPr>
        <w:t>Roden M</w:t>
      </w:r>
      <w:r w:rsidRPr="00EF7CB1">
        <w:rPr>
          <w:rFonts w:ascii="Book Antiqua" w:hAnsi="Book Antiqua" w:cs="宋体"/>
          <w:sz w:val="24"/>
          <w:szCs w:val="24"/>
          <w:lang w:eastAsia="zh-CN"/>
        </w:rPr>
        <w:t xml:space="preserve">. Mechanisms of Disease: hepatic steatosis in type 2 diabetes--pathogenesis and clinical relevance. </w:t>
      </w:r>
      <w:r w:rsidRPr="00EF7CB1">
        <w:rPr>
          <w:rFonts w:ascii="Book Antiqua" w:hAnsi="Book Antiqua" w:cs="宋体"/>
          <w:i/>
          <w:iCs/>
          <w:sz w:val="24"/>
          <w:szCs w:val="24"/>
          <w:lang w:eastAsia="zh-CN"/>
        </w:rPr>
        <w:t>Nat Clin Pract Endocrinol Metab</w:t>
      </w:r>
      <w:r w:rsidRPr="00EF7CB1">
        <w:rPr>
          <w:rFonts w:ascii="Book Antiqua" w:hAnsi="Book Antiqua" w:cs="宋体"/>
          <w:sz w:val="24"/>
          <w:szCs w:val="24"/>
          <w:lang w:eastAsia="zh-CN"/>
        </w:rPr>
        <w:t xml:space="preserve"> 2006; </w:t>
      </w:r>
      <w:r w:rsidRPr="00EF7CB1">
        <w:rPr>
          <w:rFonts w:ascii="Book Antiqua" w:hAnsi="Book Antiqua" w:cs="宋体"/>
          <w:b/>
          <w:bCs/>
          <w:sz w:val="24"/>
          <w:szCs w:val="24"/>
          <w:lang w:eastAsia="zh-CN"/>
        </w:rPr>
        <w:t>2</w:t>
      </w:r>
      <w:r w:rsidRPr="00EF7CB1">
        <w:rPr>
          <w:rFonts w:ascii="Book Antiqua" w:hAnsi="Book Antiqua" w:cs="宋体"/>
          <w:sz w:val="24"/>
          <w:szCs w:val="24"/>
          <w:lang w:eastAsia="zh-CN"/>
        </w:rPr>
        <w:t>: 335-348 [PMID: 16932311 DOI: 10.1038/ncpendmet0190]</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35 </w:t>
      </w:r>
      <w:r w:rsidRPr="00EF7CB1">
        <w:rPr>
          <w:rFonts w:ascii="Book Antiqua" w:hAnsi="Book Antiqua" w:cs="宋体"/>
          <w:b/>
          <w:bCs/>
          <w:sz w:val="24"/>
          <w:szCs w:val="24"/>
          <w:lang w:eastAsia="zh-CN"/>
        </w:rPr>
        <w:t>Flisiak R</w:t>
      </w:r>
      <w:r w:rsidRPr="00EF7CB1">
        <w:rPr>
          <w:rFonts w:ascii="Book Antiqua" w:hAnsi="Book Antiqua" w:cs="宋体"/>
          <w:sz w:val="24"/>
          <w:szCs w:val="24"/>
          <w:lang w:eastAsia="zh-CN"/>
        </w:rPr>
        <w:t xml:space="preserve">, Pytel-Krolczuk B, Prokopowicz D. Circulating transforming growth factor beta(1) as an indicator of hepatic function impairment in liver cirrhosis. </w:t>
      </w:r>
      <w:r w:rsidRPr="00EF7CB1">
        <w:rPr>
          <w:rFonts w:ascii="Book Antiqua" w:hAnsi="Book Antiqua" w:cs="宋体"/>
          <w:i/>
          <w:iCs/>
          <w:sz w:val="24"/>
          <w:szCs w:val="24"/>
          <w:lang w:eastAsia="zh-CN"/>
        </w:rPr>
        <w:t>Cytokine</w:t>
      </w:r>
      <w:r w:rsidRPr="00EF7CB1">
        <w:rPr>
          <w:rFonts w:ascii="Book Antiqua" w:hAnsi="Book Antiqua" w:cs="宋体"/>
          <w:sz w:val="24"/>
          <w:szCs w:val="24"/>
          <w:lang w:eastAsia="zh-CN"/>
        </w:rPr>
        <w:t xml:space="preserve"> 2000; </w:t>
      </w:r>
      <w:r w:rsidRPr="00EF7CB1">
        <w:rPr>
          <w:rFonts w:ascii="Book Antiqua" w:hAnsi="Book Antiqua" w:cs="宋体"/>
          <w:b/>
          <w:bCs/>
          <w:sz w:val="24"/>
          <w:szCs w:val="24"/>
          <w:lang w:eastAsia="zh-CN"/>
        </w:rPr>
        <w:t>12</w:t>
      </w:r>
      <w:r w:rsidRPr="00EF7CB1">
        <w:rPr>
          <w:rFonts w:ascii="Book Antiqua" w:hAnsi="Book Antiqua" w:cs="宋体"/>
          <w:sz w:val="24"/>
          <w:szCs w:val="24"/>
          <w:lang w:eastAsia="zh-CN"/>
        </w:rPr>
        <w:t>: 677-681 [PMID: 10843744 DOI: 10.1006/cyto.1999.0660]</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36 </w:t>
      </w:r>
      <w:r w:rsidRPr="00EF7CB1">
        <w:rPr>
          <w:rFonts w:ascii="Book Antiqua" w:hAnsi="Book Antiqua" w:cs="宋体"/>
          <w:b/>
          <w:bCs/>
          <w:sz w:val="24"/>
          <w:szCs w:val="24"/>
          <w:lang w:eastAsia="zh-CN"/>
        </w:rPr>
        <w:t>Whitehead JP</w:t>
      </w:r>
      <w:r w:rsidRPr="00EF7CB1">
        <w:rPr>
          <w:rFonts w:ascii="Book Antiqua" w:hAnsi="Book Antiqua" w:cs="宋体"/>
          <w:sz w:val="24"/>
          <w:szCs w:val="24"/>
          <w:lang w:eastAsia="zh-CN"/>
        </w:rPr>
        <w:t xml:space="preserve">, Richards AA, Hickman IJ, Macdonald GA, Prins JB. Adiponectin--a key adipokine in the metabolic syndrome. </w:t>
      </w:r>
      <w:r w:rsidRPr="00EF7CB1">
        <w:rPr>
          <w:rFonts w:ascii="Book Antiqua" w:hAnsi="Book Antiqua" w:cs="宋体"/>
          <w:i/>
          <w:iCs/>
          <w:sz w:val="24"/>
          <w:szCs w:val="24"/>
          <w:lang w:eastAsia="zh-CN"/>
        </w:rPr>
        <w:t>Diabetes Obes Metab</w:t>
      </w:r>
      <w:r w:rsidRPr="00EF7CB1">
        <w:rPr>
          <w:rFonts w:ascii="Book Antiqua" w:hAnsi="Book Antiqua" w:cs="宋体"/>
          <w:sz w:val="24"/>
          <w:szCs w:val="24"/>
          <w:lang w:eastAsia="zh-CN"/>
        </w:rPr>
        <w:t xml:space="preserve"> 2006; </w:t>
      </w:r>
      <w:r w:rsidRPr="00EF7CB1">
        <w:rPr>
          <w:rFonts w:ascii="Book Antiqua" w:hAnsi="Book Antiqua" w:cs="宋体"/>
          <w:b/>
          <w:bCs/>
          <w:sz w:val="24"/>
          <w:szCs w:val="24"/>
          <w:lang w:eastAsia="zh-CN"/>
        </w:rPr>
        <w:t>8</w:t>
      </w:r>
      <w:r w:rsidRPr="00EF7CB1">
        <w:rPr>
          <w:rFonts w:ascii="Book Antiqua" w:hAnsi="Book Antiqua" w:cs="宋体"/>
          <w:sz w:val="24"/>
          <w:szCs w:val="24"/>
          <w:lang w:eastAsia="zh-CN"/>
        </w:rPr>
        <w:t>: 264-280 [PMID: 16634986 DOI: 10.1111/j.1463-1326.2005.00510.x]</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37 </w:t>
      </w:r>
      <w:r w:rsidRPr="00EF7CB1">
        <w:rPr>
          <w:rFonts w:ascii="Book Antiqua" w:hAnsi="Book Antiqua" w:cs="宋体"/>
          <w:b/>
          <w:bCs/>
          <w:sz w:val="24"/>
          <w:szCs w:val="24"/>
          <w:lang w:eastAsia="zh-CN"/>
        </w:rPr>
        <w:t>Bertolani C</w:t>
      </w:r>
      <w:r w:rsidRPr="00EF7CB1">
        <w:rPr>
          <w:rFonts w:ascii="Book Antiqua" w:hAnsi="Book Antiqua" w:cs="宋体"/>
          <w:sz w:val="24"/>
          <w:szCs w:val="24"/>
          <w:lang w:eastAsia="zh-CN"/>
        </w:rPr>
        <w:t xml:space="preserve">, Marra F. The role of adipokines in liver fibrosis. </w:t>
      </w:r>
      <w:r w:rsidRPr="00EF7CB1">
        <w:rPr>
          <w:rFonts w:ascii="Book Antiqua" w:hAnsi="Book Antiqua" w:cs="宋体"/>
          <w:i/>
          <w:iCs/>
          <w:sz w:val="24"/>
          <w:szCs w:val="24"/>
          <w:lang w:eastAsia="zh-CN"/>
        </w:rPr>
        <w:t>Pathophysiology</w:t>
      </w:r>
      <w:r w:rsidRPr="00EF7CB1">
        <w:rPr>
          <w:rFonts w:ascii="Book Antiqua" w:hAnsi="Book Antiqua" w:cs="宋体"/>
          <w:sz w:val="24"/>
          <w:szCs w:val="24"/>
          <w:lang w:eastAsia="zh-CN"/>
        </w:rPr>
        <w:t xml:space="preserve"> 2008; </w:t>
      </w:r>
      <w:r w:rsidRPr="00EF7CB1">
        <w:rPr>
          <w:rFonts w:ascii="Book Antiqua" w:hAnsi="Book Antiqua" w:cs="宋体"/>
          <w:b/>
          <w:bCs/>
          <w:sz w:val="24"/>
          <w:szCs w:val="24"/>
          <w:lang w:eastAsia="zh-CN"/>
        </w:rPr>
        <w:t>15</w:t>
      </w:r>
      <w:r w:rsidRPr="00EF7CB1">
        <w:rPr>
          <w:rFonts w:ascii="Book Antiqua" w:hAnsi="Book Antiqua" w:cs="宋体"/>
          <w:sz w:val="24"/>
          <w:szCs w:val="24"/>
          <w:lang w:eastAsia="zh-CN"/>
        </w:rPr>
        <w:t>: 91-101 [PMID: 18602801 DOI: 10.1016/j.pathophys.2008.05.001]</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38 </w:t>
      </w:r>
      <w:r w:rsidRPr="00EF7CB1">
        <w:rPr>
          <w:rFonts w:ascii="Book Antiqua" w:hAnsi="Book Antiqua" w:cs="宋体"/>
          <w:b/>
          <w:bCs/>
          <w:sz w:val="24"/>
          <w:szCs w:val="24"/>
          <w:lang w:eastAsia="zh-CN"/>
        </w:rPr>
        <w:t>Jonsson JR</w:t>
      </w:r>
      <w:r w:rsidRPr="00EF7CB1">
        <w:rPr>
          <w:rFonts w:ascii="Book Antiqua" w:hAnsi="Book Antiqua" w:cs="宋体"/>
          <w:sz w:val="24"/>
          <w:szCs w:val="24"/>
          <w:lang w:eastAsia="zh-CN"/>
        </w:rPr>
        <w:t xml:space="preserve">, Moschen AR, Hickman IJ, Richardson MM, Kaser S, Clouston AD, Powell EE, Tilg H. Adiponectin and its receptors in patients with chronic hepatitis C. </w:t>
      </w:r>
      <w:r w:rsidRPr="00EF7CB1">
        <w:rPr>
          <w:rFonts w:ascii="Book Antiqua" w:hAnsi="Book Antiqua" w:cs="宋体"/>
          <w:i/>
          <w:iCs/>
          <w:sz w:val="24"/>
          <w:szCs w:val="24"/>
          <w:lang w:eastAsia="zh-CN"/>
        </w:rPr>
        <w:t>J Hepatol</w:t>
      </w:r>
      <w:r w:rsidRPr="00EF7CB1">
        <w:rPr>
          <w:rFonts w:ascii="Book Antiqua" w:hAnsi="Book Antiqua" w:cs="宋体"/>
          <w:sz w:val="24"/>
          <w:szCs w:val="24"/>
          <w:lang w:eastAsia="zh-CN"/>
        </w:rPr>
        <w:t xml:space="preserve"> 2005; </w:t>
      </w:r>
      <w:r w:rsidRPr="00EF7CB1">
        <w:rPr>
          <w:rFonts w:ascii="Book Antiqua" w:hAnsi="Book Antiqua" w:cs="宋体"/>
          <w:b/>
          <w:bCs/>
          <w:sz w:val="24"/>
          <w:szCs w:val="24"/>
          <w:lang w:eastAsia="zh-CN"/>
        </w:rPr>
        <w:t>43</w:t>
      </w:r>
      <w:r w:rsidRPr="00EF7CB1">
        <w:rPr>
          <w:rFonts w:ascii="Book Antiqua" w:hAnsi="Book Antiqua" w:cs="宋体"/>
          <w:sz w:val="24"/>
          <w:szCs w:val="24"/>
          <w:lang w:eastAsia="zh-CN"/>
        </w:rPr>
        <w:t>: 929-936 [PMID: 16139921 DOI: 10.1016/j.jhep.2005.05.030]</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lastRenderedPageBreak/>
        <w:t xml:space="preserve">39 </w:t>
      </w:r>
      <w:r w:rsidRPr="00EF7CB1">
        <w:rPr>
          <w:rFonts w:ascii="Book Antiqua" w:hAnsi="Book Antiqua" w:cs="宋体"/>
          <w:b/>
          <w:bCs/>
          <w:sz w:val="24"/>
          <w:szCs w:val="24"/>
          <w:lang w:eastAsia="zh-CN"/>
        </w:rPr>
        <w:t>Svegliati-Baroni G</w:t>
      </w:r>
      <w:r w:rsidRPr="00EF7CB1">
        <w:rPr>
          <w:rFonts w:ascii="Book Antiqua" w:hAnsi="Book Antiqua" w:cs="宋体"/>
          <w:sz w:val="24"/>
          <w:szCs w:val="24"/>
          <w:lang w:eastAsia="zh-CN"/>
        </w:rPr>
        <w:t xml:space="preserve">, Ridolfi F, Di Sario A, Casini A, Marucci L, Gaggiotti G, Orlandoni P, Macarri G, Perego L, Benedetti A, Folli F. Insulin and insulin-like growth factor-1 stimulate proliferation and type I collagen accumulation by human hepatic stellate cells: differential effects on signal transduction pathways. </w:t>
      </w:r>
      <w:r w:rsidRPr="00EF7CB1">
        <w:rPr>
          <w:rFonts w:ascii="Book Antiqua" w:hAnsi="Book Antiqua" w:cs="宋体"/>
          <w:i/>
          <w:iCs/>
          <w:sz w:val="24"/>
          <w:szCs w:val="24"/>
          <w:lang w:eastAsia="zh-CN"/>
        </w:rPr>
        <w:t>Hepatology</w:t>
      </w:r>
      <w:r w:rsidRPr="00EF7CB1">
        <w:rPr>
          <w:rFonts w:ascii="Book Antiqua" w:hAnsi="Book Antiqua" w:cs="宋体"/>
          <w:sz w:val="24"/>
          <w:szCs w:val="24"/>
          <w:lang w:eastAsia="zh-CN"/>
        </w:rPr>
        <w:t xml:space="preserve"> 1999; </w:t>
      </w:r>
      <w:r w:rsidRPr="00EF7CB1">
        <w:rPr>
          <w:rFonts w:ascii="Book Antiqua" w:hAnsi="Book Antiqua" w:cs="宋体"/>
          <w:b/>
          <w:bCs/>
          <w:sz w:val="24"/>
          <w:szCs w:val="24"/>
          <w:lang w:eastAsia="zh-CN"/>
        </w:rPr>
        <w:t>29</w:t>
      </w:r>
      <w:r w:rsidRPr="00EF7CB1">
        <w:rPr>
          <w:rFonts w:ascii="Book Antiqua" w:hAnsi="Book Antiqua" w:cs="宋体"/>
          <w:sz w:val="24"/>
          <w:szCs w:val="24"/>
          <w:lang w:eastAsia="zh-CN"/>
        </w:rPr>
        <w:t>: 1743-1751 [PMID: 10347117 DOI: 10.1002/hep.510290632]</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40 </w:t>
      </w:r>
      <w:r w:rsidRPr="00EF7CB1">
        <w:rPr>
          <w:rFonts w:ascii="Book Antiqua" w:hAnsi="Book Antiqua" w:cs="宋体"/>
          <w:b/>
          <w:bCs/>
          <w:sz w:val="24"/>
          <w:szCs w:val="24"/>
          <w:lang w:eastAsia="zh-CN"/>
        </w:rPr>
        <w:t>Hagel S</w:t>
      </w:r>
      <w:r w:rsidRPr="00EF7CB1">
        <w:rPr>
          <w:rFonts w:ascii="Book Antiqua" w:hAnsi="Book Antiqua" w:cs="宋体"/>
          <w:sz w:val="24"/>
          <w:szCs w:val="24"/>
          <w:lang w:eastAsia="zh-CN"/>
        </w:rPr>
        <w:t xml:space="preserve">, Bruns T, Herrmann A, Stallmach A, Schmidt C. Abnormal glucose tolerance: a predictor of 30-day mortality in patients with decompensated liver cirrhosis. </w:t>
      </w:r>
      <w:r w:rsidRPr="00EF7CB1">
        <w:rPr>
          <w:rFonts w:ascii="Book Antiqua" w:hAnsi="Book Antiqua" w:cs="宋体"/>
          <w:i/>
          <w:iCs/>
          <w:sz w:val="24"/>
          <w:szCs w:val="24"/>
          <w:lang w:eastAsia="zh-CN"/>
        </w:rPr>
        <w:t>Z Gastroenterol</w:t>
      </w:r>
      <w:r w:rsidRPr="00EF7CB1">
        <w:rPr>
          <w:rFonts w:ascii="Book Antiqua" w:hAnsi="Book Antiqua" w:cs="宋体"/>
          <w:sz w:val="24"/>
          <w:szCs w:val="24"/>
          <w:lang w:eastAsia="zh-CN"/>
        </w:rPr>
        <w:t xml:space="preserve"> 2011; </w:t>
      </w:r>
      <w:r w:rsidRPr="00EF7CB1">
        <w:rPr>
          <w:rFonts w:ascii="Book Antiqua" w:hAnsi="Book Antiqua" w:cs="宋体"/>
          <w:b/>
          <w:bCs/>
          <w:sz w:val="24"/>
          <w:szCs w:val="24"/>
          <w:lang w:eastAsia="zh-CN"/>
        </w:rPr>
        <w:t>49</w:t>
      </w:r>
      <w:r w:rsidRPr="00EF7CB1">
        <w:rPr>
          <w:rFonts w:ascii="Book Antiqua" w:hAnsi="Book Antiqua" w:cs="宋体"/>
          <w:sz w:val="24"/>
          <w:szCs w:val="24"/>
          <w:lang w:eastAsia="zh-CN"/>
        </w:rPr>
        <w:t>: 331-334 [PMID: 21391163 DOI: 10.1055/s-0029-1245933]</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41 </w:t>
      </w:r>
      <w:r w:rsidRPr="00EF7CB1">
        <w:rPr>
          <w:rFonts w:ascii="Book Antiqua" w:hAnsi="Book Antiqua" w:cs="宋体"/>
          <w:b/>
          <w:bCs/>
          <w:sz w:val="24"/>
          <w:szCs w:val="24"/>
          <w:lang w:eastAsia="zh-CN"/>
        </w:rPr>
        <w:t>Sorrentino P</w:t>
      </w:r>
      <w:r w:rsidRPr="00EF7CB1">
        <w:rPr>
          <w:rFonts w:ascii="Book Antiqua" w:hAnsi="Book Antiqua" w:cs="宋体"/>
          <w:sz w:val="24"/>
          <w:szCs w:val="24"/>
          <w:lang w:eastAsia="zh-CN"/>
        </w:rPr>
        <w:t xml:space="preserve">, Tarantino G, Conca P, Perrella A, Perrella O. Clinical presentation and prevalence of spontaneous bacterial peritonitis in patients with cryptogenic cirrhosis and features of metabolic syndrome. </w:t>
      </w:r>
      <w:r w:rsidRPr="00EF7CB1">
        <w:rPr>
          <w:rFonts w:ascii="Book Antiqua" w:hAnsi="Book Antiqua" w:cs="宋体"/>
          <w:i/>
          <w:iCs/>
          <w:sz w:val="24"/>
          <w:szCs w:val="24"/>
          <w:lang w:eastAsia="zh-CN"/>
        </w:rPr>
        <w:t>Can J Gastroenterol</w:t>
      </w:r>
      <w:r w:rsidRPr="00EF7CB1">
        <w:rPr>
          <w:rFonts w:ascii="Book Antiqua" w:hAnsi="Book Antiqua" w:cs="宋体"/>
          <w:sz w:val="24"/>
          <w:szCs w:val="24"/>
          <w:lang w:eastAsia="zh-CN"/>
        </w:rPr>
        <w:t xml:space="preserve"> 2004; </w:t>
      </w:r>
      <w:r w:rsidRPr="00EF7CB1">
        <w:rPr>
          <w:rFonts w:ascii="Book Antiqua" w:hAnsi="Book Antiqua" w:cs="宋体"/>
          <w:b/>
          <w:bCs/>
          <w:sz w:val="24"/>
          <w:szCs w:val="24"/>
          <w:lang w:eastAsia="zh-CN"/>
        </w:rPr>
        <w:t>18</w:t>
      </w:r>
      <w:r w:rsidRPr="00EF7CB1">
        <w:rPr>
          <w:rFonts w:ascii="Book Antiqua" w:hAnsi="Book Antiqua" w:cs="宋体"/>
          <w:sz w:val="24"/>
          <w:szCs w:val="24"/>
          <w:lang w:eastAsia="zh-CN"/>
        </w:rPr>
        <w:t>: 381-386 [PMID: 15190393]</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42 </w:t>
      </w:r>
      <w:r w:rsidRPr="00EF7CB1">
        <w:rPr>
          <w:rFonts w:ascii="Book Antiqua" w:hAnsi="Book Antiqua" w:cs="宋体"/>
          <w:b/>
          <w:bCs/>
          <w:sz w:val="24"/>
          <w:szCs w:val="24"/>
          <w:lang w:eastAsia="zh-CN"/>
        </w:rPr>
        <w:t>Cheruvattath R</w:t>
      </w:r>
      <w:r w:rsidRPr="00EF7CB1">
        <w:rPr>
          <w:rFonts w:ascii="Book Antiqua" w:hAnsi="Book Antiqua" w:cs="宋体"/>
          <w:sz w:val="24"/>
          <w:szCs w:val="24"/>
          <w:lang w:eastAsia="zh-CN"/>
        </w:rPr>
        <w:t xml:space="preserve">, Balan V. Infections in Patients With End-stage Liver Disease. </w:t>
      </w:r>
      <w:r w:rsidRPr="00EF7CB1">
        <w:rPr>
          <w:rFonts w:ascii="Book Antiqua" w:hAnsi="Book Antiqua" w:cs="宋体"/>
          <w:i/>
          <w:iCs/>
          <w:sz w:val="24"/>
          <w:szCs w:val="24"/>
          <w:lang w:eastAsia="zh-CN"/>
        </w:rPr>
        <w:t>J Clin Gastroenterol</w:t>
      </w:r>
      <w:r w:rsidRPr="00EF7CB1">
        <w:rPr>
          <w:rFonts w:ascii="Book Antiqua" w:hAnsi="Book Antiqua" w:cs="宋体"/>
          <w:sz w:val="24"/>
          <w:szCs w:val="24"/>
          <w:lang w:eastAsia="zh-CN"/>
        </w:rPr>
        <w:t xml:space="preserve"> 2007; </w:t>
      </w:r>
      <w:r w:rsidRPr="00EF7CB1">
        <w:rPr>
          <w:rFonts w:ascii="Book Antiqua" w:hAnsi="Book Antiqua" w:cs="宋体"/>
          <w:b/>
          <w:bCs/>
          <w:sz w:val="24"/>
          <w:szCs w:val="24"/>
          <w:lang w:eastAsia="zh-CN"/>
        </w:rPr>
        <w:t>41</w:t>
      </w:r>
      <w:r w:rsidRPr="00EF7CB1">
        <w:rPr>
          <w:rFonts w:ascii="Book Antiqua" w:hAnsi="Book Antiqua" w:cs="宋体"/>
          <w:sz w:val="24"/>
          <w:szCs w:val="24"/>
          <w:lang w:eastAsia="zh-CN"/>
        </w:rPr>
        <w:t>: 403-411 [PMID: 17413611 DOI: 10.1097/01.mcg.0000248018.08515.f9]</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43 </w:t>
      </w:r>
      <w:r w:rsidRPr="00EF7CB1">
        <w:rPr>
          <w:rFonts w:ascii="Book Antiqua" w:hAnsi="Book Antiqua" w:cs="宋体"/>
          <w:b/>
          <w:bCs/>
          <w:sz w:val="24"/>
          <w:szCs w:val="24"/>
          <w:lang w:eastAsia="zh-CN"/>
        </w:rPr>
        <w:t>Moreau R</w:t>
      </w:r>
      <w:r w:rsidRPr="00EF7CB1">
        <w:rPr>
          <w:rFonts w:ascii="Book Antiqua" w:hAnsi="Book Antiqua" w:cs="宋体"/>
          <w:sz w:val="24"/>
          <w:szCs w:val="24"/>
          <w:lang w:eastAsia="zh-CN"/>
        </w:rPr>
        <w:t xml:space="preserve">, Chagneau C, Heller J, Chevenne D, Langlet P, Deltenre P, Hillaire S, Lefilliatre P, Pateron D, Sogni P, Valla D, Lebrec D. Hemodynamic, metabolic and hormonal responses to oral glibenclamide in patients with cirrhosis receiving glucose. </w:t>
      </w:r>
      <w:r w:rsidRPr="00EF7CB1">
        <w:rPr>
          <w:rFonts w:ascii="Book Antiqua" w:hAnsi="Book Antiqua" w:cs="宋体"/>
          <w:i/>
          <w:iCs/>
          <w:sz w:val="24"/>
          <w:szCs w:val="24"/>
          <w:lang w:eastAsia="zh-CN"/>
        </w:rPr>
        <w:t>Scand J Gastroenterol</w:t>
      </w:r>
      <w:r w:rsidRPr="00EF7CB1">
        <w:rPr>
          <w:rFonts w:ascii="Book Antiqua" w:hAnsi="Book Antiqua" w:cs="宋体"/>
          <w:sz w:val="24"/>
          <w:szCs w:val="24"/>
          <w:lang w:eastAsia="zh-CN"/>
        </w:rPr>
        <w:t xml:space="preserve"> 2001; </w:t>
      </w:r>
      <w:r w:rsidRPr="00EF7CB1">
        <w:rPr>
          <w:rFonts w:ascii="Book Antiqua" w:hAnsi="Book Antiqua" w:cs="宋体"/>
          <w:b/>
          <w:bCs/>
          <w:sz w:val="24"/>
          <w:szCs w:val="24"/>
          <w:lang w:eastAsia="zh-CN"/>
        </w:rPr>
        <w:t>36</w:t>
      </w:r>
      <w:r w:rsidRPr="00EF7CB1">
        <w:rPr>
          <w:rFonts w:ascii="Book Antiqua" w:hAnsi="Book Antiqua" w:cs="宋体"/>
          <w:sz w:val="24"/>
          <w:szCs w:val="24"/>
          <w:lang w:eastAsia="zh-CN"/>
        </w:rPr>
        <w:t>: 303-308 [PMID: 11305519 DOI: 10.1080/003655201750074654]</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44 </w:t>
      </w:r>
      <w:r w:rsidRPr="00EF7CB1">
        <w:rPr>
          <w:rFonts w:ascii="Book Antiqua" w:hAnsi="Book Antiqua" w:cs="宋体"/>
          <w:b/>
          <w:bCs/>
          <w:sz w:val="24"/>
          <w:szCs w:val="24"/>
          <w:lang w:eastAsia="zh-CN"/>
        </w:rPr>
        <w:t>Thalheimer U</w:t>
      </w:r>
      <w:r w:rsidRPr="00EF7CB1">
        <w:rPr>
          <w:rFonts w:ascii="Book Antiqua" w:hAnsi="Book Antiqua" w:cs="宋体"/>
          <w:sz w:val="24"/>
          <w:szCs w:val="24"/>
          <w:lang w:eastAsia="zh-CN"/>
        </w:rPr>
        <w:t xml:space="preserve">, Triantos CK, Samonakis DN, Patch D, Burroughs AK. Infection, coagulation, and variceal bleeding in cirrhosis. </w:t>
      </w:r>
      <w:r w:rsidRPr="00EF7CB1">
        <w:rPr>
          <w:rFonts w:ascii="Book Antiqua" w:hAnsi="Book Antiqua" w:cs="宋体"/>
          <w:i/>
          <w:iCs/>
          <w:sz w:val="24"/>
          <w:szCs w:val="24"/>
          <w:lang w:eastAsia="zh-CN"/>
        </w:rPr>
        <w:t>Gut</w:t>
      </w:r>
      <w:r w:rsidRPr="00EF7CB1">
        <w:rPr>
          <w:rFonts w:ascii="Book Antiqua" w:hAnsi="Book Antiqua" w:cs="宋体"/>
          <w:sz w:val="24"/>
          <w:szCs w:val="24"/>
          <w:lang w:eastAsia="zh-CN"/>
        </w:rPr>
        <w:t xml:space="preserve"> 2005; </w:t>
      </w:r>
      <w:r w:rsidRPr="00EF7CB1">
        <w:rPr>
          <w:rFonts w:ascii="Book Antiqua" w:hAnsi="Book Antiqua" w:cs="宋体"/>
          <w:b/>
          <w:bCs/>
          <w:sz w:val="24"/>
          <w:szCs w:val="24"/>
          <w:lang w:eastAsia="zh-CN"/>
        </w:rPr>
        <w:t>54</w:t>
      </w:r>
      <w:r w:rsidRPr="00EF7CB1">
        <w:rPr>
          <w:rFonts w:ascii="Book Antiqua" w:hAnsi="Book Antiqua" w:cs="宋体"/>
          <w:sz w:val="24"/>
          <w:szCs w:val="24"/>
          <w:lang w:eastAsia="zh-CN"/>
        </w:rPr>
        <w:t>: 556-563 [PMID: 15753544 DOI: 10.1136/gut.2004.048181]</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lastRenderedPageBreak/>
        <w:t xml:space="preserve">45 </w:t>
      </w:r>
      <w:r w:rsidRPr="00EF7CB1">
        <w:rPr>
          <w:rFonts w:ascii="Book Antiqua" w:hAnsi="Book Antiqua" w:cs="宋体"/>
          <w:b/>
          <w:bCs/>
          <w:sz w:val="24"/>
          <w:szCs w:val="24"/>
          <w:lang w:eastAsia="zh-CN"/>
        </w:rPr>
        <w:t>Kalaitzakis E</w:t>
      </w:r>
      <w:r w:rsidRPr="00EF7CB1">
        <w:rPr>
          <w:rFonts w:ascii="Book Antiqua" w:hAnsi="Book Antiqua" w:cs="宋体"/>
          <w:sz w:val="24"/>
          <w:szCs w:val="24"/>
          <w:lang w:eastAsia="zh-CN"/>
        </w:rPr>
        <w:t xml:space="preserve">, Olsson R, Henfridsson P, Hugosson I, Bengtsson M, Jalan R, Björnsson E. Malnutrition and diabetes mellitus are related to hepatic encephalopathy in patients with liver cirrhosis. </w:t>
      </w:r>
      <w:r w:rsidRPr="00EF7CB1">
        <w:rPr>
          <w:rFonts w:ascii="Book Antiqua" w:hAnsi="Book Antiqua" w:cs="宋体"/>
          <w:i/>
          <w:iCs/>
          <w:sz w:val="24"/>
          <w:szCs w:val="24"/>
          <w:lang w:eastAsia="zh-CN"/>
        </w:rPr>
        <w:t>Liver Int</w:t>
      </w:r>
      <w:r w:rsidRPr="00EF7CB1">
        <w:rPr>
          <w:rFonts w:ascii="Book Antiqua" w:hAnsi="Book Antiqua" w:cs="宋体"/>
          <w:sz w:val="24"/>
          <w:szCs w:val="24"/>
          <w:lang w:eastAsia="zh-CN"/>
        </w:rPr>
        <w:t xml:space="preserve"> 2007; </w:t>
      </w:r>
      <w:r w:rsidRPr="00EF7CB1">
        <w:rPr>
          <w:rFonts w:ascii="Book Antiqua" w:hAnsi="Book Antiqua" w:cs="宋体"/>
          <w:b/>
          <w:bCs/>
          <w:sz w:val="24"/>
          <w:szCs w:val="24"/>
          <w:lang w:eastAsia="zh-CN"/>
        </w:rPr>
        <w:t>27</w:t>
      </w:r>
      <w:r w:rsidRPr="00EF7CB1">
        <w:rPr>
          <w:rFonts w:ascii="Book Antiqua" w:hAnsi="Book Antiqua" w:cs="宋体"/>
          <w:sz w:val="24"/>
          <w:szCs w:val="24"/>
          <w:lang w:eastAsia="zh-CN"/>
        </w:rPr>
        <w:t>: 1194-1201 [PMID: 17919230]</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46 </w:t>
      </w:r>
      <w:r w:rsidRPr="00EF7CB1">
        <w:rPr>
          <w:rFonts w:ascii="Book Antiqua" w:hAnsi="Book Antiqua" w:cs="宋体"/>
          <w:b/>
          <w:bCs/>
          <w:sz w:val="24"/>
          <w:szCs w:val="24"/>
          <w:lang w:eastAsia="zh-CN"/>
        </w:rPr>
        <w:t>Marchesini G</w:t>
      </w:r>
      <w:r w:rsidRPr="00EF7CB1">
        <w:rPr>
          <w:rFonts w:ascii="Book Antiqua" w:hAnsi="Book Antiqua" w:cs="宋体"/>
          <w:sz w:val="24"/>
          <w:szCs w:val="24"/>
          <w:lang w:eastAsia="zh-CN"/>
        </w:rPr>
        <w:t xml:space="preserve">, Ronchi M, Forlani G, Bugianesi E, Bianchi G, Fabbri A, Zoli M, Melchionda N. Cardiovascular disease in cirrhosis--a point-prevalence study in relation to glucose tolerance. </w:t>
      </w:r>
      <w:r w:rsidRPr="00EF7CB1">
        <w:rPr>
          <w:rFonts w:ascii="Book Antiqua" w:hAnsi="Book Antiqua" w:cs="宋体"/>
          <w:i/>
          <w:iCs/>
          <w:sz w:val="24"/>
          <w:szCs w:val="24"/>
          <w:lang w:eastAsia="zh-CN"/>
        </w:rPr>
        <w:t>Am J Gastroenterol</w:t>
      </w:r>
      <w:r w:rsidRPr="00EF7CB1">
        <w:rPr>
          <w:rFonts w:ascii="Book Antiqua" w:hAnsi="Book Antiqua" w:cs="宋体"/>
          <w:sz w:val="24"/>
          <w:szCs w:val="24"/>
          <w:lang w:eastAsia="zh-CN"/>
        </w:rPr>
        <w:t xml:space="preserve"> 1999; </w:t>
      </w:r>
      <w:r w:rsidRPr="00EF7CB1">
        <w:rPr>
          <w:rFonts w:ascii="Book Antiqua" w:hAnsi="Book Antiqua" w:cs="宋体"/>
          <w:b/>
          <w:bCs/>
          <w:sz w:val="24"/>
          <w:szCs w:val="24"/>
          <w:lang w:eastAsia="zh-CN"/>
        </w:rPr>
        <w:t>94</w:t>
      </w:r>
      <w:r w:rsidRPr="00EF7CB1">
        <w:rPr>
          <w:rFonts w:ascii="Book Antiqua" w:hAnsi="Book Antiqua" w:cs="宋体"/>
          <w:sz w:val="24"/>
          <w:szCs w:val="24"/>
          <w:lang w:eastAsia="zh-CN"/>
        </w:rPr>
        <w:t>: 655-662 [PMID: 10086647]</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47 </w:t>
      </w:r>
      <w:r w:rsidRPr="00EF7CB1">
        <w:rPr>
          <w:rFonts w:ascii="Book Antiqua" w:hAnsi="Book Antiqua" w:cs="宋体"/>
          <w:b/>
          <w:bCs/>
          <w:sz w:val="24"/>
          <w:szCs w:val="24"/>
          <w:lang w:eastAsia="zh-CN"/>
        </w:rPr>
        <w:t>Petta S</w:t>
      </w:r>
      <w:r w:rsidRPr="00EF7CB1">
        <w:rPr>
          <w:rFonts w:ascii="Book Antiqua" w:hAnsi="Book Antiqua" w:cs="宋体"/>
          <w:sz w:val="24"/>
          <w:szCs w:val="24"/>
          <w:lang w:eastAsia="zh-CN"/>
        </w:rPr>
        <w:t xml:space="preserve">, Torres D, Fazio G, Cammà C, Cabibi D, Di Marco V, Licata A, Marchesini G, Mazzola A, Parrinello G, Novo S, Licata G, Craxì A. Carotid atherosclerosis and chronic hepatitis C: a prospective study of risk associations. </w:t>
      </w:r>
      <w:r w:rsidRPr="00EF7CB1">
        <w:rPr>
          <w:rFonts w:ascii="Book Antiqua" w:hAnsi="Book Antiqua" w:cs="宋体"/>
          <w:i/>
          <w:iCs/>
          <w:sz w:val="24"/>
          <w:szCs w:val="24"/>
          <w:lang w:eastAsia="zh-CN"/>
        </w:rPr>
        <w:t>Hepatology</w:t>
      </w:r>
      <w:r w:rsidRPr="00EF7CB1">
        <w:rPr>
          <w:rFonts w:ascii="Book Antiqua" w:hAnsi="Book Antiqua" w:cs="宋体"/>
          <w:sz w:val="24"/>
          <w:szCs w:val="24"/>
          <w:lang w:eastAsia="zh-CN"/>
        </w:rPr>
        <w:t xml:space="preserve"> 2012; </w:t>
      </w:r>
      <w:r w:rsidRPr="00EF7CB1">
        <w:rPr>
          <w:rFonts w:ascii="Book Antiqua" w:hAnsi="Book Antiqua" w:cs="宋体"/>
          <w:b/>
          <w:bCs/>
          <w:sz w:val="24"/>
          <w:szCs w:val="24"/>
          <w:lang w:eastAsia="zh-CN"/>
        </w:rPr>
        <w:t>55</w:t>
      </w:r>
      <w:r w:rsidRPr="00EF7CB1">
        <w:rPr>
          <w:rFonts w:ascii="Book Antiqua" w:hAnsi="Book Antiqua" w:cs="宋体"/>
          <w:sz w:val="24"/>
          <w:szCs w:val="24"/>
          <w:lang w:eastAsia="zh-CN"/>
        </w:rPr>
        <w:t>: 1317-1323 [PMID: 22135089 DOI: 10.1002/hep.25508]</w:t>
      </w:r>
    </w:p>
    <w:p w:rsidR="007275E3" w:rsidRPr="00EF7CB1" w:rsidRDefault="007275E3" w:rsidP="00A60D1E">
      <w:pPr>
        <w:spacing w:after="0" w:line="360" w:lineRule="auto"/>
        <w:jc w:val="both"/>
        <w:rPr>
          <w:rFonts w:ascii="Book Antiqua" w:hAnsi="Book Antiqua" w:cs="宋体"/>
          <w:sz w:val="24"/>
          <w:szCs w:val="24"/>
          <w:lang w:eastAsia="zh-CN"/>
        </w:rPr>
      </w:pPr>
      <w:r w:rsidRPr="00EF7CB1">
        <w:rPr>
          <w:rFonts w:ascii="Book Antiqua" w:hAnsi="Book Antiqua" w:cs="宋体"/>
          <w:sz w:val="24"/>
          <w:szCs w:val="24"/>
          <w:lang w:eastAsia="zh-CN"/>
        </w:rPr>
        <w:t xml:space="preserve">48 </w:t>
      </w:r>
      <w:r w:rsidRPr="00EF7CB1">
        <w:rPr>
          <w:rFonts w:ascii="Book Antiqua" w:hAnsi="Book Antiqua" w:cs="宋体"/>
          <w:b/>
          <w:bCs/>
          <w:sz w:val="24"/>
          <w:szCs w:val="24"/>
          <w:lang w:eastAsia="zh-CN"/>
        </w:rPr>
        <w:t>Adinolfi LE</w:t>
      </w:r>
      <w:r w:rsidRPr="00EF7CB1">
        <w:rPr>
          <w:rFonts w:ascii="Book Antiqua" w:hAnsi="Book Antiqua" w:cs="宋体"/>
          <w:sz w:val="24"/>
          <w:szCs w:val="24"/>
          <w:lang w:eastAsia="zh-CN"/>
        </w:rPr>
        <w:t xml:space="preserve">, Restivo L, Zampino R, Guerrera B, Lonardo A, Ruggiero L, Riello F, Loria P, Florio A. Chronic HCV infection is a risk of atherosclerosis. Role of HCV and HCV-related steatosis. </w:t>
      </w:r>
      <w:r w:rsidRPr="00EF7CB1">
        <w:rPr>
          <w:rFonts w:ascii="Book Antiqua" w:hAnsi="Book Antiqua" w:cs="宋体"/>
          <w:i/>
          <w:iCs/>
          <w:sz w:val="24"/>
          <w:szCs w:val="24"/>
          <w:lang w:eastAsia="zh-CN"/>
        </w:rPr>
        <w:t>Atherosclerosis</w:t>
      </w:r>
      <w:r w:rsidRPr="00EF7CB1">
        <w:rPr>
          <w:rFonts w:ascii="Book Antiqua" w:hAnsi="Book Antiqua" w:cs="宋体"/>
          <w:sz w:val="24"/>
          <w:szCs w:val="24"/>
          <w:lang w:eastAsia="zh-CN"/>
        </w:rPr>
        <w:t xml:space="preserve"> 2012; </w:t>
      </w:r>
      <w:r w:rsidRPr="00EF7CB1">
        <w:rPr>
          <w:rFonts w:ascii="Book Antiqua" w:hAnsi="Book Antiqua" w:cs="宋体"/>
          <w:b/>
          <w:bCs/>
          <w:sz w:val="24"/>
          <w:szCs w:val="24"/>
          <w:lang w:eastAsia="zh-CN"/>
        </w:rPr>
        <w:t>221</w:t>
      </w:r>
      <w:r w:rsidRPr="00EF7CB1">
        <w:rPr>
          <w:rFonts w:ascii="Book Antiqua" w:hAnsi="Book Antiqua" w:cs="宋体"/>
          <w:sz w:val="24"/>
          <w:szCs w:val="24"/>
          <w:lang w:eastAsia="zh-CN"/>
        </w:rPr>
        <w:t>: 496-502 [PMID: 22385985 DOI: 10.1016/j.atherosclerosis.2012.01.051]</w:t>
      </w:r>
    </w:p>
    <w:p w:rsidR="007275E3" w:rsidRPr="00EF7CB1" w:rsidRDefault="007275E3" w:rsidP="00A60D1E">
      <w:pPr>
        <w:spacing w:after="0" w:line="360" w:lineRule="auto"/>
        <w:jc w:val="right"/>
        <w:rPr>
          <w:rFonts w:ascii="Book Antiqua" w:hAnsi="Book Antiqua" w:cs="宋体"/>
          <w:sz w:val="24"/>
          <w:szCs w:val="24"/>
          <w:lang w:eastAsia="zh-CN"/>
        </w:rPr>
      </w:pPr>
      <w:bookmarkStart w:id="12" w:name="OLE_LINK32"/>
      <w:bookmarkStart w:id="13" w:name="OLE_LINK33"/>
      <w:bookmarkStart w:id="14" w:name="OLE_LINK13"/>
      <w:bookmarkStart w:id="15" w:name="OLE_LINK14"/>
      <w:bookmarkStart w:id="16" w:name="OLE_LINK43"/>
      <w:bookmarkStart w:id="17" w:name="OLE_LINK46"/>
      <w:bookmarkStart w:id="18" w:name="OLE_LINK63"/>
      <w:bookmarkStart w:id="19" w:name="OLE_LINK70"/>
      <w:r w:rsidRPr="00EF7CB1">
        <w:rPr>
          <w:rFonts w:ascii="Book Antiqua" w:hAnsi="Book Antiqua" w:cs="宋体"/>
          <w:b/>
          <w:sz w:val="24"/>
          <w:szCs w:val="24"/>
        </w:rPr>
        <w:t>P-Reviewers:</w:t>
      </w:r>
      <w:r w:rsidRPr="00EF7CB1">
        <w:rPr>
          <w:rFonts w:ascii="Book Antiqua" w:hAnsi="Book Antiqua"/>
          <w:sz w:val="24"/>
          <w:szCs w:val="24"/>
        </w:rPr>
        <w:t xml:space="preserve"> Hee</w:t>
      </w:r>
      <w:r w:rsidRPr="00EF7CB1">
        <w:rPr>
          <w:rFonts w:ascii="Book Antiqua" w:hAnsi="Book Antiqua"/>
          <w:sz w:val="24"/>
          <w:szCs w:val="24"/>
          <w:lang w:eastAsia="zh-CN"/>
        </w:rPr>
        <w:t xml:space="preserve"> Y, </w:t>
      </w:r>
      <w:r w:rsidRPr="00EF7CB1">
        <w:rPr>
          <w:rFonts w:ascii="Book Antiqua" w:hAnsi="Book Antiqua" w:cs="宋体"/>
          <w:sz w:val="24"/>
          <w:szCs w:val="24"/>
        </w:rPr>
        <w:t>Lonardo</w:t>
      </w:r>
      <w:r w:rsidRPr="00EF7CB1">
        <w:rPr>
          <w:rFonts w:ascii="Book Antiqua" w:hAnsi="Book Antiqua" w:cs="宋体"/>
          <w:sz w:val="24"/>
          <w:szCs w:val="24"/>
          <w:lang w:eastAsia="zh-CN"/>
        </w:rPr>
        <w:t xml:space="preserve"> A, Perazzo H</w:t>
      </w:r>
    </w:p>
    <w:p w:rsidR="007275E3" w:rsidRPr="00EF7CB1" w:rsidRDefault="007275E3" w:rsidP="00A60D1E">
      <w:pPr>
        <w:spacing w:after="0" w:line="360" w:lineRule="auto"/>
        <w:jc w:val="right"/>
        <w:rPr>
          <w:rFonts w:ascii="Book Antiqua" w:hAnsi="Book Antiqua" w:cs="宋体"/>
          <w:sz w:val="24"/>
          <w:szCs w:val="24"/>
        </w:rPr>
      </w:pPr>
      <w:r w:rsidRPr="00EF7CB1">
        <w:rPr>
          <w:rFonts w:ascii="Book Antiqua" w:hAnsi="Book Antiqua" w:cs="宋体"/>
          <w:b/>
          <w:sz w:val="24"/>
          <w:szCs w:val="24"/>
        </w:rPr>
        <w:t>S-Editor:</w:t>
      </w:r>
      <w:r w:rsidRPr="00EF7CB1">
        <w:rPr>
          <w:rFonts w:ascii="Book Antiqua" w:hAnsi="Book Antiqua" w:cs="宋体"/>
          <w:sz w:val="24"/>
          <w:szCs w:val="24"/>
        </w:rPr>
        <w:t xml:space="preserve"> Zhai HH</w:t>
      </w:r>
      <w:r w:rsidRPr="00EF7CB1">
        <w:rPr>
          <w:rFonts w:ascii="Book Antiqua" w:hAnsi="Book Antiqua" w:cs="宋体"/>
          <w:b/>
          <w:sz w:val="24"/>
          <w:szCs w:val="24"/>
        </w:rPr>
        <w:t xml:space="preserve"> L-Editor: E-Editor:</w:t>
      </w:r>
      <w:bookmarkEnd w:id="12"/>
      <w:bookmarkEnd w:id="13"/>
    </w:p>
    <w:bookmarkEnd w:id="14"/>
    <w:bookmarkEnd w:id="15"/>
    <w:bookmarkEnd w:id="16"/>
    <w:bookmarkEnd w:id="17"/>
    <w:bookmarkEnd w:id="18"/>
    <w:bookmarkEnd w:id="19"/>
    <w:p w:rsidR="007275E3" w:rsidRPr="00EF7CB1" w:rsidRDefault="007275E3" w:rsidP="00A60D1E">
      <w:pPr>
        <w:spacing w:after="0" w:line="360" w:lineRule="auto"/>
        <w:jc w:val="both"/>
        <w:rPr>
          <w:rFonts w:ascii="Book Antiqua" w:hAnsi="Book Antiqua"/>
          <w:b/>
          <w:sz w:val="24"/>
          <w:szCs w:val="24"/>
          <w:lang w:eastAsia="zh-CN"/>
        </w:rPr>
      </w:pPr>
    </w:p>
    <w:p w:rsidR="007275E3" w:rsidRPr="00EF7CB1" w:rsidRDefault="007275E3" w:rsidP="00A60D1E">
      <w:pPr>
        <w:spacing w:after="0" w:line="360" w:lineRule="auto"/>
        <w:jc w:val="both"/>
        <w:rPr>
          <w:rFonts w:ascii="Book Antiqua" w:hAnsi="Book Antiqua" w:cs="Arial"/>
          <w:sz w:val="24"/>
          <w:szCs w:val="24"/>
        </w:rPr>
      </w:pPr>
    </w:p>
    <w:p w:rsidR="007275E3" w:rsidRPr="00EF7CB1" w:rsidRDefault="007275E3" w:rsidP="00A60D1E">
      <w:pPr>
        <w:spacing w:after="0" w:line="360" w:lineRule="auto"/>
        <w:jc w:val="both"/>
        <w:rPr>
          <w:rFonts w:ascii="Book Antiqua" w:hAnsi="Book Antiqua" w:cs="Arial"/>
          <w:sz w:val="24"/>
          <w:szCs w:val="24"/>
        </w:rPr>
      </w:pPr>
    </w:p>
    <w:p w:rsidR="007275E3" w:rsidRPr="00EF7CB1" w:rsidRDefault="007275E3" w:rsidP="00A60D1E">
      <w:pPr>
        <w:spacing w:after="0" w:line="360" w:lineRule="auto"/>
        <w:ind w:left="-709"/>
        <w:jc w:val="both"/>
        <w:rPr>
          <w:rFonts w:ascii="Book Antiqua" w:hAnsi="Book Antiqua" w:cs="Arial"/>
          <w:b/>
          <w:sz w:val="24"/>
          <w:szCs w:val="24"/>
          <w:lang w:eastAsia="zh-CN"/>
        </w:rPr>
      </w:pPr>
    </w:p>
    <w:p w:rsidR="007275E3" w:rsidRPr="00EF7CB1" w:rsidRDefault="007275E3" w:rsidP="00A60D1E">
      <w:pPr>
        <w:spacing w:after="0" w:line="360" w:lineRule="auto"/>
        <w:ind w:left="-709"/>
        <w:jc w:val="both"/>
        <w:rPr>
          <w:rFonts w:ascii="Book Antiqua" w:hAnsi="Book Antiqua" w:cs="Arial"/>
          <w:b/>
          <w:sz w:val="24"/>
          <w:szCs w:val="24"/>
          <w:lang w:eastAsia="zh-CN"/>
        </w:rPr>
      </w:pPr>
    </w:p>
    <w:p w:rsidR="007275E3" w:rsidRPr="00EF7CB1" w:rsidRDefault="007275E3" w:rsidP="00A60D1E">
      <w:pPr>
        <w:spacing w:after="0" w:line="360" w:lineRule="auto"/>
        <w:ind w:left="-709"/>
        <w:jc w:val="both"/>
        <w:rPr>
          <w:rFonts w:ascii="Book Antiqua" w:hAnsi="Book Antiqua" w:cs="Arial"/>
          <w:b/>
          <w:sz w:val="24"/>
          <w:szCs w:val="24"/>
          <w:lang w:eastAsia="zh-CN"/>
        </w:rPr>
      </w:pPr>
    </w:p>
    <w:p w:rsidR="007275E3" w:rsidRPr="00EF7CB1" w:rsidRDefault="007275E3" w:rsidP="00A60D1E">
      <w:pPr>
        <w:spacing w:after="0" w:line="360" w:lineRule="auto"/>
        <w:ind w:left="-709"/>
        <w:jc w:val="both"/>
        <w:rPr>
          <w:rFonts w:ascii="Book Antiqua" w:hAnsi="Book Antiqua" w:cs="Arial"/>
          <w:sz w:val="24"/>
          <w:szCs w:val="24"/>
          <w:lang w:eastAsia="zh-CN"/>
        </w:rPr>
      </w:pPr>
      <w:r w:rsidRPr="00EF7CB1">
        <w:rPr>
          <w:rFonts w:ascii="Book Antiqua" w:hAnsi="Book Antiqua" w:cs="Arial"/>
          <w:b/>
          <w:sz w:val="24"/>
          <w:szCs w:val="24"/>
        </w:rPr>
        <w:lastRenderedPageBreak/>
        <w:t xml:space="preserve">Figure 1 Flowchart describing how selection of patients for the study was done. </w:t>
      </w:r>
      <w:r w:rsidRPr="00EF7CB1">
        <w:rPr>
          <w:rFonts w:ascii="Book Antiqua" w:hAnsi="Book Antiqua" w:cs="Arial"/>
          <w:sz w:val="24"/>
          <w:szCs w:val="24"/>
        </w:rPr>
        <w:t xml:space="preserve">LC: Liver cirrhosis; OGTT: Oral glucose tolerance test; IGT: Impaired glucose tolerance; DM: Diabetes mellitus. </w:t>
      </w:r>
    </w:p>
    <w:p w:rsidR="007275E3" w:rsidRPr="00EF7CB1" w:rsidRDefault="007275E3" w:rsidP="00A60D1E">
      <w:pPr>
        <w:spacing w:after="0" w:line="360" w:lineRule="auto"/>
        <w:ind w:left="-709"/>
        <w:jc w:val="both"/>
        <w:rPr>
          <w:rFonts w:ascii="Book Antiqua" w:hAnsi="Book Antiqua" w:cs="Arial"/>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shd w:val="clear" w:color="auto" w:fill="FFFFFF"/>
          <w:lang w:eastAsia="es-ES"/>
        </w:rPr>
      </w:pPr>
      <w:r w:rsidRPr="00EF7CB1">
        <w:rPr>
          <w:rFonts w:ascii="Book Antiqua" w:hAnsi="Book Antiqua" w:cs="Arial"/>
          <w:b/>
          <w:bCs/>
          <w:sz w:val="24"/>
          <w:szCs w:val="24"/>
          <w:shd w:val="clear" w:color="auto" w:fill="FFFFFF"/>
        </w:rPr>
        <w:t>Figure 2 Cumulated survival of cirrhotic patients</w:t>
      </w:r>
      <w:r w:rsidRPr="00EF7CB1">
        <w:rPr>
          <w:rStyle w:val="apple-converted-space"/>
          <w:rFonts w:ascii="Book Antiqua" w:hAnsi="Book Antiqua" w:cs="Arial"/>
          <w:b/>
          <w:bCs/>
          <w:sz w:val="24"/>
          <w:szCs w:val="24"/>
          <w:shd w:val="clear" w:color="auto" w:fill="FFFFFF"/>
        </w:rPr>
        <w:t> </w:t>
      </w:r>
      <w:r w:rsidRPr="00EF7CB1">
        <w:rPr>
          <w:rFonts w:ascii="Book Antiqua" w:hAnsi="Book Antiqua" w:cs="Arial"/>
          <w:b/>
          <w:bCs/>
          <w:sz w:val="24"/>
          <w:szCs w:val="24"/>
          <w:shd w:val="clear" w:color="auto" w:fill="FFFFFF"/>
        </w:rPr>
        <w:t>with </w:t>
      </w:r>
      <w:r w:rsidRPr="00EF7CB1">
        <w:rPr>
          <w:rFonts w:ascii="Book Antiqua" w:hAnsi="Book Antiqua" w:cs="Arial"/>
          <w:b/>
          <w:bCs/>
          <w:sz w:val="24"/>
          <w:szCs w:val="24"/>
          <w:shd w:val="clear" w:color="auto" w:fill="FFFFFF"/>
          <w:lang w:eastAsia="es-ES"/>
        </w:rPr>
        <w:t>normal glucose tolerance</w:t>
      </w:r>
      <w:r w:rsidRPr="00EF7CB1">
        <w:rPr>
          <w:rFonts w:ascii="Book Antiqua" w:hAnsi="Book Antiqua" w:cs="Arial"/>
          <w:b/>
          <w:bCs/>
          <w:sz w:val="24"/>
          <w:szCs w:val="24"/>
          <w:shd w:val="clear" w:color="auto" w:fill="FFFFFF"/>
        </w:rPr>
        <w:t xml:space="preserve"> or </w:t>
      </w:r>
      <w:r w:rsidRPr="00EF7CB1">
        <w:rPr>
          <w:rFonts w:ascii="Book Antiqua" w:hAnsi="Book Antiqua" w:cs="Arial"/>
          <w:b/>
          <w:bCs/>
          <w:sz w:val="24"/>
          <w:szCs w:val="24"/>
          <w:shd w:val="clear" w:color="auto" w:fill="FFFFFF"/>
          <w:lang w:eastAsia="es-ES"/>
        </w:rPr>
        <w:t>subclinical abnormal glucose tolerance</w:t>
      </w:r>
      <w:r w:rsidRPr="00EF7CB1">
        <w:rPr>
          <w:rFonts w:ascii="Book Antiqua" w:hAnsi="Book Antiqua" w:cs="Arial"/>
          <w:b/>
          <w:bCs/>
          <w:sz w:val="24"/>
          <w:szCs w:val="24"/>
          <w:shd w:val="clear" w:color="auto" w:fill="FFFFFF"/>
        </w:rPr>
        <w:t>.</w:t>
      </w:r>
      <w:r w:rsidRPr="00EF7CB1">
        <w:rPr>
          <w:rFonts w:ascii="Book Antiqua" w:hAnsi="Book Antiqua" w:cs="Arial"/>
          <w:bCs/>
          <w:sz w:val="24"/>
          <w:szCs w:val="24"/>
          <w:shd w:val="clear" w:color="auto" w:fill="FFFFFF"/>
        </w:rPr>
        <w:t xml:space="preserve"> Note that significant differences between both groups are evident after 3 years of follow up.</w:t>
      </w:r>
      <w:r w:rsidRPr="00EF7CB1">
        <w:rPr>
          <w:rFonts w:ascii="Book Antiqua" w:hAnsi="Book Antiqua" w:cs="Arial"/>
          <w:b/>
          <w:bCs/>
          <w:sz w:val="24"/>
          <w:szCs w:val="24"/>
          <w:shd w:val="clear" w:color="auto" w:fill="FFFFFF"/>
        </w:rPr>
        <w:t xml:space="preserve"> </w:t>
      </w:r>
      <w:r w:rsidRPr="00EF7CB1">
        <w:rPr>
          <w:rFonts w:ascii="Book Antiqua" w:hAnsi="Book Antiqua" w:cs="Arial"/>
          <w:bCs/>
          <w:sz w:val="24"/>
          <w:szCs w:val="24"/>
          <w:shd w:val="clear" w:color="auto" w:fill="FFFFFF"/>
          <w:lang w:eastAsia="es-ES"/>
        </w:rPr>
        <w:t>NGT: Normal glucose tolerance</w:t>
      </w:r>
      <w:r w:rsidRPr="00EF7CB1">
        <w:rPr>
          <w:rFonts w:ascii="Book Antiqua" w:hAnsi="Book Antiqua" w:cs="Arial"/>
          <w:bCs/>
          <w:sz w:val="24"/>
          <w:szCs w:val="24"/>
          <w:shd w:val="clear" w:color="auto" w:fill="FFFFFF"/>
          <w:lang w:eastAsia="zh-CN"/>
        </w:rPr>
        <w:t xml:space="preserve">; </w:t>
      </w:r>
      <w:r w:rsidRPr="00EF7CB1">
        <w:rPr>
          <w:rFonts w:ascii="Book Antiqua" w:hAnsi="Book Antiqua" w:cs="Arial"/>
          <w:bCs/>
          <w:sz w:val="24"/>
          <w:szCs w:val="24"/>
          <w:shd w:val="clear" w:color="auto" w:fill="FFFFFF"/>
          <w:lang w:eastAsia="es-ES"/>
        </w:rPr>
        <w:t>SAGT: Subclinical abnormal glucose tolerance</w:t>
      </w:r>
      <w:r>
        <w:rPr>
          <w:rFonts w:ascii="Book Antiqua" w:hAnsi="Book Antiqua" w:cs="Arial"/>
          <w:bCs/>
          <w:sz w:val="24"/>
          <w:szCs w:val="24"/>
          <w:shd w:val="clear" w:color="auto" w:fill="FFFFFF"/>
          <w:lang w:eastAsia="es-ES"/>
        </w:rPr>
        <w:t>.</w:t>
      </w:r>
    </w:p>
    <w:p w:rsidR="007275E3" w:rsidRPr="00EF7CB1" w:rsidRDefault="007275E3" w:rsidP="00A60D1E">
      <w:pPr>
        <w:spacing w:after="0" w:line="360" w:lineRule="auto"/>
        <w:ind w:left="-709"/>
        <w:jc w:val="both"/>
        <w:rPr>
          <w:rFonts w:ascii="Book Antiqua" w:hAnsi="Book Antiqua" w:cs="Arial"/>
          <w:bCs/>
          <w:sz w:val="24"/>
          <w:szCs w:val="24"/>
          <w:shd w:val="clear" w:color="auto" w:fill="FFFFFF"/>
          <w:lang w:eastAsia="es-ES"/>
        </w:rPr>
      </w:pPr>
    </w:p>
    <w:p w:rsidR="007275E3" w:rsidRPr="00EF7CB1" w:rsidRDefault="007275E3" w:rsidP="00A60D1E">
      <w:pPr>
        <w:spacing w:after="0" w:line="360" w:lineRule="auto"/>
        <w:ind w:left="-709"/>
        <w:jc w:val="both"/>
        <w:rPr>
          <w:rFonts w:ascii="Book Antiqua" w:hAnsi="Book Antiqua" w:cs="Arial"/>
          <w:b/>
          <w:bCs/>
          <w:sz w:val="24"/>
          <w:szCs w:val="24"/>
          <w:shd w:val="clear" w:color="auto" w:fill="FFFFFF"/>
          <w:lang w:eastAsia="es-ES"/>
        </w:rPr>
      </w:pPr>
    </w:p>
    <w:p w:rsidR="007275E3" w:rsidRPr="00EF7CB1" w:rsidRDefault="007275E3" w:rsidP="00A60D1E">
      <w:pPr>
        <w:spacing w:after="0" w:line="360" w:lineRule="auto"/>
        <w:jc w:val="both"/>
        <w:rPr>
          <w:rFonts w:ascii="Book Antiqua" w:hAnsi="Book Antiqua" w:cs="Arial"/>
          <w:sz w:val="24"/>
          <w:szCs w:val="24"/>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Cs/>
          <w:sz w:val="24"/>
          <w:szCs w:val="24"/>
          <w:lang w:eastAsia="zh-CN"/>
        </w:rPr>
      </w:pPr>
    </w:p>
    <w:p w:rsidR="007275E3" w:rsidRPr="00EF7CB1" w:rsidRDefault="007275E3" w:rsidP="00A60D1E">
      <w:pPr>
        <w:spacing w:after="0" w:line="360" w:lineRule="auto"/>
        <w:ind w:left="-709"/>
        <w:jc w:val="both"/>
        <w:rPr>
          <w:rFonts w:ascii="Book Antiqua" w:hAnsi="Book Antiqua" w:cs="Arial"/>
          <w:b/>
          <w:bCs/>
          <w:sz w:val="24"/>
          <w:szCs w:val="24"/>
        </w:rPr>
      </w:pPr>
      <w:r w:rsidRPr="00EF7CB1">
        <w:rPr>
          <w:rFonts w:ascii="Book Antiqua" w:hAnsi="Book Antiqua" w:cs="Arial"/>
          <w:b/>
          <w:bCs/>
          <w:sz w:val="24"/>
          <w:szCs w:val="24"/>
        </w:rPr>
        <w:lastRenderedPageBreak/>
        <w:t xml:space="preserve">Table 1 Clinical and biochemical characteristics of cirrhotic patients </w:t>
      </w:r>
      <w:r w:rsidRPr="009A3DAE">
        <w:rPr>
          <w:rFonts w:ascii="Book Antiqua" w:hAnsi="Book Antiqua" w:cs="Arial"/>
          <w:b/>
          <w:bCs/>
          <w:i/>
          <w:sz w:val="24"/>
          <w:szCs w:val="24"/>
        </w:rPr>
        <w:t>n</w:t>
      </w:r>
      <w:r>
        <w:rPr>
          <w:rFonts w:ascii="Book Antiqua" w:hAnsi="Book Antiqua" w:cs="Arial"/>
          <w:b/>
          <w:bCs/>
          <w:sz w:val="24"/>
          <w:szCs w:val="24"/>
        </w:rPr>
        <w:t xml:space="preserve"> (%)</w:t>
      </w:r>
    </w:p>
    <w:tbl>
      <w:tblPr>
        <w:tblpPr w:leftFromText="141" w:rightFromText="141" w:vertAnchor="page" w:horzAnchor="margin" w:tblpXSpec="center" w:tblpY="2228"/>
        <w:tblW w:w="10188" w:type="dxa"/>
        <w:tblLook w:val="00A0" w:firstRow="1" w:lastRow="0" w:firstColumn="1" w:lastColumn="0" w:noHBand="0" w:noVBand="0"/>
      </w:tblPr>
      <w:tblGrid>
        <w:gridCol w:w="3348"/>
        <w:gridCol w:w="183"/>
        <w:gridCol w:w="2157"/>
        <w:gridCol w:w="2340"/>
        <w:gridCol w:w="2160"/>
      </w:tblGrid>
      <w:tr w:rsidR="007275E3" w:rsidRPr="00396C9D" w:rsidTr="000348C3">
        <w:trPr>
          <w:trHeight w:val="358"/>
        </w:trPr>
        <w:tc>
          <w:tcPr>
            <w:tcW w:w="3531" w:type="dxa"/>
            <w:gridSpan w:val="2"/>
            <w:tcBorders>
              <w:top w:val="single" w:sz="4" w:space="0" w:color="auto"/>
              <w:bottom w:val="single" w:sz="4" w:space="0" w:color="auto"/>
            </w:tcBorders>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Variables</w:t>
            </w:r>
          </w:p>
        </w:tc>
        <w:tc>
          <w:tcPr>
            <w:tcW w:w="2157" w:type="dxa"/>
            <w:tcBorders>
              <w:top w:val="single" w:sz="4" w:space="0" w:color="auto"/>
              <w:bottom w:val="single" w:sz="4" w:space="0" w:color="auto"/>
            </w:tcBorders>
            <w:noWrap/>
            <w:vAlign w:val="center"/>
          </w:tcPr>
          <w:p w:rsidR="007275E3" w:rsidRPr="00396C9D" w:rsidRDefault="007275E3" w:rsidP="00A60D1E">
            <w:pPr>
              <w:spacing w:after="0" w:line="360" w:lineRule="auto"/>
              <w:jc w:val="both"/>
              <w:rPr>
                <w:rFonts w:ascii="Book Antiqua" w:hAnsi="Book Antiqua" w:cs="Arial"/>
                <w:bCs/>
                <w:i/>
                <w:sz w:val="24"/>
                <w:szCs w:val="24"/>
                <w:lang w:eastAsia="zh-CN"/>
              </w:rPr>
            </w:pPr>
            <w:r w:rsidRPr="00EF7CB1">
              <w:rPr>
                <w:rFonts w:ascii="Book Antiqua" w:hAnsi="Book Antiqua" w:cs="Arial"/>
                <w:bCs/>
                <w:sz w:val="24"/>
                <w:szCs w:val="24"/>
              </w:rPr>
              <w:t>Total (</w:t>
            </w:r>
            <w:r w:rsidRPr="00EF7CB1">
              <w:rPr>
                <w:rFonts w:ascii="Book Antiqua" w:hAnsi="Book Antiqua" w:cs="Arial"/>
                <w:bCs/>
                <w:i/>
                <w:sz w:val="24"/>
                <w:szCs w:val="24"/>
              </w:rPr>
              <w:t>n</w:t>
            </w:r>
            <w:r w:rsidRPr="00396C9D">
              <w:rPr>
                <w:rFonts w:ascii="Book Antiqua" w:hAnsi="Book Antiqua" w:cs="Arial"/>
                <w:bCs/>
                <w:i/>
                <w:sz w:val="24"/>
                <w:szCs w:val="24"/>
                <w:lang w:eastAsia="zh-CN"/>
              </w:rPr>
              <w:t xml:space="preserve"> </w:t>
            </w:r>
            <w:r w:rsidRPr="00EF7CB1">
              <w:rPr>
                <w:rFonts w:ascii="Book Antiqua" w:hAnsi="Book Antiqua" w:cs="Arial"/>
                <w:bCs/>
                <w:sz w:val="24"/>
                <w:szCs w:val="24"/>
              </w:rPr>
              <w:t>= 100)</w:t>
            </w:r>
          </w:p>
        </w:tc>
        <w:tc>
          <w:tcPr>
            <w:tcW w:w="2340" w:type="dxa"/>
            <w:tcBorders>
              <w:top w:val="single" w:sz="4" w:space="0" w:color="auto"/>
              <w:bottom w:val="single" w:sz="4" w:space="0" w:color="auto"/>
            </w:tcBorders>
            <w:vAlign w:val="center"/>
          </w:tcPr>
          <w:p w:rsidR="007275E3" w:rsidRPr="00396C9D" w:rsidRDefault="007275E3" w:rsidP="00A60D1E">
            <w:pPr>
              <w:spacing w:after="0" w:line="360" w:lineRule="auto"/>
              <w:jc w:val="both"/>
              <w:rPr>
                <w:rFonts w:ascii="Book Antiqua" w:hAnsi="Book Antiqua" w:cs="Arial"/>
                <w:bCs/>
                <w:i/>
                <w:sz w:val="24"/>
                <w:szCs w:val="24"/>
                <w:lang w:eastAsia="zh-CN"/>
              </w:rPr>
            </w:pPr>
            <w:r w:rsidRPr="00EF7CB1">
              <w:rPr>
                <w:rFonts w:ascii="Book Antiqua" w:hAnsi="Book Antiqua" w:cs="Arial"/>
                <w:bCs/>
                <w:sz w:val="24"/>
                <w:szCs w:val="24"/>
              </w:rPr>
              <w:t>NGT (</w:t>
            </w:r>
            <w:r w:rsidRPr="00EF7CB1">
              <w:rPr>
                <w:rFonts w:ascii="Book Antiqua" w:hAnsi="Book Antiqua" w:cs="Arial"/>
                <w:bCs/>
                <w:i/>
                <w:sz w:val="24"/>
                <w:szCs w:val="24"/>
              </w:rPr>
              <w:t>n</w:t>
            </w:r>
            <w:r w:rsidRPr="00396C9D">
              <w:rPr>
                <w:rFonts w:ascii="Book Antiqua" w:hAnsi="Book Antiqua" w:cs="Arial"/>
                <w:bCs/>
                <w:i/>
                <w:sz w:val="24"/>
                <w:szCs w:val="24"/>
                <w:lang w:eastAsia="zh-CN"/>
              </w:rPr>
              <w:t xml:space="preserve"> </w:t>
            </w:r>
            <w:r w:rsidRPr="00EF7CB1">
              <w:rPr>
                <w:rFonts w:ascii="Book Antiqua" w:hAnsi="Book Antiqua" w:cs="Arial"/>
                <w:bCs/>
                <w:sz w:val="24"/>
                <w:szCs w:val="24"/>
              </w:rPr>
              <w:t>=</w:t>
            </w:r>
            <w:r w:rsidRPr="00396C9D">
              <w:rPr>
                <w:rFonts w:ascii="Book Antiqua" w:hAnsi="Book Antiqua" w:cs="Arial"/>
                <w:bCs/>
                <w:sz w:val="24"/>
                <w:szCs w:val="24"/>
                <w:lang w:eastAsia="zh-CN"/>
              </w:rPr>
              <w:t xml:space="preserve"> </w:t>
            </w:r>
            <w:r w:rsidRPr="00EF7CB1">
              <w:rPr>
                <w:rFonts w:ascii="Book Antiqua" w:hAnsi="Book Antiqua" w:cs="Arial"/>
                <w:bCs/>
                <w:sz w:val="24"/>
                <w:szCs w:val="24"/>
              </w:rPr>
              <w:t>30)</w:t>
            </w:r>
          </w:p>
        </w:tc>
        <w:tc>
          <w:tcPr>
            <w:tcW w:w="2160" w:type="dxa"/>
            <w:tcBorders>
              <w:top w:val="single" w:sz="4" w:space="0" w:color="auto"/>
              <w:bottom w:val="single" w:sz="4" w:space="0" w:color="auto"/>
            </w:tcBorders>
            <w:vAlign w:val="center"/>
          </w:tcPr>
          <w:p w:rsidR="007275E3" w:rsidRPr="00396C9D" w:rsidRDefault="007275E3" w:rsidP="00A60D1E">
            <w:pPr>
              <w:spacing w:after="0" w:line="360" w:lineRule="auto"/>
              <w:jc w:val="both"/>
              <w:rPr>
                <w:rFonts w:ascii="Book Antiqua" w:hAnsi="Book Antiqua" w:cs="Arial"/>
                <w:bCs/>
                <w:i/>
                <w:sz w:val="24"/>
                <w:szCs w:val="24"/>
                <w:lang w:eastAsia="zh-CN"/>
              </w:rPr>
            </w:pPr>
            <w:r w:rsidRPr="00EF7CB1">
              <w:rPr>
                <w:rFonts w:ascii="Book Antiqua" w:hAnsi="Book Antiqua" w:cs="Arial"/>
                <w:bCs/>
                <w:sz w:val="24"/>
                <w:szCs w:val="24"/>
              </w:rPr>
              <w:t>SAGT (</w:t>
            </w:r>
            <w:r w:rsidRPr="00EF7CB1">
              <w:rPr>
                <w:rFonts w:ascii="Book Antiqua" w:hAnsi="Book Antiqua" w:cs="Arial"/>
                <w:bCs/>
                <w:i/>
                <w:sz w:val="24"/>
                <w:szCs w:val="24"/>
              </w:rPr>
              <w:t>n</w:t>
            </w:r>
            <w:r w:rsidRPr="00396C9D">
              <w:rPr>
                <w:rFonts w:ascii="Book Antiqua" w:hAnsi="Book Antiqua" w:cs="Arial"/>
                <w:bCs/>
                <w:i/>
                <w:sz w:val="24"/>
                <w:szCs w:val="24"/>
                <w:lang w:eastAsia="zh-CN"/>
              </w:rPr>
              <w:t xml:space="preserve"> </w:t>
            </w:r>
            <w:r w:rsidRPr="00EF7CB1">
              <w:rPr>
                <w:rFonts w:ascii="Book Antiqua" w:hAnsi="Book Antiqua" w:cs="Arial"/>
                <w:bCs/>
                <w:sz w:val="24"/>
                <w:szCs w:val="24"/>
              </w:rPr>
              <w:t>=</w:t>
            </w:r>
            <w:r w:rsidRPr="00396C9D">
              <w:rPr>
                <w:rFonts w:ascii="Book Antiqua" w:hAnsi="Book Antiqua" w:cs="Arial"/>
                <w:bCs/>
                <w:sz w:val="24"/>
                <w:szCs w:val="24"/>
                <w:lang w:eastAsia="zh-CN"/>
              </w:rPr>
              <w:t xml:space="preserve"> </w:t>
            </w:r>
            <w:r w:rsidRPr="00EF7CB1">
              <w:rPr>
                <w:rFonts w:ascii="Book Antiqua" w:hAnsi="Book Antiqua" w:cs="Arial"/>
                <w:bCs/>
                <w:sz w:val="24"/>
                <w:szCs w:val="24"/>
              </w:rPr>
              <w:t>70)</w:t>
            </w:r>
          </w:p>
        </w:tc>
      </w:tr>
      <w:tr w:rsidR="007275E3" w:rsidRPr="00396C9D" w:rsidTr="000348C3">
        <w:trPr>
          <w:trHeight w:val="300"/>
        </w:trPr>
        <w:tc>
          <w:tcPr>
            <w:tcW w:w="3348" w:type="dxa"/>
            <w:tcBorders>
              <w:top w:val="single" w:sz="4" w:space="0" w:color="auto"/>
            </w:tcBorders>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 xml:space="preserve">Age, yr </w:t>
            </w:r>
          </w:p>
        </w:tc>
        <w:tc>
          <w:tcPr>
            <w:tcW w:w="2340" w:type="dxa"/>
            <w:gridSpan w:val="2"/>
            <w:tcBorders>
              <w:top w:val="single" w:sz="4" w:space="0" w:color="auto"/>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53.9 </w:t>
            </w:r>
            <w:r w:rsidRPr="00396C9D">
              <w:rPr>
                <w:rFonts w:ascii="Book Antiqua" w:hAnsi="Book Antiqua" w:cs="Arial"/>
                <w:bCs/>
                <w:sz w:val="24"/>
                <w:szCs w:val="24"/>
              </w:rPr>
              <w:t>± 11.8</w:t>
            </w:r>
          </w:p>
        </w:tc>
        <w:tc>
          <w:tcPr>
            <w:tcW w:w="2340"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49.0 </w:t>
            </w:r>
            <w:r w:rsidRPr="00396C9D">
              <w:rPr>
                <w:rFonts w:ascii="Book Antiqua" w:hAnsi="Book Antiqua" w:cs="Arial"/>
                <w:bCs/>
                <w:sz w:val="24"/>
                <w:szCs w:val="24"/>
              </w:rPr>
              <w:t xml:space="preserve">± </w:t>
            </w:r>
            <w:r w:rsidRPr="00EF7CB1">
              <w:rPr>
                <w:rFonts w:ascii="Book Antiqua" w:hAnsi="Book Antiqua" w:cs="Arial"/>
                <w:bCs/>
                <w:sz w:val="24"/>
                <w:szCs w:val="24"/>
              </w:rPr>
              <w:t>12.0</w:t>
            </w:r>
          </w:p>
        </w:tc>
        <w:tc>
          <w:tcPr>
            <w:tcW w:w="2160"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lang w:eastAsia="zh-CN"/>
              </w:rPr>
            </w:pPr>
            <w:r w:rsidRPr="00EF7CB1">
              <w:rPr>
                <w:rFonts w:ascii="Book Antiqua" w:hAnsi="Book Antiqua" w:cs="Arial"/>
                <w:bCs/>
                <w:sz w:val="24"/>
                <w:szCs w:val="24"/>
              </w:rPr>
              <w:t xml:space="preserve">56.0 ± 11.1 </w:t>
            </w:r>
            <w:r w:rsidRPr="00396C9D">
              <w:rPr>
                <w:rFonts w:ascii="Book Antiqua" w:hAnsi="Book Antiqua" w:cs="Arial"/>
                <w:sz w:val="24"/>
                <w:szCs w:val="24"/>
                <w:vertAlign w:val="superscript"/>
                <w:lang w:eastAsia="zh-CN"/>
              </w:rPr>
              <w:t>1</w:t>
            </w:r>
          </w:p>
        </w:tc>
      </w:tr>
      <w:tr w:rsidR="007275E3" w:rsidRPr="00396C9D" w:rsidTr="000348C3">
        <w:trPr>
          <w:trHeight w:val="300"/>
        </w:trPr>
        <w:tc>
          <w:tcPr>
            <w:tcW w:w="3531" w:type="dxa"/>
            <w:gridSpan w:val="2"/>
            <w:tcBorders>
              <w:top w:val="nil"/>
            </w:tcBorders>
            <w:noWrap/>
            <w:vAlign w:val="center"/>
          </w:tcPr>
          <w:p w:rsidR="007275E3" w:rsidRPr="00396C9D" w:rsidRDefault="007275E3" w:rsidP="00A60D1E">
            <w:pPr>
              <w:spacing w:after="0" w:line="360" w:lineRule="auto"/>
              <w:jc w:val="both"/>
              <w:rPr>
                <w:rFonts w:ascii="Book Antiqua" w:hAnsi="Book Antiqua" w:cs="Arial"/>
                <w:bCs/>
                <w:sz w:val="24"/>
                <w:szCs w:val="24"/>
                <w:lang w:eastAsia="zh-CN"/>
              </w:rPr>
            </w:pPr>
            <w:r w:rsidRPr="00396C9D">
              <w:rPr>
                <w:rFonts w:ascii="Book Antiqua" w:hAnsi="Book Antiqua" w:cs="Arial"/>
                <w:bCs/>
                <w:sz w:val="24"/>
                <w:szCs w:val="24"/>
              </w:rPr>
              <w:t xml:space="preserve">BMI, </w:t>
            </w:r>
            <w:r w:rsidRPr="00396C9D">
              <w:rPr>
                <w:rFonts w:ascii="Book Antiqua" w:hAnsi="Book Antiqua" w:cs="Arial"/>
                <w:bCs/>
                <w:sz w:val="24"/>
                <w:szCs w:val="24"/>
                <w:lang w:eastAsia="zh-CN"/>
              </w:rPr>
              <w:t>kg/m</w:t>
            </w:r>
            <w:r w:rsidRPr="00396C9D">
              <w:rPr>
                <w:rFonts w:ascii="Book Antiqua" w:hAnsi="Book Antiqua" w:cs="Arial"/>
                <w:bCs/>
                <w:sz w:val="24"/>
                <w:szCs w:val="24"/>
                <w:vertAlign w:val="superscript"/>
                <w:lang w:eastAsia="zh-CN"/>
              </w:rPr>
              <w:t>2</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26.9</w:t>
            </w:r>
            <w:r w:rsidRPr="00396C9D">
              <w:rPr>
                <w:rFonts w:ascii="Book Antiqua" w:hAnsi="Book Antiqua" w:cs="Arial"/>
                <w:bCs/>
                <w:sz w:val="24"/>
                <w:szCs w:val="24"/>
                <w:lang w:eastAsia="zh-CN"/>
              </w:rPr>
              <w:t xml:space="preserve"> </w:t>
            </w:r>
            <w:r w:rsidRPr="00396C9D">
              <w:rPr>
                <w:rFonts w:ascii="Book Antiqua" w:hAnsi="Book Antiqua" w:cs="Arial"/>
                <w:bCs/>
                <w:sz w:val="24"/>
                <w:szCs w:val="24"/>
              </w:rPr>
              <w:t>±</w:t>
            </w:r>
            <w:r w:rsidRPr="00396C9D">
              <w:rPr>
                <w:rFonts w:ascii="Book Antiqua" w:hAnsi="Book Antiqua" w:cs="Arial"/>
                <w:bCs/>
                <w:sz w:val="24"/>
                <w:szCs w:val="24"/>
                <w:lang w:eastAsia="zh-CN"/>
              </w:rPr>
              <w:t xml:space="preserve"> </w:t>
            </w:r>
            <w:r w:rsidRPr="00396C9D">
              <w:rPr>
                <w:rFonts w:ascii="Book Antiqua" w:hAnsi="Book Antiqua" w:cs="Arial"/>
                <w:bCs/>
                <w:sz w:val="24"/>
                <w:szCs w:val="24"/>
              </w:rPr>
              <w:t>4.2</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26.4 </w:t>
            </w:r>
            <w:r w:rsidRPr="00396C9D">
              <w:rPr>
                <w:rFonts w:ascii="Book Antiqua" w:hAnsi="Book Antiqua" w:cs="Arial"/>
                <w:bCs/>
                <w:sz w:val="24"/>
                <w:szCs w:val="24"/>
              </w:rPr>
              <w:t>±</w:t>
            </w:r>
            <w:r w:rsidRPr="00396C9D">
              <w:rPr>
                <w:rFonts w:ascii="Book Antiqua" w:hAnsi="Book Antiqua" w:cs="Arial"/>
                <w:bCs/>
                <w:sz w:val="24"/>
                <w:szCs w:val="24"/>
                <w:lang w:eastAsia="zh-CN"/>
              </w:rPr>
              <w:t xml:space="preserve"> </w:t>
            </w:r>
            <w:r w:rsidRPr="00EF7CB1">
              <w:rPr>
                <w:rFonts w:ascii="Book Antiqua" w:hAnsi="Book Antiqua" w:cs="Arial"/>
                <w:bCs/>
                <w:sz w:val="24"/>
                <w:szCs w:val="24"/>
              </w:rPr>
              <w:t>4.40</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27.21 ± 4.15</w:t>
            </w:r>
          </w:p>
        </w:tc>
      </w:tr>
      <w:tr w:rsidR="007275E3" w:rsidRPr="00396C9D" w:rsidTr="000348C3">
        <w:trPr>
          <w:trHeight w:val="300"/>
        </w:trPr>
        <w:tc>
          <w:tcPr>
            <w:tcW w:w="3531" w:type="dxa"/>
            <w:gridSpan w:val="2"/>
            <w:tcBorders>
              <w:top w:val="nil"/>
            </w:tcBorders>
            <w:noWrap/>
            <w:vAlign w:val="center"/>
          </w:tcPr>
          <w:p w:rsidR="007275E3" w:rsidRPr="00396C9D" w:rsidRDefault="007275E3" w:rsidP="00A60D1E">
            <w:pPr>
              <w:spacing w:after="0" w:line="360" w:lineRule="auto"/>
              <w:jc w:val="both"/>
              <w:rPr>
                <w:rFonts w:ascii="Book Antiqua" w:hAnsi="Book Antiqua" w:cs="Arial"/>
                <w:bCs/>
                <w:sz w:val="24"/>
                <w:szCs w:val="24"/>
                <w:lang w:eastAsia="zh-CN"/>
              </w:rPr>
            </w:pPr>
            <w:r w:rsidRPr="00396C9D">
              <w:rPr>
                <w:rFonts w:ascii="Book Antiqua" w:hAnsi="Book Antiqua" w:cs="Arial"/>
                <w:bCs/>
                <w:sz w:val="24"/>
                <w:szCs w:val="24"/>
              </w:rPr>
              <w:t>Males,</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60 (60)</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18 (60)</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42 (60)</w:t>
            </w:r>
          </w:p>
        </w:tc>
      </w:tr>
      <w:tr w:rsidR="007275E3" w:rsidRPr="00396C9D" w:rsidTr="000348C3">
        <w:trPr>
          <w:trHeight w:val="300"/>
        </w:trPr>
        <w:tc>
          <w:tcPr>
            <w:tcW w:w="3531" w:type="dxa"/>
            <w:gridSpan w:val="2"/>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Etiology: Alcohol</w:t>
            </w:r>
          </w:p>
        </w:tc>
        <w:tc>
          <w:tcPr>
            <w:tcW w:w="2157"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47(47)</w:t>
            </w:r>
          </w:p>
        </w:tc>
        <w:tc>
          <w:tcPr>
            <w:tcW w:w="234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14 (46.6)</w:t>
            </w:r>
          </w:p>
        </w:tc>
        <w:tc>
          <w:tcPr>
            <w:tcW w:w="216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33(47.1)</w:t>
            </w:r>
          </w:p>
        </w:tc>
      </w:tr>
      <w:tr w:rsidR="007275E3" w:rsidRPr="00396C9D" w:rsidTr="000348C3">
        <w:trPr>
          <w:trHeight w:val="300"/>
        </w:trPr>
        <w:tc>
          <w:tcPr>
            <w:tcW w:w="3531" w:type="dxa"/>
            <w:gridSpan w:val="2"/>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 HBV</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4(4)</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 (3.3)</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3 (4.2) </w:t>
            </w:r>
          </w:p>
        </w:tc>
      </w:tr>
      <w:tr w:rsidR="007275E3" w:rsidRPr="00396C9D" w:rsidTr="000348C3">
        <w:trPr>
          <w:trHeight w:val="300"/>
        </w:trPr>
        <w:tc>
          <w:tcPr>
            <w:tcW w:w="3531" w:type="dxa"/>
            <w:gridSpan w:val="2"/>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 HCV</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13 (13)</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 (6.6)</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11(15.7)</w:t>
            </w:r>
          </w:p>
        </w:tc>
      </w:tr>
      <w:tr w:rsidR="007275E3" w:rsidRPr="00396C9D" w:rsidTr="000348C3">
        <w:trPr>
          <w:trHeight w:val="300"/>
        </w:trPr>
        <w:tc>
          <w:tcPr>
            <w:tcW w:w="3531" w:type="dxa"/>
            <w:gridSpan w:val="2"/>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 xml:space="preserve"> Autoimmunity</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10 (10)</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 (10)</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7 (10)</w:t>
            </w:r>
          </w:p>
        </w:tc>
      </w:tr>
      <w:tr w:rsidR="007275E3" w:rsidRPr="00396C9D" w:rsidTr="000348C3">
        <w:trPr>
          <w:trHeight w:val="300"/>
        </w:trPr>
        <w:tc>
          <w:tcPr>
            <w:tcW w:w="3531" w:type="dxa"/>
            <w:gridSpan w:val="2"/>
            <w:noWrap/>
            <w:vAlign w:val="center"/>
          </w:tcPr>
          <w:p w:rsidR="007275E3" w:rsidRPr="00EF7CB1"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 xml:space="preserve"> Cryptogenic</w:t>
            </w:r>
          </w:p>
        </w:tc>
        <w:tc>
          <w:tcPr>
            <w:tcW w:w="2157"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26 (26)</w:t>
            </w:r>
          </w:p>
        </w:tc>
        <w:tc>
          <w:tcPr>
            <w:tcW w:w="234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10 (33.3)</w:t>
            </w:r>
          </w:p>
        </w:tc>
        <w:tc>
          <w:tcPr>
            <w:tcW w:w="216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16 (22.8)</w:t>
            </w:r>
          </w:p>
        </w:tc>
      </w:tr>
      <w:tr w:rsidR="007275E3" w:rsidRPr="00396C9D" w:rsidTr="000348C3">
        <w:trPr>
          <w:trHeight w:val="300"/>
        </w:trPr>
        <w:tc>
          <w:tcPr>
            <w:tcW w:w="3531" w:type="dxa"/>
            <w:gridSpan w:val="2"/>
            <w:noWrap/>
            <w:vAlign w:val="center"/>
          </w:tcPr>
          <w:p w:rsidR="007275E3" w:rsidRPr="00396C9D" w:rsidRDefault="007275E3" w:rsidP="00A60D1E">
            <w:pPr>
              <w:spacing w:after="0" w:line="360" w:lineRule="auto"/>
              <w:jc w:val="both"/>
              <w:rPr>
                <w:rFonts w:ascii="Book Antiqua" w:hAnsi="Book Antiqua" w:cs="Arial"/>
                <w:bCs/>
                <w:sz w:val="24"/>
                <w:szCs w:val="24"/>
                <w:lang w:eastAsia="zh-CN"/>
              </w:rPr>
            </w:pPr>
            <w:r w:rsidRPr="00396C9D">
              <w:rPr>
                <w:rStyle w:val="a9"/>
                <w:rFonts w:ascii="Book Antiqua" w:hAnsi="Book Antiqua" w:cs="Arial"/>
                <w:bCs/>
                <w:i w:val="0"/>
                <w:sz w:val="24"/>
                <w:szCs w:val="24"/>
                <w:shd w:val="clear" w:color="auto" w:fill="FFFFFF"/>
              </w:rPr>
              <w:t>Liver biopsy</w:t>
            </w:r>
          </w:p>
        </w:tc>
        <w:tc>
          <w:tcPr>
            <w:tcW w:w="2157"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44 (44)</w:t>
            </w:r>
          </w:p>
        </w:tc>
        <w:tc>
          <w:tcPr>
            <w:tcW w:w="234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13 (43.3)</w:t>
            </w:r>
          </w:p>
        </w:tc>
        <w:tc>
          <w:tcPr>
            <w:tcW w:w="216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31 (44.2)</w:t>
            </w:r>
          </w:p>
        </w:tc>
      </w:tr>
      <w:tr w:rsidR="007275E3" w:rsidRPr="00396C9D" w:rsidTr="000348C3">
        <w:trPr>
          <w:trHeight w:val="300"/>
        </w:trPr>
        <w:tc>
          <w:tcPr>
            <w:tcW w:w="3531" w:type="dxa"/>
            <w:gridSpan w:val="2"/>
            <w:tcBorders>
              <w:top w:val="nil"/>
            </w:tcBorders>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Length of LC, mo</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21.6 +27.6</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21.4 ± 30.6</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21.7 ± 33.2</w:t>
            </w:r>
          </w:p>
        </w:tc>
      </w:tr>
      <w:tr w:rsidR="007275E3" w:rsidRPr="00396C9D" w:rsidTr="000348C3">
        <w:trPr>
          <w:trHeight w:val="542"/>
        </w:trPr>
        <w:tc>
          <w:tcPr>
            <w:tcW w:w="3531" w:type="dxa"/>
            <w:gridSpan w:val="2"/>
            <w:noWrap/>
            <w:vAlign w:val="center"/>
          </w:tcPr>
          <w:p w:rsidR="007275E3" w:rsidRPr="00EF7CB1"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Hemoglobin</w:t>
            </w:r>
            <w:r w:rsidRPr="00EF7CB1">
              <w:rPr>
                <w:rFonts w:ascii="Book Antiqua" w:hAnsi="Book Antiqua" w:cs="Arial"/>
                <w:bCs/>
                <w:sz w:val="24"/>
                <w:szCs w:val="24"/>
              </w:rPr>
              <w:t xml:space="preserve"> , g/dL</w:t>
            </w:r>
          </w:p>
        </w:tc>
        <w:tc>
          <w:tcPr>
            <w:tcW w:w="2157"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11.8 </w:t>
            </w:r>
            <w:r w:rsidRPr="00396C9D">
              <w:rPr>
                <w:rFonts w:ascii="Book Antiqua" w:hAnsi="Book Antiqua" w:cs="Arial"/>
                <w:bCs/>
                <w:sz w:val="24"/>
                <w:szCs w:val="24"/>
              </w:rPr>
              <w:t>± 2.3</w:t>
            </w:r>
          </w:p>
        </w:tc>
        <w:tc>
          <w:tcPr>
            <w:tcW w:w="234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11.6 </w:t>
            </w:r>
            <w:r w:rsidRPr="00396C9D">
              <w:rPr>
                <w:rFonts w:ascii="Book Antiqua" w:hAnsi="Book Antiqua" w:cs="Arial"/>
                <w:bCs/>
                <w:sz w:val="24"/>
                <w:szCs w:val="24"/>
              </w:rPr>
              <w:t xml:space="preserve">± </w:t>
            </w:r>
            <w:r w:rsidRPr="00EF7CB1">
              <w:rPr>
                <w:rFonts w:ascii="Book Antiqua" w:hAnsi="Book Antiqua" w:cs="Arial"/>
                <w:bCs/>
                <w:sz w:val="24"/>
                <w:szCs w:val="24"/>
              </w:rPr>
              <w:t>2.1</w:t>
            </w:r>
          </w:p>
        </w:tc>
        <w:tc>
          <w:tcPr>
            <w:tcW w:w="216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11.9 ± 2.3</w:t>
            </w:r>
          </w:p>
        </w:tc>
      </w:tr>
      <w:tr w:rsidR="007275E3" w:rsidRPr="00396C9D" w:rsidTr="000348C3">
        <w:trPr>
          <w:trHeight w:val="395"/>
        </w:trPr>
        <w:tc>
          <w:tcPr>
            <w:tcW w:w="3531" w:type="dxa"/>
            <w:gridSpan w:val="2"/>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Platelets , x mm</w:t>
            </w:r>
            <w:r w:rsidRPr="00EF7CB1">
              <w:rPr>
                <w:rFonts w:ascii="Book Antiqua" w:hAnsi="Book Antiqua" w:cs="Arial"/>
                <w:bCs/>
                <w:sz w:val="24"/>
                <w:szCs w:val="24"/>
                <w:vertAlign w:val="superscript"/>
              </w:rPr>
              <w:t>3</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128140 </w:t>
            </w:r>
            <w:r w:rsidRPr="00396C9D">
              <w:rPr>
                <w:rFonts w:ascii="Book Antiqua" w:hAnsi="Book Antiqua" w:cs="Arial"/>
                <w:bCs/>
                <w:sz w:val="24"/>
                <w:szCs w:val="24"/>
              </w:rPr>
              <w:t>± 89,501</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159186 </w:t>
            </w:r>
            <w:r w:rsidRPr="00396C9D">
              <w:rPr>
                <w:rFonts w:ascii="Book Antiqua" w:hAnsi="Book Antiqua" w:cs="Arial"/>
                <w:bCs/>
                <w:sz w:val="24"/>
                <w:szCs w:val="24"/>
              </w:rPr>
              <w:t xml:space="preserve">± </w:t>
            </w:r>
            <w:r w:rsidRPr="00EF7CB1">
              <w:rPr>
                <w:rFonts w:ascii="Book Antiqua" w:hAnsi="Book Antiqua" w:cs="Arial"/>
                <w:bCs/>
                <w:sz w:val="24"/>
                <w:szCs w:val="24"/>
              </w:rPr>
              <w:t>112,108</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114,834 ± 73269</w:t>
            </w:r>
          </w:p>
        </w:tc>
      </w:tr>
      <w:tr w:rsidR="007275E3" w:rsidRPr="00396C9D" w:rsidTr="000348C3">
        <w:trPr>
          <w:trHeight w:val="300"/>
        </w:trPr>
        <w:tc>
          <w:tcPr>
            <w:tcW w:w="3531" w:type="dxa"/>
            <w:gridSpan w:val="2"/>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INR</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1.3 ± 0.3</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1.2 ± 0.3</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lang w:eastAsia="zh-CN"/>
              </w:rPr>
            </w:pPr>
            <w:r w:rsidRPr="00EF7CB1">
              <w:rPr>
                <w:rFonts w:ascii="Book Antiqua" w:hAnsi="Book Antiqua" w:cs="Arial"/>
                <w:bCs/>
                <w:sz w:val="24"/>
                <w:szCs w:val="24"/>
              </w:rPr>
              <w:t xml:space="preserve">1.36 ± .03 </w:t>
            </w:r>
            <w:r w:rsidRPr="00396C9D">
              <w:rPr>
                <w:rFonts w:ascii="Book Antiqua" w:hAnsi="Book Antiqua" w:cs="Arial"/>
                <w:sz w:val="24"/>
                <w:szCs w:val="24"/>
                <w:vertAlign w:val="superscript"/>
                <w:lang w:eastAsia="zh-CN"/>
              </w:rPr>
              <w:t>2</w:t>
            </w:r>
          </w:p>
        </w:tc>
      </w:tr>
      <w:tr w:rsidR="007275E3" w:rsidRPr="00396C9D" w:rsidTr="000348C3">
        <w:trPr>
          <w:trHeight w:val="300"/>
        </w:trPr>
        <w:tc>
          <w:tcPr>
            <w:tcW w:w="3531" w:type="dxa"/>
            <w:gridSpan w:val="2"/>
            <w:tcBorders>
              <w:top w:val="nil"/>
            </w:tcBorders>
            <w:noWrap/>
            <w:vAlign w:val="center"/>
          </w:tcPr>
          <w:p w:rsidR="007275E3" w:rsidRPr="00396C9D" w:rsidRDefault="007275E3" w:rsidP="00A60D1E">
            <w:pPr>
              <w:spacing w:after="0" w:line="360" w:lineRule="auto"/>
              <w:jc w:val="both"/>
              <w:rPr>
                <w:rFonts w:ascii="Book Antiqua" w:hAnsi="Book Antiqua" w:cs="Arial"/>
                <w:bCs/>
                <w:sz w:val="24"/>
                <w:szCs w:val="24"/>
                <w:lang w:eastAsia="zh-CN"/>
              </w:rPr>
            </w:pPr>
            <w:r w:rsidRPr="00EF7CB1">
              <w:rPr>
                <w:rFonts w:ascii="Book Antiqua" w:hAnsi="Book Antiqua" w:cs="Arial"/>
                <w:bCs/>
                <w:sz w:val="24"/>
                <w:szCs w:val="24"/>
              </w:rPr>
              <w:t>Creatinine, mg/dL</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0.8 </w:t>
            </w:r>
            <w:r w:rsidRPr="00396C9D">
              <w:rPr>
                <w:rFonts w:ascii="Book Antiqua" w:hAnsi="Book Antiqua" w:cs="Arial"/>
                <w:bCs/>
                <w:sz w:val="24"/>
                <w:szCs w:val="24"/>
              </w:rPr>
              <w:t>± 0.2</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0.90 </w:t>
            </w:r>
            <w:r w:rsidRPr="00396C9D">
              <w:rPr>
                <w:rFonts w:ascii="Book Antiqua" w:hAnsi="Book Antiqua" w:cs="Arial"/>
                <w:bCs/>
                <w:sz w:val="24"/>
                <w:szCs w:val="24"/>
              </w:rPr>
              <w:t xml:space="preserve">± </w:t>
            </w:r>
            <w:r w:rsidRPr="00EF7CB1">
              <w:rPr>
                <w:rFonts w:ascii="Book Antiqua" w:hAnsi="Book Antiqua" w:cs="Arial"/>
                <w:bCs/>
                <w:sz w:val="24"/>
                <w:szCs w:val="24"/>
              </w:rPr>
              <w:t>0.33</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0.83 ± 0.2</w:t>
            </w:r>
          </w:p>
        </w:tc>
      </w:tr>
      <w:tr w:rsidR="007275E3" w:rsidRPr="00396C9D" w:rsidTr="000348C3">
        <w:trPr>
          <w:trHeight w:val="300"/>
        </w:trPr>
        <w:tc>
          <w:tcPr>
            <w:tcW w:w="3531" w:type="dxa"/>
            <w:gridSpan w:val="2"/>
            <w:tcBorders>
              <w:top w:val="nil"/>
            </w:tcBorders>
            <w:noWrap/>
            <w:vAlign w:val="center"/>
          </w:tcPr>
          <w:p w:rsidR="007275E3" w:rsidRPr="00396C9D" w:rsidRDefault="007275E3" w:rsidP="00A60D1E">
            <w:pPr>
              <w:spacing w:after="0" w:line="360" w:lineRule="auto"/>
              <w:jc w:val="both"/>
              <w:rPr>
                <w:rFonts w:ascii="Book Antiqua" w:hAnsi="Book Antiqua" w:cs="Arial"/>
                <w:bCs/>
                <w:sz w:val="24"/>
                <w:szCs w:val="24"/>
                <w:lang w:eastAsia="zh-CN"/>
              </w:rPr>
            </w:pPr>
            <w:r w:rsidRPr="00EF7CB1">
              <w:rPr>
                <w:rFonts w:ascii="Book Antiqua" w:hAnsi="Book Antiqua" w:cs="Arial"/>
                <w:bCs/>
                <w:sz w:val="24"/>
                <w:szCs w:val="24"/>
              </w:rPr>
              <w:t>Albumin, g/dL</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3.2 </w:t>
            </w:r>
            <w:r w:rsidRPr="00396C9D">
              <w:rPr>
                <w:rFonts w:ascii="Book Antiqua" w:hAnsi="Book Antiqua" w:cs="Arial"/>
                <w:bCs/>
                <w:sz w:val="24"/>
                <w:szCs w:val="24"/>
              </w:rPr>
              <w:t>± 0.73</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3.33 </w:t>
            </w:r>
            <w:r w:rsidRPr="00396C9D">
              <w:rPr>
                <w:rFonts w:ascii="Book Antiqua" w:hAnsi="Book Antiqua" w:cs="Arial"/>
                <w:bCs/>
                <w:sz w:val="24"/>
                <w:szCs w:val="24"/>
              </w:rPr>
              <w:t xml:space="preserve">± </w:t>
            </w:r>
            <w:r w:rsidRPr="00EF7CB1">
              <w:rPr>
                <w:rFonts w:ascii="Book Antiqua" w:hAnsi="Book Antiqua" w:cs="Arial"/>
                <w:bCs/>
                <w:sz w:val="24"/>
                <w:szCs w:val="24"/>
              </w:rPr>
              <w:t>0.71</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3.21 ± 0.74</w:t>
            </w:r>
          </w:p>
        </w:tc>
      </w:tr>
      <w:tr w:rsidR="007275E3" w:rsidRPr="00396C9D" w:rsidTr="000348C3">
        <w:trPr>
          <w:trHeight w:val="300"/>
        </w:trPr>
        <w:tc>
          <w:tcPr>
            <w:tcW w:w="3531" w:type="dxa"/>
            <w:gridSpan w:val="2"/>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ALT, UI /L</w:t>
            </w:r>
          </w:p>
        </w:tc>
        <w:tc>
          <w:tcPr>
            <w:tcW w:w="2157" w:type="dxa"/>
            <w:tcBorders>
              <w:top w:val="nil"/>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46.5 </w:t>
            </w:r>
            <w:r w:rsidRPr="00396C9D">
              <w:rPr>
                <w:rFonts w:ascii="Book Antiqua" w:hAnsi="Book Antiqua" w:cs="Arial"/>
                <w:bCs/>
                <w:sz w:val="24"/>
                <w:szCs w:val="24"/>
              </w:rPr>
              <w:t>± 40.8</w:t>
            </w:r>
          </w:p>
        </w:tc>
        <w:tc>
          <w:tcPr>
            <w:tcW w:w="234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48.9 </w:t>
            </w:r>
            <w:r w:rsidRPr="00396C9D">
              <w:rPr>
                <w:rFonts w:ascii="Book Antiqua" w:hAnsi="Book Antiqua" w:cs="Arial"/>
                <w:bCs/>
                <w:sz w:val="24"/>
                <w:szCs w:val="24"/>
              </w:rPr>
              <w:t xml:space="preserve">± </w:t>
            </w:r>
            <w:r w:rsidRPr="00EF7CB1">
              <w:rPr>
                <w:rFonts w:ascii="Book Antiqua" w:hAnsi="Book Antiqua" w:cs="Arial"/>
                <w:bCs/>
                <w:sz w:val="24"/>
                <w:szCs w:val="24"/>
              </w:rPr>
              <w:t>53.9</w:t>
            </w:r>
          </w:p>
        </w:tc>
        <w:tc>
          <w:tcPr>
            <w:tcW w:w="2160" w:type="dxa"/>
            <w:tcBorders>
              <w:top w:val="nil"/>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45.4 ± 34.</w:t>
            </w:r>
          </w:p>
        </w:tc>
      </w:tr>
      <w:tr w:rsidR="007275E3" w:rsidRPr="00396C9D" w:rsidTr="000348C3">
        <w:trPr>
          <w:trHeight w:val="300"/>
        </w:trPr>
        <w:tc>
          <w:tcPr>
            <w:tcW w:w="3531" w:type="dxa"/>
            <w:gridSpan w:val="2"/>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Total bilirubin, mg/dL</w:t>
            </w:r>
          </w:p>
        </w:tc>
        <w:tc>
          <w:tcPr>
            <w:tcW w:w="2157"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1.71 </w:t>
            </w:r>
            <w:r w:rsidRPr="00396C9D">
              <w:rPr>
                <w:rFonts w:ascii="Book Antiqua" w:hAnsi="Book Antiqua" w:cs="Arial"/>
                <w:bCs/>
                <w:sz w:val="24"/>
                <w:szCs w:val="24"/>
              </w:rPr>
              <w:t>± 0.90</w:t>
            </w:r>
          </w:p>
        </w:tc>
        <w:tc>
          <w:tcPr>
            <w:tcW w:w="234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1.55 </w:t>
            </w:r>
            <w:r w:rsidRPr="00396C9D">
              <w:rPr>
                <w:rFonts w:ascii="Book Antiqua" w:hAnsi="Book Antiqua" w:cs="Arial"/>
                <w:bCs/>
                <w:sz w:val="24"/>
                <w:szCs w:val="24"/>
              </w:rPr>
              <w:t xml:space="preserve">± </w:t>
            </w:r>
            <w:r w:rsidRPr="00EF7CB1">
              <w:rPr>
                <w:rFonts w:ascii="Book Antiqua" w:hAnsi="Book Antiqua" w:cs="Arial"/>
                <w:bCs/>
                <w:sz w:val="24"/>
                <w:szCs w:val="24"/>
              </w:rPr>
              <w:t>0.88</w:t>
            </w:r>
          </w:p>
        </w:tc>
        <w:tc>
          <w:tcPr>
            <w:tcW w:w="216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1.78 ± 0.91</w:t>
            </w:r>
          </w:p>
        </w:tc>
      </w:tr>
      <w:tr w:rsidR="007275E3" w:rsidRPr="00396C9D" w:rsidTr="000348C3">
        <w:trPr>
          <w:trHeight w:val="285"/>
        </w:trPr>
        <w:tc>
          <w:tcPr>
            <w:tcW w:w="3531" w:type="dxa"/>
            <w:gridSpan w:val="2"/>
            <w:noWrap/>
            <w:vAlign w:val="center"/>
          </w:tcPr>
          <w:p w:rsidR="007275E3" w:rsidRPr="00EF7CB1" w:rsidRDefault="007275E3" w:rsidP="00A60D1E">
            <w:pPr>
              <w:spacing w:after="0" w:line="360" w:lineRule="auto"/>
              <w:jc w:val="both"/>
              <w:rPr>
                <w:rFonts w:ascii="Book Antiqua" w:hAnsi="Book Antiqua" w:cs="Arial"/>
                <w:bCs/>
                <w:sz w:val="24"/>
                <w:szCs w:val="24"/>
                <w:lang w:eastAsia="zh-CN"/>
              </w:rPr>
            </w:pPr>
            <w:r w:rsidRPr="00396C9D">
              <w:rPr>
                <w:rFonts w:ascii="Book Antiqua" w:hAnsi="Book Antiqua" w:cs="Arial"/>
                <w:bCs/>
                <w:sz w:val="24"/>
                <w:szCs w:val="24"/>
              </w:rPr>
              <w:t>Fasting plasma insulin, µU/mL,</w:t>
            </w:r>
          </w:p>
        </w:tc>
        <w:tc>
          <w:tcPr>
            <w:tcW w:w="2157" w:type="dxa"/>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15.9 ± 10.2</w:t>
            </w:r>
          </w:p>
        </w:tc>
        <w:tc>
          <w:tcPr>
            <w:tcW w:w="2340" w:type="dxa"/>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11.9 ± 7.6</w:t>
            </w:r>
          </w:p>
        </w:tc>
        <w:tc>
          <w:tcPr>
            <w:tcW w:w="2160" w:type="dxa"/>
            <w:vAlign w:val="center"/>
          </w:tcPr>
          <w:p w:rsidR="007275E3" w:rsidRPr="00396C9D" w:rsidRDefault="007275E3" w:rsidP="00A60D1E">
            <w:pPr>
              <w:spacing w:after="0" w:line="360" w:lineRule="auto"/>
              <w:jc w:val="both"/>
              <w:rPr>
                <w:rFonts w:ascii="Book Antiqua" w:hAnsi="Book Antiqua" w:cs="Arial"/>
                <w:bCs/>
                <w:sz w:val="24"/>
                <w:szCs w:val="24"/>
                <w:lang w:eastAsia="zh-CN"/>
              </w:rPr>
            </w:pPr>
            <w:r w:rsidRPr="00396C9D">
              <w:rPr>
                <w:rFonts w:ascii="Book Antiqua" w:hAnsi="Book Antiqua" w:cs="Arial"/>
                <w:bCs/>
                <w:sz w:val="24"/>
                <w:szCs w:val="24"/>
              </w:rPr>
              <w:t xml:space="preserve">18.2 ± 11 </w:t>
            </w:r>
            <w:r w:rsidRPr="00396C9D">
              <w:rPr>
                <w:rFonts w:ascii="Book Antiqua" w:hAnsi="Book Antiqua" w:cs="Arial"/>
                <w:sz w:val="24"/>
                <w:szCs w:val="24"/>
                <w:vertAlign w:val="superscript"/>
                <w:lang w:eastAsia="zh-CN"/>
              </w:rPr>
              <w:t>3</w:t>
            </w:r>
          </w:p>
        </w:tc>
      </w:tr>
      <w:tr w:rsidR="007275E3" w:rsidRPr="00396C9D" w:rsidTr="000348C3">
        <w:trPr>
          <w:trHeight w:val="300"/>
        </w:trPr>
        <w:tc>
          <w:tcPr>
            <w:tcW w:w="3531" w:type="dxa"/>
            <w:gridSpan w:val="2"/>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HOMA2,score </w:t>
            </w:r>
          </w:p>
        </w:tc>
        <w:tc>
          <w:tcPr>
            <w:tcW w:w="2157" w:type="dxa"/>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2.67 ± 1.6</w:t>
            </w:r>
          </w:p>
        </w:tc>
        <w:tc>
          <w:tcPr>
            <w:tcW w:w="2340" w:type="dxa"/>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2.36 ± 1.46</w:t>
            </w:r>
          </w:p>
        </w:tc>
        <w:tc>
          <w:tcPr>
            <w:tcW w:w="2160" w:type="dxa"/>
            <w:vAlign w:val="center"/>
          </w:tcPr>
          <w:p w:rsidR="007275E3" w:rsidRPr="00396C9D" w:rsidRDefault="007275E3" w:rsidP="00A60D1E">
            <w:pPr>
              <w:spacing w:after="0" w:line="360" w:lineRule="auto"/>
              <w:jc w:val="both"/>
              <w:rPr>
                <w:rFonts w:ascii="Book Antiqua" w:hAnsi="Book Antiqua" w:cs="Arial"/>
                <w:bCs/>
                <w:sz w:val="24"/>
                <w:szCs w:val="24"/>
                <w:lang w:eastAsia="zh-CN"/>
              </w:rPr>
            </w:pPr>
            <w:r w:rsidRPr="00396C9D">
              <w:rPr>
                <w:rFonts w:ascii="Book Antiqua" w:hAnsi="Book Antiqua" w:cs="Arial"/>
                <w:bCs/>
                <w:sz w:val="24"/>
                <w:szCs w:val="24"/>
              </w:rPr>
              <w:t xml:space="preserve">4.6 ± 3.3 </w:t>
            </w:r>
            <w:r w:rsidRPr="00396C9D">
              <w:rPr>
                <w:rFonts w:ascii="Book Antiqua" w:hAnsi="Book Antiqua" w:cs="Arial"/>
                <w:sz w:val="24"/>
                <w:szCs w:val="24"/>
                <w:vertAlign w:val="superscript"/>
                <w:lang w:eastAsia="zh-CN"/>
              </w:rPr>
              <w:t>4</w:t>
            </w:r>
          </w:p>
        </w:tc>
      </w:tr>
      <w:tr w:rsidR="007275E3" w:rsidRPr="00396C9D" w:rsidTr="000348C3">
        <w:trPr>
          <w:trHeight w:val="300"/>
        </w:trPr>
        <w:tc>
          <w:tcPr>
            <w:tcW w:w="3531" w:type="dxa"/>
            <w:gridSpan w:val="2"/>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Child-Pugh A</w:t>
            </w:r>
            <w:r w:rsidRPr="00EF7CB1">
              <w:rPr>
                <w:rFonts w:ascii="Book Antiqua" w:hAnsi="Book Antiqua" w:cs="Arial"/>
                <w:bCs/>
                <w:i/>
                <w:sz w:val="24"/>
                <w:szCs w:val="24"/>
              </w:rPr>
              <w:t xml:space="preserve"> </w:t>
            </w:r>
          </w:p>
        </w:tc>
        <w:tc>
          <w:tcPr>
            <w:tcW w:w="2157"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47 (47)</w:t>
            </w:r>
          </w:p>
        </w:tc>
        <w:tc>
          <w:tcPr>
            <w:tcW w:w="234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15 (50)</w:t>
            </w:r>
          </w:p>
        </w:tc>
        <w:tc>
          <w:tcPr>
            <w:tcW w:w="216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32 (45.7)</w:t>
            </w:r>
          </w:p>
        </w:tc>
      </w:tr>
      <w:tr w:rsidR="007275E3" w:rsidRPr="00396C9D" w:rsidTr="000348C3">
        <w:trPr>
          <w:trHeight w:val="300"/>
        </w:trPr>
        <w:tc>
          <w:tcPr>
            <w:tcW w:w="3531" w:type="dxa"/>
            <w:gridSpan w:val="2"/>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  B </w:t>
            </w:r>
          </w:p>
        </w:tc>
        <w:tc>
          <w:tcPr>
            <w:tcW w:w="2157"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53 (53)</w:t>
            </w:r>
          </w:p>
        </w:tc>
        <w:tc>
          <w:tcPr>
            <w:tcW w:w="234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15 (50)</w:t>
            </w:r>
          </w:p>
        </w:tc>
        <w:tc>
          <w:tcPr>
            <w:tcW w:w="216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38 (54.2)</w:t>
            </w:r>
          </w:p>
        </w:tc>
      </w:tr>
      <w:tr w:rsidR="007275E3" w:rsidRPr="00396C9D" w:rsidTr="000348C3">
        <w:trPr>
          <w:trHeight w:val="300"/>
        </w:trPr>
        <w:tc>
          <w:tcPr>
            <w:tcW w:w="3531" w:type="dxa"/>
            <w:gridSpan w:val="2"/>
            <w:noWrap/>
            <w:vAlign w:val="center"/>
          </w:tcPr>
          <w:p w:rsidR="007275E3" w:rsidRPr="00EF7CB1" w:rsidRDefault="007275E3" w:rsidP="00A60D1E">
            <w:pPr>
              <w:spacing w:after="0" w:line="360" w:lineRule="auto"/>
              <w:jc w:val="both"/>
              <w:rPr>
                <w:rFonts w:ascii="Book Antiqua" w:hAnsi="Book Antiqua" w:cs="Arial"/>
                <w:bCs/>
                <w:sz w:val="24"/>
                <w:szCs w:val="24"/>
                <w:lang w:eastAsia="zh-CN"/>
              </w:rPr>
            </w:pPr>
            <w:r w:rsidRPr="00396C9D">
              <w:rPr>
                <w:rFonts w:ascii="Book Antiqua" w:hAnsi="Book Antiqua" w:cs="Arial"/>
                <w:bCs/>
                <w:sz w:val="24"/>
                <w:szCs w:val="24"/>
              </w:rPr>
              <w:t>Child Pugh score</w:t>
            </w:r>
          </w:p>
        </w:tc>
        <w:tc>
          <w:tcPr>
            <w:tcW w:w="2157"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6.8 </w:t>
            </w:r>
            <w:r w:rsidRPr="00396C9D">
              <w:rPr>
                <w:rFonts w:ascii="Book Antiqua" w:hAnsi="Book Antiqua" w:cs="Arial"/>
                <w:bCs/>
                <w:sz w:val="24"/>
                <w:szCs w:val="24"/>
              </w:rPr>
              <w:t>± 1.8</w:t>
            </w:r>
          </w:p>
        </w:tc>
        <w:tc>
          <w:tcPr>
            <w:tcW w:w="234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6.5 ± 1.61</w:t>
            </w:r>
          </w:p>
        </w:tc>
        <w:tc>
          <w:tcPr>
            <w:tcW w:w="216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6.82 ± 1.67</w:t>
            </w:r>
          </w:p>
        </w:tc>
      </w:tr>
      <w:tr w:rsidR="007275E3" w:rsidRPr="00396C9D" w:rsidTr="000348C3">
        <w:trPr>
          <w:trHeight w:val="300"/>
        </w:trPr>
        <w:tc>
          <w:tcPr>
            <w:tcW w:w="3531" w:type="dxa"/>
            <w:gridSpan w:val="2"/>
            <w:noWrap/>
            <w:vAlign w:val="center"/>
          </w:tcPr>
          <w:p w:rsidR="007275E3" w:rsidRPr="00EF7CB1"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 xml:space="preserve">MELD score, </w:t>
            </w:r>
          </w:p>
        </w:tc>
        <w:tc>
          <w:tcPr>
            <w:tcW w:w="2157"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8.94 </w:t>
            </w:r>
            <w:r w:rsidRPr="00396C9D">
              <w:rPr>
                <w:rFonts w:ascii="Book Antiqua" w:hAnsi="Book Antiqua" w:cs="Arial"/>
                <w:bCs/>
                <w:sz w:val="24"/>
                <w:szCs w:val="24"/>
              </w:rPr>
              <w:t>± 4.8</w:t>
            </w:r>
          </w:p>
        </w:tc>
        <w:tc>
          <w:tcPr>
            <w:tcW w:w="234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8.3 ± 5.2</w:t>
            </w:r>
          </w:p>
        </w:tc>
        <w:tc>
          <w:tcPr>
            <w:tcW w:w="216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9.21 ± 4.63</w:t>
            </w:r>
          </w:p>
        </w:tc>
      </w:tr>
      <w:tr w:rsidR="007275E3" w:rsidRPr="00396C9D" w:rsidTr="000348C3">
        <w:trPr>
          <w:trHeight w:val="300"/>
        </w:trPr>
        <w:tc>
          <w:tcPr>
            <w:tcW w:w="3531" w:type="dxa"/>
            <w:gridSpan w:val="2"/>
            <w:tcBorders>
              <w:bottom w:val="single" w:sz="4" w:space="0" w:color="auto"/>
            </w:tcBorders>
            <w:noWrap/>
            <w:vAlign w:val="center"/>
          </w:tcPr>
          <w:p w:rsidR="007275E3" w:rsidRPr="00396C9D" w:rsidRDefault="007275E3" w:rsidP="00A60D1E">
            <w:pPr>
              <w:spacing w:after="0" w:line="360" w:lineRule="auto"/>
              <w:jc w:val="both"/>
              <w:rPr>
                <w:rFonts w:ascii="Book Antiqua" w:hAnsi="Book Antiqua" w:cs="Arial"/>
                <w:bCs/>
                <w:sz w:val="24"/>
                <w:szCs w:val="24"/>
                <w:lang w:eastAsia="zh-CN"/>
              </w:rPr>
            </w:pPr>
            <w:r w:rsidRPr="00396C9D">
              <w:rPr>
                <w:rFonts w:ascii="Book Antiqua" w:hAnsi="Book Antiqua" w:cs="Arial"/>
                <w:sz w:val="24"/>
                <w:szCs w:val="24"/>
              </w:rPr>
              <w:t>Survival, d</w:t>
            </w:r>
          </w:p>
        </w:tc>
        <w:tc>
          <w:tcPr>
            <w:tcW w:w="2157" w:type="dxa"/>
            <w:tcBorders>
              <w:bottom w:val="single" w:sz="4" w:space="0" w:color="auto"/>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1237</w:t>
            </w:r>
          </w:p>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(990-1925)</w:t>
            </w:r>
          </w:p>
        </w:tc>
        <w:tc>
          <w:tcPr>
            <w:tcW w:w="2340"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1448</w:t>
            </w:r>
          </w:p>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(1256-1925)</w:t>
            </w:r>
          </w:p>
        </w:tc>
        <w:tc>
          <w:tcPr>
            <w:tcW w:w="2160"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1116</w:t>
            </w:r>
          </w:p>
          <w:p w:rsidR="007275E3" w:rsidRPr="00EF7CB1" w:rsidRDefault="007275E3" w:rsidP="00A60D1E">
            <w:pPr>
              <w:spacing w:after="0" w:line="360" w:lineRule="auto"/>
              <w:jc w:val="both"/>
              <w:rPr>
                <w:rFonts w:ascii="Book Antiqua" w:hAnsi="Book Antiqua" w:cs="Arial"/>
                <w:bCs/>
                <w:sz w:val="24"/>
                <w:szCs w:val="24"/>
                <w:lang w:eastAsia="zh-CN"/>
              </w:rPr>
            </w:pPr>
            <w:r w:rsidRPr="00EF7CB1">
              <w:rPr>
                <w:rFonts w:ascii="Book Antiqua" w:hAnsi="Book Antiqua" w:cs="Arial"/>
                <w:bCs/>
                <w:sz w:val="24"/>
                <w:szCs w:val="24"/>
              </w:rPr>
              <w:t>(990-1790)</w:t>
            </w:r>
            <w:r w:rsidRPr="00396C9D">
              <w:rPr>
                <w:rFonts w:ascii="Book Antiqua" w:hAnsi="Book Antiqua" w:cs="Arial"/>
                <w:sz w:val="24"/>
                <w:szCs w:val="24"/>
                <w:vertAlign w:val="superscript"/>
                <w:lang w:eastAsia="zh-CN"/>
              </w:rPr>
              <w:t>5</w:t>
            </w:r>
          </w:p>
        </w:tc>
      </w:tr>
    </w:tbl>
    <w:p w:rsidR="007275E3" w:rsidRPr="00EF7CB1"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宋体"/>
          <w:iCs/>
          <w:sz w:val="24"/>
          <w:szCs w:val="24"/>
        </w:rPr>
        <w:lastRenderedPageBreak/>
        <w:t xml:space="preserve">Data are expressed as absolute numbers (percentage) or mean ± SD. </w:t>
      </w:r>
      <w:r w:rsidRPr="00EF7CB1">
        <w:rPr>
          <w:rFonts w:ascii="Book Antiqua" w:hAnsi="Book Antiqua" w:cs="Arial"/>
          <w:sz w:val="24"/>
          <w:szCs w:val="24"/>
          <w:vertAlign w:val="superscript"/>
          <w:lang w:eastAsia="zh-CN"/>
        </w:rPr>
        <w:t>1</w:t>
      </w:r>
      <w:r w:rsidRPr="00EF7CB1">
        <w:rPr>
          <w:rFonts w:ascii="Book Antiqua" w:hAnsi="Book Antiqua" w:cs="Arial"/>
          <w:i/>
          <w:iCs/>
          <w:sz w:val="24"/>
          <w:szCs w:val="24"/>
        </w:rPr>
        <w:t>P</w:t>
      </w:r>
      <w:r w:rsidRPr="00EF7CB1">
        <w:rPr>
          <w:rFonts w:ascii="Book Antiqua" w:hAnsi="Book Antiqua" w:cs="Arial"/>
          <w:i/>
          <w:iCs/>
          <w:sz w:val="24"/>
          <w:szCs w:val="24"/>
          <w:lang w:eastAsia="zh-CN"/>
        </w:rPr>
        <w:t xml:space="preserve"> </w:t>
      </w:r>
      <w:r w:rsidRPr="00EF7CB1">
        <w:rPr>
          <w:rFonts w:ascii="Book Antiqua" w:hAnsi="Book Antiqua" w:cs="Arial"/>
          <w:sz w:val="24"/>
          <w:szCs w:val="24"/>
        </w:rPr>
        <w:t>= 0.003;</w:t>
      </w:r>
      <w:r w:rsidRPr="00EF7CB1">
        <w:rPr>
          <w:rFonts w:ascii="Book Antiqua" w:hAnsi="Book Antiqua" w:cs="Arial"/>
          <w:sz w:val="24"/>
          <w:szCs w:val="24"/>
          <w:lang w:eastAsia="zh-CN"/>
        </w:rPr>
        <w:t xml:space="preserve"> </w:t>
      </w:r>
      <w:r w:rsidRPr="00EF7CB1">
        <w:rPr>
          <w:rFonts w:ascii="Book Antiqua" w:hAnsi="Book Antiqua" w:cs="Arial"/>
          <w:sz w:val="24"/>
          <w:szCs w:val="24"/>
          <w:vertAlign w:val="superscript"/>
          <w:lang w:eastAsia="zh-CN"/>
        </w:rPr>
        <w:t>2</w:t>
      </w:r>
      <w:r w:rsidRPr="00EF7CB1">
        <w:rPr>
          <w:rFonts w:ascii="Book Antiqua" w:hAnsi="Book Antiqua" w:cs="Arial"/>
          <w:i/>
          <w:iCs/>
          <w:sz w:val="24"/>
          <w:szCs w:val="24"/>
        </w:rPr>
        <w:t>P</w:t>
      </w:r>
      <w:r w:rsidRPr="00EF7CB1">
        <w:rPr>
          <w:rFonts w:ascii="Book Antiqua" w:hAnsi="Book Antiqua" w:cs="Arial"/>
          <w:i/>
          <w:iCs/>
          <w:sz w:val="24"/>
          <w:szCs w:val="24"/>
          <w:lang w:eastAsia="zh-CN"/>
        </w:rPr>
        <w:t xml:space="preserve"> </w:t>
      </w:r>
      <w:r w:rsidRPr="00EF7CB1">
        <w:rPr>
          <w:rFonts w:ascii="Book Antiqua" w:hAnsi="Book Antiqua" w:cs="Arial"/>
          <w:sz w:val="24"/>
          <w:szCs w:val="24"/>
        </w:rPr>
        <w:t>=</w:t>
      </w:r>
      <w:r w:rsidRPr="00EF7CB1">
        <w:rPr>
          <w:rFonts w:ascii="Book Antiqua" w:hAnsi="Book Antiqua" w:cs="Arial"/>
          <w:sz w:val="24"/>
          <w:szCs w:val="24"/>
          <w:lang w:eastAsia="zh-CN"/>
        </w:rPr>
        <w:t xml:space="preserve"> </w:t>
      </w:r>
      <w:r w:rsidRPr="00EF7CB1">
        <w:rPr>
          <w:rFonts w:ascii="Book Antiqua" w:hAnsi="Book Antiqua" w:cs="Arial"/>
          <w:sz w:val="24"/>
          <w:szCs w:val="24"/>
        </w:rPr>
        <w:t xml:space="preserve">0.025; </w:t>
      </w:r>
      <w:r w:rsidRPr="00EF7CB1">
        <w:rPr>
          <w:rFonts w:ascii="Book Antiqua" w:hAnsi="Book Antiqua" w:cs="Arial"/>
          <w:sz w:val="24"/>
          <w:szCs w:val="24"/>
          <w:vertAlign w:val="superscript"/>
          <w:lang w:eastAsia="zh-CN"/>
        </w:rPr>
        <w:t>3</w:t>
      </w:r>
      <w:r w:rsidRPr="00EF7CB1">
        <w:rPr>
          <w:rFonts w:ascii="Book Antiqua" w:hAnsi="Book Antiqua" w:cs="Arial"/>
          <w:i/>
          <w:iCs/>
          <w:sz w:val="24"/>
          <w:szCs w:val="24"/>
        </w:rPr>
        <w:t>P</w:t>
      </w:r>
      <w:r w:rsidRPr="00EF7CB1">
        <w:rPr>
          <w:rFonts w:ascii="Book Antiqua" w:hAnsi="Book Antiqua" w:cs="Arial"/>
          <w:i/>
          <w:iCs/>
          <w:sz w:val="24"/>
          <w:szCs w:val="24"/>
          <w:lang w:eastAsia="zh-CN"/>
        </w:rPr>
        <w:t xml:space="preserve"> </w:t>
      </w:r>
      <w:r w:rsidRPr="00EF7CB1">
        <w:rPr>
          <w:rFonts w:ascii="Book Antiqua" w:hAnsi="Book Antiqua" w:cs="Arial"/>
          <w:sz w:val="24"/>
          <w:szCs w:val="24"/>
        </w:rPr>
        <w:t>=</w:t>
      </w:r>
      <w:r w:rsidRPr="00EF7CB1">
        <w:rPr>
          <w:rFonts w:ascii="Book Antiqua" w:hAnsi="Book Antiqua" w:cs="Arial"/>
          <w:sz w:val="24"/>
          <w:szCs w:val="24"/>
          <w:lang w:eastAsia="zh-CN"/>
        </w:rPr>
        <w:t xml:space="preserve"> </w:t>
      </w:r>
      <w:r w:rsidRPr="00EF7CB1">
        <w:rPr>
          <w:rFonts w:ascii="Book Antiqua" w:hAnsi="Book Antiqua" w:cs="Arial"/>
          <w:sz w:val="24"/>
          <w:szCs w:val="24"/>
        </w:rPr>
        <w:t xml:space="preserve">0.03; </w:t>
      </w:r>
      <w:r w:rsidRPr="00EF7CB1">
        <w:rPr>
          <w:rFonts w:ascii="Book Antiqua" w:hAnsi="Book Antiqua" w:cs="Arial"/>
          <w:sz w:val="24"/>
          <w:szCs w:val="24"/>
          <w:vertAlign w:val="superscript"/>
          <w:lang w:eastAsia="zh-CN"/>
        </w:rPr>
        <w:t>4</w:t>
      </w:r>
      <w:r w:rsidRPr="00EF7CB1">
        <w:rPr>
          <w:rFonts w:ascii="Book Antiqua" w:hAnsi="Book Antiqua" w:cs="Arial"/>
          <w:i/>
          <w:iCs/>
          <w:sz w:val="24"/>
          <w:szCs w:val="24"/>
        </w:rPr>
        <w:t>P</w:t>
      </w:r>
      <w:r w:rsidRPr="00EF7CB1">
        <w:rPr>
          <w:rFonts w:ascii="Book Antiqua" w:hAnsi="Book Antiqua" w:cs="Arial"/>
          <w:i/>
          <w:iCs/>
          <w:sz w:val="24"/>
          <w:szCs w:val="24"/>
          <w:lang w:eastAsia="zh-CN"/>
        </w:rPr>
        <w:t xml:space="preserve"> </w:t>
      </w:r>
      <w:r w:rsidRPr="00EF7CB1">
        <w:rPr>
          <w:rFonts w:ascii="Book Antiqua" w:hAnsi="Book Antiqua" w:cs="Arial"/>
          <w:sz w:val="24"/>
          <w:szCs w:val="24"/>
        </w:rPr>
        <w:t>=</w:t>
      </w:r>
      <w:r w:rsidRPr="00EF7CB1">
        <w:rPr>
          <w:rFonts w:ascii="Book Antiqua" w:hAnsi="Book Antiqua" w:cs="Arial"/>
          <w:sz w:val="24"/>
          <w:szCs w:val="24"/>
          <w:lang w:eastAsia="zh-CN"/>
        </w:rPr>
        <w:t xml:space="preserve"> </w:t>
      </w:r>
      <w:r w:rsidRPr="00EF7CB1">
        <w:rPr>
          <w:rFonts w:ascii="Book Antiqua" w:hAnsi="Book Antiqua" w:cs="Arial"/>
          <w:sz w:val="24"/>
          <w:szCs w:val="24"/>
        </w:rPr>
        <w:t>0.009;</w:t>
      </w:r>
      <w:r w:rsidRPr="00EF7CB1">
        <w:rPr>
          <w:rFonts w:ascii="Book Antiqua" w:hAnsi="Book Antiqua" w:cs="Arial"/>
          <w:sz w:val="24"/>
          <w:szCs w:val="24"/>
          <w:lang w:eastAsia="zh-CN"/>
        </w:rPr>
        <w:t xml:space="preserve"> </w:t>
      </w:r>
      <w:r w:rsidRPr="00EF7CB1">
        <w:rPr>
          <w:rFonts w:ascii="Book Antiqua" w:hAnsi="Book Antiqua" w:cs="Arial"/>
          <w:sz w:val="24"/>
          <w:szCs w:val="24"/>
          <w:vertAlign w:val="superscript"/>
          <w:lang w:eastAsia="zh-CN"/>
        </w:rPr>
        <w:t>5</w:t>
      </w:r>
      <w:r w:rsidRPr="00EF7CB1">
        <w:rPr>
          <w:rFonts w:ascii="Book Antiqua" w:hAnsi="Book Antiqua" w:cs="Arial"/>
          <w:i/>
          <w:iCs/>
          <w:sz w:val="24"/>
          <w:szCs w:val="24"/>
        </w:rPr>
        <w:t>P</w:t>
      </w:r>
      <w:r w:rsidRPr="00EF7CB1">
        <w:rPr>
          <w:rFonts w:ascii="Book Antiqua" w:hAnsi="Book Antiqua" w:cs="Arial"/>
          <w:i/>
          <w:iCs/>
          <w:sz w:val="24"/>
          <w:szCs w:val="24"/>
          <w:lang w:eastAsia="zh-CN"/>
        </w:rPr>
        <w:t xml:space="preserve"> </w:t>
      </w:r>
      <w:r w:rsidRPr="00EF7CB1">
        <w:rPr>
          <w:rFonts w:ascii="Book Antiqua" w:hAnsi="Book Antiqua" w:cs="Arial"/>
          <w:sz w:val="24"/>
          <w:szCs w:val="24"/>
        </w:rPr>
        <w:t>=</w:t>
      </w:r>
      <w:r w:rsidRPr="00EF7CB1">
        <w:rPr>
          <w:rFonts w:ascii="Book Antiqua" w:hAnsi="Book Antiqua" w:cs="Arial"/>
          <w:sz w:val="24"/>
          <w:szCs w:val="24"/>
          <w:lang w:eastAsia="zh-CN"/>
        </w:rPr>
        <w:t xml:space="preserve"> </w:t>
      </w:r>
      <w:r w:rsidRPr="00EF7CB1">
        <w:rPr>
          <w:rFonts w:ascii="Book Antiqua" w:hAnsi="Book Antiqua" w:cs="Arial"/>
          <w:sz w:val="24"/>
          <w:szCs w:val="24"/>
        </w:rPr>
        <w:t>0.045</w:t>
      </w:r>
      <w:r w:rsidRPr="00EF7CB1">
        <w:rPr>
          <w:rFonts w:ascii="Book Antiqua" w:hAnsi="Book Antiqua" w:cs="宋体"/>
          <w:iCs/>
          <w:sz w:val="24"/>
          <w:szCs w:val="24"/>
          <w:lang w:eastAsia="zh-CN"/>
        </w:rPr>
        <w:t xml:space="preserve">. </w:t>
      </w:r>
      <w:r w:rsidRPr="00EF7CB1">
        <w:rPr>
          <w:rFonts w:ascii="Book Antiqua" w:hAnsi="Book Antiqua" w:cs="Arial"/>
          <w:bCs/>
          <w:sz w:val="24"/>
          <w:szCs w:val="24"/>
        </w:rPr>
        <w:t xml:space="preserve">NGT: Normal glucose tolerance; SAGT: Subclinical abnormal glucose tolerance; </w:t>
      </w:r>
      <w:r w:rsidRPr="00EF7CB1">
        <w:rPr>
          <w:rFonts w:ascii="Book Antiqua" w:hAnsi="Book Antiqua" w:cs="Arial"/>
          <w:sz w:val="24"/>
          <w:szCs w:val="24"/>
        </w:rPr>
        <w:t>HOMA: Homeostatic model assessment; LC: Liver cirrhosis</w:t>
      </w:r>
      <w:r w:rsidRPr="00EF7CB1">
        <w:rPr>
          <w:rFonts w:ascii="Book Antiqua" w:hAnsi="Book Antiqua" w:cs="Arial"/>
          <w:sz w:val="24"/>
          <w:szCs w:val="24"/>
          <w:lang w:eastAsia="zh-CN"/>
        </w:rPr>
        <w:t>.</w:t>
      </w:r>
    </w:p>
    <w:p w:rsidR="007275E3" w:rsidRPr="00EF7CB1" w:rsidRDefault="007275E3" w:rsidP="00A60D1E">
      <w:pPr>
        <w:spacing w:after="0" w:line="360" w:lineRule="auto"/>
        <w:ind w:left="-709"/>
        <w:jc w:val="both"/>
        <w:rPr>
          <w:rFonts w:ascii="Book Antiqua" w:hAnsi="Book Antiqua" w:cs="Arial"/>
          <w:b/>
          <w:bCs/>
          <w:sz w:val="24"/>
          <w:szCs w:val="24"/>
          <w:lang w:eastAsia="zh-CN"/>
        </w:rPr>
      </w:pPr>
    </w:p>
    <w:p w:rsidR="007275E3" w:rsidRPr="00EF7CB1" w:rsidRDefault="007275E3" w:rsidP="00A60D1E">
      <w:pPr>
        <w:spacing w:after="0" w:line="360" w:lineRule="auto"/>
        <w:ind w:left="-709"/>
        <w:jc w:val="both"/>
        <w:rPr>
          <w:rFonts w:ascii="Book Antiqua" w:hAnsi="Book Antiqua" w:cs="Arial"/>
          <w:b/>
          <w:sz w:val="24"/>
          <w:szCs w:val="24"/>
        </w:rPr>
      </w:pPr>
      <w:r w:rsidRPr="00EF7CB1">
        <w:rPr>
          <w:rFonts w:ascii="Book Antiqua" w:hAnsi="Book Antiqua" w:cs="Arial"/>
          <w:b/>
          <w:bCs/>
          <w:sz w:val="24"/>
          <w:szCs w:val="24"/>
        </w:rPr>
        <w:t xml:space="preserve">Table 2 Annual cumulated survival of cirrhotic patients </w:t>
      </w:r>
      <w:r w:rsidRPr="00EF7CB1">
        <w:rPr>
          <w:rFonts w:ascii="Book Antiqua" w:hAnsi="Book Antiqua" w:cs="Arial"/>
          <w:b/>
          <w:i/>
          <w:sz w:val="24"/>
          <w:szCs w:val="24"/>
        </w:rPr>
        <w:t>n</w:t>
      </w:r>
      <w:r>
        <w:rPr>
          <w:rFonts w:ascii="Book Antiqua" w:hAnsi="Book Antiqua" w:cs="Arial"/>
          <w:b/>
          <w:i/>
          <w:sz w:val="24"/>
          <w:szCs w:val="24"/>
        </w:rPr>
        <w:t xml:space="preserve"> </w:t>
      </w:r>
      <w:r w:rsidRPr="00EF7CB1">
        <w:rPr>
          <w:rFonts w:ascii="Book Antiqua" w:hAnsi="Book Antiqua" w:cs="Arial"/>
          <w:b/>
          <w:sz w:val="24"/>
          <w:szCs w:val="24"/>
        </w:rPr>
        <w:t>(%)</w:t>
      </w:r>
    </w:p>
    <w:tbl>
      <w:tblPr>
        <w:tblW w:w="7230" w:type="dxa"/>
        <w:tblInd w:w="-743" w:type="dxa"/>
        <w:tblLayout w:type="fixed"/>
        <w:tblLook w:val="00A0" w:firstRow="1" w:lastRow="0" w:firstColumn="1" w:lastColumn="0" w:noHBand="0" w:noVBand="0"/>
      </w:tblPr>
      <w:tblGrid>
        <w:gridCol w:w="1301"/>
        <w:gridCol w:w="2250"/>
        <w:gridCol w:w="180"/>
        <w:gridCol w:w="1940"/>
        <w:gridCol w:w="1559"/>
      </w:tblGrid>
      <w:tr w:rsidR="007275E3" w:rsidRPr="00396C9D" w:rsidTr="009A1627">
        <w:trPr>
          <w:trHeight w:val="407"/>
        </w:trPr>
        <w:tc>
          <w:tcPr>
            <w:tcW w:w="1301" w:type="dxa"/>
            <w:tcBorders>
              <w:top w:val="single" w:sz="4" w:space="0" w:color="auto"/>
              <w:bottom w:val="single" w:sz="4" w:space="0" w:color="auto"/>
            </w:tcBorders>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Years</w:t>
            </w:r>
          </w:p>
        </w:tc>
        <w:tc>
          <w:tcPr>
            <w:tcW w:w="2430" w:type="dxa"/>
            <w:gridSpan w:val="2"/>
            <w:tcBorders>
              <w:top w:val="single" w:sz="4" w:space="0" w:color="auto"/>
              <w:bottom w:val="single" w:sz="4" w:space="0" w:color="auto"/>
            </w:tcBorders>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 xml:space="preserve">NGT </w:t>
            </w:r>
            <w:r w:rsidRPr="00EF7CB1">
              <w:rPr>
                <w:rFonts w:ascii="Book Antiqua" w:hAnsi="Book Antiqua" w:cs="Arial"/>
                <w:bCs/>
                <w:sz w:val="24"/>
                <w:szCs w:val="24"/>
              </w:rPr>
              <w:t>(</w:t>
            </w:r>
            <w:r w:rsidRPr="00EF7CB1">
              <w:rPr>
                <w:rFonts w:ascii="Book Antiqua" w:hAnsi="Book Antiqua" w:cs="Arial"/>
                <w:i/>
                <w:sz w:val="24"/>
                <w:szCs w:val="24"/>
              </w:rPr>
              <w:t>n</w:t>
            </w:r>
            <w:r w:rsidRPr="00396C9D">
              <w:rPr>
                <w:rFonts w:ascii="Book Antiqua" w:hAnsi="Book Antiqua" w:cs="Arial"/>
                <w:i/>
                <w:sz w:val="24"/>
                <w:szCs w:val="24"/>
                <w:lang w:eastAsia="zh-CN"/>
              </w:rPr>
              <w:t xml:space="preserve"> </w:t>
            </w:r>
            <w:r w:rsidRPr="00EF7CB1">
              <w:rPr>
                <w:rFonts w:ascii="Book Antiqua" w:hAnsi="Book Antiqua" w:cs="Arial"/>
                <w:sz w:val="24"/>
                <w:szCs w:val="24"/>
              </w:rPr>
              <w:t>=</w:t>
            </w:r>
            <w:r w:rsidRPr="00396C9D">
              <w:rPr>
                <w:rFonts w:ascii="Book Antiqua" w:hAnsi="Book Antiqua" w:cs="Arial"/>
                <w:sz w:val="24"/>
                <w:szCs w:val="24"/>
                <w:lang w:eastAsia="zh-CN"/>
              </w:rPr>
              <w:t xml:space="preserve"> </w:t>
            </w:r>
            <w:r w:rsidRPr="00EF7CB1">
              <w:rPr>
                <w:rFonts w:ascii="Book Antiqua" w:hAnsi="Book Antiqua" w:cs="Arial"/>
                <w:sz w:val="24"/>
                <w:szCs w:val="24"/>
              </w:rPr>
              <w:t>30</w:t>
            </w:r>
            <w:r w:rsidRPr="00396C9D">
              <w:rPr>
                <w:rFonts w:ascii="Book Antiqua" w:hAnsi="Book Antiqua" w:cs="Arial"/>
                <w:sz w:val="24"/>
                <w:szCs w:val="24"/>
                <w:lang w:eastAsia="zh-CN"/>
              </w:rPr>
              <w:t>)</w:t>
            </w:r>
          </w:p>
        </w:tc>
        <w:tc>
          <w:tcPr>
            <w:tcW w:w="1940" w:type="dxa"/>
            <w:tcBorders>
              <w:top w:val="single" w:sz="4" w:space="0" w:color="auto"/>
              <w:bottom w:val="single" w:sz="4" w:space="0" w:color="auto"/>
            </w:tcBorders>
            <w:vAlign w:val="center"/>
          </w:tcPr>
          <w:p w:rsidR="007275E3" w:rsidRPr="00396C9D"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sz w:val="24"/>
                <w:szCs w:val="24"/>
              </w:rPr>
              <w:t xml:space="preserve">SAGT </w:t>
            </w:r>
            <w:r w:rsidRPr="00EF7CB1">
              <w:rPr>
                <w:rFonts w:ascii="Book Antiqua" w:hAnsi="Book Antiqua" w:cs="Arial"/>
                <w:bCs/>
                <w:sz w:val="24"/>
                <w:szCs w:val="24"/>
              </w:rPr>
              <w:t>(</w:t>
            </w:r>
            <w:r w:rsidRPr="00EF7CB1">
              <w:rPr>
                <w:rFonts w:ascii="Book Antiqua" w:hAnsi="Book Antiqua" w:cs="Arial"/>
                <w:i/>
                <w:sz w:val="24"/>
                <w:szCs w:val="24"/>
              </w:rPr>
              <w:t>n</w:t>
            </w:r>
            <w:r w:rsidRPr="00396C9D">
              <w:rPr>
                <w:rFonts w:ascii="Book Antiqua" w:hAnsi="Book Antiqua" w:cs="Arial"/>
                <w:i/>
                <w:sz w:val="24"/>
                <w:szCs w:val="24"/>
                <w:lang w:eastAsia="zh-CN"/>
              </w:rPr>
              <w:t xml:space="preserve"> </w:t>
            </w:r>
            <w:r w:rsidRPr="00EF7CB1">
              <w:rPr>
                <w:rFonts w:ascii="Book Antiqua" w:hAnsi="Book Antiqua" w:cs="Arial"/>
                <w:sz w:val="24"/>
                <w:szCs w:val="24"/>
              </w:rPr>
              <w:t>=</w:t>
            </w:r>
            <w:r w:rsidRPr="00396C9D">
              <w:rPr>
                <w:rFonts w:ascii="Book Antiqua" w:hAnsi="Book Antiqua" w:cs="Arial"/>
                <w:sz w:val="24"/>
                <w:szCs w:val="24"/>
                <w:lang w:eastAsia="zh-CN"/>
              </w:rPr>
              <w:t xml:space="preserve"> </w:t>
            </w:r>
            <w:r w:rsidRPr="00EF7CB1">
              <w:rPr>
                <w:rFonts w:ascii="Book Antiqua" w:hAnsi="Book Antiqua" w:cs="Arial"/>
                <w:sz w:val="24"/>
                <w:szCs w:val="24"/>
              </w:rPr>
              <w:t>70</w:t>
            </w:r>
            <w:r w:rsidRPr="00396C9D">
              <w:rPr>
                <w:rFonts w:ascii="Book Antiqua" w:hAnsi="Book Antiqua" w:cs="Arial"/>
                <w:sz w:val="24"/>
                <w:szCs w:val="24"/>
                <w:lang w:eastAsia="zh-CN"/>
              </w:rPr>
              <w:t>)</w:t>
            </w:r>
          </w:p>
        </w:tc>
        <w:tc>
          <w:tcPr>
            <w:tcW w:w="1559" w:type="dxa"/>
            <w:tcBorders>
              <w:top w:val="single" w:sz="4" w:space="0" w:color="auto"/>
              <w:bottom w:val="single" w:sz="4" w:space="0" w:color="auto"/>
            </w:tcBorders>
            <w:vAlign w:val="center"/>
          </w:tcPr>
          <w:p w:rsidR="007275E3" w:rsidRPr="00EF7CB1" w:rsidRDefault="007275E3" w:rsidP="00A60D1E">
            <w:pPr>
              <w:spacing w:after="0" w:line="360" w:lineRule="auto"/>
              <w:jc w:val="both"/>
              <w:rPr>
                <w:rFonts w:ascii="Book Antiqua" w:hAnsi="Book Antiqua" w:cs="Arial"/>
                <w:sz w:val="24"/>
                <w:szCs w:val="24"/>
              </w:rPr>
            </w:pPr>
          </w:p>
          <w:p w:rsidR="007275E3" w:rsidRPr="00396C9D"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i/>
                <w:sz w:val="24"/>
                <w:szCs w:val="24"/>
              </w:rPr>
              <w:t>P</w:t>
            </w:r>
            <w:r w:rsidRPr="00EF7CB1">
              <w:rPr>
                <w:rFonts w:ascii="Book Antiqua" w:hAnsi="Book Antiqua" w:cs="Arial"/>
                <w:sz w:val="24"/>
                <w:szCs w:val="24"/>
              </w:rPr>
              <w:t xml:space="preserve"> </w:t>
            </w:r>
            <w:r w:rsidRPr="00396C9D">
              <w:rPr>
                <w:rFonts w:ascii="Book Antiqua" w:hAnsi="Book Antiqua" w:cs="Arial"/>
                <w:bCs/>
                <w:sz w:val="24"/>
                <w:szCs w:val="24"/>
                <w:lang w:eastAsia="zh-CN"/>
              </w:rPr>
              <w:t>value</w:t>
            </w:r>
            <w:r w:rsidRPr="00EF7CB1">
              <w:rPr>
                <w:rFonts w:ascii="Book Antiqua" w:hAnsi="Book Antiqua" w:cs="Arial"/>
                <w:bCs/>
                <w:sz w:val="24"/>
                <w:szCs w:val="24"/>
              </w:rPr>
              <w:t xml:space="preserve"> (</w:t>
            </w:r>
            <w:r w:rsidRPr="00EF7CB1">
              <w:rPr>
                <w:rFonts w:ascii="Book Antiqua" w:eastAsia="MingLiU" w:hAnsi="Book Antiqua" w:cs="Arial"/>
                <w:sz w:val="24"/>
                <w:szCs w:val="24"/>
              </w:rPr>
              <w:sym w:font="Symbol" w:char="F063"/>
            </w:r>
            <w:r w:rsidRPr="00396C9D">
              <w:rPr>
                <w:rFonts w:ascii="Book Antiqua" w:hAnsi="Book Antiqua" w:cs="Arial"/>
                <w:i/>
                <w:iCs/>
                <w:sz w:val="24"/>
                <w:szCs w:val="24"/>
                <w:vertAlign w:val="superscript"/>
              </w:rPr>
              <w:t>2</w:t>
            </w:r>
            <w:r w:rsidRPr="00EF7CB1">
              <w:rPr>
                <w:rFonts w:ascii="Book Antiqua" w:hAnsi="Book Antiqua" w:cs="Arial"/>
                <w:sz w:val="24"/>
                <w:szCs w:val="24"/>
                <w:lang w:eastAsia="es-ES"/>
              </w:rPr>
              <w:t xml:space="preserve"> test</w:t>
            </w:r>
            <w:r w:rsidRPr="00396C9D">
              <w:rPr>
                <w:rFonts w:ascii="Book Antiqua" w:hAnsi="Book Antiqua" w:cs="Arial"/>
                <w:sz w:val="24"/>
                <w:szCs w:val="24"/>
                <w:lang w:eastAsia="zh-CN"/>
              </w:rPr>
              <w:t>)</w:t>
            </w:r>
          </w:p>
        </w:tc>
      </w:tr>
      <w:tr w:rsidR="007275E3" w:rsidRPr="00396C9D" w:rsidTr="009A1627">
        <w:trPr>
          <w:trHeight w:val="407"/>
        </w:trPr>
        <w:tc>
          <w:tcPr>
            <w:tcW w:w="1301" w:type="dxa"/>
            <w:tcBorders>
              <w:top w:val="single" w:sz="4" w:space="0" w:color="auto"/>
            </w:tcBorders>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1</w:t>
            </w:r>
          </w:p>
        </w:tc>
        <w:tc>
          <w:tcPr>
            <w:tcW w:w="2250"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2 (93)</w:t>
            </w:r>
          </w:p>
        </w:tc>
        <w:tc>
          <w:tcPr>
            <w:tcW w:w="2120" w:type="dxa"/>
            <w:gridSpan w:val="2"/>
            <w:tcBorders>
              <w:top w:val="single" w:sz="4" w:space="0" w:color="auto"/>
            </w:tcBorders>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9 (87)</w:t>
            </w:r>
          </w:p>
        </w:tc>
        <w:tc>
          <w:tcPr>
            <w:tcW w:w="1559"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0.36</w:t>
            </w:r>
          </w:p>
        </w:tc>
      </w:tr>
      <w:tr w:rsidR="007275E3" w:rsidRPr="00396C9D" w:rsidTr="009A1627">
        <w:trPr>
          <w:trHeight w:val="407"/>
        </w:trPr>
        <w:tc>
          <w:tcPr>
            <w:tcW w:w="1301"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2</w:t>
            </w:r>
          </w:p>
        </w:tc>
        <w:tc>
          <w:tcPr>
            <w:tcW w:w="2250" w:type="dxa"/>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4 (83.2)</w:t>
            </w:r>
          </w:p>
        </w:tc>
        <w:tc>
          <w:tcPr>
            <w:tcW w:w="2120" w:type="dxa"/>
            <w:gridSpan w:val="2"/>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14 (79)</w:t>
            </w:r>
          </w:p>
        </w:tc>
        <w:tc>
          <w:tcPr>
            <w:tcW w:w="1559" w:type="dxa"/>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0.34</w:t>
            </w:r>
          </w:p>
        </w:tc>
      </w:tr>
      <w:tr w:rsidR="007275E3" w:rsidRPr="00396C9D" w:rsidTr="009A1627">
        <w:trPr>
          <w:trHeight w:val="407"/>
        </w:trPr>
        <w:tc>
          <w:tcPr>
            <w:tcW w:w="1301"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3</w:t>
            </w:r>
          </w:p>
        </w:tc>
        <w:tc>
          <w:tcPr>
            <w:tcW w:w="2250" w:type="dxa"/>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4 (83.2)</w:t>
            </w:r>
          </w:p>
        </w:tc>
        <w:tc>
          <w:tcPr>
            <w:tcW w:w="2120" w:type="dxa"/>
            <w:gridSpan w:val="2"/>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23 (51.4)</w:t>
            </w:r>
          </w:p>
        </w:tc>
        <w:tc>
          <w:tcPr>
            <w:tcW w:w="1559" w:type="dxa"/>
            <w:vAlign w:val="center"/>
          </w:tcPr>
          <w:p w:rsidR="007275E3" w:rsidRPr="00EF7CB1" w:rsidRDefault="007275E3" w:rsidP="00A60D1E">
            <w:pPr>
              <w:spacing w:after="0" w:line="360" w:lineRule="auto"/>
              <w:jc w:val="both"/>
              <w:rPr>
                <w:rFonts w:ascii="Book Antiqua" w:hAnsi="Book Antiqua" w:cs="Arial"/>
                <w:i/>
                <w:sz w:val="24"/>
                <w:szCs w:val="24"/>
              </w:rPr>
            </w:pPr>
            <w:r w:rsidRPr="00EF7CB1">
              <w:rPr>
                <w:rFonts w:ascii="Book Antiqua" w:hAnsi="Book Antiqua" w:cs="Arial"/>
                <w:i/>
                <w:sz w:val="24"/>
                <w:szCs w:val="24"/>
              </w:rPr>
              <w:t>0.04</w:t>
            </w:r>
          </w:p>
        </w:tc>
      </w:tr>
      <w:tr w:rsidR="007275E3" w:rsidRPr="00396C9D" w:rsidTr="009A1627">
        <w:trPr>
          <w:trHeight w:val="407"/>
        </w:trPr>
        <w:tc>
          <w:tcPr>
            <w:tcW w:w="1301"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4</w:t>
            </w:r>
          </w:p>
        </w:tc>
        <w:tc>
          <w:tcPr>
            <w:tcW w:w="2250" w:type="dxa"/>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4 (83.2)</w:t>
            </w:r>
          </w:p>
        </w:tc>
        <w:tc>
          <w:tcPr>
            <w:tcW w:w="2120" w:type="dxa"/>
            <w:gridSpan w:val="2"/>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24 (47.5)</w:t>
            </w:r>
          </w:p>
        </w:tc>
        <w:tc>
          <w:tcPr>
            <w:tcW w:w="1559" w:type="dxa"/>
            <w:vAlign w:val="center"/>
          </w:tcPr>
          <w:p w:rsidR="007275E3" w:rsidRPr="00EF7CB1" w:rsidRDefault="007275E3" w:rsidP="00A60D1E">
            <w:pPr>
              <w:spacing w:after="0" w:line="360" w:lineRule="auto"/>
              <w:jc w:val="both"/>
              <w:rPr>
                <w:rFonts w:ascii="Book Antiqua" w:hAnsi="Book Antiqua" w:cs="Arial"/>
                <w:i/>
                <w:sz w:val="24"/>
                <w:szCs w:val="24"/>
              </w:rPr>
            </w:pPr>
            <w:r w:rsidRPr="00EF7CB1">
              <w:rPr>
                <w:rFonts w:ascii="Book Antiqua" w:hAnsi="Book Antiqua" w:cs="Arial"/>
                <w:i/>
                <w:sz w:val="24"/>
                <w:szCs w:val="24"/>
              </w:rPr>
              <w:t>0.03</w:t>
            </w:r>
          </w:p>
        </w:tc>
      </w:tr>
      <w:tr w:rsidR="007275E3" w:rsidRPr="00396C9D" w:rsidTr="009A1627">
        <w:trPr>
          <w:trHeight w:val="407"/>
        </w:trPr>
        <w:tc>
          <w:tcPr>
            <w:tcW w:w="1301" w:type="dxa"/>
            <w:tcBorders>
              <w:bottom w:val="single" w:sz="4" w:space="0" w:color="auto"/>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5</w:t>
            </w:r>
          </w:p>
        </w:tc>
        <w:tc>
          <w:tcPr>
            <w:tcW w:w="2250"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5 ( 71.6)</w:t>
            </w:r>
          </w:p>
        </w:tc>
        <w:tc>
          <w:tcPr>
            <w:tcW w:w="2120" w:type="dxa"/>
            <w:gridSpan w:val="2"/>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26 (31.7)</w:t>
            </w:r>
          </w:p>
        </w:tc>
        <w:tc>
          <w:tcPr>
            <w:tcW w:w="1559"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i/>
                <w:sz w:val="24"/>
                <w:szCs w:val="24"/>
              </w:rPr>
            </w:pPr>
            <w:r w:rsidRPr="00EF7CB1">
              <w:rPr>
                <w:rFonts w:ascii="Book Antiqua" w:hAnsi="Book Antiqua" w:cs="Arial"/>
                <w:i/>
                <w:sz w:val="24"/>
                <w:szCs w:val="24"/>
              </w:rPr>
              <w:t>0.02</w:t>
            </w:r>
          </w:p>
        </w:tc>
      </w:tr>
    </w:tbl>
    <w:p w:rsidR="007275E3" w:rsidRPr="00EF7CB1" w:rsidRDefault="007275E3" w:rsidP="00A60D1E">
      <w:pPr>
        <w:spacing w:after="0" w:line="360" w:lineRule="auto"/>
        <w:ind w:left="-709"/>
        <w:jc w:val="both"/>
        <w:rPr>
          <w:rFonts w:ascii="Book Antiqua" w:hAnsi="Book Antiqua" w:cs="Arial"/>
          <w:sz w:val="24"/>
          <w:szCs w:val="24"/>
        </w:rPr>
      </w:pPr>
      <w:r w:rsidRPr="00EF7CB1">
        <w:rPr>
          <w:rFonts w:ascii="Book Antiqua" w:hAnsi="Book Antiqua" w:cs="Arial"/>
          <w:sz w:val="24"/>
          <w:szCs w:val="24"/>
          <w:lang w:eastAsia="es-ES"/>
        </w:rPr>
        <w:t>NGT: Normal glucose tolerance; SAGT: Subclinical abnormal glucose tolerance.</w:t>
      </w:r>
    </w:p>
    <w:p w:rsidR="007275E3" w:rsidRPr="00EF7CB1" w:rsidRDefault="007275E3" w:rsidP="00A60D1E">
      <w:pPr>
        <w:spacing w:after="0" w:line="360" w:lineRule="auto"/>
        <w:ind w:left="-709"/>
        <w:jc w:val="both"/>
        <w:rPr>
          <w:rFonts w:ascii="Book Antiqua" w:hAnsi="Book Antiqua" w:cs="Arial"/>
          <w:sz w:val="24"/>
          <w:szCs w:val="24"/>
        </w:rPr>
      </w:pPr>
    </w:p>
    <w:p w:rsidR="007275E3" w:rsidRPr="00EF7CB1" w:rsidRDefault="007275E3" w:rsidP="00A60D1E">
      <w:pPr>
        <w:spacing w:after="0" w:line="360" w:lineRule="auto"/>
        <w:ind w:left="-709"/>
        <w:jc w:val="both"/>
        <w:rPr>
          <w:rFonts w:ascii="Book Antiqua" w:hAnsi="Book Antiqua" w:cs="Arial"/>
          <w:b/>
          <w:sz w:val="24"/>
          <w:szCs w:val="24"/>
        </w:rPr>
      </w:pPr>
      <w:r w:rsidRPr="00EF7CB1">
        <w:rPr>
          <w:rFonts w:ascii="Book Antiqua" w:hAnsi="Book Antiqua" w:cs="Arial"/>
          <w:b/>
          <w:sz w:val="24"/>
          <w:szCs w:val="24"/>
        </w:rPr>
        <w:t>Table 3</w:t>
      </w:r>
      <w:r w:rsidRPr="00EF7CB1">
        <w:rPr>
          <w:rFonts w:ascii="Book Antiqua" w:hAnsi="Book Antiqua" w:cs="Arial"/>
          <w:b/>
          <w:sz w:val="24"/>
          <w:szCs w:val="24"/>
          <w:lang w:eastAsia="zh-CN"/>
        </w:rPr>
        <w:t xml:space="preserve"> </w:t>
      </w:r>
      <w:r w:rsidRPr="00EF7CB1">
        <w:rPr>
          <w:rFonts w:ascii="Book Antiqua" w:hAnsi="Book Antiqua" w:cs="Arial"/>
          <w:b/>
          <w:sz w:val="24"/>
          <w:szCs w:val="24"/>
        </w:rPr>
        <w:t>Causes of death</w:t>
      </w:r>
      <w:r w:rsidRPr="00EF7CB1">
        <w:rPr>
          <w:rFonts w:ascii="Book Antiqua" w:hAnsi="Book Antiqua" w:cs="Arial"/>
          <w:b/>
          <w:bCs/>
          <w:i/>
          <w:sz w:val="24"/>
          <w:szCs w:val="24"/>
        </w:rPr>
        <w:t xml:space="preserve"> n</w:t>
      </w:r>
      <w:r w:rsidRPr="00EF7CB1">
        <w:rPr>
          <w:rFonts w:ascii="Book Antiqua" w:hAnsi="Book Antiqua" w:cs="Arial"/>
          <w:b/>
          <w:bCs/>
          <w:sz w:val="24"/>
          <w:szCs w:val="24"/>
        </w:rPr>
        <w:t xml:space="preserve"> (%)</w:t>
      </w:r>
    </w:p>
    <w:p w:rsidR="007275E3" w:rsidRPr="00EF7CB1" w:rsidRDefault="007275E3" w:rsidP="00A60D1E">
      <w:pPr>
        <w:spacing w:after="0" w:line="360" w:lineRule="auto"/>
        <w:ind w:left="-709"/>
        <w:jc w:val="both"/>
        <w:rPr>
          <w:rFonts w:ascii="Book Antiqua" w:hAnsi="Book Antiqua" w:cs="Arial"/>
          <w:sz w:val="24"/>
          <w:szCs w:val="24"/>
        </w:rPr>
      </w:pPr>
    </w:p>
    <w:tbl>
      <w:tblPr>
        <w:tblW w:w="4820" w:type="dxa"/>
        <w:tblInd w:w="-743" w:type="dxa"/>
        <w:tblLook w:val="00A0" w:firstRow="1" w:lastRow="0" w:firstColumn="1" w:lastColumn="0" w:noHBand="0" w:noVBand="0"/>
      </w:tblPr>
      <w:tblGrid>
        <w:gridCol w:w="2978"/>
        <w:gridCol w:w="1842"/>
      </w:tblGrid>
      <w:tr w:rsidR="007275E3" w:rsidRPr="00396C9D" w:rsidTr="00542BA6">
        <w:trPr>
          <w:trHeight w:val="407"/>
        </w:trPr>
        <w:tc>
          <w:tcPr>
            <w:tcW w:w="2978" w:type="dxa"/>
            <w:tcBorders>
              <w:top w:val="single" w:sz="4" w:space="0" w:color="auto"/>
              <w:bottom w:val="single" w:sz="4" w:space="0" w:color="auto"/>
            </w:tcBorders>
            <w:noWrap/>
            <w:vAlign w:val="center"/>
          </w:tcPr>
          <w:p w:rsidR="007275E3" w:rsidRPr="00396C9D" w:rsidRDefault="007275E3" w:rsidP="00A60D1E">
            <w:pPr>
              <w:spacing w:after="0" w:line="360" w:lineRule="auto"/>
              <w:jc w:val="both"/>
              <w:rPr>
                <w:rFonts w:ascii="Book Antiqua" w:hAnsi="Book Antiqua" w:cs="Arial"/>
                <w:sz w:val="24"/>
                <w:szCs w:val="24"/>
                <w:lang w:eastAsia="zh-CN"/>
              </w:rPr>
            </w:pPr>
            <w:r w:rsidRPr="00EF7CB1">
              <w:rPr>
                <w:rFonts w:ascii="Book Antiqua" w:hAnsi="Book Antiqua" w:cs="Arial"/>
                <w:sz w:val="24"/>
                <w:szCs w:val="24"/>
              </w:rPr>
              <w:t>Cause</w:t>
            </w:r>
          </w:p>
        </w:tc>
        <w:tc>
          <w:tcPr>
            <w:tcW w:w="1842" w:type="dxa"/>
            <w:tcBorders>
              <w:top w:val="single" w:sz="4" w:space="0" w:color="auto"/>
              <w:bottom w:val="single" w:sz="4" w:space="0" w:color="auto"/>
            </w:tcBorders>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 xml:space="preserve">Total </w:t>
            </w:r>
            <w:r w:rsidRPr="00EF7CB1">
              <w:rPr>
                <w:rFonts w:ascii="Book Antiqua" w:hAnsi="Book Antiqua" w:cs="Arial"/>
                <w:bCs/>
                <w:sz w:val="24"/>
                <w:szCs w:val="24"/>
              </w:rPr>
              <w:t>(</w:t>
            </w:r>
            <w:r w:rsidRPr="00EF7CB1">
              <w:rPr>
                <w:rFonts w:ascii="Book Antiqua" w:hAnsi="Book Antiqua" w:cs="Arial"/>
                <w:i/>
                <w:sz w:val="24"/>
                <w:szCs w:val="24"/>
              </w:rPr>
              <w:t>n</w:t>
            </w:r>
            <w:r w:rsidRPr="00396C9D">
              <w:rPr>
                <w:rFonts w:ascii="Book Antiqua" w:hAnsi="Book Antiqua" w:cs="Arial"/>
                <w:i/>
                <w:sz w:val="24"/>
                <w:szCs w:val="24"/>
                <w:lang w:eastAsia="zh-CN"/>
              </w:rPr>
              <w:t xml:space="preserve"> </w:t>
            </w:r>
            <w:r w:rsidRPr="00EF7CB1">
              <w:rPr>
                <w:rFonts w:ascii="Book Antiqua" w:hAnsi="Book Antiqua" w:cs="Arial"/>
                <w:sz w:val="24"/>
                <w:szCs w:val="24"/>
              </w:rPr>
              <w:t>=</w:t>
            </w:r>
            <w:r w:rsidRPr="00396C9D">
              <w:rPr>
                <w:rFonts w:ascii="Book Antiqua" w:hAnsi="Book Antiqua" w:cs="Arial"/>
                <w:sz w:val="24"/>
                <w:szCs w:val="24"/>
                <w:lang w:eastAsia="zh-CN"/>
              </w:rPr>
              <w:t xml:space="preserve"> </w:t>
            </w:r>
            <w:r w:rsidRPr="00EF7CB1">
              <w:rPr>
                <w:rFonts w:ascii="Book Antiqua" w:hAnsi="Book Antiqua" w:cs="Arial"/>
                <w:sz w:val="24"/>
                <w:szCs w:val="24"/>
              </w:rPr>
              <w:t>3</w:t>
            </w:r>
            <w:r w:rsidRPr="00396C9D">
              <w:rPr>
                <w:rFonts w:ascii="Book Antiqua" w:hAnsi="Book Antiqua" w:cs="Arial"/>
                <w:sz w:val="24"/>
                <w:szCs w:val="24"/>
                <w:lang w:eastAsia="zh-CN"/>
              </w:rPr>
              <w:t>1)</w:t>
            </w:r>
          </w:p>
        </w:tc>
      </w:tr>
      <w:tr w:rsidR="007275E3" w:rsidRPr="00396C9D" w:rsidTr="00542BA6">
        <w:trPr>
          <w:trHeight w:val="407"/>
        </w:trPr>
        <w:tc>
          <w:tcPr>
            <w:tcW w:w="2978" w:type="dxa"/>
            <w:tcBorders>
              <w:top w:val="single" w:sz="4" w:space="0" w:color="auto"/>
            </w:tcBorders>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Variceal bleeding</w:t>
            </w:r>
          </w:p>
        </w:tc>
        <w:tc>
          <w:tcPr>
            <w:tcW w:w="1842" w:type="dxa"/>
            <w:tcBorders>
              <w:top w:val="single" w:sz="4" w:space="0" w:color="auto"/>
            </w:tcBorders>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8 (25.8)</w:t>
            </w:r>
          </w:p>
        </w:tc>
      </w:tr>
      <w:tr w:rsidR="007275E3" w:rsidRPr="00396C9D" w:rsidTr="00542BA6">
        <w:trPr>
          <w:trHeight w:val="407"/>
        </w:trPr>
        <w:tc>
          <w:tcPr>
            <w:tcW w:w="2978"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Liver failure</w:t>
            </w:r>
          </w:p>
        </w:tc>
        <w:tc>
          <w:tcPr>
            <w:tcW w:w="1842"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6 (19.3)</w:t>
            </w:r>
          </w:p>
        </w:tc>
      </w:tr>
      <w:tr w:rsidR="007275E3" w:rsidRPr="00396C9D" w:rsidTr="00542BA6">
        <w:trPr>
          <w:trHeight w:val="407"/>
        </w:trPr>
        <w:tc>
          <w:tcPr>
            <w:tcW w:w="2978"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SBP e infection</w:t>
            </w:r>
          </w:p>
        </w:tc>
        <w:tc>
          <w:tcPr>
            <w:tcW w:w="1842"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5 (16.2)</w:t>
            </w:r>
          </w:p>
        </w:tc>
      </w:tr>
      <w:tr w:rsidR="007275E3" w:rsidRPr="00396C9D" w:rsidTr="00542BA6">
        <w:trPr>
          <w:trHeight w:val="407"/>
        </w:trPr>
        <w:tc>
          <w:tcPr>
            <w:tcW w:w="2978"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H</w:t>
            </w:r>
            <w:r w:rsidRPr="00396C9D">
              <w:rPr>
                <w:rFonts w:ascii="Book Antiqua" w:hAnsi="Book Antiqua" w:cs="Arial"/>
                <w:sz w:val="24"/>
                <w:szCs w:val="24"/>
              </w:rPr>
              <w:t>epatorenal syndrome</w:t>
            </w:r>
          </w:p>
        </w:tc>
        <w:tc>
          <w:tcPr>
            <w:tcW w:w="1842"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5(16.2)</w:t>
            </w:r>
          </w:p>
        </w:tc>
      </w:tr>
      <w:tr w:rsidR="007275E3" w:rsidRPr="00396C9D" w:rsidTr="00542BA6">
        <w:trPr>
          <w:trHeight w:val="407"/>
        </w:trPr>
        <w:tc>
          <w:tcPr>
            <w:tcW w:w="2978"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HCC</w:t>
            </w:r>
          </w:p>
        </w:tc>
        <w:tc>
          <w:tcPr>
            <w:tcW w:w="1842"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4 (12.9)</w:t>
            </w:r>
          </w:p>
        </w:tc>
      </w:tr>
      <w:tr w:rsidR="007275E3" w:rsidRPr="00396C9D" w:rsidTr="00542BA6">
        <w:trPr>
          <w:trHeight w:val="407"/>
        </w:trPr>
        <w:tc>
          <w:tcPr>
            <w:tcW w:w="2978"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 xml:space="preserve">Renal </w:t>
            </w:r>
            <w:r w:rsidRPr="00396C9D">
              <w:rPr>
                <w:rFonts w:ascii="Book Antiqua" w:hAnsi="Book Antiqua" w:cs="Arial"/>
                <w:sz w:val="24"/>
                <w:szCs w:val="24"/>
              </w:rPr>
              <w:t>impairment</w:t>
            </w:r>
          </w:p>
        </w:tc>
        <w:tc>
          <w:tcPr>
            <w:tcW w:w="1842" w:type="dxa"/>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2 (6.4)</w:t>
            </w:r>
          </w:p>
        </w:tc>
      </w:tr>
      <w:tr w:rsidR="007275E3" w:rsidRPr="00396C9D" w:rsidTr="00542BA6">
        <w:trPr>
          <w:trHeight w:val="407"/>
        </w:trPr>
        <w:tc>
          <w:tcPr>
            <w:tcW w:w="2978" w:type="dxa"/>
            <w:tcBorders>
              <w:bottom w:val="single" w:sz="4" w:space="0" w:color="auto"/>
            </w:tcBorders>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Cardiovascular</w:t>
            </w:r>
          </w:p>
        </w:tc>
        <w:tc>
          <w:tcPr>
            <w:tcW w:w="1842" w:type="dxa"/>
            <w:tcBorders>
              <w:bottom w:val="single" w:sz="4" w:space="0" w:color="auto"/>
            </w:tcBorders>
            <w:noWrap/>
            <w:vAlign w:val="center"/>
          </w:tcPr>
          <w:p w:rsidR="007275E3" w:rsidRPr="00EF7CB1" w:rsidRDefault="007275E3" w:rsidP="00A60D1E">
            <w:pPr>
              <w:spacing w:after="0" w:line="360" w:lineRule="auto"/>
              <w:jc w:val="both"/>
              <w:rPr>
                <w:rFonts w:ascii="Book Antiqua" w:hAnsi="Book Antiqua" w:cs="Arial"/>
                <w:sz w:val="24"/>
                <w:szCs w:val="24"/>
              </w:rPr>
            </w:pPr>
            <w:r w:rsidRPr="00EF7CB1">
              <w:rPr>
                <w:rFonts w:ascii="Book Antiqua" w:hAnsi="Book Antiqua" w:cs="Arial"/>
                <w:sz w:val="24"/>
                <w:szCs w:val="24"/>
              </w:rPr>
              <w:t>1 (3.2)</w:t>
            </w:r>
          </w:p>
        </w:tc>
      </w:tr>
    </w:tbl>
    <w:p w:rsidR="007275E3" w:rsidRPr="00EF7CB1" w:rsidRDefault="007275E3" w:rsidP="00A60D1E">
      <w:pPr>
        <w:spacing w:after="0" w:line="360" w:lineRule="auto"/>
        <w:ind w:left="-709"/>
        <w:jc w:val="both"/>
        <w:rPr>
          <w:rFonts w:ascii="Book Antiqua" w:hAnsi="Book Antiqua" w:cs="Arial"/>
          <w:sz w:val="24"/>
          <w:szCs w:val="24"/>
        </w:rPr>
      </w:pPr>
      <w:r w:rsidRPr="00EF7CB1">
        <w:rPr>
          <w:rFonts w:ascii="Book Antiqua" w:hAnsi="Book Antiqua" w:cs="Arial"/>
          <w:b/>
          <w:sz w:val="24"/>
          <w:szCs w:val="24"/>
          <w:lang w:eastAsia="es-ES"/>
        </w:rPr>
        <w:lastRenderedPageBreak/>
        <w:t xml:space="preserve"> </w:t>
      </w:r>
      <w:r w:rsidRPr="00EF7CB1">
        <w:rPr>
          <w:rFonts w:ascii="Book Antiqua" w:hAnsi="Book Antiqua" w:cs="Arial"/>
          <w:sz w:val="24"/>
          <w:szCs w:val="24"/>
        </w:rPr>
        <w:t>SBP: Spontaneous bacterial peritonitis; HCC:</w:t>
      </w:r>
      <w:r w:rsidRPr="00EF7CB1">
        <w:rPr>
          <w:rFonts w:ascii="Book Antiqua" w:hAnsi="Book Antiqua" w:cs="Arial"/>
          <w:sz w:val="24"/>
          <w:szCs w:val="24"/>
          <w:lang w:eastAsia="zh-CN"/>
        </w:rPr>
        <w:t xml:space="preserve"> </w:t>
      </w:r>
      <w:r w:rsidRPr="00EF7CB1">
        <w:rPr>
          <w:rStyle w:val="st1"/>
          <w:rFonts w:ascii="Book Antiqua" w:hAnsi="Book Antiqua" w:cs="Arial"/>
          <w:sz w:val="24"/>
          <w:szCs w:val="24"/>
        </w:rPr>
        <w:t>Hepatocellular carcinoma</w:t>
      </w:r>
      <w:r w:rsidRPr="00EF7CB1">
        <w:rPr>
          <w:rStyle w:val="st1"/>
          <w:rFonts w:ascii="Book Antiqua" w:hAnsi="Book Antiqua" w:cs="Arial"/>
          <w:sz w:val="24"/>
          <w:szCs w:val="24"/>
          <w:lang w:eastAsia="zh-CN"/>
        </w:rPr>
        <w:t>.</w:t>
      </w:r>
    </w:p>
    <w:p w:rsidR="007275E3" w:rsidRPr="00EF7CB1" w:rsidRDefault="007275E3" w:rsidP="00A60D1E">
      <w:pPr>
        <w:spacing w:after="0" w:line="360" w:lineRule="auto"/>
        <w:ind w:left="-851"/>
        <w:jc w:val="both"/>
        <w:rPr>
          <w:rFonts w:ascii="Book Antiqua" w:hAnsi="Book Antiqua" w:cs="Arial"/>
          <w:sz w:val="24"/>
          <w:szCs w:val="24"/>
        </w:rPr>
      </w:pPr>
    </w:p>
    <w:p w:rsidR="007275E3" w:rsidRPr="00EF7CB1" w:rsidRDefault="007275E3" w:rsidP="00A60D1E">
      <w:pPr>
        <w:spacing w:after="0" w:line="360" w:lineRule="auto"/>
        <w:ind w:left="-851"/>
        <w:jc w:val="both"/>
        <w:rPr>
          <w:rFonts w:ascii="Book Antiqua" w:hAnsi="Book Antiqua" w:cs="Arial"/>
          <w:sz w:val="24"/>
          <w:szCs w:val="24"/>
        </w:rPr>
      </w:pPr>
    </w:p>
    <w:p w:rsidR="007275E3" w:rsidRPr="00EF7CB1" w:rsidRDefault="007275E3" w:rsidP="00A60D1E">
      <w:pPr>
        <w:spacing w:after="0" w:line="360" w:lineRule="auto"/>
        <w:ind w:left="-709"/>
        <w:jc w:val="both"/>
        <w:rPr>
          <w:rFonts w:ascii="Book Antiqua" w:hAnsi="Book Antiqua" w:cs="Arial"/>
          <w:b/>
          <w:bCs/>
          <w:sz w:val="24"/>
          <w:szCs w:val="24"/>
          <w:lang w:eastAsia="zh-CN"/>
        </w:rPr>
      </w:pPr>
      <w:r w:rsidRPr="00EF7CB1">
        <w:rPr>
          <w:rFonts w:ascii="Book Antiqua" w:hAnsi="Book Antiqua" w:cs="Arial"/>
          <w:b/>
          <w:bCs/>
          <w:sz w:val="24"/>
          <w:szCs w:val="24"/>
        </w:rPr>
        <w:t>Table 4</w:t>
      </w:r>
      <w:r w:rsidRPr="00EF7CB1">
        <w:rPr>
          <w:rFonts w:ascii="Book Antiqua" w:hAnsi="Book Antiqua" w:cs="Arial"/>
          <w:b/>
          <w:bCs/>
          <w:sz w:val="24"/>
          <w:szCs w:val="24"/>
          <w:lang w:eastAsia="zh-CN"/>
        </w:rPr>
        <w:t xml:space="preserve"> </w:t>
      </w:r>
      <w:r w:rsidRPr="00EF7CB1">
        <w:rPr>
          <w:rFonts w:ascii="Book Antiqua" w:hAnsi="Book Antiqua" w:cs="Arial"/>
          <w:b/>
          <w:bCs/>
          <w:sz w:val="24"/>
          <w:szCs w:val="24"/>
        </w:rPr>
        <w:t>Univariate and multivariate analysis</w:t>
      </w:r>
      <w:r w:rsidRPr="00EF7CB1">
        <w:rPr>
          <w:rFonts w:ascii="Book Antiqua" w:hAnsi="Book Antiqua" w:cs="Arial"/>
          <w:b/>
          <w:bCs/>
          <w:sz w:val="24"/>
          <w:szCs w:val="24"/>
          <w:lang w:eastAsia="zh-CN"/>
        </w:rPr>
        <w:t xml:space="preserve">: </w:t>
      </w:r>
      <w:r w:rsidRPr="00EF7CB1">
        <w:rPr>
          <w:rFonts w:ascii="Book Antiqua" w:hAnsi="Book Antiqua" w:cs="Arial"/>
          <w:b/>
          <w:bCs/>
          <w:sz w:val="24"/>
          <w:szCs w:val="24"/>
        </w:rPr>
        <w:t>Independent predictors of death</w:t>
      </w:r>
    </w:p>
    <w:tbl>
      <w:tblPr>
        <w:tblW w:w="10260" w:type="dxa"/>
        <w:tblInd w:w="-792" w:type="dxa"/>
        <w:tblLayout w:type="fixed"/>
        <w:tblLook w:val="00A0" w:firstRow="1" w:lastRow="0" w:firstColumn="1" w:lastColumn="0" w:noHBand="0" w:noVBand="0"/>
      </w:tblPr>
      <w:tblGrid>
        <w:gridCol w:w="2743"/>
        <w:gridCol w:w="1418"/>
        <w:gridCol w:w="1701"/>
        <w:gridCol w:w="1134"/>
        <w:gridCol w:w="1134"/>
        <w:gridCol w:w="1230"/>
        <w:gridCol w:w="900"/>
      </w:tblGrid>
      <w:tr w:rsidR="007275E3" w:rsidRPr="00396C9D" w:rsidTr="009A1627">
        <w:trPr>
          <w:trHeight w:val="358"/>
        </w:trPr>
        <w:tc>
          <w:tcPr>
            <w:tcW w:w="2743" w:type="dxa"/>
            <w:tcBorders>
              <w:top w:val="single" w:sz="4" w:space="0" w:color="auto"/>
              <w:bottom w:val="single" w:sz="4" w:space="0" w:color="auto"/>
            </w:tcBorders>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Variables</w:t>
            </w:r>
          </w:p>
        </w:tc>
        <w:tc>
          <w:tcPr>
            <w:tcW w:w="1418" w:type="dxa"/>
            <w:tcBorders>
              <w:top w:val="single" w:sz="4" w:space="0" w:color="auto"/>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HR</w:t>
            </w:r>
          </w:p>
        </w:tc>
        <w:tc>
          <w:tcPr>
            <w:tcW w:w="1701" w:type="dxa"/>
            <w:tcBorders>
              <w:top w:val="single" w:sz="4" w:space="0" w:color="auto"/>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95%CI </w:t>
            </w:r>
          </w:p>
        </w:tc>
        <w:tc>
          <w:tcPr>
            <w:tcW w:w="1134" w:type="dxa"/>
            <w:tcBorders>
              <w:top w:val="single" w:sz="4" w:space="0" w:color="auto"/>
              <w:bottom w:val="single" w:sz="4" w:space="0" w:color="auto"/>
            </w:tcBorders>
            <w:vAlign w:val="center"/>
          </w:tcPr>
          <w:p w:rsidR="007275E3" w:rsidRPr="00EF7CB1" w:rsidRDefault="007275E3" w:rsidP="00A60D1E">
            <w:pPr>
              <w:spacing w:after="0" w:line="360" w:lineRule="auto"/>
              <w:jc w:val="both"/>
              <w:rPr>
                <w:rFonts w:ascii="Book Antiqua" w:hAnsi="Book Antiqua" w:cs="Arial"/>
                <w:bCs/>
                <w:i/>
                <w:sz w:val="24"/>
                <w:szCs w:val="24"/>
              </w:rPr>
            </w:pPr>
            <w:r w:rsidRPr="00EF7CB1">
              <w:rPr>
                <w:rFonts w:ascii="Book Antiqua" w:hAnsi="Book Antiqua" w:cs="Arial"/>
                <w:bCs/>
                <w:i/>
                <w:sz w:val="24"/>
                <w:szCs w:val="24"/>
              </w:rPr>
              <w:t>P</w:t>
            </w:r>
            <w:r w:rsidRPr="00396C9D">
              <w:rPr>
                <w:rFonts w:ascii="Book Antiqua" w:hAnsi="Book Antiqua" w:cs="Arial"/>
                <w:bCs/>
                <w:sz w:val="24"/>
                <w:szCs w:val="24"/>
                <w:lang w:eastAsia="zh-CN"/>
              </w:rPr>
              <w:t xml:space="preserve"> value</w:t>
            </w:r>
          </w:p>
        </w:tc>
        <w:tc>
          <w:tcPr>
            <w:tcW w:w="1134" w:type="dxa"/>
            <w:tcBorders>
              <w:top w:val="single" w:sz="4" w:space="0" w:color="auto"/>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HR</w:t>
            </w:r>
          </w:p>
        </w:tc>
        <w:tc>
          <w:tcPr>
            <w:tcW w:w="1230" w:type="dxa"/>
            <w:tcBorders>
              <w:top w:val="single" w:sz="4" w:space="0" w:color="auto"/>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 xml:space="preserve">CI 95% </w:t>
            </w:r>
          </w:p>
        </w:tc>
        <w:tc>
          <w:tcPr>
            <w:tcW w:w="900" w:type="dxa"/>
            <w:tcBorders>
              <w:top w:val="single" w:sz="4" w:space="0" w:color="auto"/>
              <w:bottom w:val="single" w:sz="4" w:space="0" w:color="auto"/>
            </w:tcBorders>
            <w:vAlign w:val="center"/>
          </w:tcPr>
          <w:p w:rsidR="007275E3" w:rsidRPr="00396C9D" w:rsidRDefault="007275E3" w:rsidP="00A60D1E">
            <w:pPr>
              <w:spacing w:after="0" w:line="360" w:lineRule="auto"/>
              <w:jc w:val="both"/>
              <w:rPr>
                <w:rFonts w:ascii="Book Antiqua" w:hAnsi="Book Antiqua" w:cs="Arial"/>
                <w:bCs/>
                <w:i/>
                <w:sz w:val="24"/>
                <w:szCs w:val="24"/>
                <w:lang w:eastAsia="zh-CN"/>
              </w:rPr>
            </w:pPr>
            <w:r w:rsidRPr="00EF7CB1">
              <w:rPr>
                <w:rFonts w:ascii="Book Antiqua" w:hAnsi="Book Antiqua" w:cs="Arial"/>
                <w:bCs/>
                <w:i/>
                <w:sz w:val="24"/>
                <w:szCs w:val="24"/>
              </w:rPr>
              <w:t>P</w:t>
            </w:r>
            <w:r w:rsidRPr="00396C9D">
              <w:rPr>
                <w:rFonts w:ascii="Book Antiqua" w:hAnsi="Book Antiqua" w:cs="Arial"/>
                <w:bCs/>
                <w:i/>
                <w:sz w:val="24"/>
                <w:szCs w:val="24"/>
                <w:lang w:eastAsia="zh-CN"/>
              </w:rPr>
              <w:t xml:space="preserve"> </w:t>
            </w:r>
            <w:r w:rsidRPr="00396C9D">
              <w:rPr>
                <w:rFonts w:ascii="Book Antiqua" w:hAnsi="Book Antiqua" w:cs="Arial"/>
                <w:bCs/>
                <w:sz w:val="24"/>
                <w:szCs w:val="24"/>
                <w:lang w:eastAsia="zh-CN"/>
              </w:rPr>
              <w:t>value</w:t>
            </w:r>
          </w:p>
        </w:tc>
      </w:tr>
      <w:tr w:rsidR="007275E3" w:rsidRPr="00396C9D" w:rsidTr="009A1627">
        <w:trPr>
          <w:trHeight w:val="300"/>
        </w:trPr>
        <w:tc>
          <w:tcPr>
            <w:tcW w:w="2743" w:type="dxa"/>
            <w:tcBorders>
              <w:top w:val="single" w:sz="4" w:space="0" w:color="auto"/>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Creatinine</w:t>
            </w:r>
          </w:p>
        </w:tc>
        <w:tc>
          <w:tcPr>
            <w:tcW w:w="1418"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1.6</w:t>
            </w:r>
          </w:p>
        </w:tc>
        <w:tc>
          <w:tcPr>
            <w:tcW w:w="1701"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1.2-40.2</w:t>
            </w:r>
          </w:p>
        </w:tc>
        <w:tc>
          <w:tcPr>
            <w:tcW w:w="1134"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0.03</w:t>
            </w:r>
          </w:p>
        </w:tc>
        <w:tc>
          <w:tcPr>
            <w:tcW w:w="1134"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2.62</w:t>
            </w:r>
          </w:p>
        </w:tc>
        <w:tc>
          <w:tcPr>
            <w:tcW w:w="1230"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0.5-3.46</w:t>
            </w:r>
          </w:p>
        </w:tc>
        <w:tc>
          <w:tcPr>
            <w:tcW w:w="900" w:type="dxa"/>
            <w:tcBorders>
              <w:top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0.65</w:t>
            </w:r>
          </w:p>
        </w:tc>
      </w:tr>
      <w:tr w:rsidR="007275E3" w:rsidRPr="00396C9D" w:rsidTr="009A1627">
        <w:trPr>
          <w:trHeight w:val="300"/>
        </w:trPr>
        <w:tc>
          <w:tcPr>
            <w:tcW w:w="2743"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Albumin</w:t>
            </w:r>
          </w:p>
        </w:tc>
        <w:tc>
          <w:tcPr>
            <w:tcW w:w="1418"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3.4</w:t>
            </w:r>
          </w:p>
        </w:tc>
        <w:tc>
          <w:tcPr>
            <w:tcW w:w="1701"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1.8-22.3</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0.015</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6.3</w:t>
            </w:r>
          </w:p>
        </w:tc>
        <w:tc>
          <w:tcPr>
            <w:tcW w:w="123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0.4-32.1</w:t>
            </w:r>
          </w:p>
        </w:tc>
        <w:tc>
          <w:tcPr>
            <w:tcW w:w="90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0.18</w:t>
            </w:r>
          </w:p>
        </w:tc>
      </w:tr>
      <w:tr w:rsidR="007275E3" w:rsidRPr="00396C9D" w:rsidTr="009A1627">
        <w:trPr>
          <w:trHeight w:val="300"/>
        </w:trPr>
        <w:tc>
          <w:tcPr>
            <w:tcW w:w="2743"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INR</w:t>
            </w:r>
          </w:p>
        </w:tc>
        <w:tc>
          <w:tcPr>
            <w:tcW w:w="1418"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2.2</w:t>
            </w:r>
          </w:p>
        </w:tc>
        <w:tc>
          <w:tcPr>
            <w:tcW w:w="1701"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1.6-32.4</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0.05</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3.5</w:t>
            </w:r>
          </w:p>
        </w:tc>
        <w:tc>
          <w:tcPr>
            <w:tcW w:w="123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0.3-23.6</w:t>
            </w:r>
          </w:p>
        </w:tc>
        <w:tc>
          <w:tcPr>
            <w:tcW w:w="90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0.23</w:t>
            </w:r>
          </w:p>
        </w:tc>
      </w:tr>
      <w:tr w:rsidR="007275E3" w:rsidRPr="00396C9D" w:rsidTr="009A1627">
        <w:trPr>
          <w:trHeight w:val="300"/>
        </w:trPr>
        <w:tc>
          <w:tcPr>
            <w:tcW w:w="2743" w:type="dxa"/>
            <w:noWrap/>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Grup B of Child-Pugh</w:t>
            </w:r>
          </w:p>
        </w:tc>
        <w:tc>
          <w:tcPr>
            <w:tcW w:w="1418"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7.2</w:t>
            </w:r>
          </w:p>
        </w:tc>
        <w:tc>
          <w:tcPr>
            <w:tcW w:w="1701"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3.4-33.0</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0.0003</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8.2</w:t>
            </w:r>
          </w:p>
        </w:tc>
        <w:tc>
          <w:tcPr>
            <w:tcW w:w="123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2.0-28.5</w:t>
            </w:r>
          </w:p>
        </w:tc>
        <w:tc>
          <w:tcPr>
            <w:tcW w:w="90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0.02</w:t>
            </w:r>
          </w:p>
        </w:tc>
      </w:tr>
      <w:tr w:rsidR="007275E3" w:rsidRPr="00396C9D" w:rsidTr="009A1627">
        <w:trPr>
          <w:trHeight w:val="300"/>
        </w:trPr>
        <w:tc>
          <w:tcPr>
            <w:tcW w:w="2743" w:type="dxa"/>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Child Pugh score</w:t>
            </w:r>
          </w:p>
        </w:tc>
        <w:tc>
          <w:tcPr>
            <w:tcW w:w="1418"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5.2</w:t>
            </w:r>
          </w:p>
        </w:tc>
        <w:tc>
          <w:tcPr>
            <w:tcW w:w="1701"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2.9-25.8</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0.008</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10.2</w:t>
            </w:r>
          </w:p>
        </w:tc>
        <w:tc>
          <w:tcPr>
            <w:tcW w:w="123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2.4-21.9</w:t>
            </w:r>
          </w:p>
        </w:tc>
        <w:tc>
          <w:tcPr>
            <w:tcW w:w="90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0.008</w:t>
            </w:r>
          </w:p>
        </w:tc>
      </w:tr>
      <w:tr w:rsidR="007275E3" w:rsidRPr="00396C9D" w:rsidTr="009A1627">
        <w:trPr>
          <w:trHeight w:val="300"/>
        </w:trPr>
        <w:tc>
          <w:tcPr>
            <w:tcW w:w="2743" w:type="dxa"/>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MELD score</w:t>
            </w:r>
          </w:p>
        </w:tc>
        <w:tc>
          <w:tcPr>
            <w:tcW w:w="1418"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8.1</w:t>
            </w:r>
          </w:p>
        </w:tc>
        <w:tc>
          <w:tcPr>
            <w:tcW w:w="1701"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4.2-18.7</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0.001</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12.3</w:t>
            </w:r>
          </w:p>
        </w:tc>
        <w:tc>
          <w:tcPr>
            <w:tcW w:w="123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6.4-33.6</w:t>
            </w:r>
          </w:p>
        </w:tc>
        <w:tc>
          <w:tcPr>
            <w:tcW w:w="90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0.001</w:t>
            </w:r>
          </w:p>
        </w:tc>
      </w:tr>
      <w:tr w:rsidR="007275E3" w:rsidRPr="00396C9D" w:rsidTr="009A1627">
        <w:trPr>
          <w:trHeight w:val="300"/>
        </w:trPr>
        <w:tc>
          <w:tcPr>
            <w:tcW w:w="2743" w:type="dxa"/>
            <w:noWrap/>
            <w:vAlign w:val="center"/>
          </w:tcPr>
          <w:p w:rsidR="007275E3" w:rsidRPr="00396C9D"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SAGT</w:t>
            </w:r>
          </w:p>
        </w:tc>
        <w:tc>
          <w:tcPr>
            <w:tcW w:w="1418"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4.5</w:t>
            </w:r>
          </w:p>
        </w:tc>
        <w:tc>
          <w:tcPr>
            <w:tcW w:w="1701"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2.0-15.2</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0.042</w:t>
            </w:r>
          </w:p>
        </w:tc>
        <w:tc>
          <w:tcPr>
            <w:tcW w:w="1134"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3.2</w:t>
            </w:r>
          </w:p>
        </w:tc>
        <w:tc>
          <w:tcPr>
            <w:tcW w:w="123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2.8-54.2</w:t>
            </w:r>
          </w:p>
        </w:tc>
        <w:tc>
          <w:tcPr>
            <w:tcW w:w="900" w:type="dxa"/>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0.01</w:t>
            </w:r>
          </w:p>
        </w:tc>
      </w:tr>
      <w:tr w:rsidR="007275E3" w:rsidRPr="00396C9D" w:rsidTr="009A1627">
        <w:trPr>
          <w:trHeight w:val="300"/>
        </w:trPr>
        <w:tc>
          <w:tcPr>
            <w:tcW w:w="2743" w:type="dxa"/>
            <w:tcBorders>
              <w:bottom w:val="single" w:sz="4" w:space="0" w:color="auto"/>
            </w:tcBorders>
            <w:noWrap/>
            <w:vAlign w:val="center"/>
          </w:tcPr>
          <w:p w:rsidR="007275E3" w:rsidRPr="00EF7CB1" w:rsidRDefault="007275E3" w:rsidP="00A60D1E">
            <w:pPr>
              <w:spacing w:after="0" w:line="360" w:lineRule="auto"/>
              <w:jc w:val="both"/>
              <w:rPr>
                <w:rFonts w:ascii="Book Antiqua" w:hAnsi="Book Antiqua" w:cs="Arial"/>
                <w:bCs/>
                <w:sz w:val="24"/>
                <w:szCs w:val="24"/>
              </w:rPr>
            </w:pPr>
            <w:r w:rsidRPr="00396C9D">
              <w:rPr>
                <w:rFonts w:ascii="Book Antiqua" w:hAnsi="Book Antiqua" w:cs="Arial"/>
                <w:bCs/>
                <w:sz w:val="24"/>
                <w:szCs w:val="24"/>
              </w:rPr>
              <w:t>Fasting serum insulin</w:t>
            </w:r>
          </w:p>
        </w:tc>
        <w:tc>
          <w:tcPr>
            <w:tcW w:w="1418"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1.2</w:t>
            </w:r>
          </w:p>
        </w:tc>
        <w:tc>
          <w:tcPr>
            <w:tcW w:w="1701"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1.0-33.5</w:t>
            </w:r>
          </w:p>
        </w:tc>
        <w:tc>
          <w:tcPr>
            <w:tcW w:w="1134"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0.04</w:t>
            </w:r>
          </w:p>
        </w:tc>
        <w:tc>
          <w:tcPr>
            <w:tcW w:w="1134"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3.2</w:t>
            </w:r>
          </w:p>
        </w:tc>
        <w:tc>
          <w:tcPr>
            <w:tcW w:w="1230"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0.1-27.3</w:t>
            </w:r>
          </w:p>
        </w:tc>
        <w:tc>
          <w:tcPr>
            <w:tcW w:w="900" w:type="dxa"/>
            <w:tcBorders>
              <w:bottom w:val="single" w:sz="4" w:space="0" w:color="auto"/>
            </w:tcBorders>
            <w:vAlign w:val="center"/>
          </w:tcPr>
          <w:p w:rsidR="007275E3" w:rsidRPr="00EF7CB1" w:rsidRDefault="007275E3" w:rsidP="00A60D1E">
            <w:pPr>
              <w:spacing w:after="0" w:line="360" w:lineRule="auto"/>
              <w:jc w:val="both"/>
              <w:rPr>
                <w:rFonts w:ascii="Book Antiqua" w:hAnsi="Book Antiqua" w:cs="Arial"/>
                <w:bCs/>
                <w:sz w:val="24"/>
                <w:szCs w:val="24"/>
              </w:rPr>
            </w:pPr>
            <w:r w:rsidRPr="00EF7CB1">
              <w:rPr>
                <w:rFonts w:ascii="Book Antiqua" w:hAnsi="Book Antiqua" w:cs="Arial"/>
                <w:bCs/>
                <w:sz w:val="24"/>
                <w:szCs w:val="24"/>
              </w:rPr>
              <w:t>0.32</w:t>
            </w:r>
          </w:p>
        </w:tc>
      </w:tr>
    </w:tbl>
    <w:p w:rsidR="007275E3" w:rsidRPr="008924AC" w:rsidRDefault="007275E3" w:rsidP="00A60D1E">
      <w:pPr>
        <w:spacing w:after="0" w:line="360" w:lineRule="auto"/>
        <w:ind w:left="-851"/>
        <w:jc w:val="both"/>
        <w:rPr>
          <w:rFonts w:ascii="Book Antiqua" w:hAnsi="Book Antiqua" w:cs="Arial"/>
          <w:bCs/>
          <w:sz w:val="24"/>
          <w:szCs w:val="24"/>
        </w:rPr>
      </w:pPr>
      <w:r w:rsidRPr="00EF7CB1">
        <w:rPr>
          <w:rFonts w:ascii="Book Antiqua" w:hAnsi="Book Antiqua" w:cs="Arial"/>
          <w:bCs/>
          <w:sz w:val="24"/>
          <w:szCs w:val="24"/>
        </w:rPr>
        <w:t xml:space="preserve"> MELD: Model for end stage liver disease; INR: International normalized ratio; SAGT: Subclinical abnormal glucose tolerance.</w:t>
      </w:r>
    </w:p>
    <w:p w:rsidR="007275E3" w:rsidRPr="008924AC" w:rsidRDefault="007275E3" w:rsidP="00A60D1E">
      <w:pPr>
        <w:spacing w:after="0" w:line="360" w:lineRule="auto"/>
        <w:ind w:left="-851"/>
        <w:jc w:val="both"/>
        <w:rPr>
          <w:rFonts w:ascii="Book Antiqua" w:hAnsi="Book Antiqua" w:cs="Arial"/>
          <w:bCs/>
          <w:sz w:val="24"/>
          <w:szCs w:val="24"/>
        </w:rPr>
      </w:pPr>
    </w:p>
    <w:p w:rsidR="007275E3" w:rsidRPr="008924AC" w:rsidRDefault="007275E3" w:rsidP="00A60D1E">
      <w:pPr>
        <w:spacing w:after="0" w:line="360" w:lineRule="auto"/>
        <w:ind w:left="-851"/>
        <w:jc w:val="both"/>
        <w:rPr>
          <w:rFonts w:ascii="Book Antiqua" w:hAnsi="Book Antiqua" w:cs="Arial"/>
          <w:b/>
          <w:bCs/>
          <w:sz w:val="24"/>
          <w:szCs w:val="24"/>
        </w:rPr>
      </w:pPr>
    </w:p>
    <w:p w:rsidR="007275E3" w:rsidRPr="008924AC" w:rsidRDefault="007275E3" w:rsidP="00A60D1E">
      <w:pPr>
        <w:spacing w:after="0" w:line="360" w:lineRule="auto"/>
        <w:jc w:val="both"/>
        <w:rPr>
          <w:rFonts w:ascii="Book Antiqua" w:hAnsi="Book Antiqua" w:cs="Arial"/>
          <w:sz w:val="24"/>
          <w:szCs w:val="24"/>
        </w:rPr>
      </w:pPr>
    </w:p>
    <w:sectPr w:rsidR="007275E3" w:rsidRPr="008924AC" w:rsidSect="006521B8">
      <w:headerReference w:type="default" r:id="rId9"/>
      <w:pgSz w:w="12240" w:h="15840"/>
      <w:pgMar w:top="1417" w:right="1701" w:bottom="1417" w:left="1701"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FD" w:rsidRDefault="001F30FD" w:rsidP="00ED0F7D">
      <w:pPr>
        <w:spacing w:after="0" w:line="240" w:lineRule="auto"/>
      </w:pPr>
      <w:r>
        <w:separator/>
      </w:r>
    </w:p>
  </w:endnote>
  <w:endnote w:type="continuationSeparator" w:id="0">
    <w:p w:rsidR="001F30FD" w:rsidRDefault="001F30FD" w:rsidP="00ED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FD" w:rsidRDefault="001F30FD" w:rsidP="00ED0F7D">
      <w:pPr>
        <w:spacing w:after="0" w:line="240" w:lineRule="auto"/>
      </w:pPr>
      <w:r>
        <w:separator/>
      </w:r>
    </w:p>
  </w:footnote>
  <w:footnote w:type="continuationSeparator" w:id="0">
    <w:p w:rsidR="001F30FD" w:rsidRDefault="001F30FD" w:rsidP="00ED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E3" w:rsidRDefault="001F30FD">
    <w:pPr>
      <w:pStyle w:val="a4"/>
      <w:jc w:val="right"/>
    </w:pPr>
    <w:r>
      <w:fldChar w:fldCharType="begin"/>
    </w:r>
    <w:r>
      <w:instrText xml:space="preserve"> PAGE   \* MERGEFORMAT </w:instrText>
    </w:r>
    <w:r>
      <w:fldChar w:fldCharType="separate"/>
    </w:r>
    <w:r w:rsidR="000A5B48">
      <w:rPr>
        <w:noProof/>
      </w:rPr>
      <w:t>28</w:t>
    </w:r>
    <w:r>
      <w:rPr>
        <w:noProof/>
      </w:rPr>
      <w:fldChar w:fldCharType="end"/>
    </w:r>
  </w:p>
  <w:p w:rsidR="007275E3" w:rsidRDefault="007275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F510B"/>
    <w:multiLevelType w:val="hybridMultilevel"/>
    <w:tmpl w:val="9640BE8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C2"/>
    <w:rsid w:val="000007E6"/>
    <w:rsid w:val="0000505E"/>
    <w:rsid w:val="00006A02"/>
    <w:rsid w:val="00006CEB"/>
    <w:rsid w:val="00012EBA"/>
    <w:rsid w:val="00013522"/>
    <w:rsid w:val="0001451C"/>
    <w:rsid w:val="00014D97"/>
    <w:rsid w:val="00015064"/>
    <w:rsid w:val="0001701D"/>
    <w:rsid w:val="000213C2"/>
    <w:rsid w:val="00021F3E"/>
    <w:rsid w:val="00022C91"/>
    <w:rsid w:val="000316C0"/>
    <w:rsid w:val="00033C45"/>
    <w:rsid w:val="000348C3"/>
    <w:rsid w:val="00036C07"/>
    <w:rsid w:val="00040269"/>
    <w:rsid w:val="00040422"/>
    <w:rsid w:val="00043490"/>
    <w:rsid w:val="00053172"/>
    <w:rsid w:val="00055FDD"/>
    <w:rsid w:val="00057565"/>
    <w:rsid w:val="00070455"/>
    <w:rsid w:val="00075165"/>
    <w:rsid w:val="00082399"/>
    <w:rsid w:val="000952DD"/>
    <w:rsid w:val="000A0386"/>
    <w:rsid w:val="000A2ACA"/>
    <w:rsid w:val="000A5957"/>
    <w:rsid w:val="000A5B48"/>
    <w:rsid w:val="000B2350"/>
    <w:rsid w:val="000B4388"/>
    <w:rsid w:val="000B70A6"/>
    <w:rsid w:val="000C1A37"/>
    <w:rsid w:val="000C3D01"/>
    <w:rsid w:val="000C44FF"/>
    <w:rsid w:val="000C6E66"/>
    <w:rsid w:val="000D334C"/>
    <w:rsid w:val="000D3775"/>
    <w:rsid w:val="000D3E8A"/>
    <w:rsid w:val="000D4359"/>
    <w:rsid w:val="000E1AA2"/>
    <w:rsid w:val="000E6599"/>
    <w:rsid w:val="000F1EC6"/>
    <w:rsid w:val="000F244B"/>
    <w:rsid w:val="000F3ACA"/>
    <w:rsid w:val="000F3DD6"/>
    <w:rsid w:val="00101492"/>
    <w:rsid w:val="001015F3"/>
    <w:rsid w:val="0010237E"/>
    <w:rsid w:val="00104969"/>
    <w:rsid w:val="0010525E"/>
    <w:rsid w:val="00107416"/>
    <w:rsid w:val="001101F1"/>
    <w:rsid w:val="00115CB8"/>
    <w:rsid w:val="00116C5A"/>
    <w:rsid w:val="0013196D"/>
    <w:rsid w:val="00133D1A"/>
    <w:rsid w:val="0013732D"/>
    <w:rsid w:val="00140C1E"/>
    <w:rsid w:val="0014208E"/>
    <w:rsid w:val="0014404F"/>
    <w:rsid w:val="00146F2B"/>
    <w:rsid w:val="00157025"/>
    <w:rsid w:val="00163D1C"/>
    <w:rsid w:val="00167A35"/>
    <w:rsid w:val="00174A45"/>
    <w:rsid w:val="00175A96"/>
    <w:rsid w:val="00175B18"/>
    <w:rsid w:val="00175D1C"/>
    <w:rsid w:val="00176649"/>
    <w:rsid w:val="00177394"/>
    <w:rsid w:val="00181DDD"/>
    <w:rsid w:val="00182DC6"/>
    <w:rsid w:val="00183051"/>
    <w:rsid w:val="00184844"/>
    <w:rsid w:val="00190E43"/>
    <w:rsid w:val="0019268B"/>
    <w:rsid w:val="001969AE"/>
    <w:rsid w:val="001A21CC"/>
    <w:rsid w:val="001A5F3B"/>
    <w:rsid w:val="001B40AC"/>
    <w:rsid w:val="001C5954"/>
    <w:rsid w:val="001E30C0"/>
    <w:rsid w:val="001E6EF9"/>
    <w:rsid w:val="001F30FD"/>
    <w:rsid w:val="001F4742"/>
    <w:rsid w:val="001F6908"/>
    <w:rsid w:val="002005B7"/>
    <w:rsid w:val="00203A2F"/>
    <w:rsid w:val="0020428E"/>
    <w:rsid w:val="00211B99"/>
    <w:rsid w:val="00213F2E"/>
    <w:rsid w:val="00214D0B"/>
    <w:rsid w:val="00230C70"/>
    <w:rsid w:val="00233E76"/>
    <w:rsid w:val="0023675C"/>
    <w:rsid w:val="00237A29"/>
    <w:rsid w:val="00243FF8"/>
    <w:rsid w:val="002460B6"/>
    <w:rsid w:val="00246C6A"/>
    <w:rsid w:val="002530E1"/>
    <w:rsid w:val="0025519C"/>
    <w:rsid w:val="00260A1A"/>
    <w:rsid w:val="00261A6E"/>
    <w:rsid w:val="00263A17"/>
    <w:rsid w:val="00263D8D"/>
    <w:rsid w:val="00266A03"/>
    <w:rsid w:val="002758F4"/>
    <w:rsid w:val="00276368"/>
    <w:rsid w:val="00277975"/>
    <w:rsid w:val="00280466"/>
    <w:rsid w:val="00282D02"/>
    <w:rsid w:val="00292117"/>
    <w:rsid w:val="00297EA9"/>
    <w:rsid w:val="002A3A5C"/>
    <w:rsid w:val="002B0FEA"/>
    <w:rsid w:val="002B154F"/>
    <w:rsid w:val="002B2D0F"/>
    <w:rsid w:val="002B3085"/>
    <w:rsid w:val="002B6506"/>
    <w:rsid w:val="002C3091"/>
    <w:rsid w:val="002C53F1"/>
    <w:rsid w:val="002C754B"/>
    <w:rsid w:val="002D0CA2"/>
    <w:rsid w:val="002D25E6"/>
    <w:rsid w:val="002E38FC"/>
    <w:rsid w:val="002F0DCD"/>
    <w:rsid w:val="002F2A52"/>
    <w:rsid w:val="002F38EB"/>
    <w:rsid w:val="002F69AE"/>
    <w:rsid w:val="002F74F7"/>
    <w:rsid w:val="002F7C9E"/>
    <w:rsid w:val="00302B40"/>
    <w:rsid w:val="00306B16"/>
    <w:rsid w:val="00307594"/>
    <w:rsid w:val="0031662A"/>
    <w:rsid w:val="00317423"/>
    <w:rsid w:val="003203B7"/>
    <w:rsid w:val="00320503"/>
    <w:rsid w:val="0032726A"/>
    <w:rsid w:val="0032766B"/>
    <w:rsid w:val="003317C0"/>
    <w:rsid w:val="003322A7"/>
    <w:rsid w:val="003330A2"/>
    <w:rsid w:val="00333946"/>
    <w:rsid w:val="00340837"/>
    <w:rsid w:val="00341565"/>
    <w:rsid w:val="00342D87"/>
    <w:rsid w:val="00346672"/>
    <w:rsid w:val="003467C1"/>
    <w:rsid w:val="00346A9B"/>
    <w:rsid w:val="00346B7F"/>
    <w:rsid w:val="00346F26"/>
    <w:rsid w:val="00355078"/>
    <w:rsid w:val="00356D59"/>
    <w:rsid w:val="00364981"/>
    <w:rsid w:val="00364FF8"/>
    <w:rsid w:val="0037004A"/>
    <w:rsid w:val="0038057C"/>
    <w:rsid w:val="00383B67"/>
    <w:rsid w:val="00386A32"/>
    <w:rsid w:val="00387287"/>
    <w:rsid w:val="00391A20"/>
    <w:rsid w:val="00393EC8"/>
    <w:rsid w:val="00396919"/>
    <w:rsid w:val="00396C9D"/>
    <w:rsid w:val="003A1028"/>
    <w:rsid w:val="003B09C4"/>
    <w:rsid w:val="003E16C3"/>
    <w:rsid w:val="003E2C6B"/>
    <w:rsid w:val="003E3E0F"/>
    <w:rsid w:val="003F5E20"/>
    <w:rsid w:val="003F7D62"/>
    <w:rsid w:val="00400B71"/>
    <w:rsid w:val="00402335"/>
    <w:rsid w:val="00405753"/>
    <w:rsid w:val="00414423"/>
    <w:rsid w:val="00415F54"/>
    <w:rsid w:val="0041694F"/>
    <w:rsid w:val="00425E1C"/>
    <w:rsid w:val="0043205B"/>
    <w:rsid w:val="004325D0"/>
    <w:rsid w:val="0043429D"/>
    <w:rsid w:val="004410BE"/>
    <w:rsid w:val="004467D0"/>
    <w:rsid w:val="004529A5"/>
    <w:rsid w:val="0045578B"/>
    <w:rsid w:val="00457CEB"/>
    <w:rsid w:val="00461A00"/>
    <w:rsid w:val="00461DF2"/>
    <w:rsid w:val="00462272"/>
    <w:rsid w:val="00464440"/>
    <w:rsid w:val="00466F3F"/>
    <w:rsid w:val="004674D9"/>
    <w:rsid w:val="00470C0A"/>
    <w:rsid w:val="00471B8E"/>
    <w:rsid w:val="00471D2F"/>
    <w:rsid w:val="00474128"/>
    <w:rsid w:val="00480129"/>
    <w:rsid w:val="00480FC7"/>
    <w:rsid w:val="00483B1D"/>
    <w:rsid w:val="0049387C"/>
    <w:rsid w:val="004A1E78"/>
    <w:rsid w:val="004A33AC"/>
    <w:rsid w:val="004A4544"/>
    <w:rsid w:val="004B003C"/>
    <w:rsid w:val="004B0BE5"/>
    <w:rsid w:val="004B0C21"/>
    <w:rsid w:val="004B134C"/>
    <w:rsid w:val="004B46EE"/>
    <w:rsid w:val="004B5308"/>
    <w:rsid w:val="004B70E8"/>
    <w:rsid w:val="004C0FEB"/>
    <w:rsid w:val="004C5974"/>
    <w:rsid w:val="004C7BC6"/>
    <w:rsid w:val="004D055F"/>
    <w:rsid w:val="004D173F"/>
    <w:rsid w:val="004D5FCB"/>
    <w:rsid w:val="004D6C39"/>
    <w:rsid w:val="004E15BC"/>
    <w:rsid w:val="004E49A2"/>
    <w:rsid w:val="004F53C9"/>
    <w:rsid w:val="00500CA2"/>
    <w:rsid w:val="005039B3"/>
    <w:rsid w:val="00506834"/>
    <w:rsid w:val="005074ED"/>
    <w:rsid w:val="00514811"/>
    <w:rsid w:val="005164B0"/>
    <w:rsid w:val="00517983"/>
    <w:rsid w:val="0052437B"/>
    <w:rsid w:val="00524818"/>
    <w:rsid w:val="00527E25"/>
    <w:rsid w:val="0053640A"/>
    <w:rsid w:val="00542BA6"/>
    <w:rsid w:val="00543F18"/>
    <w:rsid w:val="00550365"/>
    <w:rsid w:val="0055360C"/>
    <w:rsid w:val="00554E6E"/>
    <w:rsid w:val="00561E26"/>
    <w:rsid w:val="00563255"/>
    <w:rsid w:val="0056444E"/>
    <w:rsid w:val="0056665C"/>
    <w:rsid w:val="005725E6"/>
    <w:rsid w:val="00575C9F"/>
    <w:rsid w:val="005809D8"/>
    <w:rsid w:val="00581348"/>
    <w:rsid w:val="00585722"/>
    <w:rsid w:val="00585771"/>
    <w:rsid w:val="00594DDA"/>
    <w:rsid w:val="00594DDB"/>
    <w:rsid w:val="00595038"/>
    <w:rsid w:val="005A1A39"/>
    <w:rsid w:val="005A47E2"/>
    <w:rsid w:val="005A48E6"/>
    <w:rsid w:val="005A4FF2"/>
    <w:rsid w:val="005A7702"/>
    <w:rsid w:val="005A7B27"/>
    <w:rsid w:val="005B2F2A"/>
    <w:rsid w:val="005B4E3A"/>
    <w:rsid w:val="005C176A"/>
    <w:rsid w:val="005C3E39"/>
    <w:rsid w:val="005C4CCC"/>
    <w:rsid w:val="005C5DD0"/>
    <w:rsid w:val="005D0B7C"/>
    <w:rsid w:val="005D0DC4"/>
    <w:rsid w:val="005D2B43"/>
    <w:rsid w:val="005D3667"/>
    <w:rsid w:val="005D718C"/>
    <w:rsid w:val="005F1E16"/>
    <w:rsid w:val="005F3921"/>
    <w:rsid w:val="005F455C"/>
    <w:rsid w:val="005F4C04"/>
    <w:rsid w:val="005F4F29"/>
    <w:rsid w:val="0060116D"/>
    <w:rsid w:val="00602C06"/>
    <w:rsid w:val="0061115C"/>
    <w:rsid w:val="00615FD2"/>
    <w:rsid w:val="00616436"/>
    <w:rsid w:val="00622E7E"/>
    <w:rsid w:val="00623C4E"/>
    <w:rsid w:val="00632557"/>
    <w:rsid w:val="006329DF"/>
    <w:rsid w:val="00634EEA"/>
    <w:rsid w:val="00637C8B"/>
    <w:rsid w:val="00646116"/>
    <w:rsid w:val="006470A4"/>
    <w:rsid w:val="00647DA0"/>
    <w:rsid w:val="006500A9"/>
    <w:rsid w:val="006521B8"/>
    <w:rsid w:val="00657A5A"/>
    <w:rsid w:val="00666AA2"/>
    <w:rsid w:val="00670B5B"/>
    <w:rsid w:val="00671D50"/>
    <w:rsid w:val="006751E2"/>
    <w:rsid w:val="00675624"/>
    <w:rsid w:val="00675F78"/>
    <w:rsid w:val="00675FC9"/>
    <w:rsid w:val="006800E6"/>
    <w:rsid w:val="00681874"/>
    <w:rsid w:val="00683586"/>
    <w:rsid w:val="00683A2A"/>
    <w:rsid w:val="00685739"/>
    <w:rsid w:val="00692CBF"/>
    <w:rsid w:val="006937D0"/>
    <w:rsid w:val="006959DD"/>
    <w:rsid w:val="006B0315"/>
    <w:rsid w:val="006B3FCC"/>
    <w:rsid w:val="006B7E6D"/>
    <w:rsid w:val="006C1DD4"/>
    <w:rsid w:val="006C1F9C"/>
    <w:rsid w:val="006C4F95"/>
    <w:rsid w:val="006C7DCB"/>
    <w:rsid w:val="006D4DE9"/>
    <w:rsid w:val="006D5BB0"/>
    <w:rsid w:val="006E7237"/>
    <w:rsid w:val="006F4249"/>
    <w:rsid w:val="006F4BA3"/>
    <w:rsid w:val="006F5081"/>
    <w:rsid w:val="006F5ED5"/>
    <w:rsid w:val="006F7D55"/>
    <w:rsid w:val="00700AD7"/>
    <w:rsid w:val="00706AEA"/>
    <w:rsid w:val="00711FE2"/>
    <w:rsid w:val="00712918"/>
    <w:rsid w:val="00716DA0"/>
    <w:rsid w:val="0071733D"/>
    <w:rsid w:val="007275E3"/>
    <w:rsid w:val="00733AA4"/>
    <w:rsid w:val="00737793"/>
    <w:rsid w:val="00737D9C"/>
    <w:rsid w:val="00744F23"/>
    <w:rsid w:val="00745492"/>
    <w:rsid w:val="007461A0"/>
    <w:rsid w:val="007465FB"/>
    <w:rsid w:val="00752ECA"/>
    <w:rsid w:val="00754EE8"/>
    <w:rsid w:val="007640C6"/>
    <w:rsid w:val="00766EBA"/>
    <w:rsid w:val="007733D0"/>
    <w:rsid w:val="0077537C"/>
    <w:rsid w:val="00776284"/>
    <w:rsid w:val="00777830"/>
    <w:rsid w:val="00777836"/>
    <w:rsid w:val="00780320"/>
    <w:rsid w:val="00784464"/>
    <w:rsid w:val="00787F2C"/>
    <w:rsid w:val="00793DBD"/>
    <w:rsid w:val="007957FD"/>
    <w:rsid w:val="007B0A90"/>
    <w:rsid w:val="007B29FE"/>
    <w:rsid w:val="007B316C"/>
    <w:rsid w:val="007B35F1"/>
    <w:rsid w:val="007B38A1"/>
    <w:rsid w:val="007B3D7B"/>
    <w:rsid w:val="007B6CEE"/>
    <w:rsid w:val="007C6D1B"/>
    <w:rsid w:val="007D39A4"/>
    <w:rsid w:val="007D43B1"/>
    <w:rsid w:val="007D59BE"/>
    <w:rsid w:val="007E20B5"/>
    <w:rsid w:val="007E2EF9"/>
    <w:rsid w:val="007E471A"/>
    <w:rsid w:val="007E4C53"/>
    <w:rsid w:val="007F0118"/>
    <w:rsid w:val="007F08F5"/>
    <w:rsid w:val="007F1CBD"/>
    <w:rsid w:val="007F24D9"/>
    <w:rsid w:val="007F4C5E"/>
    <w:rsid w:val="007F5FAB"/>
    <w:rsid w:val="007F6ABF"/>
    <w:rsid w:val="007F6DCE"/>
    <w:rsid w:val="008009F6"/>
    <w:rsid w:val="0080155A"/>
    <w:rsid w:val="00801ABA"/>
    <w:rsid w:val="00801AF3"/>
    <w:rsid w:val="00806CDD"/>
    <w:rsid w:val="0081014C"/>
    <w:rsid w:val="00817A3B"/>
    <w:rsid w:val="00825518"/>
    <w:rsid w:val="00831640"/>
    <w:rsid w:val="00833F14"/>
    <w:rsid w:val="00834819"/>
    <w:rsid w:val="0084035E"/>
    <w:rsid w:val="008428E2"/>
    <w:rsid w:val="0084594A"/>
    <w:rsid w:val="00845A24"/>
    <w:rsid w:val="00852FD5"/>
    <w:rsid w:val="008570E6"/>
    <w:rsid w:val="008578B5"/>
    <w:rsid w:val="00857EB6"/>
    <w:rsid w:val="008626EB"/>
    <w:rsid w:val="00862D04"/>
    <w:rsid w:val="00864629"/>
    <w:rsid w:val="00866CA9"/>
    <w:rsid w:val="008726B6"/>
    <w:rsid w:val="008750C6"/>
    <w:rsid w:val="00875A41"/>
    <w:rsid w:val="00875B25"/>
    <w:rsid w:val="0088228D"/>
    <w:rsid w:val="00883166"/>
    <w:rsid w:val="0088338E"/>
    <w:rsid w:val="00884124"/>
    <w:rsid w:val="00886AF0"/>
    <w:rsid w:val="00891EAE"/>
    <w:rsid w:val="008924AC"/>
    <w:rsid w:val="00895702"/>
    <w:rsid w:val="00896F08"/>
    <w:rsid w:val="008B5FEB"/>
    <w:rsid w:val="008C336A"/>
    <w:rsid w:val="008C7780"/>
    <w:rsid w:val="008D1B88"/>
    <w:rsid w:val="008E5033"/>
    <w:rsid w:val="008F3F4B"/>
    <w:rsid w:val="008F3F68"/>
    <w:rsid w:val="008F52EA"/>
    <w:rsid w:val="009018B3"/>
    <w:rsid w:val="0090320B"/>
    <w:rsid w:val="0091154D"/>
    <w:rsid w:val="00920C85"/>
    <w:rsid w:val="00924478"/>
    <w:rsid w:val="009259DE"/>
    <w:rsid w:val="00931816"/>
    <w:rsid w:val="00932878"/>
    <w:rsid w:val="009365DF"/>
    <w:rsid w:val="00937D04"/>
    <w:rsid w:val="00937FE1"/>
    <w:rsid w:val="00942B84"/>
    <w:rsid w:val="00944708"/>
    <w:rsid w:val="00945284"/>
    <w:rsid w:val="0094623D"/>
    <w:rsid w:val="00950AB7"/>
    <w:rsid w:val="009515C4"/>
    <w:rsid w:val="00967383"/>
    <w:rsid w:val="00970726"/>
    <w:rsid w:val="00987102"/>
    <w:rsid w:val="00987628"/>
    <w:rsid w:val="00990E7D"/>
    <w:rsid w:val="00992324"/>
    <w:rsid w:val="0099235F"/>
    <w:rsid w:val="009939DB"/>
    <w:rsid w:val="0099458E"/>
    <w:rsid w:val="009979A5"/>
    <w:rsid w:val="00997BF6"/>
    <w:rsid w:val="00997F25"/>
    <w:rsid w:val="009A0FF3"/>
    <w:rsid w:val="009A1627"/>
    <w:rsid w:val="009A3DAE"/>
    <w:rsid w:val="009A55B3"/>
    <w:rsid w:val="009B06FD"/>
    <w:rsid w:val="009C3703"/>
    <w:rsid w:val="009C4558"/>
    <w:rsid w:val="009C63B6"/>
    <w:rsid w:val="009D51A3"/>
    <w:rsid w:val="009E3034"/>
    <w:rsid w:val="009E3259"/>
    <w:rsid w:val="009E57A6"/>
    <w:rsid w:val="00A00F51"/>
    <w:rsid w:val="00A01242"/>
    <w:rsid w:val="00A01260"/>
    <w:rsid w:val="00A061D9"/>
    <w:rsid w:val="00A0791E"/>
    <w:rsid w:val="00A102D0"/>
    <w:rsid w:val="00A13CA9"/>
    <w:rsid w:val="00A152F7"/>
    <w:rsid w:val="00A15CD5"/>
    <w:rsid w:val="00A177A5"/>
    <w:rsid w:val="00A34453"/>
    <w:rsid w:val="00A35393"/>
    <w:rsid w:val="00A37523"/>
    <w:rsid w:val="00A42B90"/>
    <w:rsid w:val="00A45EEC"/>
    <w:rsid w:val="00A53BC4"/>
    <w:rsid w:val="00A5536D"/>
    <w:rsid w:val="00A55686"/>
    <w:rsid w:val="00A60D1E"/>
    <w:rsid w:val="00A61E6B"/>
    <w:rsid w:val="00A62AB7"/>
    <w:rsid w:val="00A63896"/>
    <w:rsid w:val="00A6565A"/>
    <w:rsid w:val="00A72D9E"/>
    <w:rsid w:val="00A737DD"/>
    <w:rsid w:val="00A86CCB"/>
    <w:rsid w:val="00A86DC8"/>
    <w:rsid w:val="00A877A8"/>
    <w:rsid w:val="00A91D3A"/>
    <w:rsid w:val="00A93BFD"/>
    <w:rsid w:val="00A95F03"/>
    <w:rsid w:val="00A96BD7"/>
    <w:rsid w:val="00AA48CB"/>
    <w:rsid w:val="00AA610D"/>
    <w:rsid w:val="00AB4899"/>
    <w:rsid w:val="00AB575F"/>
    <w:rsid w:val="00AB576D"/>
    <w:rsid w:val="00AB5C27"/>
    <w:rsid w:val="00AB67B4"/>
    <w:rsid w:val="00AB7FDA"/>
    <w:rsid w:val="00AC7DB1"/>
    <w:rsid w:val="00AD58C6"/>
    <w:rsid w:val="00AD5C62"/>
    <w:rsid w:val="00AD7506"/>
    <w:rsid w:val="00AE15C1"/>
    <w:rsid w:val="00AE38E7"/>
    <w:rsid w:val="00AE3CD7"/>
    <w:rsid w:val="00AE4189"/>
    <w:rsid w:val="00AE7BC1"/>
    <w:rsid w:val="00AE7C53"/>
    <w:rsid w:val="00AF18EB"/>
    <w:rsid w:val="00AF5771"/>
    <w:rsid w:val="00AF776A"/>
    <w:rsid w:val="00B00A7B"/>
    <w:rsid w:val="00B03B6F"/>
    <w:rsid w:val="00B05B73"/>
    <w:rsid w:val="00B118ED"/>
    <w:rsid w:val="00B16E10"/>
    <w:rsid w:val="00B20F9F"/>
    <w:rsid w:val="00B30160"/>
    <w:rsid w:val="00B3378D"/>
    <w:rsid w:val="00B3485A"/>
    <w:rsid w:val="00B34EC2"/>
    <w:rsid w:val="00B35378"/>
    <w:rsid w:val="00B41657"/>
    <w:rsid w:val="00B458FC"/>
    <w:rsid w:val="00B5263A"/>
    <w:rsid w:val="00B535D7"/>
    <w:rsid w:val="00B6417A"/>
    <w:rsid w:val="00B6459B"/>
    <w:rsid w:val="00B71EFE"/>
    <w:rsid w:val="00B73379"/>
    <w:rsid w:val="00B73482"/>
    <w:rsid w:val="00B75CB3"/>
    <w:rsid w:val="00B81080"/>
    <w:rsid w:val="00B8304A"/>
    <w:rsid w:val="00B836CC"/>
    <w:rsid w:val="00B83D9E"/>
    <w:rsid w:val="00B862BE"/>
    <w:rsid w:val="00B91648"/>
    <w:rsid w:val="00BA172E"/>
    <w:rsid w:val="00BB0DE7"/>
    <w:rsid w:val="00BB0F64"/>
    <w:rsid w:val="00BB16EE"/>
    <w:rsid w:val="00BB2530"/>
    <w:rsid w:val="00BB6CBC"/>
    <w:rsid w:val="00BC0366"/>
    <w:rsid w:val="00BC1FA6"/>
    <w:rsid w:val="00BC37E9"/>
    <w:rsid w:val="00BC5D4C"/>
    <w:rsid w:val="00BD1E1A"/>
    <w:rsid w:val="00BE2A3F"/>
    <w:rsid w:val="00BF3C74"/>
    <w:rsid w:val="00C00F2B"/>
    <w:rsid w:val="00C039AE"/>
    <w:rsid w:val="00C039D8"/>
    <w:rsid w:val="00C03F1E"/>
    <w:rsid w:val="00C162AD"/>
    <w:rsid w:val="00C16314"/>
    <w:rsid w:val="00C16AF7"/>
    <w:rsid w:val="00C327BD"/>
    <w:rsid w:val="00C34C6D"/>
    <w:rsid w:val="00C377FC"/>
    <w:rsid w:val="00C37F03"/>
    <w:rsid w:val="00C43C60"/>
    <w:rsid w:val="00C46284"/>
    <w:rsid w:val="00C5633F"/>
    <w:rsid w:val="00C6177A"/>
    <w:rsid w:val="00C617B1"/>
    <w:rsid w:val="00C6601F"/>
    <w:rsid w:val="00C71970"/>
    <w:rsid w:val="00C734EA"/>
    <w:rsid w:val="00C76D57"/>
    <w:rsid w:val="00C84DE9"/>
    <w:rsid w:val="00C8562A"/>
    <w:rsid w:val="00C86813"/>
    <w:rsid w:val="00C869F1"/>
    <w:rsid w:val="00C86CE6"/>
    <w:rsid w:val="00C91C17"/>
    <w:rsid w:val="00C97C02"/>
    <w:rsid w:val="00CA1981"/>
    <w:rsid w:val="00CA3E9D"/>
    <w:rsid w:val="00CA698A"/>
    <w:rsid w:val="00CA7D17"/>
    <w:rsid w:val="00CB4948"/>
    <w:rsid w:val="00CB503A"/>
    <w:rsid w:val="00CC1896"/>
    <w:rsid w:val="00CC3759"/>
    <w:rsid w:val="00CC6FAE"/>
    <w:rsid w:val="00CD3F11"/>
    <w:rsid w:val="00CD4CD6"/>
    <w:rsid w:val="00CE230F"/>
    <w:rsid w:val="00CF195D"/>
    <w:rsid w:val="00CF2DAD"/>
    <w:rsid w:val="00CF30A9"/>
    <w:rsid w:val="00D02EEA"/>
    <w:rsid w:val="00D03394"/>
    <w:rsid w:val="00D06CAB"/>
    <w:rsid w:val="00D0784E"/>
    <w:rsid w:val="00D102BF"/>
    <w:rsid w:val="00D11F5C"/>
    <w:rsid w:val="00D229B7"/>
    <w:rsid w:val="00D3007E"/>
    <w:rsid w:val="00D31748"/>
    <w:rsid w:val="00D32CB5"/>
    <w:rsid w:val="00D33A24"/>
    <w:rsid w:val="00D33DA7"/>
    <w:rsid w:val="00D3666A"/>
    <w:rsid w:val="00D432A7"/>
    <w:rsid w:val="00D45BFB"/>
    <w:rsid w:val="00D54300"/>
    <w:rsid w:val="00D54B38"/>
    <w:rsid w:val="00D55DE6"/>
    <w:rsid w:val="00D563BC"/>
    <w:rsid w:val="00D571AF"/>
    <w:rsid w:val="00D64436"/>
    <w:rsid w:val="00D64E5C"/>
    <w:rsid w:val="00D74264"/>
    <w:rsid w:val="00D85760"/>
    <w:rsid w:val="00DA1F6B"/>
    <w:rsid w:val="00DA2F04"/>
    <w:rsid w:val="00DA5F3F"/>
    <w:rsid w:val="00DB021B"/>
    <w:rsid w:val="00DB1ECD"/>
    <w:rsid w:val="00DC1B80"/>
    <w:rsid w:val="00DC4F32"/>
    <w:rsid w:val="00DC6484"/>
    <w:rsid w:val="00DD01D9"/>
    <w:rsid w:val="00DD093E"/>
    <w:rsid w:val="00DD0DB6"/>
    <w:rsid w:val="00DD1B3B"/>
    <w:rsid w:val="00DD2A6A"/>
    <w:rsid w:val="00DD4048"/>
    <w:rsid w:val="00DD4D09"/>
    <w:rsid w:val="00DD5BE0"/>
    <w:rsid w:val="00DE3210"/>
    <w:rsid w:val="00DF1BA5"/>
    <w:rsid w:val="00DF3BFC"/>
    <w:rsid w:val="00E008F7"/>
    <w:rsid w:val="00E017E9"/>
    <w:rsid w:val="00E02CA6"/>
    <w:rsid w:val="00E05B61"/>
    <w:rsid w:val="00E05E35"/>
    <w:rsid w:val="00E06062"/>
    <w:rsid w:val="00E11475"/>
    <w:rsid w:val="00E14E5F"/>
    <w:rsid w:val="00E1534E"/>
    <w:rsid w:val="00E16B15"/>
    <w:rsid w:val="00E23945"/>
    <w:rsid w:val="00E24136"/>
    <w:rsid w:val="00E2538A"/>
    <w:rsid w:val="00E30C07"/>
    <w:rsid w:val="00E315A1"/>
    <w:rsid w:val="00E35D6E"/>
    <w:rsid w:val="00E374F7"/>
    <w:rsid w:val="00E37F54"/>
    <w:rsid w:val="00E43339"/>
    <w:rsid w:val="00E47CC2"/>
    <w:rsid w:val="00E553FC"/>
    <w:rsid w:val="00E557C1"/>
    <w:rsid w:val="00E60C6A"/>
    <w:rsid w:val="00E615B4"/>
    <w:rsid w:val="00E706A4"/>
    <w:rsid w:val="00E71646"/>
    <w:rsid w:val="00E737DE"/>
    <w:rsid w:val="00E81E57"/>
    <w:rsid w:val="00E82CF1"/>
    <w:rsid w:val="00E867C1"/>
    <w:rsid w:val="00E87796"/>
    <w:rsid w:val="00E93D95"/>
    <w:rsid w:val="00E95532"/>
    <w:rsid w:val="00E955CB"/>
    <w:rsid w:val="00EA2110"/>
    <w:rsid w:val="00EA5D12"/>
    <w:rsid w:val="00EB167D"/>
    <w:rsid w:val="00EB462D"/>
    <w:rsid w:val="00EB664D"/>
    <w:rsid w:val="00EB688A"/>
    <w:rsid w:val="00EB6FAD"/>
    <w:rsid w:val="00EC0FA6"/>
    <w:rsid w:val="00EC25A8"/>
    <w:rsid w:val="00EC3A20"/>
    <w:rsid w:val="00EC3D2E"/>
    <w:rsid w:val="00EC45C6"/>
    <w:rsid w:val="00EC5500"/>
    <w:rsid w:val="00EC64C2"/>
    <w:rsid w:val="00ED0A94"/>
    <w:rsid w:val="00ED0F7D"/>
    <w:rsid w:val="00ED17F1"/>
    <w:rsid w:val="00ED5F9D"/>
    <w:rsid w:val="00ED769A"/>
    <w:rsid w:val="00ED7CB2"/>
    <w:rsid w:val="00EE3814"/>
    <w:rsid w:val="00EE3D9A"/>
    <w:rsid w:val="00EE4F11"/>
    <w:rsid w:val="00EF1B37"/>
    <w:rsid w:val="00EF306A"/>
    <w:rsid w:val="00EF4511"/>
    <w:rsid w:val="00EF516C"/>
    <w:rsid w:val="00EF7CB1"/>
    <w:rsid w:val="00F000A1"/>
    <w:rsid w:val="00F07EC3"/>
    <w:rsid w:val="00F20363"/>
    <w:rsid w:val="00F22148"/>
    <w:rsid w:val="00F262E5"/>
    <w:rsid w:val="00F31FCF"/>
    <w:rsid w:val="00F371AA"/>
    <w:rsid w:val="00F41D80"/>
    <w:rsid w:val="00F427FF"/>
    <w:rsid w:val="00F45794"/>
    <w:rsid w:val="00F5336C"/>
    <w:rsid w:val="00F54062"/>
    <w:rsid w:val="00F5657A"/>
    <w:rsid w:val="00F63FAE"/>
    <w:rsid w:val="00F67033"/>
    <w:rsid w:val="00F71BF6"/>
    <w:rsid w:val="00F73C92"/>
    <w:rsid w:val="00F76B99"/>
    <w:rsid w:val="00F801DC"/>
    <w:rsid w:val="00F907B9"/>
    <w:rsid w:val="00F92F3B"/>
    <w:rsid w:val="00F96AB8"/>
    <w:rsid w:val="00FA283A"/>
    <w:rsid w:val="00FA45C6"/>
    <w:rsid w:val="00FA51A7"/>
    <w:rsid w:val="00FA5A7C"/>
    <w:rsid w:val="00FA6471"/>
    <w:rsid w:val="00FA737B"/>
    <w:rsid w:val="00FB136F"/>
    <w:rsid w:val="00FC03CC"/>
    <w:rsid w:val="00FC0882"/>
    <w:rsid w:val="00FC0C9D"/>
    <w:rsid w:val="00FC6EDA"/>
    <w:rsid w:val="00FD6923"/>
    <w:rsid w:val="00FD7AD9"/>
    <w:rsid w:val="00FE2176"/>
    <w:rsid w:val="00FE4C76"/>
    <w:rsid w:val="00FE7678"/>
    <w:rsid w:val="00FF0007"/>
    <w:rsid w:val="00FF0382"/>
    <w:rsid w:val="00FF088F"/>
    <w:rsid w:val="00FF110C"/>
    <w:rsid w:val="00FF1CEF"/>
    <w:rsid w:val="00FF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B8"/>
    <w:pPr>
      <w:spacing w:after="200" w:line="276" w:lineRule="auto"/>
    </w:pPr>
    <w:rPr>
      <w:kern w:val="0"/>
      <w:sz w:val="22"/>
      <w:lang w:eastAsia="en-US"/>
    </w:rPr>
  </w:style>
  <w:style w:type="paragraph" w:styleId="1">
    <w:name w:val="heading 1"/>
    <w:basedOn w:val="a"/>
    <w:link w:val="1Char"/>
    <w:uiPriority w:val="99"/>
    <w:qFormat/>
    <w:rsid w:val="00670B5B"/>
    <w:pPr>
      <w:spacing w:before="100" w:beforeAutospacing="1" w:after="100" w:afterAutospacing="1" w:line="264" w:lineRule="atLeast"/>
      <w:outlineLvl w:val="0"/>
    </w:pPr>
    <w:rPr>
      <w:rFonts w:ascii="Times New Roman" w:hAnsi="Times New Roman"/>
      <w:b/>
      <w:bCs/>
      <w:kern w:val="36"/>
      <w:sz w:val="36"/>
      <w:szCs w:val="36"/>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70B5B"/>
    <w:rPr>
      <w:rFonts w:ascii="Times New Roman" w:hAnsi="Times New Roman" w:cs="Times New Roman"/>
      <w:b/>
      <w:bCs/>
      <w:kern w:val="36"/>
      <w:sz w:val="36"/>
      <w:szCs w:val="36"/>
      <w:lang w:val="es-ES" w:eastAsia="es-ES"/>
    </w:rPr>
  </w:style>
  <w:style w:type="character" w:styleId="a3">
    <w:name w:val="Hyperlink"/>
    <w:basedOn w:val="a0"/>
    <w:uiPriority w:val="99"/>
    <w:rsid w:val="00E955CB"/>
    <w:rPr>
      <w:rFonts w:cs="Times New Roman"/>
      <w:color w:val="0000FF"/>
      <w:u w:val="single"/>
    </w:rPr>
  </w:style>
  <w:style w:type="paragraph" w:customStyle="1" w:styleId="desc">
    <w:name w:val="desc"/>
    <w:basedOn w:val="a"/>
    <w:uiPriority w:val="99"/>
    <w:rsid w:val="00670B5B"/>
    <w:pPr>
      <w:spacing w:before="100" w:beforeAutospacing="1" w:after="100" w:afterAutospacing="1" w:line="240" w:lineRule="auto"/>
    </w:pPr>
    <w:rPr>
      <w:rFonts w:ascii="Times New Roman" w:hAnsi="Times New Roman"/>
      <w:sz w:val="24"/>
      <w:szCs w:val="24"/>
      <w:lang w:val="es-ES" w:eastAsia="es-ES"/>
    </w:rPr>
  </w:style>
  <w:style w:type="character" w:customStyle="1" w:styleId="jrnl">
    <w:name w:val="jrnl"/>
    <w:basedOn w:val="a0"/>
    <w:uiPriority w:val="99"/>
    <w:rsid w:val="00670B5B"/>
    <w:rPr>
      <w:rFonts w:cs="Times New Roman"/>
    </w:rPr>
  </w:style>
  <w:style w:type="paragraph" w:styleId="a4">
    <w:name w:val="header"/>
    <w:basedOn w:val="a"/>
    <w:link w:val="Char"/>
    <w:uiPriority w:val="99"/>
    <w:rsid w:val="00ED0F7D"/>
    <w:pPr>
      <w:tabs>
        <w:tab w:val="center" w:pos="4680"/>
        <w:tab w:val="right" w:pos="9360"/>
      </w:tabs>
      <w:spacing w:after="0" w:line="240" w:lineRule="auto"/>
    </w:pPr>
  </w:style>
  <w:style w:type="character" w:customStyle="1" w:styleId="Char">
    <w:name w:val="页眉 Char"/>
    <w:basedOn w:val="a0"/>
    <w:link w:val="a4"/>
    <w:uiPriority w:val="99"/>
    <w:locked/>
    <w:rsid w:val="00ED0F7D"/>
    <w:rPr>
      <w:rFonts w:cs="Times New Roman"/>
      <w:sz w:val="22"/>
      <w:szCs w:val="22"/>
      <w:lang w:val="es-MX"/>
    </w:rPr>
  </w:style>
  <w:style w:type="paragraph" w:styleId="a5">
    <w:name w:val="footer"/>
    <w:basedOn w:val="a"/>
    <w:link w:val="Char0"/>
    <w:uiPriority w:val="99"/>
    <w:rsid w:val="00ED0F7D"/>
    <w:pPr>
      <w:tabs>
        <w:tab w:val="center" w:pos="4680"/>
        <w:tab w:val="right" w:pos="9360"/>
      </w:tabs>
      <w:spacing w:after="0" w:line="240" w:lineRule="auto"/>
    </w:pPr>
  </w:style>
  <w:style w:type="character" w:customStyle="1" w:styleId="Char0">
    <w:name w:val="页脚 Char"/>
    <w:basedOn w:val="a0"/>
    <w:link w:val="a5"/>
    <w:uiPriority w:val="99"/>
    <w:locked/>
    <w:rsid w:val="00ED0F7D"/>
    <w:rPr>
      <w:rFonts w:cs="Times New Roman"/>
      <w:sz w:val="22"/>
      <w:szCs w:val="22"/>
      <w:lang w:val="es-MX"/>
    </w:rPr>
  </w:style>
  <w:style w:type="character" w:customStyle="1" w:styleId="st1">
    <w:name w:val="st1"/>
    <w:basedOn w:val="a0"/>
    <w:uiPriority w:val="99"/>
    <w:rsid w:val="005A7B27"/>
    <w:rPr>
      <w:rFonts w:cs="Times New Roman"/>
    </w:rPr>
  </w:style>
  <w:style w:type="paragraph" w:styleId="a6">
    <w:name w:val="Balloon Text"/>
    <w:basedOn w:val="a"/>
    <w:link w:val="Char1"/>
    <w:uiPriority w:val="99"/>
    <w:semiHidden/>
    <w:rsid w:val="005A7B27"/>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5A7B27"/>
    <w:rPr>
      <w:rFonts w:ascii="Tahoma" w:hAnsi="Tahoma" w:cs="Tahoma"/>
      <w:sz w:val="16"/>
      <w:szCs w:val="16"/>
      <w:lang w:val="es-MX"/>
    </w:rPr>
  </w:style>
  <w:style w:type="character" w:customStyle="1" w:styleId="pages">
    <w:name w:val="pages"/>
    <w:basedOn w:val="a0"/>
    <w:uiPriority w:val="99"/>
    <w:rsid w:val="00E14E5F"/>
    <w:rPr>
      <w:rFonts w:cs="Times New Roman"/>
    </w:rPr>
  </w:style>
  <w:style w:type="character" w:customStyle="1" w:styleId="volume">
    <w:name w:val="volume"/>
    <w:basedOn w:val="a0"/>
    <w:uiPriority w:val="99"/>
    <w:rsid w:val="00E14E5F"/>
    <w:rPr>
      <w:rFonts w:cs="Times New Roman"/>
    </w:rPr>
  </w:style>
  <w:style w:type="character" w:customStyle="1" w:styleId="ti">
    <w:name w:val="ti"/>
    <w:basedOn w:val="a0"/>
    <w:uiPriority w:val="99"/>
    <w:rsid w:val="00E14E5F"/>
    <w:rPr>
      <w:rFonts w:cs="Times New Roman"/>
    </w:rPr>
  </w:style>
  <w:style w:type="character" w:customStyle="1" w:styleId="highlight">
    <w:name w:val="highlight"/>
    <w:basedOn w:val="a0"/>
    <w:uiPriority w:val="99"/>
    <w:rsid w:val="00E14E5F"/>
    <w:rPr>
      <w:rFonts w:cs="Times New Roman"/>
    </w:rPr>
  </w:style>
  <w:style w:type="character" w:customStyle="1" w:styleId="citation-abbreviation">
    <w:name w:val="citation-abbreviation"/>
    <w:basedOn w:val="a0"/>
    <w:uiPriority w:val="99"/>
    <w:rsid w:val="00E14E5F"/>
    <w:rPr>
      <w:rFonts w:cs="Times New Roman"/>
    </w:rPr>
  </w:style>
  <w:style w:type="character" w:customStyle="1" w:styleId="citation-publication-date">
    <w:name w:val="citation-publication-date"/>
    <w:basedOn w:val="a0"/>
    <w:uiPriority w:val="99"/>
    <w:rsid w:val="00E14E5F"/>
    <w:rPr>
      <w:rFonts w:cs="Times New Roman"/>
    </w:rPr>
  </w:style>
  <w:style w:type="character" w:customStyle="1" w:styleId="citation-volume">
    <w:name w:val="citation-volume"/>
    <w:basedOn w:val="a0"/>
    <w:uiPriority w:val="99"/>
    <w:rsid w:val="00E14E5F"/>
    <w:rPr>
      <w:rFonts w:cs="Times New Roman"/>
    </w:rPr>
  </w:style>
  <w:style w:type="character" w:customStyle="1" w:styleId="citation-issue">
    <w:name w:val="citation-issue"/>
    <w:basedOn w:val="a0"/>
    <w:uiPriority w:val="99"/>
    <w:rsid w:val="00E14E5F"/>
    <w:rPr>
      <w:rFonts w:cs="Times New Roman"/>
    </w:rPr>
  </w:style>
  <w:style w:type="character" w:customStyle="1" w:styleId="citation-flpages">
    <w:name w:val="citation-flpages"/>
    <w:basedOn w:val="a0"/>
    <w:uiPriority w:val="99"/>
    <w:rsid w:val="00E14E5F"/>
    <w:rPr>
      <w:rFonts w:cs="Times New Roman"/>
    </w:rPr>
  </w:style>
  <w:style w:type="character" w:customStyle="1" w:styleId="eid1002516">
    <w:name w:val="e_id1002516"/>
    <w:basedOn w:val="a0"/>
    <w:uiPriority w:val="99"/>
    <w:rsid w:val="00E14E5F"/>
    <w:rPr>
      <w:rFonts w:cs="Times New Roman"/>
    </w:rPr>
  </w:style>
  <w:style w:type="character" w:styleId="a7">
    <w:name w:val="Strong"/>
    <w:basedOn w:val="a0"/>
    <w:uiPriority w:val="99"/>
    <w:qFormat/>
    <w:rsid w:val="00E14E5F"/>
    <w:rPr>
      <w:rFonts w:cs="Times New Roman"/>
      <w:b/>
      <w:bCs/>
    </w:rPr>
  </w:style>
  <w:style w:type="character" w:customStyle="1" w:styleId="kwd-text">
    <w:name w:val="kwd-text"/>
    <w:basedOn w:val="a0"/>
    <w:uiPriority w:val="99"/>
    <w:rsid w:val="00E14E5F"/>
    <w:rPr>
      <w:rFonts w:cs="Times New Roman"/>
    </w:rPr>
  </w:style>
  <w:style w:type="character" w:customStyle="1" w:styleId="apple-converted-space">
    <w:name w:val="apple-converted-space"/>
    <w:basedOn w:val="a0"/>
    <w:uiPriority w:val="99"/>
    <w:rsid w:val="00AA48CB"/>
    <w:rPr>
      <w:rFonts w:cs="Times New Roman"/>
    </w:rPr>
  </w:style>
  <w:style w:type="paragraph" w:styleId="a8">
    <w:name w:val="List Paragraph"/>
    <w:basedOn w:val="a"/>
    <w:uiPriority w:val="99"/>
    <w:qFormat/>
    <w:rsid w:val="004A4544"/>
    <w:pPr>
      <w:ind w:left="720"/>
      <w:contextualSpacing/>
    </w:pPr>
  </w:style>
  <w:style w:type="character" w:customStyle="1" w:styleId="cit-sep2">
    <w:name w:val="cit-sep2"/>
    <w:basedOn w:val="a0"/>
    <w:uiPriority w:val="99"/>
    <w:rsid w:val="00396919"/>
    <w:rPr>
      <w:rFonts w:cs="Times New Roman"/>
    </w:rPr>
  </w:style>
  <w:style w:type="character" w:styleId="a9">
    <w:name w:val="Emphasis"/>
    <w:basedOn w:val="a0"/>
    <w:uiPriority w:val="99"/>
    <w:qFormat/>
    <w:rsid w:val="00554E6E"/>
    <w:rPr>
      <w:rFonts w:cs="Times New Roman"/>
      <w:i/>
      <w:iCs/>
    </w:rPr>
  </w:style>
  <w:style w:type="character" w:customStyle="1" w:styleId="doi1">
    <w:name w:val="doi1"/>
    <w:basedOn w:val="a0"/>
    <w:uiPriority w:val="99"/>
    <w:rsid w:val="000F244B"/>
    <w:rPr>
      <w:rFonts w:cs="Times New Roman"/>
    </w:rPr>
  </w:style>
  <w:style w:type="character" w:customStyle="1" w:styleId="fm-citation-ids-label">
    <w:name w:val="fm-citation-ids-label"/>
    <w:basedOn w:val="a0"/>
    <w:uiPriority w:val="99"/>
    <w:rsid w:val="000F244B"/>
    <w:rPr>
      <w:rFonts w:cs="Times New Roman"/>
    </w:rPr>
  </w:style>
  <w:style w:type="paragraph" w:customStyle="1" w:styleId="desc2">
    <w:name w:val="desc2"/>
    <w:basedOn w:val="a"/>
    <w:uiPriority w:val="99"/>
    <w:rsid w:val="00E23945"/>
    <w:pPr>
      <w:spacing w:after="0" w:line="240" w:lineRule="auto"/>
    </w:pPr>
    <w:rPr>
      <w:rFonts w:ascii="Times New Roman" w:hAnsi="Times New Roman"/>
      <w:sz w:val="26"/>
      <w:szCs w:val="26"/>
      <w:lang w:val="es-ES" w:eastAsia="es-ES"/>
    </w:rPr>
  </w:style>
  <w:style w:type="paragraph" w:customStyle="1" w:styleId="details1">
    <w:name w:val="details1"/>
    <w:basedOn w:val="a"/>
    <w:uiPriority w:val="99"/>
    <w:rsid w:val="00E23945"/>
    <w:pPr>
      <w:spacing w:after="0" w:line="240" w:lineRule="auto"/>
    </w:pPr>
    <w:rPr>
      <w:rFonts w:ascii="Times New Roman" w:hAnsi="Times New Roman"/>
      <w:lang w:val="es-ES" w:eastAsia="es-ES"/>
    </w:rPr>
  </w:style>
  <w:style w:type="paragraph" w:styleId="aa">
    <w:name w:val="Normal (Web)"/>
    <w:basedOn w:val="a"/>
    <w:uiPriority w:val="99"/>
    <w:rsid w:val="00174A45"/>
    <w:pPr>
      <w:spacing w:before="100" w:beforeAutospacing="1" w:after="100" w:afterAutospacing="1" w:line="240" w:lineRule="auto"/>
    </w:pPr>
    <w:rPr>
      <w:rFonts w:ascii="Times New Roman" w:hAnsi="Times New Roman"/>
      <w:sz w:val="24"/>
      <w:szCs w:val="24"/>
      <w:lang w:val="es-ES" w:eastAsia="es-ES"/>
    </w:rPr>
  </w:style>
  <w:style w:type="paragraph" w:customStyle="1" w:styleId="Predefinito">
    <w:name w:val="Predefinito"/>
    <w:uiPriority w:val="99"/>
    <w:rsid w:val="006751E2"/>
    <w:pPr>
      <w:widowControl w:val="0"/>
      <w:autoSpaceDN w:val="0"/>
      <w:adjustRightInd w:val="0"/>
      <w:spacing w:after="200" w:line="276" w:lineRule="auto"/>
    </w:pPr>
    <w:rPr>
      <w:rFonts w:cs="Calibri"/>
      <w:kern w:val="1"/>
      <w:sz w:val="22"/>
      <w:lang w:val="it-IT" w:eastAsia="en-US"/>
    </w:rPr>
  </w:style>
  <w:style w:type="paragraph" w:styleId="ab">
    <w:name w:val="Plain Text"/>
    <w:basedOn w:val="a"/>
    <w:link w:val="Char2"/>
    <w:uiPriority w:val="99"/>
    <w:rsid w:val="006751E2"/>
    <w:pPr>
      <w:widowControl w:val="0"/>
      <w:spacing w:after="0" w:line="240" w:lineRule="auto"/>
      <w:jc w:val="both"/>
    </w:pPr>
    <w:rPr>
      <w:rFonts w:ascii="宋体" w:hAnsi="Courier New" w:cs="Courier New"/>
      <w:kern w:val="2"/>
      <w:sz w:val="21"/>
      <w:szCs w:val="21"/>
      <w:lang w:eastAsia="zh-CN"/>
    </w:rPr>
  </w:style>
  <w:style w:type="character" w:customStyle="1" w:styleId="Char2">
    <w:name w:val="纯文本 Char"/>
    <w:basedOn w:val="a0"/>
    <w:link w:val="ab"/>
    <w:uiPriority w:val="99"/>
    <w:locked/>
    <w:rsid w:val="006751E2"/>
    <w:rPr>
      <w:rFonts w:ascii="宋体" w:eastAsia="宋体" w:hAnsi="Courier New" w:cs="Courier New"/>
      <w:kern w:val="2"/>
      <w:sz w:val="21"/>
      <w:szCs w:val="21"/>
      <w:lang w:eastAsia="zh-CN"/>
    </w:rPr>
  </w:style>
  <w:style w:type="character" w:styleId="ac">
    <w:name w:val="FollowedHyperlink"/>
    <w:basedOn w:val="a0"/>
    <w:uiPriority w:val="99"/>
    <w:semiHidden/>
    <w:rsid w:val="00A60D1E"/>
    <w:rPr>
      <w:rFonts w:cs="Times New Roman"/>
      <w:color w:val="800080"/>
      <w:u w:val="single"/>
    </w:rPr>
  </w:style>
  <w:style w:type="character" w:styleId="ad">
    <w:name w:val="annotation reference"/>
    <w:basedOn w:val="a0"/>
    <w:uiPriority w:val="99"/>
    <w:semiHidden/>
    <w:rsid w:val="006C7DCB"/>
    <w:rPr>
      <w:rFonts w:cs="Times New Roman"/>
      <w:sz w:val="21"/>
      <w:szCs w:val="21"/>
    </w:rPr>
  </w:style>
  <w:style w:type="paragraph" w:styleId="ae">
    <w:name w:val="annotation text"/>
    <w:basedOn w:val="a"/>
    <w:link w:val="Char3"/>
    <w:uiPriority w:val="99"/>
    <w:semiHidden/>
    <w:rsid w:val="006C7DCB"/>
  </w:style>
  <w:style w:type="character" w:customStyle="1" w:styleId="Char3">
    <w:name w:val="批注文字 Char"/>
    <w:basedOn w:val="a0"/>
    <w:link w:val="ae"/>
    <w:uiPriority w:val="99"/>
    <w:semiHidden/>
    <w:locked/>
    <w:rsid w:val="006C7DCB"/>
    <w:rPr>
      <w:rFonts w:cs="Times New Roman"/>
      <w:sz w:val="22"/>
      <w:szCs w:val="22"/>
    </w:rPr>
  </w:style>
  <w:style w:type="paragraph" w:styleId="af">
    <w:name w:val="annotation subject"/>
    <w:basedOn w:val="ae"/>
    <w:next w:val="ae"/>
    <w:link w:val="Char4"/>
    <w:uiPriority w:val="99"/>
    <w:semiHidden/>
    <w:rsid w:val="006C7DCB"/>
    <w:rPr>
      <w:b/>
      <w:bCs/>
    </w:rPr>
  </w:style>
  <w:style w:type="character" w:customStyle="1" w:styleId="Char4">
    <w:name w:val="批注主题 Char"/>
    <w:basedOn w:val="Char3"/>
    <w:link w:val="af"/>
    <w:uiPriority w:val="99"/>
    <w:semiHidden/>
    <w:locked/>
    <w:rsid w:val="006C7DCB"/>
    <w:rPr>
      <w:rFonts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B8"/>
    <w:pPr>
      <w:spacing w:after="200" w:line="276" w:lineRule="auto"/>
    </w:pPr>
    <w:rPr>
      <w:kern w:val="0"/>
      <w:sz w:val="22"/>
      <w:lang w:eastAsia="en-US"/>
    </w:rPr>
  </w:style>
  <w:style w:type="paragraph" w:styleId="1">
    <w:name w:val="heading 1"/>
    <w:basedOn w:val="a"/>
    <w:link w:val="1Char"/>
    <w:uiPriority w:val="99"/>
    <w:qFormat/>
    <w:rsid w:val="00670B5B"/>
    <w:pPr>
      <w:spacing w:before="100" w:beforeAutospacing="1" w:after="100" w:afterAutospacing="1" w:line="264" w:lineRule="atLeast"/>
      <w:outlineLvl w:val="0"/>
    </w:pPr>
    <w:rPr>
      <w:rFonts w:ascii="Times New Roman" w:hAnsi="Times New Roman"/>
      <w:b/>
      <w:bCs/>
      <w:kern w:val="36"/>
      <w:sz w:val="36"/>
      <w:szCs w:val="36"/>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70B5B"/>
    <w:rPr>
      <w:rFonts w:ascii="Times New Roman" w:hAnsi="Times New Roman" w:cs="Times New Roman"/>
      <w:b/>
      <w:bCs/>
      <w:kern w:val="36"/>
      <w:sz w:val="36"/>
      <w:szCs w:val="36"/>
      <w:lang w:val="es-ES" w:eastAsia="es-ES"/>
    </w:rPr>
  </w:style>
  <w:style w:type="character" w:styleId="a3">
    <w:name w:val="Hyperlink"/>
    <w:basedOn w:val="a0"/>
    <w:uiPriority w:val="99"/>
    <w:rsid w:val="00E955CB"/>
    <w:rPr>
      <w:rFonts w:cs="Times New Roman"/>
      <w:color w:val="0000FF"/>
      <w:u w:val="single"/>
    </w:rPr>
  </w:style>
  <w:style w:type="paragraph" w:customStyle="1" w:styleId="desc">
    <w:name w:val="desc"/>
    <w:basedOn w:val="a"/>
    <w:uiPriority w:val="99"/>
    <w:rsid w:val="00670B5B"/>
    <w:pPr>
      <w:spacing w:before="100" w:beforeAutospacing="1" w:after="100" w:afterAutospacing="1" w:line="240" w:lineRule="auto"/>
    </w:pPr>
    <w:rPr>
      <w:rFonts w:ascii="Times New Roman" w:hAnsi="Times New Roman"/>
      <w:sz w:val="24"/>
      <w:szCs w:val="24"/>
      <w:lang w:val="es-ES" w:eastAsia="es-ES"/>
    </w:rPr>
  </w:style>
  <w:style w:type="character" w:customStyle="1" w:styleId="jrnl">
    <w:name w:val="jrnl"/>
    <w:basedOn w:val="a0"/>
    <w:uiPriority w:val="99"/>
    <w:rsid w:val="00670B5B"/>
    <w:rPr>
      <w:rFonts w:cs="Times New Roman"/>
    </w:rPr>
  </w:style>
  <w:style w:type="paragraph" w:styleId="a4">
    <w:name w:val="header"/>
    <w:basedOn w:val="a"/>
    <w:link w:val="Char"/>
    <w:uiPriority w:val="99"/>
    <w:rsid w:val="00ED0F7D"/>
    <w:pPr>
      <w:tabs>
        <w:tab w:val="center" w:pos="4680"/>
        <w:tab w:val="right" w:pos="9360"/>
      </w:tabs>
      <w:spacing w:after="0" w:line="240" w:lineRule="auto"/>
    </w:pPr>
  </w:style>
  <w:style w:type="character" w:customStyle="1" w:styleId="Char">
    <w:name w:val="页眉 Char"/>
    <w:basedOn w:val="a0"/>
    <w:link w:val="a4"/>
    <w:uiPriority w:val="99"/>
    <w:locked/>
    <w:rsid w:val="00ED0F7D"/>
    <w:rPr>
      <w:rFonts w:cs="Times New Roman"/>
      <w:sz w:val="22"/>
      <w:szCs w:val="22"/>
      <w:lang w:val="es-MX"/>
    </w:rPr>
  </w:style>
  <w:style w:type="paragraph" w:styleId="a5">
    <w:name w:val="footer"/>
    <w:basedOn w:val="a"/>
    <w:link w:val="Char0"/>
    <w:uiPriority w:val="99"/>
    <w:rsid w:val="00ED0F7D"/>
    <w:pPr>
      <w:tabs>
        <w:tab w:val="center" w:pos="4680"/>
        <w:tab w:val="right" w:pos="9360"/>
      </w:tabs>
      <w:spacing w:after="0" w:line="240" w:lineRule="auto"/>
    </w:pPr>
  </w:style>
  <w:style w:type="character" w:customStyle="1" w:styleId="Char0">
    <w:name w:val="页脚 Char"/>
    <w:basedOn w:val="a0"/>
    <w:link w:val="a5"/>
    <w:uiPriority w:val="99"/>
    <w:locked/>
    <w:rsid w:val="00ED0F7D"/>
    <w:rPr>
      <w:rFonts w:cs="Times New Roman"/>
      <w:sz w:val="22"/>
      <w:szCs w:val="22"/>
      <w:lang w:val="es-MX"/>
    </w:rPr>
  </w:style>
  <w:style w:type="character" w:customStyle="1" w:styleId="st1">
    <w:name w:val="st1"/>
    <w:basedOn w:val="a0"/>
    <w:uiPriority w:val="99"/>
    <w:rsid w:val="005A7B27"/>
    <w:rPr>
      <w:rFonts w:cs="Times New Roman"/>
    </w:rPr>
  </w:style>
  <w:style w:type="paragraph" w:styleId="a6">
    <w:name w:val="Balloon Text"/>
    <w:basedOn w:val="a"/>
    <w:link w:val="Char1"/>
    <w:uiPriority w:val="99"/>
    <w:semiHidden/>
    <w:rsid w:val="005A7B27"/>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5A7B27"/>
    <w:rPr>
      <w:rFonts w:ascii="Tahoma" w:hAnsi="Tahoma" w:cs="Tahoma"/>
      <w:sz w:val="16"/>
      <w:szCs w:val="16"/>
      <w:lang w:val="es-MX"/>
    </w:rPr>
  </w:style>
  <w:style w:type="character" w:customStyle="1" w:styleId="pages">
    <w:name w:val="pages"/>
    <w:basedOn w:val="a0"/>
    <w:uiPriority w:val="99"/>
    <w:rsid w:val="00E14E5F"/>
    <w:rPr>
      <w:rFonts w:cs="Times New Roman"/>
    </w:rPr>
  </w:style>
  <w:style w:type="character" w:customStyle="1" w:styleId="volume">
    <w:name w:val="volume"/>
    <w:basedOn w:val="a0"/>
    <w:uiPriority w:val="99"/>
    <w:rsid w:val="00E14E5F"/>
    <w:rPr>
      <w:rFonts w:cs="Times New Roman"/>
    </w:rPr>
  </w:style>
  <w:style w:type="character" w:customStyle="1" w:styleId="ti">
    <w:name w:val="ti"/>
    <w:basedOn w:val="a0"/>
    <w:uiPriority w:val="99"/>
    <w:rsid w:val="00E14E5F"/>
    <w:rPr>
      <w:rFonts w:cs="Times New Roman"/>
    </w:rPr>
  </w:style>
  <w:style w:type="character" w:customStyle="1" w:styleId="highlight">
    <w:name w:val="highlight"/>
    <w:basedOn w:val="a0"/>
    <w:uiPriority w:val="99"/>
    <w:rsid w:val="00E14E5F"/>
    <w:rPr>
      <w:rFonts w:cs="Times New Roman"/>
    </w:rPr>
  </w:style>
  <w:style w:type="character" w:customStyle="1" w:styleId="citation-abbreviation">
    <w:name w:val="citation-abbreviation"/>
    <w:basedOn w:val="a0"/>
    <w:uiPriority w:val="99"/>
    <w:rsid w:val="00E14E5F"/>
    <w:rPr>
      <w:rFonts w:cs="Times New Roman"/>
    </w:rPr>
  </w:style>
  <w:style w:type="character" w:customStyle="1" w:styleId="citation-publication-date">
    <w:name w:val="citation-publication-date"/>
    <w:basedOn w:val="a0"/>
    <w:uiPriority w:val="99"/>
    <w:rsid w:val="00E14E5F"/>
    <w:rPr>
      <w:rFonts w:cs="Times New Roman"/>
    </w:rPr>
  </w:style>
  <w:style w:type="character" w:customStyle="1" w:styleId="citation-volume">
    <w:name w:val="citation-volume"/>
    <w:basedOn w:val="a0"/>
    <w:uiPriority w:val="99"/>
    <w:rsid w:val="00E14E5F"/>
    <w:rPr>
      <w:rFonts w:cs="Times New Roman"/>
    </w:rPr>
  </w:style>
  <w:style w:type="character" w:customStyle="1" w:styleId="citation-issue">
    <w:name w:val="citation-issue"/>
    <w:basedOn w:val="a0"/>
    <w:uiPriority w:val="99"/>
    <w:rsid w:val="00E14E5F"/>
    <w:rPr>
      <w:rFonts w:cs="Times New Roman"/>
    </w:rPr>
  </w:style>
  <w:style w:type="character" w:customStyle="1" w:styleId="citation-flpages">
    <w:name w:val="citation-flpages"/>
    <w:basedOn w:val="a0"/>
    <w:uiPriority w:val="99"/>
    <w:rsid w:val="00E14E5F"/>
    <w:rPr>
      <w:rFonts w:cs="Times New Roman"/>
    </w:rPr>
  </w:style>
  <w:style w:type="character" w:customStyle="1" w:styleId="eid1002516">
    <w:name w:val="e_id1002516"/>
    <w:basedOn w:val="a0"/>
    <w:uiPriority w:val="99"/>
    <w:rsid w:val="00E14E5F"/>
    <w:rPr>
      <w:rFonts w:cs="Times New Roman"/>
    </w:rPr>
  </w:style>
  <w:style w:type="character" w:styleId="a7">
    <w:name w:val="Strong"/>
    <w:basedOn w:val="a0"/>
    <w:uiPriority w:val="99"/>
    <w:qFormat/>
    <w:rsid w:val="00E14E5F"/>
    <w:rPr>
      <w:rFonts w:cs="Times New Roman"/>
      <w:b/>
      <w:bCs/>
    </w:rPr>
  </w:style>
  <w:style w:type="character" w:customStyle="1" w:styleId="kwd-text">
    <w:name w:val="kwd-text"/>
    <w:basedOn w:val="a0"/>
    <w:uiPriority w:val="99"/>
    <w:rsid w:val="00E14E5F"/>
    <w:rPr>
      <w:rFonts w:cs="Times New Roman"/>
    </w:rPr>
  </w:style>
  <w:style w:type="character" w:customStyle="1" w:styleId="apple-converted-space">
    <w:name w:val="apple-converted-space"/>
    <w:basedOn w:val="a0"/>
    <w:uiPriority w:val="99"/>
    <w:rsid w:val="00AA48CB"/>
    <w:rPr>
      <w:rFonts w:cs="Times New Roman"/>
    </w:rPr>
  </w:style>
  <w:style w:type="paragraph" w:styleId="a8">
    <w:name w:val="List Paragraph"/>
    <w:basedOn w:val="a"/>
    <w:uiPriority w:val="99"/>
    <w:qFormat/>
    <w:rsid w:val="004A4544"/>
    <w:pPr>
      <w:ind w:left="720"/>
      <w:contextualSpacing/>
    </w:pPr>
  </w:style>
  <w:style w:type="character" w:customStyle="1" w:styleId="cit-sep2">
    <w:name w:val="cit-sep2"/>
    <w:basedOn w:val="a0"/>
    <w:uiPriority w:val="99"/>
    <w:rsid w:val="00396919"/>
    <w:rPr>
      <w:rFonts w:cs="Times New Roman"/>
    </w:rPr>
  </w:style>
  <w:style w:type="character" w:styleId="a9">
    <w:name w:val="Emphasis"/>
    <w:basedOn w:val="a0"/>
    <w:uiPriority w:val="99"/>
    <w:qFormat/>
    <w:rsid w:val="00554E6E"/>
    <w:rPr>
      <w:rFonts w:cs="Times New Roman"/>
      <w:i/>
      <w:iCs/>
    </w:rPr>
  </w:style>
  <w:style w:type="character" w:customStyle="1" w:styleId="doi1">
    <w:name w:val="doi1"/>
    <w:basedOn w:val="a0"/>
    <w:uiPriority w:val="99"/>
    <w:rsid w:val="000F244B"/>
    <w:rPr>
      <w:rFonts w:cs="Times New Roman"/>
    </w:rPr>
  </w:style>
  <w:style w:type="character" w:customStyle="1" w:styleId="fm-citation-ids-label">
    <w:name w:val="fm-citation-ids-label"/>
    <w:basedOn w:val="a0"/>
    <w:uiPriority w:val="99"/>
    <w:rsid w:val="000F244B"/>
    <w:rPr>
      <w:rFonts w:cs="Times New Roman"/>
    </w:rPr>
  </w:style>
  <w:style w:type="paragraph" w:customStyle="1" w:styleId="desc2">
    <w:name w:val="desc2"/>
    <w:basedOn w:val="a"/>
    <w:uiPriority w:val="99"/>
    <w:rsid w:val="00E23945"/>
    <w:pPr>
      <w:spacing w:after="0" w:line="240" w:lineRule="auto"/>
    </w:pPr>
    <w:rPr>
      <w:rFonts w:ascii="Times New Roman" w:hAnsi="Times New Roman"/>
      <w:sz w:val="26"/>
      <w:szCs w:val="26"/>
      <w:lang w:val="es-ES" w:eastAsia="es-ES"/>
    </w:rPr>
  </w:style>
  <w:style w:type="paragraph" w:customStyle="1" w:styleId="details1">
    <w:name w:val="details1"/>
    <w:basedOn w:val="a"/>
    <w:uiPriority w:val="99"/>
    <w:rsid w:val="00E23945"/>
    <w:pPr>
      <w:spacing w:after="0" w:line="240" w:lineRule="auto"/>
    </w:pPr>
    <w:rPr>
      <w:rFonts w:ascii="Times New Roman" w:hAnsi="Times New Roman"/>
      <w:lang w:val="es-ES" w:eastAsia="es-ES"/>
    </w:rPr>
  </w:style>
  <w:style w:type="paragraph" w:styleId="aa">
    <w:name w:val="Normal (Web)"/>
    <w:basedOn w:val="a"/>
    <w:uiPriority w:val="99"/>
    <w:rsid w:val="00174A45"/>
    <w:pPr>
      <w:spacing w:before="100" w:beforeAutospacing="1" w:after="100" w:afterAutospacing="1" w:line="240" w:lineRule="auto"/>
    </w:pPr>
    <w:rPr>
      <w:rFonts w:ascii="Times New Roman" w:hAnsi="Times New Roman"/>
      <w:sz w:val="24"/>
      <w:szCs w:val="24"/>
      <w:lang w:val="es-ES" w:eastAsia="es-ES"/>
    </w:rPr>
  </w:style>
  <w:style w:type="paragraph" w:customStyle="1" w:styleId="Predefinito">
    <w:name w:val="Predefinito"/>
    <w:uiPriority w:val="99"/>
    <w:rsid w:val="006751E2"/>
    <w:pPr>
      <w:widowControl w:val="0"/>
      <w:autoSpaceDN w:val="0"/>
      <w:adjustRightInd w:val="0"/>
      <w:spacing w:after="200" w:line="276" w:lineRule="auto"/>
    </w:pPr>
    <w:rPr>
      <w:rFonts w:cs="Calibri"/>
      <w:kern w:val="1"/>
      <w:sz w:val="22"/>
      <w:lang w:val="it-IT" w:eastAsia="en-US"/>
    </w:rPr>
  </w:style>
  <w:style w:type="paragraph" w:styleId="ab">
    <w:name w:val="Plain Text"/>
    <w:basedOn w:val="a"/>
    <w:link w:val="Char2"/>
    <w:uiPriority w:val="99"/>
    <w:rsid w:val="006751E2"/>
    <w:pPr>
      <w:widowControl w:val="0"/>
      <w:spacing w:after="0" w:line="240" w:lineRule="auto"/>
      <w:jc w:val="both"/>
    </w:pPr>
    <w:rPr>
      <w:rFonts w:ascii="宋体" w:hAnsi="Courier New" w:cs="Courier New"/>
      <w:kern w:val="2"/>
      <w:sz w:val="21"/>
      <w:szCs w:val="21"/>
      <w:lang w:eastAsia="zh-CN"/>
    </w:rPr>
  </w:style>
  <w:style w:type="character" w:customStyle="1" w:styleId="Char2">
    <w:name w:val="纯文本 Char"/>
    <w:basedOn w:val="a0"/>
    <w:link w:val="ab"/>
    <w:uiPriority w:val="99"/>
    <w:locked/>
    <w:rsid w:val="006751E2"/>
    <w:rPr>
      <w:rFonts w:ascii="宋体" w:eastAsia="宋体" w:hAnsi="Courier New" w:cs="Courier New"/>
      <w:kern w:val="2"/>
      <w:sz w:val="21"/>
      <w:szCs w:val="21"/>
      <w:lang w:eastAsia="zh-CN"/>
    </w:rPr>
  </w:style>
  <w:style w:type="character" w:styleId="ac">
    <w:name w:val="FollowedHyperlink"/>
    <w:basedOn w:val="a0"/>
    <w:uiPriority w:val="99"/>
    <w:semiHidden/>
    <w:rsid w:val="00A60D1E"/>
    <w:rPr>
      <w:rFonts w:cs="Times New Roman"/>
      <w:color w:val="800080"/>
      <w:u w:val="single"/>
    </w:rPr>
  </w:style>
  <w:style w:type="character" w:styleId="ad">
    <w:name w:val="annotation reference"/>
    <w:basedOn w:val="a0"/>
    <w:uiPriority w:val="99"/>
    <w:semiHidden/>
    <w:rsid w:val="006C7DCB"/>
    <w:rPr>
      <w:rFonts w:cs="Times New Roman"/>
      <w:sz w:val="21"/>
      <w:szCs w:val="21"/>
    </w:rPr>
  </w:style>
  <w:style w:type="paragraph" w:styleId="ae">
    <w:name w:val="annotation text"/>
    <w:basedOn w:val="a"/>
    <w:link w:val="Char3"/>
    <w:uiPriority w:val="99"/>
    <w:semiHidden/>
    <w:rsid w:val="006C7DCB"/>
  </w:style>
  <w:style w:type="character" w:customStyle="1" w:styleId="Char3">
    <w:name w:val="批注文字 Char"/>
    <w:basedOn w:val="a0"/>
    <w:link w:val="ae"/>
    <w:uiPriority w:val="99"/>
    <w:semiHidden/>
    <w:locked/>
    <w:rsid w:val="006C7DCB"/>
    <w:rPr>
      <w:rFonts w:cs="Times New Roman"/>
      <w:sz w:val="22"/>
      <w:szCs w:val="22"/>
    </w:rPr>
  </w:style>
  <w:style w:type="paragraph" w:styleId="af">
    <w:name w:val="annotation subject"/>
    <w:basedOn w:val="ae"/>
    <w:next w:val="ae"/>
    <w:link w:val="Char4"/>
    <w:uiPriority w:val="99"/>
    <w:semiHidden/>
    <w:rsid w:val="006C7DCB"/>
    <w:rPr>
      <w:b/>
      <w:bCs/>
    </w:rPr>
  </w:style>
  <w:style w:type="character" w:customStyle="1" w:styleId="Char4">
    <w:name w:val="批注主题 Char"/>
    <w:basedOn w:val="Char3"/>
    <w:link w:val="af"/>
    <w:uiPriority w:val="99"/>
    <w:semiHidden/>
    <w:locked/>
    <w:rsid w:val="006C7DCB"/>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5193">
      <w:bodyDiv w:val="1"/>
      <w:marLeft w:val="0"/>
      <w:marRight w:val="0"/>
      <w:marTop w:val="0"/>
      <w:marBottom w:val="0"/>
      <w:divBdr>
        <w:top w:val="none" w:sz="0" w:space="0" w:color="auto"/>
        <w:left w:val="none" w:sz="0" w:space="0" w:color="auto"/>
        <w:bottom w:val="none" w:sz="0" w:space="0" w:color="auto"/>
        <w:right w:val="none" w:sz="0" w:space="0" w:color="auto"/>
      </w:divBdr>
    </w:div>
    <w:div w:id="1049190145">
      <w:marLeft w:val="0"/>
      <w:marRight w:val="0"/>
      <w:marTop w:val="0"/>
      <w:marBottom w:val="0"/>
      <w:divBdr>
        <w:top w:val="none" w:sz="0" w:space="0" w:color="auto"/>
        <w:left w:val="none" w:sz="0" w:space="0" w:color="auto"/>
        <w:bottom w:val="none" w:sz="0" w:space="0" w:color="auto"/>
        <w:right w:val="none" w:sz="0" w:space="0" w:color="auto"/>
      </w:divBdr>
      <w:divsChild>
        <w:div w:id="1049190189">
          <w:marLeft w:val="0"/>
          <w:marRight w:val="1"/>
          <w:marTop w:val="0"/>
          <w:marBottom w:val="0"/>
          <w:divBdr>
            <w:top w:val="none" w:sz="0" w:space="0" w:color="auto"/>
            <w:left w:val="none" w:sz="0" w:space="0" w:color="auto"/>
            <w:bottom w:val="none" w:sz="0" w:space="0" w:color="auto"/>
            <w:right w:val="none" w:sz="0" w:space="0" w:color="auto"/>
          </w:divBdr>
          <w:divsChild>
            <w:div w:id="1049190313">
              <w:marLeft w:val="0"/>
              <w:marRight w:val="0"/>
              <w:marTop w:val="0"/>
              <w:marBottom w:val="0"/>
              <w:divBdr>
                <w:top w:val="none" w:sz="0" w:space="0" w:color="auto"/>
                <w:left w:val="none" w:sz="0" w:space="0" w:color="auto"/>
                <w:bottom w:val="none" w:sz="0" w:space="0" w:color="auto"/>
                <w:right w:val="none" w:sz="0" w:space="0" w:color="auto"/>
              </w:divBdr>
              <w:divsChild>
                <w:div w:id="1049190164">
                  <w:marLeft w:val="0"/>
                  <w:marRight w:val="1"/>
                  <w:marTop w:val="0"/>
                  <w:marBottom w:val="0"/>
                  <w:divBdr>
                    <w:top w:val="none" w:sz="0" w:space="0" w:color="auto"/>
                    <w:left w:val="none" w:sz="0" w:space="0" w:color="auto"/>
                    <w:bottom w:val="none" w:sz="0" w:space="0" w:color="auto"/>
                    <w:right w:val="none" w:sz="0" w:space="0" w:color="auto"/>
                  </w:divBdr>
                  <w:divsChild>
                    <w:div w:id="1049190330">
                      <w:marLeft w:val="0"/>
                      <w:marRight w:val="0"/>
                      <w:marTop w:val="0"/>
                      <w:marBottom w:val="0"/>
                      <w:divBdr>
                        <w:top w:val="none" w:sz="0" w:space="0" w:color="auto"/>
                        <w:left w:val="none" w:sz="0" w:space="0" w:color="auto"/>
                        <w:bottom w:val="none" w:sz="0" w:space="0" w:color="auto"/>
                        <w:right w:val="none" w:sz="0" w:space="0" w:color="auto"/>
                      </w:divBdr>
                      <w:divsChild>
                        <w:div w:id="1049190292">
                          <w:marLeft w:val="0"/>
                          <w:marRight w:val="0"/>
                          <w:marTop w:val="0"/>
                          <w:marBottom w:val="0"/>
                          <w:divBdr>
                            <w:top w:val="none" w:sz="0" w:space="0" w:color="auto"/>
                            <w:left w:val="none" w:sz="0" w:space="0" w:color="auto"/>
                            <w:bottom w:val="none" w:sz="0" w:space="0" w:color="auto"/>
                            <w:right w:val="none" w:sz="0" w:space="0" w:color="auto"/>
                          </w:divBdr>
                          <w:divsChild>
                            <w:div w:id="1049190352">
                              <w:marLeft w:val="0"/>
                              <w:marRight w:val="0"/>
                              <w:marTop w:val="120"/>
                              <w:marBottom w:val="360"/>
                              <w:divBdr>
                                <w:top w:val="none" w:sz="0" w:space="0" w:color="auto"/>
                                <w:left w:val="none" w:sz="0" w:space="0" w:color="auto"/>
                                <w:bottom w:val="none" w:sz="0" w:space="0" w:color="auto"/>
                                <w:right w:val="none" w:sz="0" w:space="0" w:color="auto"/>
                              </w:divBdr>
                              <w:divsChild>
                                <w:div w:id="1049190366">
                                  <w:marLeft w:val="0"/>
                                  <w:marRight w:val="0"/>
                                  <w:marTop w:val="0"/>
                                  <w:marBottom w:val="0"/>
                                  <w:divBdr>
                                    <w:top w:val="none" w:sz="0" w:space="0" w:color="auto"/>
                                    <w:left w:val="none" w:sz="0" w:space="0" w:color="auto"/>
                                    <w:bottom w:val="none" w:sz="0" w:space="0" w:color="auto"/>
                                    <w:right w:val="none" w:sz="0" w:space="0" w:color="auto"/>
                                  </w:divBdr>
                                  <w:divsChild>
                                    <w:div w:id="10491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90173">
      <w:marLeft w:val="0"/>
      <w:marRight w:val="0"/>
      <w:marTop w:val="0"/>
      <w:marBottom w:val="0"/>
      <w:divBdr>
        <w:top w:val="none" w:sz="0" w:space="0" w:color="auto"/>
        <w:left w:val="none" w:sz="0" w:space="0" w:color="auto"/>
        <w:bottom w:val="none" w:sz="0" w:space="0" w:color="auto"/>
        <w:right w:val="none" w:sz="0" w:space="0" w:color="auto"/>
      </w:divBdr>
      <w:divsChild>
        <w:div w:id="1049190319">
          <w:marLeft w:val="0"/>
          <w:marRight w:val="0"/>
          <w:marTop w:val="0"/>
          <w:marBottom w:val="0"/>
          <w:divBdr>
            <w:top w:val="none" w:sz="0" w:space="0" w:color="auto"/>
            <w:left w:val="none" w:sz="0" w:space="0" w:color="auto"/>
            <w:bottom w:val="none" w:sz="0" w:space="0" w:color="auto"/>
            <w:right w:val="none" w:sz="0" w:space="0" w:color="auto"/>
          </w:divBdr>
          <w:divsChild>
            <w:div w:id="1049190138">
              <w:marLeft w:val="0"/>
              <w:marRight w:val="0"/>
              <w:marTop w:val="0"/>
              <w:marBottom w:val="0"/>
              <w:divBdr>
                <w:top w:val="none" w:sz="0" w:space="0" w:color="auto"/>
                <w:left w:val="none" w:sz="0" w:space="0" w:color="auto"/>
                <w:bottom w:val="none" w:sz="0" w:space="0" w:color="auto"/>
                <w:right w:val="none" w:sz="0" w:space="0" w:color="auto"/>
              </w:divBdr>
            </w:div>
            <w:div w:id="1049190139">
              <w:marLeft w:val="0"/>
              <w:marRight w:val="0"/>
              <w:marTop w:val="0"/>
              <w:marBottom w:val="0"/>
              <w:divBdr>
                <w:top w:val="none" w:sz="0" w:space="0" w:color="auto"/>
                <w:left w:val="none" w:sz="0" w:space="0" w:color="auto"/>
                <w:bottom w:val="none" w:sz="0" w:space="0" w:color="auto"/>
                <w:right w:val="none" w:sz="0" w:space="0" w:color="auto"/>
              </w:divBdr>
            </w:div>
            <w:div w:id="1049190141">
              <w:marLeft w:val="0"/>
              <w:marRight w:val="0"/>
              <w:marTop w:val="0"/>
              <w:marBottom w:val="0"/>
              <w:divBdr>
                <w:top w:val="none" w:sz="0" w:space="0" w:color="auto"/>
                <w:left w:val="none" w:sz="0" w:space="0" w:color="auto"/>
                <w:bottom w:val="none" w:sz="0" w:space="0" w:color="auto"/>
                <w:right w:val="none" w:sz="0" w:space="0" w:color="auto"/>
              </w:divBdr>
            </w:div>
            <w:div w:id="1049190158">
              <w:marLeft w:val="0"/>
              <w:marRight w:val="0"/>
              <w:marTop w:val="0"/>
              <w:marBottom w:val="0"/>
              <w:divBdr>
                <w:top w:val="none" w:sz="0" w:space="0" w:color="auto"/>
                <w:left w:val="none" w:sz="0" w:space="0" w:color="auto"/>
                <w:bottom w:val="none" w:sz="0" w:space="0" w:color="auto"/>
                <w:right w:val="none" w:sz="0" w:space="0" w:color="auto"/>
              </w:divBdr>
            </w:div>
            <w:div w:id="1049190161">
              <w:marLeft w:val="0"/>
              <w:marRight w:val="0"/>
              <w:marTop w:val="0"/>
              <w:marBottom w:val="0"/>
              <w:divBdr>
                <w:top w:val="none" w:sz="0" w:space="0" w:color="auto"/>
                <w:left w:val="none" w:sz="0" w:space="0" w:color="auto"/>
                <w:bottom w:val="none" w:sz="0" w:space="0" w:color="auto"/>
                <w:right w:val="none" w:sz="0" w:space="0" w:color="auto"/>
              </w:divBdr>
            </w:div>
            <w:div w:id="1049190163">
              <w:marLeft w:val="0"/>
              <w:marRight w:val="0"/>
              <w:marTop w:val="0"/>
              <w:marBottom w:val="0"/>
              <w:divBdr>
                <w:top w:val="none" w:sz="0" w:space="0" w:color="auto"/>
                <w:left w:val="none" w:sz="0" w:space="0" w:color="auto"/>
                <w:bottom w:val="none" w:sz="0" w:space="0" w:color="auto"/>
                <w:right w:val="none" w:sz="0" w:space="0" w:color="auto"/>
              </w:divBdr>
            </w:div>
            <w:div w:id="1049190168">
              <w:marLeft w:val="0"/>
              <w:marRight w:val="0"/>
              <w:marTop w:val="0"/>
              <w:marBottom w:val="0"/>
              <w:divBdr>
                <w:top w:val="none" w:sz="0" w:space="0" w:color="auto"/>
                <w:left w:val="none" w:sz="0" w:space="0" w:color="auto"/>
                <w:bottom w:val="none" w:sz="0" w:space="0" w:color="auto"/>
                <w:right w:val="none" w:sz="0" w:space="0" w:color="auto"/>
              </w:divBdr>
            </w:div>
            <w:div w:id="1049190170">
              <w:marLeft w:val="0"/>
              <w:marRight w:val="0"/>
              <w:marTop w:val="0"/>
              <w:marBottom w:val="0"/>
              <w:divBdr>
                <w:top w:val="none" w:sz="0" w:space="0" w:color="auto"/>
                <w:left w:val="none" w:sz="0" w:space="0" w:color="auto"/>
                <w:bottom w:val="none" w:sz="0" w:space="0" w:color="auto"/>
                <w:right w:val="none" w:sz="0" w:space="0" w:color="auto"/>
              </w:divBdr>
            </w:div>
            <w:div w:id="1049190174">
              <w:marLeft w:val="0"/>
              <w:marRight w:val="0"/>
              <w:marTop w:val="0"/>
              <w:marBottom w:val="0"/>
              <w:divBdr>
                <w:top w:val="none" w:sz="0" w:space="0" w:color="auto"/>
                <w:left w:val="none" w:sz="0" w:space="0" w:color="auto"/>
                <w:bottom w:val="none" w:sz="0" w:space="0" w:color="auto"/>
                <w:right w:val="none" w:sz="0" w:space="0" w:color="auto"/>
              </w:divBdr>
            </w:div>
            <w:div w:id="1049190180">
              <w:marLeft w:val="0"/>
              <w:marRight w:val="0"/>
              <w:marTop w:val="0"/>
              <w:marBottom w:val="0"/>
              <w:divBdr>
                <w:top w:val="none" w:sz="0" w:space="0" w:color="auto"/>
                <w:left w:val="none" w:sz="0" w:space="0" w:color="auto"/>
                <w:bottom w:val="none" w:sz="0" w:space="0" w:color="auto"/>
                <w:right w:val="none" w:sz="0" w:space="0" w:color="auto"/>
              </w:divBdr>
            </w:div>
            <w:div w:id="1049190184">
              <w:marLeft w:val="0"/>
              <w:marRight w:val="0"/>
              <w:marTop w:val="0"/>
              <w:marBottom w:val="0"/>
              <w:divBdr>
                <w:top w:val="none" w:sz="0" w:space="0" w:color="auto"/>
                <w:left w:val="none" w:sz="0" w:space="0" w:color="auto"/>
                <w:bottom w:val="none" w:sz="0" w:space="0" w:color="auto"/>
                <w:right w:val="none" w:sz="0" w:space="0" w:color="auto"/>
              </w:divBdr>
            </w:div>
            <w:div w:id="1049190202">
              <w:marLeft w:val="0"/>
              <w:marRight w:val="0"/>
              <w:marTop w:val="0"/>
              <w:marBottom w:val="0"/>
              <w:divBdr>
                <w:top w:val="none" w:sz="0" w:space="0" w:color="auto"/>
                <w:left w:val="none" w:sz="0" w:space="0" w:color="auto"/>
                <w:bottom w:val="none" w:sz="0" w:space="0" w:color="auto"/>
                <w:right w:val="none" w:sz="0" w:space="0" w:color="auto"/>
              </w:divBdr>
            </w:div>
            <w:div w:id="1049190212">
              <w:marLeft w:val="0"/>
              <w:marRight w:val="0"/>
              <w:marTop w:val="0"/>
              <w:marBottom w:val="0"/>
              <w:divBdr>
                <w:top w:val="none" w:sz="0" w:space="0" w:color="auto"/>
                <w:left w:val="none" w:sz="0" w:space="0" w:color="auto"/>
                <w:bottom w:val="none" w:sz="0" w:space="0" w:color="auto"/>
                <w:right w:val="none" w:sz="0" w:space="0" w:color="auto"/>
              </w:divBdr>
            </w:div>
            <w:div w:id="1049190218">
              <w:marLeft w:val="0"/>
              <w:marRight w:val="0"/>
              <w:marTop w:val="0"/>
              <w:marBottom w:val="0"/>
              <w:divBdr>
                <w:top w:val="none" w:sz="0" w:space="0" w:color="auto"/>
                <w:left w:val="none" w:sz="0" w:space="0" w:color="auto"/>
                <w:bottom w:val="none" w:sz="0" w:space="0" w:color="auto"/>
                <w:right w:val="none" w:sz="0" w:space="0" w:color="auto"/>
              </w:divBdr>
            </w:div>
            <w:div w:id="1049190222">
              <w:marLeft w:val="0"/>
              <w:marRight w:val="0"/>
              <w:marTop w:val="0"/>
              <w:marBottom w:val="0"/>
              <w:divBdr>
                <w:top w:val="none" w:sz="0" w:space="0" w:color="auto"/>
                <w:left w:val="none" w:sz="0" w:space="0" w:color="auto"/>
                <w:bottom w:val="none" w:sz="0" w:space="0" w:color="auto"/>
                <w:right w:val="none" w:sz="0" w:space="0" w:color="auto"/>
              </w:divBdr>
            </w:div>
            <w:div w:id="1049190229">
              <w:marLeft w:val="0"/>
              <w:marRight w:val="0"/>
              <w:marTop w:val="0"/>
              <w:marBottom w:val="0"/>
              <w:divBdr>
                <w:top w:val="none" w:sz="0" w:space="0" w:color="auto"/>
                <w:left w:val="none" w:sz="0" w:space="0" w:color="auto"/>
                <w:bottom w:val="none" w:sz="0" w:space="0" w:color="auto"/>
                <w:right w:val="none" w:sz="0" w:space="0" w:color="auto"/>
              </w:divBdr>
            </w:div>
            <w:div w:id="1049190230">
              <w:marLeft w:val="0"/>
              <w:marRight w:val="0"/>
              <w:marTop w:val="0"/>
              <w:marBottom w:val="0"/>
              <w:divBdr>
                <w:top w:val="none" w:sz="0" w:space="0" w:color="auto"/>
                <w:left w:val="none" w:sz="0" w:space="0" w:color="auto"/>
                <w:bottom w:val="none" w:sz="0" w:space="0" w:color="auto"/>
                <w:right w:val="none" w:sz="0" w:space="0" w:color="auto"/>
              </w:divBdr>
            </w:div>
            <w:div w:id="1049190235">
              <w:marLeft w:val="0"/>
              <w:marRight w:val="0"/>
              <w:marTop w:val="0"/>
              <w:marBottom w:val="0"/>
              <w:divBdr>
                <w:top w:val="none" w:sz="0" w:space="0" w:color="auto"/>
                <w:left w:val="none" w:sz="0" w:space="0" w:color="auto"/>
                <w:bottom w:val="none" w:sz="0" w:space="0" w:color="auto"/>
                <w:right w:val="none" w:sz="0" w:space="0" w:color="auto"/>
              </w:divBdr>
            </w:div>
            <w:div w:id="1049190236">
              <w:marLeft w:val="0"/>
              <w:marRight w:val="0"/>
              <w:marTop w:val="0"/>
              <w:marBottom w:val="0"/>
              <w:divBdr>
                <w:top w:val="none" w:sz="0" w:space="0" w:color="auto"/>
                <w:left w:val="none" w:sz="0" w:space="0" w:color="auto"/>
                <w:bottom w:val="none" w:sz="0" w:space="0" w:color="auto"/>
                <w:right w:val="none" w:sz="0" w:space="0" w:color="auto"/>
              </w:divBdr>
            </w:div>
            <w:div w:id="1049190240">
              <w:marLeft w:val="0"/>
              <w:marRight w:val="0"/>
              <w:marTop w:val="0"/>
              <w:marBottom w:val="0"/>
              <w:divBdr>
                <w:top w:val="none" w:sz="0" w:space="0" w:color="auto"/>
                <w:left w:val="none" w:sz="0" w:space="0" w:color="auto"/>
                <w:bottom w:val="none" w:sz="0" w:space="0" w:color="auto"/>
                <w:right w:val="none" w:sz="0" w:space="0" w:color="auto"/>
              </w:divBdr>
            </w:div>
            <w:div w:id="1049190257">
              <w:marLeft w:val="0"/>
              <w:marRight w:val="0"/>
              <w:marTop w:val="0"/>
              <w:marBottom w:val="0"/>
              <w:divBdr>
                <w:top w:val="none" w:sz="0" w:space="0" w:color="auto"/>
                <w:left w:val="none" w:sz="0" w:space="0" w:color="auto"/>
                <w:bottom w:val="none" w:sz="0" w:space="0" w:color="auto"/>
                <w:right w:val="none" w:sz="0" w:space="0" w:color="auto"/>
              </w:divBdr>
            </w:div>
            <w:div w:id="1049190260">
              <w:marLeft w:val="0"/>
              <w:marRight w:val="0"/>
              <w:marTop w:val="0"/>
              <w:marBottom w:val="0"/>
              <w:divBdr>
                <w:top w:val="none" w:sz="0" w:space="0" w:color="auto"/>
                <w:left w:val="none" w:sz="0" w:space="0" w:color="auto"/>
                <w:bottom w:val="none" w:sz="0" w:space="0" w:color="auto"/>
                <w:right w:val="none" w:sz="0" w:space="0" w:color="auto"/>
              </w:divBdr>
            </w:div>
            <w:div w:id="1049190268">
              <w:marLeft w:val="0"/>
              <w:marRight w:val="0"/>
              <w:marTop w:val="0"/>
              <w:marBottom w:val="0"/>
              <w:divBdr>
                <w:top w:val="none" w:sz="0" w:space="0" w:color="auto"/>
                <w:left w:val="none" w:sz="0" w:space="0" w:color="auto"/>
                <w:bottom w:val="none" w:sz="0" w:space="0" w:color="auto"/>
                <w:right w:val="none" w:sz="0" w:space="0" w:color="auto"/>
              </w:divBdr>
            </w:div>
            <w:div w:id="1049190269">
              <w:marLeft w:val="0"/>
              <w:marRight w:val="0"/>
              <w:marTop w:val="0"/>
              <w:marBottom w:val="0"/>
              <w:divBdr>
                <w:top w:val="none" w:sz="0" w:space="0" w:color="auto"/>
                <w:left w:val="none" w:sz="0" w:space="0" w:color="auto"/>
                <w:bottom w:val="none" w:sz="0" w:space="0" w:color="auto"/>
                <w:right w:val="none" w:sz="0" w:space="0" w:color="auto"/>
              </w:divBdr>
            </w:div>
            <w:div w:id="1049190270">
              <w:marLeft w:val="0"/>
              <w:marRight w:val="0"/>
              <w:marTop w:val="0"/>
              <w:marBottom w:val="0"/>
              <w:divBdr>
                <w:top w:val="none" w:sz="0" w:space="0" w:color="auto"/>
                <w:left w:val="none" w:sz="0" w:space="0" w:color="auto"/>
                <w:bottom w:val="none" w:sz="0" w:space="0" w:color="auto"/>
                <w:right w:val="none" w:sz="0" w:space="0" w:color="auto"/>
              </w:divBdr>
            </w:div>
            <w:div w:id="1049190271">
              <w:marLeft w:val="0"/>
              <w:marRight w:val="0"/>
              <w:marTop w:val="0"/>
              <w:marBottom w:val="0"/>
              <w:divBdr>
                <w:top w:val="none" w:sz="0" w:space="0" w:color="auto"/>
                <w:left w:val="none" w:sz="0" w:space="0" w:color="auto"/>
                <w:bottom w:val="none" w:sz="0" w:space="0" w:color="auto"/>
                <w:right w:val="none" w:sz="0" w:space="0" w:color="auto"/>
              </w:divBdr>
            </w:div>
            <w:div w:id="1049190282">
              <w:marLeft w:val="0"/>
              <w:marRight w:val="0"/>
              <w:marTop w:val="0"/>
              <w:marBottom w:val="0"/>
              <w:divBdr>
                <w:top w:val="none" w:sz="0" w:space="0" w:color="auto"/>
                <w:left w:val="none" w:sz="0" w:space="0" w:color="auto"/>
                <w:bottom w:val="none" w:sz="0" w:space="0" w:color="auto"/>
                <w:right w:val="none" w:sz="0" w:space="0" w:color="auto"/>
              </w:divBdr>
            </w:div>
            <w:div w:id="1049190284">
              <w:marLeft w:val="0"/>
              <w:marRight w:val="0"/>
              <w:marTop w:val="0"/>
              <w:marBottom w:val="0"/>
              <w:divBdr>
                <w:top w:val="none" w:sz="0" w:space="0" w:color="auto"/>
                <w:left w:val="none" w:sz="0" w:space="0" w:color="auto"/>
                <w:bottom w:val="none" w:sz="0" w:space="0" w:color="auto"/>
                <w:right w:val="none" w:sz="0" w:space="0" w:color="auto"/>
              </w:divBdr>
            </w:div>
            <w:div w:id="1049190285">
              <w:marLeft w:val="0"/>
              <w:marRight w:val="0"/>
              <w:marTop w:val="0"/>
              <w:marBottom w:val="0"/>
              <w:divBdr>
                <w:top w:val="none" w:sz="0" w:space="0" w:color="auto"/>
                <w:left w:val="none" w:sz="0" w:space="0" w:color="auto"/>
                <w:bottom w:val="none" w:sz="0" w:space="0" w:color="auto"/>
                <w:right w:val="none" w:sz="0" w:space="0" w:color="auto"/>
              </w:divBdr>
            </w:div>
            <w:div w:id="1049190286">
              <w:marLeft w:val="0"/>
              <w:marRight w:val="0"/>
              <w:marTop w:val="0"/>
              <w:marBottom w:val="0"/>
              <w:divBdr>
                <w:top w:val="none" w:sz="0" w:space="0" w:color="auto"/>
                <w:left w:val="none" w:sz="0" w:space="0" w:color="auto"/>
                <w:bottom w:val="none" w:sz="0" w:space="0" w:color="auto"/>
                <w:right w:val="none" w:sz="0" w:space="0" w:color="auto"/>
              </w:divBdr>
            </w:div>
            <w:div w:id="1049190288">
              <w:marLeft w:val="0"/>
              <w:marRight w:val="0"/>
              <w:marTop w:val="0"/>
              <w:marBottom w:val="0"/>
              <w:divBdr>
                <w:top w:val="none" w:sz="0" w:space="0" w:color="auto"/>
                <w:left w:val="none" w:sz="0" w:space="0" w:color="auto"/>
                <w:bottom w:val="none" w:sz="0" w:space="0" w:color="auto"/>
                <w:right w:val="none" w:sz="0" w:space="0" w:color="auto"/>
              </w:divBdr>
            </w:div>
            <w:div w:id="1049190296">
              <w:marLeft w:val="0"/>
              <w:marRight w:val="0"/>
              <w:marTop w:val="0"/>
              <w:marBottom w:val="0"/>
              <w:divBdr>
                <w:top w:val="none" w:sz="0" w:space="0" w:color="auto"/>
                <w:left w:val="none" w:sz="0" w:space="0" w:color="auto"/>
                <w:bottom w:val="none" w:sz="0" w:space="0" w:color="auto"/>
                <w:right w:val="none" w:sz="0" w:space="0" w:color="auto"/>
              </w:divBdr>
            </w:div>
            <w:div w:id="1049190301">
              <w:marLeft w:val="0"/>
              <w:marRight w:val="0"/>
              <w:marTop w:val="0"/>
              <w:marBottom w:val="0"/>
              <w:divBdr>
                <w:top w:val="none" w:sz="0" w:space="0" w:color="auto"/>
                <w:left w:val="none" w:sz="0" w:space="0" w:color="auto"/>
                <w:bottom w:val="none" w:sz="0" w:space="0" w:color="auto"/>
                <w:right w:val="none" w:sz="0" w:space="0" w:color="auto"/>
              </w:divBdr>
            </w:div>
            <w:div w:id="1049190309">
              <w:marLeft w:val="0"/>
              <w:marRight w:val="0"/>
              <w:marTop w:val="0"/>
              <w:marBottom w:val="0"/>
              <w:divBdr>
                <w:top w:val="none" w:sz="0" w:space="0" w:color="auto"/>
                <w:left w:val="none" w:sz="0" w:space="0" w:color="auto"/>
                <w:bottom w:val="none" w:sz="0" w:space="0" w:color="auto"/>
                <w:right w:val="none" w:sz="0" w:space="0" w:color="auto"/>
              </w:divBdr>
            </w:div>
            <w:div w:id="1049190314">
              <w:marLeft w:val="0"/>
              <w:marRight w:val="0"/>
              <w:marTop w:val="0"/>
              <w:marBottom w:val="0"/>
              <w:divBdr>
                <w:top w:val="none" w:sz="0" w:space="0" w:color="auto"/>
                <w:left w:val="none" w:sz="0" w:space="0" w:color="auto"/>
                <w:bottom w:val="none" w:sz="0" w:space="0" w:color="auto"/>
                <w:right w:val="none" w:sz="0" w:space="0" w:color="auto"/>
              </w:divBdr>
            </w:div>
            <w:div w:id="1049190318">
              <w:marLeft w:val="0"/>
              <w:marRight w:val="0"/>
              <w:marTop w:val="0"/>
              <w:marBottom w:val="0"/>
              <w:divBdr>
                <w:top w:val="none" w:sz="0" w:space="0" w:color="auto"/>
                <w:left w:val="none" w:sz="0" w:space="0" w:color="auto"/>
                <w:bottom w:val="none" w:sz="0" w:space="0" w:color="auto"/>
                <w:right w:val="none" w:sz="0" w:space="0" w:color="auto"/>
              </w:divBdr>
            </w:div>
            <w:div w:id="1049190334">
              <w:marLeft w:val="0"/>
              <w:marRight w:val="0"/>
              <w:marTop w:val="0"/>
              <w:marBottom w:val="0"/>
              <w:divBdr>
                <w:top w:val="none" w:sz="0" w:space="0" w:color="auto"/>
                <w:left w:val="none" w:sz="0" w:space="0" w:color="auto"/>
                <w:bottom w:val="none" w:sz="0" w:space="0" w:color="auto"/>
                <w:right w:val="none" w:sz="0" w:space="0" w:color="auto"/>
              </w:divBdr>
            </w:div>
            <w:div w:id="1049190337">
              <w:marLeft w:val="0"/>
              <w:marRight w:val="0"/>
              <w:marTop w:val="0"/>
              <w:marBottom w:val="0"/>
              <w:divBdr>
                <w:top w:val="none" w:sz="0" w:space="0" w:color="auto"/>
                <w:left w:val="none" w:sz="0" w:space="0" w:color="auto"/>
                <w:bottom w:val="none" w:sz="0" w:space="0" w:color="auto"/>
                <w:right w:val="none" w:sz="0" w:space="0" w:color="auto"/>
              </w:divBdr>
            </w:div>
            <w:div w:id="1049190339">
              <w:marLeft w:val="0"/>
              <w:marRight w:val="0"/>
              <w:marTop w:val="0"/>
              <w:marBottom w:val="0"/>
              <w:divBdr>
                <w:top w:val="none" w:sz="0" w:space="0" w:color="auto"/>
                <w:left w:val="none" w:sz="0" w:space="0" w:color="auto"/>
                <w:bottom w:val="none" w:sz="0" w:space="0" w:color="auto"/>
                <w:right w:val="none" w:sz="0" w:space="0" w:color="auto"/>
              </w:divBdr>
            </w:div>
            <w:div w:id="1049190345">
              <w:marLeft w:val="0"/>
              <w:marRight w:val="0"/>
              <w:marTop w:val="0"/>
              <w:marBottom w:val="0"/>
              <w:divBdr>
                <w:top w:val="none" w:sz="0" w:space="0" w:color="auto"/>
                <w:left w:val="none" w:sz="0" w:space="0" w:color="auto"/>
                <w:bottom w:val="none" w:sz="0" w:space="0" w:color="auto"/>
                <w:right w:val="none" w:sz="0" w:space="0" w:color="auto"/>
              </w:divBdr>
            </w:div>
            <w:div w:id="1049190346">
              <w:marLeft w:val="0"/>
              <w:marRight w:val="0"/>
              <w:marTop w:val="0"/>
              <w:marBottom w:val="0"/>
              <w:divBdr>
                <w:top w:val="none" w:sz="0" w:space="0" w:color="auto"/>
                <w:left w:val="none" w:sz="0" w:space="0" w:color="auto"/>
                <w:bottom w:val="none" w:sz="0" w:space="0" w:color="auto"/>
                <w:right w:val="none" w:sz="0" w:space="0" w:color="auto"/>
              </w:divBdr>
            </w:div>
            <w:div w:id="1049190354">
              <w:marLeft w:val="0"/>
              <w:marRight w:val="0"/>
              <w:marTop w:val="0"/>
              <w:marBottom w:val="0"/>
              <w:divBdr>
                <w:top w:val="none" w:sz="0" w:space="0" w:color="auto"/>
                <w:left w:val="none" w:sz="0" w:space="0" w:color="auto"/>
                <w:bottom w:val="none" w:sz="0" w:space="0" w:color="auto"/>
                <w:right w:val="none" w:sz="0" w:space="0" w:color="auto"/>
              </w:divBdr>
            </w:div>
            <w:div w:id="1049190357">
              <w:marLeft w:val="0"/>
              <w:marRight w:val="0"/>
              <w:marTop w:val="0"/>
              <w:marBottom w:val="0"/>
              <w:divBdr>
                <w:top w:val="none" w:sz="0" w:space="0" w:color="auto"/>
                <w:left w:val="none" w:sz="0" w:space="0" w:color="auto"/>
                <w:bottom w:val="none" w:sz="0" w:space="0" w:color="auto"/>
                <w:right w:val="none" w:sz="0" w:space="0" w:color="auto"/>
              </w:divBdr>
            </w:div>
            <w:div w:id="1049190359">
              <w:marLeft w:val="0"/>
              <w:marRight w:val="0"/>
              <w:marTop w:val="0"/>
              <w:marBottom w:val="0"/>
              <w:divBdr>
                <w:top w:val="none" w:sz="0" w:space="0" w:color="auto"/>
                <w:left w:val="none" w:sz="0" w:space="0" w:color="auto"/>
                <w:bottom w:val="none" w:sz="0" w:space="0" w:color="auto"/>
                <w:right w:val="none" w:sz="0" w:space="0" w:color="auto"/>
              </w:divBdr>
            </w:div>
            <w:div w:id="1049190362">
              <w:marLeft w:val="0"/>
              <w:marRight w:val="0"/>
              <w:marTop w:val="0"/>
              <w:marBottom w:val="0"/>
              <w:divBdr>
                <w:top w:val="none" w:sz="0" w:space="0" w:color="auto"/>
                <w:left w:val="none" w:sz="0" w:space="0" w:color="auto"/>
                <w:bottom w:val="none" w:sz="0" w:space="0" w:color="auto"/>
                <w:right w:val="none" w:sz="0" w:space="0" w:color="auto"/>
              </w:divBdr>
            </w:div>
            <w:div w:id="1049190364">
              <w:marLeft w:val="0"/>
              <w:marRight w:val="0"/>
              <w:marTop w:val="0"/>
              <w:marBottom w:val="0"/>
              <w:divBdr>
                <w:top w:val="none" w:sz="0" w:space="0" w:color="auto"/>
                <w:left w:val="none" w:sz="0" w:space="0" w:color="auto"/>
                <w:bottom w:val="none" w:sz="0" w:space="0" w:color="auto"/>
                <w:right w:val="none" w:sz="0" w:space="0" w:color="auto"/>
              </w:divBdr>
            </w:div>
            <w:div w:id="1049190365">
              <w:marLeft w:val="0"/>
              <w:marRight w:val="0"/>
              <w:marTop w:val="0"/>
              <w:marBottom w:val="0"/>
              <w:divBdr>
                <w:top w:val="none" w:sz="0" w:space="0" w:color="auto"/>
                <w:left w:val="none" w:sz="0" w:space="0" w:color="auto"/>
                <w:bottom w:val="none" w:sz="0" w:space="0" w:color="auto"/>
                <w:right w:val="none" w:sz="0" w:space="0" w:color="auto"/>
              </w:divBdr>
            </w:div>
            <w:div w:id="1049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90178">
      <w:marLeft w:val="0"/>
      <w:marRight w:val="0"/>
      <w:marTop w:val="0"/>
      <w:marBottom w:val="0"/>
      <w:divBdr>
        <w:top w:val="none" w:sz="0" w:space="0" w:color="auto"/>
        <w:left w:val="none" w:sz="0" w:space="0" w:color="auto"/>
        <w:bottom w:val="none" w:sz="0" w:space="0" w:color="auto"/>
        <w:right w:val="none" w:sz="0" w:space="0" w:color="auto"/>
      </w:divBdr>
      <w:divsChild>
        <w:div w:id="1049190371">
          <w:marLeft w:val="0"/>
          <w:marRight w:val="0"/>
          <w:marTop w:val="0"/>
          <w:marBottom w:val="0"/>
          <w:divBdr>
            <w:top w:val="none" w:sz="0" w:space="0" w:color="auto"/>
            <w:left w:val="none" w:sz="0" w:space="0" w:color="auto"/>
            <w:bottom w:val="none" w:sz="0" w:space="0" w:color="auto"/>
            <w:right w:val="none" w:sz="0" w:space="0" w:color="auto"/>
          </w:divBdr>
          <w:divsChild>
            <w:div w:id="1049190379">
              <w:marLeft w:val="0"/>
              <w:marRight w:val="0"/>
              <w:marTop w:val="0"/>
              <w:marBottom w:val="0"/>
              <w:divBdr>
                <w:top w:val="none" w:sz="0" w:space="0" w:color="auto"/>
                <w:left w:val="none" w:sz="0" w:space="0" w:color="auto"/>
                <w:bottom w:val="none" w:sz="0" w:space="0" w:color="auto"/>
                <w:right w:val="none" w:sz="0" w:space="0" w:color="auto"/>
              </w:divBdr>
              <w:divsChild>
                <w:div w:id="1049190375">
                  <w:marLeft w:val="0"/>
                  <w:marRight w:val="0"/>
                  <w:marTop w:val="0"/>
                  <w:marBottom w:val="0"/>
                  <w:divBdr>
                    <w:top w:val="none" w:sz="0" w:space="0" w:color="auto"/>
                    <w:left w:val="none" w:sz="0" w:space="0" w:color="auto"/>
                    <w:bottom w:val="none" w:sz="0" w:space="0" w:color="auto"/>
                    <w:right w:val="none" w:sz="0" w:space="0" w:color="auto"/>
                  </w:divBdr>
                  <w:divsChild>
                    <w:div w:id="1049190241">
                      <w:marLeft w:val="0"/>
                      <w:marRight w:val="0"/>
                      <w:marTop w:val="0"/>
                      <w:marBottom w:val="0"/>
                      <w:divBdr>
                        <w:top w:val="none" w:sz="0" w:space="0" w:color="auto"/>
                        <w:left w:val="none" w:sz="0" w:space="0" w:color="auto"/>
                        <w:bottom w:val="none" w:sz="0" w:space="0" w:color="auto"/>
                        <w:right w:val="none" w:sz="0" w:space="0" w:color="auto"/>
                      </w:divBdr>
                      <w:divsChild>
                        <w:div w:id="1049190325">
                          <w:marLeft w:val="0"/>
                          <w:marRight w:val="0"/>
                          <w:marTop w:val="0"/>
                          <w:marBottom w:val="0"/>
                          <w:divBdr>
                            <w:top w:val="none" w:sz="0" w:space="0" w:color="auto"/>
                            <w:left w:val="none" w:sz="0" w:space="0" w:color="auto"/>
                            <w:bottom w:val="none" w:sz="0" w:space="0" w:color="auto"/>
                            <w:right w:val="none" w:sz="0" w:space="0" w:color="auto"/>
                          </w:divBdr>
                          <w:divsChild>
                            <w:div w:id="1049190336">
                              <w:marLeft w:val="0"/>
                              <w:marRight w:val="0"/>
                              <w:marTop w:val="0"/>
                              <w:marBottom w:val="0"/>
                              <w:divBdr>
                                <w:top w:val="none" w:sz="0" w:space="0" w:color="auto"/>
                                <w:left w:val="none" w:sz="0" w:space="0" w:color="auto"/>
                                <w:bottom w:val="none" w:sz="0" w:space="0" w:color="auto"/>
                                <w:right w:val="none" w:sz="0" w:space="0" w:color="auto"/>
                              </w:divBdr>
                              <w:divsChild>
                                <w:div w:id="1049190151">
                                  <w:marLeft w:val="0"/>
                                  <w:marRight w:val="0"/>
                                  <w:marTop w:val="0"/>
                                  <w:marBottom w:val="0"/>
                                  <w:divBdr>
                                    <w:top w:val="none" w:sz="0" w:space="0" w:color="auto"/>
                                    <w:left w:val="none" w:sz="0" w:space="0" w:color="auto"/>
                                    <w:bottom w:val="none" w:sz="0" w:space="0" w:color="auto"/>
                                    <w:right w:val="none" w:sz="0" w:space="0" w:color="auto"/>
                                  </w:divBdr>
                                  <w:divsChild>
                                    <w:div w:id="1049190323">
                                      <w:marLeft w:val="0"/>
                                      <w:marRight w:val="0"/>
                                      <w:marTop w:val="0"/>
                                      <w:marBottom w:val="0"/>
                                      <w:divBdr>
                                        <w:top w:val="none" w:sz="0" w:space="0" w:color="auto"/>
                                        <w:left w:val="none" w:sz="0" w:space="0" w:color="auto"/>
                                        <w:bottom w:val="none" w:sz="0" w:space="0" w:color="auto"/>
                                        <w:right w:val="none" w:sz="0" w:space="0" w:color="auto"/>
                                      </w:divBdr>
                                      <w:divsChild>
                                        <w:div w:id="1049190148">
                                          <w:marLeft w:val="0"/>
                                          <w:marRight w:val="0"/>
                                          <w:marTop w:val="0"/>
                                          <w:marBottom w:val="0"/>
                                          <w:divBdr>
                                            <w:top w:val="none" w:sz="0" w:space="0" w:color="auto"/>
                                            <w:left w:val="none" w:sz="0" w:space="0" w:color="auto"/>
                                            <w:bottom w:val="none" w:sz="0" w:space="0" w:color="auto"/>
                                            <w:right w:val="none" w:sz="0" w:space="0" w:color="auto"/>
                                          </w:divBdr>
                                          <w:divsChild>
                                            <w:div w:id="1049190342">
                                              <w:marLeft w:val="0"/>
                                              <w:marRight w:val="0"/>
                                              <w:marTop w:val="0"/>
                                              <w:marBottom w:val="0"/>
                                              <w:divBdr>
                                                <w:top w:val="none" w:sz="0" w:space="0" w:color="auto"/>
                                                <w:left w:val="none" w:sz="0" w:space="0" w:color="auto"/>
                                                <w:bottom w:val="none" w:sz="0" w:space="0" w:color="auto"/>
                                                <w:right w:val="none" w:sz="0" w:space="0" w:color="auto"/>
                                              </w:divBdr>
                                              <w:divsChild>
                                                <w:div w:id="1049190370">
                                                  <w:marLeft w:val="0"/>
                                                  <w:marRight w:val="0"/>
                                                  <w:marTop w:val="0"/>
                                                  <w:marBottom w:val="0"/>
                                                  <w:divBdr>
                                                    <w:top w:val="none" w:sz="0" w:space="0" w:color="auto"/>
                                                    <w:left w:val="none" w:sz="0" w:space="0" w:color="auto"/>
                                                    <w:bottom w:val="none" w:sz="0" w:space="0" w:color="auto"/>
                                                    <w:right w:val="none" w:sz="0" w:space="0" w:color="auto"/>
                                                  </w:divBdr>
                                                  <w:divsChild>
                                                    <w:div w:id="1049190305">
                                                      <w:marLeft w:val="0"/>
                                                      <w:marRight w:val="0"/>
                                                      <w:marTop w:val="0"/>
                                                      <w:marBottom w:val="0"/>
                                                      <w:divBdr>
                                                        <w:top w:val="none" w:sz="0" w:space="0" w:color="auto"/>
                                                        <w:left w:val="none" w:sz="0" w:space="0" w:color="auto"/>
                                                        <w:bottom w:val="none" w:sz="0" w:space="0" w:color="auto"/>
                                                        <w:right w:val="none" w:sz="0" w:space="0" w:color="auto"/>
                                                      </w:divBdr>
                                                      <w:divsChild>
                                                        <w:div w:id="1049190274">
                                                          <w:marLeft w:val="0"/>
                                                          <w:marRight w:val="0"/>
                                                          <w:marTop w:val="0"/>
                                                          <w:marBottom w:val="0"/>
                                                          <w:divBdr>
                                                            <w:top w:val="none" w:sz="0" w:space="0" w:color="auto"/>
                                                            <w:left w:val="none" w:sz="0" w:space="0" w:color="auto"/>
                                                            <w:bottom w:val="none" w:sz="0" w:space="0" w:color="auto"/>
                                                            <w:right w:val="none" w:sz="0" w:space="0" w:color="auto"/>
                                                          </w:divBdr>
                                                          <w:divsChild>
                                                            <w:div w:id="1049190277">
                                                              <w:marLeft w:val="0"/>
                                                              <w:marRight w:val="0"/>
                                                              <w:marTop w:val="0"/>
                                                              <w:marBottom w:val="0"/>
                                                              <w:divBdr>
                                                                <w:top w:val="none" w:sz="0" w:space="0" w:color="auto"/>
                                                                <w:left w:val="none" w:sz="0" w:space="0" w:color="auto"/>
                                                                <w:bottom w:val="none" w:sz="0" w:space="0" w:color="auto"/>
                                                                <w:right w:val="none" w:sz="0" w:space="0" w:color="auto"/>
                                                              </w:divBdr>
                                                              <w:divsChild>
                                                                <w:div w:id="1049190310">
                                                                  <w:marLeft w:val="0"/>
                                                                  <w:marRight w:val="0"/>
                                                                  <w:marTop w:val="0"/>
                                                                  <w:marBottom w:val="0"/>
                                                                  <w:divBdr>
                                                                    <w:top w:val="none" w:sz="0" w:space="0" w:color="auto"/>
                                                                    <w:left w:val="none" w:sz="0" w:space="0" w:color="auto"/>
                                                                    <w:bottom w:val="none" w:sz="0" w:space="0" w:color="auto"/>
                                                                    <w:right w:val="none" w:sz="0" w:space="0" w:color="auto"/>
                                                                  </w:divBdr>
                                                                  <w:divsChild>
                                                                    <w:div w:id="1049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9190220">
      <w:marLeft w:val="0"/>
      <w:marRight w:val="0"/>
      <w:marTop w:val="0"/>
      <w:marBottom w:val="0"/>
      <w:divBdr>
        <w:top w:val="none" w:sz="0" w:space="0" w:color="auto"/>
        <w:left w:val="none" w:sz="0" w:space="0" w:color="auto"/>
        <w:bottom w:val="none" w:sz="0" w:space="0" w:color="auto"/>
        <w:right w:val="none" w:sz="0" w:space="0" w:color="auto"/>
      </w:divBdr>
      <w:divsChild>
        <w:div w:id="1049190209">
          <w:marLeft w:val="0"/>
          <w:marRight w:val="1"/>
          <w:marTop w:val="0"/>
          <w:marBottom w:val="0"/>
          <w:divBdr>
            <w:top w:val="none" w:sz="0" w:space="0" w:color="auto"/>
            <w:left w:val="none" w:sz="0" w:space="0" w:color="auto"/>
            <w:bottom w:val="none" w:sz="0" w:space="0" w:color="auto"/>
            <w:right w:val="none" w:sz="0" w:space="0" w:color="auto"/>
          </w:divBdr>
          <w:divsChild>
            <w:div w:id="1049190207">
              <w:marLeft w:val="0"/>
              <w:marRight w:val="0"/>
              <w:marTop w:val="0"/>
              <w:marBottom w:val="0"/>
              <w:divBdr>
                <w:top w:val="none" w:sz="0" w:space="0" w:color="auto"/>
                <w:left w:val="none" w:sz="0" w:space="0" w:color="auto"/>
                <w:bottom w:val="none" w:sz="0" w:space="0" w:color="auto"/>
                <w:right w:val="none" w:sz="0" w:space="0" w:color="auto"/>
              </w:divBdr>
              <w:divsChild>
                <w:div w:id="1049190176">
                  <w:marLeft w:val="0"/>
                  <w:marRight w:val="1"/>
                  <w:marTop w:val="0"/>
                  <w:marBottom w:val="0"/>
                  <w:divBdr>
                    <w:top w:val="none" w:sz="0" w:space="0" w:color="auto"/>
                    <w:left w:val="none" w:sz="0" w:space="0" w:color="auto"/>
                    <w:bottom w:val="none" w:sz="0" w:space="0" w:color="auto"/>
                    <w:right w:val="none" w:sz="0" w:space="0" w:color="auto"/>
                  </w:divBdr>
                  <w:divsChild>
                    <w:div w:id="1049190281">
                      <w:marLeft w:val="0"/>
                      <w:marRight w:val="0"/>
                      <w:marTop w:val="0"/>
                      <w:marBottom w:val="0"/>
                      <w:divBdr>
                        <w:top w:val="none" w:sz="0" w:space="0" w:color="auto"/>
                        <w:left w:val="none" w:sz="0" w:space="0" w:color="auto"/>
                        <w:bottom w:val="none" w:sz="0" w:space="0" w:color="auto"/>
                        <w:right w:val="none" w:sz="0" w:space="0" w:color="auto"/>
                      </w:divBdr>
                      <w:divsChild>
                        <w:div w:id="1049190227">
                          <w:marLeft w:val="0"/>
                          <w:marRight w:val="0"/>
                          <w:marTop w:val="0"/>
                          <w:marBottom w:val="0"/>
                          <w:divBdr>
                            <w:top w:val="none" w:sz="0" w:space="0" w:color="auto"/>
                            <w:left w:val="none" w:sz="0" w:space="0" w:color="auto"/>
                            <w:bottom w:val="none" w:sz="0" w:space="0" w:color="auto"/>
                            <w:right w:val="none" w:sz="0" w:space="0" w:color="auto"/>
                          </w:divBdr>
                          <w:divsChild>
                            <w:div w:id="1049190142">
                              <w:marLeft w:val="0"/>
                              <w:marRight w:val="0"/>
                              <w:marTop w:val="120"/>
                              <w:marBottom w:val="360"/>
                              <w:divBdr>
                                <w:top w:val="none" w:sz="0" w:space="0" w:color="auto"/>
                                <w:left w:val="none" w:sz="0" w:space="0" w:color="auto"/>
                                <w:bottom w:val="none" w:sz="0" w:space="0" w:color="auto"/>
                                <w:right w:val="none" w:sz="0" w:space="0" w:color="auto"/>
                              </w:divBdr>
                              <w:divsChild>
                                <w:div w:id="1049190265">
                                  <w:marLeft w:val="0"/>
                                  <w:marRight w:val="0"/>
                                  <w:marTop w:val="0"/>
                                  <w:marBottom w:val="0"/>
                                  <w:divBdr>
                                    <w:top w:val="none" w:sz="0" w:space="0" w:color="auto"/>
                                    <w:left w:val="none" w:sz="0" w:space="0" w:color="auto"/>
                                    <w:bottom w:val="none" w:sz="0" w:space="0" w:color="auto"/>
                                    <w:right w:val="none" w:sz="0" w:space="0" w:color="auto"/>
                                  </w:divBdr>
                                  <w:divsChild>
                                    <w:div w:id="10491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90221">
      <w:marLeft w:val="0"/>
      <w:marRight w:val="0"/>
      <w:marTop w:val="0"/>
      <w:marBottom w:val="0"/>
      <w:divBdr>
        <w:top w:val="none" w:sz="0" w:space="0" w:color="auto"/>
        <w:left w:val="none" w:sz="0" w:space="0" w:color="auto"/>
        <w:bottom w:val="none" w:sz="0" w:space="0" w:color="auto"/>
        <w:right w:val="none" w:sz="0" w:space="0" w:color="auto"/>
      </w:divBdr>
      <w:divsChild>
        <w:div w:id="1049190299">
          <w:marLeft w:val="0"/>
          <w:marRight w:val="1"/>
          <w:marTop w:val="0"/>
          <w:marBottom w:val="0"/>
          <w:divBdr>
            <w:top w:val="none" w:sz="0" w:space="0" w:color="auto"/>
            <w:left w:val="none" w:sz="0" w:space="0" w:color="auto"/>
            <w:bottom w:val="none" w:sz="0" w:space="0" w:color="auto"/>
            <w:right w:val="none" w:sz="0" w:space="0" w:color="auto"/>
          </w:divBdr>
          <w:divsChild>
            <w:div w:id="1049190165">
              <w:marLeft w:val="0"/>
              <w:marRight w:val="0"/>
              <w:marTop w:val="0"/>
              <w:marBottom w:val="0"/>
              <w:divBdr>
                <w:top w:val="none" w:sz="0" w:space="0" w:color="auto"/>
                <w:left w:val="none" w:sz="0" w:space="0" w:color="auto"/>
                <w:bottom w:val="none" w:sz="0" w:space="0" w:color="auto"/>
                <w:right w:val="none" w:sz="0" w:space="0" w:color="auto"/>
              </w:divBdr>
              <w:divsChild>
                <w:div w:id="1049190157">
                  <w:marLeft w:val="0"/>
                  <w:marRight w:val="1"/>
                  <w:marTop w:val="0"/>
                  <w:marBottom w:val="0"/>
                  <w:divBdr>
                    <w:top w:val="none" w:sz="0" w:space="0" w:color="auto"/>
                    <w:left w:val="none" w:sz="0" w:space="0" w:color="auto"/>
                    <w:bottom w:val="none" w:sz="0" w:space="0" w:color="auto"/>
                    <w:right w:val="none" w:sz="0" w:space="0" w:color="auto"/>
                  </w:divBdr>
                  <w:divsChild>
                    <w:div w:id="1049190350">
                      <w:marLeft w:val="0"/>
                      <w:marRight w:val="0"/>
                      <w:marTop w:val="0"/>
                      <w:marBottom w:val="0"/>
                      <w:divBdr>
                        <w:top w:val="none" w:sz="0" w:space="0" w:color="auto"/>
                        <w:left w:val="none" w:sz="0" w:space="0" w:color="auto"/>
                        <w:bottom w:val="none" w:sz="0" w:space="0" w:color="auto"/>
                        <w:right w:val="none" w:sz="0" w:space="0" w:color="auto"/>
                      </w:divBdr>
                      <w:divsChild>
                        <w:div w:id="1049190155">
                          <w:marLeft w:val="0"/>
                          <w:marRight w:val="0"/>
                          <w:marTop w:val="0"/>
                          <w:marBottom w:val="0"/>
                          <w:divBdr>
                            <w:top w:val="none" w:sz="0" w:space="0" w:color="auto"/>
                            <w:left w:val="none" w:sz="0" w:space="0" w:color="auto"/>
                            <w:bottom w:val="none" w:sz="0" w:space="0" w:color="auto"/>
                            <w:right w:val="none" w:sz="0" w:space="0" w:color="auto"/>
                          </w:divBdr>
                          <w:divsChild>
                            <w:div w:id="1049190324">
                              <w:marLeft w:val="0"/>
                              <w:marRight w:val="0"/>
                              <w:marTop w:val="120"/>
                              <w:marBottom w:val="360"/>
                              <w:divBdr>
                                <w:top w:val="none" w:sz="0" w:space="0" w:color="auto"/>
                                <w:left w:val="none" w:sz="0" w:space="0" w:color="auto"/>
                                <w:bottom w:val="none" w:sz="0" w:space="0" w:color="auto"/>
                                <w:right w:val="none" w:sz="0" w:space="0" w:color="auto"/>
                              </w:divBdr>
                              <w:divsChild>
                                <w:div w:id="1049190252">
                                  <w:marLeft w:val="351"/>
                                  <w:marRight w:val="0"/>
                                  <w:marTop w:val="0"/>
                                  <w:marBottom w:val="0"/>
                                  <w:divBdr>
                                    <w:top w:val="none" w:sz="0" w:space="0" w:color="auto"/>
                                    <w:left w:val="none" w:sz="0" w:space="0" w:color="auto"/>
                                    <w:bottom w:val="none" w:sz="0" w:space="0" w:color="auto"/>
                                    <w:right w:val="none" w:sz="0" w:space="0" w:color="auto"/>
                                  </w:divBdr>
                                  <w:divsChild>
                                    <w:div w:id="1049190195">
                                      <w:marLeft w:val="0"/>
                                      <w:marRight w:val="0"/>
                                      <w:marTop w:val="34"/>
                                      <w:marBottom w:val="34"/>
                                      <w:divBdr>
                                        <w:top w:val="none" w:sz="0" w:space="0" w:color="auto"/>
                                        <w:left w:val="none" w:sz="0" w:space="0" w:color="auto"/>
                                        <w:bottom w:val="none" w:sz="0" w:space="0" w:color="auto"/>
                                        <w:right w:val="none" w:sz="0" w:space="0" w:color="auto"/>
                                      </w:divBdr>
                                    </w:div>
                                    <w:div w:id="1049190388">
                                      <w:marLeft w:val="0"/>
                                      <w:marRight w:val="0"/>
                                      <w:marTop w:val="0"/>
                                      <w:marBottom w:val="0"/>
                                      <w:divBdr>
                                        <w:top w:val="none" w:sz="0" w:space="0" w:color="auto"/>
                                        <w:left w:val="none" w:sz="0" w:space="0" w:color="auto"/>
                                        <w:bottom w:val="none" w:sz="0" w:space="0" w:color="auto"/>
                                        <w:right w:val="none" w:sz="0" w:space="0" w:color="auto"/>
                                      </w:divBdr>
                                      <w:divsChild>
                                        <w:div w:id="10491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190239">
      <w:marLeft w:val="0"/>
      <w:marRight w:val="0"/>
      <w:marTop w:val="0"/>
      <w:marBottom w:val="0"/>
      <w:divBdr>
        <w:top w:val="none" w:sz="0" w:space="0" w:color="auto"/>
        <w:left w:val="none" w:sz="0" w:space="0" w:color="auto"/>
        <w:bottom w:val="none" w:sz="0" w:space="0" w:color="auto"/>
        <w:right w:val="none" w:sz="0" w:space="0" w:color="auto"/>
      </w:divBdr>
      <w:divsChild>
        <w:div w:id="1049190340">
          <w:marLeft w:val="0"/>
          <w:marRight w:val="1"/>
          <w:marTop w:val="0"/>
          <w:marBottom w:val="0"/>
          <w:divBdr>
            <w:top w:val="none" w:sz="0" w:space="0" w:color="auto"/>
            <w:left w:val="none" w:sz="0" w:space="0" w:color="auto"/>
            <w:bottom w:val="none" w:sz="0" w:space="0" w:color="auto"/>
            <w:right w:val="none" w:sz="0" w:space="0" w:color="auto"/>
          </w:divBdr>
          <w:divsChild>
            <w:div w:id="1049190266">
              <w:marLeft w:val="0"/>
              <w:marRight w:val="0"/>
              <w:marTop w:val="0"/>
              <w:marBottom w:val="0"/>
              <w:divBdr>
                <w:top w:val="none" w:sz="0" w:space="0" w:color="auto"/>
                <w:left w:val="none" w:sz="0" w:space="0" w:color="auto"/>
                <w:bottom w:val="none" w:sz="0" w:space="0" w:color="auto"/>
                <w:right w:val="none" w:sz="0" w:space="0" w:color="auto"/>
              </w:divBdr>
              <w:divsChild>
                <w:div w:id="1049190177">
                  <w:marLeft w:val="0"/>
                  <w:marRight w:val="1"/>
                  <w:marTop w:val="0"/>
                  <w:marBottom w:val="0"/>
                  <w:divBdr>
                    <w:top w:val="none" w:sz="0" w:space="0" w:color="auto"/>
                    <w:left w:val="none" w:sz="0" w:space="0" w:color="auto"/>
                    <w:bottom w:val="none" w:sz="0" w:space="0" w:color="auto"/>
                    <w:right w:val="none" w:sz="0" w:space="0" w:color="auto"/>
                  </w:divBdr>
                  <w:divsChild>
                    <w:div w:id="1049190231">
                      <w:marLeft w:val="0"/>
                      <w:marRight w:val="0"/>
                      <w:marTop w:val="0"/>
                      <w:marBottom w:val="0"/>
                      <w:divBdr>
                        <w:top w:val="none" w:sz="0" w:space="0" w:color="auto"/>
                        <w:left w:val="none" w:sz="0" w:space="0" w:color="auto"/>
                        <w:bottom w:val="none" w:sz="0" w:space="0" w:color="auto"/>
                        <w:right w:val="none" w:sz="0" w:space="0" w:color="auto"/>
                      </w:divBdr>
                      <w:divsChild>
                        <w:div w:id="1049190316">
                          <w:marLeft w:val="0"/>
                          <w:marRight w:val="0"/>
                          <w:marTop w:val="0"/>
                          <w:marBottom w:val="0"/>
                          <w:divBdr>
                            <w:top w:val="none" w:sz="0" w:space="0" w:color="auto"/>
                            <w:left w:val="none" w:sz="0" w:space="0" w:color="auto"/>
                            <w:bottom w:val="none" w:sz="0" w:space="0" w:color="auto"/>
                            <w:right w:val="none" w:sz="0" w:space="0" w:color="auto"/>
                          </w:divBdr>
                          <w:divsChild>
                            <w:div w:id="1049190303">
                              <w:marLeft w:val="0"/>
                              <w:marRight w:val="0"/>
                              <w:marTop w:val="120"/>
                              <w:marBottom w:val="360"/>
                              <w:divBdr>
                                <w:top w:val="none" w:sz="0" w:space="0" w:color="auto"/>
                                <w:left w:val="none" w:sz="0" w:space="0" w:color="auto"/>
                                <w:bottom w:val="none" w:sz="0" w:space="0" w:color="auto"/>
                                <w:right w:val="none" w:sz="0" w:space="0" w:color="auto"/>
                              </w:divBdr>
                              <w:divsChild>
                                <w:div w:id="1049190199">
                                  <w:marLeft w:val="0"/>
                                  <w:marRight w:val="0"/>
                                  <w:marTop w:val="0"/>
                                  <w:marBottom w:val="0"/>
                                  <w:divBdr>
                                    <w:top w:val="none" w:sz="0" w:space="0" w:color="auto"/>
                                    <w:left w:val="none" w:sz="0" w:space="0" w:color="auto"/>
                                    <w:bottom w:val="none" w:sz="0" w:space="0" w:color="auto"/>
                                    <w:right w:val="none" w:sz="0" w:space="0" w:color="auto"/>
                                  </w:divBdr>
                                  <w:divsChild>
                                    <w:div w:id="10491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90250">
      <w:marLeft w:val="0"/>
      <w:marRight w:val="0"/>
      <w:marTop w:val="0"/>
      <w:marBottom w:val="0"/>
      <w:divBdr>
        <w:top w:val="none" w:sz="0" w:space="0" w:color="auto"/>
        <w:left w:val="none" w:sz="0" w:space="0" w:color="auto"/>
        <w:bottom w:val="none" w:sz="0" w:space="0" w:color="auto"/>
        <w:right w:val="none" w:sz="0" w:space="0" w:color="auto"/>
      </w:divBdr>
      <w:divsChild>
        <w:div w:id="1049190389">
          <w:marLeft w:val="0"/>
          <w:marRight w:val="1"/>
          <w:marTop w:val="0"/>
          <w:marBottom w:val="0"/>
          <w:divBdr>
            <w:top w:val="none" w:sz="0" w:space="0" w:color="auto"/>
            <w:left w:val="none" w:sz="0" w:space="0" w:color="auto"/>
            <w:bottom w:val="none" w:sz="0" w:space="0" w:color="auto"/>
            <w:right w:val="none" w:sz="0" w:space="0" w:color="auto"/>
          </w:divBdr>
          <w:divsChild>
            <w:div w:id="1049190194">
              <w:marLeft w:val="0"/>
              <w:marRight w:val="0"/>
              <w:marTop w:val="0"/>
              <w:marBottom w:val="0"/>
              <w:divBdr>
                <w:top w:val="none" w:sz="0" w:space="0" w:color="auto"/>
                <w:left w:val="none" w:sz="0" w:space="0" w:color="auto"/>
                <w:bottom w:val="none" w:sz="0" w:space="0" w:color="auto"/>
                <w:right w:val="none" w:sz="0" w:space="0" w:color="auto"/>
              </w:divBdr>
              <w:divsChild>
                <w:div w:id="1049190302">
                  <w:marLeft w:val="0"/>
                  <w:marRight w:val="1"/>
                  <w:marTop w:val="0"/>
                  <w:marBottom w:val="0"/>
                  <w:divBdr>
                    <w:top w:val="none" w:sz="0" w:space="0" w:color="auto"/>
                    <w:left w:val="none" w:sz="0" w:space="0" w:color="auto"/>
                    <w:bottom w:val="none" w:sz="0" w:space="0" w:color="auto"/>
                    <w:right w:val="none" w:sz="0" w:space="0" w:color="auto"/>
                  </w:divBdr>
                  <w:divsChild>
                    <w:div w:id="1049190290">
                      <w:marLeft w:val="0"/>
                      <w:marRight w:val="0"/>
                      <w:marTop w:val="0"/>
                      <w:marBottom w:val="0"/>
                      <w:divBdr>
                        <w:top w:val="none" w:sz="0" w:space="0" w:color="auto"/>
                        <w:left w:val="none" w:sz="0" w:space="0" w:color="auto"/>
                        <w:bottom w:val="none" w:sz="0" w:space="0" w:color="auto"/>
                        <w:right w:val="none" w:sz="0" w:space="0" w:color="auto"/>
                      </w:divBdr>
                      <w:divsChild>
                        <w:div w:id="1049190283">
                          <w:marLeft w:val="0"/>
                          <w:marRight w:val="0"/>
                          <w:marTop w:val="0"/>
                          <w:marBottom w:val="0"/>
                          <w:divBdr>
                            <w:top w:val="none" w:sz="0" w:space="0" w:color="auto"/>
                            <w:left w:val="none" w:sz="0" w:space="0" w:color="auto"/>
                            <w:bottom w:val="none" w:sz="0" w:space="0" w:color="auto"/>
                            <w:right w:val="none" w:sz="0" w:space="0" w:color="auto"/>
                          </w:divBdr>
                          <w:divsChild>
                            <w:div w:id="1049190361">
                              <w:marLeft w:val="0"/>
                              <w:marRight w:val="0"/>
                              <w:marTop w:val="120"/>
                              <w:marBottom w:val="360"/>
                              <w:divBdr>
                                <w:top w:val="none" w:sz="0" w:space="0" w:color="auto"/>
                                <w:left w:val="none" w:sz="0" w:space="0" w:color="auto"/>
                                <w:bottom w:val="none" w:sz="0" w:space="0" w:color="auto"/>
                                <w:right w:val="none" w:sz="0" w:space="0" w:color="auto"/>
                              </w:divBdr>
                              <w:divsChild>
                                <w:div w:id="1049190338">
                                  <w:marLeft w:val="0"/>
                                  <w:marRight w:val="0"/>
                                  <w:marTop w:val="0"/>
                                  <w:marBottom w:val="0"/>
                                  <w:divBdr>
                                    <w:top w:val="none" w:sz="0" w:space="0" w:color="auto"/>
                                    <w:left w:val="none" w:sz="0" w:space="0" w:color="auto"/>
                                    <w:bottom w:val="none" w:sz="0" w:space="0" w:color="auto"/>
                                    <w:right w:val="none" w:sz="0" w:space="0" w:color="auto"/>
                                  </w:divBdr>
                                  <w:divsChild>
                                    <w:div w:id="10491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90251">
      <w:marLeft w:val="0"/>
      <w:marRight w:val="0"/>
      <w:marTop w:val="0"/>
      <w:marBottom w:val="0"/>
      <w:divBdr>
        <w:top w:val="none" w:sz="0" w:space="0" w:color="auto"/>
        <w:left w:val="none" w:sz="0" w:space="0" w:color="auto"/>
        <w:bottom w:val="none" w:sz="0" w:space="0" w:color="auto"/>
        <w:right w:val="none" w:sz="0" w:space="0" w:color="auto"/>
      </w:divBdr>
      <w:divsChild>
        <w:div w:id="1049190358">
          <w:marLeft w:val="0"/>
          <w:marRight w:val="1"/>
          <w:marTop w:val="0"/>
          <w:marBottom w:val="0"/>
          <w:divBdr>
            <w:top w:val="none" w:sz="0" w:space="0" w:color="auto"/>
            <w:left w:val="none" w:sz="0" w:space="0" w:color="auto"/>
            <w:bottom w:val="none" w:sz="0" w:space="0" w:color="auto"/>
            <w:right w:val="none" w:sz="0" w:space="0" w:color="auto"/>
          </w:divBdr>
          <w:divsChild>
            <w:div w:id="1049190208">
              <w:marLeft w:val="0"/>
              <w:marRight w:val="0"/>
              <w:marTop w:val="0"/>
              <w:marBottom w:val="0"/>
              <w:divBdr>
                <w:top w:val="none" w:sz="0" w:space="0" w:color="auto"/>
                <w:left w:val="none" w:sz="0" w:space="0" w:color="auto"/>
                <w:bottom w:val="none" w:sz="0" w:space="0" w:color="auto"/>
                <w:right w:val="none" w:sz="0" w:space="0" w:color="auto"/>
              </w:divBdr>
              <w:divsChild>
                <w:div w:id="1049190263">
                  <w:marLeft w:val="0"/>
                  <w:marRight w:val="1"/>
                  <w:marTop w:val="0"/>
                  <w:marBottom w:val="0"/>
                  <w:divBdr>
                    <w:top w:val="none" w:sz="0" w:space="0" w:color="auto"/>
                    <w:left w:val="none" w:sz="0" w:space="0" w:color="auto"/>
                    <w:bottom w:val="none" w:sz="0" w:space="0" w:color="auto"/>
                    <w:right w:val="none" w:sz="0" w:space="0" w:color="auto"/>
                  </w:divBdr>
                  <w:divsChild>
                    <w:div w:id="1049190348">
                      <w:marLeft w:val="0"/>
                      <w:marRight w:val="0"/>
                      <w:marTop w:val="0"/>
                      <w:marBottom w:val="0"/>
                      <w:divBdr>
                        <w:top w:val="none" w:sz="0" w:space="0" w:color="auto"/>
                        <w:left w:val="none" w:sz="0" w:space="0" w:color="auto"/>
                        <w:bottom w:val="none" w:sz="0" w:space="0" w:color="auto"/>
                        <w:right w:val="none" w:sz="0" w:space="0" w:color="auto"/>
                      </w:divBdr>
                      <w:divsChild>
                        <w:div w:id="1049190351">
                          <w:marLeft w:val="0"/>
                          <w:marRight w:val="0"/>
                          <w:marTop w:val="0"/>
                          <w:marBottom w:val="0"/>
                          <w:divBdr>
                            <w:top w:val="none" w:sz="0" w:space="0" w:color="auto"/>
                            <w:left w:val="none" w:sz="0" w:space="0" w:color="auto"/>
                            <w:bottom w:val="none" w:sz="0" w:space="0" w:color="auto"/>
                            <w:right w:val="none" w:sz="0" w:space="0" w:color="auto"/>
                          </w:divBdr>
                          <w:divsChild>
                            <w:div w:id="1049190383">
                              <w:marLeft w:val="0"/>
                              <w:marRight w:val="0"/>
                              <w:marTop w:val="120"/>
                              <w:marBottom w:val="360"/>
                              <w:divBdr>
                                <w:top w:val="none" w:sz="0" w:space="0" w:color="auto"/>
                                <w:left w:val="none" w:sz="0" w:space="0" w:color="auto"/>
                                <w:bottom w:val="none" w:sz="0" w:space="0" w:color="auto"/>
                                <w:right w:val="none" w:sz="0" w:space="0" w:color="auto"/>
                              </w:divBdr>
                              <w:divsChild>
                                <w:div w:id="1049190232">
                                  <w:marLeft w:val="0"/>
                                  <w:marRight w:val="0"/>
                                  <w:marTop w:val="0"/>
                                  <w:marBottom w:val="0"/>
                                  <w:divBdr>
                                    <w:top w:val="none" w:sz="0" w:space="0" w:color="auto"/>
                                    <w:left w:val="none" w:sz="0" w:space="0" w:color="auto"/>
                                    <w:bottom w:val="none" w:sz="0" w:space="0" w:color="auto"/>
                                    <w:right w:val="none" w:sz="0" w:space="0" w:color="auto"/>
                                  </w:divBdr>
                                </w:div>
                                <w:div w:id="10491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90255">
      <w:marLeft w:val="0"/>
      <w:marRight w:val="0"/>
      <w:marTop w:val="0"/>
      <w:marBottom w:val="0"/>
      <w:divBdr>
        <w:top w:val="none" w:sz="0" w:space="0" w:color="auto"/>
        <w:left w:val="none" w:sz="0" w:space="0" w:color="auto"/>
        <w:bottom w:val="none" w:sz="0" w:space="0" w:color="auto"/>
        <w:right w:val="none" w:sz="0" w:space="0" w:color="auto"/>
      </w:divBdr>
      <w:divsChild>
        <w:div w:id="1049190152">
          <w:marLeft w:val="0"/>
          <w:marRight w:val="1"/>
          <w:marTop w:val="0"/>
          <w:marBottom w:val="0"/>
          <w:divBdr>
            <w:top w:val="none" w:sz="0" w:space="0" w:color="auto"/>
            <w:left w:val="none" w:sz="0" w:space="0" w:color="auto"/>
            <w:bottom w:val="none" w:sz="0" w:space="0" w:color="auto"/>
            <w:right w:val="none" w:sz="0" w:space="0" w:color="auto"/>
          </w:divBdr>
          <w:divsChild>
            <w:div w:id="1049190215">
              <w:marLeft w:val="0"/>
              <w:marRight w:val="0"/>
              <w:marTop w:val="0"/>
              <w:marBottom w:val="0"/>
              <w:divBdr>
                <w:top w:val="none" w:sz="0" w:space="0" w:color="auto"/>
                <w:left w:val="none" w:sz="0" w:space="0" w:color="auto"/>
                <w:bottom w:val="none" w:sz="0" w:space="0" w:color="auto"/>
                <w:right w:val="none" w:sz="0" w:space="0" w:color="auto"/>
              </w:divBdr>
              <w:divsChild>
                <w:div w:id="1049190253">
                  <w:marLeft w:val="0"/>
                  <w:marRight w:val="1"/>
                  <w:marTop w:val="0"/>
                  <w:marBottom w:val="0"/>
                  <w:divBdr>
                    <w:top w:val="none" w:sz="0" w:space="0" w:color="auto"/>
                    <w:left w:val="none" w:sz="0" w:space="0" w:color="auto"/>
                    <w:bottom w:val="none" w:sz="0" w:space="0" w:color="auto"/>
                    <w:right w:val="none" w:sz="0" w:space="0" w:color="auto"/>
                  </w:divBdr>
                  <w:divsChild>
                    <w:div w:id="1049190216">
                      <w:marLeft w:val="0"/>
                      <w:marRight w:val="0"/>
                      <w:marTop w:val="0"/>
                      <w:marBottom w:val="0"/>
                      <w:divBdr>
                        <w:top w:val="none" w:sz="0" w:space="0" w:color="auto"/>
                        <w:left w:val="none" w:sz="0" w:space="0" w:color="auto"/>
                        <w:bottom w:val="none" w:sz="0" w:space="0" w:color="auto"/>
                        <w:right w:val="none" w:sz="0" w:space="0" w:color="auto"/>
                      </w:divBdr>
                      <w:divsChild>
                        <w:div w:id="1049190381">
                          <w:marLeft w:val="0"/>
                          <w:marRight w:val="0"/>
                          <w:marTop w:val="0"/>
                          <w:marBottom w:val="0"/>
                          <w:divBdr>
                            <w:top w:val="none" w:sz="0" w:space="0" w:color="auto"/>
                            <w:left w:val="none" w:sz="0" w:space="0" w:color="auto"/>
                            <w:bottom w:val="none" w:sz="0" w:space="0" w:color="auto"/>
                            <w:right w:val="none" w:sz="0" w:space="0" w:color="auto"/>
                          </w:divBdr>
                          <w:divsChild>
                            <w:div w:id="1049190187">
                              <w:marLeft w:val="0"/>
                              <w:marRight w:val="0"/>
                              <w:marTop w:val="120"/>
                              <w:marBottom w:val="360"/>
                              <w:divBdr>
                                <w:top w:val="none" w:sz="0" w:space="0" w:color="auto"/>
                                <w:left w:val="none" w:sz="0" w:space="0" w:color="auto"/>
                                <w:bottom w:val="none" w:sz="0" w:space="0" w:color="auto"/>
                                <w:right w:val="none" w:sz="0" w:space="0" w:color="auto"/>
                              </w:divBdr>
                              <w:divsChild>
                                <w:div w:id="1049190144">
                                  <w:marLeft w:val="0"/>
                                  <w:marRight w:val="0"/>
                                  <w:marTop w:val="0"/>
                                  <w:marBottom w:val="0"/>
                                  <w:divBdr>
                                    <w:top w:val="none" w:sz="0" w:space="0" w:color="auto"/>
                                    <w:left w:val="none" w:sz="0" w:space="0" w:color="auto"/>
                                    <w:bottom w:val="none" w:sz="0" w:space="0" w:color="auto"/>
                                    <w:right w:val="none" w:sz="0" w:space="0" w:color="auto"/>
                                  </w:divBdr>
                                  <w:divsChild>
                                    <w:div w:id="10491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90273">
      <w:marLeft w:val="0"/>
      <w:marRight w:val="0"/>
      <w:marTop w:val="0"/>
      <w:marBottom w:val="0"/>
      <w:divBdr>
        <w:top w:val="none" w:sz="0" w:space="0" w:color="auto"/>
        <w:left w:val="none" w:sz="0" w:space="0" w:color="auto"/>
        <w:bottom w:val="none" w:sz="0" w:space="0" w:color="auto"/>
        <w:right w:val="none" w:sz="0" w:space="0" w:color="auto"/>
      </w:divBdr>
      <w:divsChild>
        <w:div w:id="1049190298">
          <w:marLeft w:val="0"/>
          <w:marRight w:val="0"/>
          <w:marTop w:val="0"/>
          <w:marBottom w:val="0"/>
          <w:divBdr>
            <w:top w:val="none" w:sz="0" w:space="0" w:color="auto"/>
            <w:left w:val="none" w:sz="0" w:space="0" w:color="auto"/>
            <w:bottom w:val="none" w:sz="0" w:space="0" w:color="auto"/>
            <w:right w:val="none" w:sz="0" w:space="0" w:color="auto"/>
          </w:divBdr>
          <w:divsChild>
            <w:div w:id="1049190206">
              <w:marLeft w:val="0"/>
              <w:marRight w:val="0"/>
              <w:marTop w:val="0"/>
              <w:marBottom w:val="0"/>
              <w:divBdr>
                <w:top w:val="none" w:sz="0" w:space="0" w:color="auto"/>
                <w:left w:val="none" w:sz="0" w:space="0" w:color="auto"/>
                <w:bottom w:val="none" w:sz="0" w:space="0" w:color="auto"/>
                <w:right w:val="none" w:sz="0" w:space="0" w:color="auto"/>
              </w:divBdr>
              <w:divsChild>
                <w:div w:id="1049190261">
                  <w:marLeft w:val="0"/>
                  <w:marRight w:val="0"/>
                  <w:marTop w:val="0"/>
                  <w:marBottom w:val="0"/>
                  <w:divBdr>
                    <w:top w:val="none" w:sz="0" w:space="0" w:color="auto"/>
                    <w:left w:val="none" w:sz="0" w:space="0" w:color="auto"/>
                    <w:bottom w:val="none" w:sz="0" w:space="0" w:color="auto"/>
                    <w:right w:val="none" w:sz="0" w:space="0" w:color="auto"/>
                  </w:divBdr>
                  <w:divsChild>
                    <w:div w:id="1049190278">
                      <w:marLeft w:val="0"/>
                      <w:marRight w:val="0"/>
                      <w:marTop w:val="0"/>
                      <w:marBottom w:val="0"/>
                      <w:divBdr>
                        <w:top w:val="none" w:sz="0" w:space="0" w:color="auto"/>
                        <w:left w:val="none" w:sz="0" w:space="0" w:color="auto"/>
                        <w:bottom w:val="none" w:sz="0" w:space="0" w:color="auto"/>
                        <w:right w:val="none" w:sz="0" w:space="0" w:color="auto"/>
                      </w:divBdr>
                      <w:divsChild>
                        <w:div w:id="1049190228">
                          <w:marLeft w:val="0"/>
                          <w:marRight w:val="0"/>
                          <w:marTop w:val="0"/>
                          <w:marBottom w:val="0"/>
                          <w:divBdr>
                            <w:top w:val="none" w:sz="0" w:space="0" w:color="auto"/>
                            <w:left w:val="none" w:sz="0" w:space="0" w:color="auto"/>
                            <w:bottom w:val="none" w:sz="0" w:space="0" w:color="auto"/>
                            <w:right w:val="none" w:sz="0" w:space="0" w:color="auto"/>
                          </w:divBdr>
                          <w:divsChild>
                            <w:div w:id="1049190204">
                              <w:marLeft w:val="0"/>
                              <w:marRight w:val="0"/>
                              <w:marTop w:val="0"/>
                              <w:marBottom w:val="0"/>
                              <w:divBdr>
                                <w:top w:val="none" w:sz="0" w:space="0" w:color="auto"/>
                                <w:left w:val="none" w:sz="0" w:space="0" w:color="auto"/>
                                <w:bottom w:val="none" w:sz="0" w:space="0" w:color="auto"/>
                                <w:right w:val="none" w:sz="0" w:space="0" w:color="auto"/>
                              </w:divBdr>
                              <w:divsChild>
                                <w:div w:id="1049190343">
                                  <w:marLeft w:val="0"/>
                                  <w:marRight w:val="0"/>
                                  <w:marTop w:val="0"/>
                                  <w:marBottom w:val="0"/>
                                  <w:divBdr>
                                    <w:top w:val="none" w:sz="0" w:space="0" w:color="auto"/>
                                    <w:left w:val="none" w:sz="0" w:space="0" w:color="auto"/>
                                    <w:bottom w:val="none" w:sz="0" w:space="0" w:color="auto"/>
                                    <w:right w:val="none" w:sz="0" w:space="0" w:color="auto"/>
                                  </w:divBdr>
                                  <w:divsChild>
                                    <w:div w:id="1049190259">
                                      <w:marLeft w:val="0"/>
                                      <w:marRight w:val="0"/>
                                      <w:marTop w:val="0"/>
                                      <w:marBottom w:val="0"/>
                                      <w:divBdr>
                                        <w:top w:val="none" w:sz="0" w:space="0" w:color="auto"/>
                                        <w:left w:val="none" w:sz="0" w:space="0" w:color="auto"/>
                                        <w:bottom w:val="none" w:sz="0" w:space="0" w:color="auto"/>
                                        <w:right w:val="none" w:sz="0" w:space="0" w:color="auto"/>
                                      </w:divBdr>
                                      <w:divsChild>
                                        <w:div w:id="1049190172">
                                          <w:marLeft w:val="0"/>
                                          <w:marRight w:val="0"/>
                                          <w:marTop w:val="0"/>
                                          <w:marBottom w:val="0"/>
                                          <w:divBdr>
                                            <w:top w:val="none" w:sz="0" w:space="0" w:color="auto"/>
                                            <w:left w:val="none" w:sz="0" w:space="0" w:color="auto"/>
                                            <w:bottom w:val="none" w:sz="0" w:space="0" w:color="auto"/>
                                            <w:right w:val="none" w:sz="0" w:space="0" w:color="auto"/>
                                          </w:divBdr>
                                          <w:divsChild>
                                            <w:div w:id="1049190374">
                                              <w:marLeft w:val="0"/>
                                              <w:marRight w:val="0"/>
                                              <w:marTop w:val="0"/>
                                              <w:marBottom w:val="0"/>
                                              <w:divBdr>
                                                <w:top w:val="none" w:sz="0" w:space="0" w:color="auto"/>
                                                <w:left w:val="none" w:sz="0" w:space="0" w:color="auto"/>
                                                <w:bottom w:val="none" w:sz="0" w:space="0" w:color="auto"/>
                                                <w:right w:val="none" w:sz="0" w:space="0" w:color="auto"/>
                                              </w:divBdr>
                                              <w:divsChild>
                                                <w:div w:id="1049190201">
                                                  <w:marLeft w:val="0"/>
                                                  <w:marRight w:val="0"/>
                                                  <w:marTop w:val="0"/>
                                                  <w:marBottom w:val="0"/>
                                                  <w:divBdr>
                                                    <w:top w:val="none" w:sz="0" w:space="0" w:color="auto"/>
                                                    <w:left w:val="none" w:sz="0" w:space="0" w:color="auto"/>
                                                    <w:bottom w:val="none" w:sz="0" w:space="0" w:color="auto"/>
                                                    <w:right w:val="none" w:sz="0" w:space="0" w:color="auto"/>
                                                  </w:divBdr>
                                                  <w:divsChild>
                                                    <w:div w:id="1049190153">
                                                      <w:marLeft w:val="0"/>
                                                      <w:marRight w:val="0"/>
                                                      <w:marTop w:val="0"/>
                                                      <w:marBottom w:val="0"/>
                                                      <w:divBdr>
                                                        <w:top w:val="none" w:sz="0" w:space="0" w:color="auto"/>
                                                        <w:left w:val="none" w:sz="0" w:space="0" w:color="auto"/>
                                                        <w:bottom w:val="none" w:sz="0" w:space="0" w:color="auto"/>
                                                        <w:right w:val="none" w:sz="0" w:space="0" w:color="auto"/>
                                                      </w:divBdr>
                                                      <w:divsChild>
                                                        <w:div w:id="1049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190276">
      <w:marLeft w:val="0"/>
      <w:marRight w:val="0"/>
      <w:marTop w:val="0"/>
      <w:marBottom w:val="0"/>
      <w:divBdr>
        <w:top w:val="none" w:sz="0" w:space="0" w:color="auto"/>
        <w:left w:val="none" w:sz="0" w:space="0" w:color="auto"/>
        <w:bottom w:val="none" w:sz="0" w:space="0" w:color="auto"/>
        <w:right w:val="none" w:sz="0" w:space="0" w:color="auto"/>
      </w:divBdr>
      <w:divsChild>
        <w:div w:id="1049190317">
          <w:marLeft w:val="0"/>
          <w:marRight w:val="1"/>
          <w:marTop w:val="0"/>
          <w:marBottom w:val="0"/>
          <w:divBdr>
            <w:top w:val="none" w:sz="0" w:space="0" w:color="auto"/>
            <w:left w:val="none" w:sz="0" w:space="0" w:color="auto"/>
            <w:bottom w:val="none" w:sz="0" w:space="0" w:color="auto"/>
            <w:right w:val="none" w:sz="0" w:space="0" w:color="auto"/>
          </w:divBdr>
          <w:divsChild>
            <w:div w:id="1049190307">
              <w:marLeft w:val="0"/>
              <w:marRight w:val="0"/>
              <w:marTop w:val="0"/>
              <w:marBottom w:val="0"/>
              <w:divBdr>
                <w:top w:val="none" w:sz="0" w:space="0" w:color="auto"/>
                <w:left w:val="none" w:sz="0" w:space="0" w:color="auto"/>
                <w:bottom w:val="none" w:sz="0" w:space="0" w:color="auto"/>
                <w:right w:val="none" w:sz="0" w:space="0" w:color="auto"/>
              </w:divBdr>
              <w:divsChild>
                <w:div w:id="1049190166">
                  <w:marLeft w:val="0"/>
                  <w:marRight w:val="1"/>
                  <w:marTop w:val="0"/>
                  <w:marBottom w:val="0"/>
                  <w:divBdr>
                    <w:top w:val="none" w:sz="0" w:space="0" w:color="auto"/>
                    <w:left w:val="none" w:sz="0" w:space="0" w:color="auto"/>
                    <w:bottom w:val="none" w:sz="0" w:space="0" w:color="auto"/>
                    <w:right w:val="none" w:sz="0" w:space="0" w:color="auto"/>
                  </w:divBdr>
                  <w:divsChild>
                    <w:div w:id="1049190308">
                      <w:marLeft w:val="0"/>
                      <w:marRight w:val="0"/>
                      <w:marTop w:val="0"/>
                      <w:marBottom w:val="0"/>
                      <w:divBdr>
                        <w:top w:val="none" w:sz="0" w:space="0" w:color="auto"/>
                        <w:left w:val="none" w:sz="0" w:space="0" w:color="auto"/>
                        <w:bottom w:val="none" w:sz="0" w:space="0" w:color="auto"/>
                        <w:right w:val="none" w:sz="0" w:space="0" w:color="auto"/>
                      </w:divBdr>
                      <w:divsChild>
                        <w:div w:id="1049190214">
                          <w:marLeft w:val="0"/>
                          <w:marRight w:val="0"/>
                          <w:marTop w:val="0"/>
                          <w:marBottom w:val="0"/>
                          <w:divBdr>
                            <w:top w:val="none" w:sz="0" w:space="0" w:color="auto"/>
                            <w:left w:val="none" w:sz="0" w:space="0" w:color="auto"/>
                            <w:bottom w:val="none" w:sz="0" w:space="0" w:color="auto"/>
                            <w:right w:val="none" w:sz="0" w:space="0" w:color="auto"/>
                          </w:divBdr>
                          <w:divsChild>
                            <w:div w:id="1049190246">
                              <w:marLeft w:val="0"/>
                              <w:marRight w:val="0"/>
                              <w:marTop w:val="120"/>
                              <w:marBottom w:val="360"/>
                              <w:divBdr>
                                <w:top w:val="none" w:sz="0" w:space="0" w:color="auto"/>
                                <w:left w:val="none" w:sz="0" w:space="0" w:color="auto"/>
                                <w:bottom w:val="none" w:sz="0" w:space="0" w:color="auto"/>
                                <w:right w:val="none" w:sz="0" w:space="0" w:color="auto"/>
                              </w:divBdr>
                              <w:divsChild>
                                <w:div w:id="1049190304">
                                  <w:marLeft w:val="0"/>
                                  <w:marRight w:val="0"/>
                                  <w:marTop w:val="0"/>
                                  <w:marBottom w:val="0"/>
                                  <w:divBdr>
                                    <w:top w:val="none" w:sz="0" w:space="0" w:color="auto"/>
                                    <w:left w:val="none" w:sz="0" w:space="0" w:color="auto"/>
                                    <w:bottom w:val="none" w:sz="0" w:space="0" w:color="auto"/>
                                    <w:right w:val="none" w:sz="0" w:space="0" w:color="auto"/>
                                  </w:divBdr>
                                </w:div>
                                <w:div w:id="10491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90289">
      <w:marLeft w:val="0"/>
      <w:marRight w:val="0"/>
      <w:marTop w:val="0"/>
      <w:marBottom w:val="0"/>
      <w:divBdr>
        <w:top w:val="none" w:sz="0" w:space="0" w:color="auto"/>
        <w:left w:val="none" w:sz="0" w:space="0" w:color="auto"/>
        <w:bottom w:val="none" w:sz="0" w:space="0" w:color="auto"/>
        <w:right w:val="none" w:sz="0" w:space="0" w:color="auto"/>
      </w:divBdr>
      <w:divsChild>
        <w:div w:id="1049190160">
          <w:marLeft w:val="0"/>
          <w:marRight w:val="1"/>
          <w:marTop w:val="0"/>
          <w:marBottom w:val="0"/>
          <w:divBdr>
            <w:top w:val="none" w:sz="0" w:space="0" w:color="auto"/>
            <w:left w:val="none" w:sz="0" w:space="0" w:color="auto"/>
            <w:bottom w:val="none" w:sz="0" w:space="0" w:color="auto"/>
            <w:right w:val="none" w:sz="0" w:space="0" w:color="auto"/>
          </w:divBdr>
          <w:divsChild>
            <w:div w:id="1049190264">
              <w:marLeft w:val="0"/>
              <w:marRight w:val="0"/>
              <w:marTop w:val="0"/>
              <w:marBottom w:val="0"/>
              <w:divBdr>
                <w:top w:val="none" w:sz="0" w:space="0" w:color="auto"/>
                <w:left w:val="none" w:sz="0" w:space="0" w:color="auto"/>
                <w:bottom w:val="none" w:sz="0" w:space="0" w:color="auto"/>
                <w:right w:val="none" w:sz="0" w:space="0" w:color="auto"/>
              </w:divBdr>
              <w:divsChild>
                <w:div w:id="1049190213">
                  <w:marLeft w:val="0"/>
                  <w:marRight w:val="1"/>
                  <w:marTop w:val="0"/>
                  <w:marBottom w:val="0"/>
                  <w:divBdr>
                    <w:top w:val="none" w:sz="0" w:space="0" w:color="auto"/>
                    <w:left w:val="none" w:sz="0" w:space="0" w:color="auto"/>
                    <w:bottom w:val="none" w:sz="0" w:space="0" w:color="auto"/>
                    <w:right w:val="none" w:sz="0" w:space="0" w:color="auto"/>
                  </w:divBdr>
                  <w:divsChild>
                    <w:div w:id="1049190197">
                      <w:marLeft w:val="0"/>
                      <w:marRight w:val="0"/>
                      <w:marTop w:val="0"/>
                      <w:marBottom w:val="0"/>
                      <w:divBdr>
                        <w:top w:val="none" w:sz="0" w:space="0" w:color="auto"/>
                        <w:left w:val="none" w:sz="0" w:space="0" w:color="auto"/>
                        <w:bottom w:val="none" w:sz="0" w:space="0" w:color="auto"/>
                        <w:right w:val="none" w:sz="0" w:space="0" w:color="auto"/>
                      </w:divBdr>
                      <w:divsChild>
                        <w:div w:id="1049190353">
                          <w:marLeft w:val="0"/>
                          <w:marRight w:val="0"/>
                          <w:marTop w:val="0"/>
                          <w:marBottom w:val="0"/>
                          <w:divBdr>
                            <w:top w:val="none" w:sz="0" w:space="0" w:color="auto"/>
                            <w:left w:val="none" w:sz="0" w:space="0" w:color="auto"/>
                            <w:bottom w:val="none" w:sz="0" w:space="0" w:color="auto"/>
                            <w:right w:val="none" w:sz="0" w:space="0" w:color="auto"/>
                          </w:divBdr>
                          <w:divsChild>
                            <w:div w:id="1049190210">
                              <w:marLeft w:val="0"/>
                              <w:marRight w:val="0"/>
                              <w:marTop w:val="120"/>
                              <w:marBottom w:val="360"/>
                              <w:divBdr>
                                <w:top w:val="none" w:sz="0" w:space="0" w:color="auto"/>
                                <w:left w:val="none" w:sz="0" w:space="0" w:color="auto"/>
                                <w:bottom w:val="none" w:sz="0" w:space="0" w:color="auto"/>
                                <w:right w:val="none" w:sz="0" w:space="0" w:color="auto"/>
                              </w:divBdr>
                              <w:divsChild>
                                <w:div w:id="1049190171">
                                  <w:marLeft w:val="0"/>
                                  <w:marRight w:val="0"/>
                                  <w:marTop w:val="0"/>
                                  <w:marBottom w:val="0"/>
                                  <w:divBdr>
                                    <w:top w:val="none" w:sz="0" w:space="0" w:color="auto"/>
                                    <w:left w:val="none" w:sz="0" w:space="0" w:color="auto"/>
                                    <w:bottom w:val="none" w:sz="0" w:space="0" w:color="auto"/>
                                    <w:right w:val="none" w:sz="0" w:space="0" w:color="auto"/>
                                  </w:divBdr>
                                  <w:divsChild>
                                    <w:div w:id="10491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90291">
      <w:marLeft w:val="0"/>
      <w:marRight w:val="0"/>
      <w:marTop w:val="0"/>
      <w:marBottom w:val="0"/>
      <w:divBdr>
        <w:top w:val="none" w:sz="0" w:space="0" w:color="auto"/>
        <w:left w:val="none" w:sz="0" w:space="0" w:color="auto"/>
        <w:bottom w:val="none" w:sz="0" w:space="0" w:color="auto"/>
        <w:right w:val="none" w:sz="0" w:space="0" w:color="auto"/>
      </w:divBdr>
      <w:divsChild>
        <w:div w:id="1049190193">
          <w:marLeft w:val="0"/>
          <w:marRight w:val="1"/>
          <w:marTop w:val="0"/>
          <w:marBottom w:val="0"/>
          <w:divBdr>
            <w:top w:val="none" w:sz="0" w:space="0" w:color="auto"/>
            <w:left w:val="none" w:sz="0" w:space="0" w:color="auto"/>
            <w:bottom w:val="none" w:sz="0" w:space="0" w:color="auto"/>
            <w:right w:val="none" w:sz="0" w:space="0" w:color="auto"/>
          </w:divBdr>
          <w:divsChild>
            <w:div w:id="1049190333">
              <w:marLeft w:val="0"/>
              <w:marRight w:val="0"/>
              <w:marTop w:val="0"/>
              <w:marBottom w:val="0"/>
              <w:divBdr>
                <w:top w:val="none" w:sz="0" w:space="0" w:color="auto"/>
                <w:left w:val="none" w:sz="0" w:space="0" w:color="auto"/>
                <w:bottom w:val="none" w:sz="0" w:space="0" w:color="auto"/>
                <w:right w:val="none" w:sz="0" w:space="0" w:color="auto"/>
              </w:divBdr>
              <w:divsChild>
                <w:div w:id="1049190156">
                  <w:marLeft w:val="0"/>
                  <w:marRight w:val="1"/>
                  <w:marTop w:val="0"/>
                  <w:marBottom w:val="0"/>
                  <w:divBdr>
                    <w:top w:val="none" w:sz="0" w:space="0" w:color="auto"/>
                    <w:left w:val="none" w:sz="0" w:space="0" w:color="auto"/>
                    <w:bottom w:val="none" w:sz="0" w:space="0" w:color="auto"/>
                    <w:right w:val="none" w:sz="0" w:space="0" w:color="auto"/>
                  </w:divBdr>
                  <w:divsChild>
                    <w:div w:id="1049190159">
                      <w:marLeft w:val="0"/>
                      <w:marRight w:val="0"/>
                      <w:marTop w:val="0"/>
                      <w:marBottom w:val="0"/>
                      <w:divBdr>
                        <w:top w:val="none" w:sz="0" w:space="0" w:color="auto"/>
                        <w:left w:val="none" w:sz="0" w:space="0" w:color="auto"/>
                        <w:bottom w:val="none" w:sz="0" w:space="0" w:color="auto"/>
                        <w:right w:val="none" w:sz="0" w:space="0" w:color="auto"/>
                      </w:divBdr>
                      <w:divsChild>
                        <w:div w:id="1049190175">
                          <w:marLeft w:val="0"/>
                          <w:marRight w:val="0"/>
                          <w:marTop w:val="0"/>
                          <w:marBottom w:val="0"/>
                          <w:divBdr>
                            <w:top w:val="none" w:sz="0" w:space="0" w:color="auto"/>
                            <w:left w:val="none" w:sz="0" w:space="0" w:color="auto"/>
                            <w:bottom w:val="none" w:sz="0" w:space="0" w:color="auto"/>
                            <w:right w:val="none" w:sz="0" w:space="0" w:color="auto"/>
                          </w:divBdr>
                          <w:divsChild>
                            <w:div w:id="1049190217">
                              <w:marLeft w:val="0"/>
                              <w:marRight w:val="0"/>
                              <w:marTop w:val="120"/>
                              <w:marBottom w:val="360"/>
                              <w:divBdr>
                                <w:top w:val="none" w:sz="0" w:space="0" w:color="auto"/>
                                <w:left w:val="none" w:sz="0" w:space="0" w:color="auto"/>
                                <w:bottom w:val="none" w:sz="0" w:space="0" w:color="auto"/>
                                <w:right w:val="none" w:sz="0" w:space="0" w:color="auto"/>
                              </w:divBdr>
                              <w:divsChild>
                                <w:div w:id="1049190297">
                                  <w:marLeft w:val="0"/>
                                  <w:marRight w:val="0"/>
                                  <w:marTop w:val="0"/>
                                  <w:marBottom w:val="0"/>
                                  <w:divBdr>
                                    <w:top w:val="none" w:sz="0" w:space="0" w:color="auto"/>
                                    <w:left w:val="none" w:sz="0" w:space="0" w:color="auto"/>
                                    <w:bottom w:val="none" w:sz="0" w:space="0" w:color="auto"/>
                                    <w:right w:val="none" w:sz="0" w:space="0" w:color="auto"/>
                                  </w:divBdr>
                                </w:div>
                                <w:div w:id="1049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90321">
      <w:marLeft w:val="0"/>
      <w:marRight w:val="0"/>
      <w:marTop w:val="0"/>
      <w:marBottom w:val="0"/>
      <w:divBdr>
        <w:top w:val="none" w:sz="0" w:space="0" w:color="auto"/>
        <w:left w:val="none" w:sz="0" w:space="0" w:color="auto"/>
        <w:bottom w:val="none" w:sz="0" w:space="0" w:color="auto"/>
        <w:right w:val="none" w:sz="0" w:space="0" w:color="auto"/>
      </w:divBdr>
      <w:divsChild>
        <w:div w:id="1049190328">
          <w:marLeft w:val="0"/>
          <w:marRight w:val="1"/>
          <w:marTop w:val="0"/>
          <w:marBottom w:val="0"/>
          <w:divBdr>
            <w:top w:val="none" w:sz="0" w:space="0" w:color="auto"/>
            <w:left w:val="none" w:sz="0" w:space="0" w:color="auto"/>
            <w:bottom w:val="none" w:sz="0" w:space="0" w:color="auto"/>
            <w:right w:val="none" w:sz="0" w:space="0" w:color="auto"/>
          </w:divBdr>
          <w:divsChild>
            <w:div w:id="1049190224">
              <w:marLeft w:val="0"/>
              <w:marRight w:val="0"/>
              <w:marTop w:val="0"/>
              <w:marBottom w:val="0"/>
              <w:divBdr>
                <w:top w:val="none" w:sz="0" w:space="0" w:color="auto"/>
                <w:left w:val="none" w:sz="0" w:space="0" w:color="auto"/>
                <w:bottom w:val="none" w:sz="0" w:space="0" w:color="auto"/>
                <w:right w:val="none" w:sz="0" w:space="0" w:color="auto"/>
              </w:divBdr>
              <w:divsChild>
                <w:div w:id="1049190167">
                  <w:marLeft w:val="0"/>
                  <w:marRight w:val="1"/>
                  <w:marTop w:val="0"/>
                  <w:marBottom w:val="0"/>
                  <w:divBdr>
                    <w:top w:val="none" w:sz="0" w:space="0" w:color="auto"/>
                    <w:left w:val="none" w:sz="0" w:space="0" w:color="auto"/>
                    <w:bottom w:val="none" w:sz="0" w:space="0" w:color="auto"/>
                    <w:right w:val="none" w:sz="0" w:space="0" w:color="auto"/>
                  </w:divBdr>
                  <w:divsChild>
                    <w:div w:id="1049190293">
                      <w:marLeft w:val="0"/>
                      <w:marRight w:val="0"/>
                      <w:marTop w:val="0"/>
                      <w:marBottom w:val="0"/>
                      <w:divBdr>
                        <w:top w:val="none" w:sz="0" w:space="0" w:color="auto"/>
                        <w:left w:val="none" w:sz="0" w:space="0" w:color="auto"/>
                        <w:bottom w:val="none" w:sz="0" w:space="0" w:color="auto"/>
                        <w:right w:val="none" w:sz="0" w:space="0" w:color="auto"/>
                      </w:divBdr>
                      <w:divsChild>
                        <w:div w:id="1049190186">
                          <w:marLeft w:val="0"/>
                          <w:marRight w:val="0"/>
                          <w:marTop w:val="0"/>
                          <w:marBottom w:val="0"/>
                          <w:divBdr>
                            <w:top w:val="none" w:sz="0" w:space="0" w:color="auto"/>
                            <w:left w:val="none" w:sz="0" w:space="0" w:color="auto"/>
                            <w:bottom w:val="none" w:sz="0" w:space="0" w:color="auto"/>
                            <w:right w:val="none" w:sz="0" w:space="0" w:color="auto"/>
                          </w:divBdr>
                          <w:divsChild>
                            <w:div w:id="1049190219">
                              <w:marLeft w:val="0"/>
                              <w:marRight w:val="0"/>
                              <w:marTop w:val="120"/>
                              <w:marBottom w:val="360"/>
                              <w:divBdr>
                                <w:top w:val="none" w:sz="0" w:space="0" w:color="auto"/>
                                <w:left w:val="none" w:sz="0" w:space="0" w:color="auto"/>
                                <w:bottom w:val="none" w:sz="0" w:space="0" w:color="auto"/>
                                <w:right w:val="none" w:sz="0" w:space="0" w:color="auto"/>
                              </w:divBdr>
                              <w:divsChild>
                                <w:div w:id="1049190349">
                                  <w:marLeft w:val="0"/>
                                  <w:marRight w:val="0"/>
                                  <w:marTop w:val="0"/>
                                  <w:marBottom w:val="0"/>
                                  <w:divBdr>
                                    <w:top w:val="none" w:sz="0" w:space="0" w:color="auto"/>
                                    <w:left w:val="none" w:sz="0" w:space="0" w:color="auto"/>
                                    <w:bottom w:val="none" w:sz="0" w:space="0" w:color="auto"/>
                                    <w:right w:val="none" w:sz="0" w:space="0" w:color="auto"/>
                                  </w:divBdr>
                                </w:div>
                                <w:div w:id="10491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90322">
      <w:marLeft w:val="0"/>
      <w:marRight w:val="0"/>
      <w:marTop w:val="0"/>
      <w:marBottom w:val="0"/>
      <w:divBdr>
        <w:top w:val="none" w:sz="0" w:space="0" w:color="auto"/>
        <w:left w:val="none" w:sz="0" w:space="0" w:color="auto"/>
        <w:bottom w:val="none" w:sz="0" w:space="0" w:color="auto"/>
        <w:right w:val="none" w:sz="0" w:space="0" w:color="auto"/>
      </w:divBdr>
      <w:divsChild>
        <w:div w:id="1049190382">
          <w:marLeft w:val="0"/>
          <w:marRight w:val="0"/>
          <w:marTop w:val="0"/>
          <w:marBottom w:val="0"/>
          <w:divBdr>
            <w:top w:val="none" w:sz="0" w:space="0" w:color="auto"/>
            <w:left w:val="none" w:sz="0" w:space="0" w:color="auto"/>
            <w:bottom w:val="none" w:sz="0" w:space="0" w:color="auto"/>
            <w:right w:val="none" w:sz="0" w:space="0" w:color="auto"/>
          </w:divBdr>
          <w:divsChild>
            <w:div w:id="1049190311">
              <w:marLeft w:val="0"/>
              <w:marRight w:val="0"/>
              <w:marTop w:val="0"/>
              <w:marBottom w:val="0"/>
              <w:divBdr>
                <w:top w:val="none" w:sz="0" w:space="0" w:color="auto"/>
                <w:left w:val="none" w:sz="0" w:space="0" w:color="auto"/>
                <w:bottom w:val="none" w:sz="0" w:space="0" w:color="auto"/>
                <w:right w:val="none" w:sz="0" w:space="0" w:color="auto"/>
              </w:divBdr>
              <w:divsChild>
                <w:div w:id="1049190233">
                  <w:marLeft w:val="0"/>
                  <w:marRight w:val="0"/>
                  <w:marTop w:val="0"/>
                  <w:marBottom w:val="0"/>
                  <w:divBdr>
                    <w:top w:val="none" w:sz="0" w:space="0" w:color="auto"/>
                    <w:left w:val="none" w:sz="0" w:space="0" w:color="auto"/>
                    <w:bottom w:val="none" w:sz="0" w:space="0" w:color="auto"/>
                    <w:right w:val="none" w:sz="0" w:space="0" w:color="auto"/>
                  </w:divBdr>
                  <w:divsChild>
                    <w:div w:id="1049190198">
                      <w:marLeft w:val="0"/>
                      <w:marRight w:val="0"/>
                      <w:marTop w:val="0"/>
                      <w:marBottom w:val="0"/>
                      <w:divBdr>
                        <w:top w:val="none" w:sz="0" w:space="0" w:color="auto"/>
                        <w:left w:val="none" w:sz="0" w:space="0" w:color="auto"/>
                        <w:bottom w:val="none" w:sz="0" w:space="0" w:color="auto"/>
                        <w:right w:val="none" w:sz="0" w:space="0" w:color="auto"/>
                      </w:divBdr>
                      <w:divsChild>
                        <w:div w:id="1049190179">
                          <w:marLeft w:val="0"/>
                          <w:marRight w:val="0"/>
                          <w:marTop w:val="0"/>
                          <w:marBottom w:val="0"/>
                          <w:divBdr>
                            <w:top w:val="none" w:sz="0" w:space="0" w:color="auto"/>
                            <w:left w:val="none" w:sz="0" w:space="0" w:color="auto"/>
                            <w:bottom w:val="none" w:sz="0" w:space="0" w:color="auto"/>
                            <w:right w:val="none" w:sz="0" w:space="0" w:color="auto"/>
                          </w:divBdr>
                          <w:divsChild>
                            <w:div w:id="1049190247">
                              <w:marLeft w:val="0"/>
                              <w:marRight w:val="0"/>
                              <w:marTop w:val="0"/>
                              <w:marBottom w:val="0"/>
                              <w:divBdr>
                                <w:top w:val="none" w:sz="0" w:space="0" w:color="auto"/>
                                <w:left w:val="none" w:sz="0" w:space="0" w:color="auto"/>
                                <w:bottom w:val="none" w:sz="0" w:space="0" w:color="auto"/>
                                <w:right w:val="none" w:sz="0" w:space="0" w:color="auto"/>
                              </w:divBdr>
                              <w:divsChild>
                                <w:div w:id="1049190279">
                                  <w:marLeft w:val="0"/>
                                  <w:marRight w:val="0"/>
                                  <w:marTop w:val="0"/>
                                  <w:marBottom w:val="0"/>
                                  <w:divBdr>
                                    <w:top w:val="none" w:sz="0" w:space="0" w:color="auto"/>
                                    <w:left w:val="none" w:sz="0" w:space="0" w:color="auto"/>
                                    <w:bottom w:val="none" w:sz="0" w:space="0" w:color="auto"/>
                                    <w:right w:val="none" w:sz="0" w:space="0" w:color="auto"/>
                                  </w:divBdr>
                                  <w:divsChild>
                                    <w:div w:id="1049190238">
                                      <w:marLeft w:val="0"/>
                                      <w:marRight w:val="0"/>
                                      <w:marTop w:val="0"/>
                                      <w:marBottom w:val="0"/>
                                      <w:divBdr>
                                        <w:top w:val="none" w:sz="0" w:space="0" w:color="auto"/>
                                        <w:left w:val="none" w:sz="0" w:space="0" w:color="auto"/>
                                        <w:bottom w:val="none" w:sz="0" w:space="0" w:color="auto"/>
                                        <w:right w:val="none" w:sz="0" w:space="0" w:color="auto"/>
                                      </w:divBdr>
                                      <w:divsChild>
                                        <w:div w:id="1049190256">
                                          <w:marLeft w:val="0"/>
                                          <w:marRight w:val="0"/>
                                          <w:marTop w:val="0"/>
                                          <w:marBottom w:val="0"/>
                                          <w:divBdr>
                                            <w:top w:val="none" w:sz="0" w:space="0" w:color="auto"/>
                                            <w:left w:val="none" w:sz="0" w:space="0" w:color="auto"/>
                                            <w:bottom w:val="none" w:sz="0" w:space="0" w:color="auto"/>
                                            <w:right w:val="none" w:sz="0" w:space="0" w:color="auto"/>
                                          </w:divBdr>
                                          <w:divsChild>
                                            <w:div w:id="1049190275">
                                              <w:marLeft w:val="0"/>
                                              <w:marRight w:val="0"/>
                                              <w:marTop w:val="0"/>
                                              <w:marBottom w:val="0"/>
                                              <w:divBdr>
                                                <w:top w:val="none" w:sz="0" w:space="0" w:color="auto"/>
                                                <w:left w:val="none" w:sz="0" w:space="0" w:color="auto"/>
                                                <w:bottom w:val="none" w:sz="0" w:space="0" w:color="auto"/>
                                                <w:right w:val="none" w:sz="0" w:space="0" w:color="auto"/>
                                              </w:divBdr>
                                              <w:divsChild>
                                                <w:div w:id="1049190146">
                                                  <w:marLeft w:val="0"/>
                                                  <w:marRight w:val="0"/>
                                                  <w:marTop w:val="0"/>
                                                  <w:marBottom w:val="0"/>
                                                  <w:divBdr>
                                                    <w:top w:val="none" w:sz="0" w:space="0" w:color="auto"/>
                                                    <w:left w:val="none" w:sz="0" w:space="0" w:color="auto"/>
                                                    <w:bottom w:val="none" w:sz="0" w:space="0" w:color="auto"/>
                                                    <w:right w:val="none" w:sz="0" w:space="0" w:color="auto"/>
                                                  </w:divBdr>
                                                  <w:divsChild>
                                                    <w:div w:id="1049190294">
                                                      <w:marLeft w:val="0"/>
                                                      <w:marRight w:val="0"/>
                                                      <w:marTop w:val="0"/>
                                                      <w:marBottom w:val="0"/>
                                                      <w:divBdr>
                                                        <w:top w:val="none" w:sz="0" w:space="0" w:color="auto"/>
                                                        <w:left w:val="none" w:sz="0" w:space="0" w:color="auto"/>
                                                        <w:bottom w:val="none" w:sz="0" w:space="0" w:color="auto"/>
                                                        <w:right w:val="none" w:sz="0" w:space="0" w:color="auto"/>
                                                      </w:divBdr>
                                                      <w:divsChild>
                                                        <w:div w:id="1049190376">
                                                          <w:marLeft w:val="0"/>
                                                          <w:marRight w:val="0"/>
                                                          <w:marTop w:val="0"/>
                                                          <w:marBottom w:val="0"/>
                                                          <w:divBdr>
                                                            <w:top w:val="none" w:sz="0" w:space="0" w:color="auto"/>
                                                            <w:left w:val="none" w:sz="0" w:space="0" w:color="auto"/>
                                                            <w:bottom w:val="none" w:sz="0" w:space="0" w:color="auto"/>
                                                            <w:right w:val="none" w:sz="0" w:space="0" w:color="auto"/>
                                                          </w:divBdr>
                                                          <w:divsChild>
                                                            <w:div w:id="1049190183">
                                                              <w:marLeft w:val="0"/>
                                                              <w:marRight w:val="0"/>
                                                              <w:marTop w:val="0"/>
                                                              <w:marBottom w:val="0"/>
                                                              <w:divBdr>
                                                                <w:top w:val="none" w:sz="0" w:space="0" w:color="auto"/>
                                                                <w:left w:val="none" w:sz="0" w:space="0" w:color="auto"/>
                                                                <w:bottom w:val="none" w:sz="0" w:space="0" w:color="auto"/>
                                                                <w:right w:val="none" w:sz="0" w:space="0" w:color="auto"/>
                                                              </w:divBdr>
                                                              <w:divsChild>
                                                                <w:div w:id="1049190150">
                                                                  <w:marLeft w:val="240"/>
                                                                  <w:marRight w:val="0"/>
                                                                  <w:marTop w:val="0"/>
                                                                  <w:marBottom w:val="0"/>
                                                                  <w:divBdr>
                                                                    <w:top w:val="none" w:sz="0" w:space="0" w:color="auto"/>
                                                                    <w:left w:val="none" w:sz="0" w:space="0" w:color="auto"/>
                                                                    <w:bottom w:val="none" w:sz="0" w:space="0" w:color="auto"/>
                                                                    <w:right w:val="none" w:sz="0" w:space="0" w:color="auto"/>
                                                                  </w:divBdr>
                                                                  <w:divsChild>
                                                                    <w:div w:id="10491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9190329">
      <w:marLeft w:val="0"/>
      <w:marRight w:val="0"/>
      <w:marTop w:val="0"/>
      <w:marBottom w:val="0"/>
      <w:divBdr>
        <w:top w:val="none" w:sz="0" w:space="0" w:color="auto"/>
        <w:left w:val="none" w:sz="0" w:space="0" w:color="auto"/>
        <w:bottom w:val="none" w:sz="0" w:space="0" w:color="auto"/>
        <w:right w:val="none" w:sz="0" w:space="0" w:color="auto"/>
      </w:divBdr>
      <w:divsChild>
        <w:div w:id="1049190196">
          <w:marLeft w:val="0"/>
          <w:marRight w:val="1"/>
          <w:marTop w:val="0"/>
          <w:marBottom w:val="0"/>
          <w:divBdr>
            <w:top w:val="none" w:sz="0" w:space="0" w:color="auto"/>
            <w:left w:val="none" w:sz="0" w:space="0" w:color="auto"/>
            <w:bottom w:val="none" w:sz="0" w:space="0" w:color="auto"/>
            <w:right w:val="none" w:sz="0" w:space="0" w:color="auto"/>
          </w:divBdr>
          <w:divsChild>
            <w:div w:id="1049190272">
              <w:marLeft w:val="0"/>
              <w:marRight w:val="0"/>
              <w:marTop w:val="0"/>
              <w:marBottom w:val="0"/>
              <w:divBdr>
                <w:top w:val="none" w:sz="0" w:space="0" w:color="auto"/>
                <w:left w:val="none" w:sz="0" w:space="0" w:color="auto"/>
                <w:bottom w:val="none" w:sz="0" w:space="0" w:color="auto"/>
                <w:right w:val="none" w:sz="0" w:space="0" w:color="auto"/>
              </w:divBdr>
              <w:divsChild>
                <w:div w:id="1049190368">
                  <w:marLeft w:val="0"/>
                  <w:marRight w:val="1"/>
                  <w:marTop w:val="0"/>
                  <w:marBottom w:val="0"/>
                  <w:divBdr>
                    <w:top w:val="none" w:sz="0" w:space="0" w:color="auto"/>
                    <w:left w:val="none" w:sz="0" w:space="0" w:color="auto"/>
                    <w:bottom w:val="none" w:sz="0" w:space="0" w:color="auto"/>
                    <w:right w:val="none" w:sz="0" w:space="0" w:color="auto"/>
                  </w:divBdr>
                  <w:divsChild>
                    <w:div w:id="1049190245">
                      <w:marLeft w:val="0"/>
                      <w:marRight w:val="0"/>
                      <w:marTop w:val="0"/>
                      <w:marBottom w:val="0"/>
                      <w:divBdr>
                        <w:top w:val="none" w:sz="0" w:space="0" w:color="auto"/>
                        <w:left w:val="none" w:sz="0" w:space="0" w:color="auto"/>
                        <w:bottom w:val="none" w:sz="0" w:space="0" w:color="auto"/>
                        <w:right w:val="none" w:sz="0" w:space="0" w:color="auto"/>
                      </w:divBdr>
                      <w:divsChild>
                        <w:div w:id="1049190244">
                          <w:marLeft w:val="0"/>
                          <w:marRight w:val="0"/>
                          <w:marTop w:val="0"/>
                          <w:marBottom w:val="0"/>
                          <w:divBdr>
                            <w:top w:val="none" w:sz="0" w:space="0" w:color="auto"/>
                            <w:left w:val="none" w:sz="0" w:space="0" w:color="auto"/>
                            <w:bottom w:val="none" w:sz="0" w:space="0" w:color="auto"/>
                            <w:right w:val="none" w:sz="0" w:space="0" w:color="auto"/>
                          </w:divBdr>
                          <w:divsChild>
                            <w:div w:id="1049190306">
                              <w:marLeft w:val="0"/>
                              <w:marRight w:val="0"/>
                              <w:marTop w:val="120"/>
                              <w:marBottom w:val="360"/>
                              <w:divBdr>
                                <w:top w:val="none" w:sz="0" w:space="0" w:color="auto"/>
                                <w:left w:val="none" w:sz="0" w:space="0" w:color="auto"/>
                                <w:bottom w:val="none" w:sz="0" w:space="0" w:color="auto"/>
                                <w:right w:val="none" w:sz="0" w:space="0" w:color="auto"/>
                              </w:divBdr>
                              <w:divsChild>
                                <w:div w:id="1049190262">
                                  <w:marLeft w:val="0"/>
                                  <w:marRight w:val="0"/>
                                  <w:marTop w:val="0"/>
                                  <w:marBottom w:val="0"/>
                                  <w:divBdr>
                                    <w:top w:val="none" w:sz="0" w:space="0" w:color="auto"/>
                                    <w:left w:val="none" w:sz="0" w:space="0" w:color="auto"/>
                                    <w:bottom w:val="none" w:sz="0" w:space="0" w:color="auto"/>
                                    <w:right w:val="none" w:sz="0" w:space="0" w:color="auto"/>
                                  </w:divBdr>
                                  <w:divsChild>
                                    <w:div w:id="10491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90347">
      <w:marLeft w:val="0"/>
      <w:marRight w:val="0"/>
      <w:marTop w:val="0"/>
      <w:marBottom w:val="0"/>
      <w:divBdr>
        <w:top w:val="none" w:sz="0" w:space="0" w:color="auto"/>
        <w:left w:val="none" w:sz="0" w:space="0" w:color="auto"/>
        <w:bottom w:val="none" w:sz="0" w:space="0" w:color="auto"/>
        <w:right w:val="none" w:sz="0" w:space="0" w:color="auto"/>
      </w:divBdr>
      <w:divsChild>
        <w:div w:id="1049190137">
          <w:marLeft w:val="0"/>
          <w:marRight w:val="1"/>
          <w:marTop w:val="0"/>
          <w:marBottom w:val="0"/>
          <w:divBdr>
            <w:top w:val="none" w:sz="0" w:space="0" w:color="auto"/>
            <w:left w:val="none" w:sz="0" w:space="0" w:color="auto"/>
            <w:bottom w:val="none" w:sz="0" w:space="0" w:color="auto"/>
            <w:right w:val="none" w:sz="0" w:space="0" w:color="auto"/>
          </w:divBdr>
          <w:divsChild>
            <w:div w:id="1049190203">
              <w:marLeft w:val="0"/>
              <w:marRight w:val="0"/>
              <w:marTop w:val="0"/>
              <w:marBottom w:val="0"/>
              <w:divBdr>
                <w:top w:val="none" w:sz="0" w:space="0" w:color="auto"/>
                <w:left w:val="none" w:sz="0" w:space="0" w:color="auto"/>
                <w:bottom w:val="none" w:sz="0" w:space="0" w:color="auto"/>
                <w:right w:val="none" w:sz="0" w:space="0" w:color="auto"/>
              </w:divBdr>
              <w:divsChild>
                <w:div w:id="1049190254">
                  <w:marLeft w:val="0"/>
                  <w:marRight w:val="1"/>
                  <w:marTop w:val="0"/>
                  <w:marBottom w:val="0"/>
                  <w:divBdr>
                    <w:top w:val="none" w:sz="0" w:space="0" w:color="auto"/>
                    <w:left w:val="none" w:sz="0" w:space="0" w:color="auto"/>
                    <w:bottom w:val="none" w:sz="0" w:space="0" w:color="auto"/>
                    <w:right w:val="none" w:sz="0" w:space="0" w:color="auto"/>
                  </w:divBdr>
                  <w:divsChild>
                    <w:div w:id="1049190181">
                      <w:marLeft w:val="0"/>
                      <w:marRight w:val="0"/>
                      <w:marTop w:val="0"/>
                      <w:marBottom w:val="0"/>
                      <w:divBdr>
                        <w:top w:val="none" w:sz="0" w:space="0" w:color="auto"/>
                        <w:left w:val="none" w:sz="0" w:space="0" w:color="auto"/>
                        <w:bottom w:val="none" w:sz="0" w:space="0" w:color="auto"/>
                        <w:right w:val="none" w:sz="0" w:space="0" w:color="auto"/>
                      </w:divBdr>
                      <w:divsChild>
                        <w:div w:id="1049190295">
                          <w:marLeft w:val="0"/>
                          <w:marRight w:val="0"/>
                          <w:marTop w:val="0"/>
                          <w:marBottom w:val="0"/>
                          <w:divBdr>
                            <w:top w:val="none" w:sz="0" w:space="0" w:color="auto"/>
                            <w:left w:val="none" w:sz="0" w:space="0" w:color="auto"/>
                            <w:bottom w:val="none" w:sz="0" w:space="0" w:color="auto"/>
                            <w:right w:val="none" w:sz="0" w:space="0" w:color="auto"/>
                          </w:divBdr>
                          <w:divsChild>
                            <w:div w:id="1049190169">
                              <w:marLeft w:val="0"/>
                              <w:marRight w:val="0"/>
                              <w:marTop w:val="120"/>
                              <w:marBottom w:val="360"/>
                              <w:divBdr>
                                <w:top w:val="none" w:sz="0" w:space="0" w:color="auto"/>
                                <w:left w:val="none" w:sz="0" w:space="0" w:color="auto"/>
                                <w:bottom w:val="none" w:sz="0" w:space="0" w:color="auto"/>
                                <w:right w:val="none" w:sz="0" w:space="0" w:color="auto"/>
                              </w:divBdr>
                              <w:divsChild>
                                <w:div w:id="1049190190">
                                  <w:marLeft w:val="0"/>
                                  <w:marRight w:val="0"/>
                                  <w:marTop w:val="0"/>
                                  <w:marBottom w:val="0"/>
                                  <w:divBdr>
                                    <w:top w:val="none" w:sz="0" w:space="0" w:color="auto"/>
                                    <w:left w:val="none" w:sz="0" w:space="0" w:color="auto"/>
                                    <w:bottom w:val="none" w:sz="0" w:space="0" w:color="auto"/>
                                    <w:right w:val="none" w:sz="0" w:space="0" w:color="auto"/>
                                  </w:divBdr>
                                </w:div>
                                <w:div w:id="10491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90367">
      <w:marLeft w:val="0"/>
      <w:marRight w:val="0"/>
      <w:marTop w:val="0"/>
      <w:marBottom w:val="0"/>
      <w:divBdr>
        <w:top w:val="none" w:sz="0" w:space="0" w:color="auto"/>
        <w:left w:val="none" w:sz="0" w:space="0" w:color="auto"/>
        <w:bottom w:val="none" w:sz="0" w:space="0" w:color="auto"/>
        <w:right w:val="none" w:sz="0" w:space="0" w:color="auto"/>
      </w:divBdr>
      <w:divsChild>
        <w:div w:id="1049190248">
          <w:marLeft w:val="0"/>
          <w:marRight w:val="1"/>
          <w:marTop w:val="0"/>
          <w:marBottom w:val="0"/>
          <w:divBdr>
            <w:top w:val="none" w:sz="0" w:space="0" w:color="auto"/>
            <w:left w:val="none" w:sz="0" w:space="0" w:color="auto"/>
            <w:bottom w:val="none" w:sz="0" w:space="0" w:color="auto"/>
            <w:right w:val="none" w:sz="0" w:space="0" w:color="auto"/>
          </w:divBdr>
          <w:divsChild>
            <w:div w:id="1049190143">
              <w:marLeft w:val="0"/>
              <w:marRight w:val="0"/>
              <w:marTop w:val="0"/>
              <w:marBottom w:val="0"/>
              <w:divBdr>
                <w:top w:val="none" w:sz="0" w:space="0" w:color="auto"/>
                <w:left w:val="none" w:sz="0" w:space="0" w:color="auto"/>
                <w:bottom w:val="none" w:sz="0" w:space="0" w:color="auto"/>
                <w:right w:val="none" w:sz="0" w:space="0" w:color="auto"/>
              </w:divBdr>
              <w:divsChild>
                <w:div w:id="1049190312">
                  <w:marLeft w:val="0"/>
                  <w:marRight w:val="1"/>
                  <w:marTop w:val="0"/>
                  <w:marBottom w:val="0"/>
                  <w:divBdr>
                    <w:top w:val="none" w:sz="0" w:space="0" w:color="auto"/>
                    <w:left w:val="none" w:sz="0" w:space="0" w:color="auto"/>
                    <w:bottom w:val="none" w:sz="0" w:space="0" w:color="auto"/>
                    <w:right w:val="none" w:sz="0" w:space="0" w:color="auto"/>
                  </w:divBdr>
                  <w:divsChild>
                    <w:div w:id="1049190237">
                      <w:marLeft w:val="0"/>
                      <w:marRight w:val="0"/>
                      <w:marTop w:val="0"/>
                      <w:marBottom w:val="0"/>
                      <w:divBdr>
                        <w:top w:val="none" w:sz="0" w:space="0" w:color="auto"/>
                        <w:left w:val="none" w:sz="0" w:space="0" w:color="auto"/>
                        <w:bottom w:val="none" w:sz="0" w:space="0" w:color="auto"/>
                        <w:right w:val="none" w:sz="0" w:space="0" w:color="auto"/>
                      </w:divBdr>
                      <w:divsChild>
                        <w:div w:id="1049190326">
                          <w:marLeft w:val="0"/>
                          <w:marRight w:val="0"/>
                          <w:marTop w:val="0"/>
                          <w:marBottom w:val="0"/>
                          <w:divBdr>
                            <w:top w:val="none" w:sz="0" w:space="0" w:color="auto"/>
                            <w:left w:val="none" w:sz="0" w:space="0" w:color="auto"/>
                            <w:bottom w:val="none" w:sz="0" w:space="0" w:color="auto"/>
                            <w:right w:val="none" w:sz="0" w:space="0" w:color="auto"/>
                          </w:divBdr>
                          <w:divsChild>
                            <w:div w:id="1049190249">
                              <w:marLeft w:val="0"/>
                              <w:marRight w:val="0"/>
                              <w:marTop w:val="120"/>
                              <w:marBottom w:val="360"/>
                              <w:divBdr>
                                <w:top w:val="none" w:sz="0" w:space="0" w:color="auto"/>
                                <w:left w:val="none" w:sz="0" w:space="0" w:color="auto"/>
                                <w:bottom w:val="none" w:sz="0" w:space="0" w:color="auto"/>
                                <w:right w:val="none" w:sz="0" w:space="0" w:color="auto"/>
                              </w:divBdr>
                              <w:divsChild>
                                <w:div w:id="1049190344">
                                  <w:marLeft w:val="0"/>
                                  <w:marRight w:val="0"/>
                                  <w:marTop w:val="0"/>
                                  <w:marBottom w:val="0"/>
                                  <w:divBdr>
                                    <w:top w:val="none" w:sz="0" w:space="0" w:color="auto"/>
                                    <w:left w:val="none" w:sz="0" w:space="0" w:color="auto"/>
                                    <w:bottom w:val="none" w:sz="0" w:space="0" w:color="auto"/>
                                    <w:right w:val="none" w:sz="0" w:space="0" w:color="auto"/>
                                  </w:divBdr>
                                </w:div>
                                <w:div w:id="104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90369">
      <w:marLeft w:val="0"/>
      <w:marRight w:val="0"/>
      <w:marTop w:val="0"/>
      <w:marBottom w:val="0"/>
      <w:divBdr>
        <w:top w:val="none" w:sz="0" w:space="0" w:color="auto"/>
        <w:left w:val="none" w:sz="0" w:space="0" w:color="auto"/>
        <w:bottom w:val="none" w:sz="0" w:space="0" w:color="auto"/>
        <w:right w:val="none" w:sz="0" w:space="0" w:color="auto"/>
      </w:divBdr>
      <w:divsChild>
        <w:div w:id="1049190226">
          <w:marLeft w:val="0"/>
          <w:marRight w:val="1"/>
          <w:marTop w:val="0"/>
          <w:marBottom w:val="0"/>
          <w:divBdr>
            <w:top w:val="none" w:sz="0" w:space="0" w:color="auto"/>
            <w:left w:val="none" w:sz="0" w:space="0" w:color="auto"/>
            <w:bottom w:val="none" w:sz="0" w:space="0" w:color="auto"/>
            <w:right w:val="none" w:sz="0" w:space="0" w:color="auto"/>
          </w:divBdr>
          <w:divsChild>
            <w:div w:id="1049190327">
              <w:marLeft w:val="0"/>
              <w:marRight w:val="0"/>
              <w:marTop w:val="0"/>
              <w:marBottom w:val="0"/>
              <w:divBdr>
                <w:top w:val="none" w:sz="0" w:space="0" w:color="auto"/>
                <w:left w:val="none" w:sz="0" w:space="0" w:color="auto"/>
                <w:bottom w:val="none" w:sz="0" w:space="0" w:color="auto"/>
                <w:right w:val="none" w:sz="0" w:space="0" w:color="auto"/>
              </w:divBdr>
              <w:divsChild>
                <w:div w:id="1049190225">
                  <w:marLeft w:val="0"/>
                  <w:marRight w:val="1"/>
                  <w:marTop w:val="0"/>
                  <w:marBottom w:val="0"/>
                  <w:divBdr>
                    <w:top w:val="none" w:sz="0" w:space="0" w:color="auto"/>
                    <w:left w:val="none" w:sz="0" w:space="0" w:color="auto"/>
                    <w:bottom w:val="none" w:sz="0" w:space="0" w:color="auto"/>
                    <w:right w:val="none" w:sz="0" w:space="0" w:color="auto"/>
                  </w:divBdr>
                  <w:divsChild>
                    <w:div w:id="1049190243">
                      <w:marLeft w:val="0"/>
                      <w:marRight w:val="0"/>
                      <w:marTop w:val="0"/>
                      <w:marBottom w:val="0"/>
                      <w:divBdr>
                        <w:top w:val="none" w:sz="0" w:space="0" w:color="auto"/>
                        <w:left w:val="none" w:sz="0" w:space="0" w:color="auto"/>
                        <w:bottom w:val="none" w:sz="0" w:space="0" w:color="auto"/>
                        <w:right w:val="none" w:sz="0" w:space="0" w:color="auto"/>
                      </w:divBdr>
                      <w:divsChild>
                        <w:div w:id="1049190205">
                          <w:marLeft w:val="0"/>
                          <w:marRight w:val="0"/>
                          <w:marTop w:val="0"/>
                          <w:marBottom w:val="0"/>
                          <w:divBdr>
                            <w:top w:val="none" w:sz="0" w:space="0" w:color="auto"/>
                            <w:left w:val="none" w:sz="0" w:space="0" w:color="auto"/>
                            <w:bottom w:val="none" w:sz="0" w:space="0" w:color="auto"/>
                            <w:right w:val="none" w:sz="0" w:space="0" w:color="auto"/>
                          </w:divBdr>
                          <w:divsChild>
                            <w:div w:id="1049190140">
                              <w:marLeft w:val="0"/>
                              <w:marRight w:val="0"/>
                              <w:marTop w:val="120"/>
                              <w:marBottom w:val="360"/>
                              <w:divBdr>
                                <w:top w:val="none" w:sz="0" w:space="0" w:color="auto"/>
                                <w:left w:val="none" w:sz="0" w:space="0" w:color="auto"/>
                                <w:bottom w:val="none" w:sz="0" w:space="0" w:color="auto"/>
                                <w:right w:val="none" w:sz="0" w:space="0" w:color="auto"/>
                              </w:divBdr>
                              <w:divsChild>
                                <w:div w:id="1049190192">
                                  <w:marLeft w:val="0"/>
                                  <w:marRight w:val="0"/>
                                  <w:marTop w:val="0"/>
                                  <w:marBottom w:val="0"/>
                                  <w:divBdr>
                                    <w:top w:val="none" w:sz="0" w:space="0" w:color="auto"/>
                                    <w:left w:val="none" w:sz="0" w:space="0" w:color="auto"/>
                                    <w:bottom w:val="none" w:sz="0" w:space="0" w:color="auto"/>
                                    <w:right w:val="none" w:sz="0" w:space="0" w:color="auto"/>
                                  </w:divBdr>
                                  <w:divsChild>
                                    <w:div w:id="10491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90384">
      <w:marLeft w:val="0"/>
      <w:marRight w:val="0"/>
      <w:marTop w:val="0"/>
      <w:marBottom w:val="0"/>
      <w:divBdr>
        <w:top w:val="none" w:sz="0" w:space="0" w:color="auto"/>
        <w:left w:val="none" w:sz="0" w:space="0" w:color="auto"/>
        <w:bottom w:val="none" w:sz="0" w:space="0" w:color="auto"/>
        <w:right w:val="none" w:sz="0" w:space="0" w:color="auto"/>
      </w:divBdr>
      <w:divsChild>
        <w:div w:id="1049190373">
          <w:marLeft w:val="0"/>
          <w:marRight w:val="1"/>
          <w:marTop w:val="0"/>
          <w:marBottom w:val="0"/>
          <w:divBdr>
            <w:top w:val="none" w:sz="0" w:space="0" w:color="auto"/>
            <w:left w:val="none" w:sz="0" w:space="0" w:color="auto"/>
            <w:bottom w:val="none" w:sz="0" w:space="0" w:color="auto"/>
            <w:right w:val="none" w:sz="0" w:space="0" w:color="auto"/>
          </w:divBdr>
          <w:divsChild>
            <w:div w:id="1049190242">
              <w:marLeft w:val="0"/>
              <w:marRight w:val="0"/>
              <w:marTop w:val="0"/>
              <w:marBottom w:val="0"/>
              <w:divBdr>
                <w:top w:val="none" w:sz="0" w:space="0" w:color="auto"/>
                <w:left w:val="none" w:sz="0" w:space="0" w:color="auto"/>
                <w:bottom w:val="none" w:sz="0" w:space="0" w:color="auto"/>
                <w:right w:val="none" w:sz="0" w:space="0" w:color="auto"/>
              </w:divBdr>
              <w:divsChild>
                <w:div w:id="1049190234">
                  <w:marLeft w:val="0"/>
                  <w:marRight w:val="1"/>
                  <w:marTop w:val="0"/>
                  <w:marBottom w:val="0"/>
                  <w:divBdr>
                    <w:top w:val="none" w:sz="0" w:space="0" w:color="auto"/>
                    <w:left w:val="none" w:sz="0" w:space="0" w:color="auto"/>
                    <w:bottom w:val="none" w:sz="0" w:space="0" w:color="auto"/>
                    <w:right w:val="none" w:sz="0" w:space="0" w:color="auto"/>
                  </w:divBdr>
                  <w:divsChild>
                    <w:div w:id="1049190356">
                      <w:marLeft w:val="0"/>
                      <w:marRight w:val="0"/>
                      <w:marTop w:val="0"/>
                      <w:marBottom w:val="0"/>
                      <w:divBdr>
                        <w:top w:val="none" w:sz="0" w:space="0" w:color="auto"/>
                        <w:left w:val="none" w:sz="0" w:space="0" w:color="auto"/>
                        <w:bottom w:val="none" w:sz="0" w:space="0" w:color="auto"/>
                        <w:right w:val="none" w:sz="0" w:space="0" w:color="auto"/>
                      </w:divBdr>
                      <w:divsChild>
                        <w:div w:id="1049190154">
                          <w:marLeft w:val="0"/>
                          <w:marRight w:val="0"/>
                          <w:marTop w:val="0"/>
                          <w:marBottom w:val="0"/>
                          <w:divBdr>
                            <w:top w:val="none" w:sz="0" w:space="0" w:color="auto"/>
                            <w:left w:val="none" w:sz="0" w:space="0" w:color="auto"/>
                            <w:bottom w:val="none" w:sz="0" w:space="0" w:color="auto"/>
                            <w:right w:val="none" w:sz="0" w:space="0" w:color="auto"/>
                          </w:divBdr>
                          <w:divsChild>
                            <w:div w:id="1049190332">
                              <w:marLeft w:val="0"/>
                              <w:marRight w:val="0"/>
                              <w:marTop w:val="120"/>
                              <w:marBottom w:val="360"/>
                              <w:divBdr>
                                <w:top w:val="none" w:sz="0" w:space="0" w:color="auto"/>
                                <w:left w:val="none" w:sz="0" w:space="0" w:color="auto"/>
                                <w:bottom w:val="none" w:sz="0" w:space="0" w:color="auto"/>
                                <w:right w:val="none" w:sz="0" w:space="0" w:color="auto"/>
                              </w:divBdr>
                              <w:divsChild>
                                <w:div w:id="1049190258">
                                  <w:marLeft w:val="0"/>
                                  <w:marRight w:val="0"/>
                                  <w:marTop w:val="0"/>
                                  <w:marBottom w:val="0"/>
                                  <w:divBdr>
                                    <w:top w:val="none" w:sz="0" w:space="0" w:color="auto"/>
                                    <w:left w:val="none" w:sz="0" w:space="0" w:color="auto"/>
                                    <w:bottom w:val="none" w:sz="0" w:space="0" w:color="auto"/>
                                    <w:right w:val="none" w:sz="0" w:space="0" w:color="auto"/>
                                  </w:divBdr>
                                </w:div>
                                <w:div w:id="10491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90385">
      <w:marLeft w:val="0"/>
      <w:marRight w:val="0"/>
      <w:marTop w:val="0"/>
      <w:marBottom w:val="0"/>
      <w:divBdr>
        <w:top w:val="none" w:sz="0" w:space="0" w:color="auto"/>
        <w:left w:val="none" w:sz="0" w:space="0" w:color="auto"/>
        <w:bottom w:val="none" w:sz="0" w:space="0" w:color="auto"/>
        <w:right w:val="none" w:sz="0" w:space="0" w:color="auto"/>
      </w:divBdr>
      <w:divsChild>
        <w:div w:id="1049190162">
          <w:marLeft w:val="0"/>
          <w:marRight w:val="1"/>
          <w:marTop w:val="0"/>
          <w:marBottom w:val="0"/>
          <w:divBdr>
            <w:top w:val="none" w:sz="0" w:space="0" w:color="auto"/>
            <w:left w:val="none" w:sz="0" w:space="0" w:color="auto"/>
            <w:bottom w:val="none" w:sz="0" w:space="0" w:color="auto"/>
            <w:right w:val="none" w:sz="0" w:space="0" w:color="auto"/>
          </w:divBdr>
          <w:divsChild>
            <w:div w:id="1049190355">
              <w:marLeft w:val="0"/>
              <w:marRight w:val="0"/>
              <w:marTop w:val="0"/>
              <w:marBottom w:val="0"/>
              <w:divBdr>
                <w:top w:val="none" w:sz="0" w:space="0" w:color="auto"/>
                <w:left w:val="none" w:sz="0" w:space="0" w:color="auto"/>
                <w:bottom w:val="none" w:sz="0" w:space="0" w:color="auto"/>
                <w:right w:val="none" w:sz="0" w:space="0" w:color="auto"/>
              </w:divBdr>
              <w:divsChild>
                <w:div w:id="1049190182">
                  <w:marLeft w:val="0"/>
                  <w:marRight w:val="1"/>
                  <w:marTop w:val="0"/>
                  <w:marBottom w:val="0"/>
                  <w:divBdr>
                    <w:top w:val="none" w:sz="0" w:space="0" w:color="auto"/>
                    <w:left w:val="none" w:sz="0" w:space="0" w:color="auto"/>
                    <w:bottom w:val="none" w:sz="0" w:space="0" w:color="auto"/>
                    <w:right w:val="none" w:sz="0" w:space="0" w:color="auto"/>
                  </w:divBdr>
                  <w:divsChild>
                    <w:div w:id="1049190149">
                      <w:marLeft w:val="0"/>
                      <w:marRight w:val="0"/>
                      <w:marTop w:val="0"/>
                      <w:marBottom w:val="0"/>
                      <w:divBdr>
                        <w:top w:val="none" w:sz="0" w:space="0" w:color="auto"/>
                        <w:left w:val="none" w:sz="0" w:space="0" w:color="auto"/>
                        <w:bottom w:val="none" w:sz="0" w:space="0" w:color="auto"/>
                        <w:right w:val="none" w:sz="0" w:space="0" w:color="auto"/>
                      </w:divBdr>
                      <w:divsChild>
                        <w:div w:id="1049190372">
                          <w:marLeft w:val="0"/>
                          <w:marRight w:val="0"/>
                          <w:marTop w:val="0"/>
                          <w:marBottom w:val="0"/>
                          <w:divBdr>
                            <w:top w:val="none" w:sz="0" w:space="0" w:color="auto"/>
                            <w:left w:val="none" w:sz="0" w:space="0" w:color="auto"/>
                            <w:bottom w:val="none" w:sz="0" w:space="0" w:color="auto"/>
                            <w:right w:val="none" w:sz="0" w:space="0" w:color="auto"/>
                          </w:divBdr>
                          <w:divsChild>
                            <w:div w:id="1049190331">
                              <w:marLeft w:val="0"/>
                              <w:marRight w:val="0"/>
                              <w:marTop w:val="120"/>
                              <w:marBottom w:val="360"/>
                              <w:divBdr>
                                <w:top w:val="none" w:sz="0" w:space="0" w:color="auto"/>
                                <w:left w:val="none" w:sz="0" w:space="0" w:color="auto"/>
                                <w:bottom w:val="none" w:sz="0" w:space="0" w:color="auto"/>
                                <w:right w:val="none" w:sz="0" w:space="0" w:color="auto"/>
                              </w:divBdr>
                              <w:divsChild>
                                <w:div w:id="1049190300">
                                  <w:marLeft w:val="0"/>
                                  <w:marRight w:val="0"/>
                                  <w:marTop w:val="0"/>
                                  <w:marBottom w:val="0"/>
                                  <w:divBdr>
                                    <w:top w:val="none" w:sz="0" w:space="0" w:color="auto"/>
                                    <w:left w:val="none" w:sz="0" w:space="0" w:color="auto"/>
                                    <w:bottom w:val="none" w:sz="0" w:space="0" w:color="auto"/>
                                    <w:right w:val="none" w:sz="0" w:space="0" w:color="auto"/>
                                  </w:divBdr>
                                  <w:divsChild>
                                    <w:div w:id="10491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u.ox.ac.uk/homacalculator/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5835</Words>
  <Characters>33262</Characters>
  <Application>Microsoft Office Word</Application>
  <DocSecurity>0</DocSecurity>
  <Lines>277</Lines>
  <Paragraphs>78</Paragraphs>
  <ScaleCrop>false</ScaleCrop>
  <Company>Hewlett-Packard Company</Company>
  <LinksUpToDate>false</LinksUpToDate>
  <CharactersWithSpaces>39019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Guerra</dc:creator>
  <cp:lastModifiedBy>LS Ma</cp:lastModifiedBy>
  <cp:revision>2</cp:revision>
  <dcterms:created xsi:type="dcterms:W3CDTF">2014-03-18T23:28:00Z</dcterms:created>
  <dcterms:modified xsi:type="dcterms:W3CDTF">2014-03-18T23:28:00Z</dcterms:modified>
</cp:coreProperties>
</file>