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A8E0" w14:textId="5B2DE0D5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Name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Journal: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color w:val="000000"/>
        </w:rPr>
        <w:t>World</w:t>
      </w:r>
      <w:r w:rsidR="009815E0" w:rsidRPr="00F743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color w:val="000000"/>
        </w:rPr>
        <w:t>Journal</w:t>
      </w:r>
      <w:r w:rsidR="009815E0" w:rsidRPr="00F743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color w:val="000000"/>
        </w:rPr>
        <w:t>Hepatology</w:t>
      </w:r>
    </w:p>
    <w:p w14:paraId="4E9C62CE" w14:textId="2FC8D8A0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Manuscript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NO: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72491</w:t>
      </w:r>
    </w:p>
    <w:p w14:paraId="608752F9" w14:textId="1F166F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Manuscript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Type: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ORIGINAL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ARTICLE</w:t>
      </w:r>
    </w:p>
    <w:p w14:paraId="42870801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514AD745" w14:textId="4932E714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9815E0" w:rsidRPr="00F743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F3141CA" w14:textId="00A9482A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Interrelationship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nonalcoholic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fatty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B0D" w:rsidRPr="00F74383">
        <w:rPr>
          <w:rFonts w:ascii="Book Antiqua" w:eastAsia="Book Antiqua" w:hAnsi="Book Antiqua" w:cs="Book Antiqua"/>
          <w:b/>
          <w:color w:val="000000"/>
        </w:rPr>
        <w:t>disease</w:t>
      </w:r>
    </w:p>
    <w:p w14:paraId="5FB5C669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5B8996CA" w14:textId="7C65B752" w:rsidR="00A77B3E" w:rsidRPr="00F74383" w:rsidRDefault="00A5496C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Weinstein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宋体" w:hAnsi="Book Antiqua" w:cs="宋体"/>
          <w:i/>
          <w:iCs/>
          <w:color w:val="000000"/>
          <w:lang w:eastAsia="zh-CN"/>
        </w:rPr>
        <w:t>et</w:t>
      </w:r>
      <w:r w:rsidR="009815E0" w:rsidRPr="00F74383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r w:rsidRPr="00F74383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Pr="00F74383">
        <w:rPr>
          <w:rFonts w:ascii="Book Antiqua" w:eastAsia="宋体" w:hAnsi="Book Antiqua" w:cs="宋体"/>
          <w:color w:val="000000"/>
          <w:lang w:eastAsia="zh-CN"/>
        </w:rPr>
        <w:t>.</w:t>
      </w:r>
      <w:r w:rsidR="009815E0" w:rsidRPr="00F74383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</w:t>
      </w:r>
      <w:r w:rsidR="007C49D5" w:rsidRPr="00F74383">
        <w:rPr>
          <w:rFonts w:ascii="Book Antiqua" w:eastAsia="Book Antiqua" w:hAnsi="Book Antiqua" w:cs="Book Antiqua"/>
          <w:color w:val="000000"/>
        </w:rPr>
        <w:t>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7C49D5"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7C49D5"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7C49D5" w:rsidRPr="00F74383">
        <w:rPr>
          <w:rFonts w:ascii="Book Antiqua" w:eastAsia="Book Antiqua" w:hAnsi="Book Antiqua" w:cs="Book Antiqua"/>
          <w:color w:val="000000"/>
        </w:rPr>
        <w:t>d</w:t>
      </w:r>
      <w:r w:rsidR="004C0FC2" w:rsidRPr="00F74383">
        <w:rPr>
          <w:rFonts w:ascii="Book Antiqua" w:eastAsia="Book Antiqua" w:hAnsi="Book Antiqua" w:cs="Book Antiqua"/>
          <w:color w:val="000000"/>
        </w:rPr>
        <w:t>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NAFLD</w:t>
      </w:r>
    </w:p>
    <w:p w14:paraId="486AABC2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3F4C0C4A" w14:textId="5777BF62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Ali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Weinstein,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Leyla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Avila,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Saisruthi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Kannan,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James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Paik,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Pegah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Golabi</w:t>
      </w:r>
      <w:proofErr w:type="spellEnd"/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Lynn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Gerber,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Zobair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Younossi</w:t>
      </w:r>
      <w:proofErr w:type="spellEnd"/>
    </w:p>
    <w:p w14:paraId="6380526A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4CE69D0D" w14:textId="4307F9CF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Weinstein,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Leyla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Avila,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M.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Paik,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Pegah</w:t>
      </w:r>
      <w:proofErr w:type="spellEnd"/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Golabi</w:t>
      </w:r>
      <w:proofErr w:type="spellEnd"/>
      <w:r w:rsidRPr="00F7438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Lynn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H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Gerber,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Zobair</w:t>
      </w:r>
      <w:proofErr w:type="spellEnd"/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M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Pr="00F7438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Guy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Beatty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Center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Integrated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Research,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Inova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System,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Falls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Church,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22042,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States</w:t>
      </w:r>
    </w:p>
    <w:p w14:paraId="4623CED1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66C2129F" w14:textId="7676FE1B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Weinstein,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Saisruthi</w:t>
      </w:r>
      <w:proofErr w:type="spellEnd"/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Kannan,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Global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Community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George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Mason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University,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Fairfax,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22030,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States</w:t>
      </w:r>
    </w:p>
    <w:p w14:paraId="3E5150C7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5094B52A" w14:textId="5D3F9118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Lynn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H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Gerber,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Zobair</w:t>
      </w:r>
      <w:proofErr w:type="spellEnd"/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M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Pr="00F7438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Center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Department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Medicine,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Inova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Fairfax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Medical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Campus,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Falls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Church,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22042,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States</w:t>
      </w:r>
    </w:p>
    <w:p w14:paraId="73F6E20C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614AE5BC" w14:textId="69359A92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Zobair</w:t>
      </w:r>
      <w:proofErr w:type="spellEnd"/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M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Pr="00F7438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Inova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Medicine,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Inova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System,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Falls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Church,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22042,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States</w:t>
      </w:r>
    </w:p>
    <w:p w14:paraId="115C5569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E455724" w14:textId="2F9367AC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Weinstein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AA,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de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Avila,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L,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Golabi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P,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Gerber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334BB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Younossi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ZM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Paik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JM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Weinstein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AA,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Kannan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S,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de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Avila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L,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Paik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JM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C13CAC" w:rsidRPr="00F74383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;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3CAC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652CCA2E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A804859" w14:textId="730CF99A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Guy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Beatty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Center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Integrated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Research</w:t>
      </w:r>
      <w:r w:rsidR="00334BB0" w:rsidRPr="00F74383">
        <w:rPr>
          <w:rFonts w:ascii="Book Antiqua" w:eastAsia="Book Antiqua" w:hAnsi="Book Antiqua" w:cs="Book Antiqua"/>
          <w:color w:val="000000"/>
        </w:rPr>
        <w:t>.</w:t>
      </w:r>
    </w:p>
    <w:p w14:paraId="46644A9C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08F3012" w14:textId="72CB449B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Zobair</w:t>
      </w:r>
      <w:proofErr w:type="spellEnd"/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M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b/>
          <w:bCs/>
          <w:color w:val="000000"/>
        </w:rPr>
        <w:t>Younossi</w:t>
      </w:r>
      <w:proofErr w:type="spellEnd"/>
      <w:r w:rsidRPr="00F74383">
        <w:rPr>
          <w:rFonts w:ascii="Book Antiqua" w:eastAsia="Book Antiqua" w:hAnsi="Book Antiqua" w:cs="Book Antiqua"/>
          <w:b/>
          <w:bCs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Inova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Medicine,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Inova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System,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Claude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Education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Building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3300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Gallows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Road,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Falls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Church,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22042,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States.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zobair.younossi@inova.org</w:t>
      </w:r>
    </w:p>
    <w:p w14:paraId="6033DD82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40C59C31" w14:textId="1D7D13FF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October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19,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2021</w:t>
      </w:r>
    </w:p>
    <w:p w14:paraId="7805E714" w14:textId="44251CCE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5596" w:rsidRPr="00F74383">
        <w:rPr>
          <w:rFonts w:ascii="Book Antiqua" w:eastAsia="Book Antiqua" w:hAnsi="Book Antiqua" w:cs="Book Antiqua"/>
          <w:color w:val="000000"/>
        </w:rPr>
        <w:t>December 21, 2021</w:t>
      </w:r>
    </w:p>
    <w:p w14:paraId="157EDDF5" w14:textId="6374086B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1C665F" w:rsidRPr="00F74383">
        <w:rPr>
          <w:rFonts w:ascii="Book Antiqua" w:eastAsia="Book Antiqua" w:hAnsi="Book Antiqua" w:cs="Book Antiqua"/>
          <w:color w:val="000000"/>
        </w:rPr>
        <w:t>February 20, 2022</w:t>
      </w:r>
    </w:p>
    <w:p w14:paraId="3F15C4DD" w14:textId="0666C342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74E8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March 27, 2022</w:t>
      </w:r>
    </w:p>
    <w:p w14:paraId="412E295A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  <w:sectPr w:rsidR="00A77B3E" w:rsidRPr="00F7438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53E16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55B840C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BACKGROUND</w:t>
      </w:r>
    </w:p>
    <w:p w14:paraId="12E580BA" w14:textId="55B4E8C5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Nonalcoholic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fatty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(NAFLD)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sedentary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lifestyle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also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established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related.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However,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interaction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previously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conducted.</w:t>
      </w:r>
    </w:p>
    <w:p w14:paraId="0988142C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447AA317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AIM</w:t>
      </w:r>
    </w:p>
    <w:p w14:paraId="2FCF91A8" w14:textId="68CF9A42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interrelationship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</w:p>
    <w:p w14:paraId="4913ADE0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3024E08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METHODS</w:t>
      </w:r>
    </w:p>
    <w:p w14:paraId="5A7852B6" w14:textId="1DE3DB2A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Data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Rancho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Bernardo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utilized.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589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included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analyses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(43.1%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male;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95.8%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non-Hispanic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white;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60.0</w:t>
      </w:r>
      <w:r w:rsidR="009D4676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±</w:t>
      </w:r>
      <w:r w:rsidR="009D4676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7.0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years).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hepatic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steatosis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index,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Beck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Inventory,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self-report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number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times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week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strenuous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Multivariable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generalized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linear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regression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models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Gamma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distribution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performed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proposed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relationship.</w:t>
      </w:r>
    </w:p>
    <w:p w14:paraId="5509E6BC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77E5933C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RESULTS</w:t>
      </w:r>
    </w:p>
    <w:p w14:paraId="3D4E55F0" w14:textId="4CC05EA5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About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40%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sample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9.3%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29%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inactive.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(60.7%)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compared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neither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(22.9%),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(37.0%),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(33.3%).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After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accounting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various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comorbidities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hypertension,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obesity),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decreased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odds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ED386D" w:rsidRPr="00F74383">
        <w:rPr>
          <w:rFonts w:ascii="Book Antiqua" w:eastAsia="Book Antiqua" w:hAnsi="Book Antiqua" w:cs="Book Antiqua"/>
          <w:color w:val="000000"/>
        </w:rPr>
        <w:t>[</w:t>
      </w:r>
      <w:r w:rsidRPr="00F74383">
        <w:rPr>
          <w:rFonts w:ascii="Book Antiqua" w:eastAsia="Book Antiqua" w:hAnsi="Book Antiqua" w:cs="Book Antiqua"/>
          <w:color w:val="000000"/>
        </w:rPr>
        <w:t>16.1%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reduction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ED11C2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95%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confidence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interval: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-25.6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-5.4%</w:t>
      </w:r>
      <w:r w:rsidR="00E17D19" w:rsidRPr="00F74383">
        <w:rPr>
          <w:rFonts w:ascii="Book Antiqua" w:eastAsia="Book Antiqua" w:hAnsi="Book Antiqua" w:cs="Book Antiqua"/>
          <w:color w:val="000000"/>
        </w:rPr>
        <w:t>)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=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0.004</w:t>
      </w:r>
      <w:r w:rsidR="00ED386D" w:rsidRPr="00F74383">
        <w:rPr>
          <w:rFonts w:ascii="Book Antiqua" w:eastAsia="Book Antiqua" w:hAnsi="Book Antiqua" w:cs="Book Antiqua"/>
          <w:color w:val="000000"/>
        </w:rPr>
        <w:t>]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observed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</w:p>
    <w:p w14:paraId="0143BCD2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EAF7598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CONCLUSION</w:t>
      </w:r>
    </w:p>
    <w:p w14:paraId="4C3F0FA0" w14:textId="646C1BE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particularly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Because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outcomes,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practitioners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screen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coexistence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receive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appropriate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interventions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aimed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intensity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2A475670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60439A4B" w14:textId="71FF3102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Outcomes</w:t>
      </w:r>
      <w:proofErr w:type="gram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research;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Psychiatric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disorders;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Exercise</w:t>
      </w:r>
    </w:p>
    <w:p w14:paraId="5FBE375F" w14:textId="77777777" w:rsidR="006A2B52" w:rsidRPr="00F74383" w:rsidRDefault="006A2B52" w:rsidP="006A2B52">
      <w:pPr>
        <w:spacing w:line="360" w:lineRule="auto"/>
        <w:jc w:val="both"/>
      </w:pPr>
    </w:p>
    <w:p w14:paraId="1F5F268F" w14:textId="77777777" w:rsidR="006A2B52" w:rsidRPr="00F74383" w:rsidRDefault="006A2B52" w:rsidP="006A2B52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F74383">
        <w:rPr>
          <w:rFonts w:ascii="Book Antiqua" w:eastAsia="Book Antiqua" w:hAnsi="Book Antiqua" w:cs="Book Antiqua"/>
          <w:b/>
          <w:color w:val="000000"/>
        </w:rPr>
        <w:t>©The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F74383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F74383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0570528" w14:textId="77777777" w:rsidR="006A2B52" w:rsidRPr="00F74383" w:rsidRDefault="006A2B52" w:rsidP="006A2B52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6F8BF8A6" w14:textId="4A79AABC" w:rsidR="00C939DB" w:rsidRPr="00F74383" w:rsidRDefault="006A2B52" w:rsidP="006A2B5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4383">
        <w:rPr>
          <w:rFonts w:ascii="Book Antiqua" w:hAnsi="Book Antiqua"/>
          <w:b/>
          <w:bCs/>
        </w:rPr>
        <w:t>Citation:</w:t>
      </w:r>
      <w:bookmarkEnd w:id="0"/>
      <w:r w:rsidRPr="00F74383">
        <w:rPr>
          <w:rFonts w:ascii="Book Antiqua" w:hAnsi="Book Antiqua"/>
          <w:b/>
          <w:bCs/>
        </w:rPr>
        <w:t xml:space="preserve"> </w:t>
      </w:r>
      <w:bookmarkEnd w:id="1"/>
      <w:r w:rsidR="004C0FC2" w:rsidRPr="00F74383">
        <w:rPr>
          <w:rFonts w:ascii="Book Antiqua" w:eastAsia="Book Antiqua" w:hAnsi="Book Antiqua" w:cs="Book Antiqua"/>
          <w:color w:val="000000"/>
        </w:rPr>
        <w:t>Weinstein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AA,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Avila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Kannan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Paik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JM,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C0FC2" w:rsidRPr="00F74383">
        <w:rPr>
          <w:rFonts w:ascii="Book Antiqua" w:eastAsia="Book Antiqua" w:hAnsi="Book Antiqua" w:cs="Book Antiqua"/>
          <w:color w:val="000000"/>
        </w:rPr>
        <w:t>Golabi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Gerber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LH,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C0FC2" w:rsidRPr="00F74383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ZM.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1B4EE6" w:rsidRPr="00F74383">
        <w:rPr>
          <w:rFonts w:ascii="Book Antiqua" w:eastAsia="Book Antiqua" w:hAnsi="Book Antiqua" w:cs="Book Antiqua"/>
          <w:bCs/>
          <w:color w:val="000000"/>
        </w:rPr>
        <w:t>Interrelationship between physical activity and depression in nonalcoholic fatty liver disease</w:t>
      </w:r>
      <w:r w:rsidR="004C0FC2"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815E0" w:rsidRPr="00F743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15E0" w:rsidRPr="00F7438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202</w:t>
      </w:r>
      <w:r w:rsidR="00974CEC" w:rsidRPr="00F74383">
        <w:rPr>
          <w:rFonts w:ascii="Book Antiqua" w:eastAsia="Book Antiqua" w:hAnsi="Book Antiqua" w:cs="Book Antiqua"/>
          <w:color w:val="000000"/>
        </w:rPr>
        <w:t>2</w:t>
      </w:r>
      <w:r w:rsidR="004C0FC2" w:rsidRPr="00F74383">
        <w:rPr>
          <w:rFonts w:ascii="Book Antiqua" w:eastAsia="Book Antiqua" w:hAnsi="Book Antiqua" w:cs="Book Antiqua"/>
          <w:color w:val="000000"/>
        </w:rPr>
        <w:t>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C939DB" w:rsidRPr="00F74383">
        <w:rPr>
          <w:rFonts w:ascii="Book Antiqua" w:eastAsia="Book Antiqua" w:hAnsi="Book Antiqua" w:cs="Book Antiqua" w:hint="eastAsia"/>
          <w:color w:val="000000"/>
        </w:rPr>
        <w:t xml:space="preserve">14(3): </w:t>
      </w:r>
      <w:r w:rsidR="0043236F" w:rsidRPr="00F74383">
        <w:rPr>
          <w:rFonts w:ascii="Book Antiqua" w:eastAsia="Book Antiqua" w:hAnsi="Book Antiqua" w:cs="Book Antiqua"/>
          <w:color w:val="000000"/>
        </w:rPr>
        <w:t>612-622</w:t>
      </w:r>
    </w:p>
    <w:p w14:paraId="67CEDA4F" w14:textId="09C32A80" w:rsidR="00C939DB" w:rsidRPr="00F74383" w:rsidRDefault="00C939DB" w:rsidP="00C939D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4383">
        <w:rPr>
          <w:rFonts w:ascii="Book Antiqua" w:eastAsia="Book Antiqua" w:hAnsi="Book Antiqua" w:cs="Book Antiqua" w:hint="eastAsia"/>
          <w:b/>
          <w:bCs/>
          <w:color w:val="000000"/>
        </w:rPr>
        <w:t xml:space="preserve">URL: </w:t>
      </w:r>
      <w:r w:rsidRPr="00F74383">
        <w:rPr>
          <w:rFonts w:ascii="Book Antiqua" w:eastAsia="Book Antiqua" w:hAnsi="Book Antiqua" w:cs="Book Antiqua" w:hint="eastAsia"/>
          <w:color w:val="000000"/>
        </w:rPr>
        <w:t>https://www.wjgnet.com/1948-5182/full/v14/i3/</w:t>
      </w:r>
      <w:r w:rsidR="0043236F" w:rsidRPr="00F74383">
        <w:rPr>
          <w:rFonts w:ascii="Book Antiqua" w:eastAsia="Book Antiqua" w:hAnsi="Book Antiqua" w:cs="Book Antiqua"/>
          <w:color w:val="000000"/>
        </w:rPr>
        <w:t>612</w:t>
      </w:r>
      <w:r w:rsidRPr="00F74383">
        <w:rPr>
          <w:rFonts w:ascii="Book Antiqua" w:eastAsia="Book Antiqua" w:hAnsi="Book Antiqua" w:cs="Book Antiqua" w:hint="eastAsia"/>
          <w:color w:val="000000"/>
        </w:rPr>
        <w:t xml:space="preserve">.htm </w:t>
      </w:r>
    </w:p>
    <w:p w14:paraId="0599F905" w14:textId="4FFAFAA5" w:rsidR="00C939DB" w:rsidRPr="00F74383" w:rsidRDefault="00C939DB" w:rsidP="00C939D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4383">
        <w:rPr>
          <w:rFonts w:ascii="Book Antiqua" w:eastAsia="Book Antiqua" w:hAnsi="Book Antiqua" w:cs="Book Antiqua" w:hint="eastAsia"/>
          <w:b/>
          <w:bCs/>
          <w:color w:val="000000"/>
        </w:rPr>
        <w:t xml:space="preserve">DOI: </w:t>
      </w:r>
      <w:r w:rsidRPr="00F74383">
        <w:rPr>
          <w:rFonts w:ascii="Book Antiqua" w:eastAsia="Book Antiqua" w:hAnsi="Book Antiqua" w:cs="Book Antiqua" w:hint="eastAsia"/>
          <w:color w:val="000000"/>
        </w:rPr>
        <w:t>https://dx.doi.org/10.4254/wjh.v14.i3.</w:t>
      </w:r>
      <w:r w:rsidR="0043236F" w:rsidRPr="00F74383">
        <w:rPr>
          <w:rFonts w:ascii="Book Antiqua" w:eastAsia="Book Antiqua" w:hAnsi="Book Antiqua" w:cs="Book Antiqua"/>
          <w:color w:val="000000"/>
        </w:rPr>
        <w:t>612</w:t>
      </w:r>
    </w:p>
    <w:p w14:paraId="1C83135A" w14:textId="7EF2F301" w:rsidR="00A77B3E" w:rsidRPr="00F74383" w:rsidRDefault="00A77B3E" w:rsidP="00B25D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B8A30F2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2F84982B" w14:textId="4A3BA61A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5C4081" w:rsidRPr="00F74383">
        <w:rPr>
          <w:rFonts w:ascii="Book Antiqua" w:eastAsia="Book Antiqua" w:hAnsi="Book Antiqua" w:cs="Book Antiqua"/>
          <w:color w:val="000000"/>
        </w:rPr>
        <w:t>nonalcoholic fatty liver disease (NAFLD)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sedentary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Because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outcomes,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practitioners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screen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coexistence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receive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appropriate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interventions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aimed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intensity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therefore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desirable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screened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help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determine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appropriate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interventions.</w:t>
      </w:r>
    </w:p>
    <w:p w14:paraId="0CCE84F6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69CF94F3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B922856" w14:textId="7C0118EA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Nonalcoholic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fatty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(NAFLD)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chronic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condition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globally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multisystem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affect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many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organ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systems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cardiovascular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type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mellitus,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numerous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conditions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along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conditions,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variety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behavioral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including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lack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nutritional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status,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substance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consumption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74383">
        <w:rPr>
          <w:rFonts w:ascii="Book Antiqua" w:eastAsia="Book Antiqua" w:hAnsi="Book Antiqua" w:cs="Book Antiqua"/>
          <w:color w:val="000000"/>
        </w:rPr>
        <w:t>.</w:t>
      </w:r>
    </w:p>
    <w:p w14:paraId="112240F7" w14:textId="5570A11D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Specifically,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sedentary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lifestyle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onset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NAFLD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potential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pathway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explaining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lack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obesity,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turn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major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NAFLD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5,7]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exercise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mobilization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suggested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treatment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NAFLD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B35AC" w:rsidRPr="00F7438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Therefore,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important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behavior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understand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context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treatment.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Another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elevated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severity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frequency)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bi-directional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sedentary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lifestyle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inactivity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5,12]</w:t>
      </w:r>
      <w:r w:rsidRPr="00F74383">
        <w:rPr>
          <w:rFonts w:ascii="Book Antiqua" w:eastAsia="Book Antiqua" w:hAnsi="Book Antiqua" w:cs="Book Antiqua"/>
          <w:color w:val="000000"/>
        </w:rPr>
        <w:t>.</w:t>
      </w:r>
    </w:p>
    <w:p w14:paraId="6A22EF69" w14:textId="412A6840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also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symptoms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also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major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disorder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developing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conditions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cardiovascular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stroke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general,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elevated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worse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outcomes,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including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morbidity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mortality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potential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intervention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important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consider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potential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impact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likelihood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established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less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adherent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treatment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chronic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illness,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particularly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treatments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involve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behavioral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changes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74383">
        <w:rPr>
          <w:rFonts w:ascii="Book Antiqua" w:eastAsia="Book Antiqua" w:hAnsi="Book Antiqua" w:cs="Book Antiqua"/>
          <w:color w:val="000000"/>
        </w:rPr>
        <w:t>.</w:t>
      </w:r>
    </w:p>
    <w:p w14:paraId="59478B60" w14:textId="3CF0312D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demonstrated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however,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identify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previous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literature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explored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interaction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together.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current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assesses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three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community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sample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order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explore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potential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interrelationships.</w:t>
      </w:r>
    </w:p>
    <w:p w14:paraId="28BAC1DC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FABE28D" w14:textId="77151F9E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815E0"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815E0"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01EF598" w14:textId="43E955E5" w:rsidR="00A77B3E" w:rsidRPr="00F74383" w:rsidRDefault="004C0FC2" w:rsidP="00B25D8B">
      <w:pPr>
        <w:spacing w:line="360" w:lineRule="auto"/>
        <w:jc w:val="both"/>
        <w:rPr>
          <w:rFonts w:ascii="Book Antiqua" w:hAnsi="Book Antiqua"/>
          <w:i/>
          <w:iCs/>
        </w:rPr>
      </w:pPr>
      <w:r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9815E0"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B15D6"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>source and study population</w:t>
      </w:r>
    </w:p>
    <w:p w14:paraId="5EC08ECD" w14:textId="54D3FC3F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Rancho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Bernardo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(RBS)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Aging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previously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described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detail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Briefly,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1972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1974,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6339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(82%)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adults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predominantly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white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middle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middle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southern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California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community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Rancho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>Bernardo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enrolled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longitudinal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focusing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aging.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addition,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RBS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focused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determining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cardiovascular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cognitive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function,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followed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subsequent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clinic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visits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occurring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approximately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every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four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years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annual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mailers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follow-up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vital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through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July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2019.</w:t>
      </w:r>
    </w:p>
    <w:p w14:paraId="1C332C5C" w14:textId="177FEC66" w:rsidR="00A77B3E" w:rsidRPr="00F74383" w:rsidRDefault="004C0FC2" w:rsidP="00B25D8B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F74383">
        <w:rPr>
          <w:rFonts w:ascii="Book Antiqua" w:eastAsia="Book Antiqua" w:hAnsi="Book Antiqua" w:cs="Book Antiqua"/>
          <w:color w:val="000000"/>
        </w:rPr>
        <w:t>Our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utilized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data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1781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completed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clinic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visit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(1992-1996).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Clinic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visit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chosen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because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assessed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necessary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establish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absence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these,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excluded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17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missing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hepatic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steatosis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index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(HSI),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55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missing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Beck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Inventory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(BDI),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221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history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hepatitis,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iron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overload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(iron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198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mcg/dL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170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mcg/dL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women),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excessive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alcohol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consumption.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manifest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differently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older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adults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different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older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adults,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further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excluded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899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over,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leaving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589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final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analytical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sample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(Figure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provided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written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informed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consent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prior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each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visit.</w:t>
      </w:r>
    </w:p>
    <w:p w14:paraId="219CD11C" w14:textId="77777777" w:rsidR="00EA4A8F" w:rsidRPr="00F74383" w:rsidRDefault="00EA4A8F" w:rsidP="00B25D8B">
      <w:pPr>
        <w:spacing w:line="360" w:lineRule="auto"/>
        <w:jc w:val="both"/>
        <w:rPr>
          <w:rFonts w:ascii="Book Antiqua" w:hAnsi="Book Antiqua"/>
        </w:rPr>
      </w:pPr>
    </w:p>
    <w:p w14:paraId="72398FBF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  <w:i/>
          <w:iCs/>
        </w:rPr>
      </w:pPr>
      <w:r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254C99C9" w14:textId="24F97152" w:rsidR="00A77B3E" w:rsidRPr="00F74383" w:rsidRDefault="004C0FC2" w:rsidP="00B25D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4383">
        <w:rPr>
          <w:rFonts w:ascii="Book Antiqua" w:eastAsia="Book Antiqua" w:hAnsi="Book Antiqua" w:cs="Book Antiqua"/>
          <w:color w:val="000000"/>
        </w:rPr>
        <w:lastRenderedPageBreak/>
        <w:t>Demographic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lifestyle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laboratory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measures,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medical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history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data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collected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clinic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visit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(1992-1996).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Lifestyle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information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obtained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through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standard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questionnaires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included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smoking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17536E" w:rsidRPr="00F74383">
        <w:rPr>
          <w:rFonts w:ascii="Book Antiqua" w:eastAsia="Book Antiqua" w:hAnsi="Book Antiqua" w:cs="Book Antiqua"/>
          <w:color w:val="000000"/>
        </w:rPr>
        <w:t>[</w:t>
      </w:r>
      <w:r w:rsidRPr="00F74383">
        <w:rPr>
          <w:rFonts w:ascii="Book Antiqua" w:eastAsia="Book Antiqua" w:hAnsi="Book Antiqua" w:cs="Book Antiqua"/>
          <w:color w:val="000000"/>
        </w:rPr>
        <w:t>non-smoker,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former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smoker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17536E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quit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years</w:t>
      </w:r>
      <w:r w:rsidR="0017536E" w:rsidRPr="00F74383">
        <w:rPr>
          <w:rFonts w:ascii="Book Antiqua" w:eastAsia="Book Antiqua" w:hAnsi="Book Antiqua" w:cs="Book Antiqua"/>
          <w:color w:val="000000"/>
        </w:rPr>
        <w:t>)</w:t>
      </w:r>
      <w:r w:rsidRPr="00F74383">
        <w:rPr>
          <w:rFonts w:ascii="Book Antiqua" w:eastAsia="Book Antiqua" w:hAnsi="Book Antiqua" w:cs="Book Antiqua"/>
          <w:color w:val="000000"/>
        </w:rPr>
        <w:t>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smoker</w:t>
      </w:r>
      <w:r w:rsidR="0017536E" w:rsidRPr="00F74383">
        <w:rPr>
          <w:rFonts w:ascii="Book Antiqua" w:eastAsia="Book Antiqua" w:hAnsi="Book Antiqua" w:cs="Book Antiqua"/>
          <w:color w:val="000000"/>
        </w:rPr>
        <w:t>]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sedentary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lifestyle</w:t>
      </w:r>
      <w:r w:rsidR="00C054E2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(reported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&lt;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times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week)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excessive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alcohol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consumption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drinks/day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drinks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women).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Metabolic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components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calculated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following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definitions: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E723A0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1)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153D91" w:rsidRPr="00F74383">
        <w:rPr>
          <w:rFonts w:ascii="Book Antiqua" w:eastAsia="Book Antiqua" w:hAnsi="Book Antiqua" w:cs="Book Antiqua"/>
          <w:color w:val="000000"/>
        </w:rPr>
        <w:t>O</w:t>
      </w:r>
      <w:r w:rsidRPr="00F74383">
        <w:rPr>
          <w:rFonts w:ascii="Book Antiqua" w:eastAsia="Book Antiqua" w:hAnsi="Book Antiqua" w:cs="Book Antiqua"/>
          <w:color w:val="000000"/>
        </w:rPr>
        <w:t>besity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pattern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categorized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(BMI: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18.5-25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kg/m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4383">
        <w:rPr>
          <w:rFonts w:ascii="Book Antiqua" w:eastAsia="Book Antiqua" w:hAnsi="Book Antiqua" w:cs="Book Antiqua"/>
          <w:color w:val="000000"/>
        </w:rPr>
        <w:t>);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overweight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(25-29.9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kg/</w:t>
      </w:r>
      <w:r w:rsidR="00C20BCB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4383">
        <w:rPr>
          <w:rFonts w:ascii="Book Antiqua" w:eastAsia="Book Antiqua" w:hAnsi="Book Antiqua" w:cs="Book Antiqua"/>
          <w:color w:val="000000"/>
        </w:rPr>
        <w:t>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obese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kg/m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4383">
        <w:rPr>
          <w:rFonts w:ascii="Book Antiqua" w:eastAsia="Book Antiqua" w:hAnsi="Book Antiqua" w:cs="Book Antiqua"/>
          <w:color w:val="000000"/>
        </w:rPr>
        <w:t>);</w:t>
      </w:r>
      <w:r w:rsidR="005F130E" w:rsidRPr="00F74383">
        <w:rPr>
          <w:rFonts w:ascii="Book Antiqua" w:eastAsia="Book Antiqua" w:hAnsi="Book Antiqua" w:cs="Book Antiqua"/>
          <w:color w:val="000000"/>
        </w:rPr>
        <w:t xml:space="preserve"> (</w:t>
      </w:r>
      <w:r w:rsidRPr="00F74383">
        <w:rPr>
          <w:rFonts w:ascii="Book Antiqua" w:eastAsia="Book Antiqua" w:hAnsi="Book Antiqua" w:cs="Book Antiqua"/>
          <w:color w:val="000000"/>
        </w:rPr>
        <w:t>2)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652CE3" w:rsidRPr="00F74383">
        <w:rPr>
          <w:rFonts w:ascii="Book Antiqua" w:eastAsia="Book Antiqua" w:hAnsi="Book Antiqua" w:cs="Book Antiqua"/>
          <w:color w:val="000000"/>
        </w:rPr>
        <w:t>H</w:t>
      </w:r>
      <w:r w:rsidRPr="00F74383">
        <w:rPr>
          <w:rFonts w:ascii="Book Antiqua" w:eastAsia="Book Antiqua" w:hAnsi="Book Antiqua" w:cs="Book Antiqua"/>
          <w:color w:val="000000"/>
        </w:rPr>
        <w:t>ypertension</w:t>
      </w:r>
      <w:r w:rsidR="00E85733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systolic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blood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pressure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&gt;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140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mmHg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diastolic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blood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pressure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&gt;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90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mmHg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average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three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measurements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and/or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antihypertensive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medications;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CA53A8" w:rsidRPr="00F74383">
        <w:rPr>
          <w:rFonts w:ascii="Book Antiqua" w:eastAsia="Book Antiqua" w:hAnsi="Book Antiqua" w:cs="Book Antiqua"/>
          <w:color w:val="000000"/>
        </w:rPr>
        <w:t>(</w:t>
      </w:r>
      <w:r w:rsidR="00327A6D" w:rsidRPr="00F74383">
        <w:rPr>
          <w:rFonts w:ascii="Book Antiqua" w:eastAsia="Book Antiqua" w:hAnsi="Book Antiqua" w:cs="Book Antiqua"/>
          <w:color w:val="000000"/>
        </w:rPr>
        <w:t>3</w:t>
      </w:r>
      <w:r w:rsidRPr="00F74383">
        <w:rPr>
          <w:rFonts w:ascii="Book Antiqua" w:eastAsia="Book Antiqua" w:hAnsi="Book Antiqua" w:cs="Book Antiqua"/>
          <w:color w:val="000000"/>
        </w:rPr>
        <w:t>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E94837" w:rsidRPr="00F74383">
        <w:rPr>
          <w:rFonts w:ascii="Book Antiqua" w:eastAsia="Book Antiqua" w:hAnsi="Book Antiqua" w:cs="Book Antiqua"/>
          <w:color w:val="000000"/>
        </w:rPr>
        <w:t>H</w:t>
      </w:r>
      <w:r w:rsidRPr="00F74383">
        <w:rPr>
          <w:rFonts w:ascii="Book Antiqua" w:eastAsia="Book Antiqua" w:hAnsi="Book Antiqua" w:cs="Book Antiqua"/>
          <w:color w:val="000000"/>
        </w:rPr>
        <w:t>yperlipidemia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serum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cholesterol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200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130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≤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40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≤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women;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1A6739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4)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E94837" w:rsidRPr="00F74383">
        <w:rPr>
          <w:rFonts w:ascii="Book Antiqua" w:eastAsia="Book Antiqua" w:hAnsi="Book Antiqua" w:cs="Book Antiqua"/>
          <w:color w:val="000000"/>
        </w:rPr>
        <w:t>D</w:t>
      </w:r>
      <w:r w:rsidRPr="00F74383">
        <w:rPr>
          <w:rFonts w:ascii="Book Antiqua" w:eastAsia="Book Antiqua" w:hAnsi="Book Antiqua" w:cs="Book Antiqua"/>
          <w:color w:val="000000"/>
        </w:rPr>
        <w:t>iabetes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mellitus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fasting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glucose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126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post-challenge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plasma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glucose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least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200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history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physician-diagnosed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medication;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164C6A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5)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C17493" w:rsidRPr="00F74383">
        <w:rPr>
          <w:rFonts w:ascii="Book Antiqua" w:eastAsia="Book Antiqua" w:hAnsi="Book Antiqua" w:cs="Book Antiqua"/>
          <w:color w:val="000000"/>
        </w:rPr>
        <w:t>I</w:t>
      </w:r>
      <w:r w:rsidRPr="00F74383">
        <w:rPr>
          <w:rFonts w:ascii="Book Antiqua" w:eastAsia="Book Antiqua" w:hAnsi="Book Antiqua" w:cs="Book Antiqua"/>
          <w:color w:val="000000"/>
        </w:rPr>
        <w:t>nsulin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resistance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homeostasis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model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assessment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insulin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resistance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74383">
        <w:rPr>
          <w:rFonts w:ascii="Book Antiqua" w:eastAsia="Book Antiqua" w:hAnsi="Book Antiqua" w:cs="Book Antiqua"/>
          <w:color w:val="000000"/>
        </w:rPr>
        <w:t>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2B1163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6)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D80939" w:rsidRPr="00F74383">
        <w:rPr>
          <w:rFonts w:ascii="Book Antiqua" w:eastAsia="Book Antiqua" w:hAnsi="Book Antiqua" w:cs="Book Antiqua"/>
          <w:color w:val="000000"/>
        </w:rPr>
        <w:t>M</w:t>
      </w:r>
      <w:r w:rsidRPr="00F74383">
        <w:rPr>
          <w:rFonts w:ascii="Book Antiqua" w:eastAsia="Book Antiqua" w:hAnsi="Book Antiqua" w:cs="Book Antiqua"/>
          <w:color w:val="000000"/>
        </w:rPr>
        <w:t>etabolic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syndrome</w:t>
      </w:r>
      <w:r w:rsidR="00F7591B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least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three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following: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waist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circumference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&gt;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102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&gt;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88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women,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fasting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plasma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glucose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&gt;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110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blood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pressure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&gt;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130/85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mmHg,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elevated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triglycerides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&gt;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150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≤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40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≤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mg/dL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women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107D2CBC" w14:textId="77777777" w:rsidR="00AA16A3" w:rsidRPr="00F74383" w:rsidRDefault="00AA16A3" w:rsidP="00B25D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6B47031" w14:textId="34304630" w:rsidR="00A77B3E" w:rsidRPr="00F74383" w:rsidRDefault="004C0FC2" w:rsidP="00B25D8B">
      <w:pPr>
        <w:spacing w:line="360" w:lineRule="auto"/>
        <w:jc w:val="both"/>
        <w:rPr>
          <w:rFonts w:ascii="Book Antiqua" w:hAnsi="Book Antiqua"/>
          <w:i/>
          <w:iCs/>
        </w:rPr>
      </w:pPr>
      <w:r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  <w:r w:rsidR="009815E0"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A16A3"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>depression and physical activity</w:t>
      </w:r>
    </w:p>
    <w:p w14:paraId="5340B5CE" w14:textId="7CCBE04A" w:rsidR="00A77B3E" w:rsidRPr="00F74383" w:rsidRDefault="004C0FC2" w:rsidP="00B25D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4383">
        <w:rPr>
          <w:rFonts w:ascii="Book Antiqua" w:eastAsia="Book Antiqua" w:hAnsi="Book Antiqua" w:cs="Book Antiqua"/>
          <w:color w:val="000000"/>
        </w:rPr>
        <w:t>We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categorized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BDI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10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less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considered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categorized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groups: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261813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1)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“physical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inactivity”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didn’t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engage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least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three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times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week;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1F2E66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2)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“ideal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activity”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regularly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(≥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3/week)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engaged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strenuous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953160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3)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“moderate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activity”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encompassed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everyone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else.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346860FB" w14:textId="77777777" w:rsidR="0058492D" w:rsidRPr="00F74383" w:rsidRDefault="0058492D" w:rsidP="00B25D8B">
      <w:pPr>
        <w:spacing w:line="360" w:lineRule="auto"/>
        <w:jc w:val="both"/>
        <w:rPr>
          <w:rFonts w:ascii="Book Antiqua" w:hAnsi="Book Antiqua"/>
        </w:rPr>
      </w:pPr>
    </w:p>
    <w:p w14:paraId="748B8DE7" w14:textId="1EDBF516" w:rsidR="00A77B3E" w:rsidRPr="00F74383" w:rsidRDefault="004C0FC2" w:rsidP="00B25D8B">
      <w:pPr>
        <w:spacing w:line="360" w:lineRule="auto"/>
        <w:jc w:val="both"/>
        <w:rPr>
          <w:rFonts w:ascii="Book Antiqua" w:hAnsi="Book Antiqua"/>
          <w:i/>
          <w:iCs/>
        </w:rPr>
      </w:pPr>
      <w:r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>Definit</w:t>
      </w:r>
      <w:r w:rsidR="00994D94"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>ion of nonalcoholic fatty liver disease</w:t>
      </w:r>
      <w:r w:rsidR="009815E0"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433F6E4" w14:textId="1AB59B01" w:rsidR="00C95E41" w:rsidRPr="00F74383" w:rsidRDefault="004C0FC2" w:rsidP="00B25D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4383">
        <w:rPr>
          <w:rFonts w:ascii="Book Antiqua" w:eastAsia="Book Antiqua" w:hAnsi="Book Antiqua" w:cs="Book Antiqua"/>
          <w:color w:val="000000"/>
        </w:rPr>
        <w:lastRenderedPageBreak/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HSI,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validated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previously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epidemiologic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studies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13,21,22]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absence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secondary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causes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disease.</w:t>
      </w:r>
      <w:r w:rsidR="009815E0" w:rsidRPr="00F7438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HSI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calculated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following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equation: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8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×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(alanine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aminotransferase/aspartate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aminotransferase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ratio)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+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BMI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(+2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+2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female).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published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cut-off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36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utilized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HSI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&lt;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36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secondary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causes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presumed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(non-NAFLD).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4408338E" w14:textId="77777777" w:rsidR="00C95E41" w:rsidRPr="00F74383" w:rsidRDefault="00C95E41" w:rsidP="00B25D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E4143BD" w14:textId="77777777" w:rsidR="00C95E41" w:rsidRPr="00F74383" w:rsidRDefault="001F2CC6" w:rsidP="00B25D8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F7438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Statistical analysis </w:t>
      </w:r>
    </w:p>
    <w:p w14:paraId="74095AB9" w14:textId="0CDE7BD5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We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compared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demographic,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lifestyle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clinical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medical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history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cohort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non-parametric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Kruskal-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Wallis</w:t>
      </w:r>
      <w:proofErr w:type="gram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test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continuous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variables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chi-square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test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analysis.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Multivariable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generalized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linear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regression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model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(GLM)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Gamma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distribution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performed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BDI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evaluate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effect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after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adjusting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current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smoker,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hypertension,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hyperlipidemia,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obesity,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history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cardiovascular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cancer.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adjusted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BDI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estimated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coefficients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GLM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models,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exponentiated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yield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percentage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change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outcome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each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Independent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predictors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studied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multivariable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logistic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regression.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differences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reported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statistically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significant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otherwise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mentioned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0.05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analyses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performed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version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9.4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(SAS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Institute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Inc.,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Cary,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NC).</w:t>
      </w:r>
    </w:p>
    <w:p w14:paraId="25EA6591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2C4736FB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31503B7" w14:textId="58FBF65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589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subjects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(43.1%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male;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95.8%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non-Hispanic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white;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B83431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SD</w:t>
      </w:r>
      <w:r w:rsidR="00B83431" w:rsidRPr="00F74383">
        <w:rPr>
          <w:rFonts w:ascii="Book Antiqua" w:eastAsia="Book Antiqua" w:hAnsi="Book Antiqua" w:cs="Book Antiqua"/>
          <w:color w:val="000000"/>
        </w:rPr>
        <w:t>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60.0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5873B3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7.0</w:t>
      </w:r>
      <w:r w:rsidR="005873B3" w:rsidRPr="00F74383">
        <w:rPr>
          <w:rFonts w:ascii="Book Antiqua" w:eastAsia="Book Antiqua" w:hAnsi="Book Antiqua" w:cs="Book Antiqua"/>
          <w:color w:val="000000"/>
        </w:rPr>
        <w:t>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years),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235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(39.9%)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subjects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55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(9.3%)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Furthermore,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12.6%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75.7%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hyperlipidemia,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20.0%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hypertension,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26.7%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insulin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resistance,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29.0%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11.9%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smokers.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183C56BB" w14:textId="37D28919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statistically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significantly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commonly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(52.3%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37.0%),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overweight/obese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(93.6%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605D76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28.0%)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insulin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resistance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(46.4%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605D76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D76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13.6%),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hyperlipidemia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(85.5%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605D76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69.2%),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(23.4%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605D76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5.4%),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metabolic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syndrome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(43.4%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605D76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6.5%)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(all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2B3CE6"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2B3CE6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&lt;</w:t>
      </w:r>
      <w:r w:rsidR="002B3CE6" w:rsidRPr="00F74383">
        <w:rPr>
          <w:rFonts w:ascii="Book Antiqua" w:eastAsia="Book Antiqua" w:hAnsi="Book Antiqua" w:cs="Book Antiqua"/>
          <w:color w:val="000000"/>
        </w:rPr>
        <w:t xml:space="preserve"> 0</w:t>
      </w:r>
      <w:r w:rsidRPr="00F74383">
        <w:rPr>
          <w:rFonts w:ascii="Book Antiqua" w:eastAsia="Book Antiqua" w:hAnsi="Book Antiqua" w:cs="Book Antiqua"/>
          <w:color w:val="000000"/>
        </w:rPr>
        <w:t>.02).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Among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36.6%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fell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24.7%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ideal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category;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whereas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among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24.0%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fell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36.7%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ideal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</w:t>
      </w:r>
      <w:r w:rsidR="005313F2"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13F2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&lt;</w:t>
      </w:r>
      <w:r w:rsidR="005313F2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0.002)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(Table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statistically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significantly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BDI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(4.49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AE70AA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3.67,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=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0.004),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although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relatively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low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each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5DD7EFD7" w14:textId="04C671DA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entire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cohort,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4.8%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4.6%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35.1%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55.5%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neither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Demographic,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lifestyle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general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comorbidities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according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Compared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history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arthritis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(17.6%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BF05B1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5B1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10.5%).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Compared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less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(7.1%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E634B8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85.2%)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insulin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resistance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(42.9%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9B0899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3.7%)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metabolic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syndrome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(39.3%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E634B8" w:rsidRPr="00F7438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634B8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7.4%).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4018F5E1" w14:textId="0D1AC0FE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60.7%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fell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category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statistically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significantly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greater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[individuals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neither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(22.9%),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(37.0%),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(33.3%)]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(Figure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Characteristics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according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Supplementary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1.</w:t>
      </w:r>
    </w:p>
    <w:p w14:paraId="189D8C5C" w14:textId="7BBE123C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stratified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analyses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across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accounting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current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smoker,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hypertension,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hyperlipidemia,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obesity,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history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cardiovascular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cancer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GLMs,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lastRenderedPageBreak/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experienced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greater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odds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lower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BDI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67B0C" w:rsidRPr="00F74383">
        <w:rPr>
          <w:rFonts w:ascii="Book Antiqua" w:eastAsia="Book Antiqua" w:hAnsi="Book Antiqua" w:cs="Book Antiqua"/>
          <w:color w:val="000000"/>
        </w:rPr>
        <w:t>[</w:t>
      </w:r>
      <w:r w:rsidRPr="00F74383">
        <w:rPr>
          <w:rFonts w:ascii="Book Antiqua" w:eastAsia="Book Antiqua" w:hAnsi="Book Antiqua" w:cs="Book Antiqua"/>
          <w:color w:val="000000"/>
        </w:rPr>
        <w:t>16.1%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reduction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67B0C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95%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confidence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interval: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-25.6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-5.4%</w:t>
      </w:r>
      <w:r w:rsidR="00467B0C" w:rsidRPr="00F74383">
        <w:rPr>
          <w:rFonts w:ascii="Book Antiqua" w:eastAsia="Book Antiqua" w:hAnsi="Book Antiqua" w:cs="Book Antiqua"/>
          <w:color w:val="000000"/>
        </w:rPr>
        <w:t>)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=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0.004</w:t>
      </w:r>
      <w:r w:rsidR="00467B0C" w:rsidRPr="00F74383">
        <w:rPr>
          <w:rFonts w:ascii="Book Antiqua" w:eastAsia="Book Antiqua" w:hAnsi="Book Antiqua" w:cs="Book Antiqua"/>
          <w:color w:val="000000"/>
        </w:rPr>
        <w:t>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BDI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observed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(Table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3).</w:t>
      </w:r>
    </w:p>
    <w:p w14:paraId="6F1E742B" w14:textId="67693B4B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assess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BDI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GLMs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performed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(Table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4).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unadjusted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model,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compared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ideal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BDI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FF389E" w:rsidRPr="00F74383">
        <w:rPr>
          <w:rFonts w:ascii="Book Antiqua" w:eastAsia="Book Antiqua" w:hAnsi="Book Antiqua" w:cs="Book Antiqua"/>
          <w:color w:val="000000"/>
        </w:rPr>
        <w:t>[</w:t>
      </w:r>
      <w:r w:rsidRPr="00F74383">
        <w:rPr>
          <w:rFonts w:ascii="Book Antiqua" w:eastAsia="Book Antiqua" w:hAnsi="Book Antiqua" w:cs="Book Antiqua"/>
          <w:color w:val="000000"/>
        </w:rPr>
        <w:t>46.8%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FF389E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19.3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80.8%</w:t>
      </w:r>
      <w:r w:rsidR="00FF389E" w:rsidRPr="00F74383">
        <w:rPr>
          <w:rFonts w:ascii="Book Antiqua" w:eastAsia="Book Antiqua" w:hAnsi="Book Antiqua" w:cs="Book Antiqua"/>
          <w:color w:val="000000"/>
        </w:rPr>
        <w:t>)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7D3302"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302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&lt;</w:t>
      </w:r>
      <w:r w:rsidR="007D3302" w:rsidRPr="00F74383">
        <w:rPr>
          <w:rFonts w:ascii="Book Antiqua" w:eastAsia="Book Antiqua" w:hAnsi="Book Antiqua" w:cs="Book Antiqua"/>
          <w:color w:val="000000"/>
        </w:rPr>
        <w:t xml:space="preserve"> 0</w:t>
      </w:r>
      <w:r w:rsidRPr="00F74383">
        <w:rPr>
          <w:rFonts w:ascii="Book Antiqua" w:eastAsia="Book Antiqua" w:hAnsi="Book Antiqua" w:cs="Book Antiqua"/>
          <w:color w:val="000000"/>
        </w:rPr>
        <w:t>.001</w:t>
      </w:r>
      <w:r w:rsidR="00FF389E" w:rsidRPr="00F74383">
        <w:rPr>
          <w:rFonts w:ascii="Book Antiqua" w:eastAsia="Book Antiqua" w:hAnsi="Book Antiqua" w:cs="Book Antiqua"/>
          <w:color w:val="000000"/>
        </w:rPr>
        <w:t>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fully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adjusted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model,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result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consistently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observed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D67AC4" w:rsidRPr="00F74383">
        <w:rPr>
          <w:rFonts w:ascii="Book Antiqua" w:eastAsia="Book Antiqua" w:hAnsi="Book Antiqua" w:cs="Book Antiqua"/>
          <w:color w:val="000000"/>
        </w:rPr>
        <w:t>[</w:t>
      </w:r>
      <w:r w:rsidRPr="00F74383">
        <w:rPr>
          <w:rFonts w:ascii="Book Antiqua" w:eastAsia="Book Antiqua" w:hAnsi="Book Antiqua" w:cs="Book Antiqua"/>
          <w:color w:val="000000"/>
        </w:rPr>
        <w:t>36.3%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D67AC4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9.1%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70.2%</w:t>
      </w:r>
      <w:r w:rsidR="00BD180D" w:rsidRPr="00F74383">
        <w:rPr>
          <w:rFonts w:ascii="Book Antiqua" w:eastAsia="Book Antiqua" w:hAnsi="Book Antiqua" w:cs="Book Antiqua"/>
          <w:color w:val="000000"/>
        </w:rPr>
        <w:t>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BD180D"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180D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&lt;</w:t>
      </w:r>
      <w:r w:rsidR="00BD180D" w:rsidRPr="00F74383">
        <w:rPr>
          <w:rFonts w:ascii="Book Antiqua" w:eastAsia="Book Antiqua" w:hAnsi="Book Antiqua" w:cs="Book Antiqua"/>
          <w:color w:val="000000"/>
        </w:rPr>
        <w:t xml:space="preserve"> 0</w:t>
      </w:r>
      <w:r w:rsidRPr="00F74383">
        <w:rPr>
          <w:rFonts w:ascii="Book Antiqua" w:eastAsia="Book Antiqua" w:hAnsi="Book Antiqua" w:cs="Book Antiqua"/>
          <w:color w:val="000000"/>
        </w:rPr>
        <w:t>.001</w:t>
      </w:r>
      <w:r w:rsidR="00BD180D" w:rsidRPr="00F74383">
        <w:rPr>
          <w:rFonts w:ascii="Book Antiqua" w:eastAsia="Book Antiqua" w:hAnsi="Book Antiqua" w:cs="Book Antiqua"/>
          <w:color w:val="000000"/>
        </w:rPr>
        <w:t>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statistically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significantly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differ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ideal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=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0.465).</w:t>
      </w:r>
    </w:p>
    <w:p w14:paraId="7E5B9226" w14:textId="7F6DDFB0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multivariable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logistic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regression,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included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model: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smoking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status,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hypertension,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hyperlipidemia,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cardiovascular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cancer.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statistically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significant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Odds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Ratio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F52D19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2.01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1.08-3.72</w:t>
      </w:r>
      <w:r w:rsidR="007E1251" w:rsidRPr="00F74383">
        <w:rPr>
          <w:rFonts w:ascii="Book Antiqua" w:eastAsia="Book Antiqua" w:hAnsi="Book Antiqua" w:cs="Book Antiqua"/>
          <w:color w:val="000000"/>
        </w:rPr>
        <w:t>)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=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0.028),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795A30" w:rsidRPr="00F74383">
        <w:rPr>
          <w:rFonts w:ascii="Book Antiqua" w:eastAsia="Book Antiqua" w:hAnsi="Book Antiqua" w:cs="Book Antiqua"/>
          <w:color w:val="000000"/>
        </w:rPr>
        <w:t>[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0.37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795A30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0.19-0.72</w:t>
      </w:r>
      <w:r w:rsidR="000E7EAF" w:rsidRPr="00F74383">
        <w:rPr>
          <w:rFonts w:ascii="Book Antiqua" w:eastAsia="Book Antiqua" w:hAnsi="Book Antiqua" w:cs="Book Antiqua"/>
          <w:color w:val="000000"/>
        </w:rPr>
        <w:t>)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=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0.003</w:t>
      </w:r>
      <w:r w:rsidR="000E7EAF" w:rsidRPr="00F74383">
        <w:rPr>
          <w:rFonts w:ascii="Book Antiqua" w:eastAsia="Book Antiqua" w:hAnsi="Book Antiqua" w:cs="Book Antiqua"/>
          <w:color w:val="000000"/>
        </w:rPr>
        <w:t>]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CD1473" w:rsidRPr="00F74383">
        <w:rPr>
          <w:rFonts w:ascii="Book Antiqua" w:eastAsia="Book Antiqua" w:hAnsi="Book Antiqua" w:cs="Book Antiqua"/>
          <w:color w:val="000000"/>
        </w:rPr>
        <w:t>[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1.68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CD1473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0.78-3.65</w:t>
      </w:r>
      <w:r w:rsidR="00251936" w:rsidRPr="00F74383">
        <w:rPr>
          <w:rFonts w:ascii="Book Antiqua" w:eastAsia="Book Antiqua" w:hAnsi="Book Antiqua" w:cs="Book Antiqua"/>
          <w:color w:val="000000"/>
        </w:rPr>
        <w:t>)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=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0.005</w:t>
      </w:r>
      <w:r w:rsidR="00251936" w:rsidRPr="00F74383">
        <w:rPr>
          <w:rFonts w:ascii="Book Antiqua" w:eastAsia="Book Antiqua" w:hAnsi="Book Antiqua" w:cs="Book Antiqua"/>
          <w:color w:val="000000"/>
        </w:rPr>
        <w:t>]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(Supplementary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2).</w:t>
      </w:r>
    </w:p>
    <w:p w14:paraId="1A02B7D0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755271B6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6E15A6F" w14:textId="089996C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interrelationships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results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demonstrate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strong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likelihood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symptoms.</w:t>
      </w:r>
    </w:p>
    <w:p w14:paraId="3E575653" w14:textId="3ECA01F3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Similar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findings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found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type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diabetes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Various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(lack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motivation,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low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self-esteem,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feelings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helplessness,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anhedonia)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might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explain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often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inactive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cohort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explain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co-existence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37978DB0" w14:textId="09015657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lastRenderedPageBreak/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occur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together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often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predicted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chance</w:t>
      </w:r>
      <w:r w:rsidR="001459DC"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59DC" w:rsidRPr="00F7438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many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potential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help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explain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overlap,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including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obesity,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06191C"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191C" w:rsidRPr="00F7438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Another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overlap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circulating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inflammatory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cytokines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NAFLD</w:t>
      </w:r>
      <w:r w:rsidR="000C5A09"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5A09" w:rsidRPr="00F7438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addition,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NAFLD</w:t>
      </w:r>
      <w:r w:rsidR="009C616F"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616F" w:rsidRPr="00F74383">
        <w:rPr>
          <w:rFonts w:ascii="Book Antiqua" w:eastAsia="Book Antiqua" w:hAnsi="Book Antiqua" w:cs="Book Antiqua"/>
          <w:color w:val="000000"/>
          <w:vertAlign w:val="superscript"/>
        </w:rPr>
        <w:t>5,11]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However,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further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investigation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needed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clarify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bi-directional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</w:p>
    <w:p w14:paraId="4C23631E" w14:textId="1486F592" w:rsidR="00A77B3E" w:rsidRPr="00F74383" w:rsidRDefault="004C0FC2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findings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current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show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addition,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much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people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either.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all-cause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mortality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exercise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antidote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combination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significantly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associated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low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itself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all-cause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mortality.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therefore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desirable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screened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contribute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low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treated,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vigorous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greater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durations.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Additionally,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shown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help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mobilize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74383">
        <w:rPr>
          <w:rFonts w:ascii="Book Antiqua" w:eastAsia="Book Antiqua" w:hAnsi="Book Antiqua" w:cs="Book Antiqua"/>
          <w:color w:val="000000"/>
        </w:rPr>
        <w:t>liver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74383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shown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anti-depressive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effects</w:t>
      </w:r>
      <w:r w:rsidRPr="00F74383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F74383">
        <w:rPr>
          <w:rFonts w:ascii="Book Antiqua" w:eastAsia="Book Antiqua" w:hAnsi="Book Antiqua" w:cs="Book Antiqua"/>
          <w:color w:val="000000"/>
        </w:rPr>
        <w:t>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Therefore,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important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screen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combined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each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appropriately,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aim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maximize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Longitudinal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studies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interrelationships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needed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determine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factors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link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subsequent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health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outcomes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patients.</w:t>
      </w:r>
    </w:p>
    <w:p w14:paraId="049E48FF" w14:textId="6F1DBCFF" w:rsidR="00A77B3E" w:rsidRPr="00F74383" w:rsidRDefault="009815E0" w:rsidP="00B25D8B">
      <w:pPr>
        <w:spacing w:line="360" w:lineRule="auto"/>
        <w:ind w:firstLine="720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Some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limitations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should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be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noted.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Due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to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cross-sectional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nature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of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current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investigation,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causal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relationships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nor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directionality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can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be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inferred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between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physical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inactivity,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depressive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symptoms,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NAFLD.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Another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limitation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that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used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noninvasive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test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(HSI)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to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identify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NAFLD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rather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than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liver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biopsy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or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other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sensitive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radiologic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tests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since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these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were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available.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objective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method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of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physical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activity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lastRenderedPageBreak/>
        <w:t>assessment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(</w:t>
      </w:r>
      <w:r w:rsidR="004C0FC2" w:rsidRPr="00F74383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4C0FC2" w:rsidRPr="00F74383">
        <w:rPr>
          <w:rFonts w:ascii="Book Antiqua" w:eastAsia="Book Antiqua" w:hAnsi="Book Antiqua" w:cs="Book Antiqua"/>
          <w:color w:val="000000"/>
        </w:rPr>
        <w:t>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activity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monitor)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was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available.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addition,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these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data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were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collected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1992-1996,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therefore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older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version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of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BDI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was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used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diagnosis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of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viral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hepatitis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was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relatively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new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time.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also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acknowledge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that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our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findings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are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not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generalizable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to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general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population,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all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participants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were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well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educated,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medically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insured,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predominantly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white,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middle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to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upper-middle-class.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Lastly,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participants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have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relatively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low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prevalence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of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obesity,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diabetes,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metabolic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syndrome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compared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to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National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Health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Nutrition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Examination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Survey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C0FC2" w:rsidRPr="00F74383">
        <w:rPr>
          <w:rFonts w:ascii="Book Antiqua" w:eastAsia="Book Antiqua" w:hAnsi="Book Antiqua" w:cs="Book Antiqua"/>
          <w:color w:val="000000"/>
        </w:rPr>
        <w:t>III</w:t>
      </w:r>
      <w:r w:rsidR="004C0FC2" w:rsidRPr="00F743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0FC2" w:rsidRPr="00F74383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which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may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have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influenced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results.</w:t>
      </w:r>
    </w:p>
    <w:p w14:paraId="476322F9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4141771C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783400C" w14:textId="6CE48EB3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particularly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Because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outcomes,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practitioners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screen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coexistence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receive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appropriate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interventions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aimed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intensity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</w:p>
    <w:p w14:paraId="513CBBCA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21FD0D66" w14:textId="0B6EA4B4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815E0"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7438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3F7D3CE" w14:textId="6462502B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5853FD4" w14:textId="519D34DB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Since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potential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intervention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nonalcoholic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fatty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liver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disease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(NAFLD)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important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consider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potential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impact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likelihood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established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less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adherent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treatment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chronic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illness,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particularly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treatments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involve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behavioral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changes.</w:t>
      </w:r>
    </w:p>
    <w:p w14:paraId="73EE987B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235C992D" w14:textId="31267665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26D1BCE" w14:textId="244A2860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Previous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demonstrated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however,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identify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previous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literature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lastRenderedPageBreak/>
        <w:t>explored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interaction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together.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</w:p>
    <w:p w14:paraId="1ED07A1E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3EE980EE" w14:textId="124C6DF6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F03EE80" w14:textId="7E82818C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current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assesses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community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sample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order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explore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potential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interrelationships.</w:t>
      </w:r>
    </w:p>
    <w:p w14:paraId="74E15547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03916827" w14:textId="708B5678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C554E3F" w14:textId="2F6EA64D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Data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Rancho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Bernardo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used.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589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included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analyses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(43.1%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male;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95.8%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non-Hispanic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white;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60.0</w:t>
      </w:r>
      <w:r w:rsidR="0010231F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±</w:t>
      </w:r>
      <w:r w:rsidR="0010231F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7.0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years).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defined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hepatic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steatosis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index,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Beck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Inventory,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self-report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number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times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week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strenuous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Multivariable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generalized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linear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regression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models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Gamma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distribution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performed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proposed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relationship.</w:t>
      </w:r>
    </w:p>
    <w:p w14:paraId="6FA7BBEC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0E14273" w14:textId="6CF49F3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CBEF70B" w14:textId="4AE4D86A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About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40%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sample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9.3%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evidence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29%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inactive.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likely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(60.7%)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compared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neither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(22.9%),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(37.0%),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(33.3%).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After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accounting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various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comorbidities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F74383">
        <w:rPr>
          <w:rFonts w:ascii="Book Antiqua" w:eastAsia="Book Antiqua" w:hAnsi="Book Antiqua" w:cs="Book Antiqua"/>
          <w:color w:val="000000"/>
        </w:rPr>
        <w:t>.,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age,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diabetes,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hypertension,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obesity),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were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decreased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odds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A0955" w:rsidRPr="00F74383">
        <w:rPr>
          <w:rFonts w:ascii="Book Antiqua" w:eastAsia="Book Antiqua" w:hAnsi="Book Antiqua" w:cs="Book Antiqua"/>
          <w:color w:val="000000"/>
        </w:rPr>
        <w:t>[</w:t>
      </w:r>
      <w:r w:rsidRPr="00F74383">
        <w:rPr>
          <w:rFonts w:ascii="Book Antiqua" w:eastAsia="Book Antiqua" w:hAnsi="Book Antiqua" w:cs="Book Antiqua"/>
          <w:color w:val="000000"/>
        </w:rPr>
        <w:t>16.1%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reduction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A0955" w:rsidRPr="00F74383">
        <w:rPr>
          <w:rFonts w:ascii="Book Antiqua" w:eastAsia="Book Antiqua" w:hAnsi="Book Antiqua" w:cs="Book Antiqua"/>
          <w:color w:val="000000"/>
        </w:rPr>
        <w:t>(</w:t>
      </w:r>
      <w:r w:rsidRPr="00F74383">
        <w:rPr>
          <w:rFonts w:ascii="Book Antiqua" w:eastAsia="Book Antiqua" w:hAnsi="Book Antiqua" w:cs="Book Antiqua"/>
          <w:color w:val="000000"/>
        </w:rPr>
        <w:t>95%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confidence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interval: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-25.6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-5.4%</w:t>
      </w:r>
      <w:r w:rsidR="00C70131" w:rsidRPr="00F74383">
        <w:rPr>
          <w:rFonts w:ascii="Book Antiqua" w:eastAsia="Book Antiqua" w:hAnsi="Book Antiqua" w:cs="Book Antiqua"/>
          <w:color w:val="000000"/>
        </w:rPr>
        <w:t>)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=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0.004</w:t>
      </w:r>
      <w:r w:rsidR="00C70131" w:rsidRPr="00F74383">
        <w:rPr>
          <w:rFonts w:ascii="Book Antiqua" w:eastAsia="Book Antiqua" w:hAnsi="Book Antiqua" w:cs="Book Antiqua"/>
          <w:color w:val="000000"/>
        </w:rPr>
        <w:t>]</w:t>
      </w:r>
      <w:r w:rsidRPr="00F74383">
        <w:rPr>
          <w:rFonts w:ascii="Book Antiqua" w:eastAsia="Book Antiqua" w:hAnsi="Book Antiqua" w:cs="Book Antiqua"/>
          <w:color w:val="000000"/>
        </w:rPr>
        <w:t>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observed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without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</w:p>
    <w:p w14:paraId="35181C7D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7909C9CA" w14:textId="0B385C8F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78F372F" w14:textId="463CFA5C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inactivity,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particularly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those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Because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high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risk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poor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outcomes,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practitioners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screen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coexistence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symptoms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group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receive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appropriate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interventions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aimed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increasing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both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participation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levels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intensity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 </w:t>
      </w:r>
    </w:p>
    <w:p w14:paraId="1C44AFA9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213B8F8" w14:textId="16D30F40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15E0" w:rsidRPr="00F7438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9ABBC04" w14:textId="7211A2DA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Further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investigation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needed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clarify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bi-directional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relationship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between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Future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work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should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explore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screening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combined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NAFLD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depression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determine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treatment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appropriate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activity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interventions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enhance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outcomes.</w:t>
      </w:r>
    </w:p>
    <w:p w14:paraId="6C58A896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2048791B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REFERENCES</w:t>
      </w:r>
    </w:p>
    <w:p w14:paraId="0AE384B5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 </w:t>
      </w:r>
      <w:r w:rsidRPr="00F74383">
        <w:rPr>
          <w:rFonts w:ascii="Book Antiqua" w:hAnsi="Book Antiqua"/>
          <w:b/>
          <w:bCs/>
        </w:rPr>
        <w:t>Argo CK</w:t>
      </w:r>
      <w:r w:rsidRPr="00F74383">
        <w:rPr>
          <w:rFonts w:ascii="Book Antiqua" w:hAnsi="Book Antiqua"/>
        </w:rPr>
        <w:t xml:space="preserve">, Caldwell SH. Epidemiology and natural history of non-alcoholic steatohepatitis. </w:t>
      </w:r>
      <w:r w:rsidRPr="00F74383">
        <w:rPr>
          <w:rFonts w:ascii="Book Antiqua" w:hAnsi="Book Antiqua"/>
          <w:i/>
          <w:iCs/>
        </w:rPr>
        <w:t>Clin Liver Dis</w:t>
      </w:r>
      <w:r w:rsidRPr="00F74383">
        <w:rPr>
          <w:rFonts w:ascii="Book Antiqua" w:hAnsi="Book Antiqua"/>
        </w:rPr>
        <w:t xml:space="preserve"> 2009; </w:t>
      </w:r>
      <w:r w:rsidRPr="00F74383">
        <w:rPr>
          <w:rFonts w:ascii="Book Antiqua" w:hAnsi="Book Antiqua"/>
          <w:b/>
          <w:bCs/>
        </w:rPr>
        <w:t>13</w:t>
      </w:r>
      <w:r w:rsidRPr="00F74383">
        <w:rPr>
          <w:rFonts w:ascii="Book Antiqua" w:hAnsi="Book Antiqua"/>
        </w:rPr>
        <w:t>: 511-531 [PMID: 19818302 DOI: 10.1016/j.cld.2009.07.005]</w:t>
      </w:r>
    </w:p>
    <w:p w14:paraId="5566C9ED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 </w:t>
      </w:r>
      <w:r w:rsidRPr="00F74383">
        <w:rPr>
          <w:rFonts w:ascii="Book Antiqua" w:hAnsi="Book Antiqua"/>
          <w:b/>
          <w:bCs/>
        </w:rPr>
        <w:t>Li AA</w:t>
      </w:r>
      <w:r w:rsidRPr="00F74383">
        <w:rPr>
          <w:rFonts w:ascii="Book Antiqua" w:hAnsi="Book Antiqua"/>
        </w:rPr>
        <w:t xml:space="preserve">, Ahmed A, Kim D. Extrahepatic Manifestations of Nonalcoholic Fatty Liver Disease. </w:t>
      </w:r>
      <w:r w:rsidRPr="00F74383">
        <w:rPr>
          <w:rFonts w:ascii="Book Antiqua" w:hAnsi="Book Antiqua"/>
          <w:i/>
          <w:iCs/>
        </w:rPr>
        <w:t>Gut Liver</w:t>
      </w:r>
      <w:r w:rsidRPr="00F74383">
        <w:rPr>
          <w:rFonts w:ascii="Book Antiqua" w:hAnsi="Book Antiqua"/>
        </w:rPr>
        <w:t xml:space="preserve"> 2020; </w:t>
      </w:r>
      <w:r w:rsidRPr="00F74383">
        <w:rPr>
          <w:rFonts w:ascii="Book Antiqua" w:hAnsi="Book Antiqua"/>
          <w:b/>
          <w:bCs/>
        </w:rPr>
        <w:t>14</w:t>
      </w:r>
      <w:r w:rsidRPr="00F74383">
        <w:rPr>
          <w:rFonts w:ascii="Book Antiqua" w:hAnsi="Book Antiqua"/>
        </w:rPr>
        <w:t>: 168-178 [PMID: 31195434 DOI: 10.5009/gnl19069]</w:t>
      </w:r>
    </w:p>
    <w:p w14:paraId="635D6F73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3 </w:t>
      </w:r>
      <w:r w:rsidRPr="00F74383">
        <w:rPr>
          <w:rFonts w:ascii="Book Antiqua" w:hAnsi="Book Antiqua"/>
          <w:b/>
          <w:bCs/>
        </w:rPr>
        <w:t>Byrne CD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Targher</w:t>
      </w:r>
      <w:proofErr w:type="spellEnd"/>
      <w:r w:rsidRPr="00F74383">
        <w:rPr>
          <w:rFonts w:ascii="Book Antiqua" w:hAnsi="Book Antiqua"/>
        </w:rPr>
        <w:t xml:space="preserve"> G. NAFLD: a multisystem disease. </w:t>
      </w:r>
      <w:r w:rsidRPr="00F74383">
        <w:rPr>
          <w:rFonts w:ascii="Book Antiqua" w:hAnsi="Book Antiqua"/>
          <w:i/>
          <w:iCs/>
        </w:rPr>
        <w:t>J Hepatol</w:t>
      </w:r>
      <w:r w:rsidRPr="00F74383">
        <w:rPr>
          <w:rFonts w:ascii="Book Antiqua" w:hAnsi="Book Antiqua"/>
        </w:rPr>
        <w:t xml:space="preserve"> 2015; </w:t>
      </w:r>
      <w:r w:rsidRPr="00F74383">
        <w:rPr>
          <w:rFonts w:ascii="Book Antiqua" w:hAnsi="Book Antiqua"/>
          <w:b/>
          <w:bCs/>
        </w:rPr>
        <w:t>62</w:t>
      </w:r>
      <w:r w:rsidRPr="00F74383">
        <w:rPr>
          <w:rFonts w:ascii="Book Antiqua" w:hAnsi="Book Antiqua"/>
        </w:rPr>
        <w:t>: S47-S64 [PMID: 25920090 DOI: 10.1016/j.jhep.2014.12.012]</w:t>
      </w:r>
    </w:p>
    <w:p w14:paraId="12896D44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4 </w:t>
      </w:r>
      <w:proofErr w:type="spellStart"/>
      <w:r w:rsidRPr="00F74383">
        <w:rPr>
          <w:rFonts w:ascii="Book Antiqua" w:hAnsi="Book Antiqua"/>
          <w:b/>
          <w:bCs/>
        </w:rPr>
        <w:t>Macavei</w:t>
      </w:r>
      <w:proofErr w:type="spellEnd"/>
      <w:r w:rsidRPr="00F74383">
        <w:rPr>
          <w:rFonts w:ascii="Book Antiqua" w:hAnsi="Book Antiqua"/>
          <w:b/>
          <w:bCs/>
        </w:rPr>
        <w:t xml:space="preserve"> B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Baban</w:t>
      </w:r>
      <w:proofErr w:type="spellEnd"/>
      <w:r w:rsidRPr="00F74383">
        <w:rPr>
          <w:rFonts w:ascii="Book Antiqua" w:hAnsi="Book Antiqua"/>
        </w:rPr>
        <w:t xml:space="preserve"> A, </w:t>
      </w:r>
      <w:proofErr w:type="spellStart"/>
      <w:r w:rsidRPr="00F74383">
        <w:rPr>
          <w:rFonts w:ascii="Book Antiqua" w:hAnsi="Book Antiqua"/>
        </w:rPr>
        <w:t>Dumitrascu</w:t>
      </w:r>
      <w:proofErr w:type="spellEnd"/>
      <w:r w:rsidRPr="00F74383">
        <w:rPr>
          <w:rFonts w:ascii="Book Antiqua" w:hAnsi="Book Antiqua"/>
        </w:rPr>
        <w:t xml:space="preserve"> DL. Psychological factors associated with NAFLD/NASH: a systematic review. </w:t>
      </w:r>
      <w:proofErr w:type="spellStart"/>
      <w:r w:rsidRPr="00F74383">
        <w:rPr>
          <w:rFonts w:ascii="Book Antiqua" w:hAnsi="Book Antiqua"/>
          <w:i/>
          <w:iCs/>
        </w:rPr>
        <w:t>Eur</w:t>
      </w:r>
      <w:proofErr w:type="spellEnd"/>
      <w:r w:rsidRPr="00F74383">
        <w:rPr>
          <w:rFonts w:ascii="Book Antiqua" w:hAnsi="Book Antiqua"/>
          <w:i/>
          <w:iCs/>
        </w:rPr>
        <w:t xml:space="preserve"> Rev Med </w:t>
      </w:r>
      <w:proofErr w:type="spellStart"/>
      <w:r w:rsidRPr="00F74383">
        <w:rPr>
          <w:rFonts w:ascii="Book Antiqua" w:hAnsi="Book Antiqua"/>
          <w:i/>
          <w:iCs/>
        </w:rPr>
        <w:t>Pharmacol</w:t>
      </w:r>
      <w:proofErr w:type="spellEnd"/>
      <w:r w:rsidRPr="00F74383">
        <w:rPr>
          <w:rFonts w:ascii="Book Antiqua" w:hAnsi="Book Antiqua"/>
          <w:i/>
          <w:iCs/>
        </w:rPr>
        <w:t xml:space="preserve"> Sci</w:t>
      </w:r>
      <w:r w:rsidRPr="00F74383">
        <w:rPr>
          <w:rFonts w:ascii="Book Antiqua" w:hAnsi="Book Antiqua"/>
        </w:rPr>
        <w:t xml:space="preserve"> 2016; </w:t>
      </w:r>
      <w:r w:rsidRPr="00F74383">
        <w:rPr>
          <w:rFonts w:ascii="Book Antiqua" w:hAnsi="Book Antiqua"/>
          <w:b/>
          <w:bCs/>
        </w:rPr>
        <w:t>20</w:t>
      </w:r>
      <w:r w:rsidRPr="00F74383">
        <w:rPr>
          <w:rFonts w:ascii="Book Antiqua" w:hAnsi="Book Antiqua"/>
        </w:rPr>
        <w:t>: 5081-5097 [PMID: 28051263]</w:t>
      </w:r>
    </w:p>
    <w:p w14:paraId="3D317F0D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5 </w:t>
      </w:r>
      <w:proofErr w:type="spellStart"/>
      <w:r w:rsidRPr="00F74383">
        <w:rPr>
          <w:rFonts w:ascii="Book Antiqua" w:hAnsi="Book Antiqua"/>
          <w:b/>
          <w:bCs/>
        </w:rPr>
        <w:t>Croci</w:t>
      </w:r>
      <w:proofErr w:type="spellEnd"/>
      <w:r w:rsidRPr="00F74383">
        <w:rPr>
          <w:rFonts w:ascii="Book Antiqua" w:hAnsi="Book Antiqua"/>
          <w:b/>
          <w:bCs/>
        </w:rPr>
        <w:t xml:space="preserve"> I</w:t>
      </w:r>
      <w:r w:rsidRPr="00F74383">
        <w:rPr>
          <w:rFonts w:ascii="Book Antiqua" w:hAnsi="Book Antiqua"/>
        </w:rPr>
        <w:t xml:space="preserve">, Coombes JS, Bucher </w:t>
      </w:r>
      <w:proofErr w:type="spellStart"/>
      <w:r w:rsidRPr="00F74383">
        <w:rPr>
          <w:rFonts w:ascii="Book Antiqua" w:hAnsi="Book Antiqua"/>
        </w:rPr>
        <w:t>Sandbakk</w:t>
      </w:r>
      <w:proofErr w:type="spellEnd"/>
      <w:r w:rsidRPr="00F74383">
        <w:rPr>
          <w:rFonts w:ascii="Book Antiqua" w:hAnsi="Book Antiqua"/>
        </w:rPr>
        <w:t xml:space="preserve"> S, Keating SE, Nauman J, Macdonald GA, </w:t>
      </w:r>
      <w:proofErr w:type="spellStart"/>
      <w:r w:rsidRPr="00F74383">
        <w:rPr>
          <w:rFonts w:ascii="Book Antiqua" w:hAnsi="Book Antiqua"/>
        </w:rPr>
        <w:t>Wisloff</w:t>
      </w:r>
      <w:proofErr w:type="spellEnd"/>
      <w:r w:rsidRPr="00F74383">
        <w:rPr>
          <w:rFonts w:ascii="Book Antiqua" w:hAnsi="Book Antiqua"/>
        </w:rPr>
        <w:t xml:space="preserve"> U. Non-alcoholic fatty liver disease: Prevalence and all-cause mortality according to sedentary </w:t>
      </w:r>
      <w:proofErr w:type="spellStart"/>
      <w:r w:rsidRPr="00F74383">
        <w:rPr>
          <w:rFonts w:ascii="Book Antiqua" w:hAnsi="Book Antiqua"/>
        </w:rPr>
        <w:t>behaviour</w:t>
      </w:r>
      <w:proofErr w:type="spellEnd"/>
      <w:r w:rsidRPr="00F74383">
        <w:rPr>
          <w:rFonts w:ascii="Book Antiqua" w:hAnsi="Book Antiqua"/>
        </w:rPr>
        <w:t xml:space="preserve"> and cardiorespiratory fitness. The HUNT Study. </w:t>
      </w:r>
      <w:r w:rsidRPr="00F74383">
        <w:rPr>
          <w:rFonts w:ascii="Book Antiqua" w:hAnsi="Book Antiqua"/>
          <w:i/>
          <w:iCs/>
        </w:rPr>
        <w:t>Prog Cardiovasc Dis</w:t>
      </w:r>
      <w:r w:rsidRPr="00F74383">
        <w:rPr>
          <w:rFonts w:ascii="Book Antiqua" w:hAnsi="Book Antiqua"/>
        </w:rPr>
        <w:t xml:space="preserve"> 2019; </w:t>
      </w:r>
      <w:r w:rsidRPr="00F74383">
        <w:rPr>
          <w:rFonts w:ascii="Book Antiqua" w:hAnsi="Book Antiqua"/>
          <w:b/>
          <w:bCs/>
        </w:rPr>
        <w:t>62</w:t>
      </w:r>
      <w:r w:rsidRPr="00F74383">
        <w:rPr>
          <w:rFonts w:ascii="Book Antiqua" w:hAnsi="Book Antiqua"/>
        </w:rPr>
        <w:t>: 127-134 [PMID: 30796942 DOI: 10.1016/j.pcad.2019.01.005]</w:t>
      </w:r>
    </w:p>
    <w:p w14:paraId="2EE3FC27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lastRenderedPageBreak/>
        <w:t xml:space="preserve">6 </w:t>
      </w:r>
      <w:r w:rsidRPr="00F74383">
        <w:rPr>
          <w:rFonts w:ascii="Book Antiqua" w:hAnsi="Book Antiqua"/>
          <w:b/>
          <w:bCs/>
        </w:rPr>
        <w:t>Kwak MS</w:t>
      </w:r>
      <w:r w:rsidRPr="00F74383">
        <w:rPr>
          <w:rFonts w:ascii="Book Antiqua" w:hAnsi="Book Antiqua"/>
        </w:rPr>
        <w:t xml:space="preserve">, Kim D. Non-alcoholic fatty liver disease and lifestyle modifications, focusing on physical activity. </w:t>
      </w:r>
      <w:r w:rsidRPr="00F74383">
        <w:rPr>
          <w:rFonts w:ascii="Book Antiqua" w:hAnsi="Book Antiqua"/>
          <w:i/>
          <w:iCs/>
        </w:rPr>
        <w:t>Korean J Intern Med</w:t>
      </w:r>
      <w:r w:rsidRPr="00F74383">
        <w:rPr>
          <w:rFonts w:ascii="Book Antiqua" w:hAnsi="Book Antiqua"/>
        </w:rPr>
        <w:t xml:space="preserve"> 2018; </w:t>
      </w:r>
      <w:r w:rsidRPr="00F74383">
        <w:rPr>
          <w:rFonts w:ascii="Book Antiqua" w:hAnsi="Book Antiqua"/>
          <w:b/>
          <w:bCs/>
        </w:rPr>
        <w:t>33</w:t>
      </w:r>
      <w:r w:rsidRPr="00F74383">
        <w:rPr>
          <w:rFonts w:ascii="Book Antiqua" w:hAnsi="Book Antiqua"/>
        </w:rPr>
        <w:t>: 64-74 [PMID: 29202557 DOI: 10.3904/kjim.2017.343]</w:t>
      </w:r>
    </w:p>
    <w:p w14:paraId="7B4D2341" w14:textId="75DFDFED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7 Correction: Dose-response association between physical activity and non-alcoholic fatty liver disease: a case-control study in a Chinese population. </w:t>
      </w:r>
      <w:r w:rsidRPr="00F74383">
        <w:rPr>
          <w:rFonts w:ascii="Book Antiqua" w:hAnsi="Book Antiqua"/>
          <w:i/>
          <w:iCs/>
        </w:rPr>
        <w:t>BMJ Open</w:t>
      </w:r>
      <w:r w:rsidRPr="00F74383">
        <w:rPr>
          <w:rFonts w:ascii="Book Antiqua" w:hAnsi="Book Antiqua"/>
        </w:rPr>
        <w:t xml:space="preserve"> 2020; </w:t>
      </w:r>
      <w:r w:rsidRPr="00F74383">
        <w:rPr>
          <w:rFonts w:ascii="Book Antiqua" w:hAnsi="Book Antiqua"/>
          <w:b/>
          <w:bCs/>
        </w:rPr>
        <w:t>10</w:t>
      </w:r>
      <w:r w:rsidRPr="00F74383">
        <w:rPr>
          <w:rFonts w:ascii="Book Antiqua" w:hAnsi="Book Antiqua"/>
        </w:rPr>
        <w:t>: e026854corr1 [PMID: 32029501 DOI: 10.1136/bmjopen-2018-026854corr1]</w:t>
      </w:r>
    </w:p>
    <w:p w14:paraId="594E7291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8 </w:t>
      </w:r>
      <w:r w:rsidRPr="00F74383">
        <w:rPr>
          <w:rFonts w:ascii="Book Antiqua" w:hAnsi="Book Antiqua"/>
          <w:b/>
          <w:bCs/>
        </w:rPr>
        <w:t>Gerber LH</w:t>
      </w:r>
      <w:r w:rsidRPr="00F74383">
        <w:rPr>
          <w:rFonts w:ascii="Book Antiqua" w:hAnsi="Book Antiqua"/>
        </w:rPr>
        <w:t xml:space="preserve">, Weinstein A, </w:t>
      </w:r>
      <w:proofErr w:type="spellStart"/>
      <w:r w:rsidRPr="00F74383">
        <w:rPr>
          <w:rFonts w:ascii="Book Antiqua" w:hAnsi="Book Antiqua"/>
        </w:rPr>
        <w:t>Pawloski</w:t>
      </w:r>
      <w:proofErr w:type="spellEnd"/>
      <w:r w:rsidRPr="00F74383">
        <w:rPr>
          <w:rFonts w:ascii="Book Antiqua" w:hAnsi="Book Antiqua"/>
        </w:rPr>
        <w:t xml:space="preserve"> L. Role of exercise in optimizing the functional status of patients with nonalcoholic fatty liver disease. </w:t>
      </w:r>
      <w:r w:rsidRPr="00F74383">
        <w:rPr>
          <w:rFonts w:ascii="Book Antiqua" w:hAnsi="Book Antiqua"/>
          <w:i/>
          <w:iCs/>
        </w:rPr>
        <w:t>Clin Liver Dis</w:t>
      </w:r>
      <w:r w:rsidRPr="00F74383">
        <w:rPr>
          <w:rFonts w:ascii="Book Antiqua" w:hAnsi="Book Antiqua"/>
        </w:rPr>
        <w:t xml:space="preserve"> 2014; </w:t>
      </w:r>
      <w:r w:rsidRPr="00F74383">
        <w:rPr>
          <w:rFonts w:ascii="Book Antiqua" w:hAnsi="Book Antiqua"/>
          <w:b/>
          <w:bCs/>
        </w:rPr>
        <w:t>18</w:t>
      </w:r>
      <w:r w:rsidRPr="00F74383">
        <w:rPr>
          <w:rFonts w:ascii="Book Antiqua" w:hAnsi="Book Antiqua"/>
        </w:rPr>
        <w:t>: 113-127 [PMID: 24274868 DOI: 10.1016/j.cld.2013.09.016]</w:t>
      </w:r>
    </w:p>
    <w:p w14:paraId="318E0B8E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9 </w:t>
      </w:r>
      <w:proofErr w:type="spellStart"/>
      <w:r w:rsidRPr="00F74383">
        <w:rPr>
          <w:rFonts w:ascii="Book Antiqua" w:hAnsi="Book Antiqua"/>
          <w:b/>
          <w:bCs/>
        </w:rPr>
        <w:t>Abdelbasset</w:t>
      </w:r>
      <w:proofErr w:type="spellEnd"/>
      <w:r w:rsidRPr="00F74383">
        <w:rPr>
          <w:rFonts w:ascii="Book Antiqua" w:hAnsi="Book Antiqua"/>
          <w:b/>
          <w:bCs/>
        </w:rPr>
        <w:t xml:space="preserve"> WK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Tantawy</w:t>
      </w:r>
      <w:proofErr w:type="spellEnd"/>
      <w:r w:rsidRPr="00F74383">
        <w:rPr>
          <w:rFonts w:ascii="Book Antiqua" w:hAnsi="Book Antiqua"/>
        </w:rPr>
        <w:t xml:space="preserve"> SA, Kamel DM, </w:t>
      </w:r>
      <w:proofErr w:type="spellStart"/>
      <w:r w:rsidRPr="00F74383">
        <w:rPr>
          <w:rFonts w:ascii="Book Antiqua" w:hAnsi="Book Antiqua"/>
        </w:rPr>
        <w:t>Alqahtani</w:t>
      </w:r>
      <w:proofErr w:type="spellEnd"/>
      <w:r w:rsidRPr="00F74383">
        <w:rPr>
          <w:rFonts w:ascii="Book Antiqua" w:hAnsi="Book Antiqua"/>
        </w:rPr>
        <w:t xml:space="preserve"> BA, </w:t>
      </w:r>
      <w:proofErr w:type="spellStart"/>
      <w:r w:rsidRPr="00F74383">
        <w:rPr>
          <w:rFonts w:ascii="Book Antiqua" w:hAnsi="Book Antiqua"/>
        </w:rPr>
        <w:t>Elnegamy</w:t>
      </w:r>
      <w:proofErr w:type="spellEnd"/>
      <w:r w:rsidRPr="00F74383">
        <w:rPr>
          <w:rFonts w:ascii="Book Antiqua" w:hAnsi="Book Antiqua"/>
        </w:rPr>
        <w:t xml:space="preserve"> TE, Soliman GS, Ibrahim AA. Effects of high-intensity interval and moderate-intensity continuous aerobic exercise on diabetic obese patients with nonalcoholic fatty liver disease: A comparative randomized controlled trial. </w:t>
      </w:r>
      <w:r w:rsidRPr="00F74383">
        <w:rPr>
          <w:rFonts w:ascii="Book Antiqua" w:hAnsi="Book Antiqua"/>
          <w:i/>
          <w:iCs/>
        </w:rPr>
        <w:t>Medicine (Baltimore)</w:t>
      </w:r>
      <w:r w:rsidRPr="00F74383">
        <w:rPr>
          <w:rFonts w:ascii="Book Antiqua" w:hAnsi="Book Antiqua"/>
        </w:rPr>
        <w:t xml:space="preserve"> 2020; </w:t>
      </w:r>
      <w:r w:rsidRPr="00F74383">
        <w:rPr>
          <w:rFonts w:ascii="Book Antiqua" w:hAnsi="Book Antiqua"/>
          <w:b/>
          <w:bCs/>
        </w:rPr>
        <w:t>99</w:t>
      </w:r>
      <w:r w:rsidRPr="00F74383">
        <w:rPr>
          <w:rFonts w:ascii="Book Antiqua" w:hAnsi="Book Antiqua"/>
        </w:rPr>
        <w:t>: e19471 [PMID: 32150108 DOI: 10.1097/MD.0000000000019471]</w:t>
      </w:r>
    </w:p>
    <w:p w14:paraId="315E0920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10 </w:t>
      </w:r>
      <w:r w:rsidRPr="00F74383">
        <w:rPr>
          <w:rFonts w:ascii="Book Antiqua" w:hAnsi="Book Antiqua"/>
          <w:b/>
          <w:bCs/>
        </w:rPr>
        <w:t>Locklear CT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Golabi</w:t>
      </w:r>
      <w:proofErr w:type="spellEnd"/>
      <w:r w:rsidRPr="00F74383">
        <w:rPr>
          <w:rFonts w:ascii="Book Antiqua" w:hAnsi="Book Antiqua"/>
        </w:rPr>
        <w:t xml:space="preserve"> P, Gerber L, </w:t>
      </w:r>
      <w:proofErr w:type="spellStart"/>
      <w:r w:rsidRPr="00F74383">
        <w:rPr>
          <w:rFonts w:ascii="Book Antiqua" w:hAnsi="Book Antiqua"/>
        </w:rPr>
        <w:t>Younossi</w:t>
      </w:r>
      <w:proofErr w:type="spellEnd"/>
      <w:r w:rsidRPr="00F74383">
        <w:rPr>
          <w:rFonts w:ascii="Book Antiqua" w:hAnsi="Book Antiqua"/>
        </w:rPr>
        <w:t xml:space="preserve"> ZM. Exercise as an intervention for patients with end-stage liver disease: Systematic review. </w:t>
      </w:r>
      <w:r w:rsidRPr="00F74383">
        <w:rPr>
          <w:rFonts w:ascii="Book Antiqua" w:hAnsi="Book Antiqua"/>
          <w:i/>
          <w:iCs/>
        </w:rPr>
        <w:t>Medicine (Baltimore)</w:t>
      </w:r>
      <w:r w:rsidRPr="00F74383">
        <w:rPr>
          <w:rFonts w:ascii="Book Antiqua" w:hAnsi="Book Antiqua"/>
        </w:rPr>
        <w:t xml:space="preserve"> 2018; </w:t>
      </w:r>
      <w:r w:rsidRPr="00F74383">
        <w:rPr>
          <w:rFonts w:ascii="Book Antiqua" w:hAnsi="Book Antiqua"/>
          <w:b/>
          <w:bCs/>
        </w:rPr>
        <w:t>97</w:t>
      </w:r>
      <w:r w:rsidRPr="00F74383">
        <w:rPr>
          <w:rFonts w:ascii="Book Antiqua" w:hAnsi="Book Antiqua"/>
        </w:rPr>
        <w:t>: e12774 [PMID: 30334965 DOI: 10.1097/MD.0000000000012774]</w:t>
      </w:r>
    </w:p>
    <w:p w14:paraId="7F90CF7C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11 </w:t>
      </w:r>
      <w:proofErr w:type="spellStart"/>
      <w:r w:rsidRPr="00F74383">
        <w:rPr>
          <w:rFonts w:ascii="Book Antiqua" w:hAnsi="Book Antiqua"/>
          <w:b/>
          <w:bCs/>
        </w:rPr>
        <w:t>Achttien</w:t>
      </w:r>
      <w:proofErr w:type="spellEnd"/>
      <w:r w:rsidRPr="00F74383">
        <w:rPr>
          <w:rFonts w:ascii="Book Antiqua" w:hAnsi="Book Antiqua"/>
          <w:b/>
          <w:bCs/>
        </w:rPr>
        <w:t xml:space="preserve"> R</w:t>
      </w:r>
      <w:r w:rsidRPr="00F74383">
        <w:rPr>
          <w:rFonts w:ascii="Book Antiqua" w:hAnsi="Book Antiqua"/>
        </w:rPr>
        <w:t xml:space="preserve">, van </w:t>
      </w:r>
      <w:proofErr w:type="spellStart"/>
      <w:r w:rsidRPr="00F74383">
        <w:rPr>
          <w:rFonts w:ascii="Book Antiqua" w:hAnsi="Book Antiqua"/>
        </w:rPr>
        <w:t>Lieshout</w:t>
      </w:r>
      <w:proofErr w:type="spellEnd"/>
      <w:r w:rsidRPr="00F74383">
        <w:rPr>
          <w:rFonts w:ascii="Book Antiqua" w:hAnsi="Book Antiqua"/>
        </w:rPr>
        <w:t xml:space="preserve"> J, </w:t>
      </w:r>
      <w:proofErr w:type="spellStart"/>
      <w:r w:rsidRPr="00F74383">
        <w:rPr>
          <w:rFonts w:ascii="Book Antiqua" w:hAnsi="Book Antiqua"/>
        </w:rPr>
        <w:t>Wensing</w:t>
      </w:r>
      <w:proofErr w:type="spellEnd"/>
      <w:r w:rsidRPr="00F74383">
        <w:rPr>
          <w:rFonts w:ascii="Book Antiqua" w:hAnsi="Book Antiqua"/>
        </w:rPr>
        <w:t xml:space="preserve"> M, van der Sanden MN, </w:t>
      </w:r>
      <w:proofErr w:type="spellStart"/>
      <w:r w:rsidRPr="00F74383">
        <w:rPr>
          <w:rFonts w:ascii="Book Antiqua" w:hAnsi="Book Antiqua"/>
        </w:rPr>
        <w:t>Staal</w:t>
      </w:r>
      <w:proofErr w:type="spellEnd"/>
      <w:r w:rsidRPr="00F74383">
        <w:rPr>
          <w:rFonts w:ascii="Book Antiqua" w:hAnsi="Book Antiqua"/>
        </w:rPr>
        <w:t xml:space="preserve"> JB. Symptoms of depression are associated with physical inactivity but not modified by gender or the presence of a cardiovascular disease; a cross-sectional study. </w:t>
      </w:r>
      <w:r w:rsidRPr="00341CFE">
        <w:rPr>
          <w:rFonts w:ascii="Book Antiqua" w:hAnsi="Book Antiqua"/>
          <w:i/>
          <w:iCs/>
        </w:rPr>
        <w:t xml:space="preserve">BMC Cardiovasc </w:t>
      </w:r>
      <w:proofErr w:type="spellStart"/>
      <w:r w:rsidRPr="00341CFE">
        <w:rPr>
          <w:rFonts w:ascii="Book Antiqua" w:hAnsi="Book Antiqua"/>
          <w:i/>
          <w:iCs/>
        </w:rPr>
        <w:t>Disord</w:t>
      </w:r>
      <w:proofErr w:type="spellEnd"/>
      <w:r w:rsidRPr="00F74383">
        <w:rPr>
          <w:rFonts w:ascii="Book Antiqua" w:hAnsi="Book Antiqua"/>
        </w:rPr>
        <w:t xml:space="preserve"> 2019; </w:t>
      </w:r>
      <w:r w:rsidRPr="00341CFE">
        <w:rPr>
          <w:rFonts w:ascii="Book Antiqua" w:hAnsi="Book Antiqua"/>
          <w:b/>
          <w:bCs/>
        </w:rPr>
        <w:t>19</w:t>
      </w:r>
      <w:r w:rsidRPr="00F74383">
        <w:rPr>
          <w:rFonts w:ascii="Book Antiqua" w:hAnsi="Book Antiqua"/>
        </w:rPr>
        <w:t>: 95. [DOI: 10.1186/s12872-019-1065-8]</w:t>
      </w:r>
    </w:p>
    <w:p w14:paraId="7174D775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12 </w:t>
      </w:r>
      <w:r w:rsidRPr="00F74383">
        <w:rPr>
          <w:rFonts w:ascii="Book Antiqua" w:hAnsi="Book Antiqua"/>
          <w:b/>
          <w:bCs/>
        </w:rPr>
        <w:t>Jung JY</w:t>
      </w:r>
      <w:r w:rsidRPr="00F74383">
        <w:rPr>
          <w:rFonts w:ascii="Book Antiqua" w:hAnsi="Book Antiqua"/>
        </w:rPr>
        <w:t xml:space="preserve">, Park SK, Oh CM, Chung PW, </w:t>
      </w:r>
      <w:proofErr w:type="spellStart"/>
      <w:r w:rsidRPr="00F74383">
        <w:rPr>
          <w:rFonts w:ascii="Book Antiqua" w:hAnsi="Book Antiqua"/>
        </w:rPr>
        <w:t>Ryoo</w:t>
      </w:r>
      <w:proofErr w:type="spellEnd"/>
      <w:r w:rsidRPr="00F74383">
        <w:rPr>
          <w:rFonts w:ascii="Book Antiqua" w:hAnsi="Book Antiqua"/>
        </w:rPr>
        <w:t xml:space="preserve"> JH. Non-Alcoholic Fatty Liver Disease and Its Association with Depression in Korean General Population. </w:t>
      </w:r>
      <w:r w:rsidRPr="00F74383">
        <w:rPr>
          <w:rFonts w:ascii="Book Antiqua" w:hAnsi="Book Antiqua"/>
          <w:i/>
          <w:iCs/>
        </w:rPr>
        <w:t>J Korean Med Sci</w:t>
      </w:r>
      <w:r w:rsidRPr="00F74383">
        <w:rPr>
          <w:rFonts w:ascii="Book Antiqua" w:hAnsi="Book Antiqua"/>
        </w:rPr>
        <w:t xml:space="preserve"> 2019; </w:t>
      </w:r>
      <w:r w:rsidRPr="00F74383">
        <w:rPr>
          <w:rFonts w:ascii="Book Antiqua" w:hAnsi="Book Antiqua"/>
          <w:b/>
          <w:bCs/>
        </w:rPr>
        <w:t>34</w:t>
      </w:r>
      <w:r w:rsidRPr="00F74383">
        <w:rPr>
          <w:rFonts w:ascii="Book Antiqua" w:hAnsi="Book Antiqua"/>
        </w:rPr>
        <w:t>: e199 [PMID: 31373184 DOI: 10.3346/jkms.2019.</w:t>
      </w:r>
      <w:proofErr w:type="gramStart"/>
      <w:r w:rsidRPr="00F74383">
        <w:rPr>
          <w:rFonts w:ascii="Book Antiqua" w:hAnsi="Book Antiqua"/>
        </w:rPr>
        <w:t>34.e</w:t>
      </w:r>
      <w:proofErr w:type="gramEnd"/>
      <w:r w:rsidRPr="00F74383">
        <w:rPr>
          <w:rFonts w:ascii="Book Antiqua" w:hAnsi="Book Antiqua"/>
        </w:rPr>
        <w:t>199]</w:t>
      </w:r>
    </w:p>
    <w:p w14:paraId="2A7A96D2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13 </w:t>
      </w:r>
      <w:r w:rsidRPr="00F74383">
        <w:rPr>
          <w:rFonts w:ascii="Book Antiqua" w:hAnsi="Book Antiqua"/>
          <w:b/>
          <w:bCs/>
        </w:rPr>
        <w:t>Kim D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Yoo</w:t>
      </w:r>
      <w:proofErr w:type="spellEnd"/>
      <w:r w:rsidRPr="00F74383">
        <w:rPr>
          <w:rFonts w:ascii="Book Antiqua" w:hAnsi="Book Antiqua"/>
        </w:rPr>
        <w:t xml:space="preserve"> ER, Li AA, Tighe SP, </w:t>
      </w:r>
      <w:proofErr w:type="spellStart"/>
      <w:r w:rsidRPr="00F74383">
        <w:rPr>
          <w:rFonts w:ascii="Book Antiqua" w:hAnsi="Book Antiqua"/>
        </w:rPr>
        <w:t>Cholankeril</w:t>
      </w:r>
      <w:proofErr w:type="spellEnd"/>
      <w:r w:rsidRPr="00F74383">
        <w:rPr>
          <w:rFonts w:ascii="Book Antiqua" w:hAnsi="Book Antiqua"/>
        </w:rPr>
        <w:t xml:space="preserve"> G, Harrison SA, Ahmed A. Depression is associated with non-alcoholic fatty liver disease among adults in the United States. </w:t>
      </w:r>
      <w:r w:rsidRPr="00F74383">
        <w:rPr>
          <w:rFonts w:ascii="Book Antiqua" w:hAnsi="Book Antiqua"/>
          <w:i/>
          <w:iCs/>
        </w:rPr>
        <w:t xml:space="preserve">Aliment </w:t>
      </w:r>
      <w:proofErr w:type="spellStart"/>
      <w:r w:rsidRPr="00F74383">
        <w:rPr>
          <w:rFonts w:ascii="Book Antiqua" w:hAnsi="Book Antiqua"/>
          <w:i/>
          <w:iCs/>
        </w:rPr>
        <w:t>Pharmacol</w:t>
      </w:r>
      <w:proofErr w:type="spellEnd"/>
      <w:r w:rsidRPr="00F74383">
        <w:rPr>
          <w:rFonts w:ascii="Book Antiqua" w:hAnsi="Book Antiqua"/>
          <w:i/>
          <w:iCs/>
        </w:rPr>
        <w:t xml:space="preserve"> </w:t>
      </w:r>
      <w:proofErr w:type="spellStart"/>
      <w:r w:rsidRPr="00F74383">
        <w:rPr>
          <w:rFonts w:ascii="Book Antiqua" w:hAnsi="Book Antiqua"/>
          <w:i/>
          <w:iCs/>
        </w:rPr>
        <w:t>Ther</w:t>
      </w:r>
      <w:proofErr w:type="spellEnd"/>
      <w:r w:rsidRPr="00F74383">
        <w:rPr>
          <w:rFonts w:ascii="Book Antiqua" w:hAnsi="Book Antiqua"/>
        </w:rPr>
        <w:t xml:space="preserve"> 2019; </w:t>
      </w:r>
      <w:r w:rsidRPr="00F74383">
        <w:rPr>
          <w:rFonts w:ascii="Book Antiqua" w:hAnsi="Book Antiqua"/>
          <w:b/>
          <w:bCs/>
        </w:rPr>
        <w:t>50</w:t>
      </w:r>
      <w:r w:rsidRPr="00F74383">
        <w:rPr>
          <w:rFonts w:ascii="Book Antiqua" w:hAnsi="Book Antiqua"/>
        </w:rPr>
        <w:t>: 590-598 [PMID: 31328300 DOI: 10.1111/apt.15395]</w:t>
      </w:r>
    </w:p>
    <w:p w14:paraId="3BF8BEBF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14 </w:t>
      </w:r>
      <w:proofErr w:type="spellStart"/>
      <w:r w:rsidRPr="00F74383">
        <w:rPr>
          <w:rFonts w:ascii="Book Antiqua" w:hAnsi="Book Antiqua"/>
          <w:b/>
          <w:bCs/>
        </w:rPr>
        <w:t>Tomeno</w:t>
      </w:r>
      <w:proofErr w:type="spellEnd"/>
      <w:r w:rsidRPr="00F74383">
        <w:rPr>
          <w:rFonts w:ascii="Book Antiqua" w:hAnsi="Book Antiqua"/>
          <w:b/>
          <w:bCs/>
        </w:rPr>
        <w:t xml:space="preserve"> W</w:t>
      </w:r>
      <w:r w:rsidRPr="00F74383">
        <w:rPr>
          <w:rFonts w:ascii="Book Antiqua" w:hAnsi="Book Antiqua"/>
        </w:rPr>
        <w:t xml:space="preserve">, Kawashima K, </w:t>
      </w:r>
      <w:proofErr w:type="spellStart"/>
      <w:r w:rsidRPr="00F74383">
        <w:rPr>
          <w:rFonts w:ascii="Book Antiqua" w:hAnsi="Book Antiqua"/>
        </w:rPr>
        <w:t>Yoneda</w:t>
      </w:r>
      <w:proofErr w:type="spellEnd"/>
      <w:r w:rsidRPr="00F74383">
        <w:rPr>
          <w:rFonts w:ascii="Book Antiqua" w:hAnsi="Book Antiqua"/>
        </w:rPr>
        <w:t xml:space="preserve"> M, Saito S, Ogawa Y, Honda Y, </w:t>
      </w:r>
      <w:proofErr w:type="spellStart"/>
      <w:r w:rsidRPr="00F74383">
        <w:rPr>
          <w:rFonts w:ascii="Book Antiqua" w:hAnsi="Book Antiqua"/>
        </w:rPr>
        <w:t>Kessoku</w:t>
      </w:r>
      <w:proofErr w:type="spellEnd"/>
      <w:r w:rsidRPr="00F74383">
        <w:rPr>
          <w:rFonts w:ascii="Book Antiqua" w:hAnsi="Book Antiqua"/>
        </w:rPr>
        <w:t xml:space="preserve"> T, </w:t>
      </w:r>
      <w:proofErr w:type="spellStart"/>
      <w:r w:rsidRPr="00F74383">
        <w:rPr>
          <w:rFonts w:ascii="Book Antiqua" w:hAnsi="Book Antiqua"/>
        </w:rPr>
        <w:t>Imajo</w:t>
      </w:r>
      <w:proofErr w:type="spellEnd"/>
      <w:r w:rsidRPr="00F74383">
        <w:rPr>
          <w:rFonts w:ascii="Book Antiqua" w:hAnsi="Book Antiqua"/>
        </w:rPr>
        <w:t xml:space="preserve"> K, </w:t>
      </w:r>
      <w:proofErr w:type="spellStart"/>
      <w:r w:rsidRPr="00F74383">
        <w:rPr>
          <w:rFonts w:ascii="Book Antiqua" w:hAnsi="Book Antiqua"/>
        </w:rPr>
        <w:t>Mawatari</w:t>
      </w:r>
      <w:proofErr w:type="spellEnd"/>
      <w:r w:rsidRPr="00F74383">
        <w:rPr>
          <w:rFonts w:ascii="Book Antiqua" w:hAnsi="Book Antiqua"/>
        </w:rPr>
        <w:t xml:space="preserve"> H, Fujita K, Saito S, </w:t>
      </w:r>
      <w:proofErr w:type="spellStart"/>
      <w:r w:rsidRPr="00F74383">
        <w:rPr>
          <w:rFonts w:ascii="Book Antiqua" w:hAnsi="Book Antiqua"/>
        </w:rPr>
        <w:t>Hirayasu</w:t>
      </w:r>
      <w:proofErr w:type="spellEnd"/>
      <w:r w:rsidRPr="00F74383">
        <w:rPr>
          <w:rFonts w:ascii="Book Antiqua" w:hAnsi="Book Antiqua"/>
        </w:rPr>
        <w:t xml:space="preserve"> Y, Nakajima A. Non-alcoholic fatty liver </w:t>
      </w:r>
      <w:r w:rsidRPr="00F74383">
        <w:rPr>
          <w:rFonts w:ascii="Book Antiqua" w:hAnsi="Book Antiqua"/>
        </w:rPr>
        <w:lastRenderedPageBreak/>
        <w:t xml:space="preserve">disease comorbid with major depressive disorder: The pathological features and poor therapeutic efficacy. </w:t>
      </w:r>
      <w:r w:rsidRPr="00F74383">
        <w:rPr>
          <w:rFonts w:ascii="Book Antiqua" w:hAnsi="Book Antiqua"/>
          <w:i/>
          <w:iCs/>
        </w:rPr>
        <w:t>J Gastroenterol Hepatol</w:t>
      </w:r>
      <w:r w:rsidRPr="00F74383">
        <w:rPr>
          <w:rFonts w:ascii="Book Antiqua" w:hAnsi="Book Antiqua"/>
        </w:rPr>
        <w:t xml:space="preserve"> 2015; </w:t>
      </w:r>
      <w:r w:rsidRPr="00F74383">
        <w:rPr>
          <w:rFonts w:ascii="Book Antiqua" w:hAnsi="Book Antiqua"/>
          <w:b/>
          <w:bCs/>
        </w:rPr>
        <w:t>30</w:t>
      </w:r>
      <w:r w:rsidRPr="00F74383">
        <w:rPr>
          <w:rFonts w:ascii="Book Antiqua" w:hAnsi="Book Antiqua"/>
        </w:rPr>
        <w:t>: 1009-1014 [PMID: 25619308 DOI: 10.1111/jgh.12897]</w:t>
      </w:r>
    </w:p>
    <w:p w14:paraId="50BA71AA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15 </w:t>
      </w:r>
      <w:r w:rsidRPr="00F74383">
        <w:rPr>
          <w:rFonts w:ascii="Book Antiqua" w:hAnsi="Book Antiqua"/>
          <w:b/>
          <w:bCs/>
        </w:rPr>
        <w:t>Lam WY</w:t>
      </w:r>
      <w:r w:rsidRPr="00F74383">
        <w:rPr>
          <w:rFonts w:ascii="Book Antiqua" w:hAnsi="Book Antiqua"/>
        </w:rPr>
        <w:t xml:space="preserve">, Fresco P. Medication Adherence Measures: An Overview. </w:t>
      </w:r>
      <w:r w:rsidRPr="00F74383">
        <w:rPr>
          <w:rFonts w:ascii="Book Antiqua" w:hAnsi="Book Antiqua"/>
          <w:i/>
          <w:iCs/>
        </w:rPr>
        <w:t>Biomed Res Int</w:t>
      </w:r>
      <w:r w:rsidRPr="00F74383">
        <w:rPr>
          <w:rFonts w:ascii="Book Antiqua" w:hAnsi="Book Antiqua"/>
        </w:rPr>
        <w:t xml:space="preserve"> 2015; </w:t>
      </w:r>
      <w:r w:rsidRPr="00F74383">
        <w:rPr>
          <w:rFonts w:ascii="Book Antiqua" w:hAnsi="Book Antiqua"/>
          <w:b/>
          <w:bCs/>
        </w:rPr>
        <w:t>2015</w:t>
      </w:r>
      <w:r w:rsidRPr="00F74383">
        <w:rPr>
          <w:rFonts w:ascii="Book Antiqua" w:hAnsi="Book Antiqua"/>
        </w:rPr>
        <w:t>: 217047 [PMID: 26539470 DOI: 10.1155/2015/217047]</w:t>
      </w:r>
    </w:p>
    <w:p w14:paraId="1BA75D27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16 </w:t>
      </w:r>
      <w:r w:rsidRPr="00F74383">
        <w:rPr>
          <w:rFonts w:ascii="Book Antiqua" w:hAnsi="Book Antiqua"/>
          <w:b/>
          <w:bCs/>
        </w:rPr>
        <w:t>Barrett-Connor E</w:t>
      </w:r>
      <w:r w:rsidRPr="00F74383">
        <w:rPr>
          <w:rFonts w:ascii="Book Antiqua" w:hAnsi="Book Antiqua"/>
        </w:rPr>
        <w:t xml:space="preserve">. The prevalence of diabetes mellitus in an adult community as determined by history or fasting hyperglycemia. </w:t>
      </w:r>
      <w:r w:rsidRPr="00F74383">
        <w:rPr>
          <w:rFonts w:ascii="Book Antiqua" w:hAnsi="Book Antiqua"/>
          <w:i/>
          <w:iCs/>
        </w:rPr>
        <w:t>Am J Epidemiol</w:t>
      </w:r>
      <w:r w:rsidRPr="00F74383">
        <w:rPr>
          <w:rFonts w:ascii="Book Antiqua" w:hAnsi="Book Antiqua"/>
        </w:rPr>
        <w:t xml:space="preserve"> 1980; </w:t>
      </w:r>
      <w:r w:rsidRPr="00F74383">
        <w:rPr>
          <w:rFonts w:ascii="Book Antiqua" w:hAnsi="Book Antiqua"/>
          <w:b/>
          <w:bCs/>
        </w:rPr>
        <w:t>111</w:t>
      </w:r>
      <w:r w:rsidRPr="00F74383">
        <w:rPr>
          <w:rFonts w:ascii="Book Antiqua" w:hAnsi="Book Antiqua"/>
        </w:rPr>
        <w:t>: 705-712 [PMID: 7386445 DOI: 10.1093/oxfordjournals.aje.a112948]</w:t>
      </w:r>
    </w:p>
    <w:p w14:paraId="7EAD6533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17 </w:t>
      </w:r>
      <w:r w:rsidRPr="00F74383">
        <w:rPr>
          <w:rFonts w:ascii="Book Antiqua" w:hAnsi="Book Antiqua"/>
          <w:b/>
          <w:bCs/>
        </w:rPr>
        <w:t>Haigh EAP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Bogucki</w:t>
      </w:r>
      <w:proofErr w:type="spellEnd"/>
      <w:r w:rsidRPr="00F74383">
        <w:rPr>
          <w:rFonts w:ascii="Book Antiqua" w:hAnsi="Book Antiqua"/>
        </w:rPr>
        <w:t xml:space="preserve"> OE, </w:t>
      </w:r>
      <w:proofErr w:type="spellStart"/>
      <w:r w:rsidRPr="00F74383">
        <w:rPr>
          <w:rFonts w:ascii="Book Antiqua" w:hAnsi="Book Antiqua"/>
        </w:rPr>
        <w:t>Sigmon</w:t>
      </w:r>
      <w:proofErr w:type="spellEnd"/>
      <w:r w:rsidRPr="00F74383">
        <w:rPr>
          <w:rFonts w:ascii="Book Antiqua" w:hAnsi="Book Antiqua"/>
        </w:rPr>
        <w:t xml:space="preserve"> ST, Blazer DG. Depression Among Older Adults: A 20-Year Update on Five Common Myths and Misconceptions. </w:t>
      </w:r>
      <w:r w:rsidRPr="00F74383">
        <w:rPr>
          <w:rFonts w:ascii="Book Antiqua" w:hAnsi="Book Antiqua"/>
          <w:i/>
          <w:iCs/>
        </w:rPr>
        <w:t xml:space="preserve">Am J </w:t>
      </w:r>
      <w:proofErr w:type="spellStart"/>
      <w:r w:rsidRPr="00F74383">
        <w:rPr>
          <w:rFonts w:ascii="Book Antiqua" w:hAnsi="Book Antiqua"/>
          <w:i/>
          <w:iCs/>
        </w:rPr>
        <w:t>Geriatr</w:t>
      </w:r>
      <w:proofErr w:type="spellEnd"/>
      <w:r w:rsidRPr="00F74383">
        <w:rPr>
          <w:rFonts w:ascii="Book Antiqua" w:hAnsi="Book Antiqua"/>
          <w:i/>
          <w:iCs/>
        </w:rPr>
        <w:t xml:space="preserve"> Psychiatry</w:t>
      </w:r>
      <w:r w:rsidRPr="00F74383">
        <w:rPr>
          <w:rFonts w:ascii="Book Antiqua" w:hAnsi="Book Antiqua"/>
        </w:rPr>
        <w:t xml:space="preserve"> 2018; </w:t>
      </w:r>
      <w:r w:rsidRPr="00F74383">
        <w:rPr>
          <w:rFonts w:ascii="Book Antiqua" w:hAnsi="Book Antiqua"/>
          <w:b/>
          <w:bCs/>
        </w:rPr>
        <w:t>26</w:t>
      </w:r>
      <w:r w:rsidRPr="00F74383">
        <w:rPr>
          <w:rFonts w:ascii="Book Antiqua" w:hAnsi="Book Antiqua"/>
        </w:rPr>
        <w:t>: 107-122 [PMID: 28735658 DOI: 10.1016/j.jagp.2017.06.011]</w:t>
      </w:r>
    </w:p>
    <w:p w14:paraId="5D105308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18 </w:t>
      </w:r>
      <w:r w:rsidRPr="00F74383">
        <w:rPr>
          <w:rFonts w:ascii="Book Antiqua" w:hAnsi="Book Antiqua"/>
          <w:b/>
          <w:bCs/>
        </w:rPr>
        <w:t>Matthews DR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Hosker</w:t>
      </w:r>
      <w:proofErr w:type="spellEnd"/>
      <w:r w:rsidRPr="00F74383">
        <w:rPr>
          <w:rFonts w:ascii="Book Antiqua" w:hAnsi="Book Antiqua"/>
        </w:rPr>
        <w:t xml:space="preserve"> JP, </w:t>
      </w:r>
      <w:proofErr w:type="spellStart"/>
      <w:r w:rsidRPr="00F74383">
        <w:rPr>
          <w:rFonts w:ascii="Book Antiqua" w:hAnsi="Book Antiqua"/>
        </w:rPr>
        <w:t>Rudenski</w:t>
      </w:r>
      <w:proofErr w:type="spellEnd"/>
      <w:r w:rsidRPr="00F74383">
        <w:rPr>
          <w:rFonts w:ascii="Book Antiqua" w:hAnsi="Book Antiqua"/>
        </w:rPr>
        <w:t xml:space="preserve"> AS, Naylor BA, </w:t>
      </w:r>
      <w:proofErr w:type="spellStart"/>
      <w:r w:rsidRPr="00F74383">
        <w:rPr>
          <w:rFonts w:ascii="Book Antiqua" w:hAnsi="Book Antiqua"/>
        </w:rPr>
        <w:t>Treacher</w:t>
      </w:r>
      <w:proofErr w:type="spellEnd"/>
      <w:r w:rsidRPr="00F74383">
        <w:rPr>
          <w:rFonts w:ascii="Book Antiqua" w:hAnsi="Book Antiqua"/>
        </w:rPr>
        <w:t xml:space="preserve"> DF, Turner RC. Homeostasis model assessment: insulin resistance and beta-cell function from fasting plasma glucose and insulin concentrations in man. </w:t>
      </w:r>
      <w:proofErr w:type="spellStart"/>
      <w:r w:rsidRPr="00F74383">
        <w:rPr>
          <w:rFonts w:ascii="Book Antiqua" w:hAnsi="Book Antiqua"/>
          <w:i/>
          <w:iCs/>
        </w:rPr>
        <w:t>Diabetologia</w:t>
      </w:r>
      <w:proofErr w:type="spellEnd"/>
      <w:r w:rsidRPr="00F74383">
        <w:rPr>
          <w:rFonts w:ascii="Book Antiqua" w:hAnsi="Book Antiqua"/>
        </w:rPr>
        <w:t xml:space="preserve"> 1985; </w:t>
      </w:r>
      <w:r w:rsidRPr="00F74383">
        <w:rPr>
          <w:rFonts w:ascii="Book Antiqua" w:hAnsi="Book Antiqua"/>
          <w:b/>
          <w:bCs/>
        </w:rPr>
        <w:t>28</w:t>
      </w:r>
      <w:r w:rsidRPr="00F74383">
        <w:rPr>
          <w:rFonts w:ascii="Book Antiqua" w:hAnsi="Book Antiqua"/>
        </w:rPr>
        <w:t>: 412-419 [PMID: 3899825 DOI: 10.1007/BF00280883]</w:t>
      </w:r>
    </w:p>
    <w:p w14:paraId="564E3D56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19 </w:t>
      </w:r>
      <w:r w:rsidRPr="00F74383">
        <w:rPr>
          <w:rFonts w:ascii="Book Antiqua" w:hAnsi="Book Antiqua"/>
          <w:b/>
          <w:bCs/>
        </w:rPr>
        <w:t>Third Report of the National Cholesterol Education Program (NCEP) Expert Panel on Detection</w:t>
      </w:r>
      <w:r w:rsidRPr="00F74383">
        <w:rPr>
          <w:rFonts w:ascii="Book Antiqua" w:hAnsi="Book Antiqua"/>
        </w:rPr>
        <w:t>, Evaluation, and Treatment of High Blood Cholesterol in Adults (Adult Treatment Panel III) Final Report. Circulation. 2002; 106. Available from: https://pubmed.ncbi.nlm.nih.gov/12485966/</w:t>
      </w:r>
    </w:p>
    <w:p w14:paraId="1293E782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20 </w:t>
      </w:r>
      <w:r w:rsidRPr="00F74383">
        <w:rPr>
          <w:rFonts w:ascii="Book Antiqua" w:hAnsi="Book Antiqua"/>
          <w:b/>
          <w:bCs/>
        </w:rPr>
        <w:t>Beck AT</w:t>
      </w:r>
      <w:r w:rsidRPr="00F74383">
        <w:rPr>
          <w:rFonts w:ascii="Book Antiqua" w:hAnsi="Book Antiqua"/>
        </w:rPr>
        <w:t xml:space="preserve">, Steer RA, </w:t>
      </w:r>
      <w:proofErr w:type="spellStart"/>
      <w:r w:rsidRPr="00F74383">
        <w:rPr>
          <w:rFonts w:ascii="Book Antiqua" w:hAnsi="Book Antiqua"/>
        </w:rPr>
        <w:t>Carbin</w:t>
      </w:r>
      <w:proofErr w:type="spellEnd"/>
      <w:r w:rsidRPr="00F74383">
        <w:rPr>
          <w:rFonts w:ascii="Book Antiqua" w:hAnsi="Book Antiqua"/>
        </w:rPr>
        <w:t xml:space="preserve"> MG. Psychometric properties of the Beck Depression Inventory: Twenty-five years of evaluation. </w:t>
      </w:r>
      <w:r w:rsidRPr="00785689">
        <w:rPr>
          <w:rFonts w:ascii="Book Antiqua" w:hAnsi="Book Antiqua"/>
          <w:i/>
          <w:iCs/>
        </w:rPr>
        <w:t>Clin Psychol Rev</w:t>
      </w:r>
      <w:r w:rsidRPr="00F74383">
        <w:rPr>
          <w:rFonts w:ascii="Book Antiqua" w:hAnsi="Book Antiqua"/>
        </w:rPr>
        <w:t xml:space="preserve"> 1988; </w:t>
      </w:r>
      <w:r w:rsidRPr="00785689">
        <w:rPr>
          <w:rFonts w:ascii="Book Antiqua" w:hAnsi="Book Antiqua"/>
          <w:b/>
          <w:bCs/>
        </w:rPr>
        <w:t>8</w:t>
      </w:r>
      <w:r w:rsidRPr="00F74383">
        <w:rPr>
          <w:rFonts w:ascii="Book Antiqua" w:hAnsi="Book Antiqua"/>
        </w:rPr>
        <w:t>: 77–100. [DOI:10.1016/0272-7358(88)90050-5]</w:t>
      </w:r>
    </w:p>
    <w:p w14:paraId="4F2522D8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21 </w:t>
      </w:r>
      <w:r w:rsidRPr="00F74383">
        <w:rPr>
          <w:rFonts w:ascii="Book Antiqua" w:hAnsi="Book Antiqua"/>
          <w:b/>
          <w:bCs/>
        </w:rPr>
        <w:t>Lee JH</w:t>
      </w:r>
      <w:r w:rsidRPr="00F74383">
        <w:rPr>
          <w:rFonts w:ascii="Book Antiqua" w:hAnsi="Book Antiqua"/>
        </w:rPr>
        <w:t xml:space="preserve">, Kim D, Kim HJ, Lee CH, Yang JI, Kim W, Kim YJ, Yoon JH, Cho SH, Sung MW, Lee HS. Hepatic steatosis index: a simple screening tool reflecting nonalcoholic fatty liver disease. </w:t>
      </w:r>
      <w:r w:rsidRPr="00F74383">
        <w:rPr>
          <w:rFonts w:ascii="Book Antiqua" w:hAnsi="Book Antiqua"/>
          <w:i/>
          <w:iCs/>
        </w:rPr>
        <w:t>Dig Liver Dis</w:t>
      </w:r>
      <w:r w:rsidRPr="00F74383">
        <w:rPr>
          <w:rFonts w:ascii="Book Antiqua" w:hAnsi="Book Antiqua"/>
        </w:rPr>
        <w:t xml:space="preserve"> 2010; </w:t>
      </w:r>
      <w:r w:rsidRPr="00F74383">
        <w:rPr>
          <w:rFonts w:ascii="Book Antiqua" w:hAnsi="Book Antiqua"/>
          <w:b/>
          <w:bCs/>
        </w:rPr>
        <w:t>42</w:t>
      </w:r>
      <w:r w:rsidRPr="00F74383">
        <w:rPr>
          <w:rFonts w:ascii="Book Antiqua" w:hAnsi="Book Antiqua"/>
        </w:rPr>
        <w:t>: 503-508 [PMID: 19766548 DOI: 10.1016/j.dld.2009.08.002]</w:t>
      </w:r>
    </w:p>
    <w:p w14:paraId="5EB69048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22 </w:t>
      </w:r>
      <w:proofErr w:type="spellStart"/>
      <w:r w:rsidRPr="00F74383">
        <w:rPr>
          <w:rFonts w:ascii="Book Antiqua" w:hAnsi="Book Antiqua"/>
          <w:b/>
          <w:bCs/>
        </w:rPr>
        <w:t>Meffert</w:t>
      </w:r>
      <w:proofErr w:type="spellEnd"/>
      <w:r w:rsidRPr="00F74383">
        <w:rPr>
          <w:rFonts w:ascii="Book Antiqua" w:hAnsi="Book Antiqua"/>
          <w:b/>
          <w:bCs/>
        </w:rPr>
        <w:t xml:space="preserve"> PJ</w:t>
      </w:r>
      <w:r w:rsidRPr="00F74383">
        <w:rPr>
          <w:rFonts w:ascii="Book Antiqua" w:hAnsi="Book Antiqua"/>
        </w:rPr>
        <w:t xml:space="preserve">, Baumeister SE, Lerch MM, </w:t>
      </w:r>
      <w:proofErr w:type="spellStart"/>
      <w:r w:rsidRPr="00F74383">
        <w:rPr>
          <w:rFonts w:ascii="Book Antiqua" w:hAnsi="Book Antiqua"/>
        </w:rPr>
        <w:t>Mayerle</w:t>
      </w:r>
      <w:proofErr w:type="spellEnd"/>
      <w:r w:rsidRPr="00F74383">
        <w:rPr>
          <w:rFonts w:ascii="Book Antiqua" w:hAnsi="Book Antiqua"/>
        </w:rPr>
        <w:t xml:space="preserve"> J, </w:t>
      </w:r>
      <w:proofErr w:type="spellStart"/>
      <w:r w:rsidRPr="00F74383">
        <w:rPr>
          <w:rFonts w:ascii="Book Antiqua" w:hAnsi="Book Antiqua"/>
        </w:rPr>
        <w:t>Kratzer</w:t>
      </w:r>
      <w:proofErr w:type="spellEnd"/>
      <w:r w:rsidRPr="00F74383">
        <w:rPr>
          <w:rFonts w:ascii="Book Antiqua" w:hAnsi="Book Antiqua"/>
        </w:rPr>
        <w:t xml:space="preserve"> W, </w:t>
      </w:r>
      <w:proofErr w:type="spellStart"/>
      <w:r w:rsidRPr="00F74383">
        <w:rPr>
          <w:rFonts w:ascii="Book Antiqua" w:hAnsi="Book Antiqua"/>
        </w:rPr>
        <w:t>Völzke</w:t>
      </w:r>
      <w:proofErr w:type="spellEnd"/>
      <w:r w:rsidRPr="00F74383">
        <w:rPr>
          <w:rFonts w:ascii="Book Antiqua" w:hAnsi="Book Antiqua"/>
        </w:rPr>
        <w:t xml:space="preserve"> H. Development, external validation, and comparative assessment of a new diagnostic score for hepatic steatosis. </w:t>
      </w:r>
      <w:r w:rsidRPr="00F74383">
        <w:rPr>
          <w:rFonts w:ascii="Book Antiqua" w:hAnsi="Book Antiqua"/>
          <w:i/>
          <w:iCs/>
        </w:rPr>
        <w:t>Am J Gastroenterol</w:t>
      </w:r>
      <w:r w:rsidRPr="00F74383">
        <w:rPr>
          <w:rFonts w:ascii="Book Antiqua" w:hAnsi="Book Antiqua"/>
        </w:rPr>
        <w:t xml:space="preserve"> 2014; </w:t>
      </w:r>
      <w:r w:rsidRPr="00F74383">
        <w:rPr>
          <w:rFonts w:ascii="Book Antiqua" w:hAnsi="Book Antiqua"/>
          <w:b/>
          <w:bCs/>
        </w:rPr>
        <w:t>109</w:t>
      </w:r>
      <w:r w:rsidRPr="00F74383">
        <w:rPr>
          <w:rFonts w:ascii="Book Antiqua" w:hAnsi="Book Antiqua"/>
        </w:rPr>
        <w:t>: 1404-1414 [PMID: 24957156 DOI: 10.1038/ajg.2014.155]</w:t>
      </w:r>
    </w:p>
    <w:p w14:paraId="1CCA15DE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lastRenderedPageBreak/>
        <w:t xml:space="preserve">23 </w:t>
      </w:r>
      <w:r w:rsidRPr="00F74383">
        <w:rPr>
          <w:rFonts w:ascii="Book Antiqua" w:hAnsi="Book Antiqua"/>
          <w:b/>
          <w:bCs/>
        </w:rPr>
        <w:t>Koopmans B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Pouwer</w:t>
      </w:r>
      <w:proofErr w:type="spellEnd"/>
      <w:r w:rsidRPr="00F74383">
        <w:rPr>
          <w:rFonts w:ascii="Book Antiqua" w:hAnsi="Book Antiqua"/>
        </w:rPr>
        <w:t xml:space="preserve"> F, de </w:t>
      </w:r>
      <w:proofErr w:type="spellStart"/>
      <w:r w:rsidRPr="00F74383">
        <w:rPr>
          <w:rFonts w:ascii="Book Antiqua" w:hAnsi="Book Antiqua"/>
        </w:rPr>
        <w:t>Bie</w:t>
      </w:r>
      <w:proofErr w:type="spellEnd"/>
      <w:r w:rsidRPr="00F74383">
        <w:rPr>
          <w:rFonts w:ascii="Book Antiqua" w:hAnsi="Book Antiqua"/>
        </w:rPr>
        <w:t xml:space="preserve"> RA, van </w:t>
      </w:r>
      <w:proofErr w:type="spellStart"/>
      <w:r w:rsidRPr="00F74383">
        <w:rPr>
          <w:rFonts w:ascii="Book Antiqua" w:hAnsi="Book Antiqua"/>
        </w:rPr>
        <w:t>Rooij</w:t>
      </w:r>
      <w:proofErr w:type="spellEnd"/>
      <w:r w:rsidRPr="00F74383">
        <w:rPr>
          <w:rFonts w:ascii="Book Antiqua" w:hAnsi="Book Antiqua"/>
        </w:rPr>
        <w:t xml:space="preserve"> ES, </w:t>
      </w:r>
      <w:proofErr w:type="spellStart"/>
      <w:r w:rsidRPr="00F74383">
        <w:rPr>
          <w:rFonts w:ascii="Book Antiqua" w:hAnsi="Book Antiqua"/>
        </w:rPr>
        <w:t>Leusink</w:t>
      </w:r>
      <w:proofErr w:type="spellEnd"/>
      <w:r w:rsidRPr="00F74383">
        <w:rPr>
          <w:rFonts w:ascii="Book Antiqua" w:hAnsi="Book Antiqua"/>
        </w:rPr>
        <w:t xml:space="preserve"> GL, Pop VJ. Depressive symptoms are associated with physical inactivity in patients with type 2 diabetes. The DIAZOB Primary Care Diabetes study. </w:t>
      </w:r>
      <w:r w:rsidRPr="00F74383">
        <w:rPr>
          <w:rFonts w:ascii="Book Antiqua" w:hAnsi="Book Antiqua"/>
          <w:i/>
          <w:iCs/>
        </w:rPr>
        <w:t xml:space="preserve">Fam </w:t>
      </w:r>
      <w:proofErr w:type="spellStart"/>
      <w:r w:rsidRPr="00F74383">
        <w:rPr>
          <w:rFonts w:ascii="Book Antiqua" w:hAnsi="Book Antiqua"/>
          <w:i/>
          <w:iCs/>
        </w:rPr>
        <w:t>Pract</w:t>
      </w:r>
      <w:proofErr w:type="spellEnd"/>
      <w:r w:rsidRPr="00F74383">
        <w:rPr>
          <w:rFonts w:ascii="Book Antiqua" w:hAnsi="Book Antiqua"/>
        </w:rPr>
        <w:t xml:space="preserve"> 2009; </w:t>
      </w:r>
      <w:r w:rsidRPr="00F74383">
        <w:rPr>
          <w:rFonts w:ascii="Book Antiqua" w:hAnsi="Book Antiqua"/>
          <w:b/>
          <w:bCs/>
        </w:rPr>
        <w:t>26</w:t>
      </w:r>
      <w:r w:rsidRPr="00F74383">
        <w:rPr>
          <w:rFonts w:ascii="Book Antiqua" w:hAnsi="Book Antiqua"/>
        </w:rPr>
        <w:t>: 171-173 [PMID: 19321598 DOI: 10.1093/</w:t>
      </w:r>
      <w:proofErr w:type="spellStart"/>
      <w:r w:rsidRPr="00F74383">
        <w:rPr>
          <w:rFonts w:ascii="Book Antiqua" w:hAnsi="Book Antiqua"/>
        </w:rPr>
        <w:t>fampra</w:t>
      </w:r>
      <w:proofErr w:type="spellEnd"/>
      <w:r w:rsidRPr="00F74383">
        <w:rPr>
          <w:rFonts w:ascii="Book Antiqua" w:hAnsi="Book Antiqua"/>
        </w:rPr>
        <w:t>/cmp016]</w:t>
      </w:r>
    </w:p>
    <w:p w14:paraId="0FB594DB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24 </w:t>
      </w:r>
      <w:proofErr w:type="spellStart"/>
      <w:r w:rsidRPr="00F74383">
        <w:rPr>
          <w:rFonts w:ascii="Book Antiqua" w:hAnsi="Book Antiqua"/>
          <w:b/>
          <w:bCs/>
        </w:rPr>
        <w:t>Seime</w:t>
      </w:r>
      <w:proofErr w:type="spellEnd"/>
      <w:r w:rsidRPr="00F74383">
        <w:rPr>
          <w:rFonts w:ascii="Book Antiqua" w:hAnsi="Book Antiqua"/>
          <w:b/>
          <w:bCs/>
        </w:rPr>
        <w:t xml:space="preserve"> RJ</w:t>
      </w:r>
      <w:r w:rsidRPr="00F74383">
        <w:rPr>
          <w:rFonts w:ascii="Book Antiqua" w:hAnsi="Book Antiqua"/>
        </w:rPr>
        <w:t xml:space="preserve">, Vickers KS. The challenges of treating depression with exercise: From evidence to practice. </w:t>
      </w:r>
      <w:r w:rsidRPr="00785689">
        <w:rPr>
          <w:rFonts w:ascii="Book Antiqua" w:hAnsi="Book Antiqua"/>
          <w:i/>
          <w:iCs/>
        </w:rPr>
        <w:t xml:space="preserve">Clin Psychol Sci </w:t>
      </w:r>
      <w:proofErr w:type="spellStart"/>
      <w:r w:rsidRPr="00785689">
        <w:rPr>
          <w:rFonts w:ascii="Book Antiqua" w:hAnsi="Book Antiqua"/>
          <w:i/>
          <w:iCs/>
        </w:rPr>
        <w:t>Pract</w:t>
      </w:r>
      <w:proofErr w:type="spellEnd"/>
      <w:r w:rsidRPr="00F74383">
        <w:rPr>
          <w:rFonts w:ascii="Book Antiqua" w:hAnsi="Book Antiqua"/>
        </w:rPr>
        <w:t xml:space="preserve"> 2006; </w:t>
      </w:r>
      <w:r w:rsidRPr="00785689">
        <w:rPr>
          <w:rFonts w:ascii="Book Antiqua" w:hAnsi="Book Antiqua"/>
          <w:b/>
          <w:bCs/>
        </w:rPr>
        <w:t>13</w:t>
      </w:r>
      <w:r w:rsidRPr="00F74383">
        <w:rPr>
          <w:rFonts w:ascii="Book Antiqua" w:hAnsi="Book Antiqua"/>
        </w:rPr>
        <w:t>: 194–197. [DOI:10.1111/j.1468-2850.</w:t>
      </w:r>
      <w:proofErr w:type="gramStart"/>
      <w:r w:rsidRPr="00F74383">
        <w:rPr>
          <w:rFonts w:ascii="Book Antiqua" w:hAnsi="Book Antiqua"/>
        </w:rPr>
        <w:t>2006.00022.x</w:t>
      </w:r>
      <w:proofErr w:type="gramEnd"/>
      <w:r w:rsidRPr="00F74383">
        <w:rPr>
          <w:rFonts w:ascii="Book Antiqua" w:hAnsi="Book Antiqua"/>
        </w:rPr>
        <w:t>]</w:t>
      </w:r>
    </w:p>
    <w:p w14:paraId="441C59AB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25 </w:t>
      </w:r>
      <w:r w:rsidRPr="00F74383">
        <w:rPr>
          <w:rFonts w:ascii="Book Antiqua" w:hAnsi="Book Antiqua"/>
          <w:b/>
          <w:bCs/>
        </w:rPr>
        <w:t>Xiao J</w:t>
      </w:r>
      <w:r w:rsidRPr="00F74383">
        <w:rPr>
          <w:rFonts w:ascii="Book Antiqua" w:hAnsi="Book Antiqua"/>
        </w:rPr>
        <w:t xml:space="preserve">, Lim LKE, Ng CH, Tan DJH, Lim WH, Ho CSH, Tan EXX, Sanyal AJ, </w:t>
      </w:r>
      <w:proofErr w:type="spellStart"/>
      <w:r w:rsidRPr="00F74383">
        <w:rPr>
          <w:rFonts w:ascii="Book Antiqua" w:hAnsi="Book Antiqua"/>
        </w:rPr>
        <w:t>Muthiah</w:t>
      </w:r>
      <w:proofErr w:type="spellEnd"/>
      <w:r w:rsidRPr="00F74383">
        <w:rPr>
          <w:rFonts w:ascii="Book Antiqua" w:hAnsi="Book Antiqua"/>
        </w:rPr>
        <w:t xml:space="preserve"> MD. Is Fatty Liver Associated </w:t>
      </w:r>
      <w:proofErr w:type="gramStart"/>
      <w:r w:rsidRPr="00F74383">
        <w:rPr>
          <w:rFonts w:ascii="Book Antiqua" w:hAnsi="Book Antiqua"/>
        </w:rPr>
        <w:t>With</w:t>
      </w:r>
      <w:proofErr w:type="gramEnd"/>
      <w:r w:rsidRPr="00F74383">
        <w:rPr>
          <w:rFonts w:ascii="Book Antiqua" w:hAnsi="Book Antiqua"/>
        </w:rPr>
        <w:t xml:space="preserve"> Depression? A Meta-Analysis and Systematic Review on the Prevalence, Risk Factors, and Outcomes of Depression and Non-alcoholic Fatty Liver Disease. </w:t>
      </w:r>
      <w:r w:rsidRPr="00F74383">
        <w:rPr>
          <w:rFonts w:ascii="Book Antiqua" w:hAnsi="Book Antiqua"/>
          <w:i/>
          <w:iCs/>
        </w:rPr>
        <w:t>Front Med (Lausanne)</w:t>
      </w:r>
      <w:r w:rsidRPr="00F74383">
        <w:rPr>
          <w:rFonts w:ascii="Book Antiqua" w:hAnsi="Book Antiqua"/>
        </w:rPr>
        <w:t xml:space="preserve"> 2021; </w:t>
      </w:r>
      <w:r w:rsidRPr="00F74383">
        <w:rPr>
          <w:rFonts w:ascii="Book Antiqua" w:hAnsi="Book Antiqua"/>
          <w:b/>
          <w:bCs/>
        </w:rPr>
        <w:t>8</w:t>
      </w:r>
      <w:r w:rsidRPr="00F74383">
        <w:rPr>
          <w:rFonts w:ascii="Book Antiqua" w:hAnsi="Book Antiqua"/>
        </w:rPr>
        <w:t>: 691696 [PMID: 34277666 DOI: 10.3389/fmed.2021.691696]</w:t>
      </w:r>
    </w:p>
    <w:p w14:paraId="0EA8D33C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26 </w:t>
      </w:r>
      <w:r w:rsidRPr="00F74383">
        <w:rPr>
          <w:rFonts w:ascii="Book Antiqua" w:hAnsi="Book Antiqua"/>
          <w:b/>
          <w:bCs/>
        </w:rPr>
        <w:t>Lee JW</w:t>
      </w:r>
      <w:r w:rsidRPr="00F74383">
        <w:rPr>
          <w:rFonts w:ascii="Book Antiqua" w:hAnsi="Book Antiqua"/>
        </w:rPr>
        <w:t xml:space="preserve">, Park SH. Association between depression and nonalcoholic fatty liver disease: Contributions of insulin resistance and inflammation. </w:t>
      </w:r>
      <w:r w:rsidRPr="00F74383">
        <w:rPr>
          <w:rFonts w:ascii="Book Antiqua" w:hAnsi="Book Antiqua"/>
          <w:i/>
          <w:iCs/>
        </w:rPr>
        <w:t xml:space="preserve">J Affect </w:t>
      </w:r>
      <w:proofErr w:type="spellStart"/>
      <w:r w:rsidRPr="00F74383">
        <w:rPr>
          <w:rFonts w:ascii="Book Antiqua" w:hAnsi="Book Antiqua"/>
          <w:i/>
          <w:iCs/>
        </w:rPr>
        <w:t>Disord</w:t>
      </w:r>
      <w:proofErr w:type="spellEnd"/>
      <w:r w:rsidRPr="00F74383">
        <w:rPr>
          <w:rFonts w:ascii="Book Antiqua" w:hAnsi="Book Antiqua"/>
        </w:rPr>
        <w:t xml:space="preserve"> 2021; </w:t>
      </w:r>
      <w:r w:rsidRPr="00F74383">
        <w:rPr>
          <w:rFonts w:ascii="Book Antiqua" w:hAnsi="Book Antiqua"/>
          <w:b/>
          <w:bCs/>
        </w:rPr>
        <w:t>278</w:t>
      </w:r>
      <w:r w:rsidRPr="00F74383">
        <w:rPr>
          <w:rFonts w:ascii="Book Antiqua" w:hAnsi="Book Antiqua"/>
        </w:rPr>
        <w:t>: 259-263 [PMID: 32977263 DOI: 10.1016/j.jad.2020.09.073]</w:t>
      </w:r>
    </w:p>
    <w:p w14:paraId="7DBC5DAA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27 </w:t>
      </w:r>
      <w:proofErr w:type="spellStart"/>
      <w:r w:rsidRPr="00F74383">
        <w:rPr>
          <w:rFonts w:ascii="Book Antiqua" w:hAnsi="Book Antiqua"/>
          <w:b/>
          <w:bCs/>
        </w:rPr>
        <w:t>Motl</w:t>
      </w:r>
      <w:proofErr w:type="spellEnd"/>
      <w:r w:rsidRPr="00F74383">
        <w:rPr>
          <w:rFonts w:ascii="Book Antiqua" w:hAnsi="Book Antiqua"/>
          <w:b/>
          <w:bCs/>
        </w:rPr>
        <w:t xml:space="preserve"> RW</w:t>
      </w:r>
      <w:r w:rsidRPr="00F74383">
        <w:rPr>
          <w:rFonts w:ascii="Book Antiqua" w:hAnsi="Book Antiqua"/>
        </w:rPr>
        <w:t xml:space="preserve">, </w:t>
      </w:r>
      <w:proofErr w:type="spellStart"/>
      <w:r w:rsidRPr="00F74383">
        <w:rPr>
          <w:rFonts w:ascii="Book Antiqua" w:hAnsi="Book Antiqua"/>
        </w:rPr>
        <w:t>Konopack</w:t>
      </w:r>
      <w:proofErr w:type="spellEnd"/>
      <w:r w:rsidRPr="00F74383">
        <w:rPr>
          <w:rFonts w:ascii="Book Antiqua" w:hAnsi="Book Antiqua"/>
        </w:rPr>
        <w:t xml:space="preserve"> JF, McAuley E, </w:t>
      </w:r>
      <w:proofErr w:type="spellStart"/>
      <w:r w:rsidRPr="00F74383">
        <w:rPr>
          <w:rFonts w:ascii="Book Antiqua" w:hAnsi="Book Antiqua"/>
        </w:rPr>
        <w:t>Elavsky</w:t>
      </w:r>
      <w:proofErr w:type="spellEnd"/>
      <w:r w:rsidRPr="00F74383">
        <w:rPr>
          <w:rFonts w:ascii="Book Antiqua" w:hAnsi="Book Antiqua"/>
        </w:rPr>
        <w:t xml:space="preserve"> S, Jerome GJ, Marquez DX. Depressive symptoms among older adults: long-term reduction after a physical activity intervention. </w:t>
      </w:r>
      <w:r w:rsidRPr="00F74383">
        <w:rPr>
          <w:rFonts w:ascii="Book Antiqua" w:hAnsi="Book Antiqua"/>
          <w:i/>
          <w:iCs/>
        </w:rPr>
        <w:t xml:space="preserve">J </w:t>
      </w:r>
      <w:proofErr w:type="spellStart"/>
      <w:r w:rsidRPr="00F74383">
        <w:rPr>
          <w:rFonts w:ascii="Book Antiqua" w:hAnsi="Book Antiqua"/>
          <w:i/>
          <w:iCs/>
        </w:rPr>
        <w:t>Behav</w:t>
      </w:r>
      <w:proofErr w:type="spellEnd"/>
      <w:r w:rsidRPr="00F74383">
        <w:rPr>
          <w:rFonts w:ascii="Book Antiqua" w:hAnsi="Book Antiqua"/>
          <w:i/>
          <w:iCs/>
        </w:rPr>
        <w:t xml:space="preserve"> Med</w:t>
      </w:r>
      <w:r w:rsidRPr="00F74383">
        <w:rPr>
          <w:rFonts w:ascii="Book Antiqua" w:hAnsi="Book Antiqua"/>
        </w:rPr>
        <w:t xml:space="preserve"> 2005; </w:t>
      </w:r>
      <w:r w:rsidRPr="00F74383">
        <w:rPr>
          <w:rFonts w:ascii="Book Antiqua" w:hAnsi="Book Antiqua"/>
          <w:b/>
          <w:bCs/>
        </w:rPr>
        <w:t>28</w:t>
      </w:r>
      <w:r w:rsidRPr="00F74383">
        <w:rPr>
          <w:rFonts w:ascii="Book Antiqua" w:hAnsi="Book Antiqua"/>
        </w:rPr>
        <w:t>: 385-394 [PMID: 16049630 DOI: 10.1007/s10865-005-9005-5]</w:t>
      </w:r>
    </w:p>
    <w:p w14:paraId="3E623DCA" w14:textId="77777777" w:rsidR="00D848C1" w:rsidRPr="00F74383" w:rsidRDefault="00D848C1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hAnsi="Book Antiqua"/>
        </w:rPr>
        <w:t xml:space="preserve">28 </w:t>
      </w:r>
      <w:r w:rsidRPr="00F74383">
        <w:rPr>
          <w:rFonts w:ascii="Book Antiqua" w:hAnsi="Book Antiqua"/>
          <w:b/>
          <w:bCs/>
        </w:rPr>
        <w:t>Paik JM</w:t>
      </w:r>
      <w:r w:rsidRPr="00F74383">
        <w:rPr>
          <w:rFonts w:ascii="Book Antiqua" w:hAnsi="Book Antiqua"/>
        </w:rPr>
        <w:t xml:space="preserve">, Deshpande R, </w:t>
      </w:r>
      <w:proofErr w:type="spellStart"/>
      <w:r w:rsidRPr="00F74383">
        <w:rPr>
          <w:rFonts w:ascii="Book Antiqua" w:hAnsi="Book Antiqua"/>
        </w:rPr>
        <w:t>Golabi</w:t>
      </w:r>
      <w:proofErr w:type="spellEnd"/>
      <w:r w:rsidRPr="00F74383">
        <w:rPr>
          <w:rFonts w:ascii="Book Antiqua" w:hAnsi="Book Antiqua"/>
        </w:rPr>
        <w:t xml:space="preserve"> P, </w:t>
      </w:r>
      <w:proofErr w:type="spellStart"/>
      <w:r w:rsidRPr="00F74383">
        <w:rPr>
          <w:rFonts w:ascii="Book Antiqua" w:hAnsi="Book Antiqua"/>
        </w:rPr>
        <w:t>Younossi</w:t>
      </w:r>
      <w:proofErr w:type="spellEnd"/>
      <w:r w:rsidRPr="00F74383">
        <w:rPr>
          <w:rFonts w:ascii="Book Antiqua" w:hAnsi="Book Antiqua"/>
        </w:rPr>
        <w:t xml:space="preserve"> I, Henry L, </w:t>
      </w:r>
      <w:proofErr w:type="spellStart"/>
      <w:r w:rsidRPr="00F74383">
        <w:rPr>
          <w:rFonts w:ascii="Book Antiqua" w:hAnsi="Book Antiqua"/>
        </w:rPr>
        <w:t>Younossi</w:t>
      </w:r>
      <w:proofErr w:type="spellEnd"/>
      <w:r w:rsidRPr="00F74383">
        <w:rPr>
          <w:rFonts w:ascii="Book Antiqua" w:hAnsi="Book Antiqua"/>
        </w:rPr>
        <w:t xml:space="preserve"> ZM. The impact of modifiable risk factors on the long-term outcomes of non-alcoholic fatty liver disease. </w:t>
      </w:r>
      <w:r w:rsidRPr="00F74383">
        <w:rPr>
          <w:rFonts w:ascii="Book Antiqua" w:hAnsi="Book Antiqua"/>
          <w:i/>
          <w:iCs/>
        </w:rPr>
        <w:t xml:space="preserve">Aliment </w:t>
      </w:r>
      <w:proofErr w:type="spellStart"/>
      <w:r w:rsidRPr="00F74383">
        <w:rPr>
          <w:rFonts w:ascii="Book Antiqua" w:hAnsi="Book Antiqua"/>
          <w:i/>
          <w:iCs/>
        </w:rPr>
        <w:t>Pharmacol</w:t>
      </w:r>
      <w:proofErr w:type="spellEnd"/>
      <w:r w:rsidRPr="00F74383">
        <w:rPr>
          <w:rFonts w:ascii="Book Antiqua" w:hAnsi="Book Antiqua"/>
          <w:i/>
          <w:iCs/>
        </w:rPr>
        <w:t xml:space="preserve"> </w:t>
      </w:r>
      <w:proofErr w:type="spellStart"/>
      <w:r w:rsidRPr="00F74383">
        <w:rPr>
          <w:rFonts w:ascii="Book Antiqua" w:hAnsi="Book Antiqua"/>
          <w:i/>
          <w:iCs/>
        </w:rPr>
        <w:t>Ther</w:t>
      </w:r>
      <w:proofErr w:type="spellEnd"/>
      <w:r w:rsidRPr="00F74383">
        <w:rPr>
          <w:rFonts w:ascii="Book Antiqua" w:hAnsi="Book Antiqua"/>
        </w:rPr>
        <w:t xml:space="preserve"> 2020; </w:t>
      </w:r>
      <w:r w:rsidRPr="00F74383">
        <w:rPr>
          <w:rFonts w:ascii="Book Antiqua" w:hAnsi="Book Antiqua"/>
          <w:b/>
          <w:bCs/>
        </w:rPr>
        <w:t>51</w:t>
      </w:r>
      <w:r w:rsidRPr="00F74383">
        <w:rPr>
          <w:rFonts w:ascii="Book Antiqua" w:hAnsi="Book Antiqua"/>
        </w:rPr>
        <w:t>: 291-304 [PMID: 31782543 DOI: 10.1111/apt.15580]</w:t>
      </w:r>
    </w:p>
    <w:p w14:paraId="2A764EE8" w14:textId="74C6D4ED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7BDD3C1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  <w:sectPr w:rsidR="00A77B3E" w:rsidRPr="00F743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152CD" w14:textId="7777777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60E09C" w14:textId="5EF776D7" w:rsidR="00A77B3E" w:rsidRPr="00F74383" w:rsidRDefault="00F60570" w:rsidP="00B25D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4383">
        <w:rPr>
          <w:rFonts w:ascii="Book Antiqua" w:hAnsi="Book Antiqua"/>
          <w:b/>
          <w:color w:val="000000"/>
        </w:rPr>
        <w:t>Institutional review board statement</w:t>
      </w:r>
      <w:r w:rsidRPr="00F74383">
        <w:rPr>
          <w:rFonts w:ascii="Book Antiqua" w:hAnsi="Book Antiqua"/>
          <w:b/>
          <w:bCs/>
          <w:iCs/>
          <w:color w:val="000000"/>
        </w:rPr>
        <w:t>:</w:t>
      </w:r>
      <w:r w:rsidR="00D01423" w:rsidRPr="00F74383">
        <w:rPr>
          <w:rFonts w:ascii="Book Antiqua" w:hAnsi="Book Antiqua"/>
          <w:b/>
          <w:bCs/>
          <w:iCs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analysis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de-identified,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publicly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available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data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does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constitute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human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subjects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research,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therefore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does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not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need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institutional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review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board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4C0FC2" w:rsidRPr="00F74383">
        <w:rPr>
          <w:rFonts w:ascii="Book Antiqua" w:eastAsia="Book Antiqua" w:hAnsi="Book Antiqua" w:cs="Book Antiqua"/>
          <w:color w:val="000000"/>
        </w:rPr>
        <w:t>approval.</w:t>
      </w:r>
    </w:p>
    <w:p w14:paraId="569705AC" w14:textId="7AC18314" w:rsidR="000E3A4C" w:rsidRPr="00F74383" w:rsidRDefault="000E3A4C" w:rsidP="00B25D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D86859D" w14:textId="77777777" w:rsidR="00722FC3" w:rsidRPr="00F74383" w:rsidRDefault="000E3A4C" w:rsidP="00B25D8B">
      <w:pPr>
        <w:spacing w:line="360" w:lineRule="auto"/>
        <w:jc w:val="both"/>
        <w:rPr>
          <w:rFonts w:ascii="Book Antiqua" w:hAnsi="Book Antiqua"/>
          <w:b/>
          <w:bCs/>
          <w:iCs/>
          <w:color w:val="000000"/>
        </w:rPr>
      </w:pPr>
      <w:r w:rsidRPr="00F74383">
        <w:rPr>
          <w:rFonts w:ascii="Book Antiqua" w:hAnsi="Book Antiqua"/>
          <w:b/>
          <w:color w:val="000000"/>
        </w:rPr>
        <w:t>Informed consent statement</w:t>
      </w:r>
      <w:r w:rsidRPr="00F74383">
        <w:rPr>
          <w:rFonts w:ascii="Book Antiqua" w:hAnsi="Book Antiqua"/>
          <w:b/>
          <w:bCs/>
          <w:iCs/>
          <w:color w:val="000000"/>
        </w:rPr>
        <w:t>:</w:t>
      </w:r>
      <w:r w:rsidR="00722FC3" w:rsidRPr="00F74383">
        <w:rPr>
          <w:rFonts w:ascii="Book Antiqua" w:hAnsi="Book Antiqua"/>
          <w:b/>
          <w:bCs/>
          <w:iCs/>
          <w:color w:val="000000"/>
        </w:rPr>
        <w:t xml:space="preserve"> </w:t>
      </w:r>
      <w:r w:rsidR="00722FC3" w:rsidRPr="00F74383">
        <w:rPr>
          <w:rFonts w:ascii="Book Antiqua" w:hAnsi="Book Antiqua"/>
          <w:iCs/>
          <w:color w:val="000000"/>
        </w:rPr>
        <w:t xml:space="preserve">This is a secondary data analysis of a publicly available deidentified </w:t>
      </w:r>
      <w:proofErr w:type="gramStart"/>
      <w:r w:rsidR="00722FC3" w:rsidRPr="00F74383">
        <w:rPr>
          <w:rFonts w:ascii="Book Antiqua" w:hAnsi="Book Antiqua"/>
          <w:iCs/>
          <w:color w:val="000000"/>
        </w:rPr>
        <w:t>data,</w:t>
      </w:r>
      <w:proofErr w:type="gramEnd"/>
      <w:r w:rsidR="00722FC3" w:rsidRPr="00F74383">
        <w:rPr>
          <w:rFonts w:ascii="Book Antiqua" w:hAnsi="Book Antiqua"/>
          <w:iCs/>
          <w:color w:val="000000"/>
        </w:rPr>
        <w:t xml:space="preserve"> therefore, informed ethics committee approval and informed consent is not relevant here. The original data collection adhered to all ethical standards (ethics committee approval and informed consent).</w:t>
      </w:r>
    </w:p>
    <w:p w14:paraId="3B95A59A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76FED21E" w14:textId="513545DB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Dr.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Zobair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consultant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BMS,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Gilead,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AbbVie,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Intercept,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GSK.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All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other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authors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report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proprietary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commercial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interest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product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concept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discussed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article.</w:t>
      </w:r>
    </w:p>
    <w:p w14:paraId="28CFCC8D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46E6F63E" w14:textId="17C0A8F9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Data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available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request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from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F74383">
          <w:rPr>
            <w:rFonts w:ascii="Book Antiqua" w:eastAsia="Book Antiqua" w:hAnsi="Book Antiqua" w:cs="Book Antiqua"/>
            <w:color w:val="000000"/>
          </w:rPr>
          <w:t>https://knit.ucsd.edu/ranchobernardostudy/access/</w:t>
        </w:r>
      </w:hyperlink>
    </w:p>
    <w:p w14:paraId="25818B22" w14:textId="5FBC4C75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55CE02B0" w14:textId="36849F16" w:rsidR="004830DC" w:rsidRPr="00F74383" w:rsidRDefault="004830DC" w:rsidP="00B25D8B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F74383">
        <w:rPr>
          <w:rFonts w:ascii="Book Antiqua" w:hAnsi="Book Antiqua"/>
          <w:b/>
          <w:color w:val="000000"/>
        </w:rPr>
        <w:t>STROBE statement:</w:t>
      </w:r>
      <w:r w:rsidR="00E26D80" w:rsidRPr="00F74383">
        <w:rPr>
          <w:rFonts w:ascii="Book Antiqua" w:hAnsi="Book Antiqua"/>
          <w:b/>
          <w:color w:val="000000"/>
        </w:rPr>
        <w:t xml:space="preserve"> </w:t>
      </w:r>
      <w:r w:rsidR="00E26D80" w:rsidRPr="00F74383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2D4351F" w14:textId="77777777" w:rsidR="004830DC" w:rsidRPr="00F74383" w:rsidRDefault="004830DC" w:rsidP="00B25D8B">
      <w:pPr>
        <w:spacing w:line="360" w:lineRule="auto"/>
        <w:jc w:val="both"/>
        <w:rPr>
          <w:rFonts w:ascii="Book Antiqua" w:hAnsi="Book Antiqua"/>
        </w:rPr>
      </w:pPr>
    </w:p>
    <w:p w14:paraId="75C34C53" w14:textId="34ADC8F9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article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open-access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article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that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was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selected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in-house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editor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fully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peer-reviewed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external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reviewers.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distributed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accordance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with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Creative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Commons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Attribution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(CC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BY-NC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4.0)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license,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which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permits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others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to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distribute,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remix,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adapt,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build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upon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work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non-commercially,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license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their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derivative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works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on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different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terms,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provided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original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work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properly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use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is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non-commercial.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See: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053F619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015174B" w14:textId="2909C78F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Provenance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peer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review: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Invited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article;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Externally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peer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reviewed.</w:t>
      </w:r>
    </w:p>
    <w:p w14:paraId="142B558A" w14:textId="32CC4F2D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model: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Single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blind</w:t>
      </w:r>
    </w:p>
    <w:p w14:paraId="5D7D58F0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2CC9C5CE" w14:textId="68FA9C6F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Peer-review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started: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October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19,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2021</w:t>
      </w:r>
    </w:p>
    <w:p w14:paraId="53B648C6" w14:textId="263F69C4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First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decision: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December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3,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2021</w:t>
      </w:r>
    </w:p>
    <w:p w14:paraId="1312C513" w14:textId="7FACB259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Article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in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press: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7B27" w:rsidRPr="00F74383">
        <w:rPr>
          <w:rFonts w:ascii="Book Antiqua" w:eastAsia="Book Antiqua" w:hAnsi="Book Antiqua" w:cs="Book Antiqua"/>
          <w:color w:val="000000"/>
        </w:rPr>
        <w:t>February 20, 2022</w:t>
      </w:r>
    </w:p>
    <w:p w14:paraId="521F2804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04F118D" w14:textId="1DD71C27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Specialty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type: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Gastroenterology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="005122D6" w:rsidRPr="00F74383">
        <w:rPr>
          <w:rFonts w:ascii="Book Antiqua" w:eastAsia="Book Antiqua" w:hAnsi="Book Antiqua" w:cs="Book Antiqua"/>
          <w:color w:val="000000"/>
        </w:rPr>
        <w:t>h</w:t>
      </w:r>
      <w:r w:rsidRPr="00F74383">
        <w:rPr>
          <w:rFonts w:ascii="Book Antiqua" w:eastAsia="Book Antiqua" w:hAnsi="Book Antiqua" w:cs="Book Antiqua"/>
          <w:color w:val="000000"/>
        </w:rPr>
        <w:t>epatology</w:t>
      </w:r>
    </w:p>
    <w:p w14:paraId="4460F782" w14:textId="4EC0B241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Country/Territory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origin: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United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States</w:t>
      </w:r>
    </w:p>
    <w:p w14:paraId="57041349" w14:textId="104001C5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t>Peer-review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report’s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scientific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quality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264C849" w14:textId="4EB8E225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Grade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(Excellent):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</w:t>
      </w:r>
    </w:p>
    <w:p w14:paraId="7F648084" w14:textId="2F6F2A8E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Grade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(Very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good):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B</w:t>
      </w:r>
    </w:p>
    <w:p w14:paraId="4DA34CA7" w14:textId="5A5DFB42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Grade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(Good):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</w:t>
      </w:r>
    </w:p>
    <w:p w14:paraId="0CC07086" w14:textId="7A50372A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Grade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(Fair):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</w:t>
      </w:r>
    </w:p>
    <w:p w14:paraId="4DA96D97" w14:textId="7D72576B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</w:pPr>
      <w:r w:rsidRPr="00F74383">
        <w:rPr>
          <w:rFonts w:ascii="Book Antiqua" w:eastAsia="Book Antiqua" w:hAnsi="Book Antiqua" w:cs="Book Antiqua"/>
          <w:color w:val="000000"/>
        </w:rPr>
        <w:t>Grade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(Poor):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0</w:t>
      </w:r>
    </w:p>
    <w:p w14:paraId="77DE1A6F" w14:textId="77777777" w:rsidR="00A77B3E" w:rsidRPr="00F74383" w:rsidRDefault="00A77B3E" w:rsidP="00B25D8B">
      <w:pPr>
        <w:spacing w:line="360" w:lineRule="auto"/>
        <w:jc w:val="both"/>
        <w:rPr>
          <w:rFonts w:ascii="Book Antiqua" w:hAnsi="Book Antiqua"/>
        </w:rPr>
      </w:pPr>
    </w:p>
    <w:p w14:paraId="1EA919B3" w14:textId="22C7B11B" w:rsidR="00A77B3E" w:rsidRPr="00F74383" w:rsidRDefault="004C0FC2" w:rsidP="00B25D8B">
      <w:pPr>
        <w:spacing w:line="360" w:lineRule="auto"/>
        <w:jc w:val="both"/>
        <w:rPr>
          <w:rFonts w:ascii="Book Antiqua" w:hAnsi="Book Antiqua"/>
        </w:rPr>
        <w:sectPr w:rsidR="00A77B3E" w:rsidRPr="00F743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74383">
        <w:rPr>
          <w:rFonts w:ascii="Book Antiqua" w:eastAsia="Book Antiqua" w:hAnsi="Book Antiqua" w:cs="Book Antiqua"/>
          <w:b/>
          <w:color w:val="000000"/>
        </w:rPr>
        <w:t>P-Reviewer: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Christodoulou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D,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F74383">
        <w:rPr>
          <w:rFonts w:ascii="Book Antiqua" w:eastAsia="Book Antiqua" w:hAnsi="Book Antiqua" w:cs="Book Antiqua"/>
          <w:color w:val="000000"/>
        </w:rPr>
        <w:t>Gendy</w:t>
      </w:r>
      <w:proofErr w:type="spellEnd"/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HA,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Zhang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color w:val="000000"/>
        </w:rPr>
        <w:t>LL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S-Editor: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2AE2" w:rsidRPr="00F74383">
        <w:rPr>
          <w:rFonts w:ascii="Book Antiqua" w:eastAsia="Book Antiqua" w:hAnsi="Book Antiqua" w:cs="Book Antiqua"/>
          <w:color w:val="000000"/>
        </w:rPr>
        <w:t>Ma YJ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L-Editor: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33DD" w:rsidRPr="00F74383">
        <w:rPr>
          <w:rFonts w:ascii="Book Antiqua" w:eastAsia="Book Antiqua" w:hAnsi="Book Antiqua" w:cs="Book Antiqua"/>
          <w:bCs/>
          <w:color w:val="000000"/>
        </w:rPr>
        <w:t>A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P-Editor: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5D8B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5D8B" w:rsidRPr="00F74383">
        <w:rPr>
          <w:rFonts w:ascii="Book Antiqua" w:eastAsia="Book Antiqua" w:hAnsi="Book Antiqua" w:cs="Book Antiqua"/>
          <w:bCs/>
          <w:color w:val="000000"/>
        </w:rPr>
        <w:t>Ma YJ</w:t>
      </w:r>
    </w:p>
    <w:p w14:paraId="584BA7CA" w14:textId="129ABB2F" w:rsidR="00A77B3E" w:rsidRPr="00F74383" w:rsidRDefault="004C0FC2" w:rsidP="00B25D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7438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815E0" w:rsidRPr="00F7438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color w:val="000000"/>
        </w:rPr>
        <w:t>Legends</w:t>
      </w:r>
    </w:p>
    <w:p w14:paraId="550BBFAF" w14:textId="10B0EE83" w:rsidR="00AA5F48" w:rsidRPr="00F74383" w:rsidRDefault="00AA5F48" w:rsidP="00B25D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EBAD21B" w14:textId="319E5D80" w:rsidR="00AA5F48" w:rsidRPr="00F74383" w:rsidRDefault="00055B7C" w:rsidP="00B25D8B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44B531C" wp14:editId="1A2FAA20">
            <wp:extent cx="3848100" cy="37528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E053" w14:textId="1A094170" w:rsidR="00A77B3E" w:rsidRPr="00F74383" w:rsidRDefault="004C0FC2" w:rsidP="00B25D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1</w:t>
      </w:r>
      <w:r w:rsidR="00A42B9D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selection.</w:t>
      </w:r>
      <w:r w:rsidR="00B25D8B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5D8B" w:rsidRPr="00F74383">
        <w:rPr>
          <w:rFonts w:ascii="Book Antiqua" w:eastAsia="ArialNarrow-Bold" w:hAnsi="Book Antiqua" w:cs="ArialNarrow-Bold"/>
        </w:rPr>
        <w:t>NAFLD</w:t>
      </w:r>
      <w:r w:rsidR="00B25D8B" w:rsidRPr="00F74383">
        <w:rPr>
          <w:rFonts w:ascii="Book Antiqua" w:eastAsia="ArialNarrow-Bold" w:hAnsi="Book Antiqua" w:cs="ArialNarrow-Bold"/>
          <w:b/>
          <w:bCs/>
        </w:rPr>
        <w:t xml:space="preserve">: </w:t>
      </w:r>
      <w:r w:rsidR="00B25D8B" w:rsidRPr="00F74383">
        <w:rPr>
          <w:rFonts w:ascii="Book Antiqua" w:eastAsia="BookAntiqua" w:hAnsi="Book Antiqua" w:cs="BookAntiqua"/>
        </w:rPr>
        <w:t>Nonalcoholic fatty liver disease.</w:t>
      </w:r>
    </w:p>
    <w:p w14:paraId="21C8E949" w14:textId="42A4F4FC" w:rsidR="009667C4" w:rsidRPr="00F74383" w:rsidRDefault="000A6C9E" w:rsidP="00B25D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81DE088" w14:textId="530C7C46" w:rsidR="009667C4" w:rsidRPr="00F74383" w:rsidRDefault="00055B7C" w:rsidP="00B25D8B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3ECB861E" wp14:editId="74B807B4">
            <wp:extent cx="5695950" cy="3886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B83B" w14:textId="5548F0F4" w:rsidR="00237345" w:rsidRPr="00F74383" w:rsidRDefault="004C0FC2" w:rsidP="00B25D8B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F7438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2</w:t>
      </w:r>
      <w:r w:rsidR="009815E0" w:rsidRPr="00F74383">
        <w:rPr>
          <w:rFonts w:ascii="Book Antiqua" w:eastAsia="Book Antiqua" w:hAnsi="Book Antiqua" w:cs="Book Antiqua"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Percentage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activity,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presence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4B18" w:rsidRPr="00F74383">
        <w:rPr>
          <w:rFonts w:ascii="Book Antiqua" w:eastAsia="Book Antiqua" w:hAnsi="Book Antiqua" w:cs="Book Antiqua"/>
          <w:b/>
          <w:bCs/>
          <w:color w:val="000000"/>
        </w:rPr>
        <w:t>n</w:t>
      </w:r>
      <w:r w:rsidR="00FB5934" w:rsidRPr="00F74383">
        <w:rPr>
          <w:rFonts w:ascii="Book Antiqua" w:eastAsia="Book Antiqua" w:hAnsi="Book Antiqua" w:cs="Book Antiqua"/>
          <w:b/>
          <w:bCs/>
          <w:color w:val="000000"/>
        </w:rPr>
        <w:t>onalcoholic fatty liver disease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depressive</w:t>
      </w:r>
      <w:r w:rsidR="009815E0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4383">
        <w:rPr>
          <w:rFonts w:ascii="Book Antiqua" w:eastAsia="Book Antiqua" w:hAnsi="Book Antiqua" w:cs="Book Antiqua"/>
          <w:b/>
          <w:bCs/>
          <w:color w:val="000000"/>
        </w:rPr>
        <w:t>symptoms.</w:t>
      </w:r>
      <w:r w:rsidR="00EB5924" w:rsidRPr="00F743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4F2C" w:rsidRPr="00F74383">
        <w:rPr>
          <w:rFonts w:ascii="Book Antiqua" w:eastAsia="Book Antiqua" w:hAnsi="Book Antiqua" w:cs="Book Antiqua"/>
          <w:color w:val="000000"/>
        </w:rPr>
        <w:t>NAFLD</w:t>
      </w:r>
      <w:r w:rsidR="00141A34" w:rsidRPr="00F74383">
        <w:rPr>
          <w:rFonts w:ascii="Book Antiqua" w:eastAsia="宋体" w:hAnsi="Book Antiqua" w:cs="宋体"/>
          <w:color w:val="000000"/>
          <w:lang w:eastAsia="zh-CN"/>
        </w:rPr>
        <w:t>:</w:t>
      </w:r>
      <w:r w:rsidR="000252DE" w:rsidRPr="00F74383">
        <w:rPr>
          <w:rFonts w:ascii="Book Antiqua" w:eastAsia="宋体" w:hAnsi="Book Antiqua" w:cs="宋体"/>
          <w:color w:val="000000"/>
          <w:lang w:eastAsia="zh-CN"/>
        </w:rPr>
        <w:t xml:space="preserve"> Nonalcoholic fatty liver disease.</w:t>
      </w:r>
    </w:p>
    <w:p w14:paraId="66F47AB9" w14:textId="77777777" w:rsidR="007140F3" w:rsidRPr="00F74383" w:rsidRDefault="007140F3" w:rsidP="00B25D8B">
      <w:pPr>
        <w:spacing w:line="360" w:lineRule="auto"/>
        <w:jc w:val="both"/>
        <w:rPr>
          <w:rFonts w:ascii="Book Antiqua" w:hAnsi="Book Antiqua"/>
          <w:u w:val="single"/>
        </w:rPr>
        <w:sectPr w:rsidR="007140F3" w:rsidRPr="00F743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52C7F2" w14:textId="4C150AF6" w:rsidR="00AB38B6" w:rsidRPr="00F74383" w:rsidRDefault="00C07857" w:rsidP="00B25D8B">
      <w:pPr>
        <w:spacing w:line="360" w:lineRule="auto"/>
        <w:jc w:val="both"/>
        <w:rPr>
          <w:rFonts w:ascii="Book Antiqua" w:hAnsi="Book Antiqua"/>
          <w:u w:val="single"/>
        </w:rPr>
      </w:pPr>
      <w:r w:rsidRPr="00F74383">
        <w:rPr>
          <w:rFonts w:ascii="Book Antiqua" w:eastAsia="Times New Roman" w:hAnsi="Book Antiqua" w:cs="Calibri"/>
          <w:b/>
          <w:color w:val="000000"/>
        </w:rPr>
        <w:lastRenderedPageBreak/>
        <w:t xml:space="preserve">Table 1 Demographic, lifestyle and general health comorbidities of participants according to the presence of </w:t>
      </w:r>
      <w:r w:rsidR="00A63D8D" w:rsidRPr="00F74383">
        <w:rPr>
          <w:rFonts w:ascii="Book Antiqua" w:eastAsia="Times New Roman" w:hAnsi="Book Antiqua" w:cs="Calibri"/>
          <w:b/>
          <w:color w:val="000000"/>
        </w:rPr>
        <w:t>nonalcoholic fatty liver disease</w:t>
      </w:r>
    </w:p>
    <w:tbl>
      <w:tblPr>
        <w:tblW w:w="812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430"/>
        <w:gridCol w:w="1430"/>
        <w:gridCol w:w="1430"/>
        <w:gridCol w:w="976"/>
      </w:tblGrid>
      <w:tr w:rsidR="00D53745" w:rsidRPr="00F74383" w14:paraId="23DC20FB" w14:textId="77777777" w:rsidTr="00DF072C">
        <w:trPr>
          <w:trHeight w:val="310"/>
        </w:trPr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836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C7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All (</w:t>
            </w: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589)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7A01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Non-NAFLD (</w:t>
            </w: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354)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465D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NAFLD (</w:t>
            </w: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235)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B0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D53745" w:rsidRPr="00F74383" w14:paraId="0DD04F5D" w14:textId="77777777" w:rsidTr="00DF072C">
        <w:trPr>
          <w:trHeight w:val="320"/>
        </w:trPr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F69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Age, mean ± SD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ADB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59.97 ± 6.97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3ED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59.99 ± 7.40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6EB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59.94 ± 6.29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948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0.3959</w:t>
            </w:r>
          </w:p>
        </w:tc>
      </w:tr>
      <w:tr w:rsidR="00D53745" w:rsidRPr="00F74383" w14:paraId="071E436B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B814E2C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Male,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AA0A7FA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254 (43.12%)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059124B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131 (37.01%)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41F6D1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123 (52.34%)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A8B46A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0.0002</w:t>
            </w:r>
          </w:p>
        </w:tc>
      </w:tr>
      <w:tr w:rsidR="00D53745" w:rsidRPr="00F74383" w14:paraId="5C9F0C21" w14:textId="77777777" w:rsidTr="00DF072C">
        <w:trPr>
          <w:trHeight w:val="31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F0D0B8E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White,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2811C7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564 (95.76%)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E2D6E2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340 (96.05%)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FE68F4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224 (95.32%)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126AFC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0.6686</w:t>
            </w:r>
          </w:p>
        </w:tc>
      </w:tr>
      <w:tr w:rsidR="00D53745" w:rsidRPr="00F74383" w14:paraId="02458DB2" w14:textId="77777777" w:rsidTr="00DF072C">
        <w:trPr>
          <w:trHeight w:val="310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14:paraId="5CA12BDF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Smoking status,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E1CFAB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CAAC6D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D53745" w:rsidRPr="00F74383" w14:paraId="6671F71C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1598CB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Current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377A139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70 (11.90%)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F70CB4B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47 (13.31%)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533CFF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23 (9.79%)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BD2646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0.1958</w:t>
            </w:r>
          </w:p>
        </w:tc>
      </w:tr>
      <w:tr w:rsidR="00D53745" w:rsidRPr="00F74383" w14:paraId="1A2B5CD8" w14:textId="77777777" w:rsidTr="00DF072C">
        <w:trPr>
          <w:trHeight w:val="29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D21E967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Former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903F466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239 (40.65%)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7C3E10C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141 (39.94%)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09D43BC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98 (41.70%)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3C238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0.6706</w:t>
            </w:r>
          </w:p>
        </w:tc>
      </w:tr>
      <w:tr w:rsidR="00D53745" w:rsidRPr="00F74383" w14:paraId="0039159C" w14:textId="77777777" w:rsidTr="00DF072C">
        <w:trPr>
          <w:trHeight w:val="26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C9579F0" w14:textId="32A2EB8F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Non-</w:t>
            </w:r>
            <w:r w:rsidR="007612CD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s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moker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D73B581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279 (47.45%)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B06F8BB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165 (46.74%)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580FE72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114 (48.51%)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AE0D18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0.674</w:t>
            </w:r>
          </w:p>
        </w:tc>
      </w:tr>
      <w:tr w:rsidR="00D53745" w:rsidRPr="00F74383" w14:paraId="5CF8CF7F" w14:textId="77777777" w:rsidTr="00DF072C">
        <w:trPr>
          <w:trHeight w:val="280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14:paraId="28FEA48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Regular exercise,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BFA213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D8105E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D53745" w:rsidRPr="00F74383" w14:paraId="3C53B7ED" w14:textId="77777777" w:rsidTr="00DF072C">
        <w:trPr>
          <w:trHeight w:val="31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03D23D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Physically Inactive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493B2E2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171 (29.03%)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1427D8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85 (24.01%)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ED5FCA2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86 (36.60%)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4997DC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D53745" w:rsidRPr="00F74383" w14:paraId="5B58CEB5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2C3D33D" w14:textId="3D6D5C05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 xml:space="preserve">Moderate </w:t>
            </w:r>
            <w:r w:rsidR="00F45BDF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p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hysical </w:t>
            </w:r>
            <w:r w:rsidR="00F45BDF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a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ctivity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D8BCAB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230 (39.05%)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6EBA1C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139 (39.27%)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8A9E89F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91 (38.72%)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4DDE6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0.8949</w:t>
            </w:r>
          </w:p>
        </w:tc>
      </w:tr>
      <w:tr w:rsidR="00D53745" w:rsidRPr="00F74383" w14:paraId="14BD1349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8FEDAAE" w14:textId="7BDA40E0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Idea</w:t>
            </w:r>
            <w:r w:rsidR="003C7D88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l physical a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ctivity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41838C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188 (31.92%)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045FB3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130 (36.72%)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7C22751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58 (24.68%)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6B483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0.0021</w:t>
            </w:r>
          </w:p>
        </w:tc>
      </w:tr>
      <w:tr w:rsidR="00D53745" w:rsidRPr="00F74383" w14:paraId="20DD0FB1" w14:textId="77777777" w:rsidTr="00DF072C">
        <w:trPr>
          <w:trHeight w:val="370"/>
        </w:trPr>
        <w:tc>
          <w:tcPr>
            <w:tcW w:w="4290" w:type="dxa"/>
            <w:gridSpan w:val="2"/>
            <w:shd w:val="clear" w:color="auto" w:fill="auto"/>
            <w:noWrap/>
            <w:vAlign w:val="bottom"/>
            <w:hideMark/>
          </w:tcPr>
          <w:p w14:paraId="349993B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Obesity, % BMI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2C39B5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529ED68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85821A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D53745" w:rsidRPr="00F74383" w14:paraId="4A628873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BAFB086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Lean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E13D97F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270 (45.84%)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A8BCEA7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255 (72.03%)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083BDB3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15 (6.38%)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115E7C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&lt; 0.0001</w:t>
            </w:r>
          </w:p>
        </w:tc>
      </w:tr>
      <w:tr w:rsidR="00D53745" w:rsidRPr="00F74383" w14:paraId="76E668C5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1196F9B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Overweight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7DB6042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234 (39.73%)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6087A61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99 (27.97%)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E4B89C6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135 (57.45%)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F11CB1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&lt; 0.0001</w:t>
            </w:r>
          </w:p>
        </w:tc>
      </w:tr>
      <w:tr w:rsidR="00D53745" w:rsidRPr="00F74383" w14:paraId="58F83784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04E4FCC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Obese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75803D3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85 (14.43%)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69790C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 (0.00%)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F9992A2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85 (36.17%)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9B2C1E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&lt; 0.0001</w:t>
            </w:r>
          </w:p>
        </w:tc>
      </w:tr>
      <w:tr w:rsidR="00D53745" w:rsidRPr="00F74383" w14:paraId="1E0DF640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5769AC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History of CVD,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21C4CE8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40 (6.79%)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2BF5C36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23 (6.50%)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2416E3E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17 (7.23%)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2F063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0.7278</w:t>
            </w:r>
          </w:p>
        </w:tc>
      </w:tr>
      <w:tr w:rsidR="00D53745" w:rsidRPr="00F74383" w14:paraId="39F755B8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8ACA44F" w14:textId="62856EC8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History of </w:t>
            </w:r>
            <w:r w:rsidR="00341209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a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rthritis,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22820E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68 (11.54%)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881F15D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39 (11.02%)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C155B4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29 (12.34%)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5B41C8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0.6226</w:t>
            </w:r>
          </w:p>
        </w:tc>
      </w:tr>
      <w:tr w:rsidR="00D53745" w:rsidRPr="00F74383" w14:paraId="201F5ED0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0A0594C" w14:textId="4504341A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History of </w:t>
            </w:r>
            <w:r w:rsidR="00341209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c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ancer (any),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28E903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97 (16.47%)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23EDB5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48 (13.56%)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0710773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49 (20.85%)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37A0C3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0.0195</w:t>
            </w:r>
          </w:p>
        </w:tc>
      </w:tr>
      <w:tr w:rsidR="00D53745" w:rsidRPr="00F74383" w14:paraId="59C9169E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E8522B5" w14:textId="22A468E1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Insulin </w:t>
            </w:r>
            <w:r w:rsidR="001E4DC0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r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esistance,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4916F18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157 (26.66%)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5A5FB094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48 (13.56%)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405F4D6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109 (46.38%)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E6BC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&lt; 0.0001</w:t>
            </w:r>
          </w:p>
        </w:tc>
      </w:tr>
      <w:tr w:rsidR="00D53745" w:rsidRPr="00F74383" w14:paraId="732C0E62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2759221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Hypertension,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373B097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117 (19.86%)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84A57F6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66 (18.64%)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71D60AA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51 (21.70%)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1253F7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0.3623</w:t>
            </w:r>
          </w:p>
        </w:tc>
      </w:tr>
      <w:tr w:rsidR="00D53745" w:rsidRPr="00F74383" w14:paraId="6B4E8603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C30B5EA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Hyperlipidemia,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73BFDCFF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446 (75.72%)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28E20BE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245 (69.21%)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18AE779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201 (85.53%)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DEED9E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&lt; 0.0001</w:t>
            </w:r>
          </w:p>
        </w:tc>
      </w:tr>
      <w:tr w:rsidR="00D53745" w:rsidRPr="00F74383" w14:paraId="1E048825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E780319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Diabetes,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D1BA00A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74 (12.56%)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7D75DD3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19 (5.37%)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C37385A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55 (23.40%)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79A039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&lt; 0.0001</w:t>
            </w:r>
          </w:p>
        </w:tc>
      </w:tr>
      <w:tr w:rsidR="00D53745" w:rsidRPr="00F74383" w14:paraId="4695C155" w14:textId="77777777" w:rsidTr="00DF072C">
        <w:trPr>
          <w:trHeight w:val="37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EE7BA53" w14:textId="3FE3E858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Metabolic </w:t>
            </w:r>
            <w:r w:rsidR="002013D5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s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yndrome</w:t>
            </w:r>
            <w:r w:rsidRPr="00F74383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, %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AE3D58D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125 (21.26%)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61843C11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23 (6.52%)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9013AB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102 (43.40%)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360620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&lt; 0.0001</w:t>
            </w:r>
          </w:p>
        </w:tc>
      </w:tr>
      <w:tr w:rsidR="00D53745" w:rsidRPr="00F74383" w14:paraId="26C709B1" w14:textId="77777777" w:rsidTr="00DF072C">
        <w:trPr>
          <w:trHeight w:val="28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26AD32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BDI, mean ± SD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8CF56C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4.00 ± 3.71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54083EF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3.67 ± 3.62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17121C6D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4.49 ± 3.80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D948B5" w14:textId="77777777" w:rsidR="00D53745" w:rsidRPr="00F74383" w:rsidRDefault="00D53745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0.0041</w:t>
            </w:r>
          </w:p>
        </w:tc>
      </w:tr>
    </w:tbl>
    <w:p w14:paraId="18F8D6D3" w14:textId="689172D6" w:rsidR="00E84959" w:rsidRPr="00F74383" w:rsidRDefault="00E443BB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Times New Roman" w:hAnsi="Book Antiqua" w:cs="Calibri"/>
          <w:color w:val="000000"/>
        </w:rPr>
      </w:pPr>
      <w:r w:rsidRPr="00F74383">
        <w:rPr>
          <w:rFonts w:ascii="Book Antiqua" w:eastAsia="Times New Roman" w:hAnsi="Book Antiqua" w:cs="Calibri"/>
          <w:color w:val="000000"/>
        </w:rPr>
        <w:t xml:space="preserve">CVD: Cardiovascular disease; </w:t>
      </w:r>
      <w:r w:rsidR="00B25D8B" w:rsidRPr="00F74383">
        <w:rPr>
          <w:rFonts w:ascii="Book Antiqua" w:eastAsia="ArialNarrow-Bold" w:hAnsi="Book Antiqua" w:cs="ArialNarrow-Bold"/>
        </w:rPr>
        <w:t xml:space="preserve">NAFLD: </w:t>
      </w:r>
      <w:r w:rsidR="00B25D8B" w:rsidRPr="00F74383">
        <w:rPr>
          <w:rFonts w:ascii="Book Antiqua" w:eastAsia="BookAntiqua" w:hAnsi="Book Antiqua" w:cs="BookAntiqua"/>
        </w:rPr>
        <w:t xml:space="preserve">Nonalcoholic fatty liver disease; </w:t>
      </w:r>
      <w:r w:rsidRPr="00F74383">
        <w:rPr>
          <w:rFonts w:ascii="Book Antiqua" w:eastAsia="Times New Roman" w:hAnsi="Book Antiqua" w:cs="Calibri"/>
          <w:color w:val="000000"/>
        </w:rPr>
        <w:t>SD</w:t>
      </w:r>
      <w:r w:rsidR="00FD7F4C" w:rsidRPr="00F74383">
        <w:rPr>
          <w:rFonts w:ascii="Book Antiqua" w:eastAsia="Times New Roman" w:hAnsi="Book Antiqua" w:cs="Calibri"/>
          <w:color w:val="000000"/>
        </w:rPr>
        <w:t>:</w:t>
      </w:r>
      <w:r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760D3B" w:rsidRPr="00F74383">
        <w:rPr>
          <w:rFonts w:ascii="Book Antiqua" w:eastAsia="Times New Roman" w:hAnsi="Book Antiqua" w:cs="Calibri"/>
          <w:color w:val="000000"/>
        </w:rPr>
        <w:t>S</w:t>
      </w:r>
      <w:r w:rsidRPr="00F74383">
        <w:rPr>
          <w:rFonts w:ascii="Book Antiqua" w:eastAsia="Times New Roman" w:hAnsi="Book Antiqua" w:cs="Calibri"/>
          <w:color w:val="000000"/>
        </w:rPr>
        <w:t>tandard deviation</w:t>
      </w:r>
      <w:r w:rsidR="00FD7F4C" w:rsidRPr="00F74383">
        <w:rPr>
          <w:rFonts w:ascii="Book Antiqua" w:eastAsia="Times New Roman" w:hAnsi="Book Antiqua" w:cs="Calibri"/>
          <w:color w:val="000000"/>
        </w:rPr>
        <w:t xml:space="preserve">. </w:t>
      </w:r>
      <w:r w:rsidRPr="00F74383">
        <w:rPr>
          <w:rFonts w:ascii="Book Antiqua" w:eastAsia="Times New Roman" w:hAnsi="Book Antiqua" w:cs="Calibri"/>
          <w:color w:val="000000"/>
        </w:rPr>
        <w:t>NCEP ATP III (2005 revision)</w:t>
      </w:r>
      <w:r w:rsidR="00245048" w:rsidRPr="00F74383">
        <w:rPr>
          <w:rFonts w:ascii="Book Antiqua" w:eastAsia="Times New Roman" w:hAnsi="Book Antiqua" w:cs="Calibri"/>
          <w:color w:val="000000"/>
        </w:rPr>
        <w:t>.</w:t>
      </w:r>
      <w:r w:rsidR="00872D49" w:rsidRPr="00F74383">
        <w:rPr>
          <w:rFonts w:ascii="Book Antiqua" w:eastAsia="Times New Roman" w:hAnsi="Book Antiqua" w:cs="Calibri"/>
          <w:color w:val="000000"/>
        </w:rPr>
        <w:t xml:space="preserve"> </w:t>
      </w:r>
    </w:p>
    <w:p w14:paraId="124D745C" w14:textId="09677F67" w:rsidR="00AB38B6" w:rsidRPr="00F74383" w:rsidRDefault="001E21A1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F74383">
        <w:rPr>
          <w:rFonts w:ascii="Book Antiqua" w:eastAsia="Times New Roman" w:hAnsi="Book Antiqua" w:cs="Calibri"/>
          <w:color w:val="000000"/>
          <w:vertAlign w:val="superscript"/>
        </w:rPr>
        <w:t>1</w:t>
      </w:r>
      <w:r w:rsidR="00E443BB" w:rsidRPr="00F74383">
        <w:rPr>
          <w:rFonts w:ascii="Book Antiqua" w:eastAsia="Times New Roman" w:hAnsi="Book Antiqua" w:cs="Calibri"/>
          <w:i/>
          <w:iCs/>
          <w:color w:val="000000"/>
        </w:rPr>
        <w:t>P</w:t>
      </w:r>
      <w:r w:rsidR="00872D49" w:rsidRPr="00F74383">
        <w:rPr>
          <w:rFonts w:ascii="Book Antiqua" w:eastAsia="Times New Roman" w:hAnsi="Book Antiqua" w:cs="Calibri"/>
          <w:i/>
          <w:iCs/>
          <w:color w:val="000000"/>
        </w:rPr>
        <w:t xml:space="preserve"> </w:t>
      </w:r>
      <w:r w:rsidR="00E443BB" w:rsidRPr="00F74383">
        <w:rPr>
          <w:rFonts w:ascii="Book Antiqua" w:eastAsia="Times New Roman" w:hAnsi="Book Antiqua" w:cs="Calibri"/>
          <w:color w:val="000000"/>
        </w:rPr>
        <w:t>value by nonparametric Kruskal-Wallis Test for continuous variables, chi-square test for categorical variable</w:t>
      </w:r>
      <w:r w:rsidR="002325EF" w:rsidRPr="00F74383">
        <w:rPr>
          <w:rFonts w:ascii="Book Antiqua" w:eastAsia="Times New Roman" w:hAnsi="Book Antiqua" w:cs="Calibri"/>
          <w:color w:val="000000"/>
        </w:rPr>
        <w:t xml:space="preserve">, </w:t>
      </w:r>
      <w:r w:rsidR="00E443BB" w:rsidRPr="00F74383">
        <w:rPr>
          <w:rFonts w:ascii="Book Antiqua" w:eastAsia="Times New Roman" w:hAnsi="Book Antiqua" w:cs="Calibri"/>
          <w:color w:val="000000"/>
        </w:rPr>
        <w:t xml:space="preserve">Data are presented as the mean ± </w:t>
      </w:r>
      <w:r w:rsidR="00ED7652" w:rsidRPr="00F74383">
        <w:rPr>
          <w:rFonts w:ascii="Book Antiqua" w:eastAsia="Times New Roman" w:hAnsi="Book Antiqua" w:cs="Calibri"/>
          <w:color w:val="000000"/>
        </w:rPr>
        <w:t>SD</w:t>
      </w:r>
      <w:r w:rsidR="00E443BB" w:rsidRPr="00F74383">
        <w:rPr>
          <w:rFonts w:ascii="Book Antiqua" w:eastAsia="Times New Roman" w:hAnsi="Book Antiqua" w:cs="Calibri"/>
          <w:color w:val="000000"/>
        </w:rPr>
        <w:t xml:space="preserve"> for numerical variables and count (%) for categorical variables</w:t>
      </w:r>
      <w:r w:rsidR="00FA7295" w:rsidRPr="00F74383">
        <w:rPr>
          <w:rFonts w:ascii="Book Antiqua" w:eastAsia="Times New Roman" w:hAnsi="Book Antiqua" w:cs="Calibri"/>
          <w:color w:val="000000"/>
        </w:rPr>
        <w:t>.</w:t>
      </w:r>
    </w:p>
    <w:p w14:paraId="6751643E" w14:textId="41A615D2" w:rsidR="00AB38B6" w:rsidRPr="00F74383" w:rsidRDefault="002D0065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F74383">
        <w:rPr>
          <w:rFonts w:ascii="Book Antiqua" w:eastAsia="Times New Roman" w:hAnsi="Book Antiqua" w:cs="Arial"/>
          <w:b/>
        </w:rPr>
        <w:br w:type="page"/>
      </w:r>
      <w:r w:rsidR="00474363" w:rsidRPr="00F74383">
        <w:rPr>
          <w:rFonts w:ascii="Book Antiqua" w:eastAsia="Times New Roman" w:hAnsi="Book Antiqua" w:cs="Calibri"/>
          <w:b/>
          <w:color w:val="000000"/>
        </w:rPr>
        <w:lastRenderedPageBreak/>
        <w:t xml:space="preserve">Table 2 Demographic, lifestyle and general health comorbidities of participants according to the presence of Depression and </w:t>
      </w:r>
      <w:r w:rsidR="00A23D25" w:rsidRPr="00F74383">
        <w:rPr>
          <w:rFonts w:ascii="Book Antiqua" w:eastAsia="Times New Roman" w:hAnsi="Book Antiqua" w:cs="Calibri"/>
          <w:b/>
          <w:color w:val="000000"/>
        </w:rPr>
        <w:t>nonalcoholic fatty liver disease</w:t>
      </w:r>
    </w:p>
    <w:tbl>
      <w:tblPr>
        <w:tblW w:w="864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592"/>
        <w:gridCol w:w="1469"/>
        <w:gridCol w:w="876"/>
        <w:gridCol w:w="1592"/>
        <w:gridCol w:w="1469"/>
        <w:gridCol w:w="876"/>
      </w:tblGrid>
      <w:tr w:rsidR="00EF6DD0" w:rsidRPr="00F74383" w14:paraId="41F20809" w14:textId="77777777" w:rsidTr="00D04012">
        <w:trPr>
          <w:trHeight w:val="310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381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B0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Individuals with NAFLD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F8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Individuals without NAFLD</w:t>
            </w:r>
          </w:p>
        </w:tc>
      </w:tr>
      <w:tr w:rsidR="0016530A" w:rsidRPr="00F74383" w14:paraId="362C85BB" w14:textId="77777777" w:rsidTr="00D04012">
        <w:trPr>
          <w:trHeight w:val="320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8BE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FB4E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No depression (</w:t>
            </w: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207)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C9F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Depression (</w:t>
            </w: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28)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81F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19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No depression (</w:t>
            </w: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327)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98F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Depression (</w:t>
            </w: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= 27)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A1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16530A" w:rsidRPr="00F74383" w14:paraId="78A30BEE" w14:textId="77777777" w:rsidTr="00D04012">
        <w:trPr>
          <w:trHeight w:val="280"/>
        </w:trPr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D7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Age, mean ± SD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EF8" w14:textId="1255B3F9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59.91 ±</w:t>
            </w:r>
            <w:r w:rsidR="0016530A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6.34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E8A" w14:textId="7CE600D0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60.15 ±</w:t>
            </w:r>
            <w:r w:rsidR="0016530A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6.00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0B27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0.9433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D4C" w14:textId="1EBA35F5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60.02 ±</w:t>
            </w:r>
            <w:r w:rsidR="0016530A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7.32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643" w14:textId="68B4BE5C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59.61 ±</w:t>
            </w:r>
            <w:r w:rsidR="0016530A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8.44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B76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0.9813</w:t>
            </w:r>
          </w:p>
        </w:tc>
      </w:tr>
      <w:tr w:rsidR="0016530A" w:rsidRPr="00F74383" w14:paraId="05A81A9C" w14:textId="77777777" w:rsidTr="00D04012">
        <w:trPr>
          <w:trHeight w:val="31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220DA7C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Male,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0EAD3D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115 (55.56%)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BCCADD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 (28.57%)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06355AA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0.0073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7E2DC2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125 (38.23%)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523D1A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 (22.22%)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A2FC51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0.0978</w:t>
            </w:r>
          </w:p>
        </w:tc>
      </w:tr>
      <w:tr w:rsidR="0016530A" w:rsidRPr="00F74383" w14:paraId="45DADFE9" w14:textId="77777777" w:rsidTr="00D04012">
        <w:trPr>
          <w:trHeight w:val="31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1D1188B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White,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4B5ED14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197 (95.17%)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254FEFF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27 (96.43%)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1C7313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0.7671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1B8B84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316 (96.64%)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681F10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24 (88.89%)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207873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0.0471</w:t>
            </w:r>
          </w:p>
        </w:tc>
      </w:tr>
      <w:tr w:rsidR="00EF6DD0" w:rsidRPr="00F74383" w14:paraId="22418491" w14:textId="77777777" w:rsidTr="00D04012">
        <w:trPr>
          <w:trHeight w:val="280"/>
        </w:trPr>
        <w:tc>
          <w:tcPr>
            <w:tcW w:w="4726" w:type="dxa"/>
            <w:gridSpan w:val="3"/>
            <w:shd w:val="clear" w:color="auto" w:fill="auto"/>
            <w:noWrap/>
            <w:vAlign w:val="bottom"/>
            <w:hideMark/>
          </w:tcPr>
          <w:p w14:paraId="78CCB77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Smoking status, %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0A68D6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08B34A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6EF5A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6D2061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16530A" w:rsidRPr="00F74383" w14:paraId="3B1EF13A" w14:textId="77777777" w:rsidTr="00D04012">
        <w:trPr>
          <w:trHeight w:val="29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4687761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Current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5C9E17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19 (9.18%)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CDA6F6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 (14.29%)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22F0F44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0.3934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0D8E9B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41 (12.58%)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C89FC3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 (22.22%)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49DF72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0.1563</w:t>
            </w:r>
          </w:p>
        </w:tc>
      </w:tr>
      <w:tr w:rsidR="0016530A" w:rsidRPr="00F74383" w14:paraId="0CFF18AC" w14:textId="77777777" w:rsidTr="00D04012">
        <w:trPr>
          <w:trHeight w:val="26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2D190D0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Former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5164A1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86 (41.55%)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3245DA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12 (42.86%)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152A4DC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0.8949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2F5966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133 (40.80%)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2984E4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 (29.63%)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7FFD79A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0.2549</w:t>
            </w:r>
          </w:p>
        </w:tc>
      </w:tr>
      <w:tr w:rsidR="0016530A" w:rsidRPr="00F74383" w14:paraId="5BA82FF9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31623D47" w14:textId="0AE4CC94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Non-</w:t>
            </w:r>
            <w:r w:rsidR="002A0D91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s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moker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0D5888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102 (49.28%)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AE2DA8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12 (42.86%)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2BE5B40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0.5236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6381B4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152 (46.63%)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7A549E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13 (48.15%)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D0D2097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0.8789</w:t>
            </w:r>
          </w:p>
        </w:tc>
      </w:tr>
      <w:tr w:rsidR="00EF6DD0" w:rsidRPr="00F74383" w14:paraId="76704F5D" w14:textId="77777777" w:rsidTr="00D04012">
        <w:trPr>
          <w:trHeight w:val="310"/>
        </w:trPr>
        <w:tc>
          <w:tcPr>
            <w:tcW w:w="4726" w:type="dxa"/>
            <w:gridSpan w:val="3"/>
            <w:shd w:val="clear" w:color="auto" w:fill="auto"/>
            <w:noWrap/>
            <w:vAlign w:val="bottom"/>
            <w:hideMark/>
          </w:tcPr>
          <w:p w14:paraId="5E454B9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Regular exercise, %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2372659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6AFCAA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0FEA4D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4059D4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16530A" w:rsidRPr="00F74383" w14:paraId="5F56ACD8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4DA18C0F" w14:textId="181B79C9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Physically </w:t>
            </w:r>
            <w:r w:rsidR="0057494D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i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nactive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986FD3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69 (33.33%)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AAD9BD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17 (60.71%)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51409E6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0.0048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7090B8A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75 (22.94%)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10C833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10 (37.04%)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813169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0.0992</w:t>
            </w:r>
          </w:p>
        </w:tc>
      </w:tr>
      <w:tr w:rsidR="0016530A" w:rsidRPr="00F74383" w14:paraId="19B59FA9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1B31BC54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Moderate physical activity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E129E8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86 (41.55%)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B58B43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 (17.86%)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505FED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0.0157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20E50A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129 (39.45%)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A39DD2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10 (37.04%)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8E5247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0.8051</w:t>
            </w:r>
          </w:p>
        </w:tc>
      </w:tr>
      <w:tr w:rsidR="0016530A" w:rsidRPr="00F74383" w14:paraId="48E54F8D" w14:textId="77777777" w:rsidTr="00D04012">
        <w:trPr>
          <w:trHeight w:val="37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67BADE7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Ideal physical activity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6F5BE1F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52 (25.12%)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C8B6FE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 (21.43%)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2C508CB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0.6706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933313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123 (37.61%)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BF47BBA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7 (25.93%)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D3B597F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0.2259</w:t>
            </w:r>
          </w:p>
        </w:tc>
      </w:tr>
      <w:tr w:rsidR="0016530A" w:rsidRPr="00F74383" w14:paraId="43CA64B1" w14:textId="77777777" w:rsidTr="00D04012">
        <w:trPr>
          <w:trHeight w:val="280"/>
        </w:trPr>
        <w:tc>
          <w:tcPr>
            <w:tcW w:w="3422" w:type="dxa"/>
            <w:gridSpan w:val="2"/>
            <w:shd w:val="clear" w:color="auto" w:fill="auto"/>
            <w:noWrap/>
            <w:vAlign w:val="bottom"/>
            <w:hideMark/>
          </w:tcPr>
          <w:p w14:paraId="2029BC1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Obesity, % BMI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C20F54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176F60FE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6E8B7D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8E12BC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158B95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16530A" w:rsidRPr="00F74383" w14:paraId="6D7370DA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4685B557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Lean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28AA42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13 (6.28%)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C7FB9A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 (7.14%)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720C2CD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0.8609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8204117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232 (70.95%)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86DF03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23 (85.19%)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CA628AE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0.1132</w:t>
            </w:r>
          </w:p>
        </w:tc>
      </w:tr>
      <w:tr w:rsidR="0016530A" w:rsidRPr="00F74383" w14:paraId="1188240F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00BD4CA4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Overweight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931E35A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118 (57.00%)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9EBE13F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17 (60.71%)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392CDBF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0.7094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8FF87C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95 (29.05%)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E085FC4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 (14.81%)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24EBBD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0.1132</w:t>
            </w:r>
          </w:p>
        </w:tc>
      </w:tr>
      <w:tr w:rsidR="0016530A" w:rsidRPr="00F74383" w14:paraId="225C489F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2EDC12D7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Obese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BCB8F3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76 (36.71%)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B41BA9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9 (32.14%)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039F567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0.6365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2C514D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 (0.00%)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DBDF88A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 (0.00%)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BF49DF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-------</w:t>
            </w:r>
          </w:p>
        </w:tc>
      </w:tr>
      <w:tr w:rsidR="0016530A" w:rsidRPr="00F74383" w14:paraId="71E0656B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495AD16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History of CVD,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C204DD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14 (6.76%)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E57CAE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3 (10.71%)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49102C4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0.4488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C7E8AC4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21 (6.42%)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D9E29D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 (7.41%)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7B6FBA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0.8417</w:t>
            </w:r>
          </w:p>
        </w:tc>
      </w:tr>
      <w:tr w:rsidR="0016530A" w:rsidRPr="00F74383" w14:paraId="0C1F8C44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489FA57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History of arthritis,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F9BC024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21 (10.14%)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526ECD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8 (28.57%)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41598E3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0.0054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3B182B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37 (11.31%)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F14D52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 (7.41%)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33039A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0.5331</w:t>
            </w:r>
          </w:p>
        </w:tc>
      </w:tr>
      <w:tr w:rsidR="0016530A" w:rsidRPr="00F74383" w14:paraId="6049AEBD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3154B7B7" w14:textId="42CE9C2E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History of </w:t>
            </w:r>
            <w:r w:rsidR="003F5270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a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ny cancer,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A18A50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46 (22.22%)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E7EA95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3 (10.71%)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1C338597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0.1595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F98A58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47 (14.37%)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E141F2A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 (3.70%)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4FC5B5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0.1196</w:t>
            </w:r>
          </w:p>
        </w:tc>
      </w:tr>
      <w:tr w:rsidR="0016530A" w:rsidRPr="00F74383" w14:paraId="48094F11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05C16C1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Insulin resistance,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85C899E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97 (46.86%)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118556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12 (42.86%)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5D90420E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0.6902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242E86F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47 (14.37%)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BDB9987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 (3.70%)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29DBA86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0.1196</w:t>
            </w:r>
          </w:p>
        </w:tc>
      </w:tr>
      <w:tr w:rsidR="0016530A" w:rsidRPr="00F74383" w14:paraId="16BE3FAC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282B155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Hypertension,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7DEA677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44 (21.26%)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3A4E05F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7 (25.00%)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77407EB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0.6519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04B1DE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61 (18.65%)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CC63F7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 (18.52%)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C7CB1D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0.9861</w:t>
            </w:r>
          </w:p>
        </w:tc>
      </w:tr>
      <w:tr w:rsidR="0016530A" w:rsidRPr="00F74383" w14:paraId="12D50F11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1B9D6B6C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Hyperlipidemia,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12EE21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177 (85.51%)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EA3FCE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24 (85.71%)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742AB38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0.9767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536975E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226 (69.11%)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A59A9B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19 (70.37%)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CD0D70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0.8918</w:t>
            </w:r>
          </w:p>
        </w:tc>
      </w:tr>
      <w:tr w:rsidR="0016530A" w:rsidRPr="00F74383" w14:paraId="6A23BDB5" w14:textId="77777777" w:rsidTr="00D04012">
        <w:trPr>
          <w:trHeight w:val="28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12AFC084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Diabetes,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B794A69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50 (24.15%)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28A2C4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5 (17.86%)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CF92685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0.4601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D47BD1F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16 (4.89%)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42F0B08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3 (11.11%)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BC6F14D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0.1682</w:t>
            </w:r>
          </w:p>
        </w:tc>
      </w:tr>
      <w:tr w:rsidR="0016530A" w:rsidRPr="00F74383" w14:paraId="51A7686E" w14:textId="77777777" w:rsidTr="00D04012">
        <w:trPr>
          <w:trHeight w:val="370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14:paraId="7831C56E" w14:textId="0F6F3221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Metabolic </w:t>
            </w:r>
            <w:r w:rsidR="00F16AA3"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s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yndrome</w:t>
            </w:r>
            <w:r w:rsidRPr="00F74383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, %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87016C1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91 (43.96%)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F25C573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11 (39.29%)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1714B6B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0.6394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0B2D16B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21 (6.44%)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718B32A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2 (7.41%)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99E1C10" w14:textId="77777777" w:rsidR="00EF6DD0" w:rsidRPr="00F74383" w:rsidRDefault="00EF6DD0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0.8451</w:t>
            </w:r>
          </w:p>
        </w:tc>
      </w:tr>
    </w:tbl>
    <w:p w14:paraId="25737C4C" w14:textId="5F0C7989" w:rsidR="006C5621" w:rsidRPr="00F74383" w:rsidRDefault="00445F5D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Times New Roman" w:hAnsi="Book Antiqua" w:cs="Calibri"/>
          <w:color w:val="000000"/>
        </w:rPr>
      </w:pPr>
      <w:r w:rsidRPr="00F74383">
        <w:rPr>
          <w:rFonts w:ascii="Book Antiqua" w:eastAsia="Times New Roman" w:hAnsi="Book Antiqua" w:cs="Calibri"/>
          <w:color w:val="000000"/>
        </w:rPr>
        <w:t>CVD</w:t>
      </w:r>
      <w:r w:rsidR="005E66B0" w:rsidRPr="00F74383">
        <w:rPr>
          <w:rFonts w:ascii="Book Antiqua" w:eastAsia="Times New Roman" w:hAnsi="Book Antiqua" w:cs="Calibri"/>
          <w:color w:val="000000"/>
        </w:rPr>
        <w:t>:</w:t>
      </w:r>
      <w:r w:rsidRPr="00F74383">
        <w:rPr>
          <w:rFonts w:ascii="Book Antiqua" w:eastAsia="Times New Roman" w:hAnsi="Book Antiqua" w:cs="Calibri"/>
          <w:color w:val="000000"/>
        </w:rPr>
        <w:t xml:space="preserve"> Cardiovascular disease;</w:t>
      </w:r>
      <w:r w:rsidR="00C36D65" w:rsidRPr="00F74383">
        <w:rPr>
          <w:rFonts w:ascii="Book Antiqua" w:eastAsia="ArialNarrow-Bold" w:hAnsi="Book Antiqua" w:cs="ArialNarrow-Bold"/>
        </w:rPr>
        <w:t xml:space="preserve"> NAFLD: </w:t>
      </w:r>
      <w:r w:rsidR="00C36D65" w:rsidRPr="00F74383">
        <w:rPr>
          <w:rFonts w:ascii="Book Antiqua" w:eastAsia="BookAntiqua" w:hAnsi="Book Antiqua" w:cs="BookAntiqua"/>
        </w:rPr>
        <w:t>Nonalcoholic fatty liver disease;</w:t>
      </w:r>
      <w:r w:rsidRPr="00F74383">
        <w:rPr>
          <w:rFonts w:ascii="Book Antiqua" w:eastAsia="Times New Roman" w:hAnsi="Book Antiqua" w:cs="Calibri"/>
          <w:color w:val="000000"/>
        </w:rPr>
        <w:t xml:space="preserve"> SD</w:t>
      </w:r>
      <w:r w:rsidR="00E6072A" w:rsidRPr="00F74383">
        <w:rPr>
          <w:rFonts w:ascii="Book Antiqua" w:eastAsia="Times New Roman" w:hAnsi="Book Antiqua" w:cs="Calibri"/>
          <w:color w:val="000000"/>
        </w:rPr>
        <w:t>:</w:t>
      </w:r>
      <w:r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71DE0" w:rsidRPr="00F74383">
        <w:rPr>
          <w:rFonts w:ascii="Book Antiqua" w:eastAsia="Times New Roman" w:hAnsi="Book Antiqua" w:cs="Calibri"/>
          <w:color w:val="000000"/>
        </w:rPr>
        <w:t>S</w:t>
      </w:r>
      <w:r w:rsidRPr="00F74383">
        <w:rPr>
          <w:rFonts w:ascii="Book Antiqua" w:eastAsia="Times New Roman" w:hAnsi="Book Antiqua" w:cs="Calibri"/>
          <w:color w:val="000000"/>
        </w:rPr>
        <w:t>tandard deviation</w:t>
      </w:r>
      <w:r w:rsidR="000D2A30" w:rsidRPr="00F74383">
        <w:rPr>
          <w:rFonts w:ascii="Book Antiqua" w:eastAsia="Times New Roman" w:hAnsi="Book Antiqua" w:cs="Calibri"/>
          <w:color w:val="000000"/>
        </w:rPr>
        <w:t xml:space="preserve">, </w:t>
      </w:r>
      <w:r w:rsidRPr="00F74383">
        <w:rPr>
          <w:rFonts w:ascii="Book Antiqua" w:eastAsia="Times New Roman" w:hAnsi="Book Antiqua" w:cs="Calibri"/>
          <w:color w:val="000000"/>
        </w:rPr>
        <w:t>NCEP ATP III (2005 revision)</w:t>
      </w:r>
      <w:r w:rsidR="006C5621" w:rsidRPr="00F74383">
        <w:rPr>
          <w:rFonts w:ascii="Book Antiqua" w:eastAsia="Times New Roman" w:hAnsi="Book Antiqua" w:cs="Calibri"/>
          <w:color w:val="000000"/>
        </w:rPr>
        <w:t>.</w:t>
      </w:r>
      <w:r w:rsidR="009A2239" w:rsidRPr="00F74383">
        <w:rPr>
          <w:rFonts w:ascii="Book Antiqua" w:eastAsia="Times New Roman" w:hAnsi="Book Antiqua" w:cs="Calibri"/>
          <w:color w:val="000000"/>
        </w:rPr>
        <w:t xml:space="preserve"> </w:t>
      </w:r>
    </w:p>
    <w:p w14:paraId="6689C19B" w14:textId="25000CC8" w:rsidR="00AB38B6" w:rsidRPr="00F74383" w:rsidRDefault="009A2239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F74383">
        <w:rPr>
          <w:rFonts w:ascii="Book Antiqua" w:eastAsia="Times New Roman" w:hAnsi="Book Antiqua" w:cs="Calibri"/>
          <w:color w:val="000000"/>
          <w:vertAlign w:val="superscript"/>
        </w:rPr>
        <w:t>1</w:t>
      </w:r>
      <w:r w:rsidR="00445F5D" w:rsidRPr="00F74383">
        <w:rPr>
          <w:rFonts w:ascii="Book Antiqua" w:eastAsia="Times New Roman" w:hAnsi="Book Antiqua" w:cs="Calibri"/>
          <w:i/>
          <w:iCs/>
          <w:color w:val="000000"/>
        </w:rPr>
        <w:t>P</w:t>
      </w:r>
      <w:r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445F5D" w:rsidRPr="00F74383">
        <w:rPr>
          <w:rFonts w:ascii="Book Antiqua" w:eastAsia="Times New Roman" w:hAnsi="Book Antiqua" w:cs="Calibri"/>
          <w:color w:val="000000"/>
        </w:rPr>
        <w:t>value by nonparametric Kruskal-Wallis Test for continuous variables, chi-square test for categorical variable</w:t>
      </w:r>
      <w:r w:rsidR="006C4730" w:rsidRPr="00F74383">
        <w:rPr>
          <w:rFonts w:ascii="Book Antiqua" w:eastAsia="Times New Roman" w:hAnsi="Book Antiqua" w:cs="Calibri"/>
          <w:color w:val="000000"/>
        </w:rPr>
        <w:t xml:space="preserve">. </w:t>
      </w:r>
      <w:r w:rsidR="00445F5D" w:rsidRPr="00F74383">
        <w:rPr>
          <w:rFonts w:ascii="Book Antiqua" w:eastAsia="Times New Roman" w:hAnsi="Book Antiqua" w:cs="Calibri"/>
          <w:color w:val="000000"/>
        </w:rPr>
        <w:t xml:space="preserve">Data are presented as the mean ± </w:t>
      </w:r>
      <w:r w:rsidR="001C44CD" w:rsidRPr="00F74383">
        <w:rPr>
          <w:rFonts w:ascii="Book Antiqua" w:eastAsia="Times New Roman" w:hAnsi="Book Antiqua" w:cs="Calibri"/>
          <w:color w:val="000000"/>
        </w:rPr>
        <w:t>SD</w:t>
      </w:r>
      <w:r w:rsidR="00445F5D" w:rsidRPr="00F74383">
        <w:rPr>
          <w:rFonts w:ascii="Book Antiqua" w:eastAsia="Times New Roman" w:hAnsi="Book Antiqua" w:cs="Calibri"/>
          <w:color w:val="000000"/>
        </w:rPr>
        <w:t xml:space="preserve"> for numerical variables and count (%) for categorical variables</w:t>
      </w:r>
      <w:r w:rsidR="00C32347" w:rsidRPr="00F74383">
        <w:rPr>
          <w:rFonts w:ascii="Book Antiqua" w:eastAsia="Times New Roman" w:hAnsi="Book Antiqua" w:cs="Calibri"/>
          <w:color w:val="000000"/>
        </w:rPr>
        <w:t>.</w:t>
      </w:r>
    </w:p>
    <w:p w14:paraId="4DD53EB6" w14:textId="34EB0806" w:rsidR="00AB38B6" w:rsidRPr="00F74383" w:rsidRDefault="00F245C2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F74383">
        <w:rPr>
          <w:rFonts w:ascii="Book Antiqua" w:eastAsia="Times New Roman" w:hAnsi="Book Antiqua" w:cs="Arial"/>
          <w:b/>
        </w:rPr>
        <w:br w:type="page"/>
      </w:r>
      <w:r w:rsidRPr="00F74383">
        <w:rPr>
          <w:rFonts w:ascii="Book Antiqua" w:eastAsia="Times New Roman" w:hAnsi="Book Antiqua" w:cs="Calibri"/>
          <w:b/>
          <w:color w:val="000000"/>
        </w:rPr>
        <w:lastRenderedPageBreak/>
        <w:t xml:space="preserve">Table 3 Univariable and multivariable Changes in </w:t>
      </w:r>
      <w:r w:rsidR="00A01351" w:rsidRPr="00F74383">
        <w:rPr>
          <w:rFonts w:ascii="Book Antiqua" w:eastAsia="Times New Roman" w:hAnsi="Book Antiqua" w:cs="Calibri"/>
          <w:b/>
          <w:color w:val="000000"/>
        </w:rPr>
        <w:t>beck depression inventory</w:t>
      </w:r>
      <w:r w:rsidRPr="00F74383">
        <w:rPr>
          <w:rFonts w:ascii="Book Antiqua" w:eastAsia="Times New Roman" w:hAnsi="Book Antiqua" w:cs="Calibri"/>
          <w:b/>
          <w:color w:val="000000"/>
        </w:rPr>
        <w:t xml:space="preserve"> according to </w:t>
      </w:r>
      <w:r w:rsidR="004E09BB" w:rsidRPr="00F74383">
        <w:rPr>
          <w:rFonts w:ascii="Book Antiqua" w:eastAsia="Times New Roman" w:hAnsi="Book Antiqua" w:cs="Calibri"/>
          <w:b/>
          <w:color w:val="000000"/>
        </w:rPr>
        <w:t>physical activity, strati</w:t>
      </w:r>
      <w:r w:rsidRPr="00F74383">
        <w:rPr>
          <w:rFonts w:ascii="Book Antiqua" w:eastAsia="Times New Roman" w:hAnsi="Book Antiqua" w:cs="Calibri"/>
          <w:b/>
          <w:color w:val="000000"/>
        </w:rPr>
        <w:t xml:space="preserve">fied by the presence of </w:t>
      </w:r>
      <w:r w:rsidR="00486670" w:rsidRPr="00F74383">
        <w:rPr>
          <w:rFonts w:ascii="Book Antiqua" w:eastAsia="Times New Roman" w:hAnsi="Book Antiqua" w:cs="Calibri"/>
          <w:b/>
          <w:color w:val="000000"/>
        </w:rPr>
        <w:t>nonalcoholic fatty liver disease</w:t>
      </w:r>
    </w:p>
    <w:tbl>
      <w:tblPr>
        <w:tblW w:w="82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530"/>
        <w:gridCol w:w="976"/>
        <w:gridCol w:w="2310"/>
        <w:gridCol w:w="876"/>
      </w:tblGrid>
      <w:tr w:rsidR="00C748D2" w:rsidRPr="00F74383" w14:paraId="31805F22" w14:textId="77777777" w:rsidTr="000A7F9A">
        <w:trPr>
          <w:trHeight w:val="310"/>
        </w:trPr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BA9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63D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NAFLD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E97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C0C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Non-NAFLD</w:t>
            </w:r>
          </w:p>
        </w:tc>
      </w:tr>
      <w:tr w:rsidR="00C748D2" w:rsidRPr="00F74383" w14:paraId="31B8E6F1" w14:textId="77777777" w:rsidTr="000A7F9A">
        <w:trPr>
          <w:trHeight w:val="3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CBA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D917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% </w:t>
            </w:r>
            <w:proofErr w:type="gramStart"/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change</w:t>
            </w:r>
            <w:proofErr w:type="gramEnd"/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(95%CI)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FB3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6A5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% </w:t>
            </w:r>
            <w:proofErr w:type="gramStart"/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change</w:t>
            </w:r>
            <w:proofErr w:type="gramEnd"/>
            <w:r w:rsidRPr="00F74383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(95%CI)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202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</w:p>
        </w:tc>
      </w:tr>
      <w:tr w:rsidR="00C748D2" w:rsidRPr="00F74383" w14:paraId="40F63195" w14:textId="77777777" w:rsidTr="000A7F9A">
        <w:trPr>
          <w:trHeight w:val="280"/>
        </w:trPr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894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Unadjusted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51D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-16.91 (-26.28 - -6.35)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116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0.0024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3E1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-8.96 (-18.25 - 1.38)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53E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0.0871</w:t>
            </w:r>
          </w:p>
        </w:tc>
      </w:tr>
      <w:tr w:rsidR="00C748D2" w:rsidRPr="00F74383" w14:paraId="55DF71BC" w14:textId="77777777" w:rsidTr="000A7F9A">
        <w:trPr>
          <w:trHeight w:val="31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FD8F499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Age-sex adjusted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012C78C3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-14.74 (-24.42 - -3.83)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2188E3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0.0095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B8D4135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-6.79 (-16.35 - 3.87)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50B844D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0.203</w:t>
            </w:r>
          </w:p>
        </w:tc>
      </w:tr>
      <w:tr w:rsidR="00C748D2" w:rsidRPr="00F74383" w14:paraId="077D93FC" w14:textId="77777777" w:rsidTr="000A7F9A">
        <w:trPr>
          <w:trHeight w:val="31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81B2B8F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Model 1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5630D3A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-14.6 (-24.34 - -3.61)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FF42B7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2AF1562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-3.43 (-13.64 - 7.98)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1D44591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0.54</w:t>
            </w:r>
          </w:p>
        </w:tc>
      </w:tr>
      <w:tr w:rsidR="00C748D2" w:rsidRPr="00F74383" w14:paraId="2D7C1E33" w14:textId="77777777" w:rsidTr="000A7F9A">
        <w:trPr>
          <w:trHeight w:val="28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7A2E8E2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Model 2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3FCD2B1A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-16.12 (-25.6 - -5.44)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FB47CE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0.004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EFE8EFE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-3.27 (-13.49 - 8.15)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6C061FD" w14:textId="77777777" w:rsidR="00C748D2" w:rsidRPr="00F74383" w:rsidRDefault="00C748D2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F74383">
              <w:rPr>
                <w:rFonts w:ascii="Book Antiqua" w:eastAsia="宋体" w:hAnsi="Book Antiqua" w:cs="宋体"/>
                <w:color w:val="000000"/>
                <w:lang w:eastAsia="zh-CN"/>
              </w:rPr>
              <w:t>0.5592</w:t>
            </w:r>
          </w:p>
        </w:tc>
      </w:tr>
    </w:tbl>
    <w:p w14:paraId="2EBC8B3C" w14:textId="390EA051" w:rsidR="00AB38B6" w:rsidRPr="00F74383" w:rsidRDefault="005924AA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F74383">
        <w:rPr>
          <w:rFonts w:ascii="Book Antiqua" w:eastAsia="Times New Roman" w:hAnsi="Book Antiqua" w:cstheme="minorHAnsi"/>
          <w:color w:val="000000"/>
        </w:rPr>
        <w:t>Generalized linear regression with a gamma error distribution and a log-link function.</w:t>
      </w:r>
      <w:r w:rsidR="00C2409C" w:rsidRPr="00F74383">
        <w:rPr>
          <w:rFonts w:ascii="Book Antiqua" w:eastAsia="Times New Roman" w:hAnsi="Book Antiqua" w:cstheme="minorHAnsi"/>
          <w:color w:val="000000"/>
        </w:rPr>
        <w:t xml:space="preserve"> </w:t>
      </w:r>
      <w:r w:rsidRPr="00F74383">
        <w:rPr>
          <w:rFonts w:ascii="Book Antiqua" w:eastAsia="Times New Roman" w:hAnsi="Book Antiqua" w:cstheme="minorHAnsi"/>
          <w:color w:val="000000"/>
        </w:rPr>
        <w:t>Level of Physical activity is defined as a continuous variable (1</w:t>
      </w:r>
      <w:r w:rsidR="00A72659" w:rsidRPr="00F74383">
        <w:rPr>
          <w:rFonts w:ascii="Book Antiqua" w:eastAsia="Times New Roman" w:hAnsi="Book Antiqua" w:cstheme="minorHAnsi"/>
          <w:color w:val="000000"/>
        </w:rPr>
        <w:t xml:space="preserve"> </w:t>
      </w:r>
      <w:r w:rsidRPr="00F74383">
        <w:rPr>
          <w:rFonts w:ascii="Book Antiqua" w:eastAsia="Times New Roman" w:hAnsi="Book Antiqua" w:cstheme="minorHAnsi"/>
          <w:color w:val="000000"/>
        </w:rPr>
        <w:t>=</w:t>
      </w:r>
      <w:r w:rsidR="00A72659" w:rsidRPr="00F74383">
        <w:rPr>
          <w:rFonts w:ascii="Book Antiqua" w:eastAsia="Times New Roman" w:hAnsi="Book Antiqua" w:cstheme="minorHAnsi"/>
          <w:color w:val="000000"/>
        </w:rPr>
        <w:t xml:space="preserve"> </w:t>
      </w:r>
      <w:r w:rsidRPr="00F74383">
        <w:rPr>
          <w:rFonts w:ascii="Book Antiqua" w:eastAsia="Times New Roman" w:hAnsi="Book Antiqua" w:cstheme="minorHAnsi"/>
          <w:color w:val="000000"/>
        </w:rPr>
        <w:t>inactive, 2</w:t>
      </w:r>
      <w:r w:rsidR="00A72659" w:rsidRPr="00F74383">
        <w:rPr>
          <w:rFonts w:ascii="Book Antiqua" w:eastAsia="Times New Roman" w:hAnsi="Book Antiqua" w:cstheme="minorHAnsi"/>
          <w:color w:val="000000"/>
        </w:rPr>
        <w:t xml:space="preserve"> </w:t>
      </w:r>
      <w:r w:rsidRPr="00F74383">
        <w:rPr>
          <w:rFonts w:ascii="Book Antiqua" w:eastAsia="Times New Roman" w:hAnsi="Book Antiqua" w:cstheme="minorHAnsi"/>
          <w:color w:val="000000"/>
        </w:rPr>
        <w:t>=</w:t>
      </w:r>
      <w:r w:rsidR="00A72659" w:rsidRPr="00F74383">
        <w:rPr>
          <w:rFonts w:ascii="Book Antiqua" w:eastAsia="Times New Roman" w:hAnsi="Book Antiqua" w:cstheme="minorHAnsi"/>
          <w:color w:val="000000"/>
        </w:rPr>
        <w:t xml:space="preserve"> </w:t>
      </w:r>
      <w:r w:rsidRPr="00F74383">
        <w:rPr>
          <w:rFonts w:ascii="Book Antiqua" w:eastAsia="Times New Roman" w:hAnsi="Book Antiqua" w:cstheme="minorHAnsi"/>
          <w:color w:val="000000"/>
        </w:rPr>
        <w:t>moderate, 3</w:t>
      </w:r>
      <w:r w:rsidR="00A72659" w:rsidRPr="00F74383">
        <w:rPr>
          <w:rFonts w:ascii="Book Antiqua" w:eastAsia="Times New Roman" w:hAnsi="Book Antiqua" w:cstheme="minorHAnsi"/>
          <w:color w:val="000000"/>
        </w:rPr>
        <w:t xml:space="preserve"> </w:t>
      </w:r>
      <w:r w:rsidRPr="00F74383">
        <w:rPr>
          <w:rFonts w:ascii="Book Antiqua" w:eastAsia="Times New Roman" w:hAnsi="Book Antiqua" w:cstheme="minorHAnsi"/>
          <w:color w:val="000000"/>
        </w:rPr>
        <w:t>=</w:t>
      </w:r>
      <w:r w:rsidR="00A72659" w:rsidRPr="00F74383">
        <w:rPr>
          <w:rFonts w:ascii="Book Antiqua" w:eastAsia="Times New Roman" w:hAnsi="Book Antiqua" w:cstheme="minorHAnsi"/>
          <w:color w:val="000000"/>
        </w:rPr>
        <w:t xml:space="preserve"> </w:t>
      </w:r>
      <w:r w:rsidRPr="00F74383">
        <w:rPr>
          <w:rFonts w:ascii="Book Antiqua" w:eastAsia="Times New Roman" w:hAnsi="Book Antiqua" w:cstheme="minorHAnsi"/>
          <w:color w:val="000000"/>
        </w:rPr>
        <w:t>Ideal)</w:t>
      </w:r>
      <w:r w:rsidR="009576A9" w:rsidRPr="00F74383">
        <w:rPr>
          <w:rFonts w:ascii="Book Antiqua" w:eastAsia="Times New Roman" w:hAnsi="Book Antiqua" w:cstheme="minorHAnsi"/>
          <w:color w:val="000000"/>
        </w:rPr>
        <w:t xml:space="preserve">; </w:t>
      </w:r>
      <w:r w:rsidRPr="00F74383">
        <w:rPr>
          <w:rFonts w:ascii="Book Antiqua" w:eastAsia="Times New Roman" w:hAnsi="Book Antiqua" w:cstheme="minorHAnsi"/>
          <w:color w:val="000000"/>
        </w:rPr>
        <w:t xml:space="preserve">Model 1 adjusted for Physical activity, age, sex, current smoker, DM, </w:t>
      </w:r>
      <w:proofErr w:type="gramStart"/>
      <w:r w:rsidRPr="00F74383">
        <w:rPr>
          <w:rFonts w:ascii="Book Antiqua" w:eastAsia="Times New Roman" w:hAnsi="Book Antiqua" w:cstheme="minorHAnsi"/>
          <w:color w:val="000000"/>
        </w:rPr>
        <w:t>hypertension,  hyperlipidemia</w:t>
      </w:r>
      <w:proofErr w:type="gramEnd"/>
      <w:r w:rsidRPr="00F74383">
        <w:rPr>
          <w:rFonts w:ascii="Book Antiqua" w:eastAsia="Times New Roman" w:hAnsi="Book Antiqua" w:cstheme="minorHAnsi"/>
          <w:color w:val="000000"/>
        </w:rPr>
        <w:t xml:space="preserve"> and obesity</w:t>
      </w:r>
      <w:r w:rsidR="009576A9" w:rsidRPr="00F74383">
        <w:rPr>
          <w:rFonts w:ascii="Book Antiqua" w:eastAsia="Times New Roman" w:hAnsi="Book Antiqua" w:cstheme="minorHAnsi"/>
          <w:color w:val="000000"/>
        </w:rPr>
        <w:t xml:space="preserve">; </w:t>
      </w:r>
      <w:r w:rsidRPr="00F74383">
        <w:rPr>
          <w:rFonts w:ascii="Book Antiqua" w:eastAsia="Times New Roman" w:hAnsi="Book Antiqua" w:cstheme="minorHAnsi"/>
          <w:color w:val="000000"/>
        </w:rPr>
        <w:t>Model 2 adjusted for all variables in model 1 + history of CVD and history of cancer</w:t>
      </w:r>
      <w:r w:rsidR="00F206A0" w:rsidRPr="00F74383">
        <w:rPr>
          <w:rFonts w:ascii="Book Antiqua" w:eastAsia="Times New Roman" w:hAnsi="Book Antiqua" w:cstheme="minorHAnsi"/>
          <w:color w:val="000000"/>
        </w:rPr>
        <w:t>.</w:t>
      </w:r>
      <w:r w:rsidR="00563151" w:rsidRPr="00F74383">
        <w:rPr>
          <w:rFonts w:ascii="Book Antiqua" w:eastAsia="Times New Roman" w:hAnsi="Book Antiqua" w:cstheme="minorHAnsi"/>
          <w:color w:val="000000"/>
        </w:rPr>
        <w:t xml:space="preserve"> </w:t>
      </w:r>
      <w:r w:rsidR="00563151" w:rsidRPr="00F74383">
        <w:rPr>
          <w:rFonts w:ascii="Book Antiqua" w:hAnsi="Book Antiqua"/>
          <w:color w:val="000000"/>
        </w:rPr>
        <w:t>NAFLD: Nonalcoholic fatty liver disease.</w:t>
      </w:r>
      <w:r w:rsidR="00F5164E" w:rsidRPr="00F74383">
        <w:rPr>
          <w:rFonts w:ascii="Book Antiqua" w:hAnsi="Book Antiqua"/>
          <w:color w:val="000000"/>
        </w:rPr>
        <w:t xml:space="preserve"> </w:t>
      </w:r>
      <w:r w:rsidR="00F5164E" w:rsidRPr="00F74383">
        <w:rPr>
          <w:rFonts w:ascii="Book Antiqua" w:eastAsia="ArialNarrow-Bold" w:hAnsi="Book Antiqua" w:cs="ArialNarrow-Bold"/>
        </w:rPr>
        <w:t xml:space="preserve">NAFLD: </w:t>
      </w:r>
      <w:r w:rsidR="00F5164E" w:rsidRPr="00F74383">
        <w:rPr>
          <w:rFonts w:ascii="Book Antiqua" w:eastAsia="BookAntiqua" w:hAnsi="Book Antiqua" w:cs="BookAntiqua"/>
        </w:rPr>
        <w:t>Nonalcoholic fatty liver disease.</w:t>
      </w:r>
    </w:p>
    <w:p w14:paraId="1236367F" w14:textId="77777777" w:rsidR="00AB38B6" w:rsidRPr="00F74383" w:rsidRDefault="00AB38B6" w:rsidP="00B25D8B">
      <w:pP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F74383">
        <w:rPr>
          <w:rFonts w:ascii="Book Antiqua" w:eastAsia="Times New Roman" w:hAnsi="Book Antiqua" w:cs="Arial"/>
          <w:b/>
        </w:rPr>
        <w:br w:type="page"/>
      </w:r>
    </w:p>
    <w:p w14:paraId="44D5545E" w14:textId="06058F4F" w:rsidR="00AB38B6" w:rsidRPr="00F74383" w:rsidRDefault="002534F1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F74383">
        <w:rPr>
          <w:rFonts w:ascii="Book Antiqua" w:eastAsia="Times New Roman" w:hAnsi="Book Antiqua" w:cs="Calibri"/>
          <w:b/>
          <w:color w:val="000000"/>
        </w:rPr>
        <w:lastRenderedPageBreak/>
        <w:t xml:space="preserve">Table 4 Univariable </w:t>
      </w:r>
      <w:r w:rsidR="00F979C7" w:rsidRPr="00F74383">
        <w:rPr>
          <w:rFonts w:ascii="Book Antiqua" w:eastAsia="Times New Roman" w:hAnsi="Book Antiqua" w:cs="Calibri"/>
          <w:b/>
          <w:color w:val="000000"/>
        </w:rPr>
        <w:t>and multivariable changes in beck depression inventory score according to the presence of nonalcoholic fatty liver disease and level of physical activity</w:t>
      </w:r>
    </w:p>
    <w:tbl>
      <w:tblPr>
        <w:tblW w:w="13616" w:type="dxa"/>
        <w:tblInd w:w="-3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1414"/>
        <w:gridCol w:w="709"/>
        <w:gridCol w:w="1842"/>
        <w:gridCol w:w="709"/>
        <w:gridCol w:w="1559"/>
        <w:gridCol w:w="709"/>
        <w:gridCol w:w="1987"/>
        <w:gridCol w:w="709"/>
      </w:tblGrid>
      <w:tr w:rsidR="00D149D9" w:rsidRPr="00F74383" w14:paraId="18BA4A49" w14:textId="77777777" w:rsidTr="00315F0D">
        <w:trPr>
          <w:trHeight w:val="31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24D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2" w:name="RANGE!A1"/>
            <w:bookmarkEnd w:id="2"/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B670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>Unadjusted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9E95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>Age-sex adjusted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74C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>Model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CDD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6AC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>Model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DCE5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D57D80" w:rsidRPr="00F74383" w14:paraId="6AA0F1CB" w14:textId="77777777" w:rsidTr="00315F0D">
        <w:trPr>
          <w:trHeight w:val="32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732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>Group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73E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 xml:space="preserve">% </w:t>
            </w:r>
            <w:proofErr w:type="gramStart"/>
            <w:r w:rsidRPr="00F74383">
              <w:rPr>
                <w:rFonts w:ascii="Book Antiqua" w:hAnsi="Book Antiqua"/>
                <w:b/>
                <w:bCs/>
                <w:color w:val="000000"/>
              </w:rPr>
              <w:t>change</w:t>
            </w:r>
            <w:proofErr w:type="gramEnd"/>
            <w:r w:rsidRPr="00F74383">
              <w:rPr>
                <w:rFonts w:ascii="Book Antiqua" w:hAnsi="Book Antiqua"/>
                <w:b/>
                <w:bCs/>
                <w:color w:val="00000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A357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4D4" w14:textId="0CECBB51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 xml:space="preserve">% </w:t>
            </w:r>
            <w:proofErr w:type="gramStart"/>
            <w:r w:rsidRPr="00F74383">
              <w:rPr>
                <w:rFonts w:ascii="Book Antiqua" w:hAnsi="Book Antiqua"/>
                <w:b/>
                <w:bCs/>
                <w:color w:val="000000"/>
              </w:rPr>
              <w:t>change</w:t>
            </w:r>
            <w:proofErr w:type="gramEnd"/>
            <w:r w:rsidRPr="00F74383">
              <w:rPr>
                <w:rFonts w:ascii="Book Antiqua" w:hAnsi="Book Antiqua"/>
                <w:b/>
                <w:bCs/>
                <w:color w:val="00000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2CA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495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 xml:space="preserve">% </w:t>
            </w:r>
            <w:proofErr w:type="gramStart"/>
            <w:r w:rsidRPr="00F74383">
              <w:rPr>
                <w:rFonts w:ascii="Book Antiqua" w:hAnsi="Book Antiqua"/>
                <w:b/>
                <w:bCs/>
                <w:color w:val="000000"/>
              </w:rPr>
              <w:t>change</w:t>
            </w:r>
            <w:proofErr w:type="gramEnd"/>
            <w:r w:rsidRPr="00F74383">
              <w:rPr>
                <w:rFonts w:ascii="Book Antiqua" w:hAnsi="Book Antiqua"/>
                <w:b/>
                <w:bCs/>
                <w:color w:val="00000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09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B18" w14:textId="4F3142E3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color w:val="000000"/>
              </w:rPr>
              <w:t xml:space="preserve">% </w:t>
            </w:r>
            <w:proofErr w:type="gramStart"/>
            <w:r w:rsidRPr="00F74383">
              <w:rPr>
                <w:rFonts w:ascii="Book Antiqua" w:hAnsi="Book Antiqua"/>
                <w:b/>
                <w:bCs/>
                <w:color w:val="000000"/>
              </w:rPr>
              <w:t>change</w:t>
            </w:r>
            <w:proofErr w:type="gramEnd"/>
            <w:r w:rsidRPr="00F74383">
              <w:rPr>
                <w:rFonts w:ascii="Book Antiqua" w:hAnsi="Book Antiqua"/>
                <w:b/>
                <w:bCs/>
                <w:color w:val="000000"/>
              </w:rPr>
              <w:t xml:space="preserve">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E90" w14:textId="77777777" w:rsidR="00C5655D" w:rsidRPr="00F74383" w:rsidRDefault="00C5655D" w:rsidP="0074416B">
            <w:pPr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 w:rsidRPr="00F74383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315F0D" w:rsidRPr="00F74383" w14:paraId="5A533A36" w14:textId="77777777" w:rsidTr="00315F0D">
        <w:trPr>
          <w:trHeight w:val="280"/>
        </w:trPr>
        <w:tc>
          <w:tcPr>
            <w:tcW w:w="3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D86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Non-NAFLD with physical ideal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348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Reference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06A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Reference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622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Reference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6908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Reference</w:t>
            </w:r>
          </w:p>
        </w:tc>
      </w:tr>
      <w:tr w:rsidR="003E7C40" w:rsidRPr="00F74383" w14:paraId="33EF8F27" w14:textId="77777777" w:rsidTr="00315F0D">
        <w:trPr>
          <w:trHeight w:val="31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45ED0F72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Non-NAFLD with physical moderate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2765C7C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16.67 (-3.33 - 40.82)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C6D33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0.108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A2D554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11.5 (-7.68 - 34.67)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DECF42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0.2584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C1FC5A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7.77 (-11.05 - 30.58)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FAFFA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0.4447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5A2FA122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6.99 (-11.65 - 29.56)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576E8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0.4891</w:t>
            </w:r>
          </w:p>
        </w:tc>
      </w:tr>
      <w:tr w:rsidR="00D57D80" w:rsidRPr="00F74383" w14:paraId="678873E6" w14:textId="77777777" w:rsidTr="00315F0D">
        <w:trPr>
          <w:trHeight w:val="28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0853A22A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Non-NAFLD with physical inactivity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B80D451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19.85 (-2.87 - 47.89)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DDD99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0.0913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0B1CEE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14.15 (-7.5 - 40.87)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1DB4E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0.2174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27417C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8.25 (-12.74 - 34.29)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081F70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0.4708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5AB1361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8.34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136EA5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0.4645</w:t>
            </w:r>
          </w:p>
        </w:tc>
      </w:tr>
      <w:tr w:rsidR="00315F0D" w:rsidRPr="00F74383" w14:paraId="2B8FE0AB" w14:textId="77777777" w:rsidTr="00315F0D">
        <w:trPr>
          <w:trHeight w:val="28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78D33517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3" w:name="RANGE!A6"/>
            <w:bookmarkStart w:id="4" w:name="RANGE!C3"/>
            <w:bookmarkEnd w:id="3"/>
            <w:bookmarkEnd w:id="4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9A89AD5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48B160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C97B1A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47C5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A41FE1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7CCA2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696" w:type="dxa"/>
            <w:gridSpan w:val="2"/>
            <w:shd w:val="clear" w:color="auto" w:fill="auto"/>
            <w:noWrap/>
            <w:vAlign w:val="bottom"/>
            <w:hideMark/>
          </w:tcPr>
          <w:p w14:paraId="5C225125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(-12.58 - 34.26)</w:t>
            </w:r>
          </w:p>
        </w:tc>
      </w:tr>
      <w:tr w:rsidR="00D57D80" w:rsidRPr="00F74383" w14:paraId="787DA38B" w14:textId="77777777" w:rsidTr="00315F0D">
        <w:trPr>
          <w:trHeight w:val="29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49AACCFF" w14:textId="2956EE50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" w:name="RANGE!A7"/>
            <w:r w:rsidRPr="00F74383">
              <w:rPr>
                <w:rFonts w:ascii="Book Antiqua" w:hAnsi="Book Antiqua"/>
                <w:color w:val="000000"/>
              </w:rPr>
              <w:t>NAFLD with physical ideal</w:t>
            </w:r>
            <w:bookmarkEnd w:id="5"/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8873A6A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1.23 (-20.04 - 28.15)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8BDF0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0.919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FB7A54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" w:name="RANGE!D7"/>
            <w:r w:rsidRPr="00F74383">
              <w:rPr>
                <w:rFonts w:ascii="Book Antiqua" w:hAnsi="Book Antiqua"/>
                <w:color w:val="000000"/>
              </w:rPr>
              <w:t>3.31 (-18.23 - 30.53)</w:t>
            </w:r>
            <w:bookmarkEnd w:id="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90AFB2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0.7849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12EE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-2.43 (-24.49 - 26.08)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62568C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0.851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59F1CE3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-2.19 (-24.33 - 26.45)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241D1D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0.866</w:t>
            </w:r>
          </w:p>
        </w:tc>
      </w:tr>
      <w:tr w:rsidR="003E7C40" w:rsidRPr="00F74383" w14:paraId="53B3E44E" w14:textId="77777777" w:rsidTr="00315F0D">
        <w:trPr>
          <w:trHeight w:val="26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06F80CAD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NAFLD with physical moderate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50B0204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23.08 (-0.09 - 51.63)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5943F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0.051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9260E1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23.99 (0.79 - 52.53)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9B9060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FE776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15.68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38BEE1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0.206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35FFAA9C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16.24 (-7.23 - 45.65)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40F997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0.1911</w:t>
            </w:r>
          </w:p>
        </w:tc>
      </w:tr>
      <w:tr w:rsidR="00315F0D" w:rsidRPr="00F74383" w14:paraId="56DDCDF9" w14:textId="77777777" w:rsidTr="00315F0D">
        <w:trPr>
          <w:trHeight w:val="28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374A64F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3C114A40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5A5B41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6BBCEE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BDB18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5650D918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(-7.7 - 44.98)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6A56274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BEFC31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3E7C40" w:rsidRPr="00F74383" w14:paraId="2FB28A71" w14:textId="77777777" w:rsidTr="00315F0D">
        <w:trPr>
          <w:trHeight w:val="310"/>
        </w:trPr>
        <w:tc>
          <w:tcPr>
            <w:tcW w:w="3978" w:type="dxa"/>
            <w:shd w:val="clear" w:color="auto" w:fill="auto"/>
            <w:noWrap/>
            <w:vAlign w:val="bottom"/>
            <w:hideMark/>
          </w:tcPr>
          <w:p w14:paraId="1633B20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NAFLD with physical inactivity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842B2CE" w14:textId="7331F59A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46.84</w:t>
            </w:r>
            <w:r w:rsidR="003E7C40" w:rsidRPr="00F74383">
              <w:rPr>
                <w:rFonts w:ascii="Book Antiqua" w:hAnsi="Book Antiqua"/>
                <w:color w:val="000000"/>
              </w:rPr>
              <w:t xml:space="preserve"> (19.28 - 80.75)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D25C02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0.0003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E208407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43.06 (16.39 - 75.84)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75EF70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0.0007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6F6EEF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35.02 (8.03 - 68.74)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F9918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0.0083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30A1187E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36.25 (9.1 - 70.16)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356D65" w14:textId="77777777" w:rsidR="00C5655D" w:rsidRPr="00F74383" w:rsidRDefault="00C5655D" w:rsidP="00B25D8B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74383">
              <w:rPr>
                <w:rFonts w:ascii="Book Antiqua" w:hAnsi="Book Antiqua"/>
                <w:color w:val="000000"/>
              </w:rPr>
              <w:t>0.0064</w:t>
            </w:r>
          </w:p>
        </w:tc>
      </w:tr>
    </w:tbl>
    <w:p w14:paraId="27131885" w14:textId="77777777" w:rsidR="0048725F" w:rsidRPr="00F74383" w:rsidRDefault="00C5655D" w:rsidP="00B2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color w:val="000000"/>
        </w:rPr>
        <w:sectPr w:rsidR="0048725F" w:rsidRPr="00F74383" w:rsidSect="007140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F794E" w:rsidRPr="00F74383">
        <w:rPr>
          <w:rFonts w:ascii="Book Antiqua" w:eastAsia="Times New Roman" w:hAnsi="Book Antiqua" w:cs="Calibri"/>
          <w:color w:val="000000"/>
        </w:rPr>
        <w:t>Generalized linear regression with a gamma error distribution and a log-link function.</w:t>
      </w:r>
      <w:r w:rsidR="005F7504"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F794E" w:rsidRPr="00F74383">
        <w:rPr>
          <w:rFonts w:ascii="Book Antiqua" w:eastAsia="Times New Roman" w:hAnsi="Book Antiqua" w:cs="Calibri"/>
          <w:color w:val="000000"/>
        </w:rPr>
        <w:t>Level of Physical activity is defined as a continuous variable (1</w:t>
      </w:r>
      <w:r w:rsidR="00DD1C1A"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F794E" w:rsidRPr="00F74383">
        <w:rPr>
          <w:rFonts w:ascii="Book Antiqua" w:eastAsia="Times New Roman" w:hAnsi="Book Antiqua" w:cs="Calibri"/>
          <w:color w:val="000000"/>
        </w:rPr>
        <w:t>=</w:t>
      </w:r>
      <w:r w:rsidR="00DD1C1A"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F794E" w:rsidRPr="00F74383">
        <w:rPr>
          <w:rFonts w:ascii="Book Antiqua" w:eastAsia="Times New Roman" w:hAnsi="Book Antiqua" w:cs="Calibri"/>
          <w:color w:val="000000"/>
        </w:rPr>
        <w:t>Poor, 2</w:t>
      </w:r>
      <w:r w:rsidR="00DD1C1A"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F794E" w:rsidRPr="00F74383">
        <w:rPr>
          <w:rFonts w:ascii="Book Antiqua" w:eastAsia="Times New Roman" w:hAnsi="Book Antiqua" w:cs="Calibri"/>
          <w:color w:val="000000"/>
        </w:rPr>
        <w:t>=</w:t>
      </w:r>
      <w:r w:rsidR="00DD1C1A"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F794E" w:rsidRPr="00F74383">
        <w:rPr>
          <w:rFonts w:ascii="Book Antiqua" w:eastAsia="Times New Roman" w:hAnsi="Book Antiqua" w:cs="Calibri"/>
          <w:color w:val="000000"/>
        </w:rPr>
        <w:t>moderate, 3</w:t>
      </w:r>
      <w:r w:rsidR="00166CFB"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F794E" w:rsidRPr="00F74383">
        <w:rPr>
          <w:rFonts w:ascii="Book Antiqua" w:eastAsia="Times New Roman" w:hAnsi="Book Antiqua" w:cs="Calibri"/>
          <w:color w:val="000000"/>
        </w:rPr>
        <w:t>=</w:t>
      </w:r>
      <w:r w:rsidR="00166CFB"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BF794E" w:rsidRPr="00F74383">
        <w:rPr>
          <w:rFonts w:ascii="Book Antiqua" w:eastAsia="Times New Roman" w:hAnsi="Book Antiqua" w:cs="Calibri"/>
          <w:color w:val="000000"/>
        </w:rPr>
        <w:t>Ideal)</w:t>
      </w:r>
      <w:r w:rsidR="0053799B" w:rsidRPr="00F74383">
        <w:rPr>
          <w:rFonts w:ascii="Book Antiqua" w:eastAsia="Times New Roman" w:hAnsi="Book Antiqua" w:cs="Calibri"/>
          <w:color w:val="000000"/>
        </w:rPr>
        <w:t xml:space="preserve">; </w:t>
      </w:r>
      <w:r w:rsidR="00BF794E" w:rsidRPr="00F74383">
        <w:rPr>
          <w:rFonts w:ascii="Book Antiqua" w:eastAsia="Times New Roman" w:hAnsi="Book Antiqua" w:cs="Calibri"/>
          <w:color w:val="000000"/>
        </w:rPr>
        <w:t xml:space="preserve">Model 1 adjusted for Physical activity, age, sex, current smoker, DM, </w:t>
      </w:r>
      <w:proofErr w:type="gramStart"/>
      <w:r w:rsidR="00BF794E" w:rsidRPr="00F74383">
        <w:rPr>
          <w:rFonts w:ascii="Book Antiqua" w:eastAsia="Times New Roman" w:hAnsi="Book Antiqua" w:cs="Calibri"/>
          <w:color w:val="000000"/>
        </w:rPr>
        <w:t>hypertension,  hyperlipidemia</w:t>
      </w:r>
      <w:proofErr w:type="gramEnd"/>
      <w:r w:rsidR="00BF794E" w:rsidRPr="00F74383">
        <w:rPr>
          <w:rFonts w:ascii="Book Antiqua" w:eastAsia="Times New Roman" w:hAnsi="Book Antiqua" w:cs="Calibri"/>
          <w:color w:val="000000"/>
        </w:rPr>
        <w:t xml:space="preserve"> and obesity</w:t>
      </w:r>
      <w:r w:rsidR="00187335" w:rsidRPr="00F74383">
        <w:rPr>
          <w:rFonts w:ascii="Book Antiqua" w:eastAsia="Times New Roman" w:hAnsi="Book Antiqua" w:cs="Calibri"/>
          <w:color w:val="000000"/>
        </w:rPr>
        <w:t xml:space="preserve">; </w:t>
      </w:r>
      <w:r w:rsidR="00BF794E" w:rsidRPr="00F74383">
        <w:rPr>
          <w:rFonts w:ascii="Book Antiqua" w:eastAsia="Times New Roman" w:hAnsi="Book Antiqua" w:cs="Calibri"/>
          <w:color w:val="000000"/>
        </w:rPr>
        <w:t xml:space="preserve">Model 2 adjusted for all variables in model 1 + history of CVD and history </w:t>
      </w:r>
      <w:r w:rsidR="00BF794E" w:rsidRPr="00F74383">
        <w:rPr>
          <w:rFonts w:ascii="Book Antiqua" w:eastAsia="Times New Roman" w:hAnsi="Book Antiqua" w:cs="Calibri"/>
          <w:color w:val="000000"/>
        </w:rPr>
        <w:lastRenderedPageBreak/>
        <w:t>of cancer</w:t>
      </w:r>
      <w:r w:rsidR="00212CA6" w:rsidRPr="00F74383">
        <w:rPr>
          <w:rFonts w:ascii="Book Antiqua" w:eastAsia="Times New Roman" w:hAnsi="Book Antiqua" w:cs="Calibri"/>
          <w:color w:val="000000"/>
        </w:rPr>
        <w:t>.</w:t>
      </w:r>
      <w:r w:rsidR="00A72A93" w:rsidRPr="00F74383">
        <w:rPr>
          <w:rFonts w:ascii="Book Antiqua" w:eastAsia="Times New Roman" w:hAnsi="Book Antiqua" w:cs="Calibri"/>
          <w:color w:val="000000"/>
        </w:rPr>
        <w:t xml:space="preserve"> </w:t>
      </w:r>
      <w:r w:rsidR="00A72A93" w:rsidRPr="00F74383">
        <w:rPr>
          <w:rFonts w:ascii="Book Antiqua" w:hAnsi="Book Antiqua"/>
          <w:color w:val="000000"/>
        </w:rPr>
        <w:t xml:space="preserve">NAFLD: </w:t>
      </w:r>
      <w:r w:rsidR="00B523F9" w:rsidRPr="00F74383">
        <w:rPr>
          <w:rFonts w:ascii="Book Antiqua" w:hAnsi="Book Antiqua"/>
          <w:color w:val="000000"/>
        </w:rPr>
        <w:t>Nonalcoholic fatty liver disease</w:t>
      </w:r>
      <w:r w:rsidR="00161A97" w:rsidRPr="00F74383">
        <w:rPr>
          <w:rFonts w:ascii="Book Antiqua" w:hAnsi="Book Antiqua"/>
          <w:color w:val="000000"/>
        </w:rPr>
        <w:t>.</w:t>
      </w:r>
    </w:p>
    <w:p w14:paraId="7713C62E" w14:textId="77777777" w:rsidR="0048725F" w:rsidRPr="00F74383" w:rsidRDefault="0048725F" w:rsidP="0048725F">
      <w:pPr>
        <w:jc w:val="center"/>
        <w:rPr>
          <w:rFonts w:ascii="Book Antiqua" w:hAnsi="Book Antiqua"/>
        </w:rPr>
      </w:pPr>
      <w:bookmarkStart w:id="7" w:name="_Hlk91601026"/>
      <w:bookmarkStart w:id="8" w:name="_Hlk91629846"/>
    </w:p>
    <w:p w14:paraId="4CA6DC21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3857BCEC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18F788E5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6B4B86E4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4B82C087" w14:textId="7694D8E0" w:rsidR="0048725F" w:rsidRPr="00F74383" w:rsidRDefault="0048725F" w:rsidP="0048725F">
      <w:pPr>
        <w:jc w:val="center"/>
        <w:rPr>
          <w:rFonts w:ascii="Book Antiqua" w:hAnsi="Book Antiqua"/>
        </w:rPr>
      </w:pPr>
      <w:r w:rsidRPr="00F74383">
        <w:rPr>
          <w:rFonts w:ascii="Book Antiqua" w:hAnsi="Book Antiqua"/>
          <w:noProof/>
        </w:rPr>
        <w:drawing>
          <wp:inline distT="0" distB="0" distL="0" distR="0" wp14:anchorId="36D888BD" wp14:editId="6ECAD687">
            <wp:extent cx="2514600" cy="144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E3DD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72D299E8" w14:textId="77777777" w:rsidR="0048725F" w:rsidRPr="00F74383" w:rsidRDefault="0048725F" w:rsidP="0048725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F74383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F743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F743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467469B" w14:textId="77777777" w:rsidR="0048725F" w:rsidRPr="00F74383" w:rsidRDefault="0048725F" w:rsidP="0048725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F74383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90C5C62" w14:textId="77777777" w:rsidR="0048725F" w:rsidRPr="00F74383" w:rsidRDefault="0048725F" w:rsidP="0048725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F743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F74383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A40FEA8" w14:textId="77777777" w:rsidR="0048725F" w:rsidRPr="00F74383" w:rsidRDefault="0048725F" w:rsidP="0048725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F743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F74383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A7651D1" w14:textId="77777777" w:rsidR="0048725F" w:rsidRPr="00F74383" w:rsidRDefault="0048725F" w:rsidP="0048725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F7438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F74383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82D9025" w14:textId="77777777" w:rsidR="0048725F" w:rsidRPr="00F74383" w:rsidRDefault="0048725F" w:rsidP="0048725F">
      <w:pPr>
        <w:jc w:val="center"/>
        <w:rPr>
          <w:rFonts w:ascii="Book Antiqua" w:hAnsi="Book Antiqua"/>
        </w:rPr>
      </w:pPr>
      <w:r w:rsidRPr="00F74383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6FFD7C0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1004A157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1CAE501D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66442347" w14:textId="422C4B1A" w:rsidR="0048725F" w:rsidRPr="00F74383" w:rsidRDefault="0048725F" w:rsidP="0048725F">
      <w:pPr>
        <w:jc w:val="center"/>
        <w:rPr>
          <w:rFonts w:ascii="Book Antiqua" w:hAnsi="Book Antiqua"/>
        </w:rPr>
      </w:pPr>
      <w:r w:rsidRPr="00F74383">
        <w:rPr>
          <w:rFonts w:ascii="Book Antiqua" w:hAnsi="Book Antiqua"/>
          <w:noProof/>
        </w:rPr>
        <w:drawing>
          <wp:inline distT="0" distB="0" distL="0" distR="0" wp14:anchorId="2C0280CB" wp14:editId="76F578E8">
            <wp:extent cx="1447800" cy="1447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4437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27E7E1A0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05C78355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5205FCF0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4AC571B5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13A80386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2F9BEC32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0BC0FCB4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05AB4442" w14:textId="77777777" w:rsidR="0048725F" w:rsidRPr="00F74383" w:rsidRDefault="0048725F" w:rsidP="0048725F">
      <w:pPr>
        <w:jc w:val="center"/>
        <w:rPr>
          <w:rFonts w:ascii="Book Antiqua" w:hAnsi="Book Antiqua"/>
        </w:rPr>
      </w:pPr>
    </w:p>
    <w:p w14:paraId="16665AAA" w14:textId="77777777" w:rsidR="0048725F" w:rsidRPr="00F74383" w:rsidRDefault="0048725F" w:rsidP="0048725F">
      <w:pPr>
        <w:jc w:val="right"/>
        <w:rPr>
          <w:rFonts w:ascii="Book Antiqua" w:hAnsi="Book Antiqua"/>
          <w:color w:val="000000" w:themeColor="text1"/>
        </w:rPr>
      </w:pPr>
    </w:p>
    <w:p w14:paraId="6FB0F88F" w14:textId="77777777" w:rsidR="0048725F" w:rsidRDefault="0048725F" w:rsidP="0048725F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 w:rsidRPr="00F74383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F74383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F74383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7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8"/>
    </w:p>
    <w:p w14:paraId="78BBBCDA" w14:textId="66BEC259" w:rsidR="00A77B3E" w:rsidRPr="00B25D8B" w:rsidRDefault="00A77B3E" w:rsidP="00B25D8B">
      <w:pPr>
        <w:spacing w:line="360" w:lineRule="auto"/>
        <w:jc w:val="both"/>
        <w:rPr>
          <w:rFonts w:ascii="Book Antiqua" w:hAnsi="Book Antiqua"/>
          <w:u w:val="single"/>
        </w:rPr>
      </w:pPr>
    </w:p>
    <w:sectPr w:rsidR="00A77B3E" w:rsidRPr="00B25D8B" w:rsidSect="0048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5A46" w14:textId="77777777" w:rsidR="00C149AC" w:rsidRDefault="00C149AC" w:rsidP="00D07114">
      <w:r>
        <w:separator/>
      </w:r>
    </w:p>
  </w:endnote>
  <w:endnote w:type="continuationSeparator" w:id="0">
    <w:p w14:paraId="0E2C3D31" w14:textId="77777777" w:rsidR="00C149AC" w:rsidRDefault="00C149AC" w:rsidP="00D0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Roanoke Script"/>
    <w:charset w:val="00"/>
    <w:family w:val="auto"/>
    <w:pitch w:val="variable"/>
    <w:sig w:usb0="00000287" w:usb1="00000000" w:usb2="00000000" w:usb3="00000000" w:csb0="0000009F" w:csb1="00000000"/>
  </w:font>
  <w:font w:name="ArialNarrow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ookAntiqua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14FE" w14:textId="77777777" w:rsidR="00220461" w:rsidRPr="00220461" w:rsidRDefault="00220461" w:rsidP="00220461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220461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20461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2046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2046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20461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20461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20461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20461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2046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2046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20461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2046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64BEA15" w14:textId="77777777" w:rsidR="00F233A5" w:rsidRDefault="00F23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DC9A" w14:textId="77777777" w:rsidR="00C149AC" w:rsidRDefault="00C149AC" w:rsidP="00D07114">
      <w:r>
        <w:separator/>
      </w:r>
    </w:p>
  </w:footnote>
  <w:footnote w:type="continuationSeparator" w:id="0">
    <w:p w14:paraId="27778976" w14:textId="77777777" w:rsidR="00C149AC" w:rsidRDefault="00C149AC" w:rsidP="00D0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85C"/>
    <w:rsid w:val="000252DE"/>
    <w:rsid w:val="0002765C"/>
    <w:rsid w:val="00032FD5"/>
    <w:rsid w:val="00047A17"/>
    <w:rsid w:val="000559B0"/>
    <w:rsid w:val="00055B7C"/>
    <w:rsid w:val="000614BD"/>
    <w:rsid w:val="0006191C"/>
    <w:rsid w:val="00064FE2"/>
    <w:rsid w:val="00070B84"/>
    <w:rsid w:val="00090306"/>
    <w:rsid w:val="000A6C9E"/>
    <w:rsid w:val="000A7F9A"/>
    <w:rsid w:val="000C5A09"/>
    <w:rsid w:val="000D032E"/>
    <w:rsid w:val="000D2A30"/>
    <w:rsid w:val="000E3A4C"/>
    <w:rsid w:val="000E624A"/>
    <w:rsid w:val="000E74E8"/>
    <w:rsid w:val="000E7EAF"/>
    <w:rsid w:val="000F4763"/>
    <w:rsid w:val="000F683F"/>
    <w:rsid w:val="001014C8"/>
    <w:rsid w:val="0010231F"/>
    <w:rsid w:val="00106B5E"/>
    <w:rsid w:val="00106DB9"/>
    <w:rsid w:val="00120FA8"/>
    <w:rsid w:val="001233D0"/>
    <w:rsid w:val="00134A38"/>
    <w:rsid w:val="00136206"/>
    <w:rsid w:val="00141A34"/>
    <w:rsid w:val="00141D7E"/>
    <w:rsid w:val="001459DC"/>
    <w:rsid w:val="00153D91"/>
    <w:rsid w:val="001553EF"/>
    <w:rsid w:val="00161A97"/>
    <w:rsid w:val="00164C6A"/>
    <w:rsid w:val="0016530A"/>
    <w:rsid w:val="001655C6"/>
    <w:rsid w:val="00166CFB"/>
    <w:rsid w:val="0017536E"/>
    <w:rsid w:val="00185439"/>
    <w:rsid w:val="00185B86"/>
    <w:rsid w:val="00187335"/>
    <w:rsid w:val="001A56B2"/>
    <w:rsid w:val="001A6739"/>
    <w:rsid w:val="001A6B31"/>
    <w:rsid w:val="001B4EE6"/>
    <w:rsid w:val="001C3AC2"/>
    <w:rsid w:val="001C44CD"/>
    <w:rsid w:val="001C665F"/>
    <w:rsid w:val="001D28D3"/>
    <w:rsid w:val="001E21A1"/>
    <w:rsid w:val="001E4DC0"/>
    <w:rsid w:val="001F02A5"/>
    <w:rsid w:val="001F1B8F"/>
    <w:rsid w:val="001F2CC6"/>
    <w:rsid w:val="001F2E66"/>
    <w:rsid w:val="001F6AB1"/>
    <w:rsid w:val="002013D5"/>
    <w:rsid w:val="00212CA6"/>
    <w:rsid w:val="0021735F"/>
    <w:rsid w:val="00217C36"/>
    <w:rsid w:val="00220461"/>
    <w:rsid w:val="00224F2C"/>
    <w:rsid w:val="0022749F"/>
    <w:rsid w:val="00227EE4"/>
    <w:rsid w:val="00230B0D"/>
    <w:rsid w:val="002325EF"/>
    <w:rsid w:val="00237345"/>
    <w:rsid w:val="00243677"/>
    <w:rsid w:val="00245048"/>
    <w:rsid w:val="00251936"/>
    <w:rsid w:val="002534F1"/>
    <w:rsid w:val="002566D5"/>
    <w:rsid w:val="00261813"/>
    <w:rsid w:val="00266947"/>
    <w:rsid w:val="0029484A"/>
    <w:rsid w:val="002A0D91"/>
    <w:rsid w:val="002A7112"/>
    <w:rsid w:val="002B1163"/>
    <w:rsid w:val="002B3CE6"/>
    <w:rsid w:val="002B5172"/>
    <w:rsid w:val="002C6AB6"/>
    <w:rsid w:val="002D0065"/>
    <w:rsid w:val="002E5947"/>
    <w:rsid w:val="002F613C"/>
    <w:rsid w:val="003043B4"/>
    <w:rsid w:val="00314CE8"/>
    <w:rsid w:val="00315F0D"/>
    <w:rsid w:val="00327A6D"/>
    <w:rsid w:val="00332499"/>
    <w:rsid w:val="00334BB0"/>
    <w:rsid w:val="00341209"/>
    <w:rsid w:val="00341CFE"/>
    <w:rsid w:val="00343CAC"/>
    <w:rsid w:val="00373354"/>
    <w:rsid w:val="00380122"/>
    <w:rsid w:val="00383672"/>
    <w:rsid w:val="00385153"/>
    <w:rsid w:val="00386B19"/>
    <w:rsid w:val="00387304"/>
    <w:rsid w:val="003926E0"/>
    <w:rsid w:val="003C7D88"/>
    <w:rsid w:val="003E0C39"/>
    <w:rsid w:val="003E7C40"/>
    <w:rsid w:val="003F5270"/>
    <w:rsid w:val="00403E3F"/>
    <w:rsid w:val="004111D4"/>
    <w:rsid w:val="00413762"/>
    <w:rsid w:val="004160AF"/>
    <w:rsid w:val="00422F9A"/>
    <w:rsid w:val="0043236F"/>
    <w:rsid w:val="00433BE8"/>
    <w:rsid w:val="00444036"/>
    <w:rsid w:val="0044461D"/>
    <w:rsid w:val="00445F5D"/>
    <w:rsid w:val="00450E2B"/>
    <w:rsid w:val="00460A31"/>
    <w:rsid w:val="00466444"/>
    <w:rsid w:val="00467B0C"/>
    <w:rsid w:val="00474363"/>
    <w:rsid w:val="004830DC"/>
    <w:rsid w:val="00486670"/>
    <w:rsid w:val="00486A6E"/>
    <w:rsid w:val="0048725F"/>
    <w:rsid w:val="004965F7"/>
    <w:rsid w:val="004A03DF"/>
    <w:rsid w:val="004A0955"/>
    <w:rsid w:val="004A33B0"/>
    <w:rsid w:val="004C0FC2"/>
    <w:rsid w:val="004C3345"/>
    <w:rsid w:val="004C3E1F"/>
    <w:rsid w:val="004E09BB"/>
    <w:rsid w:val="004E1741"/>
    <w:rsid w:val="004E36B3"/>
    <w:rsid w:val="0050149F"/>
    <w:rsid w:val="005016BF"/>
    <w:rsid w:val="0051153B"/>
    <w:rsid w:val="005122D6"/>
    <w:rsid w:val="00522F93"/>
    <w:rsid w:val="00525A6E"/>
    <w:rsid w:val="0052735D"/>
    <w:rsid w:val="005313F2"/>
    <w:rsid w:val="0053283D"/>
    <w:rsid w:val="00532878"/>
    <w:rsid w:val="00535D25"/>
    <w:rsid w:val="0053799B"/>
    <w:rsid w:val="00542DDF"/>
    <w:rsid w:val="005544A5"/>
    <w:rsid w:val="00563151"/>
    <w:rsid w:val="00564F04"/>
    <w:rsid w:val="00573A84"/>
    <w:rsid w:val="0057494D"/>
    <w:rsid w:val="0058492D"/>
    <w:rsid w:val="005873B3"/>
    <w:rsid w:val="0058786D"/>
    <w:rsid w:val="005879D8"/>
    <w:rsid w:val="0059168E"/>
    <w:rsid w:val="005924AA"/>
    <w:rsid w:val="005930E4"/>
    <w:rsid w:val="005944BF"/>
    <w:rsid w:val="00597855"/>
    <w:rsid w:val="005978DB"/>
    <w:rsid w:val="00597B27"/>
    <w:rsid w:val="005A0EE3"/>
    <w:rsid w:val="005A27BE"/>
    <w:rsid w:val="005B39CA"/>
    <w:rsid w:val="005C4081"/>
    <w:rsid w:val="005D67A8"/>
    <w:rsid w:val="005E66B0"/>
    <w:rsid w:val="005F130E"/>
    <w:rsid w:val="005F6D14"/>
    <w:rsid w:val="005F7504"/>
    <w:rsid w:val="00605083"/>
    <w:rsid w:val="00605A5B"/>
    <w:rsid w:val="00605D76"/>
    <w:rsid w:val="00627118"/>
    <w:rsid w:val="00630DDB"/>
    <w:rsid w:val="00633E7E"/>
    <w:rsid w:val="0064401D"/>
    <w:rsid w:val="00652CE3"/>
    <w:rsid w:val="00664F3A"/>
    <w:rsid w:val="00665BEB"/>
    <w:rsid w:val="0069350E"/>
    <w:rsid w:val="00695526"/>
    <w:rsid w:val="006A2B52"/>
    <w:rsid w:val="006B15D6"/>
    <w:rsid w:val="006B4996"/>
    <w:rsid w:val="006B4A6E"/>
    <w:rsid w:val="006C22D6"/>
    <w:rsid w:val="006C4730"/>
    <w:rsid w:val="006C5621"/>
    <w:rsid w:val="006D7800"/>
    <w:rsid w:val="006E0EA9"/>
    <w:rsid w:val="006E1B8B"/>
    <w:rsid w:val="006F5A72"/>
    <w:rsid w:val="00711426"/>
    <w:rsid w:val="00711F6B"/>
    <w:rsid w:val="007140F3"/>
    <w:rsid w:val="0071494D"/>
    <w:rsid w:val="00722FC3"/>
    <w:rsid w:val="00727211"/>
    <w:rsid w:val="0073142D"/>
    <w:rsid w:val="007322DD"/>
    <w:rsid w:val="0074416B"/>
    <w:rsid w:val="007517A8"/>
    <w:rsid w:val="00753204"/>
    <w:rsid w:val="00753939"/>
    <w:rsid w:val="00760D3B"/>
    <w:rsid w:val="007612CD"/>
    <w:rsid w:val="007762CF"/>
    <w:rsid w:val="00785689"/>
    <w:rsid w:val="00795A30"/>
    <w:rsid w:val="00797B06"/>
    <w:rsid w:val="007C49D5"/>
    <w:rsid w:val="007C4A24"/>
    <w:rsid w:val="007D1932"/>
    <w:rsid w:val="007D3302"/>
    <w:rsid w:val="007E1251"/>
    <w:rsid w:val="007F08E8"/>
    <w:rsid w:val="007F2DB5"/>
    <w:rsid w:val="00805C93"/>
    <w:rsid w:val="00815549"/>
    <w:rsid w:val="008226BE"/>
    <w:rsid w:val="00836DDF"/>
    <w:rsid w:val="0083708F"/>
    <w:rsid w:val="00837935"/>
    <w:rsid w:val="00840D34"/>
    <w:rsid w:val="00860A4D"/>
    <w:rsid w:val="00862365"/>
    <w:rsid w:val="00871172"/>
    <w:rsid w:val="00872D49"/>
    <w:rsid w:val="00875671"/>
    <w:rsid w:val="008C060C"/>
    <w:rsid w:val="008C1BBE"/>
    <w:rsid w:val="008C5B32"/>
    <w:rsid w:val="008E3044"/>
    <w:rsid w:val="008F7919"/>
    <w:rsid w:val="00907D60"/>
    <w:rsid w:val="009162BE"/>
    <w:rsid w:val="009408B3"/>
    <w:rsid w:val="00942F87"/>
    <w:rsid w:val="0095104B"/>
    <w:rsid w:val="00953160"/>
    <w:rsid w:val="009576A9"/>
    <w:rsid w:val="009667C4"/>
    <w:rsid w:val="00972167"/>
    <w:rsid w:val="00974CEC"/>
    <w:rsid w:val="00975862"/>
    <w:rsid w:val="00975F20"/>
    <w:rsid w:val="009815E0"/>
    <w:rsid w:val="009868AE"/>
    <w:rsid w:val="00994D94"/>
    <w:rsid w:val="009A2239"/>
    <w:rsid w:val="009B0899"/>
    <w:rsid w:val="009B35AC"/>
    <w:rsid w:val="009B6F99"/>
    <w:rsid w:val="009C26D4"/>
    <w:rsid w:val="009C616F"/>
    <w:rsid w:val="009D4676"/>
    <w:rsid w:val="009E18B7"/>
    <w:rsid w:val="009E4026"/>
    <w:rsid w:val="009F012A"/>
    <w:rsid w:val="009F3DF3"/>
    <w:rsid w:val="009F694F"/>
    <w:rsid w:val="00A01351"/>
    <w:rsid w:val="00A07C94"/>
    <w:rsid w:val="00A23D25"/>
    <w:rsid w:val="00A30AF8"/>
    <w:rsid w:val="00A42B9D"/>
    <w:rsid w:val="00A5496C"/>
    <w:rsid w:val="00A54B01"/>
    <w:rsid w:val="00A63D8D"/>
    <w:rsid w:val="00A72659"/>
    <w:rsid w:val="00A7270B"/>
    <w:rsid w:val="00A72A93"/>
    <w:rsid w:val="00A77B3E"/>
    <w:rsid w:val="00A90B1C"/>
    <w:rsid w:val="00AA16A3"/>
    <w:rsid w:val="00AA5F48"/>
    <w:rsid w:val="00AB38B6"/>
    <w:rsid w:val="00AD4610"/>
    <w:rsid w:val="00AE70AA"/>
    <w:rsid w:val="00AE7652"/>
    <w:rsid w:val="00AF3A8A"/>
    <w:rsid w:val="00B0348F"/>
    <w:rsid w:val="00B03EC4"/>
    <w:rsid w:val="00B11368"/>
    <w:rsid w:val="00B20C2B"/>
    <w:rsid w:val="00B25D8B"/>
    <w:rsid w:val="00B323FC"/>
    <w:rsid w:val="00B3537E"/>
    <w:rsid w:val="00B3692F"/>
    <w:rsid w:val="00B36E65"/>
    <w:rsid w:val="00B43AB0"/>
    <w:rsid w:val="00B523F9"/>
    <w:rsid w:val="00B53154"/>
    <w:rsid w:val="00B60237"/>
    <w:rsid w:val="00B6561D"/>
    <w:rsid w:val="00B71DE0"/>
    <w:rsid w:val="00B73116"/>
    <w:rsid w:val="00B83431"/>
    <w:rsid w:val="00B8489F"/>
    <w:rsid w:val="00B84AF0"/>
    <w:rsid w:val="00B87F56"/>
    <w:rsid w:val="00B95A1A"/>
    <w:rsid w:val="00B962EC"/>
    <w:rsid w:val="00BB07D2"/>
    <w:rsid w:val="00BB5596"/>
    <w:rsid w:val="00BD036C"/>
    <w:rsid w:val="00BD180D"/>
    <w:rsid w:val="00BE6BF8"/>
    <w:rsid w:val="00BF05B1"/>
    <w:rsid w:val="00BF794E"/>
    <w:rsid w:val="00C0368F"/>
    <w:rsid w:val="00C054E2"/>
    <w:rsid w:val="00C07857"/>
    <w:rsid w:val="00C137FE"/>
    <w:rsid w:val="00C13CAC"/>
    <w:rsid w:val="00C149AC"/>
    <w:rsid w:val="00C152D0"/>
    <w:rsid w:val="00C17493"/>
    <w:rsid w:val="00C20BCB"/>
    <w:rsid w:val="00C21663"/>
    <w:rsid w:val="00C2409C"/>
    <w:rsid w:val="00C31C40"/>
    <w:rsid w:val="00C32347"/>
    <w:rsid w:val="00C333F7"/>
    <w:rsid w:val="00C33E02"/>
    <w:rsid w:val="00C36D65"/>
    <w:rsid w:val="00C4101F"/>
    <w:rsid w:val="00C54CB1"/>
    <w:rsid w:val="00C5655D"/>
    <w:rsid w:val="00C70131"/>
    <w:rsid w:val="00C748D2"/>
    <w:rsid w:val="00C85350"/>
    <w:rsid w:val="00C939DB"/>
    <w:rsid w:val="00C95E41"/>
    <w:rsid w:val="00C9619A"/>
    <w:rsid w:val="00CA2A55"/>
    <w:rsid w:val="00CA53A8"/>
    <w:rsid w:val="00CB08A8"/>
    <w:rsid w:val="00CC5D18"/>
    <w:rsid w:val="00CD1473"/>
    <w:rsid w:val="00CE2AE2"/>
    <w:rsid w:val="00CE3249"/>
    <w:rsid w:val="00CF061E"/>
    <w:rsid w:val="00D01423"/>
    <w:rsid w:val="00D04012"/>
    <w:rsid w:val="00D07114"/>
    <w:rsid w:val="00D149D9"/>
    <w:rsid w:val="00D2341F"/>
    <w:rsid w:val="00D33F95"/>
    <w:rsid w:val="00D40E94"/>
    <w:rsid w:val="00D53745"/>
    <w:rsid w:val="00D57D80"/>
    <w:rsid w:val="00D62208"/>
    <w:rsid w:val="00D67AC4"/>
    <w:rsid w:val="00D67EF5"/>
    <w:rsid w:val="00D756F7"/>
    <w:rsid w:val="00D80939"/>
    <w:rsid w:val="00D848C1"/>
    <w:rsid w:val="00D93CE1"/>
    <w:rsid w:val="00DA1106"/>
    <w:rsid w:val="00DA15A9"/>
    <w:rsid w:val="00DD1C1A"/>
    <w:rsid w:val="00DD4B18"/>
    <w:rsid w:val="00DD674B"/>
    <w:rsid w:val="00DE3AA2"/>
    <w:rsid w:val="00DE5FBF"/>
    <w:rsid w:val="00DF072C"/>
    <w:rsid w:val="00E01C37"/>
    <w:rsid w:val="00E04535"/>
    <w:rsid w:val="00E14830"/>
    <w:rsid w:val="00E17D19"/>
    <w:rsid w:val="00E26D80"/>
    <w:rsid w:val="00E430E8"/>
    <w:rsid w:val="00E443BB"/>
    <w:rsid w:val="00E6072A"/>
    <w:rsid w:val="00E6144E"/>
    <w:rsid w:val="00E634B8"/>
    <w:rsid w:val="00E650AC"/>
    <w:rsid w:val="00E723A0"/>
    <w:rsid w:val="00E81DCB"/>
    <w:rsid w:val="00E81FD4"/>
    <w:rsid w:val="00E84959"/>
    <w:rsid w:val="00E85733"/>
    <w:rsid w:val="00E85F51"/>
    <w:rsid w:val="00E860AE"/>
    <w:rsid w:val="00E94837"/>
    <w:rsid w:val="00E96243"/>
    <w:rsid w:val="00EA4A8F"/>
    <w:rsid w:val="00EB2875"/>
    <w:rsid w:val="00EB5924"/>
    <w:rsid w:val="00EC2A52"/>
    <w:rsid w:val="00EC4492"/>
    <w:rsid w:val="00ED11C2"/>
    <w:rsid w:val="00ED1898"/>
    <w:rsid w:val="00ED33DD"/>
    <w:rsid w:val="00ED386D"/>
    <w:rsid w:val="00ED453E"/>
    <w:rsid w:val="00ED7652"/>
    <w:rsid w:val="00EF1A03"/>
    <w:rsid w:val="00EF6DD0"/>
    <w:rsid w:val="00F16AA3"/>
    <w:rsid w:val="00F173D0"/>
    <w:rsid w:val="00F206A0"/>
    <w:rsid w:val="00F233A5"/>
    <w:rsid w:val="00F245C2"/>
    <w:rsid w:val="00F30ECF"/>
    <w:rsid w:val="00F3485F"/>
    <w:rsid w:val="00F3518A"/>
    <w:rsid w:val="00F44903"/>
    <w:rsid w:val="00F45919"/>
    <w:rsid w:val="00F45BDF"/>
    <w:rsid w:val="00F47913"/>
    <w:rsid w:val="00F5164E"/>
    <w:rsid w:val="00F52D19"/>
    <w:rsid w:val="00F60570"/>
    <w:rsid w:val="00F7165E"/>
    <w:rsid w:val="00F74383"/>
    <w:rsid w:val="00F7591B"/>
    <w:rsid w:val="00F760F7"/>
    <w:rsid w:val="00F77713"/>
    <w:rsid w:val="00F97934"/>
    <w:rsid w:val="00F979C7"/>
    <w:rsid w:val="00FA7295"/>
    <w:rsid w:val="00FB5934"/>
    <w:rsid w:val="00FD7F4C"/>
    <w:rsid w:val="00FF2850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DFD4DE"/>
  <w15:docId w15:val="{900AF35D-FD72-47CE-9303-706E421C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7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114"/>
    <w:rPr>
      <w:sz w:val="18"/>
      <w:szCs w:val="18"/>
    </w:rPr>
  </w:style>
  <w:style w:type="paragraph" w:styleId="a7">
    <w:name w:val="Revision"/>
    <w:hidden/>
    <w:uiPriority w:val="99"/>
    <w:semiHidden/>
    <w:rsid w:val="00B35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t.ucsd.edu/ranchobernardostudy/acce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9E36-45B0-4347-B8B2-6140CB07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 ruirui</cp:lastModifiedBy>
  <cp:revision>30</cp:revision>
  <dcterms:created xsi:type="dcterms:W3CDTF">2022-03-21T06:14:00Z</dcterms:created>
  <dcterms:modified xsi:type="dcterms:W3CDTF">2022-03-24T05:20:00Z</dcterms:modified>
</cp:coreProperties>
</file>