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0AAEA"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439D29D"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72674</w:t>
      </w:r>
    </w:p>
    <w:p w14:paraId="39519166"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43D105" w14:textId="77777777" w:rsidR="00610BCE" w:rsidRDefault="00610BCE">
      <w:pPr>
        <w:spacing w:line="360" w:lineRule="auto"/>
        <w:jc w:val="both"/>
        <w:rPr>
          <w:rFonts w:ascii="Book Antiqua" w:hAnsi="Book Antiqua"/>
        </w:rPr>
      </w:pPr>
    </w:p>
    <w:p w14:paraId="09B673ED"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Serum-negative </w:t>
      </w:r>
      <w:r>
        <w:rPr>
          <w:rFonts w:ascii="Book Antiqua" w:eastAsia="宋体" w:hAnsi="Book Antiqua" w:cs="Book Antiqua"/>
          <w:b/>
          <w:color w:val="000000"/>
          <w:lang w:eastAsia="zh-CN"/>
        </w:rPr>
        <w:t>S</w:t>
      </w:r>
      <w:r>
        <w:rPr>
          <w:rFonts w:ascii="Book Antiqua" w:eastAsia="Book Antiqua" w:hAnsi="Book Antiqua" w:cs="Book Antiqua"/>
          <w:b/>
          <w:color w:val="000000"/>
        </w:rPr>
        <w:t>jogren's syndrome with minimal lesion nephropathy as the initial presentation: A case report</w:t>
      </w:r>
    </w:p>
    <w:p w14:paraId="378A0D09" w14:textId="77777777" w:rsidR="00610BCE" w:rsidRDefault="00610BCE">
      <w:pPr>
        <w:spacing w:line="360" w:lineRule="auto"/>
        <w:jc w:val="both"/>
        <w:rPr>
          <w:rFonts w:ascii="Book Antiqua" w:hAnsi="Book Antiqua"/>
        </w:rPr>
      </w:pPr>
    </w:p>
    <w:p w14:paraId="4622E61D" w14:textId="77777777" w:rsidR="00610BCE" w:rsidRDefault="00855F2E">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 xml:space="preserve">Li CY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Serum-negative </w:t>
      </w:r>
      <w:r>
        <w:rPr>
          <w:rFonts w:ascii="Book Antiqua" w:eastAsia="宋体" w:hAnsi="Book Antiqua" w:cs="Book Antiqua"/>
          <w:bCs/>
          <w:color w:val="000000"/>
          <w:lang w:eastAsia="zh-CN"/>
        </w:rPr>
        <w:t>S</w:t>
      </w:r>
      <w:r>
        <w:rPr>
          <w:rFonts w:ascii="Book Antiqua" w:eastAsia="Book Antiqua" w:hAnsi="Book Antiqua" w:cs="Book Antiqua"/>
          <w:bCs/>
          <w:color w:val="000000"/>
        </w:rPr>
        <w:t>jogren's syndrome</w:t>
      </w:r>
    </w:p>
    <w:p w14:paraId="43E2CA31" w14:textId="77777777" w:rsidR="00610BCE" w:rsidRDefault="00610BCE">
      <w:pPr>
        <w:spacing w:line="360" w:lineRule="auto"/>
        <w:jc w:val="both"/>
        <w:rPr>
          <w:rFonts w:ascii="Book Antiqua" w:hAnsi="Book Antiqua"/>
        </w:rPr>
      </w:pPr>
    </w:p>
    <w:p w14:paraId="6E73839A"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Chun-Yan Li, Yi-Man Li, Mei Tian</w:t>
      </w:r>
    </w:p>
    <w:p w14:paraId="608CA7ED" w14:textId="77777777" w:rsidR="00610BCE" w:rsidRDefault="00610BCE">
      <w:pPr>
        <w:spacing w:line="360" w:lineRule="auto"/>
        <w:jc w:val="both"/>
        <w:rPr>
          <w:rFonts w:ascii="Book Antiqua" w:hAnsi="Book Antiqua"/>
        </w:rPr>
      </w:pPr>
    </w:p>
    <w:p w14:paraId="0F13080A"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Chun-Yan Li, Mei Tian, </w:t>
      </w:r>
      <w:r>
        <w:rPr>
          <w:rFonts w:ascii="Book Antiqua" w:eastAsia="Book Antiqua" w:hAnsi="Book Antiqua" w:cs="Book Antiqua"/>
          <w:color w:val="000000"/>
        </w:rPr>
        <w:t xml:space="preserve">Department of Rheumatology,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68283269" w14:textId="77777777" w:rsidR="00610BCE" w:rsidRDefault="00610BCE">
      <w:pPr>
        <w:spacing w:line="360" w:lineRule="auto"/>
        <w:jc w:val="both"/>
        <w:rPr>
          <w:rFonts w:ascii="Book Antiqua" w:hAnsi="Book Antiqua"/>
        </w:rPr>
      </w:pPr>
    </w:p>
    <w:p w14:paraId="6922CA9F"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Yi-Man Li, </w:t>
      </w:r>
      <w:r>
        <w:rPr>
          <w:rFonts w:ascii="Book Antiqua" w:eastAsia="Book Antiqua" w:hAnsi="Book Antiqua" w:cs="Book Antiqua"/>
          <w:color w:val="000000"/>
        </w:rPr>
        <w:t xml:space="preserve">Department of Nephrology,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76C425DA" w14:textId="77777777" w:rsidR="00610BCE" w:rsidRDefault="00610BCE">
      <w:pPr>
        <w:spacing w:line="360" w:lineRule="auto"/>
        <w:jc w:val="both"/>
        <w:rPr>
          <w:rFonts w:ascii="Book Antiqua" w:hAnsi="Book Antiqua"/>
        </w:rPr>
      </w:pPr>
    </w:p>
    <w:p w14:paraId="5DED1235" w14:textId="77777777" w:rsidR="00610BCE" w:rsidRDefault="00855F2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CY and Li YM wrote the manuscript; all authors have given final approval to the version to be submitted.</w:t>
      </w:r>
    </w:p>
    <w:p w14:paraId="6AE05863" w14:textId="77777777" w:rsidR="00610BCE" w:rsidRDefault="00610BCE">
      <w:pPr>
        <w:spacing w:line="360" w:lineRule="auto"/>
        <w:jc w:val="both"/>
        <w:rPr>
          <w:rFonts w:ascii="Book Antiqua" w:hAnsi="Book Antiqua"/>
        </w:rPr>
      </w:pPr>
    </w:p>
    <w:p w14:paraId="3BABC5B3"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Corresponding author: Mei Tian, PhD, Chief Doctor, Doctor, </w:t>
      </w:r>
      <w:r>
        <w:rPr>
          <w:rFonts w:ascii="Book Antiqua" w:eastAsia="Book Antiqua" w:hAnsi="Book Antiqua" w:cs="Book Antiqua"/>
          <w:color w:val="000000"/>
        </w:rPr>
        <w:t xml:space="preserve">Department of Rheumatology,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Huichuan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 348820517@qq.com</w:t>
      </w:r>
    </w:p>
    <w:p w14:paraId="47CC480E" w14:textId="77777777" w:rsidR="00610BCE" w:rsidRDefault="00610BCE">
      <w:pPr>
        <w:spacing w:line="360" w:lineRule="auto"/>
        <w:jc w:val="both"/>
        <w:rPr>
          <w:rFonts w:ascii="Book Antiqua" w:hAnsi="Book Antiqua"/>
        </w:rPr>
      </w:pPr>
    </w:p>
    <w:p w14:paraId="02F52DBC"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25, 2021</w:t>
      </w:r>
    </w:p>
    <w:p w14:paraId="12E84750"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24, 2021</w:t>
      </w:r>
    </w:p>
    <w:p w14:paraId="74047C83" w14:textId="267B25C1"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3-15T17:15:00Z">
        <w:r w:rsidR="009F30C8" w:rsidRPr="009F30C8">
          <w:rPr>
            <w:rFonts w:ascii="Book Antiqua" w:eastAsia="Book Antiqua" w:hAnsi="Book Antiqua" w:cs="Book Antiqua"/>
            <w:b/>
            <w:bCs/>
            <w:color w:val="000000"/>
          </w:rPr>
          <w:t>March 15, 2022</w:t>
        </w:r>
      </w:ins>
    </w:p>
    <w:p w14:paraId="6B29A420"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78A4740" w14:textId="77777777" w:rsidR="00610BCE" w:rsidRDefault="00610BCE">
      <w:pPr>
        <w:spacing w:line="360" w:lineRule="auto"/>
        <w:jc w:val="both"/>
        <w:rPr>
          <w:rFonts w:ascii="Book Antiqua" w:hAnsi="Book Antiqua"/>
        </w:rPr>
        <w:sectPr w:rsidR="00610BCE">
          <w:footerReference w:type="default" r:id="rId8"/>
          <w:pgSz w:w="12240" w:h="15840"/>
          <w:pgMar w:top="1440" w:right="1440" w:bottom="1440" w:left="1440" w:header="720" w:footer="720" w:gutter="0"/>
          <w:cols w:space="720"/>
          <w:docGrid w:linePitch="360"/>
        </w:sectPr>
      </w:pPr>
    </w:p>
    <w:p w14:paraId="4EDC442E"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330820F"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BACKGROUND</w:t>
      </w:r>
    </w:p>
    <w:p w14:paraId="26FA6220" w14:textId="77777777" w:rsidR="00610BCE" w:rsidRDefault="00855F2E">
      <w:pPr>
        <w:spacing w:line="360" w:lineRule="auto"/>
        <w:jc w:val="both"/>
        <w:rPr>
          <w:rFonts w:ascii="Book Antiqua" w:hAnsi="Book Antiqua"/>
        </w:rPr>
      </w:pPr>
      <w:r>
        <w:rPr>
          <w:rFonts w:ascii="Book Antiqua" w:eastAsia="Book Antiqua" w:hAnsi="Book Antiqua" w:cs="Book Antiqua"/>
          <w:color w:val="000000"/>
          <w:shd w:val="clear" w:color="auto" w:fill="FFFFFF"/>
        </w:rPr>
        <w:t>Primary Sjogren's syndrome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is an autoimmune disease, and renal involvement has been considered </w:t>
      </w:r>
      <w:r>
        <w:rPr>
          <w:rFonts w:ascii="Book Antiqua" w:eastAsia="宋体" w:hAnsi="Book Antiqua" w:cs="Book Antiqua"/>
          <w:color w:val="000000"/>
          <w:shd w:val="clear" w:color="auto" w:fill="FFFFFF"/>
          <w:lang w:eastAsia="zh-CN"/>
        </w:rPr>
        <w:t>to be</w:t>
      </w:r>
      <w:r>
        <w:rPr>
          <w:rFonts w:ascii="Book Antiqua" w:eastAsia="Book Antiqua" w:hAnsi="Book Antiqua" w:cs="Book Antiqua"/>
          <w:color w:val="000000"/>
          <w:shd w:val="clear" w:color="auto" w:fill="FFFFFF"/>
        </w:rPr>
        <w:t xml:space="preserve"> one of the systemic complications of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Patients </w:t>
      </w:r>
      <w:r>
        <w:rPr>
          <w:rFonts w:ascii="Book Antiqua" w:eastAsia="宋体" w:hAnsi="Book Antiqua" w:cs="Book Antiqua"/>
          <w:color w:val="000000"/>
          <w:shd w:val="clear" w:color="auto" w:fill="FFFFFF"/>
          <w:lang w:eastAsia="zh-CN"/>
        </w:rPr>
        <w:t>who have</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sjogren's</w:t>
      </w:r>
      <w:proofErr w:type="spellEnd"/>
      <w:r>
        <w:rPr>
          <w:rFonts w:ascii="Book Antiqua" w:eastAsia="Book Antiqua" w:hAnsi="Book Antiqua" w:cs="Book Antiqua"/>
          <w:color w:val="000000"/>
          <w:shd w:val="clear" w:color="auto" w:fill="FFFFFF"/>
        </w:rPr>
        <w:t xml:space="preserve"> syndrome with renal disease as the first manifestation and no exocrine gland involvement or autoantibodies </w:t>
      </w:r>
      <w:r>
        <w:rPr>
          <w:rFonts w:ascii="Book Antiqua" w:eastAsia="宋体" w:hAnsi="Book Antiqua" w:cs="Book Antiqua"/>
          <w:color w:val="000000"/>
          <w:shd w:val="clear" w:color="auto" w:fill="FFFFFF"/>
          <w:lang w:eastAsia="zh-CN"/>
        </w:rPr>
        <w:t>can</w:t>
      </w:r>
      <w:r>
        <w:rPr>
          <w:rFonts w:ascii="Book Antiqua" w:eastAsia="Book Antiqua" w:hAnsi="Book Antiqua" w:cs="Book Antiqua"/>
          <w:color w:val="000000"/>
          <w:shd w:val="clear" w:color="auto" w:fill="FFFFFF"/>
        </w:rPr>
        <w:t xml:space="preserve"> be missed clinically.</w:t>
      </w:r>
    </w:p>
    <w:p w14:paraId="6E933605" w14:textId="77777777" w:rsidR="00610BCE" w:rsidRDefault="00610BCE">
      <w:pPr>
        <w:spacing w:line="360" w:lineRule="auto"/>
        <w:jc w:val="both"/>
        <w:rPr>
          <w:rFonts w:ascii="Book Antiqua" w:hAnsi="Book Antiqua"/>
        </w:rPr>
      </w:pPr>
    </w:p>
    <w:p w14:paraId="208C5A33"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CASE SUMMARY</w:t>
      </w:r>
    </w:p>
    <w:p w14:paraId="436D1E15" w14:textId="77777777" w:rsidR="00610BCE" w:rsidRDefault="00855F2E">
      <w:pPr>
        <w:spacing w:line="360" w:lineRule="auto"/>
        <w:jc w:val="both"/>
        <w:rPr>
          <w:rFonts w:ascii="Book Antiqua" w:hAnsi="Book Antiqua"/>
        </w:rPr>
      </w:pPr>
      <w:r>
        <w:rPr>
          <w:rFonts w:ascii="Book Antiqua" w:eastAsia="Book Antiqua" w:hAnsi="Book Antiqua" w:cs="Book Antiqua"/>
          <w:color w:val="000000"/>
          <w:shd w:val="clear" w:color="auto" w:fill="FFFFFF"/>
        </w:rPr>
        <w:t>We here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rPr>
        <w:t>report</w:t>
      </w:r>
      <w:r>
        <w:rPr>
          <w:rFonts w:ascii="Book Antiqua" w:eastAsia="宋体" w:hAnsi="Book Antiqua" w:cs="Book Antiqua"/>
          <w:color w:val="000000"/>
          <w:lang w:eastAsia="zh-CN"/>
        </w:rPr>
        <w:t xml:space="preserve"> </w:t>
      </w:r>
      <w:r>
        <w:rPr>
          <w:rFonts w:ascii="Book Antiqua" w:eastAsia="Book Antiqua" w:hAnsi="Book Antiqua" w:cs="Book Antiqua"/>
          <w:color w:val="000000"/>
          <w:shd w:val="clear" w:color="auto" w:fill="FFFFFF"/>
        </w:rPr>
        <w:t>an unusual case of</w:t>
      </w:r>
      <w:r>
        <w:rPr>
          <w:rFonts w:ascii="Book Antiqua" w:eastAsia="宋体" w:hAnsi="Book Antiqua" w:cs="Book Antiqua"/>
          <w:color w:val="000000"/>
          <w:shd w:val="clear" w:color="auto" w:fill="FFFFFF"/>
          <w:lang w:eastAsia="zh-CN"/>
        </w:rPr>
        <w:t xml:space="preserve"> a</w:t>
      </w:r>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p</w:t>
      </w:r>
      <w:r>
        <w:rPr>
          <w:rFonts w:ascii="Book Antiqua" w:eastAsia="Book Antiqua" w:hAnsi="Book Antiqua" w:cs="Book Antiqua"/>
          <w:color w:val="000000"/>
          <w:shd w:val="clear" w:color="auto" w:fill="FFFFFF"/>
        </w:rPr>
        <w:t xml:space="preserve">rimary Sjogren's syndrome in a 43-year-old female who </w:t>
      </w:r>
      <w:r>
        <w:rPr>
          <w:rFonts w:ascii="Book Antiqua" w:eastAsia="宋体" w:hAnsi="Book Antiqua" w:cs="Book Antiqua"/>
          <w:color w:val="000000"/>
          <w:shd w:val="clear" w:color="auto" w:fill="FFFFFF"/>
          <w:lang w:eastAsia="zh-CN"/>
        </w:rPr>
        <w:t>had</w:t>
      </w:r>
      <w:r>
        <w:rPr>
          <w:rFonts w:ascii="Book Antiqua" w:eastAsia="Book Antiqua" w:hAnsi="Book Antiqua" w:cs="Book Antiqua"/>
          <w:color w:val="000000"/>
          <w:shd w:val="clear" w:color="auto" w:fill="FFFFFF"/>
        </w:rPr>
        <w:t xml:space="preserve"> minimal lesion nephropathy as the initial presentation, and the patient was negative for serum anti-SSA and anti-SSB antibodies and did not have signs of exocrine gland involvement.</w:t>
      </w:r>
      <w:r>
        <w:rPr>
          <w:rFonts w:ascii="Book Antiqua" w:eastAsia="宋体" w:hAnsi="Book Antiqua" w:cs="Book Antiqua"/>
          <w:color w:val="000000"/>
          <w:shd w:val="clear" w:color="auto" w:fill="FFFFFF"/>
          <w:lang w:eastAsia="zh-CN"/>
        </w:rPr>
        <w:t xml:space="preserve"> The </w:t>
      </w:r>
      <w:r>
        <w:rPr>
          <w:rFonts w:ascii="Book Antiqua" w:eastAsia="Book Antiqua" w:hAnsi="Book Antiqua" w:cs="Book Antiqua"/>
          <w:color w:val="000000"/>
          <w:shd w:val="clear" w:color="auto" w:fill="FFFFFF"/>
        </w:rPr>
        <w:t xml:space="preserve">patient’s Sjogren's syndrome was confirmed by </w:t>
      </w:r>
      <w:r>
        <w:rPr>
          <w:rFonts w:ascii="Book Antiqua" w:eastAsia="宋体" w:hAnsi="Book Antiqua" w:cs="Book Antiqua"/>
          <w:color w:val="000000"/>
          <w:shd w:val="clear" w:color="auto" w:fill="FFFFFF"/>
          <w:lang w:eastAsia="zh-CN"/>
        </w:rPr>
        <w:t xml:space="preserve">a </w:t>
      </w:r>
      <w:r>
        <w:rPr>
          <w:rFonts w:ascii="Book Antiqua" w:eastAsia="Book Antiqua" w:hAnsi="Book Antiqua" w:cs="Book Antiqua"/>
          <w:color w:val="000000"/>
          <w:shd w:val="clear" w:color="auto" w:fill="FFFFFF"/>
        </w:rPr>
        <w:t>minor salivary gland biopsy (MSGB) and</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a filter paper test. the patient’s oedema subsided</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and the patient’s urinary protein resolved, showing </w:t>
      </w:r>
      <w:r>
        <w:rPr>
          <w:rFonts w:ascii="Book Antiqua" w:eastAsia="Book Antiqua" w:hAnsi="Book Antiqua" w:cs="Book Antiqua"/>
          <w:color w:val="000000"/>
        </w:rPr>
        <w:t xml:space="preserve">that </w:t>
      </w:r>
      <w:r>
        <w:rPr>
          <w:rFonts w:ascii="Book Antiqua" w:eastAsia="Book Antiqua" w:hAnsi="Book Antiqua" w:cs="Book Antiqua"/>
          <w:color w:val="000000"/>
          <w:shd w:val="clear" w:color="auto" w:fill="FFFFFF"/>
        </w:rPr>
        <w:t>the treatment was effective.</w:t>
      </w:r>
    </w:p>
    <w:p w14:paraId="4C27F760" w14:textId="77777777" w:rsidR="00610BCE" w:rsidRDefault="00610BCE">
      <w:pPr>
        <w:spacing w:line="360" w:lineRule="auto"/>
        <w:jc w:val="both"/>
        <w:rPr>
          <w:rFonts w:ascii="Book Antiqua" w:hAnsi="Book Antiqua"/>
        </w:rPr>
      </w:pPr>
    </w:p>
    <w:p w14:paraId="3449FF5C"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CONCLUSION</w:t>
      </w:r>
    </w:p>
    <w:p w14:paraId="15D62BF7" w14:textId="77777777" w:rsidR="00610BCE" w:rsidRDefault="00855F2E">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MSGB should be considered if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 xml:space="preserve">is </w:t>
      </w:r>
      <w:r>
        <w:rPr>
          <w:rFonts w:ascii="Book Antiqua" w:eastAsia="Book Antiqua" w:hAnsi="Book Antiqua" w:cs="Book Antiqua"/>
          <w:color w:val="000000"/>
          <w:shd w:val="clear" w:color="auto" w:fill="FFFFFF"/>
        </w:rPr>
        <w:t xml:space="preserve">suspected in patients who do not have the typical </w:t>
      </w:r>
      <w:proofErr w:type="spellStart"/>
      <w:r>
        <w:rPr>
          <w:rFonts w:ascii="Book Antiqua" w:eastAsia="Book Antiqua" w:hAnsi="Book Antiqua" w:cs="Book Antiqua"/>
          <w:color w:val="000000"/>
          <w:shd w:val="clear" w:color="auto" w:fill="FFFFFF"/>
        </w:rPr>
        <w:t>pSS</w:t>
      </w:r>
      <w:proofErr w:type="spellEnd"/>
      <w:r>
        <w:rPr>
          <w:rFonts w:ascii="Book Antiqua" w:eastAsia="Book Antiqua" w:hAnsi="Book Antiqua" w:cs="Book Antiqua"/>
          <w:color w:val="000000"/>
          <w:shd w:val="clear" w:color="auto" w:fill="FFFFFF"/>
        </w:rPr>
        <w:t xml:space="preserve"> symptoms or who are positive for the specific autoantibodies.</w:t>
      </w:r>
    </w:p>
    <w:p w14:paraId="54615767" w14:textId="77777777" w:rsidR="00610BCE" w:rsidRDefault="00610BCE">
      <w:pPr>
        <w:spacing w:line="360" w:lineRule="auto"/>
        <w:jc w:val="both"/>
        <w:rPr>
          <w:rFonts w:ascii="Book Antiqua" w:hAnsi="Book Antiqua"/>
        </w:rPr>
      </w:pPr>
    </w:p>
    <w:p w14:paraId="3562FEDC" w14:textId="72253740"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Sjogren's syndrome</w:t>
      </w:r>
      <w:r w:rsidR="00592B43">
        <w:rPr>
          <w:rFonts w:ascii="Book Antiqua" w:eastAsia="Book Antiqua" w:hAnsi="Book Antiqua" w:cs="Book Antiqua"/>
          <w:color w:val="000000"/>
        </w:rPr>
        <w:t xml:space="preserve">; </w:t>
      </w:r>
      <w:r w:rsidR="0070032A">
        <w:rPr>
          <w:rFonts w:ascii="Book Antiqua" w:eastAsia="Book Antiqua" w:hAnsi="Book Antiqua" w:cs="Book Antiqua"/>
          <w:color w:val="000000"/>
        </w:rPr>
        <w:t>Anti</w:t>
      </w:r>
      <w:r>
        <w:rPr>
          <w:rFonts w:ascii="Book Antiqua" w:eastAsia="Book Antiqua" w:hAnsi="Book Antiqua" w:cs="Book Antiqua"/>
          <w:color w:val="000000"/>
        </w:rPr>
        <w:t>-SSA</w:t>
      </w:r>
      <w:r w:rsidR="00592B43">
        <w:rPr>
          <w:rFonts w:ascii="Book Antiqua" w:eastAsia="Book Antiqua" w:hAnsi="Book Antiqua" w:cs="Book Antiqua"/>
          <w:color w:val="000000"/>
        </w:rPr>
        <w:t>;</w:t>
      </w:r>
      <w:r>
        <w:rPr>
          <w:rFonts w:ascii="Book Antiqua" w:eastAsia="Book Antiqua" w:hAnsi="Book Antiqua" w:cs="Book Antiqua"/>
          <w:color w:val="000000"/>
        </w:rPr>
        <w:t xml:space="preserve"> </w:t>
      </w:r>
      <w:r w:rsidR="00592B43">
        <w:rPr>
          <w:rFonts w:ascii="Book Antiqua" w:eastAsia="Book Antiqua" w:hAnsi="Book Antiqua" w:cs="Book Antiqua"/>
          <w:color w:val="000000"/>
        </w:rPr>
        <w:t>A</w:t>
      </w:r>
      <w:r>
        <w:rPr>
          <w:rFonts w:ascii="Book Antiqua" w:eastAsia="Book Antiqua" w:hAnsi="Book Antiqua" w:cs="Book Antiqua"/>
          <w:color w:val="000000"/>
        </w:rPr>
        <w:t>nti-SSB antibodies</w:t>
      </w:r>
      <w:r w:rsidR="00592B43">
        <w:rPr>
          <w:rFonts w:ascii="Book Antiqua" w:eastAsia="Book Antiqua" w:hAnsi="Book Antiqua" w:cs="Book Antiqua"/>
          <w:color w:val="000000"/>
        </w:rPr>
        <w:t xml:space="preserve">; </w:t>
      </w:r>
      <w:r>
        <w:rPr>
          <w:rFonts w:ascii="Book Antiqua" w:eastAsia="Book Antiqua" w:hAnsi="Book Antiqua" w:cs="Book Antiqua"/>
          <w:color w:val="000000"/>
        </w:rPr>
        <w:t>Minimal lesion nephropathy</w:t>
      </w:r>
      <w:r w:rsidR="00592B43">
        <w:rPr>
          <w:rFonts w:ascii="Book Antiqua" w:eastAsia="Book Antiqua" w:hAnsi="Book Antiqua" w:cs="Book Antiqua"/>
          <w:color w:val="000000"/>
        </w:rPr>
        <w:t xml:space="preserve">; </w:t>
      </w:r>
      <w:r>
        <w:rPr>
          <w:rFonts w:ascii="Book Antiqua" w:eastAsia="Book Antiqua" w:hAnsi="Book Antiqua" w:cs="Book Antiqua"/>
          <w:color w:val="000000"/>
        </w:rPr>
        <w:t>Minor salivary gland biopsy; Case report</w:t>
      </w:r>
    </w:p>
    <w:p w14:paraId="31D7FBBD" w14:textId="77777777" w:rsidR="00610BCE" w:rsidRDefault="00610BCE">
      <w:pPr>
        <w:spacing w:line="360" w:lineRule="auto"/>
        <w:jc w:val="both"/>
        <w:rPr>
          <w:rFonts w:ascii="Book Antiqua" w:hAnsi="Book Antiqua"/>
        </w:rPr>
      </w:pPr>
    </w:p>
    <w:p w14:paraId="45E155E1" w14:textId="3AEC5A1C" w:rsidR="00610BCE" w:rsidRPr="0070032A" w:rsidRDefault="00855F2E">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t xml:space="preserve">Li CY, Li YM, Tian M. </w:t>
      </w:r>
      <w:r w:rsidR="0070032A" w:rsidRPr="0070032A">
        <w:rPr>
          <w:rFonts w:ascii="Book Antiqua" w:eastAsia="Book Antiqua" w:hAnsi="Book Antiqua" w:cs="Book Antiqua"/>
          <w:bCs/>
          <w:color w:val="000000"/>
        </w:rPr>
        <w:t>Serum-negative Sjogren's syndrome with minimal lesion nephropathy as the initial presentation: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0A878DE" w14:textId="77777777" w:rsidR="00610BCE" w:rsidRDefault="00610BCE">
      <w:pPr>
        <w:spacing w:line="360" w:lineRule="auto"/>
        <w:jc w:val="both"/>
        <w:rPr>
          <w:rFonts w:ascii="Book Antiqua" w:hAnsi="Book Antiqua"/>
        </w:rPr>
      </w:pPr>
    </w:p>
    <w:p w14:paraId="0A31DE94"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Cases of serum-negative Sjogren's syndrome, when the patient has no symptoms of exocrine gland involvement and no hyperglobulinemia, where kidney disease is the first manifestation, and when minimal lesion nephropathy is seen in renal </w:t>
      </w:r>
      <w:r>
        <w:rPr>
          <w:rFonts w:ascii="Book Antiqua" w:eastAsia="Book Antiqua" w:hAnsi="Book Antiqua" w:cs="Book Antiqua"/>
          <w:color w:val="000000"/>
        </w:rPr>
        <w:lastRenderedPageBreak/>
        <w:t xml:space="preserve">pathology, are rare. Therefore, </w:t>
      </w:r>
      <w:r>
        <w:rPr>
          <w:rFonts w:ascii="Book Antiqua" w:eastAsia="Book Antiqua" w:hAnsi="Book Antiqua" w:cs="Book Antiqua"/>
          <w:color w:val="000000"/>
          <w:shd w:val="clear" w:color="auto" w:fill="FFFFFF"/>
        </w:rPr>
        <w:t>minor salivary gland biopsy (MSGB)</w:t>
      </w:r>
      <w:r>
        <w:rPr>
          <w:rFonts w:ascii="Book Antiqua" w:eastAsia="Book Antiqua" w:hAnsi="Book Antiqua" w:cs="Book Antiqua"/>
          <w:color w:val="000000"/>
        </w:rPr>
        <w:t xml:space="preserve"> should be considered if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is suspected in patients who do not have the typical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symptoms or specific autoantibodies. MSGS has a primary value in the diagnosis of these patients.</w:t>
      </w:r>
    </w:p>
    <w:p w14:paraId="3634860B" w14:textId="77777777" w:rsidR="00610BCE" w:rsidRDefault="00610BCE">
      <w:pPr>
        <w:spacing w:line="360" w:lineRule="auto"/>
        <w:jc w:val="both"/>
        <w:rPr>
          <w:rFonts w:ascii="Book Antiqua" w:hAnsi="Book Antiqua"/>
        </w:rPr>
      </w:pPr>
    </w:p>
    <w:p w14:paraId="18072944"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65C6E44D"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Primary Sjogren's syndrome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is a chronic autoimmune disease that 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characterized by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lymphocytic infiltration of exocrine glands, resulting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significant loss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secretory function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the development of inflammatory and destructive lesions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salivary glands and lacrimal glands. The most common clinical manifestations are dryness in the mouth and eyes.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involvement may also occur, including</w:t>
      </w:r>
      <w:r>
        <w:rPr>
          <w:rFonts w:ascii="Book Antiqua" w:eastAsia="宋体" w:hAnsi="Book Antiqua" w:cs="Book Antiqua"/>
          <w:color w:val="000000"/>
          <w:lang w:eastAsia="zh-CN"/>
        </w:rPr>
        <w:t xml:space="preserve"> in</w:t>
      </w:r>
      <w:r>
        <w:rPr>
          <w:rFonts w:ascii="Book Antiqua" w:eastAsia="Book Antiqua" w:hAnsi="Book Antiqua" w:cs="Book Antiqua"/>
          <w:color w:val="000000"/>
        </w:rPr>
        <w:t xml:space="preserve"> the kidneys (3%-5%); </w:t>
      </w:r>
      <w:r>
        <w:rPr>
          <w:rFonts w:ascii="Book Antiqua" w:eastAsia="宋体" w:hAnsi="Book Antiqua" w:cs="Book Antiqua"/>
          <w:color w:val="000000"/>
          <w:lang w:eastAsia="zh-CN"/>
        </w:rPr>
        <w:t>T</w:t>
      </w:r>
      <w:r>
        <w:rPr>
          <w:rFonts w:ascii="Book Antiqua" w:eastAsia="Book Antiqua" w:hAnsi="Book Antiqua" w:cs="Book Antiqua"/>
          <w:color w:val="000000"/>
        </w:rPr>
        <w:t>he main renal lesions are the infiltration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inflammatory cell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into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tubules and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glomerular involvement often manifests as the development of a membranous </w:t>
      </w:r>
      <w:proofErr w:type="gramStart"/>
      <w:r>
        <w:rPr>
          <w:rFonts w:ascii="Book Antiqua" w:eastAsia="Book Antiqua" w:hAnsi="Book Antiqua" w:cs="Book Antiqua"/>
          <w:color w:val="000000"/>
        </w:rPr>
        <w:t>nephropathy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Herein, </w:t>
      </w:r>
      <w:proofErr w:type="gramStart"/>
      <w:r>
        <w:rPr>
          <w:rFonts w:ascii="Book Antiqua" w:eastAsia="Book Antiqua" w:hAnsi="Book Antiqua" w:cs="Book Antiqua"/>
          <w:color w:val="000000"/>
        </w:rPr>
        <w:t>We</w:t>
      </w:r>
      <w:proofErr w:type="gramEnd"/>
      <w:r>
        <w:rPr>
          <w:rFonts w:ascii="Book Antiqua" w:eastAsia="Book Antiqua" w:hAnsi="Book Antiqua" w:cs="Book Antiqua"/>
          <w:color w:val="000000"/>
        </w:rPr>
        <w:t xml:space="preserve"> report a case of </w:t>
      </w:r>
      <w:r>
        <w:rPr>
          <w:rFonts w:ascii="Book Antiqua" w:eastAsia="宋体" w:hAnsi="Book Antiqua" w:cs="Book Antiqua"/>
          <w:color w:val="000000"/>
          <w:lang w:eastAsia="zh-CN"/>
        </w:rPr>
        <w:t>S</w:t>
      </w:r>
      <w:r>
        <w:rPr>
          <w:rFonts w:ascii="Book Antiqua" w:eastAsia="Book Antiqua" w:hAnsi="Book Antiqua" w:cs="Book Antiqua"/>
          <w:color w:val="000000"/>
        </w:rPr>
        <w:t xml:space="preserve">jogren's syndrome with </w:t>
      </w:r>
      <w:proofErr w:type="spellStart"/>
      <w:r>
        <w:rPr>
          <w:rFonts w:ascii="Book Antiqua" w:eastAsia="Book Antiqua" w:hAnsi="Book Antiqua" w:cs="Book Antiqua"/>
          <w:color w:val="000000"/>
        </w:rPr>
        <w:t>micropathic</w:t>
      </w:r>
      <w:proofErr w:type="spellEnd"/>
      <w:r>
        <w:rPr>
          <w:rFonts w:ascii="Book Antiqua" w:eastAsia="Book Antiqua" w:hAnsi="Book Antiqua" w:cs="Book Antiqua"/>
          <w:color w:val="000000"/>
        </w:rPr>
        <w:t xml:space="preserve"> nephropathy as the primary presentation, and this patient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negative for anti-SSA and anti-SSB antibodies and had no symptoms of exocrine gland involvement.</w:t>
      </w:r>
    </w:p>
    <w:p w14:paraId="1A314C92" w14:textId="77777777" w:rsidR="00610BCE" w:rsidRDefault="00610BCE">
      <w:pPr>
        <w:spacing w:line="360" w:lineRule="auto"/>
        <w:jc w:val="both"/>
        <w:rPr>
          <w:rFonts w:ascii="Book Antiqua" w:hAnsi="Book Antiqua"/>
        </w:rPr>
      </w:pPr>
    </w:p>
    <w:p w14:paraId="70533469"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30E82E6"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Chief complaints</w:t>
      </w:r>
    </w:p>
    <w:p w14:paraId="1EC09AFB"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A 43-year-old female patient was admitted due to recurrent systemic oedema for 5 mo</w:t>
      </w:r>
      <w:r>
        <w:rPr>
          <w:rFonts w:ascii="Book Antiqua" w:eastAsia="宋体" w:hAnsi="Book Antiqua" w:cs="Book Antiqua"/>
          <w:color w:val="000000"/>
          <w:lang w:eastAsia="zh-CN"/>
        </w:rPr>
        <w:t>nths</w:t>
      </w:r>
      <w:r>
        <w:rPr>
          <w:rFonts w:ascii="Book Antiqua" w:eastAsia="Book Antiqua" w:hAnsi="Book Antiqua" w:cs="Book Antiqua"/>
          <w:color w:val="000000"/>
        </w:rPr>
        <w:t>.</w:t>
      </w:r>
    </w:p>
    <w:p w14:paraId="5E065876" w14:textId="77777777" w:rsidR="00610BCE" w:rsidRDefault="00610BCE">
      <w:pPr>
        <w:spacing w:line="360" w:lineRule="auto"/>
        <w:jc w:val="both"/>
        <w:rPr>
          <w:rFonts w:ascii="Book Antiqua" w:hAnsi="Book Antiqua"/>
        </w:rPr>
      </w:pPr>
    </w:p>
    <w:p w14:paraId="347C996F"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B1706C0"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The patient’s lower oedema appeared five months prior to presentation, and the oedema was obvious at night and disappeared in the morning. Then, the patient’s oedema of the extremities worsened and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extended to the face, and this was accompanied by oliguria (approximately 500-800 mL/day) and the presence of foamy urine. The patient did not have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dry mouth, and the patient had no need to consume </w:t>
      </w:r>
      <w:r>
        <w:rPr>
          <w:rFonts w:ascii="Book Antiqua" w:eastAsia="Book Antiqua" w:hAnsi="Book Antiqua" w:cs="Book Antiqua"/>
          <w:color w:val="000000"/>
        </w:rPr>
        <w:lastRenderedPageBreak/>
        <w:t>water with the ingestion of dry food, did not have dry eyes, and had flak</w:t>
      </w:r>
      <w:r>
        <w:rPr>
          <w:rFonts w:ascii="Book Antiqua" w:eastAsia="宋体" w:hAnsi="Book Antiqua" w:cs="Book Antiqua"/>
          <w:color w:val="000000"/>
          <w:lang w:eastAsia="zh-CN"/>
        </w:rPr>
        <w:t>y</w:t>
      </w:r>
      <w:r>
        <w:rPr>
          <w:rFonts w:ascii="Book Antiqua" w:eastAsia="Book Antiqua" w:hAnsi="Book Antiqua" w:cs="Book Antiqua"/>
          <w:color w:val="000000"/>
        </w:rPr>
        <w:t xml:space="preserve"> tooth loss, parotid gland enlargement, joint pain, hair loss, light allergy, or oral ulcers.</w:t>
      </w:r>
    </w:p>
    <w:p w14:paraId="2D6ABBE8" w14:textId="77777777" w:rsidR="00610BCE" w:rsidRDefault="00610BCE">
      <w:pPr>
        <w:spacing w:line="360" w:lineRule="auto"/>
        <w:jc w:val="both"/>
        <w:rPr>
          <w:rFonts w:ascii="Book Antiqua" w:hAnsi="Book Antiqua"/>
        </w:rPr>
      </w:pPr>
    </w:p>
    <w:p w14:paraId="72B78A0C"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637D53D"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 xml:space="preserve">The prior history of the patient was nonspecific. </w:t>
      </w:r>
    </w:p>
    <w:p w14:paraId="26FC47C6" w14:textId="77777777" w:rsidR="00610BCE" w:rsidRDefault="00610BCE">
      <w:pPr>
        <w:spacing w:line="360" w:lineRule="auto"/>
        <w:jc w:val="both"/>
        <w:rPr>
          <w:rFonts w:ascii="Book Antiqua" w:hAnsi="Book Antiqua"/>
        </w:rPr>
      </w:pPr>
    </w:p>
    <w:p w14:paraId="375A3CC4"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BD9E9C5"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The patient’s personal and family history was nonspecific.</w:t>
      </w:r>
    </w:p>
    <w:p w14:paraId="11E9F7BF" w14:textId="77777777" w:rsidR="00610BCE" w:rsidRDefault="00610BCE">
      <w:pPr>
        <w:spacing w:line="360" w:lineRule="auto"/>
        <w:jc w:val="both"/>
        <w:rPr>
          <w:rFonts w:ascii="Book Antiqua" w:hAnsi="Book Antiqua"/>
        </w:rPr>
      </w:pPr>
    </w:p>
    <w:p w14:paraId="57D2114F"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Physical examination</w:t>
      </w:r>
    </w:p>
    <w:p w14:paraId="30EEE302"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The physical examination showed that the patient had oedema in her lower extremities, which was not specific.</w:t>
      </w:r>
    </w:p>
    <w:p w14:paraId="57879F5D" w14:textId="77777777" w:rsidR="00610BCE" w:rsidRDefault="00610BCE">
      <w:pPr>
        <w:spacing w:line="360" w:lineRule="auto"/>
        <w:jc w:val="both"/>
        <w:rPr>
          <w:rFonts w:ascii="Book Antiqua" w:hAnsi="Book Antiqua"/>
        </w:rPr>
      </w:pPr>
    </w:p>
    <w:p w14:paraId="08F9923F"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Laboratory examinations</w:t>
      </w:r>
    </w:p>
    <w:p w14:paraId="696C3E18" w14:textId="77777777" w:rsidR="00610BCE" w:rsidRDefault="00855F2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results of the patient’s laboratory examinations are shown in Table 1.</w:t>
      </w:r>
    </w:p>
    <w:p w14:paraId="78971C4C" w14:textId="77777777" w:rsidR="00610BCE" w:rsidRDefault="00610BCE">
      <w:pPr>
        <w:spacing w:line="360" w:lineRule="auto"/>
        <w:jc w:val="both"/>
        <w:rPr>
          <w:rFonts w:ascii="Book Antiqua" w:hAnsi="Book Antiqua"/>
        </w:rPr>
      </w:pPr>
    </w:p>
    <w:p w14:paraId="582579EE" w14:textId="77777777" w:rsidR="00610BCE" w:rsidRDefault="00855F2E">
      <w:pPr>
        <w:spacing w:line="360" w:lineRule="auto"/>
        <w:jc w:val="both"/>
        <w:rPr>
          <w:rFonts w:ascii="Book Antiqua" w:hAnsi="Book Antiqua"/>
        </w:rPr>
      </w:pPr>
      <w:r>
        <w:rPr>
          <w:rFonts w:ascii="Book Antiqua" w:eastAsia="Book Antiqua" w:hAnsi="Book Antiqua" w:cs="Book Antiqua"/>
          <w:b/>
          <w:i/>
          <w:color w:val="000000"/>
        </w:rPr>
        <w:t>Imaging examinations</w:t>
      </w:r>
    </w:p>
    <w:p w14:paraId="30C39613"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The patient underwent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a renal biopsy on December 1, 2020</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under ultrasonography guidance to assess the etiology of the nephrotic syndrome. </w:t>
      </w:r>
      <w:r>
        <w:rPr>
          <w:rFonts w:ascii="Book Antiqua" w:eastAsia="宋体" w:hAnsi="Book Antiqua" w:cs="Book Antiqua"/>
          <w:color w:val="000000"/>
          <w:lang w:eastAsia="zh-CN"/>
        </w:rPr>
        <w:t>The l</w:t>
      </w:r>
      <w:r>
        <w:rPr>
          <w:rFonts w:ascii="Book Antiqua" w:eastAsia="Book Antiqua" w:hAnsi="Book Antiqua" w:cs="Book Antiqua"/>
          <w:color w:val="000000"/>
        </w:rPr>
        <w:t>ight microscopic analysis of the kidney biopsy sample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identified thirteen glomeruli, and no abnormalities were observed. Tubular atrophy, interstitial fibrosis, focal vacuolar degeneration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tubular epithelial cells, and focal aggregation of interstitial inflammatory cells were occasionally present (Figure 1). An immunofluorescence analysis of the kidney biopsy sample revealed that the kidney samples were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negative for IgG, IgM, IgA, C1q and C3. An electron microscopic analysis of the kidney biopsy sample revealed that there was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diffuse effacement of the foot processes. Electron-dense deposits were not observed (Figure 2).</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w:t>
      </w:r>
      <w:r>
        <w:rPr>
          <w:rFonts w:ascii="Book Antiqua" w:eastAsia="宋体" w:hAnsi="Book Antiqua" w:cs="Book Antiqua"/>
          <w:color w:val="000000"/>
          <w:lang w:eastAsia="zh-CN"/>
        </w:rPr>
        <w:t xml:space="preserve"> </w:t>
      </w:r>
      <w:r>
        <w:rPr>
          <w:rFonts w:ascii="Book Antiqua" w:eastAsia="Book Antiqua" w:hAnsi="Book Antiqua" w:cs="Book Antiqua"/>
          <w:color w:val="000000"/>
        </w:rPr>
        <w:t>ophthalmic examination revealed a Schirmer test score of 3 mm/5 min and a tear breakup time</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4 s. An analysis of a labial gland biopsy sample analysis identified the presence of level IV lesions (Figure 3).</w:t>
      </w:r>
    </w:p>
    <w:p w14:paraId="5A611EFB" w14:textId="77777777" w:rsidR="00610BCE" w:rsidRDefault="00610BCE">
      <w:pPr>
        <w:spacing w:line="360" w:lineRule="auto"/>
        <w:jc w:val="both"/>
        <w:rPr>
          <w:rFonts w:ascii="Book Antiqua" w:hAnsi="Book Antiqua"/>
        </w:rPr>
      </w:pPr>
    </w:p>
    <w:p w14:paraId="5AEE7958"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9B20FF8"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 xml:space="preserve">The final diagnosis was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with nephrotic syndrome.</w:t>
      </w:r>
    </w:p>
    <w:p w14:paraId="0F1B5F42" w14:textId="77777777" w:rsidR="00610BCE" w:rsidRDefault="00610BCE">
      <w:pPr>
        <w:spacing w:line="360" w:lineRule="auto"/>
        <w:jc w:val="both"/>
        <w:rPr>
          <w:rFonts w:ascii="Book Antiqua" w:hAnsi="Book Antiqua"/>
        </w:rPr>
      </w:pPr>
    </w:p>
    <w:p w14:paraId="2822295D"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199AC14"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The patient was given</w:t>
      </w:r>
      <w:r>
        <w:rPr>
          <w:rFonts w:ascii="Book Antiqua" w:eastAsia="宋体" w:hAnsi="Book Antiqua" w:cs="Book Antiqua"/>
          <w:color w:val="000000"/>
          <w:lang w:eastAsia="zh-CN"/>
        </w:rPr>
        <w:t xml:space="preserve"> i</w:t>
      </w:r>
      <w:r>
        <w:rPr>
          <w:rFonts w:ascii="Book Antiqua" w:eastAsia="Book Antiqua" w:hAnsi="Book Antiqua" w:cs="Book Antiqua"/>
          <w:color w:val="000000"/>
        </w:rPr>
        <w:t xml:space="preserve">ntravenous prednisolone </w:t>
      </w:r>
      <w:r>
        <w:rPr>
          <w:rFonts w:ascii="Book Antiqua" w:hAnsi="Book Antiqua" w:cs="Book Antiqua"/>
          <w:color w:val="000000"/>
          <w:lang w:eastAsia="zh-CN"/>
        </w:rPr>
        <w:t>(</w:t>
      </w:r>
      <w:r>
        <w:rPr>
          <w:rFonts w:ascii="Book Antiqua" w:eastAsia="Book Antiqua" w:hAnsi="Book Antiqua" w:cs="Book Antiqua"/>
          <w:color w:val="000000"/>
        </w:rPr>
        <w:t>PSL)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40 mg/d for </w:t>
      </w:r>
      <w:r>
        <w:rPr>
          <w:rFonts w:ascii="Book Antiqua" w:eastAsia="宋体" w:hAnsi="Book Antiqua" w:cs="Book Antiqua"/>
          <w:color w:val="000000"/>
          <w:lang w:eastAsia="zh-CN"/>
        </w:rPr>
        <w:t>one</w:t>
      </w:r>
      <w:r>
        <w:rPr>
          <w:rFonts w:ascii="Book Antiqua" w:eastAsia="Book Antiqua" w:hAnsi="Book Antiqua" w:cs="Book Antiqua"/>
          <w:color w:val="000000"/>
        </w:rPr>
        <w:t xml:space="preserve"> week. The patient was discharged from the hospital on December 09, 2020. Then the patient was prescribed prednisone 40 mg/d po.</w:t>
      </w:r>
    </w:p>
    <w:p w14:paraId="3F6B4632" w14:textId="77777777" w:rsidR="00610BCE" w:rsidRDefault="00610BCE">
      <w:pPr>
        <w:spacing w:line="360" w:lineRule="auto"/>
        <w:jc w:val="both"/>
        <w:rPr>
          <w:rFonts w:ascii="Book Antiqua" w:hAnsi="Book Antiqua"/>
        </w:rPr>
      </w:pPr>
    </w:p>
    <w:p w14:paraId="1170B838"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C57FDD5"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After 3 weeks of treatment, the patient’s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systemic </w:t>
      </w:r>
      <w:r>
        <w:rPr>
          <w:rFonts w:ascii="Book Antiqua" w:eastAsia="宋体" w:hAnsi="Book Antiqua" w:cs="Book Antiqua"/>
          <w:color w:val="000000"/>
          <w:lang w:eastAsia="zh-CN"/>
        </w:rPr>
        <w:t>o</w:t>
      </w:r>
      <w:r>
        <w:rPr>
          <w:rFonts w:ascii="Book Antiqua" w:eastAsia="Book Antiqua" w:hAnsi="Book Antiqua" w:cs="Book Antiqua"/>
          <w:color w:val="000000"/>
        </w:rPr>
        <w:t>edema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disappeared. A re-examination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routine urine test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revealed the following: urinary protein (-), serum albumin: 41.9 g/L,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urinary protein quantitation: 0.091 g/24 h (Table 1). Therefore, </w:t>
      </w:r>
      <w:r>
        <w:rPr>
          <w:rFonts w:ascii="Book Antiqua" w:eastAsia="宋体" w:hAnsi="Book Antiqua" w:cs="Book Antiqua"/>
          <w:color w:val="000000"/>
          <w:lang w:eastAsia="zh-CN"/>
        </w:rPr>
        <w:t>the</w:t>
      </w:r>
      <w:r>
        <w:rPr>
          <w:rFonts w:ascii="Book Antiqua" w:eastAsia="Book Antiqua" w:hAnsi="Book Antiqua" w:cs="Book Antiqua"/>
          <w:color w:val="000000"/>
        </w:rPr>
        <w:t xml:space="preserve"> treatment was effective.</w:t>
      </w:r>
    </w:p>
    <w:p w14:paraId="46B1A4C7" w14:textId="77777777" w:rsidR="00610BCE" w:rsidRDefault="00610BCE">
      <w:pPr>
        <w:spacing w:line="360" w:lineRule="auto"/>
        <w:jc w:val="both"/>
        <w:rPr>
          <w:rFonts w:ascii="Book Antiqua" w:hAnsi="Book Antiqua"/>
        </w:rPr>
      </w:pPr>
    </w:p>
    <w:p w14:paraId="280B3C50"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215909E"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 xml:space="preserve">Currently, there is no gold standard for diagnosing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The diagnosis of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has been based on the presence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typical clinical symptoms such as dry mouth, dry eyes, the results of the</w:t>
      </w:r>
      <w:r>
        <w:rPr>
          <w:rFonts w:ascii="Book Antiqua" w:eastAsia="宋体" w:hAnsi="Book Antiqua" w:cs="Book Antiqua"/>
          <w:color w:val="000000"/>
          <w:lang w:eastAsia="zh-CN"/>
        </w:rPr>
        <w:t xml:space="preserve"> </w:t>
      </w:r>
      <w:r>
        <w:rPr>
          <w:rFonts w:ascii="Book Antiqua" w:eastAsia="Book Antiqua" w:hAnsi="Book Antiqua" w:cs="Book Antiqua"/>
          <w:color w:val="000000"/>
          <w:shd w:val="clear" w:color="auto" w:fill="FFFFFF"/>
        </w:rPr>
        <w:t>minor salivary gland biopsy (MSGB)</w:t>
      </w:r>
      <w:r>
        <w:rPr>
          <w:rFonts w:ascii="Book Antiqua" w:eastAsia="Book Antiqua" w:hAnsi="Book Antiqua" w:cs="Book Antiqua"/>
          <w:color w:val="000000"/>
        </w:rPr>
        <w:t xml:space="preserve"> and autoantibodies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presence of autoantibodies. According to the 2016 ACR/EULAR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classification criteria</w:t>
      </w:r>
      <w:r>
        <w:rPr>
          <w:rFonts w:ascii="Book Antiqua" w:eastAsia="宋体" w:hAnsi="Book Antiqua" w:cs="Book Antiqua"/>
          <w:color w:val="000000"/>
          <w:lang w:eastAsia="zh-CN"/>
        </w:rPr>
        <w:t>，</w:t>
      </w:r>
      <w:r>
        <w:rPr>
          <w:rFonts w:ascii="Book Antiqua" w:eastAsia="Book Antiqua" w:hAnsi="Book Antiqua" w:cs="Book Antiqua"/>
          <w:color w:val="000000"/>
        </w:rPr>
        <w:t xml:space="preserve">the following are used for a diagnosis: (1) Focal lymph infiltration of labial glands with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focal index ≥ 1 Lesion /4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(2) </w:t>
      </w:r>
      <w:r>
        <w:rPr>
          <w:rFonts w:ascii="Book Antiqua" w:eastAsia="宋体" w:hAnsi="Book Antiqua" w:cs="Book Antiqua"/>
          <w:color w:val="000000"/>
          <w:lang w:eastAsia="zh-CN"/>
        </w:rPr>
        <w:t>A f</w:t>
      </w:r>
      <w:r>
        <w:rPr>
          <w:rFonts w:ascii="Book Antiqua" w:eastAsia="Book Antiqua" w:hAnsi="Book Antiqua" w:cs="Book Antiqua"/>
          <w:color w:val="000000"/>
        </w:rPr>
        <w:t xml:space="preserve">ilter paper test (Schirmer test ≤ 5mm/5 min);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is</w:t>
      </w:r>
      <w:r>
        <w:rPr>
          <w:rFonts w:ascii="Book Antiqua" w:eastAsia="Book Antiqua" w:hAnsi="Book Antiqua" w:cs="Book Antiqua"/>
          <w:color w:val="000000"/>
        </w:rPr>
        <w:t xml:space="preserve"> diagnosed when</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total score</w:t>
      </w:r>
      <w:r>
        <w:rPr>
          <w:rFonts w:ascii="Book Antiqua" w:eastAsia="宋体" w:hAnsi="Book Antiqua" w:cs="Book Antiqua"/>
          <w:color w:val="000000"/>
          <w:lang w:eastAsia="zh-CN"/>
        </w:rPr>
        <w:t xml:space="preserve"> is </w:t>
      </w:r>
      <w:r>
        <w:rPr>
          <w:rFonts w:ascii="Book Antiqua" w:eastAsia="Book Antiqua" w:hAnsi="Book Antiqua" w:cs="Book Antiqua"/>
          <w:color w:val="000000"/>
        </w:rPr>
        <w:t>≥ 4</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final diagnosis in this patient was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with nephrotic syndrome.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summarized 161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and found that only 86 patients (53.42%) were positive for both anti-SSA and anti-SSB antibodies. Another study found that 37 (35.6%) of 104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were negative for both anti-SSA and anti-SSB </w:t>
      </w:r>
      <w:proofErr w:type="gramStart"/>
      <w:r>
        <w:rPr>
          <w:rFonts w:ascii="Book Antiqua" w:eastAsia="Book Antiqua" w:hAnsi="Book Antiqua" w:cs="Book Antiqua"/>
          <w:color w:val="000000"/>
        </w:rPr>
        <w:t>antibodies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suggests that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cases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negative anti-SSA and SSB antibodies are common in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clinic. Serologically negative SS-A and SS-B antibodies were more common in patients with late-onset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(age &gt; 35 years)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than in </w:t>
      </w:r>
      <w:r>
        <w:rPr>
          <w:rFonts w:ascii="Book Antiqua" w:eastAsia="Book Antiqua" w:hAnsi="Book Antiqua" w:cs="Book Antiqua"/>
          <w:color w:val="000000"/>
        </w:rPr>
        <w:lastRenderedPageBreak/>
        <w:t xml:space="preserve">patients with early-onset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who had significant clinical manifestations and enhanced cellular immune system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According to the classification,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patient in this case report had 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late-onset, therefore, MSGB should be considered if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is </w:t>
      </w:r>
      <w:r>
        <w:rPr>
          <w:rFonts w:ascii="Book Antiqua" w:eastAsia="Book Antiqua" w:hAnsi="Book Antiqua" w:cs="Book Antiqua"/>
          <w:color w:val="000000"/>
        </w:rPr>
        <w:t xml:space="preserve">suspected in the patients without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typical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symptoms or without the presence of the specific </w:t>
      </w:r>
      <w:proofErr w:type="gramStart"/>
      <w:r>
        <w:rPr>
          <w:rFonts w:ascii="Book Antiqua" w:eastAsia="Book Antiqua" w:hAnsi="Book Antiqua" w:cs="Book Antiqua"/>
          <w:color w:val="000000"/>
        </w:rPr>
        <w:t>autoantibodies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value of MSGS is important in the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diagnosis. In addition, the detection of autoantibodies in this patient indicated a high titer positive anti-ANA antibody</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indicating the possibility of </w:t>
      </w:r>
      <w:r>
        <w:rPr>
          <w:rFonts w:ascii="Book Antiqua" w:eastAsia="宋体" w:hAnsi="Book Antiqua" w:cs="Book Antiqua"/>
          <w:color w:val="000000"/>
          <w:lang w:eastAsia="zh-CN"/>
        </w:rPr>
        <w:t xml:space="preserve">an </w:t>
      </w:r>
      <w:r>
        <w:rPr>
          <w:rFonts w:ascii="Book Antiqua" w:eastAsia="Book Antiqua" w:hAnsi="Book Antiqua" w:cs="Book Antiqua"/>
          <w:color w:val="000000"/>
        </w:rPr>
        <w:t xml:space="preserve">autoimmune diseases, and a positive anti-ANA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is important for the diagnosis and differentiation of rheumatoid diseases. However, it should be noted that</w:t>
      </w:r>
      <w:r>
        <w:rPr>
          <w:rFonts w:ascii="Book Antiqua" w:eastAsia="宋体" w:hAnsi="Book Antiqua" w:cs="Book Antiqua"/>
          <w:color w:val="000000"/>
          <w:lang w:eastAsia="zh-CN"/>
        </w:rPr>
        <w:t xml:space="preserve"> a</w:t>
      </w:r>
      <w:r>
        <w:rPr>
          <w:rFonts w:ascii="Book Antiqua" w:eastAsia="Book Antiqua" w:hAnsi="Book Antiqua" w:cs="Book Antiqua"/>
          <w:color w:val="000000"/>
        </w:rPr>
        <w:t xml:space="preserve"> positive ANA test is also common in healthy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
    <w:p w14:paraId="2059E926" w14:textId="77777777" w:rsidR="00610BCE" w:rsidRDefault="00855F2E">
      <w:pPr>
        <w:spacing w:line="360" w:lineRule="auto"/>
        <w:ind w:firstLineChars="200" w:firstLine="480"/>
        <w:jc w:val="both"/>
        <w:rPr>
          <w:rFonts w:ascii="Book Antiqua" w:eastAsia="宋体" w:hAnsi="Book Antiqua" w:cs="Book Antiqua"/>
          <w:color w:val="000000"/>
          <w:lang w:eastAsia="zh-CN"/>
        </w:rPr>
      </w:pPr>
      <w:r>
        <w:rPr>
          <w:rFonts w:ascii="Book Antiqua" w:eastAsia="Book Antiqua" w:hAnsi="Book Antiqua" w:cs="Book Antiqua"/>
          <w:color w:val="000000"/>
        </w:rPr>
        <w:t xml:space="preserve">Kidney involvement is an important </w:t>
      </w:r>
      <w:proofErr w:type="spellStart"/>
      <w:r>
        <w:rPr>
          <w:rFonts w:ascii="Book Antiqua" w:eastAsia="Book Antiqua" w:hAnsi="Book Antiqua" w:cs="Book Antiqua"/>
          <w:color w:val="000000"/>
        </w:rPr>
        <w:t>extraglandular</w:t>
      </w:r>
      <w:proofErr w:type="spellEnd"/>
      <w:r>
        <w:rPr>
          <w:rFonts w:ascii="Book Antiqua" w:eastAsia="Book Antiqua" w:hAnsi="Book Antiqua" w:cs="Book Antiqua"/>
          <w:color w:val="000000"/>
        </w:rPr>
        <w:t xml:space="preserve"> complication of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and can lead to chronic kidney disease and even death. At present, it is not clear the renal involvement in patients with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is caused by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SS disease itself or if it</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coexist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with other diseases.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Bossini</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Tu</w:t>
      </w:r>
      <w:r>
        <w:rPr>
          <w:rFonts w:ascii="Book Antiqua" w:eastAsia="Book Antiqua" w:hAnsi="Book Antiqua" w:cs="Book Antiqua"/>
          <w:i/>
          <w:iCs/>
          <w:color w:val="000000"/>
        </w:rPr>
        <w:t xml:space="preserve"> 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that some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-related renal diseases may occur before the subjective symptoms of dry mouth/eyes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joint pain. In a previous</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report, renal biops</w:t>
      </w:r>
      <w:r>
        <w:rPr>
          <w:rFonts w:ascii="Book Antiqua" w:eastAsia="宋体" w:hAnsi="Book Antiqua" w:cs="Book Antiqua"/>
          <w:color w:val="000000"/>
          <w:lang w:eastAsia="zh-CN"/>
        </w:rPr>
        <w:t>ies</w:t>
      </w:r>
      <w:r>
        <w:rPr>
          <w:rFonts w:ascii="Book Antiqua" w:eastAsia="Book Antiqua" w:hAnsi="Book Antiqua" w:cs="Book Antiqua"/>
          <w:color w:val="000000"/>
        </w:rPr>
        <w:t xml:space="preserve"> were obtained from 103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who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renal involvement complications in order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to investigate</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renal pathological types. Among these types, renal tubule and interstitial involvement was the main pathological type, which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identified in 53 of the patients (51.5%), and glomerulonephritis (GN) was the main pathological type in the other 50 patients (48.5%). The pathological types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GN lesions included membranous nephropathy (37, 35.9%), membranoproliferative glomerulonephritis (6, 5.8%), IgA nephropathy (3, 2.9%), minimal change disease (4, 3.9%), and focal segmental glomerulosclerosis (3, 2.9%). Compared with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without complications,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who had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complications, especially renal involvement, developed atypical dry mouth and dry</w:t>
      </w:r>
      <w:r>
        <w:rPr>
          <w:rFonts w:ascii="Book Antiqua" w:eastAsia="宋体" w:hAnsi="Book Antiqua" w:cs="Book Antiqua"/>
          <w:color w:val="000000"/>
          <w:lang w:eastAsia="zh-CN"/>
        </w:rPr>
        <w:t xml:space="preserve"> </w:t>
      </w:r>
      <w:r>
        <w:rPr>
          <w:rFonts w:ascii="Book Antiqua" w:eastAsia="Book Antiqua" w:hAnsi="Book Antiqua" w:cs="Book Antiqua"/>
          <w:color w:val="000000"/>
        </w:rPr>
        <w:t>eyes (</w:t>
      </w:r>
      <w:r>
        <w:rPr>
          <w:rFonts w:ascii="Book Antiqua" w:eastAsia="Book Antiqua" w:hAnsi="Book Antiqua" w:cs="Book Antiqua"/>
          <w:i/>
          <w:iCs/>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addition, the incidence of </w:t>
      </w:r>
      <w:hyperlink r:id="rId9" w:history="1">
        <w:r>
          <w:rPr>
            <w:rFonts w:ascii="Book Antiqua" w:eastAsia="Book Antiqua" w:hAnsi="Book Antiqua" w:cs="Book Antiqua"/>
            <w:color w:val="000000"/>
          </w:rPr>
          <w:t>interstitial lung disease</w:t>
        </w:r>
      </w:hyperlink>
      <w:r>
        <w:rPr>
          <w:rFonts w:ascii="Book Antiqua" w:eastAsia="Book Antiqua" w:hAnsi="Book Antiqua" w:cs="Book Antiqua"/>
          <w:color w:val="000000"/>
        </w:rPr>
        <w:t>, leukopenia and elevated IgG levels were significantly lower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who had complications</w:t>
      </w:r>
      <w:r>
        <w:rPr>
          <w:rFonts w:ascii="Book Antiqua" w:eastAsia="Book Antiqua" w:hAnsi="Book Antiqua" w:cs="Book Antiqua"/>
          <w:color w:val="000000"/>
          <w:vertAlign w:val="superscript"/>
        </w:rPr>
        <w:t>[5]</w:t>
      </w:r>
      <w:r>
        <w:rPr>
          <w:rFonts w:ascii="Book Antiqua" w:eastAsia="Book Antiqua" w:hAnsi="Book Antiqua" w:cs="Book Antiqua"/>
          <w:color w:val="000000"/>
        </w:rPr>
        <w:t>. A number of previous studies that have evaluated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pathological characteristics of renal biopsy samples </w:t>
      </w:r>
      <w:r>
        <w:rPr>
          <w:rFonts w:ascii="Book Antiqua" w:eastAsia="宋体" w:hAnsi="Book Antiqua" w:cs="Book Antiqua"/>
          <w:color w:val="000000"/>
          <w:lang w:eastAsia="zh-CN"/>
        </w:rPr>
        <w:t xml:space="preserve">have </w:t>
      </w:r>
      <w:r>
        <w:rPr>
          <w:rFonts w:ascii="Book Antiqua" w:eastAsia="Book Antiqua" w:hAnsi="Book Antiqua" w:cs="Book Antiqua"/>
          <w:color w:val="000000"/>
        </w:rPr>
        <w:t>also showed 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tubulointerstitial nephritis (TIN) is the main </w:t>
      </w:r>
      <w:r>
        <w:rPr>
          <w:rFonts w:ascii="Book Antiqua" w:eastAsia="Book Antiqua" w:hAnsi="Book Antiqua" w:cs="Book Antiqua"/>
          <w:color w:val="000000"/>
        </w:rPr>
        <w:lastRenderedPageBreak/>
        <w:t xml:space="preserve">pathological type of renal involvement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The pathophysiology of acute and chronic TIN involves the infiltration of T cells, B cell</w:t>
      </w:r>
      <w:r>
        <w:rPr>
          <w:rFonts w:ascii="Book Antiqua" w:eastAsia="宋体" w:hAnsi="Book Antiqua" w:cs="Book Antiqua"/>
          <w:color w:val="000000"/>
          <w:lang w:eastAsia="zh-CN"/>
        </w:rPr>
        <w:t>s</w:t>
      </w:r>
      <w:r>
        <w:rPr>
          <w:rFonts w:ascii="Book Antiqua" w:eastAsia="Book Antiqua" w:hAnsi="Book Antiqua" w:cs="Book Antiqua"/>
          <w:color w:val="000000"/>
        </w:rPr>
        <w:t>, and plasma cell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(among other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cell types) </w:t>
      </w:r>
      <w:r>
        <w:rPr>
          <w:rFonts w:ascii="Book Antiqua" w:eastAsia="宋体" w:hAnsi="Book Antiqua" w:cs="Book Antiqua"/>
          <w:color w:val="000000"/>
          <w:lang w:eastAsia="zh-CN"/>
        </w:rPr>
        <w:t xml:space="preserve">into the </w:t>
      </w:r>
      <w:r>
        <w:rPr>
          <w:rFonts w:ascii="Book Antiqua" w:eastAsia="Book Antiqua" w:hAnsi="Book Antiqua" w:cs="Book Antiqua"/>
          <w:color w:val="000000"/>
        </w:rPr>
        <w:t xml:space="preserve">renal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renal tubules, which promotes interstitial fibrosis and can lead to </w:t>
      </w:r>
      <w:proofErr w:type="gramStart"/>
      <w:r>
        <w:rPr>
          <w:rFonts w:ascii="Book Antiqua" w:eastAsia="Book Antiqua" w:hAnsi="Book Antiqua" w:cs="Book Antiqua"/>
          <w:color w:val="000000"/>
        </w:rPr>
        <w:t>CKD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w:t>
      </w:r>
      <w:r>
        <w:rPr>
          <w:rFonts w:ascii="Book Antiqua" w:eastAsia="Book Antiqua" w:hAnsi="Book Antiqua" w:cs="Book Antiqua"/>
          <w:color w:val="000000"/>
        </w:rPr>
        <w:t>. In SS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glomerular involvement is far less common than renal tubulointerstitial involvement, which may manifest as </w:t>
      </w:r>
      <w:proofErr w:type="spellStart"/>
      <w:r>
        <w:rPr>
          <w:rFonts w:ascii="Book Antiqua" w:eastAsia="Book Antiqua" w:hAnsi="Book Antiqua" w:cs="Book Antiqua"/>
          <w:color w:val="000000"/>
        </w:rPr>
        <w:t>haematuria</w:t>
      </w:r>
      <w:proofErr w:type="spellEnd"/>
      <w:r>
        <w:rPr>
          <w:rFonts w:ascii="Book Antiqua" w:eastAsia="Book Antiqua" w:hAnsi="Book Antiqua" w:cs="Book Antiqua"/>
          <w:color w:val="000000"/>
        </w:rPr>
        <w:t xml:space="preserve">, proteinuria or even nephrotic syndrome. The deposition of circulating immune complexes in the glomerulus and the triggering of mesangial proliferation and extracellular matrix protein synthesis are considered to be key factors in the development of glomerular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pathogenesis of renal involvement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is unclear. Studies have been conducted to identify the factors that are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associated with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renal involvement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A meta-analysis showed that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presence of anti-SSB</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antibodies was closely associated with arthralgia and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renal injury secondary to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and concluded that the presence of SSB antibodies was positively correlated with the development of renal </w:t>
      </w:r>
      <w:proofErr w:type="gramStart"/>
      <w:r>
        <w:rPr>
          <w:rFonts w:ascii="Book Antiqua" w:eastAsia="Book Antiqua" w:hAnsi="Book Antiqua" w:cs="Book Antiqua"/>
          <w:color w:val="000000"/>
        </w:rPr>
        <w:t>involvement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The most common glomerular disease associated with SS is membranous proliferative glomerulonephritis (MPGN), which is associated with the activation of polyclonal B lymphocytes and can cause cryoglobulinemia, and MPGN</w:t>
      </w:r>
      <w:r>
        <w:rPr>
          <w:rFonts w:ascii="Book Antiqua" w:eastAsia="宋体" w:hAnsi="Book Antiqua" w:cs="Book Antiqua"/>
          <w:color w:val="000000"/>
          <w:lang w:eastAsia="zh-CN"/>
        </w:rPr>
        <w:t xml:space="preserve"> is</w:t>
      </w:r>
      <w:r>
        <w:rPr>
          <w:rFonts w:ascii="Book Antiqua" w:eastAsia="Book Antiqua" w:hAnsi="Book Antiqua" w:cs="Book Antiqua"/>
          <w:color w:val="000000"/>
        </w:rPr>
        <w:t xml:space="preserve"> the second most common renal manifestation in </w:t>
      </w:r>
      <w:proofErr w:type="spellStart"/>
      <w:proofErr w:type="gramStart"/>
      <w:r>
        <w:rPr>
          <w:rFonts w:ascii="Book Antiqua" w:eastAsia="Book Antiqua" w:hAnsi="Book Antiqua" w:cs="Book Antiqua"/>
          <w:color w:val="000000"/>
        </w:rPr>
        <w:t>pSS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Many studies have reported that steroids and immunosuppressants (such as cyclophosphamide, plasma exchange therapy, rituximab, azathioprine or mycophenolate) in the treatment of MPGN can significantly improve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renal function in patients with </w:t>
      </w:r>
      <w:proofErr w:type="gramStart"/>
      <w:r>
        <w:rPr>
          <w:rFonts w:ascii="Book Antiqua" w:eastAsia="Book Antiqua" w:hAnsi="Book Antiqua" w:cs="Book Antiqua"/>
          <w:color w:val="000000"/>
        </w:rPr>
        <w:t>CKD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Magali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w:t>
      </w:r>
      <w:r>
        <w:rPr>
          <w:rFonts w:ascii="Book Antiqua" w:eastAsia="宋体" w:hAnsi="Book Antiqua" w:cs="Book Antiqua"/>
          <w:color w:val="000000"/>
          <w:lang w:eastAsia="zh-CN"/>
        </w:rPr>
        <w:t>s</w:t>
      </w:r>
      <w:r>
        <w:rPr>
          <w:rFonts w:ascii="Book Antiqua" w:eastAsia="Book Antiqua" w:hAnsi="Book Antiqua" w:cs="Book Antiqua"/>
          <w:color w:val="000000"/>
        </w:rPr>
        <w:t>ed</w:t>
      </w:r>
      <w:proofErr w:type="spellEnd"/>
      <w:r>
        <w:rPr>
          <w:rFonts w:ascii="Book Antiqua" w:eastAsia="Book Antiqua" w:hAnsi="Book Antiqua" w:cs="Book Antiqua"/>
          <w:color w:val="000000"/>
        </w:rPr>
        <w:t xml:space="preserve"> 95 SS patients who had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involvement confirmed by renal biopsy and found that TIN occurred in 93 </w:t>
      </w:r>
      <w:r>
        <w:rPr>
          <w:rFonts w:ascii="Book Antiqua" w:eastAsia="宋体" w:hAnsi="Book Antiqua" w:cs="Book Antiqua"/>
          <w:color w:val="000000"/>
          <w:lang w:eastAsia="zh-CN"/>
        </w:rPr>
        <w:t xml:space="preserve">of the </w:t>
      </w:r>
      <w:r>
        <w:rPr>
          <w:rFonts w:ascii="Book Antiqua" w:eastAsia="Book Antiqua" w:hAnsi="Book Antiqua" w:cs="Book Antiqua"/>
          <w:color w:val="000000"/>
        </w:rPr>
        <w:t xml:space="preserve">SS nephritis patients (97.9%) and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glomerular lesions occurred in 22 patients (23.2%). Eighty-one patients (85.3%) received treatment, of whom 80 were treated with CSs (98.8%) and 21 were treated with immunosuppressants (primarily rituximab) (25.9%). Although significant interstitial fibrosis was found in the initial biopsy samples,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function </w:t>
      </w:r>
      <w:r>
        <w:rPr>
          <w:rFonts w:ascii="Book Antiqua" w:eastAsia="宋体" w:hAnsi="Book Antiqua" w:cs="Book Antiqua"/>
          <w:color w:val="000000"/>
          <w:lang w:eastAsia="zh-CN"/>
        </w:rPr>
        <w:t>o</w:t>
      </w:r>
      <w:r>
        <w:rPr>
          <w:rFonts w:ascii="Book Antiqua" w:eastAsia="Book Antiqua" w:hAnsi="Book Antiqua" w:cs="Book Antiqua"/>
          <w:color w:val="000000"/>
        </w:rPr>
        <w:t>f the patients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improved significantly within 12 mo</w:t>
      </w:r>
      <w:r>
        <w:rPr>
          <w:rFonts w:ascii="Book Antiqua" w:eastAsia="宋体" w:hAnsi="Book Antiqua" w:cs="Book Antiqua" w:hint="eastAsia"/>
          <w:color w:val="000000"/>
          <w:lang w:eastAsia="zh-CN"/>
        </w:rPr>
        <w:t>nths</w:t>
      </w:r>
      <w:r>
        <w:rPr>
          <w:rFonts w:ascii="Book Antiqua" w:eastAsia="Book Antiqua" w:hAnsi="Book Antiqua" w:cs="Book Antiqua"/>
          <w:color w:val="000000"/>
        </w:rPr>
        <w:t xml:space="preserve"> after diagnosis (final eGFR 49.9 and 39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for those treated with CSs and immunosuppressants, respectively;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baseline eGFR </w:t>
      </w:r>
      <w:r>
        <w:rPr>
          <w:rFonts w:ascii="Book Antiqua" w:eastAsia="宋体" w:hAnsi="Book Antiqua" w:cs="Book Antiqua"/>
          <w:color w:val="000000"/>
          <w:lang w:eastAsia="zh-CN"/>
        </w:rPr>
        <w:t xml:space="preserve">was </w:t>
      </w:r>
      <w:r>
        <w:rPr>
          <w:rFonts w:ascii="Book Antiqua" w:eastAsia="Book Antiqua" w:hAnsi="Book Antiqua" w:cs="Book Antiqua"/>
          <w:color w:val="000000"/>
        </w:rPr>
        <w:t>8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 this study, no additional benefit </w:t>
      </w:r>
      <w:r>
        <w:rPr>
          <w:rFonts w:ascii="Book Antiqua" w:eastAsia="宋体" w:hAnsi="Book Antiqua" w:cs="Book Antiqua"/>
          <w:color w:val="000000"/>
          <w:lang w:eastAsia="zh-CN"/>
        </w:rPr>
        <w:lastRenderedPageBreak/>
        <w:t xml:space="preserve">was </w:t>
      </w:r>
      <w:r>
        <w:rPr>
          <w:rFonts w:ascii="Book Antiqua" w:eastAsia="Book Antiqua" w:hAnsi="Book Antiqua" w:cs="Book Antiqua"/>
          <w:color w:val="000000"/>
        </w:rPr>
        <w:t xml:space="preserve">found when using immunosuppressant therapy compared to steroid therapy </w:t>
      </w:r>
      <w:proofErr w:type="gramStart"/>
      <w:r>
        <w:rPr>
          <w:rFonts w:ascii="Book Antiqua" w:eastAsia="Book Antiqua" w:hAnsi="Book Antiqua" w:cs="Book Antiqua"/>
          <w:color w:val="000000"/>
        </w:rPr>
        <w:t>alone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345211ED" w14:textId="77777777" w:rsidR="00610BCE" w:rsidRDefault="00855F2E">
      <w:pPr>
        <w:spacing w:line="360" w:lineRule="auto"/>
        <w:ind w:firstLineChars="200" w:firstLine="480"/>
        <w:jc w:val="both"/>
        <w:rPr>
          <w:rFonts w:ascii="Book Antiqua" w:hAnsi="Book Antiqua"/>
        </w:rPr>
      </w:pPr>
      <w:r>
        <w:rPr>
          <w:rFonts w:ascii="Book Antiqua" w:eastAsia="Book Antiqua" w:hAnsi="Book Antiqua" w:cs="Book Antiqua"/>
          <w:color w:val="000000"/>
        </w:rPr>
        <w:t>In this case, renal tubular atrophy and interstitial fibrosis were occasionally observed in the samples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under light microscop</w:t>
      </w:r>
      <w:r>
        <w:rPr>
          <w:rFonts w:ascii="Book Antiqua" w:eastAsia="宋体" w:hAnsi="Book Antiqua" w:cs="Book Antiqua"/>
          <w:color w:val="000000"/>
          <w:lang w:eastAsia="zh-CN"/>
        </w:rPr>
        <w:t>y</w:t>
      </w:r>
      <w:r>
        <w:rPr>
          <w:rFonts w:ascii="Book Antiqua" w:eastAsia="Book Antiqua" w:hAnsi="Book Antiqua" w:cs="Book Antiqua"/>
          <w:color w:val="000000"/>
        </w:rPr>
        <w:t>. Interstitial inflammatory cell focal aggregation is a common pathological manifestation of</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renal damage in </w:t>
      </w:r>
      <w:proofErr w:type="spellStart"/>
      <w:r>
        <w:rPr>
          <w:rFonts w:ascii="Book Antiqua" w:eastAsia="Book Antiqua" w:hAnsi="Book Antiqua" w:cs="Book Antiqua"/>
          <w:color w:val="000000"/>
        </w:rPr>
        <w:t>pSS</w:t>
      </w:r>
      <w:proofErr w:type="spellEnd"/>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In addition, pathological manifestations similar to lupus nephritis combined with secondary membranous nephropathy can be seen in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patients. Also, several immune complex deposits can be seen in the mesangial glomerulus and capillary walls, but this was not the case in this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On the basis of these findings and the patient's clinical manifestations and laboratory examination results, atypical lupus nephritis was excluded. The electron microscopic analysis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kidney biopsy samples from this patient revealed diffuse foot process effacement, and the patient was diagnosed with minimal lesion nephropathy. </w:t>
      </w:r>
    </w:p>
    <w:p w14:paraId="4B8670A3" w14:textId="77777777" w:rsidR="00610BCE" w:rsidRDefault="00610BCE">
      <w:pPr>
        <w:spacing w:line="360" w:lineRule="auto"/>
        <w:jc w:val="both"/>
        <w:rPr>
          <w:rFonts w:ascii="Book Antiqua" w:hAnsi="Book Antiqua"/>
        </w:rPr>
      </w:pPr>
    </w:p>
    <w:p w14:paraId="7F9BF840" w14:textId="77777777" w:rsidR="00610BCE" w:rsidRDefault="00855F2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D8FA3B1"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Cases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Serum antibody</w:t>
      </w:r>
      <w:r>
        <w:rPr>
          <w:rFonts w:ascii="Book Antiqua" w:eastAsia="宋体" w:hAnsi="Book Antiqua" w:cs="Book Antiqua"/>
          <w:color w:val="000000"/>
          <w:lang w:eastAsia="zh-CN"/>
        </w:rPr>
        <w:t>-</w:t>
      </w:r>
      <w:r>
        <w:rPr>
          <w:rFonts w:ascii="Book Antiqua" w:eastAsia="Book Antiqua" w:hAnsi="Book Antiqua" w:cs="Book Antiqua"/>
          <w:color w:val="000000"/>
        </w:rPr>
        <w:t>negative</w:t>
      </w:r>
      <w:r>
        <w:rPr>
          <w:rFonts w:ascii="Book Antiqua" w:eastAsia="宋体" w:hAnsi="Book Antiqua" w:cs="Book Antiqua"/>
          <w:color w:val="000000"/>
          <w:lang w:eastAsia="zh-CN"/>
        </w:rPr>
        <w:t xml:space="preserve"> S</w:t>
      </w:r>
      <w:r>
        <w:rPr>
          <w:rFonts w:ascii="Book Antiqua" w:eastAsia="Book Antiqua" w:hAnsi="Book Antiqua" w:cs="Book Antiqua"/>
          <w:color w:val="000000"/>
        </w:rPr>
        <w:t>jogren's syndrome, where there are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no symptoms of exocrine gland involvement</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 xml:space="preserve">no hyperglobulinemia, </w:t>
      </w:r>
      <w:r>
        <w:rPr>
          <w:rFonts w:ascii="Book Antiqua" w:eastAsia="宋体" w:hAnsi="Book Antiqua" w:cs="Book Antiqua"/>
          <w:color w:val="000000"/>
          <w:lang w:eastAsia="zh-CN"/>
        </w:rPr>
        <w:t xml:space="preserve">where </w:t>
      </w:r>
      <w:r>
        <w:rPr>
          <w:rFonts w:ascii="Book Antiqua" w:eastAsia="Book Antiqua" w:hAnsi="Book Antiqua" w:cs="Book Antiqua"/>
          <w:color w:val="000000"/>
        </w:rPr>
        <w:t xml:space="preserve">kidney </w:t>
      </w:r>
      <w:r>
        <w:rPr>
          <w:rFonts w:ascii="Book Antiqua" w:eastAsia="宋体" w:hAnsi="Book Antiqua" w:cs="Book Antiqua"/>
          <w:color w:val="000000"/>
          <w:lang w:eastAsia="zh-CN"/>
        </w:rPr>
        <w:t>i</w:t>
      </w:r>
      <w:r>
        <w:rPr>
          <w:rFonts w:ascii="Book Antiqua" w:eastAsia="Book Antiqua" w:hAnsi="Book Antiqua" w:cs="Book Antiqua"/>
          <w:color w:val="000000"/>
        </w:rPr>
        <w:t>s the first manifestation and where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renal pathology is seen as minimal lesion nephropathy, are clinically rare. Therefore, the case analysis here aims to remind clinicians to consider the possibility of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 xml:space="preserve"> in patients with a high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positive antinuclear antibody combined with the presence of interstitial inflammatory cell focal aggregation in the kidney, even if the patients do not have the typical serological changes. MSGB plays an important role in the diagnosis of atypical </w:t>
      </w:r>
      <w:proofErr w:type="spellStart"/>
      <w:r>
        <w:rPr>
          <w:rFonts w:ascii="Book Antiqua" w:eastAsia="Book Antiqua" w:hAnsi="Book Antiqua" w:cs="Book Antiqua"/>
          <w:color w:val="000000"/>
        </w:rPr>
        <w:t>pSS</w:t>
      </w:r>
      <w:proofErr w:type="spellEnd"/>
      <w:r>
        <w:rPr>
          <w:rFonts w:ascii="Book Antiqua" w:eastAsia="Book Antiqua" w:hAnsi="Book Antiqua" w:cs="Book Antiqua"/>
          <w:color w:val="000000"/>
        </w:rPr>
        <w:t>.</w:t>
      </w:r>
    </w:p>
    <w:p w14:paraId="2A877B45" w14:textId="77777777" w:rsidR="00610BCE" w:rsidRDefault="00610BCE">
      <w:pPr>
        <w:spacing w:line="360" w:lineRule="auto"/>
        <w:jc w:val="both"/>
        <w:rPr>
          <w:rFonts w:ascii="Book Antiqua" w:hAnsi="Book Antiqua"/>
        </w:rPr>
      </w:pPr>
    </w:p>
    <w:p w14:paraId="2A90C1DC"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REFERENCES</w:t>
      </w:r>
    </w:p>
    <w:p w14:paraId="0E69ECD1" w14:textId="77777777" w:rsidR="00610BCE" w:rsidRDefault="00855F2E">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Jasiek</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Karras</w:t>
      </w:r>
      <w:proofErr w:type="spellEnd"/>
      <w:r>
        <w:rPr>
          <w:rFonts w:ascii="Book Antiqua" w:hAnsi="Book Antiqua"/>
        </w:rPr>
        <w:t xml:space="preserve"> A, Le </w:t>
      </w:r>
      <w:proofErr w:type="spellStart"/>
      <w:r>
        <w:rPr>
          <w:rFonts w:ascii="Book Antiqua" w:hAnsi="Book Antiqua"/>
        </w:rPr>
        <w:t>Guern</w:t>
      </w:r>
      <w:proofErr w:type="spellEnd"/>
      <w:r>
        <w:rPr>
          <w:rFonts w:ascii="Book Antiqua" w:hAnsi="Book Antiqua"/>
        </w:rPr>
        <w:t xml:space="preserve"> V, </w:t>
      </w:r>
      <w:proofErr w:type="spellStart"/>
      <w:r>
        <w:rPr>
          <w:rFonts w:ascii="Book Antiqua" w:hAnsi="Book Antiqua"/>
        </w:rPr>
        <w:t>Krastinova</w:t>
      </w:r>
      <w:proofErr w:type="spellEnd"/>
      <w:r>
        <w:rPr>
          <w:rFonts w:ascii="Book Antiqua" w:hAnsi="Book Antiqua"/>
        </w:rPr>
        <w:t xml:space="preserve"> E, Mesbah R, </w:t>
      </w:r>
      <w:proofErr w:type="spellStart"/>
      <w:r>
        <w:rPr>
          <w:rFonts w:ascii="Book Antiqua" w:hAnsi="Book Antiqua"/>
        </w:rPr>
        <w:t>Faguer</w:t>
      </w:r>
      <w:proofErr w:type="spellEnd"/>
      <w:r>
        <w:rPr>
          <w:rFonts w:ascii="Book Antiqua" w:hAnsi="Book Antiqua"/>
        </w:rPr>
        <w:t xml:space="preserve"> S, </w:t>
      </w:r>
      <w:proofErr w:type="spellStart"/>
      <w:r>
        <w:rPr>
          <w:rFonts w:ascii="Book Antiqua" w:hAnsi="Book Antiqua"/>
        </w:rPr>
        <w:t>Jourde-Chiche</w:t>
      </w:r>
      <w:proofErr w:type="spellEnd"/>
      <w:r>
        <w:rPr>
          <w:rFonts w:ascii="Book Antiqua" w:hAnsi="Book Antiqua"/>
        </w:rPr>
        <w:t xml:space="preserve"> N, </w:t>
      </w:r>
      <w:proofErr w:type="spellStart"/>
      <w:r>
        <w:rPr>
          <w:rFonts w:ascii="Book Antiqua" w:hAnsi="Book Antiqua"/>
        </w:rPr>
        <w:t>Fauchais</w:t>
      </w:r>
      <w:proofErr w:type="spellEnd"/>
      <w:r>
        <w:rPr>
          <w:rFonts w:ascii="Book Antiqua" w:hAnsi="Book Antiqua"/>
        </w:rPr>
        <w:t xml:space="preserve"> AL, </w:t>
      </w:r>
      <w:proofErr w:type="spellStart"/>
      <w:r>
        <w:rPr>
          <w:rFonts w:ascii="Book Antiqua" w:hAnsi="Book Antiqua"/>
        </w:rPr>
        <w:t>Chiche</w:t>
      </w:r>
      <w:proofErr w:type="spellEnd"/>
      <w:r>
        <w:rPr>
          <w:rFonts w:ascii="Book Antiqua" w:hAnsi="Book Antiqua"/>
        </w:rPr>
        <w:t xml:space="preserve"> L, </w:t>
      </w:r>
      <w:proofErr w:type="spellStart"/>
      <w:r>
        <w:rPr>
          <w:rFonts w:ascii="Book Antiqua" w:hAnsi="Book Antiqua"/>
        </w:rPr>
        <w:t>Dernis</w:t>
      </w:r>
      <w:proofErr w:type="spellEnd"/>
      <w:r>
        <w:rPr>
          <w:rFonts w:ascii="Book Antiqua" w:hAnsi="Book Antiqua"/>
        </w:rPr>
        <w:t xml:space="preserve"> E, </w:t>
      </w:r>
      <w:proofErr w:type="spellStart"/>
      <w:r>
        <w:rPr>
          <w:rFonts w:ascii="Book Antiqua" w:hAnsi="Book Antiqua"/>
        </w:rPr>
        <w:t>Moulis</w:t>
      </w:r>
      <w:proofErr w:type="spellEnd"/>
      <w:r>
        <w:rPr>
          <w:rFonts w:ascii="Book Antiqua" w:hAnsi="Book Antiqua"/>
        </w:rPr>
        <w:t xml:space="preserve"> G, </w:t>
      </w:r>
      <w:proofErr w:type="spellStart"/>
      <w:r>
        <w:rPr>
          <w:rFonts w:ascii="Book Antiqua" w:hAnsi="Book Antiqua"/>
        </w:rPr>
        <w:t>Fraison</w:t>
      </w:r>
      <w:proofErr w:type="spellEnd"/>
      <w:r>
        <w:rPr>
          <w:rFonts w:ascii="Book Antiqua" w:hAnsi="Book Antiqua"/>
        </w:rPr>
        <w:t xml:space="preserve"> JB, Lazaro E, </w:t>
      </w:r>
      <w:proofErr w:type="spellStart"/>
      <w:r>
        <w:rPr>
          <w:rFonts w:ascii="Book Antiqua" w:hAnsi="Book Antiqua"/>
        </w:rPr>
        <w:t>Jullien</w:t>
      </w:r>
      <w:proofErr w:type="spellEnd"/>
      <w:r>
        <w:rPr>
          <w:rFonts w:ascii="Book Antiqua" w:hAnsi="Book Antiqua"/>
        </w:rPr>
        <w:t xml:space="preserve"> P, </w:t>
      </w:r>
      <w:proofErr w:type="spellStart"/>
      <w:r>
        <w:rPr>
          <w:rFonts w:ascii="Book Antiqua" w:hAnsi="Book Antiqua"/>
        </w:rPr>
        <w:t>Hachulla</w:t>
      </w:r>
      <w:proofErr w:type="spellEnd"/>
      <w:r>
        <w:rPr>
          <w:rFonts w:ascii="Book Antiqua" w:hAnsi="Book Antiqua"/>
        </w:rPr>
        <w:t xml:space="preserve"> E, Le </w:t>
      </w:r>
      <w:proofErr w:type="spellStart"/>
      <w:r>
        <w:rPr>
          <w:rFonts w:ascii="Book Antiqua" w:hAnsi="Book Antiqua"/>
        </w:rPr>
        <w:t>Quellec</w:t>
      </w:r>
      <w:proofErr w:type="spellEnd"/>
      <w:r>
        <w:rPr>
          <w:rFonts w:ascii="Book Antiqua" w:hAnsi="Book Antiqua"/>
        </w:rPr>
        <w:t xml:space="preserve"> A, Rémy P, Hummel A, </w:t>
      </w:r>
      <w:proofErr w:type="spellStart"/>
      <w:r>
        <w:rPr>
          <w:rFonts w:ascii="Book Antiqua" w:hAnsi="Book Antiqua"/>
        </w:rPr>
        <w:t>Costedoat</w:t>
      </w:r>
      <w:proofErr w:type="spellEnd"/>
      <w:r>
        <w:rPr>
          <w:rFonts w:ascii="Book Antiqua" w:hAnsi="Book Antiqua"/>
        </w:rPr>
        <w:t xml:space="preserve">-Chalumeau N, </w:t>
      </w:r>
      <w:proofErr w:type="spellStart"/>
      <w:r>
        <w:rPr>
          <w:rFonts w:ascii="Book Antiqua" w:hAnsi="Book Antiqua"/>
        </w:rPr>
        <w:t>Ronco</w:t>
      </w:r>
      <w:proofErr w:type="spellEnd"/>
      <w:r>
        <w:rPr>
          <w:rFonts w:ascii="Book Antiqua" w:hAnsi="Book Antiqua"/>
        </w:rPr>
        <w:t xml:space="preserve"> P, </w:t>
      </w:r>
      <w:proofErr w:type="spellStart"/>
      <w:r>
        <w:rPr>
          <w:rFonts w:ascii="Book Antiqua" w:hAnsi="Book Antiqua"/>
        </w:rPr>
        <w:t>Vanhille</w:t>
      </w:r>
      <w:proofErr w:type="spellEnd"/>
      <w:r>
        <w:rPr>
          <w:rFonts w:ascii="Book Antiqua" w:hAnsi="Book Antiqua"/>
        </w:rPr>
        <w:t xml:space="preserve"> P, </w:t>
      </w:r>
      <w:proofErr w:type="spellStart"/>
      <w:r>
        <w:rPr>
          <w:rFonts w:ascii="Book Antiqua" w:hAnsi="Book Antiqua"/>
        </w:rPr>
        <w:t>Meas-Yedid</w:t>
      </w:r>
      <w:proofErr w:type="spellEnd"/>
      <w:r>
        <w:rPr>
          <w:rFonts w:ascii="Book Antiqua" w:hAnsi="Book Antiqua"/>
        </w:rPr>
        <w:t xml:space="preserve"> V, </w:t>
      </w:r>
      <w:proofErr w:type="spellStart"/>
      <w:r>
        <w:rPr>
          <w:rFonts w:ascii="Book Antiqua" w:hAnsi="Book Antiqua"/>
        </w:rPr>
        <w:t>Cordonnier</w:t>
      </w:r>
      <w:proofErr w:type="spellEnd"/>
      <w:r>
        <w:rPr>
          <w:rFonts w:ascii="Book Antiqua" w:hAnsi="Book Antiqua"/>
        </w:rPr>
        <w:t xml:space="preserve"> C, </w:t>
      </w:r>
      <w:proofErr w:type="spellStart"/>
      <w:r>
        <w:rPr>
          <w:rFonts w:ascii="Book Antiqua" w:hAnsi="Book Antiqua"/>
        </w:rPr>
        <w:t>Ferlicot</w:t>
      </w:r>
      <w:proofErr w:type="spellEnd"/>
      <w:r>
        <w:rPr>
          <w:rFonts w:ascii="Book Antiqua" w:hAnsi="Book Antiqua"/>
        </w:rPr>
        <w:t xml:space="preserve"> S, Daniel L, </w:t>
      </w:r>
      <w:proofErr w:type="spellStart"/>
      <w:r>
        <w:rPr>
          <w:rFonts w:ascii="Book Antiqua" w:hAnsi="Book Antiqua"/>
        </w:rPr>
        <w:t>Seror</w:t>
      </w:r>
      <w:proofErr w:type="spellEnd"/>
      <w:r>
        <w:rPr>
          <w:rFonts w:ascii="Book Antiqua" w:hAnsi="Book Antiqua"/>
        </w:rPr>
        <w:t xml:space="preserve"> R, Mariette X, </w:t>
      </w:r>
      <w:proofErr w:type="spellStart"/>
      <w:r>
        <w:rPr>
          <w:rFonts w:ascii="Book Antiqua" w:hAnsi="Book Antiqua"/>
        </w:rPr>
        <w:t>Thervet</w:t>
      </w:r>
      <w:proofErr w:type="spellEnd"/>
      <w:r>
        <w:rPr>
          <w:rFonts w:ascii="Book Antiqua" w:hAnsi="Book Antiqua"/>
        </w:rPr>
        <w:t xml:space="preserve"> E, </w:t>
      </w:r>
      <w:r>
        <w:rPr>
          <w:rFonts w:ascii="Book Antiqua" w:hAnsi="Book Antiqua"/>
        </w:rPr>
        <w:lastRenderedPageBreak/>
        <w:t xml:space="preserve">François H, Terrier B. A </w:t>
      </w:r>
      <w:proofErr w:type="spellStart"/>
      <w:r>
        <w:rPr>
          <w:rFonts w:ascii="Book Antiqua" w:hAnsi="Book Antiqua"/>
        </w:rPr>
        <w:t>multicentre</w:t>
      </w:r>
      <w:proofErr w:type="spellEnd"/>
      <w:r>
        <w:rPr>
          <w:rFonts w:ascii="Book Antiqua" w:hAnsi="Book Antiqua"/>
        </w:rPr>
        <w:t xml:space="preserve"> study of 95 biopsy-proven cases of renal disease in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Rheumatology (Oxford)</w:t>
      </w:r>
      <w:r>
        <w:rPr>
          <w:rFonts w:ascii="Book Antiqua" w:hAnsi="Book Antiqua"/>
        </w:rPr>
        <w:t xml:space="preserve"> 2017; </w:t>
      </w:r>
      <w:r>
        <w:rPr>
          <w:rFonts w:ascii="Book Antiqua" w:hAnsi="Book Antiqua"/>
          <w:b/>
          <w:bCs/>
        </w:rPr>
        <w:t>56</w:t>
      </w:r>
      <w:r>
        <w:rPr>
          <w:rFonts w:ascii="Book Antiqua" w:hAnsi="Book Antiqua"/>
        </w:rPr>
        <w:t>: 362-370 [PMID: 27940588 DOI: 10.1093/rheumatology/kew376]</w:t>
      </w:r>
    </w:p>
    <w:p w14:paraId="10AEC3E1" w14:textId="77777777" w:rsidR="00610BCE" w:rsidRDefault="00855F2E">
      <w:pPr>
        <w:spacing w:line="360" w:lineRule="auto"/>
        <w:jc w:val="both"/>
        <w:rPr>
          <w:rFonts w:ascii="Book Antiqua" w:hAnsi="Book Antiqua"/>
          <w:color w:val="000000" w:themeColor="text1"/>
        </w:rPr>
      </w:pPr>
      <w:r>
        <w:rPr>
          <w:rFonts w:ascii="Book Antiqua" w:hAnsi="Book Antiqua"/>
        </w:rPr>
        <w:t xml:space="preserve">2 </w:t>
      </w:r>
      <w:proofErr w:type="spellStart"/>
      <w:r>
        <w:rPr>
          <w:rFonts w:ascii="Book Antiqua" w:hAnsi="Book Antiqua"/>
          <w:b/>
          <w:bCs/>
        </w:rPr>
        <w:t>Shiboski</w:t>
      </w:r>
      <w:proofErr w:type="spellEnd"/>
      <w:r>
        <w:rPr>
          <w:rFonts w:ascii="Book Antiqua" w:hAnsi="Book Antiqua"/>
          <w:b/>
          <w:bCs/>
        </w:rPr>
        <w:t xml:space="preserve"> CH</w:t>
      </w:r>
      <w:r>
        <w:rPr>
          <w:rFonts w:ascii="Book Antiqua" w:hAnsi="Book Antiqua"/>
        </w:rPr>
        <w:t xml:space="preserve">, </w:t>
      </w:r>
      <w:proofErr w:type="spellStart"/>
      <w:r>
        <w:rPr>
          <w:rFonts w:ascii="Book Antiqua" w:hAnsi="Book Antiqua"/>
        </w:rPr>
        <w:t>Shiboski</w:t>
      </w:r>
      <w:proofErr w:type="spellEnd"/>
      <w:r>
        <w:rPr>
          <w:rFonts w:ascii="Book Antiqua" w:hAnsi="Book Antiqua"/>
        </w:rPr>
        <w:t xml:space="preserve"> SC, </w:t>
      </w:r>
      <w:proofErr w:type="spellStart"/>
      <w:r>
        <w:rPr>
          <w:rFonts w:ascii="Book Antiqua" w:hAnsi="Book Antiqua"/>
        </w:rPr>
        <w:t>Seror</w:t>
      </w:r>
      <w:proofErr w:type="spellEnd"/>
      <w:r>
        <w:rPr>
          <w:rFonts w:ascii="Book Antiqua" w:hAnsi="Book Antiqua"/>
        </w:rPr>
        <w:t xml:space="preserve"> R, Criswell LA, </w:t>
      </w:r>
      <w:proofErr w:type="spellStart"/>
      <w:r>
        <w:rPr>
          <w:rFonts w:ascii="Book Antiqua" w:hAnsi="Book Antiqua"/>
        </w:rPr>
        <w:t>Labetoulle</w:t>
      </w:r>
      <w:proofErr w:type="spellEnd"/>
      <w:r>
        <w:rPr>
          <w:rFonts w:ascii="Book Antiqua" w:hAnsi="Book Antiqua"/>
        </w:rPr>
        <w:t xml:space="preserve"> M, </w:t>
      </w:r>
      <w:proofErr w:type="spellStart"/>
      <w:r>
        <w:rPr>
          <w:rFonts w:ascii="Book Antiqua" w:hAnsi="Book Antiqua"/>
        </w:rPr>
        <w:t>Lietman</w:t>
      </w:r>
      <w:proofErr w:type="spellEnd"/>
      <w:r>
        <w:rPr>
          <w:rFonts w:ascii="Book Antiqua" w:hAnsi="Book Antiqua"/>
        </w:rPr>
        <w:t xml:space="preserve"> TM, Rasmussen A, Scofield H, Vitali C, Bowman SJ, Mariette X; International </w:t>
      </w:r>
      <w:proofErr w:type="spellStart"/>
      <w:r>
        <w:rPr>
          <w:rFonts w:ascii="Book Antiqua" w:hAnsi="Book Antiqua"/>
        </w:rPr>
        <w:t>Sjögren's</w:t>
      </w:r>
      <w:proofErr w:type="spellEnd"/>
      <w:r>
        <w:rPr>
          <w:rFonts w:ascii="Book Antiqua" w:hAnsi="Book Antiqua"/>
        </w:rPr>
        <w:t xml:space="preserve"> Syndrome Criteria Working Group. 2016 American College of Rheumatology/European League Against Rheumatism classification criteria for primary </w:t>
      </w:r>
      <w:proofErr w:type="spellStart"/>
      <w:r>
        <w:rPr>
          <w:rFonts w:ascii="Book Antiqua" w:hAnsi="Book Antiqua"/>
        </w:rPr>
        <w:t>Sjögren's</w:t>
      </w:r>
      <w:proofErr w:type="spellEnd"/>
      <w:r>
        <w:rPr>
          <w:rFonts w:ascii="Book Antiqua" w:hAnsi="Book Antiqua"/>
        </w:rPr>
        <w:t xml:space="preserve"> syndrome: A consensus and data-driven methodology involving three international patient cohorts. </w:t>
      </w:r>
      <w:r>
        <w:rPr>
          <w:rFonts w:ascii="Book Antiqua" w:hAnsi="Book Antiqua"/>
          <w:i/>
          <w:iCs/>
        </w:rPr>
        <w:t>Ann Rheum Dis</w:t>
      </w:r>
      <w:r>
        <w:rPr>
          <w:rFonts w:ascii="Book Antiqua" w:hAnsi="Book Antiqua"/>
        </w:rPr>
        <w:t xml:space="preserve"> 2017; </w:t>
      </w:r>
      <w:r>
        <w:rPr>
          <w:rFonts w:ascii="Book Antiqua" w:hAnsi="Book Antiqua"/>
          <w:b/>
          <w:bCs/>
        </w:rPr>
        <w:t>76</w:t>
      </w:r>
      <w:r>
        <w:rPr>
          <w:rFonts w:ascii="Book Antiqua" w:hAnsi="Book Antiqua"/>
        </w:rPr>
        <w:t xml:space="preserve">: 9-16 [PMID: 27789466 DOI: </w:t>
      </w:r>
      <w:r>
        <w:rPr>
          <w:rFonts w:ascii="Book Antiqua" w:hAnsi="Book Antiqua"/>
          <w:color w:val="000000" w:themeColor="text1"/>
        </w:rPr>
        <w:t>10.1136/annrheumdis-2016-210571]</w:t>
      </w:r>
    </w:p>
    <w:p w14:paraId="1B9D39D3" w14:textId="77777777" w:rsidR="00610BCE" w:rsidRDefault="00855F2E">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eastAsia="Book Antiqua" w:hAnsi="Book Antiqua" w:cs="Book Antiqua"/>
          <w:b/>
          <w:bCs/>
          <w:color w:val="000000"/>
        </w:rPr>
        <w:t>Li YW</w:t>
      </w:r>
      <w:r>
        <w:rPr>
          <w:rFonts w:ascii="Book Antiqua" w:eastAsia="Book Antiqua" w:hAnsi="Book Antiqua" w:cs="Book Antiqua"/>
          <w:color w:val="000000"/>
        </w:rPr>
        <w:t xml:space="preserve">, Li ZF, Han YM. Clinical data analysis of primary Sjogren's syndrome patients with positive anti-SSA and SSB antibodies. </w:t>
      </w:r>
      <w:r>
        <w:rPr>
          <w:rFonts w:ascii="Book Antiqua" w:eastAsia="Book Antiqua" w:hAnsi="Book Antiqua" w:cs="Book Antiqua"/>
          <w:i/>
          <w:iCs/>
          <w:color w:val="000000"/>
        </w:rPr>
        <w:t>Chinese Journal of Internal Medicine</w:t>
      </w:r>
      <w:r>
        <w:rPr>
          <w:rFonts w:ascii="Book Antiqua" w:eastAsia="Book Antiqua" w:hAnsi="Book Antiqua" w:cs="Book Antiqua"/>
          <w:color w:val="000000"/>
        </w:rPr>
        <w:t xml:space="preserve"> 2010</w:t>
      </w:r>
      <w:r>
        <w:rPr>
          <w:rFonts w:ascii="Book Antiqua" w:eastAsia="宋体" w:hAnsi="Book Antiqua" w:cs="宋体"/>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49</w:t>
      </w:r>
      <w:r>
        <w:rPr>
          <w:rFonts w:ascii="Book Antiqua" w:eastAsia="Book Antiqua" w:hAnsi="Book Antiqua" w:cs="Book Antiqua"/>
          <w:color w:val="000000"/>
        </w:rPr>
        <w:t>: 792</w:t>
      </w:r>
      <w:r>
        <w:rPr>
          <w:rFonts w:ascii="Book Antiqua" w:eastAsia="宋体" w:hAnsi="Book Antiqua" w:cs="Book Antiqua" w:hint="eastAsia"/>
          <w:color w:val="000000"/>
          <w:lang w:eastAsia="zh-CN"/>
        </w:rPr>
        <w:t>-</w:t>
      </w:r>
      <w:r>
        <w:rPr>
          <w:rFonts w:ascii="Book Antiqua" w:eastAsia="Book Antiqua" w:hAnsi="Book Antiqua" w:cs="Book Antiqua"/>
          <w:color w:val="000000"/>
        </w:rPr>
        <w:t>793 [DOI: 10.3760/cma.j.issn.0578-1426.2010.09.019]</w:t>
      </w:r>
    </w:p>
    <w:p w14:paraId="79C01822" w14:textId="77777777" w:rsidR="00610BCE" w:rsidRDefault="00855F2E">
      <w:pPr>
        <w:spacing w:line="360" w:lineRule="auto"/>
        <w:jc w:val="both"/>
        <w:rPr>
          <w:rFonts w:ascii="Book Antiqua" w:hAnsi="Book Antiqua"/>
        </w:rPr>
      </w:pPr>
      <w:r>
        <w:rPr>
          <w:rFonts w:ascii="Book Antiqua" w:hAnsi="Book Antiqua"/>
        </w:rPr>
        <w:t xml:space="preserve">4 </w:t>
      </w:r>
      <w:r>
        <w:rPr>
          <w:rFonts w:ascii="Book Antiqua" w:eastAsia="Book Antiqua" w:hAnsi="Book Antiqua" w:cs="Book Antiqua"/>
          <w:b/>
          <w:bCs/>
          <w:color w:val="000000"/>
        </w:rPr>
        <w:t>Guo J</w:t>
      </w:r>
      <w:r>
        <w:rPr>
          <w:rFonts w:ascii="Book Antiqua" w:eastAsia="Book Antiqua" w:hAnsi="Book Antiqua" w:cs="Book Antiqua"/>
          <w:color w:val="000000"/>
        </w:rPr>
        <w:t xml:space="preserve">, Yan HM, Luo KK, Wang H, Wang YF. Characteristics of patients with primary Sjogren's syndrome with negative anti-SSA and SSB antibodies in serum[J]. Journal of Peking University Health Sciences 2013, </w:t>
      </w:r>
      <w:r>
        <w:rPr>
          <w:rFonts w:ascii="Book Antiqua" w:eastAsia="Book Antiqua" w:hAnsi="Book Antiqua" w:cs="Book Antiqua"/>
          <w:b/>
          <w:bCs/>
          <w:color w:val="000000"/>
        </w:rPr>
        <w:t>45</w:t>
      </w:r>
      <w:r>
        <w:rPr>
          <w:rFonts w:ascii="Book Antiqua" w:eastAsia="Book Antiqua" w:hAnsi="Book Antiqua" w:cs="Book Antiqua"/>
          <w:color w:val="000000"/>
        </w:rPr>
        <w:t>: 316-318 [DOI: 10.3969/j.issn.1671-167x.2013.02.030]</w:t>
      </w:r>
    </w:p>
    <w:p w14:paraId="596AD14D" w14:textId="77777777" w:rsidR="00610BCE" w:rsidRDefault="00855F2E">
      <w:pPr>
        <w:spacing w:line="360" w:lineRule="auto"/>
        <w:jc w:val="both"/>
        <w:rPr>
          <w:rFonts w:ascii="Book Antiqua" w:hAnsi="Book Antiqua"/>
        </w:rPr>
      </w:pPr>
      <w:r>
        <w:rPr>
          <w:rFonts w:ascii="Book Antiqua" w:hAnsi="Book Antiqua"/>
        </w:rPr>
        <w:t xml:space="preserve">5 </w:t>
      </w:r>
      <w:r>
        <w:rPr>
          <w:rFonts w:ascii="Book Antiqua" w:hAnsi="Book Antiqua"/>
          <w:b/>
          <w:bCs/>
        </w:rPr>
        <w:t>Wei L</w:t>
      </w:r>
      <w:r>
        <w:rPr>
          <w:rFonts w:ascii="Book Antiqua" w:hAnsi="Book Antiqua"/>
        </w:rPr>
        <w:t xml:space="preserve">, Zhifei X, </w:t>
      </w:r>
      <w:proofErr w:type="spellStart"/>
      <w:r>
        <w:rPr>
          <w:rFonts w:ascii="Book Antiqua" w:hAnsi="Book Antiqua"/>
        </w:rPr>
        <w:t>Xiaoran</w:t>
      </w:r>
      <w:proofErr w:type="spellEnd"/>
      <w:r>
        <w:rPr>
          <w:rFonts w:ascii="Book Antiqua" w:hAnsi="Book Antiqua"/>
        </w:rPr>
        <w:t xml:space="preserve"> N, </w:t>
      </w:r>
      <w:proofErr w:type="spellStart"/>
      <w:r>
        <w:rPr>
          <w:rFonts w:ascii="Book Antiqua" w:hAnsi="Book Antiqua"/>
        </w:rPr>
        <w:t>Meilu</w:t>
      </w:r>
      <w:proofErr w:type="spellEnd"/>
      <w:r>
        <w:rPr>
          <w:rFonts w:ascii="Book Antiqua" w:hAnsi="Book Antiqua"/>
        </w:rPr>
        <w:t xml:space="preserve"> L, Yang L, </w:t>
      </w:r>
      <w:proofErr w:type="spellStart"/>
      <w:r>
        <w:rPr>
          <w:rFonts w:ascii="Book Antiqua" w:hAnsi="Book Antiqua"/>
        </w:rPr>
        <w:t>Yixuan</w:t>
      </w:r>
      <w:proofErr w:type="spellEnd"/>
      <w:r>
        <w:rPr>
          <w:rFonts w:ascii="Book Antiqua" w:hAnsi="Book Antiqua"/>
        </w:rPr>
        <w:t xml:space="preserve"> L, </w:t>
      </w:r>
      <w:proofErr w:type="spellStart"/>
      <w:r>
        <w:rPr>
          <w:rFonts w:ascii="Book Antiqua" w:hAnsi="Book Antiqua"/>
        </w:rPr>
        <w:t>Xiuying</w:t>
      </w:r>
      <w:proofErr w:type="spellEnd"/>
      <w:r>
        <w:rPr>
          <w:rFonts w:ascii="Book Antiqua" w:hAnsi="Book Antiqua"/>
        </w:rPr>
        <w:t xml:space="preserve"> R, </w:t>
      </w:r>
      <w:proofErr w:type="spellStart"/>
      <w:r>
        <w:rPr>
          <w:rFonts w:ascii="Book Antiqua" w:hAnsi="Book Antiqua"/>
        </w:rPr>
        <w:t>Yashuang</w:t>
      </w:r>
      <w:proofErr w:type="spellEnd"/>
      <w:r>
        <w:rPr>
          <w:rFonts w:ascii="Book Antiqua" w:hAnsi="Book Antiqua"/>
        </w:rPr>
        <w:t xml:space="preserve"> S, Jingjing C, </w:t>
      </w:r>
      <w:proofErr w:type="spellStart"/>
      <w:r>
        <w:rPr>
          <w:rFonts w:ascii="Book Antiqua" w:hAnsi="Book Antiqua"/>
        </w:rPr>
        <w:t>Shaoying</w:t>
      </w:r>
      <w:proofErr w:type="spellEnd"/>
      <w:r>
        <w:rPr>
          <w:rFonts w:ascii="Book Antiqua" w:hAnsi="Book Antiqua"/>
        </w:rPr>
        <w:t xml:space="preserve"> G, Liu Y, Lijun S, </w:t>
      </w:r>
      <w:proofErr w:type="spellStart"/>
      <w:r>
        <w:rPr>
          <w:rFonts w:ascii="Book Antiqua" w:hAnsi="Book Antiqua"/>
        </w:rPr>
        <w:t>Fengxiao</w:t>
      </w:r>
      <w:proofErr w:type="spellEnd"/>
      <w:r>
        <w:rPr>
          <w:rFonts w:ascii="Book Antiqua" w:hAnsi="Book Antiqua"/>
        </w:rPr>
        <w:t xml:space="preserve"> Z, Wen Z. Patients with early-onset primary </w:t>
      </w:r>
      <w:proofErr w:type="spellStart"/>
      <w:r>
        <w:rPr>
          <w:rFonts w:ascii="Book Antiqua" w:hAnsi="Book Antiqua"/>
        </w:rPr>
        <w:t>Sjögren's</w:t>
      </w:r>
      <w:proofErr w:type="spellEnd"/>
      <w:r>
        <w:rPr>
          <w:rFonts w:ascii="Book Antiqua" w:hAnsi="Book Antiqua"/>
        </w:rPr>
        <w:t xml:space="preserve"> syndrome have distinctive clinical manifestations and circulating lymphocyte profiles. </w:t>
      </w:r>
      <w:r>
        <w:rPr>
          <w:rFonts w:ascii="Book Antiqua" w:hAnsi="Book Antiqua"/>
          <w:i/>
          <w:iCs/>
        </w:rPr>
        <w:t>Rheumatology (Oxford)</w:t>
      </w:r>
      <w:r>
        <w:rPr>
          <w:rFonts w:ascii="Book Antiqua" w:hAnsi="Book Antiqua"/>
        </w:rPr>
        <w:t xml:space="preserve"> 2022; </w:t>
      </w:r>
      <w:r>
        <w:rPr>
          <w:rFonts w:ascii="Book Antiqua" w:hAnsi="Book Antiqua"/>
          <w:b/>
          <w:bCs/>
        </w:rPr>
        <w:t>61</w:t>
      </w:r>
      <w:r>
        <w:rPr>
          <w:rFonts w:ascii="Book Antiqua" w:hAnsi="Book Antiqua"/>
        </w:rPr>
        <w:t>: 597-605 [PMID: 33878180 DOI: 10.1093/rheumatology/keab367]</w:t>
      </w:r>
    </w:p>
    <w:p w14:paraId="71EC6809" w14:textId="77777777" w:rsidR="00610BCE" w:rsidRDefault="00855F2E">
      <w:pPr>
        <w:spacing w:line="360" w:lineRule="auto"/>
        <w:jc w:val="both"/>
        <w:rPr>
          <w:rFonts w:ascii="Book Antiqua" w:hAnsi="Book Antiqua"/>
        </w:rPr>
      </w:pPr>
      <w:r>
        <w:rPr>
          <w:rFonts w:ascii="Book Antiqua" w:hAnsi="Book Antiqua"/>
        </w:rPr>
        <w:t xml:space="preserve">6 </w:t>
      </w:r>
      <w:r>
        <w:rPr>
          <w:rFonts w:ascii="Book Antiqua" w:hAnsi="Book Antiqua"/>
          <w:b/>
          <w:bCs/>
        </w:rPr>
        <w:t>Li X</w:t>
      </w:r>
      <w:r>
        <w:rPr>
          <w:rFonts w:ascii="Book Antiqua" w:hAnsi="Book Antiqua"/>
        </w:rPr>
        <w:t xml:space="preserve">, Xu B, Ma Y, Li X, Cheng Q, Wang X, Wang G, Qian L, Wei L. Clinical and laboratory profiles of primary Sjogren's syndrome in a Chinese population: A retrospective analysis of 315 patients. </w:t>
      </w:r>
      <w:r>
        <w:rPr>
          <w:rFonts w:ascii="Book Antiqua" w:hAnsi="Book Antiqua"/>
          <w:i/>
          <w:iCs/>
        </w:rPr>
        <w:t>Int J Rheum Dis</w:t>
      </w:r>
      <w:r>
        <w:rPr>
          <w:rFonts w:ascii="Book Antiqua" w:hAnsi="Book Antiqua"/>
        </w:rPr>
        <w:t xml:space="preserve"> 2015; </w:t>
      </w:r>
      <w:r>
        <w:rPr>
          <w:rFonts w:ascii="Book Antiqua" w:hAnsi="Book Antiqua"/>
          <w:b/>
          <w:bCs/>
        </w:rPr>
        <w:t>18</w:t>
      </w:r>
      <w:r>
        <w:rPr>
          <w:rFonts w:ascii="Book Antiqua" w:hAnsi="Book Antiqua"/>
        </w:rPr>
        <w:t>: 439-446 [PMID: 25925697 DOI: 10.1111/1756-185X.12583]</w:t>
      </w:r>
    </w:p>
    <w:p w14:paraId="15602525" w14:textId="77777777" w:rsidR="00610BCE" w:rsidRDefault="00855F2E">
      <w:pPr>
        <w:spacing w:line="360" w:lineRule="auto"/>
        <w:jc w:val="both"/>
        <w:rPr>
          <w:rFonts w:ascii="Book Antiqua" w:hAnsi="Book Antiqua"/>
        </w:rPr>
      </w:pPr>
      <w:r>
        <w:rPr>
          <w:rFonts w:ascii="Book Antiqua" w:hAnsi="Book Antiqua"/>
        </w:rPr>
        <w:t xml:space="preserve">7 </w:t>
      </w:r>
      <w:r>
        <w:rPr>
          <w:rFonts w:ascii="Book Antiqua" w:hAnsi="Book Antiqua"/>
          <w:b/>
          <w:bCs/>
        </w:rPr>
        <w:t>Li QZ</w:t>
      </w:r>
      <w:r>
        <w:rPr>
          <w:rFonts w:ascii="Book Antiqua" w:hAnsi="Book Antiqua"/>
        </w:rPr>
        <w:t xml:space="preserve">, Karp DR, Quan J, Branch VK, Zhou J, Lian Y, Chong BF, Wakeland EK, Olsen NJ. Risk factors for ANA positivity in healthy persons. </w:t>
      </w:r>
      <w:r>
        <w:rPr>
          <w:rFonts w:ascii="Book Antiqua" w:hAnsi="Book Antiqua"/>
          <w:i/>
          <w:iCs/>
        </w:rPr>
        <w:t xml:space="preserve">Arthritis Res </w:t>
      </w:r>
      <w:proofErr w:type="spellStart"/>
      <w:r>
        <w:rPr>
          <w:rFonts w:ascii="Book Antiqua" w:hAnsi="Book Antiqua"/>
          <w:i/>
          <w:iCs/>
        </w:rPr>
        <w:t>Ther</w:t>
      </w:r>
      <w:proofErr w:type="spellEnd"/>
      <w:r>
        <w:rPr>
          <w:rFonts w:ascii="Book Antiqua" w:hAnsi="Book Antiqua"/>
        </w:rPr>
        <w:t xml:space="preserve"> 2011; </w:t>
      </w:r>
      <w:r>
        <w:rPr>
          <w:rFonts w:ascii="Book Antiqua" w:hAnsi="Book Antiqua"/>
          <w:b/>
          <w:bCs/>
        </w:rPr>
        <w:t>13</w:t>
      </w:r>
      <w:r>
        <w:rPr>
          <w:rFonts w:ascii="Book Antiqua" w:hAnsi="Book Antiqua"/>
        </w:rPr>
        <w:t>: R38 [PMID: 21366908 DOI: 10.1186/ar3271]</w:t>
      </w:r>
    </w:p>
    <w:p w14:paraId="247DCA4B" w14:textId="77777777" w:rsidR="00610BCE" w:rsidRDefault="00855F2E">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Bossini N</w:t>
      </w:r>
      <w:r>
        <w:rPr>
          <w:rFonts w:ascii="Book Antiqua" w:hAnsi="Book Antiqua"/>
        </w:rPr>
        <w:t xml:space="preserve">, </w:t>
      </w:r>
      <w:proofErr w:type="spellStart"/>
      <w:r>
        <w:rPr>
          <w:rFonts w:ascii="Book Antiqua" w:hAnsi="Book Antiqua"/>
        </w:rPr>
        <w:t>Savoldi</w:t>
      </w:r>
      <w:proofErr w:type="spellEnd"/>
      <w:r>
        <w:rPr>
          <w:rFonts w:ascii="Book Antiqua" w:hAnsi="Book Antiqua"/>
        </w:rPr>
        <w:t xml:space="preserve"> S, </w:t>
      </w:r>
      <w:proofErr w:type="spellStart"/>
      <w:r>
        <w:rPr>
          <w:rFonts w:ascii="Book Antiqua" w:hAnsi="Book Antiqua"/>
        </w:rPr>
        <w:t>Franceschini</w:t>
      </w:r>
      <w:proofErr w:type="spellEnd"/>
      <w:r>
        <w:rPr>
          <w:rFonts w:ascii="Book Antiqua" w:hAnsi="Book Antiqua"/>
        </w:rPr>
        <w:t xml:space="preserve"> F, </w:t>
      </w:r>
      <w:proofErr w:type="spellStart"/>
      <w:r>
        <w:rPr>
          <w:rFonts w:ascii="Book Antiqua" w:hAnsi="Book Antiqua"/>
        </w:rPr>
        <w:t>Mombelloni</w:t>
      </w:r>
      <w:proofErr w:type="spellEnd"/>
      <w:r>
        <w:rPr>
          <w:rFonts w:ascii="Book Antiqua" w:hAnsi="Book Antiqua"/>
        </w:rPr>
        <w:t xml:space="preserve"> S, </w:t>
      </w:r>
      <w:proofErr w:type="spellStart"/>
      <w:r>
        <w:rPr>
          <w:rFonts w:ascii="Book Antiqua" w:hAnsi="Book Antiqua"/>
        </w:rPr>
        <w:t>Baronio</w:t>
      </w:r>
      <w:proofErr w:type="spellEnd"/>
      <w:r>
        <w:rPr>
          <w:rFonts w:ascii="Book Antiqua" w:hAnsi="Book Antiqua"/>
        </w:rPr>
        <w:t xml:space="preserve"> M, </w:t>
      </w:r>
      <w:proofErr w:type="spellStart"/>
      <w:r>
        <w:rPr>
          <w:rFonts w:ascii="Book Antiqua" w:hAnsi="Book Antiqua"/>
        </w:rPr>
        <w:t>Cavazzana</w:t>
      </w:r>
      <w:proofErr w:type="spellEnd"/>
      <w:r>
        <w:rPr>
          <w:rFonts w:ascii="Book Antiqua" w:hAnsi="Book Antiqua"/>
        </w:rPr>
        <w:t xml:space="preserve"> I, Viola BF, </w:t>
      </w:r>
      <w:proofErr w:type="spellStart"/>
      <w:r>
        <w:rPr>
          <w:rFonts w:ascii="Book Antiqua" w:hAnsi="Book Antiqua"/>
        </w:rPr>
        <w:t>Valzorio</w:t>
      </w:r>
      <w:proofErr w:type="spellEnd"/>
      <w:r>
        <w:rPr>
          <w:rFonts w:ascii="Book Antiqua" w:hAnsi="Book Antiqua"/>
        </w:rPr>
        <w:t xml:space="preserve"> B, </w:t>
      </w:r>
      <w:proofErr w:type="spellStart"/>
      <w:r>
        <w:rPr>
          <w:rFonts w:ascii="Book Antiqua" w:hAnsi="Book Antiqua"/>
        </w:rPr>
        <w:t>Mazzucchelli</w:t>
      </w:r>
      <w:proofErr w:type="spellEnd"/>
      <w:r>
        <w:rPr>
          <w:rFonts w:ascii="Book Antiqua" w:hAnsi="Book Antiqua"/>
        </w:rPr>
        <w:t xml:space="preserve"> C, </w:t>
      </w:r>
      <w:proofErr w:type="spellStart"/>
      <w:r>
        <w:rPr>
          <w:rFonts w:ascii="Book Antiqua" w:hAnsi="Book Antiqua"/>
        </w:rPr>
        <w:t>Cattaneo</w:t>
      </w:r>
      <w:proofErr w:type="spellEnd"/>
      <w:r>
        <w:rPr>
          <w:rFonts w:ascii="Book Antiqua" w:hAnsi="Book Antiqua"/>
        </w:rPr>
        <w:t xml:space="preserve"> R, Scolari F, </w:t>
      </w:r>
      <w:proofErr w:type="spellStart"/>
      <w:r>
        <w:rPr>
          <w:rFonts w:ascii="Book Antiqua" w:hAnsi="Book Antiqua"/>
        </w:rPr>
        <w:t>Maiorca</w:t>
      </w:r>
      <w:proofErr w:type="spellEnd"/>
      <w:r>
        <w:rPr>
          <w:rFonts w:ascii="Book Antiqua" w:hAnsi="Book Antiqua"/>
        </w:rPr>
        <w:t xml:space="preserve"> R. Clinical and morphological features of kidney involvement in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Nephrol Dial Transplant</w:t>
      </w:r>
      <w:r>
        <w:rPr>
          <w:rFonts w:ascii="Book Antiqua" w:hAnsi="Book Antiqua"/>
        </w:rPr>
        <w:t xml:space="preserve"> 2001; </w:t>
      </w:r>
      <w:r>
        <w:rPr>
          <w:rFonts w:ascii="Book Antiqua" w:hAnsi="Book Antiqua"/>
          <w:b/>
          <w:bCs/>
        </w:rPr>
        <w:t>16</w:t>
      </w:r>
      <w:r>
        <w:rPr>
          <w:rFonts w:ascii="Book Antiqua" w:hAnsi="Book Antiqua"/>
        </w:rPr>
        <w:t>: 2328-2336 [PMID: 11733624 DOI: 10.1093/</w:t>
      </w:r>
      <w:proofErr w:type="spellStart"/>
      <w:r>
        <w:rPr>
          <w:rFonts w:ascii="Book Antiqua" w:hAnsi="Book Antiqua"/>
        </w:rPr>
        <w:t>ndt</w:t>
      </w:r>
      <w:proofErr w:type="spellEnd"/>
      <w:r>
        <w:rPr>
          <w:rFonts w:ascii="Book Antiqua" w:hAnsi="Book Antiqua"/>
        </w:rPr>
        <w:t>/16.12.2328]</w:t>
      </w:r>
    </w:p>
    <w:p w14:paraId="08C66E86" w14:textId="77777777" w:rsidR="00610BCE" w:rsidRDefault="00855F2E">
      <w:pPr>
        <w:spacing w:line="360" w:lineRule="auto"/>
        <w:jc w:val="both"/>
        <w:rPr>
          <w:rFonts w:ascii="Book Antiqua" w:hAnsi="Book Antiqua"/>
        </w:rPr>
      </w:pPr>
      <w:r>
        <w:rPr>
          <w:rFonts w:ascii="Book Antiqua" w:hAnsi="Book Antiqua"/>
        </w:rPr>
        <w:t xml:space="preserve">9 </w:t>
      </w:r>
      <w:r>
        <w:rPr>
          <w:rFonts w:ascii="Book Antiqua" w:hAnsi="Book Antiqua"/>
          <w:b/>
          <w:bCs/>
        </w:rPr>
        <w:t>Tu WH</w:t>
      </w:r>
      <w:r>
        <w:rPr>
          <w:rFonts w:ascii="Book Antiqua" w:hAnsi="Book Antiqua"/>
        </w:rPr>
        <w:t xml:space="preserve">, </w:t>
      </w:r>
      <w:proofErr w:type="spellStart"/>
      <w:r>
        <w:rPr>
          <w:rFonts w:ascii="Book Antiqua" w:hAnsi="Book Antiqua"/>
        </w:rPr>
        <w:t>Shearn</w:t>
      </w:r>
      <w:proofErr w:type="spellEnd"/>
      <w:r>
        <w:rPr>
          <w:rFonts w:ascii="Book Antiqua" w:hAnsi="Book Antiqua"/>
        </w:rPr>
        <w:t xml:space="preserve"> MA, Lee JC, Hopper J Jr. Interstitial nephritis in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Ann Intern Med</w:t>
      </w:r>
      <w:r>
        <w:rPr>
          <w:rFonts w:ascii="Book Antiqua" w:hAnsi="Book Antiqua"/>
        </w:rPr>
        <w:t xml:space="preserve"> 1968; </w:t>
      </w:r>
      <w:r>
        <w:rPr>
          <w:rFonts w:ascii="Book Antiqua" w:hAnsi="Book Antiqua"/>
          <w:b/>
          <w:bCs/>
        </w:rPr>
        <w:t>69</w:t>
      </w:r>
      <w:r>
        <w:rPr>
          <w:rFonts w:ascii="Book Antiqua" w:hAnsi="Book Antiqua"/>
        </w:rPr>
        <w:t>: 1163-1170 [PMID: 5725733 DOI: 10.7326/0003-4819-69-6-1163]</w:t>
      </w:r>
    </w:p>
    <w:p w14:paraId="3F8AC4E6" w14:textId="77777777" w:rsidR="00610BCE" w:rsidRDefault="00855F2E">
      <w:pPr>
        <w:spacing w:line="360" w:lineRule="auto"/>
        <w:jc w:val="both"/>
        <w:rPr>
          <w:rFonts w:ascii="Book Antiqua" w:hAnsi="Book Antiqua"/>
        </w:rPr>
      </w:pPr>
      <w:r>
        <w:rPr>
          <w:rFonts w:ascii="Book Antiqua" w:hAnsi="Book Antiqua"/>
        </w:rPr>
        <w:t xml:space="preserve">10 </w:t>
      </w:r>
      <w:r>
        <w:rPr>
          <w:rFonts w:ascii="Book Antiqua" w:hAnsi="Book Antiqua"/>
          <w:b/>
          <w:bCs/>
        </w:rPr>
        <w:t>Yang HX</w:t>
      </w:r>
      <w:r>
        <w:rPr>
          <w:rFonts w:ascii="Book Antiqua" w:hAnsi="Book Antiqua"/>
        </w:rPr>
        <w:t xml:space="preserve">, Wang J, Wen YB, Fei YY, Jiang MD, Zhou MY, Zhang W, Li H, Li XM, Zhang FC, Li XW, Zhang X, Chen LM. Renal involvement in primary </w:t>
      </w:r>
      <w:proofErr w:type="spellStart"/>
      <w:r>
        <w:rPr>
          <w:rFonts w:ascii="Book Antiqua" w:hAnsi="Book Antiqua"/>
        </w:rPr>
        <w:t>Sjögren's</w:t>
      </w:r>
      <w:proofErr w:type="spellEnd"/>
      <w:r>
        <w:rPr>
          <w:rFonts w:ascii="Book Antiqua" w:hAnsi="Book Antiqua"/>
        </w:rPr>
        <w:t xml:space="preserve"> syndrome: A retrospective study of 103 biopsy-proven cases from a single center in China. </w:t>
      </w:r>
      <w:r>
        <w:rPr>
          <w:rFonts w:ascii="Book Antiqua" w:hAnsi="Book Antiqua"/>
          <w:i/>
          <w:iCs/>
        </w:rPr>
        <w:t>Int J Rheum Dis</w:t>
      </w:r>
      <w:r>
        <w:rPr>
          <w:rFonts w:ascii="Book Antiqua" w:hAnsi="Book Antiqua"/>
        </w:rPr>
        <w:t xml:space="preserve"> 2018; </w:t>
      </w:r>
      <w:r>
        <w:rPr>
          <w:rFonts w:ascii="Book Antiqua" w:hAnsi="Book Antiqua"/>
          <w:b/>
          <w:bCs/>
        </w:rPr>
        <w:t>21</w:t>
      </w:r>
      <w:r>
        <w:rPr>
          <w:rFonts w:ascii="Book Antiqua" w:hAnsi="Book Antiqua"/>
        </w:rPr>
        <w:t>: 223-229 [PMID: 28941123 DOI: 10.1111/1756-185x.13182]</w:t>
      </w:r>
    </w:p>
    <w:p w14:paraId="49B08A90" w14:textId="77777777" w:rsidR="00610BCE" w:rsidRDefault="00855F2E">
      <w:pPr>
        <w:spacing w:line="360" w:lineRule="auto"/>
        <w:jc w:val="both"/>
        <w:rPr>
          <w:rFonts w:ascii="Book Antiqua" w:hAnsi="Book Antiqua"/>
        </w:rPr>
      </w:pPr>
      <w:r>
        <w:rPr>
          <w:rFonts w:ascii="Book Antiqua" w:hAnsi="Book Antiqua"/>
        </w:rPr>
        <w:t xml:space="preserve">11 </w:t>
      </w:r>
      <w:r>
        <w:rPr>
          <w:rFonts w:ascii="Book Antiqua" w:hAnsi="Book Antiqua"/>
          <w:b/>
          <w:bCs/>
        </w:rPr>
        <w:t>Kim YK</w:t>
      </w:r>
      <w:r>
        <w:rPr>
          <w:rFonts w:ascii="Book Antiqua" w:hAnsi="Book Antiqua"/>
        </w:rPr>
        <w:t xml:space="preserve">, Song HC, Kim WY, Yoon HE, Choi YJ, Ki CS, Park CW, Yang CW, Kim J, Kim YS, Choi EJ, Bang BK. Acquired </w:t>
      </w:r>
      <w:proofErr w:type="spellStart"/>
      <w:r>
        <w:rPr>
          <w:rFonts w:ascii="Book Antiqua" w:hAnsi="Book Antiqua"/>
        </w:rPr>
        <w:t>Gitelman</w:t>
      </w:r>
      <w:proofErr w:type="spellEnd"/>
      <w:r>
        <w:rPr>
          <w:rFonts w:ascii="Book Antiqua" w:hAnsi="Book Antiqua"/>
        </w:rPr>
        <w:t xml:space="preserve"> syndrome in a patient with primary </w:t>
      </w:r>
      <w:proofErr w:type="spellStart"/>
      <w:r>
        <w:rPr>
          <w:rFonts w:ascii="Book Antiqua" w:hAnsi="Book Antiqua"/>
        </w:rPr>
        <w:t>Sjögren</w:t>
      </w:r>
      <w:proofErr w:type="spellEnd"/>
      <w:r>
        <w:rPr>
          <w:rFonts w:ascii="Book Antiqua" w:hAnsi="Book Antiqua"/>
        </w:rPr>
        <w:t xml:space="preserve"> syndrome. </w:t>
      </w:r>
      <w:r>
        <w:rPr>
          <w:rFonts w:ascii="Book Antiqua" w:hAnsi="Book Antiqua"/>
          <w:i/>
          <w:iCs/>
        </w:rPr>
        <w:t>Am J Kidney Dis</w:t>
      </w:r>
      <w:r>
        <w:rPr>
          <w:rFonts w:ascii="Book Antiqua" w:hAnsi="Book Antiqua"/>
        </w:rPr>
        <w:t xml:space="preserve"> 2008; </w:t>
      </w:r>
      <w:r>
        <w:rPr>
          <w:rFonts w:ascii="Book Antiqua" w:hAnsi="Book Antiqua"/>
          <w:b/>
          <w:bCs/>
        </w:rPr>
        <w:t>52</w:t>
      </w:r>
      <w:r>
        <w:rPr>
          <w:rFonts w:ascii="Book Antiqua" w:hAnsi="Book Antiqua"/>
        </w:rPr>
        <w:t>: 1163-1167 [PMID: 18805608 DOI: 10.1053/j.ajkd.2008.07.025]</w:t>
      </w:r>
    </w:p>
    <w:p w14:paraId="14C09C71" w14:textId="77777777" w:rsidR="00610BCE" w:rsidRDefault="00855F2E">
      <w:pPr>
        <w:spacing w:line="360" w:lineRule="auto"/>
        <w:jc w:val="both"/>
        <w:rPr>
          <w:rFonts w:ascii="Book Antiqua" w:hAnsi="Book Antiqua"/>
        </w:rPr>
      </w:pPr>
      <w:r>
        <w:rPr>
          <w:rFonts w:ascii="Book Antiqua" w:hAnsi="Book Antiqua"/>
        </w:rPr>
        <w:t xml:space="preserve">12 </w:t>
      </w:r>
      <w:r>
        <w:rPr>
          <w:rFonts w:ascii="Book Antiqua" w:hAnsi="Book Antiqua"/>
          <w:b/>
          <w:bCs/>
        </w:rPr>
        <w:t>Cohen EP</w:t>
      </w:r>
      <w:r>
        <w:rPr>
          <w:rFonts w:ascii="Book Antiqua" w:hAnsi="Book Antiqua"/>
        </w:rPr>
        <w:t xml:space="preserve">, </w:t>
      </w:r>
      <w:proofErr w:type="spellStart"/>
      <w:r>
        <w:rPr>
          <w:rFonts w:ascii="Book Antiqua" w:hAnsi="Book Antiqua"/>
        </w:rPr>
        <w:t>Bastani</w:t>
      </w:r>
      <w:proofErr w:type="spellEnd"/>
      <w:r>
        <w:rPr>
          <w:rFonts w:ascii="Book Antiqua" w:hAnsi="Book Antiqua"/>
        </w:rPr>
        <w:t xml:space="preserve"> B, Cohen MR, </w:t>
      </w:r>
      <w:proofErr w:type="spellStart"/>
      <w:r>
        <w:rPr>
          <w:rFonts w:ascii="Book Antiqua" w:hAnsi="Book Antiqua"/>
        </w:rPr>
        <w:t>Kolner</w:t>
      </w:r>
      <w:proofErr w:type="spellEnd"/>
      <w:r>
        <w:rPr>
          <w:rFonts w:ascii="Book Antiqua" w:hAnsi="Book Antiqua"/>
        </w:rPr>
        <w:t xml:space="preserve"> S, </w:t>
      </w:r>
      <w:proofErr w:type="spellStart"/>
      <w:r>
        <w:rPr>
          <w:rFonts w:ascii="Book Antiqua" w:hAnsi="Book Antiqua"/>
        </w:rPr>
        <w:t>Hemken</w:t>
      </w:r>
      <w:proofErr w:type="spellEnd"/>
      <w:r>
        <w:rPr>
          <w:rFonts w:ascii="Book Antiqua" w:hAnsi="Book Antiqua"/>
        </w:rPr>
        <w:t xml:space="preserve"> P, Gluck SL. Absence of </w:t>
      </w:r>
      <w:proofErr w:type="gramStart"/>
      <w:r>
        <w:rPr>
          <w:rFonts w:ascii="Book Antiqua" w:hAnsi="Book Antiqua"/>
        </w:rPr>
        <w:t>H(</w:t>
      </w:r>
      <w:proofErr w:type="gramEnd"/>
      <w:r>
        <w:rPr>
          <w:rFonts w:ascii="Book Antiqua" w:hAnsi="Book Antiqua"/>
        </w:rPr>
        <w:t xml:space="preserve">+)-ATPase in cortical collecting tubules of a patient with Sjogren's syndrome and distal renal tubular acidosis. </w:t>
      </w:r>
      <w:r>
        <w:rPr>
          <w:rFonts w:ascii="Book Antiqua" w:hAnsi="Book Antiqua"/>
          <w:i/>
          <w:iCs/>
        </w:rPr>
        <w:t>J Am Soc Nephrol</w:t>
      </w:r>
      <w:r>
        <w:rPr>
          <w:rFonts w:ascii="Book Antiqua" w:hAnsi="Book Antiqua"/>
        </w:rPr>
        <w:t xml:space="preserve"> 1992; </w:t>
      </w:r>
      <w:r>
        <w:rPr>
          <w:rFonts w:ascii="Book Antiqua" w:hAnsi="Book Antiqua"/>
          <w:b/>
          <w:bCs/>
        </w:rPr>
        <w:t>3</w:t>
      </w:r>
      <w:r>
        <w:rPr>
          <w:rFonts w:ascii="Book Antiqua" w:hAnsi="Book Antiqua"/>
        </w:rPr>
        <w:t>: 264-271 [PMID: 1391725 DOI: 10.1681/</w:t>
      </w:r>
      <w:proofErr w:type="gramStart"/>
      <w:r>
        <w:rPr>
          <w:rFonts w:ascii="Book Antiqua" w:hAnsi="Book Antiqua"/>
        </w:rPr>
        <w:t>asn.v</w:t>
      </w:r>
      <w:proofErr w:type="gramEnd"/>
      <w:r>
        <w:rPr>
          <w:rFonts w:ascii="Book Antiqua" w:hAnsi="Book Antiqua"/>
        </w:rPr>
        <w:t>32264]</w:t>
      </w:r>
    </w:p>
    <w:p w14:paraId="3C3E64A2" w14:textId="77777777" w:rsidR="00610BCE" w:rsidRDefault="00855F2E">
      <w:pPr>
        <w:spacing w:line="360" w:lineRule="auto"/>
        <w:jc w:val="both"/>
        <w:rPr>
          <w:rFonts w:ascii="Book Antiqua" w:hAnsi="Book Antiqua"/>
        </w:rPr>
      </w:pPr>
      <w:r>
        <w:rPr>
          <w:rFonts w:ascii="Book Antiqua" w:hAnsi="Book Antiqua"/>
        </w:rPr>
        <w:t xml:space="preserve">13 </w:t>
      </w:r>
      <w:r>
        <w:rPr>
          <w:rFonts w:ascii="Book Antiqua" w:hAnsi="Book Antiqua"/>
          <w:b/>
          <w:bCs/>
        </w:rPr>
        <w:t>Ichikawa K</w:t>
      </w:r>
      <w:r>
        <w:rPr>
          <w:rFonts w:ascii="Book Antiqua" w:hAnsi="Book Antiqua"/>
        </w:rPr>
        <w:t xml:space="preserve">, </w:t>
      </w:r>
      <w:proofErr w:type="spellStart"/>
      <w:r>
        <w:rPr>
          <w:rFonts w:ascii="Book Antiqua" w:hAnsi="Book Antiqua"/>
        </w:rPr>
        <w:t>Konta</w:t>
      </w:r>
      <w:proofErr w:type="spellEnd"/>
      <w:r>
        <w:rPr>
          <w:rFonts w:ascii="Book Antiqua" w:hAnsi="Book Antiqua"/>
        </w:rPr>
        <w:t xml:space="preserve"> T, Sato H, Ueda Y, Yokoyama H. The clinical and pathological characteristics of nephropathies in connective tissue diseases in the Japan Renal Biopsy Registry (J-RBR). </w:t>
      </w:r>
      <w:r>
        <w:rPr>
          <w:rFonts w:ascii="Book Antiqua" w:hAnsi="Book Antiqua"/>
          <w:i/>
          <w:iCs/>
        </w:rPr>
        <w:t>Clin Exp Nephrol</w:t>
      </w:r>
      <w:r>
        <w:rPr>
          <w:rFonts w:ascii="Book Antiqua" w:hAnsi="Book Antiqua"/>
        </w:rPr>
        <w:t xml:space="preserve"> 2017; </w:t>
      </w:r>
      <w:r>
        <w:rPr>
          <w:rFonts w:ascii="Book Antiqua" w:hAnsi="Book Antiqua"/>
          <w:b/>
          <w:bCs/>
        </w:rPr>
        <w:t>21</w:t>
      </w:r>
      <w:r>
        <w:rPr>
          <w:rFonts w:ascii="Book Antiqua" w:hAnsi="Book Antiqua"/>
        </w:rPr>
        <w:t>: 1024-1029 [PMID: 28255922 DOI: 10.1007/s10157-017-1398-5]</w:t>
      </w:r>
    </w:p>
    <w:p w14:paraId="40A75C90" w14:textId="77777777" w:rsidR="00610BCE" w:rsidRDefault="00855F2E">
      <w:pPr>
        <w:spacing w:line="360" w:lineRule="auto"/>
        <w:jc w:val="both"/>
        <w:rPr>
          <w:rFonts w:ascii="Book Antiqua" w:hAnsi="Book Antiqua"/>
        </w:rPr>
      </w:pPr>
      <w:r>
        <w:rPr>
          <w:rFonts w:ascii="Book Antiqua" w:hAnsi="Book Antiqua"/>
        </w:rPr>
        <w:t xml:space="preserve">14 </w:t>
      </w:r>
      <w:r>
        <w:rPr>
          <w:rFonts w:ascii="Book Antiqua" w:hAnsi="Book Antiqua"/>
          <w:b/>
          <w:bCs/>
        </w:rPr>
        <w:t>Huang X</w:t>
      </w:r>
      <w:r>
        <w:rPr>
          <w:rFonts w:ascii="Book Antiqua" w:hAnsi="Book Antiqua"/>
        </w:rPr>
        <w:t xml:space="preserve">, Wang X, Yu D. Development and Validation of a Nomogram for Renal Involvement in Primary </w:t>
      </w:r>
      <w:proofErr w:type="spellStart"/>
      <w:r>
        <w:rPr>
          <w:rFonts w:ascii="Book Antiqua" w:hAnsi="Book Antiqua"/>
        </w:rPr>
        <w:t>Sjögren</w:t>
      </w:r>
      <w:proofErr w:type="spellEnd"/>
      <w:r>
        <w:rPr>
          <w:rFonts w:ascii="Book Antiqua" w:hAnsi="Book Antiqua"/>
        </w:rPr>
        <w:t xml:space="preserve"> Syndrome Patients: A Retrospective Analysis. </w:t>
      </w:r>
      <w:r>
        <w:rPr>
          <w:rFonts w:ascii="Book Antiqua" w:hAnsi="Book Antiqua"/>
          <w:i/>
          <w:iCs/>
        </w:rPr>
        <w:t xml:space="preserve">Mod </w:t>
      </w:r>
      <w:proofErr w:type="spellStart"/>
      <w:r>
        <w:rPr>
          <w:rFonts w:ascii="Book Antiqua" w:hAnsi="Book Antiqua"/>
          <w:i/>
          <w:iCs/>
        </w:rPr>
        <w:t>Rheumatol</w:t>
      </w:r>
      <w:proofErr w:type="spellEnd"/>
      <w:r>
        <w:rPr>
          <w:rFonts w:ascii="Book Antiqua" w:hAnsi="Book Antiqua"/>
        </w:rPr>
        <w:t xml:space="preserve"> 2021 [PMID: 34888691 DOI: 10.1093/</w:t>
      </w:r>
      <w:proofErr w:type="spellStart"/>
      <w:r>
        <w:rPr>
          <w:rFonts w:ascii="Book Antiqua" w:hAnsi="Book Antiqua"/>
        </w:rPr>
        <w:t>mr</w:t>
      </w:r>
      <w:proofErr w:type="spellEnd"/>
      <w:r>
        <w:rPr>
          <w:rFonts w:ascii="Book Antiqua" w:hAnsi="Book Antiqua"/>
        </w:rPr>
        <w:t>/roab123]</w:t>
      </w:r>
    </w:p>
    <w:p w14:paraId="6F96E59D" w14:textId="77777777" w:rsidR="00610BCE" w:rsidRDefault="00855F2E">
      <w:pPr>
        <w:spacing w:line="360" w:lineRule="auto"/>
        <w:jc w:val="both"/>
        <w:rPr>
          <w:rFonts w:ascii="Book Antiqua" w:hAnsi="Book Antiqua"/>
        </w:rPr>
      </w:pPr>
      <w:r>
        <w:rPr>
          <w:rFonts w:ascii="Book Antiqua" w:hAnsi="Book Antiqua"/>
        </w:rPr>
        <w:t xml:space="preserve">15 </w:t>
      </w:r>
      <w:r>
        <w:rPr>
          <w:rFonts w:ascii="Book Antiqua" w:hAnsi="Book Antiqua"/>
          <w:b/>
          <w:bCs/>
        </w:rPr>
        <w:t>Hong R</w:t>
      </w:r>
      <w:r>
        <w:rPr>
          <w:rFonts w:ascii="Book Antiqua" w:hAnsi="Book Antiqua"/>
        </w:rPr>
        <w:t xml:space="preserve">, Xu D, Hsieh E, Xiang Y, Zhao J, Wang Q, Tian X, Li M, Zhao Y, Zeng X. Factors Associated </w:t>
      </w:r>
      <w:proofErr w:type="gramStart"/>
      <w:r>
        <w:rPr>
          <w:rFonts w:ascii="Book Antiqua" w:hAnsi="Book Antiqua"/>
        </w:rPr>
        <w:t>With</w:t>
      </w:r>
      <w:proofErr w:type="gramEnd"/>
      <w:r>
        <w:rPr>
          <w:rFonts w:ascii="Book Antiqua" w:hAnsi="Book Antiqua"/>
        </w:rPr>
        <w:t xml:space="preserve"> Renal Involvement in Primary </w:t>
      </w:r>
      <w:proofErr w:type="spellStart"/>
      <w:r>
        <w:rPr>
          <w:rFonts w:ascii="Book Antiqua" w:hAnsi="Book Antiqua"/>
        </w:rPr>
        <w:t>Sjögren's</w:t>
      </w:r>
      <w:proofErr w:type="spellEnd"/>
      <w:r>
        <w:rPr>
          <w:rFonts w:ascii="Book Antiqua" w:hAnsi="Book Antiqua"/>
        </w:rPr>
        <w:t xml:space="preserve"> Syndrome: A Meta-Analysis. </w:t>
      </w:r>
      <w:r>
        <w:rPr>
          <w:rFonts w:ascii="Book Antiqua" w:hAnsi="Book Antiqua"/>
          <w:i/>
          <w:iCs/>
        </w:rPr>
        <w:t>Front Med (Lausanne)</w:t>
      </w:r>
      <w:r>
        <w:rPr>
          <w:rFonts w:ascii="Book Antiqua" w:hAnsi="Book Antiqua"/>
        </w:rPr>
        <w:t xml:space="preserve"> 2020; </w:t>
      </w:r>
      <w:r>
        <w:rPr>
          <w:rFonts w:ascii="Book Antiqua" w:hAnsi="Book Antiqua"/>
          <w:b/>
          <w:bCs/>
        </w:rPr>
        <w:t>7</w:t>
      </w:r>
      <w:r>
        <w:rPr>
          <w:rFonts w:ascii="Book Antiqua" w:hAnsi="Book Antiqua"/>
        </w:rPr>
        <w:t>: 614482 [PMID: 33324667 DOI: 10.3389/fmed.2020.614482]</w:t>
      </w:r>
    </w:p>
    <w:p w14:paraId="0AF3A80E" w14:textId="77777777" w:rsidR="00610BCE" w:rsidRDefault="00855F2E">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Matignon M</w:t>
      </w:r>
      <w:r>
        <w:rPr>
          <w:rFonts w:ascii="Book Antiqua" w:hAnsi="Book Antiqua"/>
        </w:rPr>
        <w:t xml:space="preserve">, </w:t>
      </w:r>
      <w:proofErr w:type="spellStart"/>
      <w:r>
        <w:rPr>
          <w:rFonts w:ascii="Book Antiqua" w:hAnsi="Book Antiqua"/>
        </w:rPr>
        <w:t>Cacoub</w:t>
      </w:r>
      <w:proofErr w:type="spellEnd"/>
      <w:r>
        <w:rPr>
          <w:rFonts w:ascii="Book Antiqua" w:hAnsi="Book Antiqua"/>
        </w:rPr>
        <w:t xml:space="preserve"> P, </w:t>
      </w:r>
      <w:proofErr w:type="spellStart"/>
      <w:r>
        <w:rPr>
          <w:rFonts w:ascii="Book Antiqua" w:hAnsi="Book Antiqua"/>
        </w:rPr>
        <w:t>Colombat</w:t>
      </w:r>
      <w:proofErr w:type="spellEnd"/>
      <w:r>
        <w:rPr>
          <w:rFonts w:ascii="Book Antiqua" w:hAnsi="Book Antiqua"/>
        </w:rPr>
        <w:t xml:space="preserve"> M, </w:t>
      </w:r>
      <w:proofErr w:type="spellStart"/>
      <w:r>
        <w:rPr>
          <w:rFonts w:ascii="Book Antiqua" w:hAnsi="Book Antiqua"/>
        </w:rPr>
        <w:t>Saadoun</w:t>
      </w:r>
      <w:proofErr w:type="spellEnd"/>
      <w:r>
        <w:rPr>
          <w:rFonts w:ascii="Book Antiqua" w:hAnsi="Book Antiqua"/>
        </w:rPr>
        <w:t xml:space="preserve"> D, </w:t>
      </w:r>
      <w:proofErr w:type="spellStart"/>
      <w:r>
        <w:rPr>
          <w:rFonts w:ascii="Book Antiqua" w:hAnsi="Book Antiqua"/>
        </w:rPr>
        <w:t>Brocheriou</w:t>
      </w:r>
      <w:proofErr w:type="spellEnd"/>
      <w:r>
        <w:rPr>
          <w:rFonts w:ascii="Book Antiqua" w:hAnsi="Book Antiqua"/>
        </w:rPr>
        <w:t xml:space="preserve"> I, </w:t>
      </w:r>
      <w:proofErr w:type="spellStart"/>
      <w:r>
        <w:rPr>
          <w:rFonts w:ascii="Book Antiqua" w:hAnsi="Book Antiqua"/>
        </w:rPr>
        <w:t>Mougenot</w:t>
      </w:r>
      <w:proofErr w:type="spellEnd"/>
      <w:r>
        <w:rPr>
          <w:rFonts w:ascii="Book Antiqua" w:hAnsi="Book Antiqua"/>
        </w:rPr>
        <w:t xml:space="preserve"> B, </w:t>
      </w:r>
      <w:proofErr w:type="spellStart"/>
      <w:r>
        <w:rPr>
          <w:rFonts w:ascii="Book Antiqua" w:hAnsi="Book Antiqua"/>
        </w:rPr>
        <w:t>Roudot-Thoraval</w:t>
      </w:r>
      <w:proofErr w:type="spellEnd"/>
      <w:r>
        <w:rPr>
          <w:rFonts w:ascii="Book Antiqua" w:hAnsi="Book Antiqua"/>
        </w:rPr>
        <w:t xml:space="preserve"> F, </w:t>
      </w:r>
      <w:proofErr w:type="spellStart"/>
      <w:r>
        <w:rPr>
          <w:rFonts w:ascii="Book Antiqua" w:hAnsi="Book Antiqua"/>
        </w:rPr>
        <w:t>Vanhille</w:t>
      </w:r>
      <w:proofErr w:type="spellEnd"/>
      <w:r>
        <w:rPr>
          <w:rFonts w:ascii="Book Antiqua" w:hAnsi="Book Antiqua"/>
        </w:rPr>
        <w:t xml:space="preserve"> P, </w:t>
      </w:r>
      <w:proofErr w:type="spellStart"/>
      <w:r>
        <w:rPr>
          <w:rFonts w:ascii="Book Antiqua" w:hAnsi="Book Antiqua"/>
        </w:rPr>
        <w:t>Moranne</w:t>
      </w:r>
      <w:proofErr w:type="spellEnd"/>
      <w:r>
        <w:rPr>
          <w:rFonts w:ascii="Book Antiqua" w:hAnsi="Book Antiqua"/>
        </w:rPr>
        <w:t xml:space="preserve"> O, </w:t>
      </w:r>
      <w:proofErr w:type="spellStart"/>
      <w:r>
        <w:rPr>
          <w:rFonts w:ascii="Book Antiqua" w:hAnsi="Book Antiqua"/>
        </w:rPr>
        <w:t>Hachulla</w:t>
      </w:r>
      <w:proofErr w:type="spellEnd"/>
      <w:r>
        <w:rPr>
          <w:rFonts w:ascii="Book Antiqua" w:hAnsi="Book Antiqua"/>
        </w:rPr>
        <w:t xml:space="preserve"> E, </w:t>
      </w:r>
      <w:proofErr w:type="spellStart"/>
      <w:r>
        <w:rPr>
          <w:rFonts w:ascii="Book Antiqua" w:hAnsi="Book Antiqua"/>
        </w:rPr>
        <w:t>Hatron</w:t>
      </w:r>
      <w:proofErr w:type="spellEnd"/>
      <w:r>
        <w:rPr>
          <w:rFonts w:ascii="Book Antiqua" w:hAnsi="Book Antiqua"/>
        </w:rPr>
        <w:t xml:space="preserve"> PY, </w:t>
      </w:r>
      <w:proofErr w:type="spellStart"/>
      <w:r>
        <w:rPr>
          <w:rFonts w:ascii="Book Antiqua" w:hAnsi="Book Antiqua"/>
        </w:rPr>
        <w:t>Fermand</w:t>
      </w:r>
      <w:proofErr w:type="spellEnd"/>
      <w:r>
        <w:rPr>
          <w:rFonts w:ascii="Book Antiqua" w:hAnsi="Book Antiqua"/>
        </w:rPr>
        <w:t xml:space="preserve"> JP, </w:t>
      </w:r>
      <w:proofErr w:type="spellStart"/>
      <w:r>
        <w:rPr>
          <w:rFonts w:ascii="Book Antiqua" w:hAnsi="Book Antiqua"/>
        </w:rPr>
        <w:t>Fakhouri</w:t>
      </w:r>
      <w:proofErr w:type="spellEnd"/>
      <w:r>
        <w:rPr>
          <w:rFonts w:ascii="Book Antiqua" w:hAnsi="Book Antiqua"/>
        </w:rPr>
        <w:t xml:space="preserve"> F, </w:t>
      </w:r>
      <w:proofErr w:type="spellStart"/>
      <w:r>
        <w:rPr>
          <w:rFonts w:ascii="Book Antiqua" w:hAnsi="Book Antiqua"/>
        </w:rPr>
        <w:t>Ronco</w:t>
      </w:r>
      <w:proofErr w:type="spellEnd"/>
      <w:r>
        <w:rPr>
          <w:rFonts w:ascii="Book Antiqua" w:hAnsi="Book Antiqua"/>
        </w:rPr>
        <w:t xml:space="preserve"> P, </w:t>
      </w:r>
      <w:proofErr w:type="spellStart"/>
      <w:r>
        <w:rPr>
          <w:rFonts w:ascii="Book Antiqua" w:hAnsi="Book Antiqua"/>
        </w:rPr>
        <w:t>Plaisier</w:t>
      </w:r>
      <w:proofErr w:type="spellEnd"/>
      <w:r>
        <w:rPr>
          <w:rFonts w:ascii="Book Antiqua" w:hAnsi="Book Antiqua"/>
        </w:rPr>
        <w:t xml:space="preserve"> E, </w:t>
      </w:r>
      <w:proofErr w:type="spellStart"/>
      <w:r>
        <w:rPr>
          <w:rFonts w:ascii="Book Antiqua" w:hAnsi="Book Antiqua"/>
        </w:rPr>
        <w:t>Grimbert</w:t>
      </w:r>
      <w:proofErr w:type="spellEnd"/>
      <w:r>
        <w:rPr>
          <w:rFonts w:ascii="Book Antiqua" w:hAnsi="Book Antiqua"/>
        </w:rPr>
        <w:t xml:space="preserve"> P. Clinical and morphologic spectrum of renal involvement in patients with mixed cryoglobulinemia without evidence of hepatitis C virus infection. </w:t>
      </w:r>
      <w:r>
        <w:rPr>
          <w:rFonts w:ascii="Book Antiqua" w:hAnsi="Book Antiqua"/>
          <w:i/>
          <w:iCs/>
        </w:rPr>
        <w:t>Medicine (Baltimore)</w:t>
      </w:r>
      <w:r>
        <w:rPr>
          <w:rFonts w:ascii="Book Antiqua" w:hAnsi="Book Antiqua"/>
        </w:rPr>
        <w:t xml:space="preserve"> 2009; </w:t>
      </w:r>
      <w:r>
        <w:rPr>
          <w:rFonts w:ascii="Book Antiqua" w:hAnsi="Book Antiqua"/>
          <w:b/>
          <w:bCs/>
        </w:rPr>
        <w:t>88</w:t>
      </w:r>
      <w:r>
        <w:rPr>
          <w:rFonts w:ascii="Book Antiqua" w:hAnsi="Book Antiqua"/>
        </w:rPr>
        <w:t>: 341-348 [PMID: 19910748 DOI: 10.1097/MD.0b013e3181c1750f]</w:t>
      </w:r>
    </w:p>
    <w:p w14:paraId="4082E9D7" w14:textId="77777777" w:rsidR="00610BCE" w:rsidRDefault="00855F2E">
      <w:pPr>
        <w:spacing w:line="360" w:lineRule="auto"/>
        <w:jc w:val="both"/>
        <w:rPr>
          <w:rFonts w:ascii="Book Antiqua" w:hAnsi="Book Antiqua"/>
        </w:rPr>
      </w:pPr>
      <w:r>
        <w:rPr>
          <w:rFonts w:ascii="Book Antiqua" w:hAnsi="Book Antiqua"/>
        </w:rPr>
        <w:t xml:space="preserve">17 </w:t>
      </w:r>
      <w:r>
        <w:rPr>
          <w:rFonts w:ascii="Book Antiqua" w:hAnsi="Book Antiqua"/>
          <w:b/>
          <w:bCs/>
        </w:rPr>
        <w:t>Terrier B</w:t>
      </w:r>
      <w:r>
        <w:rPr>
          <w:rFonts w:ascii="Book Antiqua" w:hAnsi="Book Antiqua"/>
        </w:rPr>
        <w:t xml:space="preserve">, </w:t>
      </w:r>
      <w:proofErr w:type="spellStart"/>
      <w:r>
        <w:rPr>
          <w:rFonts w:ascii="Book Antiqua" w:hAnsi="Book Antiqua"/>
        </w:rPr>
        <w:t>Krastinova</w:t>
      </w:r>
      <w:proofErr w:type="spellEnd"/>
      <w:r>
        <w:rPr>
          <w:rFonts w:ascii="Book Antiqua" w:hAnsi="Book Antiqua"/>
        </w:rPr>
        <w:t xml:space="preserve"> E, Marie I, Launay D, </w:t>
      </w:r>
      <w:proofErr w:type="spellStart"/>
      <w:r>
        <w:rPr>
          <w:rFonts w:ascii="Book Antiqua" w:hAnsi="Book Antiqua"/>
        </w:rPr>
        <w:t>Lacraz</w:t>
      </w:r>
      <w:proofErr w:type="spellEnd"/>
      <w:r>
        <w:rPr>
          <w:rFonts w:ascii="Book Antiqua" w:hAnsi="Book Antiqua"/>
        </w:rPr>
        <w:t xml:space="preserve"> A, </w:t>
      </w:r>
      <w:proofErr w:type="spellStart"/>
      <w:r>
        <w:rPr>
          <w:rFonts w:ascii="Book Antiqua" w:hAnsi="Book Antiqua"/>
        </w:rPr>
        <w:t>Belenotti</w:t>
      </w:r>
      <w:proofErr w:type="spellEnd"/>
      <w:r>
        <w:rPr>
          <w:rFonts w:ascii="Book Antiqua" w:hAnsi="Book Antiqua"/>
        </w:rPr>
        <w:t xml:space="preserve"> P, de Saint-Martin L, </w:t>
      </w:r>
      <w:proofErr w:type="spellStart"/>
      <w:r>
        <w:rPr>
          <w:rFonts w:ascii="Book Antiqua" w:hAnsi="Book Antiqua"/>
        </w:rPr>
        <w:t>Quemeneur</w:t>
      </w:r>
      <w:proofErr w:type="spellEnd"/>
      <w:r>
        <w:rPr>
          <w:rFonts w:ascii="Book Antiqua" w:hAnsi="Book Antiqua"/>
        </w:rPr>
        <w:t xml:space="preserve"> T, </w:t>
      </w:r>
      <w:proofErr w:type="spellStart"/>
      <w:r>
        <w:rPr>
          <w:rFonts w:ascii="Book Antiqua" w:hAnsi="Book Antiqua"/>
        </w:rPr>
        <w:t>Huart</w:t>
      </w:r>
      <w:proofErr w:type="spellEnd"/>
      <w:r>
        <w:rPr>
          <w:rFonts w:ascii="Book Antiqua" w:hAnsi="Book Antiqua"/>
        </w:rPr>
        <w:t xml:space="preserve"> A, Bonnet F, Le </w:t>
      </w:r>
      <w:proofErr w:type="spellStart"/>
      <w:r>
        <w:rPr>
          <w:rFonts w:ascii="Book Antiqua" w:hAnsi="Book Antiqua"/>
        </w:rPr>
        <w:t>Guenno</w:t>
      </w:r>
      <w:proofErr w:type="spellEnd"/>
      <w:r>
        <w:rPr>
          <w:rFonts w:ascii="Book Antiqua" w:hAnsi="Book Antiqua"/>
        </w:rPr>
        <w:t xml:space="preserve"> G, Kahn JE, </w:t>
      </w:r>
      <w:proofErr w:type="spellStart"/>
      <w:r>
        <w:rPr>
          <w:rFonts w:ascii="Book Antiqua" w:hAnsi="Book Antiqua"/>
        </w:rPr>
        <w:t>Hinschberger</w:t>
      </w:r>
      <w:proofErr w:type="spellEnd"/>
      <w:r>
        <w:rPr>
          <w:rFonts w:ascii="Book Antiqua" w:hAnsi="Book Antiqua"/>
        </w:rPr>
        <w:t xml:space="preserve"> O, </w:t>
      </w:r>
      <w:proofErr w:type="spellStart"/>
      <w:r>
        <w:rPr>
          <w:rFonts w:ascii="Book Antiqua" w:hAnsi="Book Antiqua"/>
        </w:rPr>
        <w:t>Rullier</w:t>
      </w:r>
      <w:proofErr w:type="spellEnd"/>
      <w:r>
        <w:rPr>
          <w:rFonts w:ascii="Book Antiqua" w:hAnsi="Book Antiqua"/>
        </w:rPr>
        <w:t xml:space="preserve"> P, </w:t>
      </w:r>
      <w:proofErr w:type="spellStart"/>
      <w:r>
        <w:rPr>
          <w:rFonts w:ascii="Book Antiqua" w:hAnsi="Book Antiqua"/>
        </w:rPr>
        <w:t>Diot</w:t>
      </w:r>
      <w:proofErr w:type="spellEnd"/>
      <w:r>
        <w:rPr>
          <w:rFonts w:ascii="Book Antiqua" w:hAnsi="Book Antiqua"/>
        </w:rPr>
        <w:t xml:space="preserve"> E, Lazaro E, </w:t>
      </w:r>
      <w:proofErr w:type="spellStart"/>
      <w:r>
        <w:rPr>
          <w:rFonts w:ascii="Book Antiqua" w:hAnsi="Book Antiqua"/>
        </w:rPr>
        <w:t>Bridoux</w:t>
      </w:r>
      <w:proofErr w:type="spellEnd"/>
      <w:r>
        <w:rPr>
          <w:rFonts w:ascii="Book Antiqua" w:hAnsi="Book Antiqua"/>
        </w:rPr>
        <w:t xml:space="preserve"> F, </w:t>
      </w:r>
      <w:proofErr w:type="spellStart"/>
      <w:r>
        <w:rPr>
          <w:rFonts w:ascii="Book Antiqua" w:hAnsi="Book Antiqua"/>
        </w:rPr>
        <w:t>Zénone</w:t>
      </w:r>
      <w:proofErr w:type="spellEnd"/>
      <w:r>
        <w:rPr>
          <w:rFonts w:ascii="Book Antiqua" w:hAnsi="Book Antiqua"/>
        </w:rPr>
        <w:t xml:space="preserve"> T, </w:t>
      </w:r>
      <w:proofErr w:type="spellStart"/>
      <w:r>
        <w:rPr>
          <w:rFonts w:ascii="Book Antiqua" w:hAnsi="Book Antiqua"/>
        </w:rPr>
        <w:t>Carrat</w:t>
      </w:r>
      <w:proofErr w:type="spellEnd"/>
      <w:r>
        <w:rPr>
          <w:rFonts w:ascii="Book Antiqua" w:hAnsi="Book Antiqua"/>
        </w:rPr>
        <w:t xml:space="preserve"> F, Hermine O, Léger JM, Mariette X, Senet P, </w:t>
      </w:r>
      <w:proofErr w:type="spellStart"/>
      <w:r>
        <w:rPr>
          <w:rFonts w:ascii="Book Antiqua" w:hAnsi="Book Antiqua"/>
        </w:rPr>
        <w:t>Plaisier</w:t>
      </w:r>
      <w:proofErr w:type="spellEnd"/>
      <w:r>
        <w:rPr>
          <w:rFonts w:ascii="Book Antiqua" w:hAnsi="Book Antiqua"/>
        </w:rPr>
        <w:t xml:space="preserve"> E, </w:t>
      </w:r>
      <w:proofErr w:type="spellStart"/>
      <w:r>
        <w:rPr>
          <w:rFonts w:ascii="Book Antiqua" w:hAnsi="Book Antiqua"/>
        </w:rPr>
        <w:t>Cacoub</w:t>
      </w:r>
      <w:proofErr w:type="spellEnd"/>
      <w:r>
        <w:rPr>
          <w:rFonts w:ascii="Book Antiqua" w:hAnsi="Book Antiqua"/>
        </w:rPr>
        <w:t xml:space="preserve"> P. Management of noninfectious mixed cryoglobulinemia vasculitis: data from 242 cases included in the </w:t>
      </w:r>
      <w:proofErr w:type="spellStart"/>
      <w:r>
        <w:rPr>
          <w:rFonts w:ascii="Book Antiqua" w:hAnsi="Book Antiqua"/>
        </w:rPr>
        <w:t>CryoVas</w:t>
      </w:r>
      <w:proofErr w:type="spellEnd"/>
      <w:r>
        <w:rPr>
          <w:rFonts w:ascii="Book Antiqua" w:hAnsi="Book Antiqua"/>
        </w:rPr>
        <w:t xml:space="preserve"> survey. </w:t>
      </w:r>
      <w:r>
        <w:rPr>
          <w:rFonts w:ascii="Book Antiqua" w:hAnsi="Book Antiqua"/>
          <w:i/>
          <w:iCs/>
        </w:rPr>
        <w:t>Blood</w:t>
      </w:r>
      <w:r>
        <w:rPr>
          <w:rFonts w:ascii="Book Antiqua" w:hAnsi="Book Antiqua"/>
        </w:rPr>
        <w:t xml:space="preserve"> 2012; </w:t>
      </w:r>
      <w:r>
        <w:rPr>
          <w:rFonts w:ascii="Book Antiqua" w:hAnsi="Book Antiqua"/>
          <w:b/>
          <w:bCs/>
        </w:rPr>
        <w:t>119</w:t>
      </w:r>
      <w:r>
        <w:rPr>
          <w:rFonts w:ascii="Book Antiqua" w:hAnsi="Book Antiqua"/>
        </w:rPr>
        <w:t>: 5996-6004 [PMID: 22474249 DOI: 10.1182/blood-2011-12-396028]</w:t>
      </w:r>
    </w:p>
    <w:p w14:paraId="7951C541" w14:textId="77777777" w:rsidR="00610BCE" w:rsidRDefault="00855F2E">
      <w:pPr>
        <w:spacing w:line="360" w:lineRule="auto"/>
        <w:jc w:val="both"/>
        <w:rPr>
          <w:rFonts w:ascii="Book Antiqua" w:hAnsi="Book Antiqua"/>
        </w:rPr>
      </w:pPr>
      <w:r>
        <w:rPr>
          <w:rFonts w:ascii="Book Antiqua" w:hAnsi="Book Antiqua"/>
        </w:rPr>
        <w:t xml:space="preserve">18 </w:t>
      </w:r>
      <w:r>
        <w:rPr>
          <w:rFonts w:ascii="Book Antiqua" w:hAnsi="Book Antiqua"/>
          <w:b/>
          <w:bCs/>
        </w:rPr>
        <w:t>Khan S</w:t>
      </w:r>
      <w:r>
        <w:rPr>
          <w:rFonts w:ascii="Book Antiqua" w:hAnsi="Book Antiqua"/>
        </w:rPr>
        <w:t xml:space="preserve">, Longhurst H. Epigenetic alterations on C1-inhibitor expression may influence hereditary angioedema attack frequency and C4 levels: Comment on: </w:t>
      </w:r>
      <w:proofErr w:type="spellStart"/>
      <w:r>
        <w:rPr>
          <w:rFonts w:ascii="Book Antiqua" w:hAnsi="Book Antiqua"/>
        </w:rPr>
        <w:t>Karagianni</w:t>
      </w:r>
      <w:proofErr w:type="spellEnd"/>
      <w:r>
        <w:rPr>
          <w:rFonts w:ascii="Book Antiqua" w:hAnsi="Book Antiqua"/>
        </w:rPr>
        <w:t xml:space="preserve"> P, </w:t>
      </w:r>
      <w:proofErr w:type="spellStart"/>
      <w:r>
        <w:rPr>
          <w:rFonts w:ascii="Book Antiqua" w:hAnsi="Book Antiqua"/>
        </w:rPr>
        <w:t>Goules</w:t>
      </w:r>
      <w:proofErr w:type="spellEnd"/>
      <w:r>
        <w:rPr>
          <w:rFonts w:ascii="Book Antiqua" w:hAnsi="Book Antiqua"/>
        </w:rPr>
        <w:t xml:space="preserve"> AV, </w:t>
      </w:r>
      <w:proofErr w:type="spellStart"/>
      <w:r>
        <w:rPr>
          <w:rFonts w:ascii="Book Antiqua" w:hAnsi="Book Antiqua"/>
        </w:rPr>
        <w:t>Tzioufas</w:t>
      </w:r>
      <w:proofErr w:type="spellEnd"/>
      <w:r>
        <w:rPr>
          <w:rFonts w:ascii="Book Antiqua" w:hAnsi="Book Antiqua"/>
        </w:rPr>
        <w:t xml:space="preserve"> AG. Epigenetic alterations in Sjogren's syndrome patient saliva. </w:t>
      </w:r>
      <w:r>
        <w:rPr>
          <w:rFonts w:ascii="Book Antiqua" w:hAnsi="Book Antiqua"/>
          <w:i/>
          <w:iCs/>
        </w:rPr>
        <w:t>Clin Exp Immunol</w:t>
      </w:r>
      <w:r>
        <w:rPr>
          <w:rFonts w:ascii="Book Antiqua" w:hAnsi="Book Antiqua"/>
        </w:rPr>
        <w:t xml:space="preserve"> 2020; </w:t>
      </w:r>
      <w:r>
        <w:rPr>
          <w:rFonts w:ascii="Book Antiqua" w:hAnsi="Book Antiqua"/>
          <w:b/>
          <w:bCs/>
        </w:rPr>
        <w:t>202</w:t>
      </w:r>
      <w:r>
        <w:rPr>
          <w:rFonts w:ascii="Book Antiqua" w:hAnsi="Book Antiqua"/>
        </w:rPr>
        <w:t>: 144-145 [PMID: 32940350 DOI: 10.1111/cei.13516]</w:t>
      </w:r>
    </w:p>
    <w:p w14:paraId="51093AE2" w14:textId="77777777" w:rsidR="00610BCE" w:rsidRDefault="00855F2E">
      <w:pPr>
        <w:spacing w:line="360" w:lineRule="auto"/>
        <w:jc w:val="both"/>
        <w:rPr>
          <w:rFonts w:ascii="Book Antiqua" w:hAnsi="Book Antiqua"/>
        </w:rPr>
      </w:pPr>
      <w:r>
        <w:rPr>
          <w:rFonts w:ascii="Book Antiqua" w:hAnsi="Book Antiqua"/>
        </w:rPr>
        <w:t xml:space="preserve">19 </w:t>
      </w:r>
      <w:r>
        <w:rPr>
          <w:rFonts w:ascii="Book Antiqua" w:hAnsi="Book Antiqua"/>
          <w:b/>
          <w:bCs/>
        </w:rPr>
        <w:t>Zou Y</w:t>
      </w:r>
      <w:r>
        <w:rPr>
          <w:rFonts w:ascii="Book Antiqua" w:hAnsi="Book Antiqua"/>
        </w:rPr>
        <w:t xml:space="preserve">, Ling G, Tian J, Chen J, Ge Y. [Research progress in renal injury relevant to primary </w:t>
      </w:r>
      <w:proofErr w:type="spellStart"/>
      <w:r>
        <w:rPr>
          <w:rFonts w:ascii="Book Antiqua" w:hAnsi="Book Antiqua"/>
        </w:rPr>
        <w:t>Sjögren's</w:t>
      </w:r>
      <w:proofErr w:type="spellEnd"/>
      <w:r>
        <w:rPr>
          <w:rFonts w:ascii="Book Antiqua" w:hAnsi="Book Antiqua"/>
        </w:rPr>
        <w:t xml:space="preserve"> syndrome]. </w:t>
      </w:r>
      <w:r>
        <w:rPr>
          <w:rFonts w:ascii="Book Antiqua" w:hAnsi="Book Antiqua"/>
          <w:i/>
          <w:iCs/>
        </w:rPr>
        <w:t xml:space="preserve">Zhong Nan Da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Bao Yi </w:t>
      </w:r>
      <w:proofErr w:type="spellStart"/>
      <w:r>
        <w:rPr>
          <w:rFonts w:ascii="Book Antiqua" w:hAnsi="Book Antiqua"/>
          <w:i/>
          <w:iCs/>
        </w:rPr>
        <w:t>Xue</w:t>
      </w:r>
      <w:proofErr w:type="spellEnd"/>
      <w:r>
        <w:rPr>
          <w:rFonts w:ascii="Book Antiqua" w:hAnsi="Book Antiqua"/>
          <w:i/>
          <w:iCs/>
        </w:rPr>
        <w:t xml:space="preserve"> Ban</w:t>
      </w:r>
      <w:r>
        <w:rPr>
          <w:rFonts w:ascii="Book Antiqua" w:hAnsi="Book Antiqua"/>
        </w:rPr>
        <w:t xml:space="preserve"> 2018; </w:t>
      </w:r>
      <w:r>
        <w:rPr>
          <w:rFonts w:ascii="Book Antiqua" w:hAnsi="Book Antiqua"/>
          <w:b/>
          <w:bCs/>
        </w:rPr>
        <w:t>43</w:t>
      </w:r>
      <w:r>
        <w:rPr>
          <w:rFonts w:ascii="Book Antiqua" w:hAnsi="Book Antiqua"/>
        </w:rPr>
        <w:t>: 320-326 [PMID: 29701196 DOI: 10.11817/j.issn.1672-7347.2018.03.014]</w:t>
      </w:r>
    </w:p>
    <w:p w14:paraId="6A24DC12" w14:textId="77777777" w:rsidR="00610BCE" w:rsidRDefault="00610BCE">
      <w:pPr>
        <w:spacing w:line="360" w:lineRule="auto"/>
        <w:jc w:val="both"/>
        <w:rPr>
          <w:rFonts w:ascii="Book Antiqua" w:eastAsia="Book Antiqua" w:hAnsi="Book Antiqua" w:cs="Book Antiqua"/>
          <w:color w:val="000000"/>
          <w:lang w:eastAsia="zh-CN"/>
        </w:rPr>
        <w:sectPr w:rsidR="00610BCE">
          <w:pgSz w:w="12240" w:h="15840"/>
          <w:pgMar w:top="1440" w:right="1440" w:bottom="1440" w:left="1440" w:header="720" w:footer="720" w:gutter="0"/>
          <w:cols w:space="720"/>
          <w:docGrid w:linePitch="360"/>
        </w:sectPr>
      </w:pPr>
    </w:p>
    <w:p w14:paraId="231B94EE"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42D21A2"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case report in accordance with institutional guidelines.</w:t>
      </w:r>
    </w:p>
    <w:p w14:paraId="02704661" w14:textId="77777777" w:rsidR="00610BCE" w:rsidRDefault="00610BCE">
      <w:pPr>
        <w:spacing w:line="360" w:lineRule="auto"/>
        <w:jc w:val="both"/>
        <w:rPr>
          <w:rFonts w:ascii="Book Antiqua" w:hAnsi="Book Antiqua"/>
        </w:rPr>
      </w:pPr>
    </w:p>
    <w:p w14:paraId="2848BAE6"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to disclose. </w:t>
      </w:r>
    </w:p>
    <w:p w14:paraId="0936E439" w14:textId="77777777" w:rsidR="00610BCE" w:rsidRDefault="00610BCE">
      <w:pPr>
        <w:spacing w:line="360" w:lineRule="auto"/>
        <w:jc w:val="both"/>
        <w:rPr>
          <w:rFonts w:ascii="Book Antiqua" w:hAnsi="Book Antiqua"/>
        </w:rPr>
      </w:pPr>
    </w:p>
    <w:p w14:paraId="19DE20F2"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9A2AD44" w14:textId="77777777" w:rsidR="00610BCE" w:rsidRDefault="00610BCE">
      <w:pPr>
        <w:spacing w:line="360" w:lineRule="auto"/>
        <w:jc w:val="both"/>
        <w:rPr>
          <w:rFonts w:ascii="Book Antiqua" w:hAnsi="Book Antiqua"/>
        </w:rPr>
      </w:pPr>
    </w:p>
    <w:p w14:paraId="70DE033C" w14:textId="77777777" w:rsidR="00610BCE" w:rsidRDefault="00855F2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2F069E" w14:textId="77777777" w:rsidR="00610BCE" w:rsidRDefault="00610BCE">
      <w:pPr>
        <w:spacing w:line="360" w:lineRule="auto"/>
        <w:jc w:val="both"/>
        <w:rPr>
          <w:rFonts w:ascii="Book Antiqua" w:hAnsi="Book Antiqua"/>
        </w:rPr>
      </w:pPr>
    </w:p>
    <w:p w14:paraId="771D8B93"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3807EBD"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38AE7B6" w14:textId="77777777" w:rsidR="00610BCE" w:rsidRDefault="00610BCE">
      <w:pPr>
        <w:spacing w:line="360" w:lineRule="auto"/>
        <w:jc w:val="both"/>
        <w:rPr>
          <w:rFonts w:ascii="Book Antiqua" w:hAnsi="Book Antiqua"/>
        </w:rPr>
      </w:pPr>
    </w:p>
    <w:p w14:paraId="72E7FCCB"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25, 2021</w:t>
      </w:r>
    </w:p>
    <w:p w14:paraId="48D9E31E"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2021</w:t>
      </w:r>
    </w:p>
    <w:p w14:paraId="69EADAF9"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1DF83EE" w14:textId="77777777" w:rsidR="00610BCE" w:rsidRDefault="00610BCE">
      <w:pPr>
        <w:spacing w:line="360" w:lineRule="auto"/>
        <w:jc w:val="both"/>
        <w:rPr>
          <w:rFonts w:ascii="Book Antiqua" w:hAnsi="Book Antiqua"/>
        </w:rPr>
      </w:pPr>
    </w:p>
    <w:p w14:paraId="26D53CDF"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Rheumatology</w:t>
      </w:r>
    </w:p>
    <w:p w14:paraId="5D8CF0C8"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2FE0439" w14:textId="77777777" w:rsidR="00610BCE" w:rsidRDefault="00855F2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5F4B0D5"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Grade A (Excellent): 0</w:t>
      </w:r>
    </w:p>
    <w:p w14:paraId="7730C913"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259ECBC0"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Grade C (Good): C, C</w:t>
      </w:r>
    </w:p>
    <w:p w14:paraId="57FB4350"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Grade D (Fair): 0</w:t>
      </w:r>
    </w:p>
    <w:p w14:paraId="5D52479A" w14:textId="77777777" w:rsidR="00610BCE" w:rsidRDefault="00855F2E">
      <w:pPr>
        <w:spacing w:line="360" w:lineRule="auto"/>
        <w:jc w:val="both"/>
        <w:rPr>
          <w:rFonts w:ascii="Book Antiqua" w:hAnsi="Book Antiqua"/>
        </w:rPr>
      </w:pPr>
      <w:r>
        <w:rPr>
          <w:rFonts w:ascii="Book Antiqua" w:eastAsia="Book Antiqua" w:hAnsi="Book Antiqua" w:cs="Book Antiqua"/>
          <w:color w:val="000000"/>
        </w:rPr>
        <w:t>Grade E (Poor): 0</w:t>
      </w:r>
    </w:p>
    <w:p w14:paraId="3891BC3B" w14:textId="77777777" w:rsidR="00610BCE" w:rsidRDefault="00610BCE">
      <w:pPr>
        <w:spacing w:line="360" w:lineRule="auto"/>
        <w:jc w:val="both"/>
        <w:rPr>
          <w:rFonts w:ascii="Book Antiqua" w:hAnsi="Book Antiqua"/>
        </w:rPr>
      </w:pPr>
    </w:p>
    <w:p w14:paraId="49EF02BE" w14:textId="77777777" w:rsidR="00610BCE" w:rsidRDefault="00855F2E">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CC,</w:t>
      </w:r>
      <w:r>
        <w:rPr>
          <w:rFonts w:ascii="Book Antiqua" w:hAnsi="Book Antiqua"/>
        </w:rPr>
        <w:t xml:space="preserve"> </w:t>
      </w:r>
      <w:r>
        <w:rPr>
          <w:rFonts w:ascii="Book Antiqua" w:eastAsia="Book Antiqua" w:hAnsi="Book Antiqua" w:cs="Book Antiqua"/>
          <w:color w:val="000000"/>
        </w:rPr>
        <w:t>Taiwan Tsou HK, Taiwan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Ma YJ</w:t>
      </w:r>
    </w:p>
    <w:p w14:paraId="71490EA8" w14:textId="77777777" w:rsidR="00610BCE" w:rsidRDefault="00855F2E">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Pr>
          <w:rFonts w:ascii="Book Antiqua" w:eastAsia="Book Antiqua" w:hAnsi="Book Antiqua" w:cs="Book Antiqua"/>
          <w:b/>
          <w:color w:val="000000"/>
        </w:rPr>
        <w:lastRenderedPageBreak/>
        <w:t>Figure Legends</w:t>
      </w:r>
    </w:p>
    <w:p w14:paraId="1AC448DB" w14:textId="0B130F29" w:rsidR="00610BCE" w:rsidRDefault="00745934">
      <w:pPr>
        <w:spacing w:line="360" w:lineRule="auto"/>
        <w:jc w:val="both"/>
        <w:rPr>
          <w:rFonts w:ascii="Book Antiqua" w:hAnsi="Book Antiqua"/>
          <w:b/>
        </w:rPr>
      </w:pPr>
      <w:r>
        <w:rPr>
          <w:noProof/>
        </w:rPr>
        <w:drawing>
          <wp:inline distT="0" distB="0" distL="0" distR="0" wp14:anchorId="73151C26" wp14:editId="6C015B28">
            <wp:extent cx="4686300" cy="3403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3403600"/>
                    </a:xfrm>
                    <a:prstGeom prst="rect">
                      <a:avLst/>
                    </a:prstGeom>
                    <a:noFill/>
                    <a:ln>
                      <a:noFill/>
                    </a:ln>
                  </pic:spPr>
                </pic:pic>
              </a:graphicData>
            </a:graphic>
          </wp:inline>
        </w:drawing>
      </w:r>
    </w:p>
    <w:p w14:paraId="772BBCEB" w14:textId="1125344F" w:rsidR="00610BCE" w:rsidRDefault="00855F2E">
      <w:pPr>
        <w:spacing w:line="360" w:lineRule="auto"/>
        <w:jc w:val="both"/>
        <w:rPr>
          <w:rFonts w:ascii="Book Antiqua" w:hAnsi="Book Antiqua"/>
          <w:bCs/>
        </w:rPr>
      </w:pPr>
      <w:r>
        <w:rPr>
          <w:rFonts w:ascii="Book Antiqua" w:hAnsi="Book Antiqua"/>
          <w:b/>
        </w:rPr>
        <w:t xml:space="preserve">Figure 1 </w:t>
      </w:r>
      <w:r>
        <w:rPr>
          <w:rFonts w:ascii="Book Antiqua" w:hAnsi="Book Antiqua" w:hint="eastAsia"/>
          <w:b/>
          <w:lang w:eastAsia="zh-CN"/>
        </w:rPr>
        <w:t>Kidney histological examination</w:t>
      </w:r>
      <w:r w:rsidR="00C82BBB">
        <w:rPr>
          <w:rFonts w:ascii="Book Antiqua" w:hAnsi="Book Antiqua"/>
          <w:b/>
          <w:lang w:eastAsia="zh-CN"/>
        </w:rPr>
        <w:t>.</w:t>
      </w:r>
      <w:r w:rsidRPr="00C82BBB">
        <w:rPr>
          <w:rFonts w:ascii="Book Antiqua" w:hAnsi="Book Antiqua" w:hint="eastAsia"/>
          <w:bCs/>
          <w:lang w:eastAsia="zh-CN"/>
        </w:rPr>
        <w:t xml:space="preserve"> </w:t>
      </w:r>
      <w:r w:rsidR="00C82BBB" w:rsidRPr="00C82BBB">
        <w:rPr>
          <w:rFonts w:ascii="Book Antiqua" w:hAnsi="Book Antiqua"/>
          <w:bCs/>
          <w:lang w:eastAsia="zh-CN"/>
        </w:rPr>
        <w:t xml:space="preserve">A: </w:t>
      </w:r>
      <w:r>
        <w:rPr>
          <w:rFonts w:ascii="Book Antiqua" w:hAnsi="Book Antiqua"/>
          <w:bCs/>
        </w:rPr>
        <w:t xml:space="preserve">Hematoxylin-eosin staining, ×20; </w:t>
      </w:r>
      <w:r w:rsidR="00C82BBB">
        <w:rPr>
          <w:rFonts w:ascii="Book Antiqua" w:hAnsi="Book Antiqua"/>
          <w:bCs/>
        </w:rPr>
        <w:t xml:space="preserve">B: </w:t>
      </w:r>
      <w:r>
        <w:rPr>
          <w:rFonts w:ascii="Book Antiqua" w:hAnsi="Book Antiqua"/>
          <w:bCs/>
        </w:rPr>
        <w:t>Hematoxylin-eosin staining, ×</w:t>
      </w:r>
      <w:r>
        <w:rPr>
          <w:rFonts w:ascii="Book Antiqua" w:hAnsi="Book Antiqua" w:hint="eastAsia"/>
          <w:bCs/>
          <w:lang w:eastAsia="zh-CN"/>
        </w:rPr>
        <w:t>2</w:t>
      </w:r>
      <w:r>
        <w:rPr>
          <w:rFonts w:ascii="Book Antiqua" w:hAnsi="Book Antiqua"/>
          <w:bCs/>
        </w:rPr>
        <w:t xml:space="preserve">0; </w:t>
      </w:r>
      <w:r w:rsidR="00C82BBB">
        <w:rPr>
          <w:rFonts w:ascii="Book Antiqua" w:hAnsi="Book Antiqua"/>
          <w:bCs/>
        </w:rPr>
        <w:t xml:space="preserve">C: </w:t>
      </w:r>
      <w:r>
        <w:rPr>
          <w:rFonts w:ascii="Book Antiqua" w:hAnsi="Book Antiqua"/>
          <w:bCs/>
        </w:rPr>
        <w:t>Periodic acid-Schiff stain, ×20</w:t>
      </w:r>
      <w:r>
        <w:rPr>
          <w:rFonts w:ascii="Book Antiqua" w:hAnsi="Book Antiqua"/>
          <w:bCs/>
          <w:lang w:eastAsia="zh-CN"/>
        </w:rPr>
        <w:t xml:space="preserve">; </w:t>
      </w:r>
      <w:r w:rsidR="00C82BBB">
        <w:rPr>
          <w:rFonts w:ascii="Book Antiqua" w:hAnsi="Book Antiqua"/>
          <w:bCs/>
        </w:rPr>
        <w:t xml:space="preserve">D: </w:t>
      </w:r>
      <w:r>
        <w:rPr>
          <w:rFonts w:ascii="Book Antiqua" w:hAnsi="Book Antiqua"/>
          <w:bCs/>
        </w:rPr>
        <w:t>Periodic acid-Schiff stain, ×40</w:t>
      </w:r>
      <w:r w:rsidR="00F57C20">
        <w:rPr>
          <w:rFonts w:ascii="Book Antiqua" w:hAnsi="Book Antiqua"/>
          <w:bCs/>
          <w:lang w:eastAsia="zh-CN"/>
        </w:rPr>
        <w:t xml:space="preserve">; </w:t>
      </w:r>
      <w:r w:rsidR="00F57C20">
        <w:rPr>
          <w:rFonts w:ascii="Book Antiqua" w:hAnsi="Book Antiqua" w:hint="eastAsia"/>
          <w:bCs/>
          <w:lang w:eastAsia="zh-CN"/>
        </w:rPr>
        <w:t>B and C</w:t>
      </w:r>
      <w:r w:rsidR="00F57C20">
        <w:rPr>
          <w:rFonts w:ascii="Book Antiqua" w:hAnsi="Book Antiqua"/>
          <w:bCs/>
          <w:lang w:eastAsia="zh-CN"/>
        </w:rPr>
        <w:t>:</w:t>
      </w:r>
      <w:r w:rsidR="00C82BBB">
        <w:rPr>
          <w:rFonts w:ascii="Book Antiqua" w:hAnsi="Book Antiqua"/>
          <w:bCs/>
          <w:lang w:eastAsia="zh-CN"/>
        </w:rPr>
        <w:t xml:space="preserve"> </w:t>
      </w:r>
      <w:r>
        <w:rPr>
          <w:rFonts w:ascii="Book Antiqua" w:hAnsi="Book Antiqua"/>
          <w:bCs/>
        </w:rPr>
        <w:t>Light microscopic analysis of a kidney biopsy sample showed no abnormalities in the glomeruli and occasional focal aggregation of interstitial inflammatory cells</w:t>
      </w:r>
      <w:r>
        <w:rPr>
          <w:rFonts w:ascii="Book Antiqua" w:hAnsi="Book Antiqua" w:hint="eastAsia"/>
          <w:bCs/>
          <w:lang w:eastAsia="zh-CN"/>
        </w:rPr>
        <w:t>.</w:t>
      </w:r>
      <w:r>
        <w:rPr>
          <w:rFonts w:ascii="Book Antiqua" w:hAnsi="Book Antiqua"/>
          <w:bCs/>
        </w:rPr>
        <w:t xml:space="preserve"> </w:t>
      </w:r>
    </w:p>
    <w:p w14:paraId="63FB6886" w14:textId="77777777" w:rsidR="00610BCE" w:rsidRDefault="00610BCE">
      <w:pPr>
        <w:spacing w:line="360" w:lineRule="auto"/>
        <w:jc w:val="both"/>
        <w:rPr>
          <w:rFonts w:ascii="Book Antiqua" w:hAnsi="Book Antiqua"/>
          <w:bCs/>
        </w:rPr>
      </w:pPr>
    </w:p>
    <w:p w14:paraId="3EE5BEE9" w14:textId="4689349D" w:rsidR="00610BCE" w:rsidRDefault="00745934">
      <w:pPr>
        <w:spacing w:line="360" w:lineRule="auto"/>
        <w:jc w:val="both"/>
        <w:rPr>
          <w:rFonts w:ascii="Book Antiqua" w:hAnsi="Book Antiqua"/>
          <w:b/>
        </w:rPr>
      </w:pPr>
      <w:r>
        <w:rPr>
          <w:noProof/>
        </w:rPr>
        <w:lastRenderedPageBreak/>
        <w:drawing>
          <wp:inline distT="0" distB="0" distL="0" distR="0" wp14:anchorId="53586DA9" wp14:editId="0EEAC3FE">
            <wp:extent cx="4965700" cy="2840158"/>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7107" cy="2852402"/>
                    </a:xfrm>
                    <a:prstGeom prst="rect">
                      <a:avLst/>
                    </a:prstGeom>
                    <a:noFill/>
                    <a:ln>
                      <a:noFill/>
                    </a:ln>
                  </pic:spPr>
                </pic:pic>
              </a:graphicData>
            </a:graphic>
          </wp:inline>
        </w:drawing>
      </w:r>
    </w:p>
    <w:p w14:paraId="0ED9CF82" w14:textId="55687847" w:rsidR="00610BCE" w:rsidRDefault="00855F2E">
      <w:pPr>
        <w:spacing w:line="360" w:lineRule="auto"/>
        <w:jc w:val="both"/>
        <w:rPr>
          <w:rFonts w:ascii="Book Antiqua" w:hAnsi="Book Antiqua"/>
          <w:bCs/>
        </w:rPr>
      </w:pPr>
      <w:r>
        <w:rPr>
          <w:rFonts w:ascii="Book Antiqua" w:hAnsi="Book Antiqua"/>
          <w:b/>
        </w:rPr>
        <w:t xml:space="preserve">Figure 2 Electron microscopic analysis of a kidney biopsy sample revealed diffuse foot process effacement, a basement membrane thickness of 200-420 nm, and no electron-dense deposits. </w:t>
      </w:r>
      <w:r>
        <w:rPr>
          <w:rFonts w:ascii="Book Antiqua" w:hAnsi="Book Antiqua"/>
          <w:bCs/>
        </w:rPr>
        <w:t>Transmission electron microscopy, ×4000.</w:t>
      </w:r>
    </w:p>
    <w:p w14:paraId="23DB1C14" w14:textId="77777777" w:rsidR="00745934" w:rsidRDefault="00745934">
      <w:pPr>
        <w:spacing w:line="360" w:lineRule="auto"/>
        <w:jc w:val="both"/>
        <w:rPr>
          <w:rFonts w:ascii="Book Antiqua" w:hAnsi="Book Antiqua"/>
          <w:bCs/>
        </w:rPr>
      </w:pPr>
    </w:p>
    <w:p w14:paraId="54FA600E" w14:textId="410B6868" w:rsidR="00610BCE" w:rsidRDefault="00745934">
      <w:pPr>
        <w:spacing w:line="360" w:lineRule="auto"/>
        <w:jc w:val="both"/>
        <w:rPr>
          <w:rFonts w:ascii="Book Antiqua" w:hAnsi="Book Antiqua"/>
          <w:b/>
        </w:rPr>
      </w:pPr>
      <w:r>
        <w:rPr>
          <w:noProof/>
        </w:rPr>
        <w:drawing>
          <wp:inline distT="0" distB="0" distL="0" distR="0" wp14:anchorId="47DFE4D4" wp14:editId="4AD7D739">
            <wp:extent cx="5505450" cy="21575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1575" cy="2159941"/>
                    </a:xfrm>
                    <a:prstGeom prst="rect">
                      <a:avLst/>
                    </a:prstGeom>
                    <a:noFill/>
                    <a:ln>
                      <a:noFill/>
                    </a:ln>
                  </pic:spPr>
                </pic:pic>
              </a:graphicData>
            </a:graphic>
          </wp:inline>
        </w:drawing>
      </w:r>
    </w:p>
    <w:p w14:paraId="2443CAE9" w14:textId="032772E8" w:rsidR="00610BCE" w:rsidRDefault="00855F2E">
      <w:pPr>
        <w:spacing w:line="360" w:lineRule="auto"/>
        <w:jc w:val="both"/>
        <w:rPr>
          <w:rFonts w:ascii="Book Antiqua" w:hAnsi="Book Antiqua"/>
          <w:b/>
        </w:rPr>
      </w:pPr>
      <w:r>
        <w:rPr>
          <w:rFonts w:ascii="Book Antiqua" w:hAnsi="Book Antiqua"/>
          <w:b/>
        </w:rPr>
        <w:t>Figure 3 Lower lip biopsy sample</w:t>
      </w:r>
      <w:r w:rsidR="00FA045A">
        <w:rPr>
          <w:rFonts w:ascii="Book Antiqua" w:hAnsi="Book Antiqua" w:hint="eastAsia"/>
          <w:b/>
          <w:lang w:eastAsia="zh-CN"/>
        </w:rPr>
        <w:t>.</w:t>
      </w:r>
      <w:r w:rsidR="00FA045A">
        <w:rPr>
          <w:rFonts w:ascii="Book Antiqua" w:hAnsi="Book Antiqua"/>
          <w:b/>
          <w:lang w:eastAsia="zh-CN"/>
        </w:rPr>
        <w:t xml:space="preserve"> </w:t>
      </w:r>
      <w:r>
        <w:rPr>
          <w:rFonts w:ascii="Book Antiqua" w:hAnsi="Book Antiqua"/>
          <w:bCs/>
        </w:rPr>
        <w:t>Focal lymphocytic infiltration score &gt;</w:t>
      </w:r>
      <w:r w:rsidR="00FA045A">
        <w:rPr>
          <w:rFonts w:ascii="Book Antiqua" w:hAnsi="Book Antiqua"/>
          <w:bCs/>
        </w:rPr>
        <w:t xml:space="preserve"> </w:t>
      </w:r>
      <w:r>
        <w:rPr>
          <w:rFonts w:ascii="Book Antiqua" w:hAnsi="Book Antiqua"/>
          <w:bCs/>
        </w:rPr>
        <w:t>1 (</w:t>
      </w:r>
      <w:r>
        <w:rPr>
          <w:rFonts w:ascii="Book Antiqua" w:hAnsi="Book Antiqua"/>
          <w:bCs/>
          <w:i/>
          <w:iCs/>
        </w:rPr>
        <w:t>i.e.,</w:t>
      </w:r>
      <w:r>
        <w:rPr>
          <w:rFonts w:ascii="Book Antiqua" w:hAnsi="Book Antiqua"/>
          <w:bCs/>
        </w:rPr>
        <w:t xml:space="preserve"> a 4 mm</w:t>
      </w:r>
      <w:r>
        <w:rPr>
          <w:rFonts w:ascii="Book Antiqua" w:hAnsi="Book Antiqua"/>
          <w:bCs/>
          <w:vertAlign w:val="superscript"/>
        </w:rPr>
        <w:t>2</w:t>
      </w:r>
      <w:r>
        <w:rPr>
          <w:rFonts w:ascii="Book Antiqua" w:hAnsi="Book Antiqua"/>
          <w:bCs/>
        </w:rPr>
        <w:t xml:space="preserve"> tissue sample with at least 50 lymphocytes).</w:t>
      </w:r>
    </w:p>
    <w:p w14:paraId="57CC0D9B" w14:textId="77777777" w:rsidR="00610BCE" w:rsidRDefault="00855F2E">
      <w:pPr>
        <w:spacing w:line="360" w:lineRule="auto"/>
        <w:jc w:val="both"/>
        <w:rPr>
          <w:rFonts w:ascii="Book Antiqua" w:hAnsi="Book Antiqua"/>
          <w:b/>
          <w:bCs/>
        </w:rPr>
      </w:pPr>
      <w:r>
        <w:rPr>
          <w:rFonts w:ascii="Book Antiqua" w:hAnsi="Book Antiqua"/>
          <w:b/>
        </w:rPr>
        <w:br w:type="page"/>
      </w:r>
      <w:bookmarkStart w:id="1" w:name="RANGE!A1"/>
      <w:r>
        <w:rPr>
          <w:rFonts w:ascii="Book Antiqua" w:eastAsia="宋体" w:hAnsi="Book Antiqua" w:cs="宋体"/>
          <w:b/>
          <w:bCs/>
          <w:color w:val="000000"/>
          <w:lang w:eastAsia="zh-CN"/>
        </w:rPr>
        <w:lastRenderedPageBreak/>
        <w:t>Table 1 Results of laboratory tests performed during the patient’s hospitalization</w:t>
      </w:r>
      <w:bookmarkEnd w:id="1"/>
    </w:p>
    <w:tbl>
      <w:tblPr>
        <w:tblW w:w="8640" w:type="dxa"/>
        <w:tblBorders>
          <w:top w:val="single" w:sz="4" w:space="0" w:color="auto"/>
          <w:bottom w:val="single" w:sz="4" w:space="0" w:color="auto"/>
        </w:tblBorders>
        <w:tblLook w:val="04A0" w:firstRow="1" w:lastRow="0" w:firstColumn="1" w:lastColumn="0" w:noHBand="0" w:noVBand="1"/>
      </w:tblPr>
      <w:tblGrid>
        <w:gridCol w:w="4019"/>
        <w:gridCol w:w="1607"/>
        <w:gridCol w:w="1507"/>
        <w:gridCol w:w="1507"/>
      </w:tblGrid>
      <w:tr w:rsidR="00610BCE" w14:paraId="5147E0DD" w14:textId="77777777">
        <w:trPr>
          <w:trHeight w:val="320"/>
        </w:trPr>
        <w:tc>
          <w:tcPr>
            <w:tcW w:w="4019" w:type="dxa"/>
            <w:tcBorders>
              <w:top w:val="single" w:sz="4" w:space="0" w:color="auto"/>
              <w:bottom w:val="single" w:sz="4" w:space="0" w:color="auto"/>
            </w:tcBorders>
            <w:shd w:val="clear" w:color="auto" w:fill="auto"/>
            <w:noWrap/>
            <w:vAlign w:val="bottom"/>
          </w:tcPr>
          <w:p w14:paraId="4A32DFA8" w14:textId="77777777" w:rsidR="00610BCE" w:rsidRDefault="00855F2E">
            <w:pPr>
              <w:spacing w:line="360" w:lineRule="auto"/>
              <w:jc w:val="both"/>
              <w:rPr>
                <w:rFonts w:ascii="Book Antiqua" w:eastAsia="宋体" w:hAnsi="Book Antiqua" w:cs="宋体"/>
                <w:b/>
                <w:bCs/>
                <w:color w:val="000000"/>
                <w:lang w:eastAsia="zh-CN"/>
              </w:rPr>
            </w:pPr>
            <w:bookmarkStart w:id="2" w:name="RANGE!A2"/>
            <w:r>
              <w:rPr>
                <w:rFonts w:ascii="Book Antiqua" w:eastAsia="宋体" w:hAnsi="Book Antiqua" w:cs="宋体"/>
                <w:b/>
                <w:bCs/>
                <w:color w:val="000000"/>
                <w:lang w:eastAsia="zh-CN"/>
              </w:rPr>
              <w:t>Items</w:t>
            </w:r>
            <w:bookmarkEnd w:id="2"/>
          </w:p>
        </w:tc>
        <w:tc>
          <w:tcPr>
            <w:tcW w:w="1607" w:type="dxa"/>
            <w:tcBorders>
              <w:top w:val="single" w:sz="4" w:space="0" w:color="auto"/>
              <w:bottom w:val="single" w:sz="4" w:space="0" w:color="auto"/>
            </w:tcBorders>
            <w:shd w:val="clear" w:color="auto" w:fill="auto"/>
            <w:noWrap/>
            <w:vAlign w:val="bottom"/>
          </w:tcPr>
          <w:p w14:paraId="1CBAFC89" w14:textId="77777777" w:rsidR="00610BCE" w:rsidRDefault="00855F2E">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Before treatment</w:t>
            </w:r>
          </w:p>
        </w:tc>
        <w:tc>
          <w:tcPr>
            <w:tcW w:w="1507" w:type="dxa"/>
            <w:tcBorders>
              <w:top w:val="single" w:sz="4" w:space="0" w:color="auto"/>
              <w:bottom w:val="single" w:sz="4" w:space="0" w:color="auto"/>
            </w:tcBorders>
            <w:shd w:val="clear" w:color="auto" w:fill="auto"/>
            <w:noWrap/>
            <w:vAlign w:val="bottom"/>
          </w:tcPr>
          <w:p w14:paraId="4C76D8B4" w14:textId="77777777" w:rsidR="00610BCE" w:rsidRDefault="00855F2E">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After treatment</w:t>
            </w:r>
          </w:p>
        </w:tc>
        <w:tc>
          <w:tcPr>
            <w:tcW w:w="1507" w:type="dxa"/>
            <w:tcBorders>
              <w:top w:val="single" w:sz="4" w:space="0" w:color="auto"/>
              <w:bottom w:val="single" w:sz="4" w:space="0" w:color="auto"/>
            </w:tcBorders>
            <w:shd w:val="clear" w:color="auto" w:fill="auto"/>
            <w:noWrap/>
            <w:vAlign w:val="bottom"/>
          </w:tcPr>
          <w:p w14:paraId="06644F6E" w14:textId="77777777" w:rsidR="00610BCE" w:rsidRDefault="00855F2E">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eastAsia="zh-CN"/>
              </w:rPr>
              <w:t>Reference range</w:t>
            </w:r>
          </w:p>
        </w:tc>
      </w:tr>
      <w:tr w:rsidR="00610BCE" w14:paraId="4EEF59A8" w14:textId="77777777">
        <w:trPr>
          <w:trHeight w:val="310"/>
        </w:trPr>
        <w:tc>
          <w:tcPr>
            <w:tcW w:w="4019" w:type="dxa"/>
            <w:tcBorders>
              <w:top w:val="single" w:sz="4" w:space="0" w:color="auto"/>
            </w:tcBorders>
            <w:shd w:val="clear" w:color="auto" w:fill="auto"/>
            <w:noWrap/>
            <w:vAlign w:val="bottom"/>
          </w:tcPr>
          <w:p w14:paraId="4D8A5713"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WBC (× 10</w:t>
            </w:r>
            <w:r>
              <w:rPr>
                <w:rFonts w:ascii="Book Antiqua" w:eastAsia="宋体" w:hAnsi="Book Antiqua"/>
                <w:color w:val="000000"/>
                <w:vertAlign w:val="superscript"/>
                <w:lang w:eastAsia="zh-CN"/>
              </w:rPr>
              <w:t>9</w:t>
            </w:r>
            <w:r>
              <w:rPr>
                <w:rFonts w:ascii="Book Antiqua" w:eastAsia="宋体" w:hAnsi="Book Antiqua"/>
                <w:color w:val="000000"/>
                <w:lang w:eastAsia="zh-CN"/>
              </w:rPr>
              <w:t>/L)</w:t>
            </w:r>
          </w:p>
        </w:tc>
        <w:tc>
          <w:tcPr>
            <w:tcW w:w="1607" w:type="dxa"/>
            <w:tcBorders>
              <w:top w:val="single" w:sz="4" w:space="0" w:color="auto"/>
            </w:tcBorders>
            <w:shd w:val="clear" w:color="auto" w:fill="auto"/>
            <w:noWrap/>
            <w:vAlign w:val="bottom"/>
          </w:tcPr>
          <w:p w14:paraId="4F3B571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4.64</w:t>
            </w:r>
          </w:p>
        </w:tc>
        <w:tc>
          <w:tcPr>
            <w:tcW w:w="1507" w:type="dxa"/>
            <w:tcBorders>
              <w:top w:val="single" w:sz="4" w:space="0" w:color="auto"/>
            </w:tcBorders>
            <w:shd w:val="clear" w:color="auto" w:fill="auto"/>
            <w:noWrap/>
            <w:vAlign w:val="bottom"/>
          </w:tcPr>
          <w:p w14:paraId="32899388" w14:textId="77777777" w:rsidR="00610BCE" w:rsidRDefault="00855F2E">
            <w:pPr>
              <w:spacing w:line="360" w:lineRule="auto"/>
              <w:jc w:val="both"/>
              <w:rPr>
                <w:rFonts w:ascii="Book Antiqua" w:eastAsia="宋体" w:hAnsi="Book Antiqua" w:cs="宋体"/>
                <w:color w:val="000000"/>
                <w:lang w:eastAsia="zh-CN"/>
              </w:rPr>
            </w:pPr>
            <w:bookmarkStart w:id="3" w:name="RANGE!C3"/>
            <w:r>
              <w:rPr>
                <w:rFonts w:ascii="Book Antiqua" w:eastAsia="宋体" w:hAnsi="Book Antiqua" w:cs="宋体"/>
                <w:color w:val="000000"/>
                <w:lang w:eastAsia="zh-CN"/>
              </w:rPr>
              <w:t>6.35</w:t>
            </w:r>
            <w:bookmarkEnd w:id="3"/>
          </w:p>
        </w:tc>
        <w:tc>
          <w:tcPr>
            <w:tcW w:w="1507" w:type="dxa"/>
            <w:tcBorders>
              <w:top w:val="single" w:sz="4" w:space="0" w:color="auto"/>
            </w:tcBorders>
            <w:shd w:val="clear" w:color="auto" w:fill="auto"/>
            <w:noWrap/>
            <w:vAlign w:val="bottom"/>
          </w:tcPr>
          <w:p w14:paraId="62ED916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3.5-9.5</w:t>
            </w:r>
          </w:p>
        </w:tc>
      </w:tr>
      <w:tr w:rsidR="00610BCE" w14:paraId="3A592DB8" w14:textId="77777777">
        <w:trPr>
          <w:trHeight w:val="310"/>
        </w:trPr>
        <w:tc>
          <w:tcPr>
            <w:tcW w:w="4019" w:type="dxa"/>
            <w:shd w:val="clear" w:color="auto" w:fill="auto"/>
            <w:noWrap/>
            <w:vAlign w:val="bottom"/>
          </w:tcPr>
          <w:p w14:paraId="4F4F61F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HB (g/L)</w:t>
            </w:r>
          </w:p>
        </w:tc>
        <w:tc>
          <w:tcPr>
            <w:tcW w:w="1607" w:type="dxa"/>
            <w:shd w:val="clear" w:color="auto" w:fill="auto"/>
            <w:noWrap/>
            <w:vAlign w:val="bottom"/>
          </w:tcPr>
          <w:p w14:paraId="336D213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126</w:t>
            </w:r>
          </w:p>
        </w:tc>
        <w:tc>
          <w:tcPr>
            <w:tcW w:w="1507" w:type="dxa"/>
            <w:shd w:val="clear" w:color="auto" w:fill="auto"/>
            <w:noWrap/>
            <w:vAlign w:val="bottom"/>
          </w:tcPr>
          <w:p w14:paraId="7C9FD31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109</w:t>
            </w:r>
          </w:p>
        </w:tc>
        <w:tc>
          <w:tcPr>
            <w:tcW w:w="1507" w:type="dxa"/>
            <w:shd w:val="clear" w:color="auto" w:fill="auto"/>
            <w:noWrap/>
            <w:vAlign w:val="bottom"/>
          </w:tcPr>
          <w:p w14:paraId="1A729F6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130-175</w:t>
            </w:r>
          </w:p>
        </w:tc>
      </w:tr>
      <w:tr w:rsidR="00610BCE" w14:paraId="28318DFB" w14:textId="77777777">
        <w:trPr>
          <w:trHeight w:val="310"/>
        </w:trPr>
        <w:tc>
          <w:tcPr>
            <w:tcW w:w="4019" w:type="dxa"/>
            <w:shd w:val="clear" w:color="auto" w:fill="auto"/>
            <w:noWrap/>
            <w:vAlign w:val="bottom"/>
          </w:tcPr>
          <w:p w14:paraId="0A3BD1C0" w14:textId="77777777" w:rsidR="00610BCE" w:rsidRDefault="00855F2E">
            <w:pPr>
              <w:spacing w:line="360" w:lineRule="auto"/>
              <w:jc w:val="both"/>
              <w:rPr>
                <w:rFonts w:ascii="Book Antiqua" w:eastAsia="宋体" w:hAnsi="Book Antiqua" w:cs="宋体"/>
                <w:color w:val="000000"/>
                <w:lang w:eastAsia="zh-CN"/>
              </w:rPr>
            </w:pPr>
            <w:bookmarkStart w:id="4" w:name="RANGE!A5"/>
            <w:r>
              <w:rPr>
                <w:rFonts w:ascii="Book Antiqua" w:eastAsia="宋体" w:hAnsi="Book Antiqua" w:cs="宋体"/>
                <w:color w:val="000000"/>
                <w:lang w:eastAsia="zh-CN"/>
              </w:rPr>
              <w:t>PLT (×10</w:t>
            </w:r>
            <w:r>
              <w:rPr>
                <w:rFonts w:ascii="Book Antiqua" w:eastAsia="宋体" w:hAnsi="Book Antiqua"/>
                <w:color w:val="000000"/>
                <w:vertAlign w:val="superscript"/>
                <w:lang w:eastAsia="zh-CN"/>
              </w:rPr>
              <w:t>9</w:t>
            </w:r>
            <w:r>
              <w:rPr>
                <w:rFonts w:ascii="Book Antiqua" w:eastAsia="宋体" w:hAnsi="Book Antiqua"/>
                <w:color w:val="000000"/>
                <w:lang w:eastAsia="zh-CN"/>
              </w:rPr>
              <w:t>/L)</w:t>
            </w:r>
            <w:bookmarkEnd w:id="4"/>
          </w:p>
        </w:tc>
        <w:tc>
          <w:tcPr>
            <w:tcW w:w="1607" w:type="dxa"/>
            <w:shd w:val="clear" w:color="auto" w:fill="auto"/>
            <w:noWrap/>
            <w:vAlign w:val="bottom"/>
          </w:tcPr>
          <w:p w14:paraId="33EA676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205</w:t>
            </w:r>
          </w:p>
        </w:tc>
        <w:tc>
          <w:tcPr>
            <w:tcW w:w="1507" w:type="dxa"/>
            <w:shd w:val="clear" w:color="auto" w:fill="auto"/>
            <w:noWrap/>
            <w:vAlign w:val="bottom"/>
          </w:tcPr>
          <w:p w14:paraId="428E8EA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124</w:t>
            </w:r>
          </w:p>
        </w:tc>
        <w:tc>
          <w:tcPr>
            <w:tcW w:w="1507" w:type="dxa"/>
            <w:shd w:val="clear" w:color="auto" w:fill="auto"/>
            <w:noWrap/>
            <w:vAlign w:val="bottom"/>
          </w:tcPr>
          <w:p w14:paraId="720440A9"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100-300</w:t>
            </w:r>
          </w:p>
        </w:tc>
      </w:tr>
      <w:tr w:rsidR="00610BCE" w14:paraId="70AE5BAA" w14:textId="77777777">
        <w:trPr>
          <w:trHeight w:val="280"/>
        </w:trPr>
        <w:tc>
          <w:tcPr>
            <w:tcW w:w="4019" w:type="dxa"/>
            <w:shd w:val="clear" w:color="auto" w:fill="auto"/>
            <w:noWrap/>
            <w:vAlign w:val="bottom"/>
          </w:tcPr>
          <w:p w14:paraId="10208FF5" w14:textId="77777777" w:rsidR="00610BCE" w:rsidRDefault="00855F2E">
            <w:pPr>
              <w:spacing w:line="360" w:lineRule="auto"/>
              <w:jc w:val="both"/>
              <w:rPr>
                <w:rFonts w:ascii="Book Antiqua" w:eastAsia="宋体" w:hAnsi="Book Antiqua" w:cs="宋体"/>
                <w:color w:val="000000"/>
                <w:lang w:eastAsia="zh-CN"/>
              </w:rPr>
            </w:pPr>
            <w:bookmarkStart w:id="5" w:name="RANGE!A6"/>
            <w:r>
              <w:rPr>
                <w:rFonts w:ascii="Book Antiqua" w:eastAsia="宋体" w:hAnsi="Book Antiqua" w:cs="宋体"/>
                <w:color w:val="000000"/>
                <w:lang w:eastAsia="zh-CN"/>
              </w:rPr>
              <w:t>IgG (g/L)</w:t>
            </w:r>
            <w:bookmarkEnd w:id="5"/>
          </w:p>
        </w:tc>
        <w:tc>
          <w:tcPr>
            <w:tcW w:w="1607" w:type="dxa"/>
            <w:shd w:val="clear" w:color="auto" w:fill="auto"/>
            <w:noWrap/>
            <w:vAlign w:val="bottom"/>
          </w:tcPr>
          <w:p w14:paraId="4C3F5F3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8.35</w:t>
            </w:r>
          </w:p>
        </w:tc>
        <w:tc>
          <w:tcPr>
            <w:tcW w:w="1507" w:type="dxa"/>
            <w:shd w:val="clear" w:color="auto" w:fill="auto"/>
            <w:noWrap/>
            <w:vAlign w:val="bottom"/>
          </w:tcPr>
          <w:p w14:paraId="3634266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6.05</w:t>
            </w:r>
          </w:p>
        </w:tc>
        <w:tc>
          <w:tcPr>
            <w:tcW w:w="1507" w:type="dxa"/>
            <w:shd w:val="clear" w:color="auto" w:fill="auto"/>
            <w:noWrap/>
            <w:vAlign w:val="bottom"/>
          </w:tcPr>
          <w:p w14:paraId="09B144F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7.51-15.6</w:t>
            </w:r>
          </w:p>
        </w:tc>
      </w:tr>
      <w:tr w:rsidR="00610BCE" w14:paraId="62BF066D" w14:textId="77777777">
        <w:trPr>
          <w:trHeight w:val="290"/>
        </w:trPr>
        <w:tc>
          <w:tcPr>
            <w:tcW w:w="4019" w:type="dxa"/>
            <w:shd w:val="clear" w:color="auto" w:fill="auto"/>
            <w:noWrap/>
            <w:vAlign w:val="bottom"/>
          </w:tcPr>
          <w:p w14:paraId="6BFF769A" w14:textId="77777777" w:rsidR="00610BCE" w:rsidRDefault="00855F2E">
            <w:pPr>
              <w:spacing w:line="360" w:lineRule="auto"/>
              <w:jc w:val="both"/>
              <w:rPr>
                <w:rFonts w:ascii="Book Antiqua" w:eastAsia="宋体" w:hAnsi="Book Antiqua" w:cs="宋体"/>
                <w:color w:val="000000"/>
                <w:lang w:eastAsia="zh-CN"/>
              </w:rPr>
            </w:pPr>
            <w:bookmarkStart w:id="6" w:name="RANGE!A7"/>
            <w:r>
              <w:rPr>
                <w:rFonts w:ascii="Book Antiqua" w:eastAsia="宋体" w:hAnsi="Book Antiqua" w:cs="宋体"/>
                <w:color w:val="000000"/>
                <w:lang w:eastAsia="zh-CN"/>
              </w:rPr>
              <w:t>C3 (g/L)</w:t>
            </w:r>
            <w:bookmarkEnd w:id="6"/>
          </w:p>
        </w:tc>
        <w:tc>
          <w:tcPr>
            <w:tcW w:w="1607" w:type="dxa"/>
            <w:shd w:val="clear" w:color="auto" w:fill="auto"/>
            <w:noWrap/>
            <w:vAlign w:val="bottom"/>
          </w:tcPr>
          <w:p w14:paraId="4275D6E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0.76</w:t>
            </w:r>
          </w:p>
        </w:tc>
        <w:tc>
          <w:tcPr>
            <w:tcW w:w="1507" w:type="dxa"/>
            <w:shd w:val="clear" w:color="auto" w:fill="auto"/>
            <w:noWrap/>
            <w:vAlign w:val="bottom"/>
          </w:tcPr>
          <w:p w14:paraId="3DC11CA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0.78</w:t>
            </w:r>
          </w:p>
        </w:tc>
        <w:tc>
          <w:tcPr>
            <w:tcW w:w="1507" w:type="dxa"/>
            <w:shd w:val="clear" w:color="auto" w:fill="auto"/>
            <w:noWrap/>
            <w:vAlign w:val="bottom"/>
          </w:tcPr>
          <w:p w14:paraId="34740A61" w14:textId="77777777" w:rsidR="00610BCE" w:rsidRDefault="00855F2E">
            <w:pPr>
              <w:spacing w:line="360" w:lineRule="auto"/>
              <w:jc w:val="both"/>
              <w:rPr>
                <w:rFonts w:ascii="Book Antiqua" w:eastAsia="宋体" w:hAnsi="Book Antiqua" w:cs="宋体"/>
                <w:color w:val="000000"/>
                <w:lang w:eastAsia="zh-CN"/>
              </w:rPr>
            </w:pPr>
            <w:bookmarkStart w:id="7" w:name="RANGE!D7"/>
            <w:r>
              <w:rPr>
                <w:rFonts w:ascii="Book Antiqua" w:eastAsia="宋体" w:hAnsi="Book Antiqua" w:cs="宋体"/>
                <w:color w:val="000000"/>
                <w:lang w:eastAsia="zh-CN"/>
              </w:rPr>
              <w:t>0.79-1.52</w:t>
            </w:r>
            <w:bookmarkEnd w:id="7"/>
          </w:p>
        </w:tc>
      </w:tr>
      <w:tr w:rsidR="00610BCE" w14:paraId="2EB70CD6" w14:textId="77777777">
        <w:trPr>
          <w:trHeight w:val="260"/>
        </w:trPr>
        <w:tc>
          <w:tcPr>
            <w:tcW w:w="4019" w:type="dxa"/>
            <w:shd w:val="clear" w:color="auto" w:fill="auto"/>
            <w:noWrap/>
            <w:vAlign w:val="bottom"/>
          </w:tcPr>
          <w:p w14:paraId="55665F9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C4 (g/L)</w:t>
            </w:r>
          </w:p>
        </w:tc>
        <w:tc>
          <w:tcPr>
            <w:tcW w:w="1607" w:type="dxa"/>
            <w:shd w:val="clear" w:color="auto" w:fill="auto"/>
            <w:noWrap/>
            <w:vAlign w:val="bottom"/>
          </w:tcPr>
          <w:p w14:paraId="536EBF9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0.176</w:t>
            </w:r>
          </w:p>
        </w:tc>
        <w:tc>
          <w:tcPr>
            <w:tcW w:w="1507" w:type="dxa"/>
            <w:shd w:val="clear" w:color="auto" w:fill="auto"/>
            <w:noWrap/>
            <w:vAlign w:val="bottom"/>
          </w:tcPr>
          <w:p w14:paraId="5AB998A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0.179</w:t>
            </w:r>
          </w:p>
        </w:tc>
        <w:tc>
          <w:tcPr>
            <w:tcW w:w="1507" w:type="dxa"/>
            <w:shd w:val="clear" w:color="auto" w:fill="auto"/>
            <w:noWrap/>
            <w:vAlign w:val="bottom"/>
          </w:tcPr>
          <w:p w14:paraId="1D21A4A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0.16-0.38</w:t>
            </w:r>
          </w:p>
        </w:tc>
      </w:tr>
      <w:tr w:rsidR="00610BCE" w14:paraId="404D7E05" w14:textId="77777777">
        <w:trPr>
          <w:trHeight w:val="280"/>
        </w:trPr>
        <w:tc>
          <w:tcPr>
            <w:tcW w:w="4019" w:type="dxa"/>
            <w:shd w:val="clear" w:color="auto" w:fill="auto"/>
            <w:noWrap/>
            <w:vAlign w:val="bottom"/>
          </w:tcPr>
          <w:p w14:paraId="3F7449F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ALT (U/L)</w:t>
            </w:r>
          </w:p>
        </w:tc>
        <w:tc>
          <w:tcPr>
            <w:tcW w:w="1607" w:type="dxa"/>
            <w:shd w:val="clear" w:color="auto" w:fill="auto"/>
            <w:noWrap/>
            <w:vAlign w:val="bottom"/>
          </w:tcPr>
          <w:p w14:paraId="6B46ECA9"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19</w:t>
            </w:r>
          </w:p>
        </w:tc>
        <w:tc>
          <w:tcPr>
            <w:tcW w:w="1507" w:type="dxa"/>
            <w:shd w:val="clear" w:color="auto" w:fill="auto"/>
            <w:noWrap/>
            <w:vAlign w:val="bottom"/>
          </w:tcPr>
          <w:p w14:paraId="1AF1FE5E"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w:t>
            </w:r>
          </w:p>
        </w:tc>
        <w:tc>
          <w:tcPr>
            <w:tcW w:w="1507" w:type="dxa"/>
            <w:shd w:val="clear" w:color="auto" w:fill="auto"/>
            <w:noWrap/>
            <w:vAlign w:val="bottom"/>
          </w:tcPr>
          <w:p w14:paraId="50B81013"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7-40</w:t>
            </w:r>
          </w:p>
        </w:tc>
      </w:tr>
      <w:tr w:rsidR="00610BCE" w14:paraId="77A7E394" w14:textId="77777777">
        <w:trPr>
          <w:trHeight w:val="310"/>
        </w:trPr>
        <w:tc>
          <w:tcPr>
            <w:tcW w:w="4019" w:type="dxa"/>
            <w:shd w:val="clear" w:color="auto" w:fill="auto"/>
            <w:noWrap/>
            <w:vAlign w:val="bottom"/>
          </w:tcPr>
          <w:p w14:paraId="77E86CD7"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AST (U/L)</w:t>
            </w:r>
          </w:p>
        </w:tc>
        <w:tc>
          <w:tcPr>
            <w:tcW w:w="1607" w:type="dxa"/>
            <w:shd w:val="clear" w:color="auto" w:fill="auto"/>
            <w:noWrap/>
            <w:vAlign w:val="bottom"/>
          </w:tcPr>
          <w:p w14:paraId="2AA46AF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57</w:t>
            </w:r>
          </w:p>
        </w:tc>
        <w:tc>
          <w:tcPr>
            <w:tcW w:w="1507" w:type="dxa"/>
            <w:shd w:val="clear" w:color="auto" w:fill="auto"/>
            <w:noWrap/>
            <w:vAlign w:val="bottom"/>
          </w:tcPr>
          <w:p w14:paraId="00A77CB1"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22</w:t>
            </w:r>
          </w:p>
        </w:tc>
        <w:tc>
          <w:tcPr>
            <w:tcW w:w="1507" w:type="dxa"/>
            <w:shd w:val="clear" w:color="auto" w:fill="auto"/>
            <w:noWrap/>
            <w:vAlign w:val="bottom"/>
          </w:tcPr>
          <w:p w14:paraId="34673D5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13-35</w:t>
            </w:r>
          </w:p>
        </w:tc>
      </w:tr>
      <w:tr w:rsidR="00610BCE" w14:paraId="5C354C4D" w14:textId="77777777">
        <w:trPr>
          <w:trHeight w:val="320"/>
        </w:trPr>
        <w:tc>
          <w:tcPr>
            <w:tcW w:w="4019" w:type="dxa"/>
            <w:shd w:val="clear" w:color="auto" w:fill="auto"/>
            <w:noWrap/>
            <w:vAlign w:val="bottom"/>
          </w:tcPr>
          <w:p w14:paraId="7ED28EF9"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Alb (g/L)</w:t>
            </w:r>
          </w:p>
        </w:tc>
        <w:tc>
          <w:tcPr>
            <w:tcW w:w="1607" w:type="dxa"/>
            <w:shd w:val="clear" w:color="auto" w:fill="auto"/>
            <w:noWrap/>
            <w:vAlign w:val="bottom"/>
          </w:tcPr>
          <w:p w14:paraId="6EC3E5C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24.3</w:t>
            </w:r>
          </w:p>
        </w:tc>
        <w:tc>
          <w:tcPr>
            <w:tcW w:w="1507" w:type="dxa"/>
            <w:shd w:val="clear" w:color="auto" w:fill="auto"/>
            <w:noWrap/>
            <w:vAlign w:val="bottom"/>
          </w:tcPr>
          <w:p w14:paraId="6C5234B1"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41.5</w:t>
            </w:r>
          </w:p>
        </w:tc>
        <w:tc>
          <w:tcPr>
            <w:tcW w:w="1507" w:type="dxa"/>
            <w:shd w:val="clear" w:color="auto" w:fill="auto"/>
            <w:noWrap/>
            <w:vAlign w:val="bottom"/>
          </w:tcPr>
          <w:p w14:paraId="28BC55D3"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40-55</w:t>
            </w:r>
          </w:p>
        </w:tc>
      </w:tr>
      <w:tr w:rsidR="00610BCE" w14:paraId="73CE571E" w14:textId="77777777">
        <w:trPr>
          <w:trHeight w:val="280"/>
        </w:trPr>
        <w:tc>
          <w:tcPr>
            <w:tcW w:w="4019" w:type="dxa"/>
            <w:shd w:val="clear" w:color="auto" w:fill="auto"/>
            <w:noWrap/>
            <w:vAlign w:val="bottom"/>
          </w:tcPr>
          <w:p w14:paraId="03BD1F3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Urinary occult blood test</w:t>
            </w:r>
          </w:p>
        </w:tc>
        <w:tc>
          <w:tcPr>
            <w:tcW w:w="1607" w:type="dxa"/>
            <w:shd w:val="clear" w:color="auto" w:fill="auto"/>
            <w:noWrap/>
            <w:vAlign w:val="bottom"/>
          </w:tcPr>
          <w:p w14:paraId="09630A0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785476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F0FFFA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1746B8A4" w14:textId="77777777">
        <w:trPr>
          <w:trHeight w:val="370"/>
        </w:trPr>
        <w:tc>
          <w:tcPr>
            <w:tcW w:w="4019" w:type="dxa"/>
            <w:shd w:val="clear" w:color="auto" w:fill="auto"/>
            <w:noWrap/>
            <w:vAlign w:val="bottom"/>
          </w:tcPr>
          <w:p w14:paraId="4DF10A5E"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24-hour urinary protein quantity (g/24 h)</w:t>
            </w:r>
          </w:p>
        </w:tc>
        <w:tc>
          <w:tcPr>
            <w:tcW w:w="1607" w:type="dxa"/>
            <w:shd w:val="clear" w:color="auto" w:fill="auto"/>
            <w:noWrap/>
            <w:vAlign w:val="bottom"/>
          </w:tcPr>
          <w:p w14:paraId="3327845A"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3.8</w:t>
            </w:r>
          </w:p>
        </w:tc>
        <w:tc>
          <w:tcPr>
            <w:tcW w:w="1507" w:type="dxa"/>
            <w:shd w:val="clear" w:color="auto" w:fill="auto"/>
            <w:noWrap/>
            <w:vAlign w:val="bottom"/>
          </w:tcPr>
          <w:p w14:paraId="0E0D401F"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0.091</w:t>
            </w:r>
          </w:p>
        </w:tc>
        <w:tc>
          <w:tcPr>
            <w:tcW w:w="1507" w:type="dxa"/>
            <w:shd w:val="clear" w:color="auto" w:fill="auto"/>
            <w:noWrap/>
            <w:vAlign w:val="bottom"/>
          </w:tcPr>
          <w:p w14:paraId="2D61AD6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0-0.15</w:t>
            </w:r>
          </w:p>
        </w:tc>
      </w:tr>
      <w:tr w:rsidR="00610BCE" w14:paraId="0F04AD56" w14:textId="77777777">
        <w:trPr>
          <w:trHeight w:val="290"/>
        </w:trPr>
        <w:tc>
          <w:tcPr>
            <w:tcW w:w="4019" w:type="dxa"/>
            <w:shd w:val="clear" w:color="auto" w:fill="auto"/>
            <w:noWrap/>
            <w:vAlign w:val="bottom"/>
          </w:tcPr>
          <w:p w14:paraId="0F262C1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RF (IU/mL)</w:t>
            </w:r>
          </w:p>
        </w:tc>
        <w:tc>
          <w:tcPr>
            <w:tcW w:w="1607" w:type="dxa"/>
            <w:shd w:val="clear" w:color="auto" w:fill="auto"/>
            <w:noWrap/>
            <w:vAlign w:val="bottom"/>
          </w:tcPr>
          <w:p w14:paraId="46765741"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olor w:val="000000"/>
                <w:lang w:eastAsia="zh-CN"/>
              </w:rPr>
              <w:t>&lt; 20</w:t>
            </w:r>
          </w:p>
        </w:tc>
        <w:tc>
          <w:tcPr>
            <w:tcW w:w="1507" w:type="dxa"/>
            <w:shd w:val="clear" w:color="auto" w:fill="auto"/>
            <w:noWrap/>
            <w:vAlign w:val="bottom"/>
          </w:tcPr>
          <w:p w14:paraId="44FE3DD7"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&lt; 20</w:t>
            </w:r>
          </w:p>
        </w:tc>
        <w:tc>
          <w:tcPr>
            <w:tcW w:w="1507" w:type="dxa"/>
            <w:shd w:val="clear" w:color="auto" w:fill="auto"/>
            <w:noWrap/>
            <w:vAlign w:val="bottom"/>
          </w:tcPr>
          <w:p w14:paraId="68974A27"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w:t>
            </w:r>
          </w:p>
        </w:tc>
      </w:tr>
      <w:tr w:rsidR="00610BCE" w14:paraId="53AAC93B" w14:textId="77777777">
        <w:trPr>
          <w:trHeight w:val="280"/>
        </w:trPr>
        <w:tc>
          <w:tcPr>
            <w:tcW w:w="4019" w:type="dxa"/>
            <w:shd w:val="clear" w:color="auto" w:fill="auto"/>
            <w:noWrap/>
            <w:vAlign w:val="bottom"/>
          </w:tcPr>
          <w:p w14:paraId="417A76B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Anti-RNP</w:t>
            </w:r>
          </w:p>
        </w:tc>
        <w:tc>
          <w:tcPr>
            <w:tcW w:w="1607" w:type="dxa"/>
            <w:shd w:val="clear" w:color="auto" w:fill="auto"/>
            <w:noWrap/>
            <w:vAlign w:val="bottom"/>
          </w:tcPr>
          <w:p w14:paraId="12280B7E"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54D942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C3A4D0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6F00499A" w14:textId="77777777">
        <w:trPr>
          <w:trHeight w:val="280"/>
        </w:trPr>
        <w:tc>
          <w:tcPr>
            <w:tcW w:w="4019" w:type="dxa"/>
            <w:shd w:val="clear" w:color="auto" w:fill="auto"/>
            <w:noWrap/>
            <w:vAlign w:val="bottom"/>
          </w:tcPr>
          <w:p w14:paraId="59F6D0A5"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Anti-dsDNA</w:t>
            </w:r>
          </w:p>
        </w:tc>
        <w:tc>
          <w:tcPr>
            <w:tcW w:w="1607" w:type="dxa"/>
            <w:shd w:val="clear" w:color="auto" w:fill="auto"/>
            <w:noWrap/>
            <w:vAlign w:val="bottom"/>
          </w:tcPr>
          <w:p w14:paraId="6CAF3F9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A26F15A"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6305C26A"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72318698" w14:textId="77777777">
        <w:trPr>
          <w:trHeight w:val="310"/>
        </w:trPr>
        <w:tc>
          <w:tcPr>
            <w:tcW w:w="4019" w:type="dxa"/>
            <w:shd w:val="clear" w:color="auto" w:fill="auto"/>
            <w:noWrap/>
            <w:vAlign w:val="bottom"/>
          </w:tcPr>
          <w:p w14:paraId="791484C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w:t>
            </w:r>
            <w:proofErr w:type="spellStart"/>
            <w:r>
              <w:rPr>
                <w:rFonts w:ascii="Book Antiqua" w:eastAsia="宋体" w:hAnsi="Book Antiqua" w:cs="宋体"/>
                <w:color w:val="000000"/>
                <w:lang w:eastAsia="zh-CN"/>
              </w:rPr>
              <w:t>Sm</w:t>
            </w:r>
            <w:proofErr w:type="spellEnd"/>
          </w:p>
        </w:tc>
        <w:tc>
          <w:tcPr>
            <w:tcW w:w="1607" w:type="dxa"/>
            <w:shd w:val="clear" w:color="auto" w:fill="auto"/>
            <w:noWrap/>
            <w:vAlign w:val="bottom"/>
          </w:tcPr>
          <w:p w14:paraId="23363BB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29E376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ABFFBF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3ECF6D9F" w14:textId="77777777">
        <w:trPr>
          <w:trHeight w:val="280"/>
        </w:trPr>
        <w:tc>
          <w:tcPr>
            <w:tcW w:w="4019" w:type="dxa"/>
            <w:shd w:val="clear" w:color="auto" w:fill="auto"/>
            <w:noWrap/>
            <w:vAlign w:val="bottom"/>
          </w:tcPr>
          <w:p w14:paraId="710575F1"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Anti-SCL-70</w:t>
            </w:r>
          </w:p>
        </w:tc>
        <w:tc>
          <w:tcPr>
            <w:tcW w:w="1607" w:type="dxa"/>
            <w:shd w:val="clear" w:color="auto" w:fill="auto"/>
            <w:noWrap/>
            <w:vAlign w:val="bottom"/>
          </w:tcPr>
          <w:p w14:paraId="798AA12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56551FB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AAECBD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36059A6A" w14:textId="77777777">
        <w:trPr>
          <w:trHeight w:val="320"/>
        </w:trPr>
        <w:tc>
          <w:tcPr>
            <w:tcW w:w="4019" w:type="dxa"/>
            <w:shd w:val="clear" w:color="auto" w:fill="auto"/>
            <w:noWrap/>
            <w:vAlign w:val="bottom"/>
          </w:tcPr>
          <w:p w14:paraId="36AD372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Anti-SSA</w:t>
            </w:r>
          </w:p>
        </w:tc>
        <w:tc>
          <w:tcPr>
            <w:tcW w:w="1607" w:type="dxa"/>
            <w:shd w:val="clear" w:color="auto" w:fill="auto"/>
            <w:noWrap/>
            <w:vAlign w:val="bottom"/>
          </w:tcPr>
          <w:p w14:paraId="2E2A2E4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33D785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83D62D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2DE4B3F0" w14:textId="77777777">
        <w:trPr>
          <w:trHeight w:val="280"/>
        </w:trPr>
        <w:tc>
          <w:tcPr>
            <w:tcW w:w="4019" w:type="dxa"/>
            <w:shd w:val="clear" w:color="auto" w:fill="auto"/>
            <w:noWrap/>
            <w:vAlign w:val="bottom"/>
          </w:tcPr>
          <w:p w14:paraId="100192DA"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Anti-Jo-1</w:t>
            </w:r>
          </w:p>
        </w:tc>
        <w:tc>
          <w:tcPr>
            <w:tcW w:w="1607" w:type="dxa"/>
            <w:shd w:val="clear" w:color="auto" w:fill="auto"/>
            <w:noWrap/>
            <w:vAlign w:val="bottom"/>
          </w:tcPr>
          <w:p w14:paraId="276B6D7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5F5357E1"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B5F30E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27EE2BA9" w14:textId="77777777">
        <w:trPr>
          <w:trHeight w:val="320"/>
        </w:trPr>
        <w:tc>
          <w:tcPr>
            <w:tcW w:w="4019" w:type="dxa"/>
            <w:shd w:val="clear" w:color="auto" w:fill="auto"/>
            <w:noWrap/>
            <w:vAlign w:val="bottom"/>
          </w:tcPr>
          <w:p w14:paraId="39D7CEB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Anti-SSB</w:t>
            </w:r>
          </w:p>
        </w:tc>
        <w:tc>
          <w:tcPr>
            <w:tcW w:w="1607" w:type="dxa"/>
            <w:shd w:val="clear" w:color="auto" w:fill="auto"/>
            <w:noWrap/>
            <w:vAlign w:val="bottom"/>
          </w:tcPr>
          <w:p w14:paraId="2722E641"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0E80AEF"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60F8129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658A7861" w14:textId="77777777">
        <w:trPr>
          <w:trHeight w:val="280"/>
        </w:trPr>
        <w:tc>
          <w:tcPr>
            <w:tcW w:w="4019" w:type="dxa"/>
            <w:shd w:val="clear" w:color="auto" w:fill="auto"/>
            <w:noWrap/>
            <w:vAlign w:val="bottom"/>
          </w:tcPr>
          <w:p w14:paraId="770DBA8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Anti-A-</w:t>
            </w:r>
            <w:proofErr w:type="spellStart"/>
            <w:r>
              <w:rPr>
                <w:rFonts w:ascii="Book Antiqua" w:eastAsia="宋体" w:hAnsi="Book Antiqua" w:cs="宋体"/>
                <w:color w:val="000000"/>
                <w:lang w:eastAsia="zh-CN"/>
              </w:rPr>
              <w:t>fordrin</w:t>
            </w:r>
            <w:proofErr w:type="spellEnd"/>
          </w:p>
        </w:tc>
        <w:tc>
          <w:tcPr>
            <w:tcW w:w="1607" w:type="dxa"/>
            <w:shd w:val="clear" w:color="auto" w:fill="auto"/>
            <w:noWrap/>
            <w:vAlign w:val="bottom"/>
          </w:tcPr>
          <w:p w14:paraId="64BA89F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634C95EF"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C20E8AA"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583187B2" w14:textId="77777777">
        <w:trPr>
          <w:trHeight w:val="320"/>
        </w:trPr>
        <w:tc>
          <w:tcPr>
            <w:tcW w:w="4019" w:type="dxa"/>
            <w:shd w:val="clear" w:color="auto" w:fill="auto"/>
            <w:noWrap/>
            <w:vAlign w:val="bottom"/>
          </w:tcPr>
          <w:p w14:paraId="0C390B0A"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Anti-ACA </w:t>
            </w:r>
          </w:p>
        </w:tc>
        <w:tc>
          <w:tcPr>
            <w:tcW w:w="1607" w:type="dxa"/>
            <w:shd w:val="clear" w:color="auto" w:fill="auto"/>
            <w:noWrap/>
            <w:vAlign w:val="bottom"/>
          </w:tcPr>
          <w:p w14:paraId="03694465"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8718E49"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76C7E2E"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146E9B81" w14:textId="77777777">
        <w:trPr>
          <w:trHeight w:val="280"/>
        </w:trPr>
        <w:tc>
          <w:tcPr>
            <w:tcW w:w="4019" w:type="dxa"/>
            <w:shd w:val="clear" w:color="auto" w:fill="auto"/>
            <w:noWrap/>
            <w:vAlign w:val="bottom"/>
          </w:tcPr>
          <w:p w14:paraId="7F2FA17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Anti-RO-52</w:t>
            </w:r>
          </w:p>
        </w:tc>
        <w:tc>
          <w:tcPr>
            <w:tcW w:w="1607" w:type="dxa"/>
            <w:shd w:val="clear" w:color="auto" w:fill="auto"/>
            <w:noWrap/>
            <w:vAlign w:val="bottom"/>
          </w:tcPr>
          <w:p w14:paraId="615217F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56F22F2"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339C762E"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303F30BE" w14:textId="77777777">
        <w:trPr>
          <w:trHeight w:val="280"/>
        </w:trPr>
        <w:tc>
          <w:tcPr>
            <w:tcW w:w="4019" w:type="dxa"/>
            <w:shd w:val="clear" w:color="auto" w:fill="auto"/>
            <w:noWrap/>
            <w:vAlign w:val="bottom"/>
          </w:tcPr>
          <w:p w14:paraId="725060B4" w14:textId="77777777" w:rsidR="00610BCE" w:rsidRDefault="00855F2E">
            <w:pPr>
              <w:spacing w:line="360" w:lineRule="auto"/>
              <w:jc w:val="both"/>
              <w:rPr>
                <w:rFonts w:ascii="Book Antiqua" w:eastAsia="宋体" w:hAnsi="Book Antiqua" w:cs="宋体"/>
                <w:color w:val="000000"/>
                <w:lang w:eastAsia="zh-CN"/>
              </w:rPr>
            </w:pPr>
            <w:proofErr w:type="spellStart"/>
            <w:r>
              <w:rPr>
                <w:rFonts w:ascii="Book Antiqua" w:eastAsia="宋体" w:hAnsi="Book Antiqua" w:cs="宋体"/>
                <w:color w:val="000000"/>
                <w:lang w:eastAsia="zh-CN"/>
              </w:rPr>
              <w:t>AnuA</w:t>
            </w:r>
            <w:proofErr w:type="spellEnd"/>
          </w:p>
        </w:tc>
        <w:tc>
          <w:tcPr>
            <w:tcW w:w="1607" w:type="dxa"/>
            <w:shd w:val="clear" w:color="auto" w:fill="auto"/>
            <w:noWrap/>
            <w:vAlign w:val="bottom"/>
          </w:tcPr>
          <w:p w14:paraId="109AC61D"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CAF0F9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2F5F185"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198ACD0E" w14:textId="77777777">
        <w:trPr>
          <w:trHeight w:val="280"/>
        </w:trPr>
        <w:tc>
          <w:tcPr>
            <w:tcW w:w="4019" w:type="dxa"/>
            <w:shd w:val="clear" w:color="auto" w:fill="auto"/>
            <w:noWrap/>
            <w:vAlign w:val="bottom"/>
          </w:tcPr>
          <w:p w14:paraId="033DB010"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AHA</w:t>
            </w:r>
          </w:p>
        </w:tc>
        <w:tc>
          <w:tcPr>
            <w:tcW w:w="1607" w:type="dxa"/>
            <w:shd w:val="clear" w:color="auto" w:fill="auto"/>
            <w:noWrap/>
            <w:vAlign w:val="bottom"/>
          </w:tcPr>
          <w:p w14:paraId="7098016B"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127B5B24"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2164227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52013AC2" w14:textId="77777777">
        <w:trPr>
          <w:trHeight w:val="280"/>
        </w:trPr>
        <w:tc>
          <w:tcPr>
            <w:tcW w:w="4019" w:type="dxa"/>
            <w:shd w:val="clear" w:color="auto" w:fill="auto"/>
            <w:noWrap/>
            <w:vAlign w:val="bottom"/>
          </w:tcPr>
          <w:p w14:paraId="7CE950CC"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lastRenderedPageBreak/>
              <w:t>ARPA/Rib-P</w:t>
            </w:r>
          </w:p>
        </w:tc>
        <w:tc>
          <w:tcPr>
            <w:tcW w:w="1607" w:type="dxa"/>
            <w:shd w:val="clear" w:color="auto" w:fill="auto"/>
            <w:noWrap/>
            <w:vAlign w:val="bottom"/>
          </w:tcPr>
          <w:p w14:paraId="1DCDA39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75098688"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c>
          <w:tcPr>
            <w:tcW w:w="1507" w:type="dxa"/>
            <w:shd w:val="clear" w:color="auto" w:fill="auto"/>
            <w:noWrap/>
            <w:vAlign w:val="bottom"/>
          </w:tcPr>
          <w:p w14:paraId="097B15D5"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r w:rsidR="00610BCE" w14:paraId="7A19212F" w14:textId="77777777">
        <w:trPr>
          <w:trHeight w:val="280"/>
        </w:trPr>
        <w:tc>
          <w:tcPr>
            <w:tcW w:w="4019" w:type="dxa"/>
            <w:shd w:val="clear" w:color="auto" w:fill="auto"/>
            <w:noWrap/>
            <w:vAlign w:val="bottom"/>
          </w:tcPr>
          <w:p w14:paraId="14380F07"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ANA (nuclear particle type)</w:t>
            </w:r>
          </w:p>
        </w:tc>
        <w:tc>
          <w:tcPr>
            <w:tcW w:w="1607" w:type="dxa"/>
            <w:shd w:val="clear" w:color="auto" w:fill="auto"/>
            <w:noWrap/>
            <w:vAlign w:val="bottom"/>
          </w:tcPr>
          <w:p w14:paraId="45A53E42" w14:textId="1E9A5350"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1:1000</w:t>
            </w:r>
          </w:p>
        </w:tc>
        <w:tc>
          <w:tcPr>
            <w:tcW w:w="1507" w:type="dxa"/>
            <w:shd w:val="clear" w:color="auto" w:fill="auto"/>
            <w:noWrap/>
            <w:vAlign w:val="bottom"/>
          </w:tcPr>
          <w:p w14:paraId="6F52451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1:1000</w:t>
            </w:r>
          </w:p>
        </w:tc>
        <w:tc>
          <w:tcPr>
            <w:tcW w:w="1507" w:type="dxa"/>
            <w:shd w:val="clear" w:color="auto" w:fill="auto"/>
            <w:noWrap/>
            <w:vAlign w:val="bottom"/>
          </w:tcPr>
          <w:p w14:paraId="42315866" w14:textId="77777777" w:rsidR="00610BCE" w:rsidRDefault="00855F2E">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w:t>
            </w:r>
          </w:p>
        </w:tc>
      </w:tr>
    </w:tbl>
    <w:p w14:paraId="311B0A00" w14:textId="77777777" w:rsidR="00610BCE" w:rsidRDefault="00855F2E">
      <w:pPr>
        <w:spacing w:line="360" w:lineRule="auto"/>
        <w:jc w:val="both"/>
        <w:rPr>
          <w:rFonts w:ascii="Book Antiqua" w:hAnsi="Book Antiqua"/>
          <w:bCs/>
          <w:iCs/>
        </w:rPr>
      </w:pPr>
      <w:r>
        <w:rPr>
          <w:rFonts w:ascii="Book Antiqua" w:hAnsi="Book Antiqua"/>
          <w:bCs/>
          <w:iCs/>
        </w:rPr>
        <w:t>WBC</w:t>
      </w:r>
      <w:r>
        <w:rPr>
          <w:rFonts w:ascii="Book Antiqua" w:hAnsi="Book Antiqua"/>
          <w:bCs/>
          <w:iCs/>
          <w:lang w:eastAsia="zh-CN"/>
        </w:rPr>
        <w:t>:</w:t>
      </w:r>
      <w:r>
        <w:rPr>
          <w:rFonts w:ascii="Book Antiqua" w:hAnsi="Book Antiqua"/>
          <w:bCs/>
          <w:iCs/>
        </w:rPr>
        <w:t xml:space="preserve"> White blood cell; HB: Hemoglobin; PLT: Platelets; IgG: Immunoglobulin G; C3/4: Complement 3/4; ALT: Alanine transaminase; AST: Aspartate aminotransferase; Alb: Albumin; BUN: Blood urea nitrogen; RF: Rheumatoid factor</w:t>
      </w:r>
      <w:r>
        <w:rPr>
          <w:rFonts w:ascii="Book Antiqua" w:hAnsi="Book Antiqua"/>
          <w:bCs/>
          <w:iCs/>
          <w:lang w:eastAsia="zh-CN"/>
        </w:rPr>
        <w:t xml:space="preserve">; </w:t>
      </w:r>
      <w:r>
        <w:rPr>
          <w:rFonts w:ascii="Book Antiqua" w:hAnsi="Book Antiqua"/>
          <w:bCs/>
          <w:iCs/>
        </w:rPr>
        <w:t>anti-dsDNA: anti-double-stranded DNA antibody; anti-ACA: anti-centromere antibodies; anti--A-</w:t>
      </w:r>
      <w:proofErr w:type="spellStart"/>
      <w:r>
        <w:rPr>
          <w:rFonts w:ascii="Book Antiqua" w:hAnsi="Book Antiqua"/>
          <w:bCs/>
          <w:iCs/>
        </w:rPr>
        <w:t>fordrin</w:t>
      </w:r>
      <w:proofErr w:type="spellEnd"/>
      <w:r>
        <w:rPr>
          <w:rFonts w:ascii="Book Antiqua" w:hAnsi="Book Antiqua"/>
          <w:bCs/>
          <w:iCs/>
        </w:rPr>
        <w:t xml:space="preserve">: anti-a </w:t>
      </w:r>
      <w:proofErr w:type="spellStart"/>
      <w:r>
        <w:rPr>
          <w:rFonts w:ascii="Book Antiqua" w:hAnsi="Book Antiqua"/>
          <w:bCs/>
          <w:iCs/>
        </w:rPr>
        <w:t>Fordrin</w:t>
      </w:r>
      <w:proofErr w:type="spellEnd"/>
      <w:r>
        <w:rPr>
          <w:rFonts w:ascii="Book Antiqua" w:hAnsi="Book Antiqua"/>
          <w:bCs/>
          <w:iCs/>
        </w:rPr>
        <w:t xml:space="preserve"> protein; anti-SSA and anti-SSB, anti- Sjogren’s-syndrome-related antigen A/B; </w:t>
      </w:r>
      <w:proofErr w:type="spellStart"/>
      <w:r>
        <w:rPr>
          <w:rFonts w:ascii="Book Antiqua" w:hAnsi="Book Antiqua"/>
          <w:bCs/>
          <w:iCs/>
        </w:rPr>
        <w:t>AnuA</w:t>
      </w:r>
      <w:proofErr w:type="spellEnd"/>
      <w:r>
        <w:rPr>
          <w:rFonts w:ascii="Book Antiqua" w:hAnsi="Book Antiqua"/>
          <w:bCs/>
          <w:iCs/>
        </w:rPr>
        <w:t>, anti-nucleosome antibody; AHA: anti-histone antibody; ANA: anti-nuclear antibody.</w:t>
      </w:r>
    </w:p>
    <w:sectPr w:rsidR="00610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735F" w14:textId="77777777" w:rsidR="00A76A6E" w:rsidRDefault="00A76A6E">
      <w:r>
        <w:separator/>
      </w:r>
    </w:p>
  </w:endnote>
  <w:endnote w:type="continuationSeparator" w:id="0">
    <w:p w14:paraId="7C8B3A23" w14:textId="77777777" w:rsidR="00A76A6E" w:rsidRDefault="00A76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638A" w14:textId="77777777" w:rsidR="00610BCE" w:rsidRDefault="00855F2E">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04E37E87" w14:textId="77777777" w:rsidR="00610BCE" w:rsidRDefault="00610B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49A99" w14:textId="77777777" w:rsidR="00A76A6E" w:rsidRDefault="00A76A6E">
      <w:r>
        <w:separator/>
      </w:r>
    </w:p>
  </w:footnote>
  <w:footnote w:type="continuationSeparator" w:id="0">
    <w:p w14:paraId="68E78EFE" w14:textId="77777777" w:rsidR="00A76A6E" w:rsidRDefault="00A76A6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4FF"/>
    <w:rsid w:val="00031170"/>
    <w:rsid w:val="00044B4C"/>
    <w:rsid w:val="00071747"/>
    <w:rsid w:val="00073659"/>
    <w:rsid w:val="00077F59"/>
    <w:rsid w:val="00082558"/>
    <w:rsid w:val="0008466F"/>
    <w:rsid w:val="00096201"/>
    <w:rsid w:val="00096976"/>
    <w:rsid w:val="000A13DF"/>
    <w:rsid w:val="000A227C"/>
    <w:rsid w:val="000B725E"/>
    <w:rsid w:val="000D0AD6"/>
    <w:rsid w:val="000D31E9"/>
    <w:rsid w:val="000D39CA"/>
    <w:rsid w:val="000E00C6"/>
    <w:rsid w:val="000E752D"/>
    <w:rsid w:val="000F6806"/>
    <w:rsid w:val="001048CF"/>
    <w:rsid w:val="001061D0"/>
    <w:rsid w:val="00106C03"/>
    <w:rsid w:val="001441B9"/>
    <w:rsid w:val="00197DDD"/>
    <w:rsid w:val="001C174C"/>
    <w:rsid w:val="001E2C0C"/>
    <w:rsid w:val="001F727A"/>
    <w:rsid w:val="00206019"/>
    <w:rsid w:val="00206C9F"/>
    <w:rsid w:val="00224C14"/>
    <w:rsid w:val="00234FEB"/>
    <w:rsid w:val="0023658B"/>
    <w:rsid w:val="00242B8D"/>
    <w:rsid w:val="002606DD"/>
    <w:rsid w:val="002739B9"/>
    <w:rsid w:val="00285DB3"/>
    <w:rsid w:val="00294CA2"/>
    <w:rsid w:val="00297C2E"/>
    <w:rsid w:val="002C0F2A"/>
    <w:rsid w:val="002D065A"/>
    <w:rsid w:val="002F3155"/>
    <w:rsid w:val="0030006C"/>
    <w:rsid w:val="0032198B"/>
    <w:rsid w:val="00347FB7"/>
    <w:rsid w:val="00365E52"/>
    <w:rsid w:val="00372FAD"/>
    <w:rsid w:val="00396634"/>
    <w:rsid w:val="003A609F"/>
    <w:rsid w:val="003B65FB"/>
    <w:rsid w:val="003C02D3"/>
    <w:rsid w:val="003D0E96"/>
    <w:rsid w:val="003D6714"/>
    <w:rsid w:val="003E0438"/>
    <w:rsid w:val="00413AE2"/>
    <w:rsid w:val="004265DF"/>
    <w:rsid w:val="00443547"/>
    <w:rsid w:val="00443A13"/>
    <w:rsid w:val="00452D3B"/>
    <w:rsid w:val="004B2C2B"/>
    <w:rsid w:val="004B71C7"/>
    <w:rsid w:val="004B79DB"/>
    <w:rsid w:val="004C119E"/>
    <w:rsid w:val="005249A2"/>
    <w:rsid w:val="00527DFB"/>
    <w:rsid w:val="00542FF1"/>
    <w:rsid w:val="005457C9"/>
    <w:rsid w:val="005510E3"/>
    <w:rsid w:val="00554F56"/>
    <w:rsid w:val="00592B43"/>
    <w:rsid w:val="005A0F03"/>
    <w:rsid w:val="005A310F"/>
    <w:rsid w:val="005A335D"/>
    <w:rsid w:val="005C45FC"/>
    <w:rsid w:val="005F3707"/>
    <w:rsid w:val="00610BCE"/>
    <w:rsid w:val="00625D66"/>
    <w:rsid w:val="00630975"/>
    <w:rsid w:val="006706BD"/>
    <w:rsid w:val="006734B3"/>
    <w:rsid w:val="00680BA2"/>
    <w:rsid w:val="006A0645"/>
    <w:rsid w:val="006A51A9"/>
    <w:rsid w:val="006B15E5"/>
    <w:rsid w:val="006C2B9C"/>
    <w:rsid w:val="006C3534"/>
    <w:rsid w:val="006C74F1"/>
    <w:rsid w:val="0070032A"/>
    <w:rsid w:val="00706D2D"/>
    <w:rsid w:val="0073510C"/>
    <w:rsid w:val="00745934"/>
    <w:rsid w:val="00754E59"/>
    <w:rsid w:val="00776F5E"/>
    <w:rsid w:val="00784F6D"/>
    <w:rsid w:val="007B5DE4"/>
    <w:rsid w:val="007C562A"/>
    <w:rsid w:val="007C5821"/>
    <w:rsid w:val="007D14E1"/>
    <w:rsid w:val="007D6336"/>
    <w:rsid w:val="007F3913"/>
    <w:rsid w:val="0080411A"/>
    <w:rsid w:val="0082336C"/>
    <w:rsid w:val="008259CA"/>
    <w:rsid w:val="00837A4D"/>
    <w:rsid w:val="00855F2E"/>
    <w:rsid w:val="00862B9B"/>
    <w:rsid w:val="00863BD7"/>
    <w:rsid w:val="0089148B"/>
    <w:rsid w:val="008922E8"/>
    <w:rsid w:val="008A3C95"/>
    <w:rsid w:val="008A665C"/>
    <w:rsid w:val="008B0F5F"/>
    <w:rsid w:val="008D3FAB"/>
    <w:rsid w:val="008F53FA"/>
    <w:rsid w:val="00905302"/>
    <w:rsid w:val="009154DD"/>
    <w:rsid w:val="00921816"/>
    <w:rsid w:val="00923B7A"/>
    <w:rsid w:val="00932109"/>
    <w:rsid w:val="00940E5A"/>
    <w:rsid w:val="00956D65"/>
    <w:rsid w:val="0098015D"/>
    <w:rsid w:val="0098436F"/>
    <w:rsid w:val="009C05ED"/>
    <w:rsid w:val="009C2355"/>
    <w:rsid w:val="009C2B23"/>
    <w:rsid w:val="009C647E"/>
    <w:rsid w:val="009F30C8"/>
    <w:rsid w:val="009F7F6F"/>
    <w:rsid w:val="00A05434"/>
    <w:rsid w:val="00A3193B"/>
    <w:rsid w:val="00A34547"/>
    <w:rsid w:val="00A70160"/>
    <w:rsid w:val="00A76A6E"/>
    <w:rsid w:val="00A76BA3"/>
    <w:rsid w:val="00A775A1"/>
    <w:rsid w:val="00A77B3E"/>
    <w:rsid w:val="00AB07D0"/>
    <w:rsid w:val="00AD6BE8"/>
    <w:rsid w:val="00B26587"/>
    <w:rsid w:val="00B334FA"/>
    <w:rsid w:val="00B3453D"/>
    <w:rsid w:val="00B81F4B"/>
    <w:rsid w:val="00B96F44"/>
    <w:rsid w:val="00BA3AED"/>
    <w:rsid w:val="00BD0CA3"/>
    <w:rsid w:val="00BD4553"/>
    <w:rsid w:val="00BD4AB1"/>
    <w:rsid w:val="00BD6AA1"/>
    <w:rsid w:val="00BF1BDF"/>
    <w:rsid w:val="00BF627C"/>
    <w:rsid w:val="00C2594D"/>
    <w:rsid w:val="00C465CD"/>
    <w:rsid w:val="00C50001"/>
    <w:rsid w:val="00C547D3"/>
    <w:rsid w:val="00C82BBB"/>
    <w:rsid w:val="00CA19E7"/>
    <w:rsid w:val="00CA2A55"/>
    <w:rsid w:val="00CA5147"/>
    <w:rsid w:val="00CB0D45"/>
    <w:rsid w:val="00CC2314"/>
    <w:rsid w:val="00CD3FDC"/>
    <w:rsid w:val="00CE32BB"/>
    <w:rsid w:val="00CF2AC6"/>
    <w:rsid w:val="00D104FF"/>
    <w:rsid w:val="00D12F5C"/>
    <w:rsid w:val="00D21A20"/>
    <w:rsid w:val="00D2620B"/>
    <w:rsid w:val="00D2734A"/>
    <w:rsid w:val="00D31888"/>
    <w:rsid w:val="00D327B0"/>
    <w:rsid w:val="00D35346"/>
    <w:rsid w:val="00D45D3F"/>
    <w:rsid w:val="00D637AF"/>
    <w:rsid w:val="00D710B5"/>
    <w:rsid w:val="00D775D4"/>
    <w:rsid w:val="00D8600F"/>
    <w:rsid w:val="00D963D2"/>
    <w:rsid w:val="00D97A9D"/>
    <w:rsid w:val="00DA52E9"/>
    <w:rsid w:val="00DA6486"/>
    <w:rsid w:val="00DB148F"/>
    <w:rsid w:val="00DE1DA7"/>
    <w:rsid w:val="00DF0728"/>
    <w:rsid w:val="00DF327F"/>
    <w:rsid w:val="00DF5806"/>
    <w:rsid w:val="00E064C7"/>
    <w:rsid w:val="00E16B10"/>
    <w:rsid w:val="00E36AE6"/>
    <w:rsid w:val="00E421BC"/>
    <w:rsid w:val="00E44344"/>
    <w:rsid w:val="00E60EC9"/>
    <w:rsid w:val="00E711A6"/>
    <w:rsid w:val="00E7676B"/>
    <w:rsid w:val="00E94337"/>
    <w:rsid w:val="00E978A9"/>
    <w:rsid w:val="00EA1516"/>
    <w:rsid w:val="00EE12DE"/>
    <w:rsid w:val="00EF6E67"/>
    <w:rsid w:val="00F3634D"/>
    <w:rsid w:val="00F4616D"/>
    <w:rsid w:val="00F57C20"/>
    <w:rsid w:val="00F72172"/>
    <w:rsid w:val="00F81BD2"/>
    <w:rsid w:val="00FA045A"/>
    <w:rsid w:val="00FA2300"/>
    <w:rsid w:val="00FA4167"/>
    <w:rsid w:val="00FE186A"/>
    <w:rsid w:val="00FF5C31"/>
    <w:rsid w:val="017D51F8"/>
    <w:rsid w:val="01F4603E"/>
    <w:rsid w:val="0219607A"/>
    <w:rsid w:val="024A0D73"/>
    <w:rsid w:val="02680A58"/>
    <w:rsid w:val="02686CCA"/>
    <w:rsid w:val="03A838C6"/>
    <w:rsid w:val="03EC3309"/>
    <w:rsid w:val="03F7699D"/>
    <w:rsid w:val="04CB4443"/>
    <w:rsid w:val="057365CB"/>
    <w:rsid w:val="057B3F1D"/>
    <w:rsid w:val="05F509B6"/>
    <w:rsid w:val="072769A1"/>
    <w:rsid w:val="07616A32"/>
    <w:rsid w:val="08C53DAE"/>
    <w:rsid w:val="08E939FE"/>
    <w:rsid w:val="09943DCF"/>
    <w:rsid w:val="09AD1791"/>
    <w:rsid w:val="0A65740C"/>
    <w:rsid w:val="0A9B3ED6"/>
    <w:rsid w:val="0AFA1CED"/>
    <w:rsid w:val="0AFB0755"/>
    <w:rsid w:val="0C5C7F42"/>
    <w:rsid w:val="0CA6347E"/>
    <w:rsid w:val="0CD8680E"/>
    <w:rsid w:val="0CF8500A"/>
    <w:rsid w:val="0D4940F6"/>
    <w:rsid w:val="0DF4382F"/>
    <w:rsid w:val="0EC4631E"/>
    <w:rsid w:val="0EE20FCF"/>
    <w:rsid w:val="0F5359AA"/>
    <w:rsid w:val="0F822976"/>
    <w:rsid w:val="100D10A3"/>
    <w:rsid w:val="10CF32D2"/>
    <w:rsid w:val="10D319F6"/>
    <w:rsid w:val="11021195"/>
    <w:rsid w:val="11B07065"/>
    <w:rsid w:val="12290F0F"/>
    <w:rsid w:val="13300CCB"/>
    <w:rsid w:val="146917D8"/>
    <w:rsid w:val="146C398D"/>
    <w:rsid w:val="148C2ACA"/>
    <w:rsid w:val="14FD5615"/>
    <w:rsid w:val="15452BAA"/>
    <w:rsid w:val="15640726"/>
    <w:rsid w:val="17115B6E"/>
    <w:rsid w:val="176309E5"/>
    <w:rsid w:val="18825098"/>
    <w:rsid w:val="19551151"/>
    <w:rsid w:val="198F18D2"/>
    <w:rsid w:val="1AA725C2"/>
    <w:rsid w:val="1AA90AEC"/>
    <w:rsid w:val="1B7D07C0"/>
    <w:rsid w:val="1BE32334"/>
    <w:rsid w:val="1C4E1A90"/>
    <w:rsid w:val="1C893B09"/>
    <w:rsid w:val="1CCF78A9"/>
    <w:rsid w:val="1D256BCC"/>
    <w:rsid w:val="1DB308E1"/>
    <w:rsid w:val="1F4C030F"/>
    <w:rsid w:val="206679EF"/>
    <w:rsid w:val="21202EDB"/>
    <w:rsid w:val="21DF59C4"/>
    <w:rsid w:val="221310A2"/>
    <w:rsid w:val="2229461E"/>
    <w:rsid w:val="22BD58CE"/>
    <w:rsid w:val="22DD008F"/>
    <w:rsid w:val="22DF57D5"/>
    <w:rsid w:val="23B73B30"/>
    <w:rsid w:val="23D755C8"/>
    <w:rsid w:val="23DE20A3"/>
    <w:rsid w:val="25DE3140"/>
    <w:rsid w:val="25F50AFC"/>
    <w:rsid w:val="263A7A55"/>
    <w:rsid w:val="263B20EF"/>
    <w:rsid w:val="2683717F"/>
    <w:rsid w:val="26906517"/>
    <w:rsid w:val="26B25F57"/>
    <w:rsid w:val="284B70A8"/>
    <w:rsid w:val="28543492"/>
    <w:rsid w:val="28A571E3"/>
    <w:rsid w:val="290D2A73"/>
    <w:rsid w:val="2A3E039E"/>
    <w:rsid w:val="2AF5296B"/>
    <w:rsid w:val="2B0752B9"/>
    <w:rsid w:val="2C4330B5"/>
    <w:rsid w:val="2C5064F4"/>
    <w:rsid w:val="2C6B3A7F"/>
    <w:rsid w:val="2D2F5C54"/>
    <w:rsid w:val="2D495CFF"/>
    <w:rsid w:val="2E776443"/>
    <w:rsid w:val="2EC1227B"/>
    <w:rsid w:val="2EDE1284"/>
    <w:rsid w:val="2EEC030E"/>
    <w:rsid w:val="2F082DB0"/>
    <w:rsid w:val="2F1F2685"/>
    <w:rsid w:val="2F5A427A"/>
    <w:rsid w:val="2F846539"/>
    <w:rsid w:val="30B81E12"/>
    <w:rsid w:val="318451F8"/>
    <w:rsid w:val="31A17503"/>
    <w:rsid w:val="324A1D0C"/>
    <w:rsid w:val="328D7C6B"/>
    <w:rsid w:val="32DD059D"/>
    <w:rsid w:val="34D327D1"/>
    <w:rsid w:val="351D7130"/>
    <w:rsid w:val="3524596B"/>
    <w:rsid w:val="35F07D12"/>
    <w:rsid w:val="363C4131"/>
    <w:rsid w:val="37A306D3"/>
    <w:rsid w:val="37A3765A"/>
    <w:rsid w:val="387E167B"/>
    <w:rsid w:val="38875333"/>
    <w:rsid w:val="39B35BEE"/>
    <w:rsid w:val="3A4858E4"/>
    <w:rsid w:val="3A84481B"/>
    <w:rsid w:val="3ABC0F88"/>
    <w:rsid w:val="3BE953CF"/>
    <w:rsid w:val="3C0821AE"/>
    <w:rsid w:val="3C301752"/>
    <w:rsid w:val="3C44050F"/>
    <w:rsid w:val="3C511801"/>
    <w:rsid w:val="3D2E185C"/>
    <w:rsid w:val="3D7300C6"/>
    <w:rsid w:val="3E60525E"/>
    <w:rsid w:val="3E6E1FE6"/>
    <w:rsid w:val="3EE563E4"/>
    <w:rsid w:val="3F143710"/>
    <w:rsid w:val="3F1B7A64"/>
    <w:rsid w:val="3F696BE1"/>
    <w:rsid w:val="3FA93C00"/>
    <w:rsid w:val="3FC048FF"/>
    <w:rsid w:val="40153A9A"/>
    <w:rsid w:val="405D21EC"/>
    <w:rsid w:val="40B120C2"/>
    <w:rsid w:val="410907C1"/>
    <w:rsid w:val="41BE17DF"/>
    <w:rsid w:val="42454BF7"/>
    <w:rsid w:val="439D2F7B"/>
    <w:rsid w:val="439D42A3"/>
    <w:rsid w:val="43CD57A8"/>
    <w:rsid w:val="44906E01"/>
    <w:rsid w:val="45D82FE5"/>
    <w:rsid w:val="45D94DDD"/>
    <w:rsid w:val="4617252F"/>
    <w:rsid w:val="46815B4E"/>
    <w:rsid w:val="46A265F4"/>
    <w:rsid w:val="46AB20A1"/>
    <w:rsid w:val="47CF46A1"/>
    <w:rsid w:val="47CF4BB4"/>
    <w:rsid w:val="48383CFE"/>
    <w:rsid w:val="48752286"/>
    <w:rsid w:val="487E2D56"/>
    <w:rsid w:val="48B601A7"/>
    <w:rsid w:val="48D4734F"/>
    <w:rsid w:val="48E159DB"/>
    <w:rsid w:val="49485ED5"/>
    <w:rsid w:val="496D4556"/>
    <w:rsid w:val="49BB6409"/>
    <w:rsid w:val="4AA77DC2"/>
    <w:rsid w:val="4B63042D"/>
    <w:rsid w:val="4B8A6185"/>
    <w:rsid w:val="4BA41077"/>
    <w:rsid w:val="4BF80F59"/>
    <w:rsid w:val="4C211B1B"/>
    <w:rsid w:val="4CBE0A83"/>
    <w:rsid w:val="4CDD65BE"/>
    <w:rsid w:val="4D2C1423"/>
    <w:rsid w:val="4E9A45BD"/>
    <w:rsid w:val="4EDF380A"/>
    <w:rsid w:val="4F185479"/>
    <w:rsid w:val="4F5851C6"/>
    <w:rsid w:val="4F830375"/>
    <w:rsid w:val="4FA25BC9"/>
    <w:rsid w:val="50017CE6"/>
    <w:rsid w:val="501B4839"/>
    <w:rsid w:val="506B4299"/>
    <w:rsid w:val="50AB0C9B"/>
    <w:rsid w:val="51935E0D"/>
    <w:rsid w:val="51A4797F"/>
    <w:rsid w:val="51EB2034"/>
    <w:rsid w:val="52207EC3"/>
    <w:rsid w:val="527373F6"/>
    <w:rsid w:val="52F956FC"/>
    <w:rsid w:val="53242D14"/>
    <w:rsid w:val="53907382"/>
    <w:rsid w:val="53957854"/>
    <w:rsid w:val="53C121F4"/>
    <w:rsid w:val="53DF65F0"/>
    <w:rsid w:val="53E767EC"/>
    <w:rsid w:val="542C34FB"/>
    <w:rsid w:val="546420E5"/>
    <w:rsid w:val="54805D20"/>
    <w:rsid w:val="5496659F"/>
    <w:rsid w:val="54E010C3"/>
    <w:rsid w:val="55166BA6"/>
    <w:rsid w:val="552E198E"/>
    <w:rsid w:val="569E1698"/>
    <w:rsid w:val="56C55A93"/>
    <w:rsid w:val="58AE47AD"/>
    <w:rsid w:val="58FA12F3"/>
    <w:rsid w:val="590148AE"/>
    <w:rsid w:val="596D441B"/>
    <w:rsid w:val="59F12456"/>
    <w:rsid w:val="5ACC1FB2"/>
    <w:rsid w:val="5B3F025C"/>
    <w:rsid w:val="5B96597F"/>
    <w:rsid w:val="5CF56EBB"/>
    <w:rsid w:val="5EBD747F"/>
    <w:rsid w:val="5F376565"/>
    <w:rsid w:val="5F73556C"/>
    <w:rsid w:val="5F834BFC"/>
    <w:rsid w:val="62047214"/>
    <w:rsid w:val="629B1F69"/>
    <w:rsid w:val="642D77D6"/>
    <w:rsid w:val="649C0FA2"/>
    <w:rsid w:val="64D035D9"/>
    <w:rsid w:val="65CD1352"/>
    <w:rsid w:val="6634366A"/>
    <w:rsid w:val="66375E2B"/>
    <w:rsid w:val="66506080"/>
    <w:rsid w:val="66A00001"/>
    <w:rsid w:val="66A9571C"/>
    <w:rsid w:val="66FC1395"/>
    <w:rsid w:val="68464F5A"/>
    <w:rsid w:val="686626B1"/>
    <w:rsid w:val="68AD014A"/>
    <w:rsid w:val="69163C53"/>
    <w:rsid w:val="69E77600"/>
    <w:rsid w:val="6A1F502C"/>
    <w:rsid w:val="6A50109C"/>
    <w:rsid w:val="6AAB5178"/>
    <w:rsid w:val="6AEB4476"/>
    <w:rsid w:val="6B590FEB"/>
    <w:rsid w:val="6BB82462"/>
    <w:rsid w:val="6C1051AF"/>
    <w:rsid w:val="6C9E432E"/>
    <w:rsid w:val="6CC06057"/>
    <w:rsid w:val="6CF60C4E"/>
    <w:rsid w:val="6D47516E"/>
    <w:rsid w:val="6D66431E"/>
    <w:rsid w:val="6DFC7242"/>
    <w:rsid w:val="6E597950"/>
    <w:rsid w:val="6F1A530F"/>
    <w:rsid w:val="70712938"/>
    <w:rsid w:val="70D8481F"/>
    <w:rsid w:val="70E80509"/>
    <w:rsid w:val="71562970"/>
    <w:rsid w:val="71935C3C"/>
    <w:rsid w:val="72243EF3"/>
    <w:rsid w:val="723745BA"/>
    <w:rsid w:val="72AD756B"/>
    <w:rsid w:val="73481F73"/>
    <w:rsid w:val="738148D8"/>
    <w:rsid w:val="73A76CE0"/>
    <w:rsid w:val="73B70C4D"/>
    <w:rsid w:val="747D1C1D"/>
    <w:rsid w:val="747F22A2"/>
    <w:rsid w:val="749A5A0E"/>
    <w:rsid w:val="75120391"/>
    <w:rsid w:val="751F586B"/>
    <w:rsid w:val="7538778E"/>
    <w:rsid w:val="75FA5CF6"/>
    <w:rsid w:val="76144EC1"/>
    <w:rsid w:val="765C7117"/>
    <w:rsid w:val="76D73877"/>
    <w:rsid w:val="77603E18"/>
    <w:rsid w:val="77FE108F"/>
    <w:rsid w:val="781967DD"/>
    <w:rsid w:val="785A7E77"/>
    <w:rsid w:val="78C84DCE"/>
    <w:rsid w:val="7919749D"/>
    <w:rsid w:val="798D0FD8"/>
    <w:rsid w:val="79B9373F"/>
    <w:rsid w:val="7A1A4F0C"/>
    <w:rsid w:val="7A24276A"/>
    <w:rsid w:val="7A682C29"/>
    <w:rsid w:val="7AD631D8"/>
    <w:rsid w:val="7C227BA1"/>
    <w:rsid w:val="7D0F756E"/>
    <w:rsid w:val="7DB54F93"/>
    <w:rsid w:val="7DC3231B"/>
    <w:rsid w:val="7FB42F62"/>
    <w:rsid w:val="7FBE4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001AC5"/>
  <w15:docId w15:val="{89E4C9A9-E4AD-450B-9BCC-A716DA7B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rFonts w:ascii="Tahoma" w:hAnsi="Tahoma" w:cs="Tahoma"/>
      <w:sz w:val="16"/>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rFonts w:ascii="Times New Roman" w:hAnsi="Times New Roman" w:cs="Times New Roman"/>
      <w:b/>
      <w:bCs/>
      <w:sz w:val="24"/>
      <w:szCs w:val="24"/>
    </w:rPr>
  </w:style>
  <w:style w:type="table" w:styleId="ac">
    <w:name w:val="Table Grid"/>
    <w:basedOn w:val="a1"/>
    <w:uiPriority w:val="3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Hyperlink"/>
    <w:basedOn w:val="a0"/>
    <w:unhideWhenUsed/>
    <w:qFormat/>
    <w:rPr>
      <w:color w:val="0000FF" w:themeColor="hyperlink"/>
      <w:u w:val="single"/>
    </w:rPr>
  </w:style>
  <w:style w:type="character" w:styleId="af">
    <w:name w:val="annotation reference"/>
    <w:qFormat/>
    <w:rPr>
      <w:rFonts w:ascii="Tahoma" w:hAnsi="Tahoma" w:cs="Tahoma"/>
      <w:sz w:val="16"/>
      <w:szCs w:val="16"/>
      <w:u w:val="none"/>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a4">
    <w:name w:val="批注文字 字符"/>
    <w:basedOn w:val="a0"/>
    <w:link w:val="a3"/>
    <w:qFormat/>
    <w:rPr>
      <w:rFonts w:ascii="Tahoma" w:eastAsiaTheme="minorEastAsia" w:hAnsi="Tahoma" w:cs="Tahoma"/>
      <w:sz w:val="16"/>
      <w:lang w:eastAsia="en-US"/>
    </w:rPr>
  </w:style>
  <w:style w:type="character" w:customStyle="1" w:styleId="ab">
    <w:name w:val="批注主题 字符"/>
    <w:basedOn w:val="a4"/>
    <w:link w:val="aa"/>
    <w:semiHidden/>
    <w:qFormat/>
    <w:rPr>
      <w:rFonts w:ascii="Tahoma" w:eastAsiaTheme="minorEastAsia" w:hAnsi="Tahoma" w:cs="Tahoma"/>
      <w:b/>
      <w:bCs/>
      <w:sz w:val="24"/>
      <w:szCs w:val="24"/>
      <w:lang w:eastAsia="en-US"/>
    </w:rPr>
  </w:style>
  <w:style w:type="character" w:customStyle="1" w:styleId="id-label">
    <w:name w:val="id-label"/>
    <w:basedOn w:val="a0"/>
    <w:qFormat/>
  </w:style>
  <w:style w:type="paragraph" w:customStyle="1" w:styleId="3">
    <w:name w:val="修订3"/>
    <w:hidden/>
    <w:uiPriority w:val="99"/>
    <w:semiHidden/>
    <w:qFormat/>
    <w:rPr>
      <w:rFonts w:eastAsiaTheme="minorEastAsia"/>
      <w:sz w:val="24"/>
      <w:szCs w:val="24"/>
      <w:lang w:eastAsia="en-US"/>
    </w:rPr>
  </w:style>
  <w:style w:type="paragraph" w:customStyle="1" w:styleId="4">
    <w:name w:val="修订4"/>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paragraph" w:styleId="af0">
    <w:name w:val="Revision"/>
    <w:hidden/>
    <w:uiPriority w:val="99"/>
    <w:semiHidden/>
    <w:rsid w:val="00C82BB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kns.cnki.net/KNS8/Detail/RedirectScholar?flag=TitleLink&amp;tablename=SJWDLAST&amp;filename=SJWD2F56E37246FADEDD07DCCAE255D9A83F"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EF285-E857-478A-ACF1-7070C7E4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3520</Words>
  <Characters>20069</Characters>
  <Application>Microsoft Office Word</Application>
  <DocSecurity>0</DocSecurity>
  <Lines>167</Lines>
  <Paragraphs>47</Paragraphs>
  <ScaleCrop>false</ScaleCrop>
  <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2022-03-15T09:16:00Z</dcterms:created>
  <dcterms:modified xsi:type="dcterms:W3CDTF">2022-03-15T09:16:00Z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27FB494D84A74BD396EBEE185205AD23</vt:lpwstr>
  </property>
</Properties>
</file>