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2CB3" w14:textId="49A95630"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Name</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of</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Journal:</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i/>
          <w:color w:val="000000"/>
        </w:rPr>
        <w:t>World</w:t>
      </w:r>
      <w:r w:rsidR="007D2104" w:rsidRPr="007D2104">
        <w:rPr>
          <w:rFonts w:ascii="Book Antiqua" w:eastAsia="Book Antiqua" w:hAnsi="Book Antiqua" w:cs="Book Antiqua"/>
          <w:i/>
          <w:color w:val="000000"/>
        </w:rPr>
        <w:t xml:space="preserve"> </w:t>
      </w:r>
      <w:r w:rsidRPr="007D2104">
        <w:rPr>
          <w:rFonts w:ascii="Book Antiqua" w:eastAsia="Book Antiqua" w:hAnsi="Book Antiqua" w:cs="Book Antiqua"/>
          <w:i/>
          <w:color w:val="000000"/>
        </w:rPr>
        <w:t>Journal</w:t>
      </w:r>
      <w:r w:rsidR="007D2104" w:rsidRPr="007D2104">
        <w:rPr>
          <w:rFonts w:ascii="Book Antiqua" w:eastAsia="Book Antiqua" w:hAnsi="Book Antiqua" w:cs="Book Antiqua"/>
          <w:i/>
          <w:color w:val="000000"/>
        </w:rPr>
        <w:t xml:space="preserve"> </w:t>
      </w:r>
      <w:r w:rsidRPr="007D2104">
        <w:rPr>
          <w:rFonts w:ascii="Book Antiqua" w:eastAsia="Book Antiqua" w:hAnsi="Book Antiqua" w:cs="Book Antiqua"/>
          <w:i/>
          <w:color w:val="000000"/>
        </w:rPr>
        <w:t>of</w:t>
      </w:r>
      <w:r w:rsidR="007D2104" w:rsidRPr="007D2104">
        <w:rPr>
          <w:rFonts w:ascii="Book Antiqua" w:eastAsia="Book Antiqua" w:hAnsi="Book Antiqua" w:cs="Book Antiqua"/>
          <w:i/>
          <w:color w:val="000000"/>
        </w:rPr>
        <w:t xml:space="preserve"> </w:t>
      </w:r>
      <w:r w:rsidRPr="007D2104">
        <w:rPr>
          <w:rFonts w:ascii="Book Antiqua" w:eastAsia="Book Antiqua" w:hAnsi="Book Antiqua" w:cs="Book Antiqua"/>
          <w:i/>
          <w:color w:val="000000"/>
        </w:rPr>
        <w:t>Clinical</w:t>
      </w:r>
      <w:r w:rsidR="007D2104" w:rsidRPr="007D2104">
        <w:rPr>
          <w:rFonts w:ascii="Book Antiqua" w:eastAsia="Book Antiqua" w:hAnsi="Book Antiqua" w:cs="Book Antiqua"/>
          <w:i/>
          <w:color w:val="000000"/>
        </w:rPr>
        <w:t xml:space="preserve"> </w:t>
      </w:r>
      <w:r w:rsidRPr="007D2104">
        <w:rPr>
          <w:rFonts w:ascii="Book Antiqua" w:eastAsia="Book Antiqua" w:hAnsi="Book Antiqua" w:cs="Book Antiqua"/>
          <w:i/>
          <w:color w:val="000000"/>
        </w:rPr>
        <w:t>Cases</w:t>
      </w:r>
    </w:p>
    <w:p w14:paraId="3F1A9B70" w14:textId="21A5B06A"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Manuscript</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NO:</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color w:val="000000"/>
        </w:rPr>
        <w:t>72765</w:t>
      </w:r>
    </w:p>
    <w:p w14:paraId="7AC9DD84" w14:textId="3D463F3E"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Manuscript</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Type:</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color w:val="000000"/>
        </w:rPr>
        <w:t>CASE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REPORT</w:t>
      </w:r>
    </w:p>
    <w:p w14:paraId="2D441C3F" w14:textId="77777777" w:rsidR="00A77B3E" w:rsidRPr="007D2104" w:rsidRDefault="00A77B3E" w:rsidP="007D2104">
      <w:pPr>
        <w:spacing w:line="360" w:lineRule="auto"/>
        <w:jc w:val="both"/>
        <w:rPr>
          <w:rFonts w:ascii="Book Antiqua" w:hAnsi="Book Antiqua"/>
        </w:rPr>
      </w:pPr>
    </w:p>
    <w:p w14:paraId="28FC6A24" w14:textId="2D7E4F3E"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Liver</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transplantation</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for</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late-onset</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ornithine</w:t>
      </w:r>
      <w:r w:rsidR="007D2104" w:rsidRPr="007D2104">
        <w:rPr>
          <w:rFonts w:ascii="Book Antiqua" w:eastAsia="Book Antiqua" w:hAnsi="Book Antiqua" w:cs="Book Antiqua"/>
          <w:b/>
          <w:bCs/>
          <w:color w:val="000000"/>
        </w:rPr>
        <w:t xml:space="preserve"> </w:t>
      </w:r>
      <w:proofErr w:type="spellStart"/>
      <w:r w:rsidRPr="007D2104">
        <w:rPr>
          <w:rFonts w:ascii="Book Antiqua" w:eastAsia="Book Antiqua" w:hAnsi="Book Antiqua" w:cs="Book Antiqua"/>
          <w:b/>
          <w:bCs/>
          <w:color w:val="000000"/>
        </w:rPr>
        <w:t>transcarbamylase</w:t>
      </w:r>
      <w:proofErr w:type="spellEnd"/>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deficiency:</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A</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case</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report</w:t>
      </w:r>
    </w:p>
    <w:p w14:paraId="7680A4F7" w14:textId="77777777" w:rsidR="00A77B3E" w:rsidRPr="007D2104" w:rsidRDefault="00A77B3E" w:rsidP="007D2104">
      <w:pPr>
        <w:spacing w:line="360" w:lineRule="auto"/>
        <w:jc w:val="both"/>
        <w:rPr>
          <w:rFonts w:ascii="Book Antiqua" w:hAnsi="Book Antiqua"/>
        </w:rPr>
      </w:pPr>
    </w:p>
    <w:p w14:paraId="40459948" w14:textId="59055FCA" w:rsidR="00A77B3E" w:rsidRPr="007D2104" w:rsidRDefault="000E2D8D" w:rsidP="007D2104">
      <w:pPr>
        <w:spacing w:line="360" w:lineRule="auto"/>
        <w:jc w:val="both"/>
        <w:rPr>
          <w:rFonts w:ascii="Book Antiqua" w:hAnsi="Book Antiqua"/>
        </w:rPr>
      </w:pPr>
      <w:r w:rsidRPr="007D2104">
        <w:rPr>
          <w:rFonts w:ascii="Book Antiqua" w:eastAsia="Book Antiqua" w:hAnsi="Book Antiqua" w:cs="Book Antiqua"/>
          <w:color w:val="000000"/>
        </w:rPr>
        <w:t>Fu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XH</w:t>
      </w:r>
      <w:r w:rsidR="007D2104" w:rsidRPr="007D2104">
        <w:rPr>
          <w:rFonts w:ascii="Book Antiqua" w:eastAsia="Book Antiqua" w:hAnsi="Book Antiqua" w:cs="Book Antiqua"/>
          <w:color w:val="000000"/>
        </w:rPr>
        <w:t xml:space="preserve"> </w:t>
      </w:r>
      <w:r w:rsidRPr="00512E8E">
        <w:rPr>
          <w:rFonts w:ascii="Book Antiqua" w:eastAsia="Book Antiqua" w:hAnsi="Book Antiqua" w:cs="Book Antiqua"/>
          <w:i/>
          <w:iCs/>
          <w:color w:val="000000"/>
        </w:rPr>
        <w:t>et</w:t>
      </w:r>
      <w:r w:rsidR="007D2104" w:rsidRPr="00512E8E">
        <w:rPr>
          <w:rFonts w:ascii="Book Antiqua" w:eastAsia="Book Antiqua" w:hAnsi="Book Antiqua" w:cs="Book Antiqua"/>
          <w:i/>
          <w:iCs/>
          <w:color w:val="000000"/>
        </w:rPr>
        <w:t xml:space="preserve"> </w:t>
      </w:r>
      <w:r w:rsidRPr="00512E8E">
        <w:rPr>
          <w:rFonts w:ascii="Book Antiqua" w:eastAsia="Book Antiqua" w:hAnsi="Book Antiqua" w:cs="Book Antiqua"/>
          <w:i/>
          <w:iCs/>
          <w:color w:val="000000"/>
        </w:rPr>
        <w:t>al</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008846B4"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008846B4" w:rsidRPr="007D2104">
        <w:rPr>
          <w:rFonts w:ascii="Book Antiqua" w:eastAsia="Book Antiqua" w:hAnsi="Book Antiqua" w:cs="Book Antiqua"/>
          <w:color w:val="000000"/>
        </w:rPr>
        <w:t>transplantation</w:t>
      </w:r>
      <w:r w:rsidR="007D2104" w:rsidRPr="007D2104">
        <w:rPr>
          <w:rFonts w:ascii="Book Antiqua" w:eastAsia="Book Antiqua" w:hAnsi="Book Antiqua" w:cs="Book Antiqua"/>
          <w:color w:val="000000"/>
        </w:rPr>
        <w:t xml:space="preserve"> </w:t>
      </w:r>
      <w:r w:rsidR="008846B4"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008846B4" w:rsidRPr="007D2104">
        <w:rPr>
          <w:rFonts w:ascii="Book Antiqua" w:eastAsia="Book Antiqua" w:hAnsi="Book Antiqua" w:cs="Book Antiqua"/>
          <w:color w:val="000000"/>
        </w:rPr>
        <w:t>ornithine</w:t>
      </w:r>
      <w:r w:rsidR="007D2104" w:rsidRPr="007D2104">
        <w:rPr>
          <w:rFonts w:ascii="Book Antiqua" w:eastAsia="Book Antiqua" w:hAnsi="Book Antiqua" w:cs="Book Antiqua"/>
          <w:color w:val="000000"/>
        </w:rPr>
        <w:t xml:space="preserve"> </w:t>
      </w:r>
      <w:proofErr w:type="spellStart"/>
      <w:r w:rsidR="008846B4" w:rsidRPr="007D2104">
        <w:rPr>
          <w:rFonts w:ascii="Book Antiqua" w:eastAsia="Book Antiqua" w:hAnsi="Book Antiqua" w:cs="Book Antiqua"/>
          <w:color w:val="000000"/>
        </w:rPr>
        <w:t>transcarbamylase</w:t>
      </w:r>
      <w:proofErr w:type="spellEnd"/>
      <w:r w:rsidR="007D2104" w:rsidRPr="007D2104">
        <w:rPr>
          <w:rFonts w:ascii="Book Antiqua" w:eastAsia="Book Antiqua" w:hAnsi="Book Antiqua" w:cs="Book Antiqua"/>
          <w:color w:val="000000"/>
        </w:rPr>
        <w:t xml:space="preserve"> </w:t>
      </w:r>
      <w:r w:rsidR="008846B4" w:rsidRPr="007D2104">
        <w:rPr>
          <w:rFonts w:ascii="Book Antiqua" w:eastAsia="Book Antiqua" w:hAnsi="Book Antiqua" w:cs="Book Antiqua"/>
          <w:color w:val="000000"/>
        </w:rPr>
        <w:t>deficiency</w:t>
      </w:r>
    </w:p>
    <w:p w14:paraId="49163B3E" w14:textId="77777777" w:rsidR="00A77B3E" w:rsidRPr="007D2104" w:rsidRDefault="00A77B3E" w:rsidP="007D2104">
      <w:pPr>
        <w:spacing w:line="360" w:lineRule="auto"/>
        <w:jc w:val="both"/>
        <w:rPr>
          <w:rFonts w:ascii="Book Antiqua" w:hAnsi="Book Antiqua"/>
        </w:rPr>
      </w:pPr>
    </w:p>
    <w:p w14:paraId="74EB9C6D" w14:textId="2E7B9BD2"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Xiao-Hui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Yu-Hui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Jian-Xiang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Liao,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Zhan-Qi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Jia-</w:t>
      </w:r>
      <w:proofErr w:type="spellStart"/>
      <w:r w:rsidRPr="007D2104">
        <w:rPr>
          <w:rFonts w:ascii="Book Antiqua" w:eastAsia="Book Antiqua" w:hAnsi="Book Antiqua" w:cs="Book Antiqua"/>
          <w:color w:val="000000"/>
        </w:rPr>
        <w:t>Lun</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Shu-Li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Chen</w:t>
      </w:r>
    </w:p>
    <w:p w14:paraId="0DDCF8D0" w14:textId="77777777" w:rsidR="00A77B3E" w:rsidRPr="007D2104" w:rsidRDefault="00A77B3E" w:rsidP="007D2104">
      <w:pPr>
        <w:spacing w:line="360" w:lineRule="auto"/>
        <w:jc w:val="both"/>
        <w:rPr>
          <w:rFonts w:ascii="Book Antiqua" w:hAnsi="Book Antiqua"/>
        </w:rPr>
      </w:pPr>
    </w:p>
    <w:p w14:paraId="7141F6BC" w14:textId="73A042B5"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Xiao-Hui</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Fu,</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Yu-Hui</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Hu,</w:t>
      </w:r>
      <w:r w:rsidR="007D2104" w:rsidRPr="007D2104">
        <w:rPr>
          <w:rFonts w:ascii="Book Antiqua" w:eastAsia="Book Antiqua" w:hAnsi="Book Antiqua" w:cs="Book Antiqua"/>
          <w:b/>
          <w:bCs/>
          <w:color w:val="000000"/>
        </w:rPr>
        <w:t xml:space="preserve"> </w:t>
      </w:r>
      <w:r w:rsidR="000E2D8D" w:rsidRPr="007D2104">
        <w:rPr>
          <w:rFonts w:ascii="Book Antiqua" w:eastAsia="Book Antiqua" w:hAnsi="Book Antiqua" w:cs="Book Antiqua"/>
          <w:b/>
          <w:bCs/>
          <w:color w:val="000000"/>
        </w:rPr>
        <w:t>Shu-Li</w:t>
      </w:r>
      <w:r w:rsidR="007D2104" w:rsidRPr="007D2104">
        <w:rPr>
          <w:rFonts w:ascii="Book Antiqua" w:eastAsia="Book Antiqua" w:hAnsi="Book Antiqua" w:cs="Book Antiqua"/>
          <w:b/>
          <w:bCs/>
          <w:color w:val="000000"/>
        </w:rPr>
        <w:t xml:space="preserve"> </w:t>
      </w:r>
      <w:r w:rsidR="000E2D8D" w:rsidRPr="007D2104">
        <w:rPr>
          <w:rFonts w:ascii="Book Antiqua" w:eastAsia="Book Antiqua" w:hAnsi="Book Antiqua" w:cs="Book Antiqua"/>
          <w:b/>
          <w:bCs/>
          <w:color w:val="000000"/>
        </w:rPr>
        <w:t>Chen,</w:t>
      </w:r>
      <w:r w:rsidR="007D2104" w:rsidRPr="007D2104">
        <w:rPr>
          <w:rFonts w:ascii="Book Antiqua" w:eastAsia="Book Antiqua" w:hAnsi="Book Antiqua" w:cs="Book Antiqua"/>
          <w:b/>
          <w:bCs/>
          <w:color w:val="000000"/>
        </w:rPr>
        <w:t xml:space="preserve"> </w:t>
      </w:r>
      <w:r w:rsidR="00F70EB0" w:rsidRPr="007D2104">
        <w:rPr>
          <w:rFonts w:ascii="Book Antiqua" w:eastAsia="Book Antiqua" w:hAnsi="Book Antiqua" w:cs="Book Antiqua"/>
          <w:color w:val="000000"/>
        </w:rPr>
        <w:t xml:space="preserve">Department of </w:t>
      </w:r>
      <w:r w:rsidRPr="007D2104">
        <w:rPr>
          <w:rFonts w:ascii="Book Antiqua" w:eastAsia="Book Antiqua" w:hAnsi="Book Antiqua" w:cs="Book Antiqua"/>
          <w:color w:val="000000"/>
        </w:rPr>
        <w:t>Inherited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Metabolic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Affiliated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China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Medical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University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Shenzhen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Children</w:t>
      </w:r>
      <w:r w:rsidR="000E2D8D" w:rsidRPr="007D2104">
        <w:rPr>
          <w:rFonts w:ascii="Book Antiqua" w:eastAsia="Book Antiqua" w:hAnsi="Book Antiqua" w:cs="Book Antiqua"/>
          <w:color w:val="000000"/>
        </w:rPr>
        <w:t>’</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Shenzhen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518038,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Guangdong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Province,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China</w:t>
      </w:r>
    </w:p>
    <w:p w14:paraId="0AA38CD3" w14:textId="77777777" w:rsidR="00A77B3E" w:rsidRPr="007D2104" w:rsidRDefault="00A77B3E" w:rsidP="007D2104">
      <w:pPr>
        <w:spacing w:line="360" w:lineRule="auto"/>
        <w:jc w:val="both"/>
        <w:rPr>
          <w:rFonts w:ascii="Book Antiqua" w:hAnsi="Book Antiqua"/>
        </w:rPr>
      </w:pPr>
    </w:p>
    <w:p w14:paraId="3F5E3E50" w14:textId="63B494A1"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Jian-Xiang</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Liao,</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Li</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Chen,</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Zhan-Qi</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Hu,</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Jia-</w:t>
      </w:r>
      <w:proofErr w:type="spellStart"/>
      <w:r w:rsidRPr="007D2104">
        <w:rPr>
          <w:rFonts w:ascii="Book Antiqua" w:eastAsia="Book Antiqua" w:hAnsi="Book Antiqua" w:cs="Book Antiqua"/>
          <w:b/>
          <w:bCs/>
          <w:color w:val="000000"/>
        </w:rPr>
        <w:t>Lun</w:t>
      </w:r>
      <w:proofErr w:type="spellEnd"/>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Wen,</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color w:val="000000"/>
        </w:rPr>
        <w:t>Department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Neurology,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Affiliated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China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Medical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University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Shenzhen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Children</w:t>
      </w:r>
      <w:r w:rsidR="000E2D8D" w:rsidRPr="007D2104">
        <w:rPr>
          <w:rFonts w:ascii="Book Antiqua" w:eastAsia="Book Antiqua" w:hAnsi="Book Antiqua" w:cs="Book Antiqua"/>
          <w:color w:val="000000"/>
        </w:rPr>
        <w:t>’</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Shenzhen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518038,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Guangdong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Province,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China</w:t>
      </w:r>
    </w:p>
    <w:p w14:paraId="00A4960C" w14:textId="77777777" w:rsidR="00A77B3E" w:rsidRPr="007D2104" w:rsidRDefault="00A77B3E" w:rsidP="007D2104">
      <w:pPr>
        <w:spacing w:line="360" w:lineRule="auto"/>
        <w:jc w:val="both"/>
        <w:rPr>
          <w:rFonts w:ascii="Book Antiqua" w:hAnsi="Book Antiqua"/>
        </w:rPr>
      </w:pPr>
    </w:p>
    <w:p w14:paraId="451CF658" w14:textId="33C640EA"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Author</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contributions:</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color w:val="000000"/>
        </w:rPr>
        <w:t>Hu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Liao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JX,</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ZQ</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responsible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management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XH</w:t>
      </w:r>
      <w:r w:rsidR="007D2104" w:rsidRPr="007D2104">
        <w:rPr>
          <w:rFonts w:ascii="Book Antiqua" w:eastAsia="Book Antiqua" w:hAnsi="Book Antiqua" w:cs="Book Antiqua"/>
          <w:color w:val="000000"/>
        </w:rPr>
        <w:t xml:space="preserve"> </w:t>
      </w:r>
      <w:r w:rsidR="000E2D8D" w:rsidRPr="007D2104">
        <w:rPr>
          <w:rFonts w:ascii="Book Antiqua" w:eastAsia="Book Antiqua" w:hAnsi="Book Antiqua" w:cs="Book Antiqua"/>
          <w:color w:val="000000"/>
        </w:rPr>
        <w:t>a</w:t>
      </w:r>
      <w:r w:rsidRPr="007D2104">
        <w:rPr>
          <w:rFonts w:ascii="Book Antiqua" w:eastAsia="Book Antiqua" w:hAnsi="Book Antiqua" w:cs="Book Antiqua"/>
          <w:color w:val="000000"/>
        </w:rPr>
        <w:t>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collected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77335C">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000E2D8D" w:rsidRPr="007D2104">
        <w:rPr>
          <w:rFonts w:ascii="Book Antiqua" w:eastAsia="Book Antiqua" w:hAnsi="Book Antiqua" w:cs="Book Antiqua"/>
          <w:color w:val="000000"/>
        </w:rPr>
        <w:t>c</w:t>
      </w:r>
      <w:r w:rsidRPr="007D2104">
        <w:rPr>
          <w:rFonts w:ascii="Book Antiqua" w:eastAsia="Book Antiqua" w:hAnsi="Book Antiqua" w:cs="Book Antiqua"/>
          <w:color w:val="000000"/>
        </w:rPr>
        <w:t>linical</w:t>
      </w:r>
      <w:r w:rsidR="007D2104" w:rsidRPr="007D2104">
        <w:rPr>
          <w:rFonts w:ascii="Book Antiqua" w:eastAsia="Book Antiqua" w:hAnsi="Book Antiqua" w:cs="Book Antiqua"/>
          <w:color w:val="000000"/>
        </w:rPr>
        <w:t xml:space="preserve"> </w:t>
      </w:r>
      <w:r w:rsidR="000E2D8D" w:rsidRPr="007D2104">
        <w:rPr>
          <w:rFonts w:ascii="Book Antiqua" w:eastAsia="Book Antiqua" w:hAnsi="Book Antiqua" w:cs="Book Antiqua"/>
          <w:color w:val="000000"/>
        </w:rPr>
        <w:t>d</w:t>
      </w:r>
      <w:r w:rsidRPr="007D2104">
        <w:rPr>
          <w:rFonts w:ascii="Book Antiqua" w:eastAsia="Book Antiqua" w:hAnsi="Book Antiqua" w:cs="Book Antiqua"/>
          <w:color w:val="000000"/>
        </w:rPr>
        <w:t>ata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wrote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paper;</w:t>
      </w:r>
      <w:r w:rsidR="007D2104" w:rsidRPr="007D2104">
        <w:rPr>
          <w:rFonts w:ascii="Book Antiqua" w:eastAsia="Book Antiqua" w:hAnsi="Book Antiqua" w:cs="Book Antiqua"/>
          <w:color w:val="000000"/>
        </w:rPr>
        <w:t xml:space="preserve"> </w:t>
      </w:r>
      <w:r w:rsidR="000E2D8D" w:rsidRPr="007D2104">
        <w:rPr>
          <w:rFonts w:ascii="Book Antiqua" w:eastAsia="Book Antiqua" w:hAnsi="Book Antiqua" w:cs="Book Antiqua"/>
          <w:color w:val="000000"/>
        </w:rPr>
        <w:t>a</w:t>
      </w:r>
      <w:r w:rsidRPr="007D2104">
        <w:rPr>
          <w:rFonts w:ascii="Book Antiqua" w:eastAsia="Book Antiqua" w:hAnsi="Book Antiqua" w:cs="Book Antiqua"/>
          <w:color w:val="000000"/>
        </w:rPr>
        <w:t>ll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authors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involved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writing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manuscript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read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approved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final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manuscript.</w:t>
      </w:r>
    </w:p>
    <w:p w14:paraId="0323595A" w14:textId="77777777" w:rsidR="00A77B3E" w:rsidRPr="007D2104" w:rsidRDefault="00A77B3E" w:rsidP="007D2104">
      <w:pPr>
        <w:spacing w:line="360" w:lineRule="auto"/>
        <w:jc w:val="both"/>
        <w:rPr>
          <w:rFonts w:ascii="Book Antiqua" w:hAnsi="Book Antiqua"/>
        </w:rPr>
      </w:pPr>
    </w:p>
    <w:p w14:paraId="7E27864B" w14:textId="23794C7F"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Supported</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by</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Sanming</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Project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Medicine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Shenzhen,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SZSM201812005</w:t>
      </w:r>
      <w:r w:rsidR="002F1CB1" w:rsidRPr="007D2104">
        <w:rPr>
          <w:rFonts w:ascii="Book Antiqua" w:eastAsia="Book Antiqua" w:hAnsi="Book Antiqua" w:cs="Book Antiqua"/>
          <w:color w:val="000000"/>
        </w:rPr>
        <w:t>.</w:t>
      </w:r>
    </w:p>
    <w:p w14:paraId="4D57D8B8" w14:textId="77777777" w:rsidR="00A77B3E" w:rsidRPr="007D2104" w:rsidRDefault="00A77B3E" w:rsidP="007D2104">
      <w:pPr>
        <w:spacing w:line="360" w:lineRule="auto"/>
        <w:jc w:val="both"/>
        <w:rPr>
          <w:rFonts w:ascii="Book Antiqua" w:hAnsi="Book Antiqua"/>
        </w:rPr>
      </w:pPr>
    </w:p>
    <w:p w14:paraId="3E21E3C9" w14:textId="6FB25D06"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Corresponding</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author:</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Shu-Li</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Chen,</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PhD,</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Chief</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Doctor,</w:t>
      </w:r>
      <w:r w:rsidR="007D2104" w:rsidRPr="007D2104">
        <w:rPr>
          <w:rFonts w:ascii="Book Antiqua" w:eastAsia="Book Antiqua" w:hAnsi="Book Antiqua" w:cs="Book Antiqua"/>
          <w:b/>
          <w:bCs/>
          <w:color w:val="000000"/>
        </w:rPr>
        <w:t xml:space="preserve"> </w:t>
      </w:r>
      <w:r w:rsidR="00F70EB0" w:rsidRPr="007D2104">
        <w:rPr>
          <w:rFonts w:ascii="Book Antiqua" w:eastAsia="Book Antiqua" w:hAnsi="Book Antiqua" w:cs="Book Antiqua"/>
          <w:color w:val="000000"/>
        </w:rPr>
        <w:t xml:space="preserve">Department of </w:t>
      </w:r>
      <w:r w:rsidRPr="007D2104">
        <w:rPr>
          <w:rFonts w:ascii="Book Antiqua" w:eastAsia="Book Antiqua" w:hAnsi="Book Antiqua" w:cs="Book Antiqua"/>
          <w:color w:val="000000"/>
        </w:rPr>
        <w:t>Inherited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Metabolic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Affiliated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China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Medical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University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Shenzhen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lastRenderedPageBreak/>
        <w:t>Children</w:t>
      </w:r>
      <w:r w:rsidR="00E117E7" w:rsidRPr="007D2104">
        <w:rPr>
          <w:rFonts w:ascii="Book Antiqua" w:eastAsia="Book Antiqua" w:hAnsi="Book Antiqua" w:cs="Book Antiqua"/>
          <w:color w:val="000000"/>
        </w:rPr>
        <w:t>’</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7019</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Yitian</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Road,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Futian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District,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Shenzhen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518038,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Guangdong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Province,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China.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13008803656@163.com</w:t>
      </w:r>
    </w:p>
    <w:p w14:paraId="352C60CD" w14:textId="77777777" w:rsidR="00A77B3E" w:rsidRPr="007D2104" w:rsidRDefault="00A77B3E" w:rsidP="007D2104">
      <w:pPr>
        <w:spacing w:line="360" w:lineRule="auto"/>
        <w:jc w:val="both"/>
        <w:rPr>
          <w:rFonts w:ascii="Book Antiqua" w:hAnsi="Book Antiqua"/>
        </w:rPr>
      </w:pPr>
    </w:p>
    <w:p w14:paraId="028A5698" w14:textId="06CD88B8"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Received:</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color w:val="000000"/>
        </w:rPr>
        <w:t>October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2021</w:t>
      </w:r>
    </w:p>
    <w:p w14:paraId="1028A897" w14:textId="580D2C1D"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Revised:</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color w:val="000000"/>
        </w:rPr>
        <w:t>January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2022</w:t>
      </w:r>
    </w:p>
    <w:p w14:paraId="02D85226" w14:textId="473516B9"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Accepted:</w:t>
      </w:r>
      <w:r w:rsidR="007D2104" w:rsidRPr="007D2104">
        <w:rPr>
          <w:rFonts w:ascii="Book Antiqua" w:eastAsia="Book Antiqua" w:hAnsi="Book Antiqua" w:cs="Book Antiqua"/>
          <w:b/>
          <w:bCs/>
          <w:color w:val="000000"/>
        </w:rPr>
        <w:t xml:space="preserve"> </w:t>
      </w:r>
      <w:r w:rsidR="004D3E02" w:rsidRPr="004D3E02">
        <w:rPr>
          <w:rFonts w:ascii="Book Antiqua" w:eastAsia="Book Antiqua" w:hAnsi="Book Antiqua" w:cs="Book Antiqua"/>
          <w:color w:val="000000"/>
        </w:rPr>
        <w:t>April 22, 2022</w:t>
      </w:r>
    </w:p>
    <w:p w14:paraId="3FD42324" w14:textId="38C0A4A3"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Published</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online:</w:t>
      </w:r>
      <w:r w:rsidR="007D2104" w:rsidRPr="007D2104">
        <w:rPr>
          <w:rFonts w:ascii="Book Antiqua" w:eastAsia="Book Antiqua" w:hAnsi="Book Antiqua" w:cs="Book Antiqua"/>
          <w:b/>
          <w:bCs/>
          <w:color w:val="000000"/>
        </w:rPr>
        <w:t xml:space="preserve"> </w:t>
      </w:r>
    </w:p>
    <w:p w14:paraId="485503C8" w14:textId="77777777" w:rsidR="00A77B3E" w:rsidRPr="007D2104" w:rsidRDefault="00A77B3E" w:rsidP="007D2104">
      <w:pPr>
        <w:spacing w:line="360" w:lineRule="auto"/>
        <w:jc w:val="both"/>
        <w:rPr>
          <w:rFonts w:ascii="Book Antiqua" w:hAnsi="Book Antiqua"/>
        </w:rPr>
        <w:sectPr w:rsidR="00A77B3E" w:rsidRPr="007D2104">
          <w:footerReference w:type="default" r:id="rId6"/>
          <w:pgSz w:w="12240" w:h="15840"/>
          <w:pgMar w:top="1440" w:right="1440" w:bottom="1440" w:left="1440" w:header="720" w:footer="720" w:gutter="0"/>
          <w:cols w:space="720"/>
          <w:docGrid w:linePitch="360"/>
        </w:sectPr>
      </w:pPr>
    </w:p>
    <w:p w14:paraId="007EE920" w14:textId="77777777"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lastRenderedPageBreak/>
        <w:t>Abstract</w:t>
      </w:r>
    </w:p>
    <w:p w14:paraId="1FC21F75" w14:textId="77777777"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BACKGROUND</w:t>
      </w:r>
    </w:p>
    <w:p w14:paraId="753D9322" w14:textId="57B51D22"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Ornithine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transcarbamylase</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deficiency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X-linked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inherited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characterized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marked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elevation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goal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minimize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neurological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damage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caused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hyperammonemia.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cured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001F21D8" w:rsidRPr="007D2104">
        <w:rPr>
          <w:rFonts w:ascii="Book Antiqua" w:eastAsia="Book Antiqua" w:hAnsi="Book Antiqua" w:cs="Book Antiqua"/>
          <w:color w:val="000000"/>
        </w:rPr>
        <w:t>transplantation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Post-transplant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discontinue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anti-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hyperammonemia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agents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consume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regular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without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risk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developing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hyperammonemia.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neurological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damage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caused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hyperammonemia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almost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irreversible.</w:t>
      </w:r>
    </w:p>
    <w:p w14:paraId="56427D91" w14:textId="77777777" w:rsidR="00A77B3E" w:rsidRPr="007D2104" w:rsidRDefault="00A77B3E" w:rsidP="007D2104">
      <w:pPr>
        <w:spacing w:line="360" w:lineRule="auto"/>
        <w:jc w:val="both"/>
        <w:rPr>
          <w:rFonts w:ascii="Book Antiqua" w:hAnsi="Book Antiqua"/>
        </w:rPr>
      </w:pPr>
    </w:p>
    <w:p w14:paraId="4FD80FCC" w14:textId="521C0F72"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CASE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SUMMARY</w:t>
      </w:r>
    </w:p>
    <w:p w14:paraId="2EE2E312" w14:textId="2D18ABFE"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11.7-year-old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boy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presented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headache,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vomiting,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altered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consciousness.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diagnosed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nitrogen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scavenging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0077335C">
        <w:rPr>
          <w:rFonts w:ascii="Book Antiqua" w:eastAsia="Book Antiqua" w:hAnsi="Book Antiqua" w:cs="Book Antiqua"/>
          <w:color w:val="000000"/>
        </w:rPr>
        <w:t xml:space="preserve">a </w:t>
      </w:r>
      <w:r w:rsidRPr="007D2104">
        <w:rPr>
          <w:rFonts w:ascii="Book Antiqua" w:eastAsia="Book Antiqua" w:hAnsi="Book Antiqua" w:cs="Book Antiqua"/>
          <w:color w:val="000000"/>
        </w:rPr>
        <w:t>protein-free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levels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reduced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third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admission.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Nevertheless,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remained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moderate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discussion,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performed.</w:t>
      </w:r>
      <w:r w:rsidR="007D2104" w:rsidRPr="007D2104">
        <w:rPr>
          <w:rFonts w:ascii="Book Antiqua" w:eastAsia="Book Antiqua" w:hAnsi="Book Antiqua" w:cs="Book Antiqua"/>
          <w:color w:val="000000"/>
        </w:rPr>
        <w:t xml:space="preserve"> </w:t>
      </w:r>
      <w:r w:rsidR="0077335C">
        <w:rPr>
          <w:rFonts w:ascii="Book Antiqua" w:eastAsia="Book Antiqua" w:hAnsi="Book Antiqua" w:cs="Book Antiqua"/>
          <w:color w:val="000000"/>
        </w:rPr>
        <w:t xml:space="preserve">Following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1F21D8" w:rsidRPr="007D2104">
        <w:rPr>
          <w:rFonts w:ascii="Book Antiqua" w:eastAsia="Book Antiqua" w:hAnsi="Book Antiqua" w:cs="Book Antiqua"/>
          <w:color w:val="000000"/>
        </w:rPr>
        <w:t>’</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biochemical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indicators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stabilized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range,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regained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consciousness,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nervous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system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function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significantly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recovered.</w:t>
      </w:r>
      <w:r w:rsidR="007D2104" w:rsidRPr="007D2104">
        <w:rPr>
          <w:rFonts w:ascii="Book Antiqua" w:eastAsia="Book Antiqua" w:hAnsi="Book Antiqua" w:cs="Book Antiqua"/>
          <w:color w:val="000000"/>
        </w:rPr>
        <w:t xml:space="preserve"> </w:t>
      </w:r>
      <w:bookmarkStart w:id="0" w:name="_Hlk98853858"/>
      <w:r w:rsidRPr="007D2104">
        <w:rPr>
          <w:rFonts w:ascii="Book Antiqua" w:eastAsia="Book Antiqua" w:hAnsi="Book Antiqua" w:cs="Book Antiqua"/>
          <w:color w:val="000000"/>
        </w:rPr>
        <w:t>Two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months</w:t>
      </w:r>
      <w:bookmarkEnd w:id="0"/>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amino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acids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urine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organic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acids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brain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magnetic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resonance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imaging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showed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decrease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subcortical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lesions.</w:t>
      </w:r>
    </w:p>
    <w:p w14:paraId="512DFAD6" w14:textId="77777777" w:rsidR="00A77B3E" w:rsidRPr="007D2104" w:rsidRDefault="00A77B3E" w:rsidP="007D2104">
      <w:pPr>
        <w:spacing w:line="360" w:lineRule="auto"/>
        <w:jc w:val="both"/>
        <w:rPr>
          <w:rFonts w:ascii="Book Antiqua" w:hAnsi="Book Antiqua"/>
        </w:rPr>
      </w:pPr>
    </w:p>
    <w:p w14:paraId="6BFCC0A7" w14:textId="77777777"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CONCLUSION</w:t>
      </w:r>
    </w:p>
    <w:p w14:paraId="5A77A97F" w14:textId="3B76F6E9"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significantly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improve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partial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neurological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impairment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caused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proofErr w:type="spellStart"/>
      <w:r w:rsidR="001F21D8" w:rsidRPr="007D2104">
        <w:rPr>
          <w:rFonts w:ascii="Book Antiqua" w:eastAsia="Book Antiqua" w:hAnsi="Book Antiqua" w:cs="Book Antiqua"/>
          <w:color w:val="000000"/>
        </w:rPr>
        <w:t>hyperammonemi</w:t>
      </w:r>
      <w:r w:rsidR="0077335C">
        <w:rPr>
          <w:rFonts w:ascii="Book Antiqua" w:eastAsia="Book Antiqua" w:hAnsi="Book Antiqua" w:cs="Book Antiqua"/>
          <w:color w:val="000000"/>
        </w:rPr>
        <w:t>c</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encephalopathy,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actively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considered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early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drug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therapy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ineffective.</w:t>
      </w:r>
    </w:p>
    <w:p w14:paraId="3BAE5D74" w14:textId="77777777" w:rsidR="00A77B3E" w:rsidRPr="007D2104" w:rsidRDefault="00A77B3E" w:rsidP="007D2104">
      <w:pPr>
        <w:spacing w:line="360" w:lineRule="auto"/>
        <w:jc w:val="both"/>
        <w:rPr>
          <w:rFonts w:ascii="Book Antiqua" w:hAnsi="Book Antiqua"/>
        </w:rPr>
      </w:pPr>
    </w:p>
    <w:p w14:paraId="2B440FB2" w14:textId="2065E2EB"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Key</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Words:</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color w:val="000000"/>
        </w:rPr>
        <w:t>Ornithine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transcarbamylase</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deficiency</w:t>
      </w:r>
      <w:r w:rsidR="001F21D8"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Urea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cycle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w:t>
      </w:r>
      <w:r w:rsidR="001F21D8"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proofErr w:type="spellStart"/>
      <w:r w:rsidR="001F21D8" w:rsidRPr="007D2104">
        <w:rPr>
          <w:rFonts w:ascii="Book Antiqua" w:eastAsia="Book Antiqua" w:hAnsi="Book Antiqua" w:cs="Book Antiqua"/>
          <w:color w:val="000000"/>
        </w:rPr>
        <w:t>Hyperammonemi</w:t>
      </w:r>
      <w:r w:rsidR="0077335C">
        <w:rPr>
          <w:rFonts w:ascii="Book Antiqua" w:eastAsia="Book Antiqua" w:hAnsi="Book Antiqua" w:cs="Book Antiqua"/>
          <w:color w:val="000000"/>
        </w:rPr>
        <w:t>c</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encephalopathy</w:t>
      </w:r>
      <w:r w:rsidR="001F21D8"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transplantation</w:t>
      </w:r>
      <w:r w:rsidR="001F21D8"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report</w:t>
      </w:r>
    </w:p>
    <w:p w14:paraId="6D1AF05C" w14:textId="77777777" w:rsidR="00A77B3E" w:rsidRPr="007D2104" w:rsidRDefault="00A77B3E" w:rsidP="007D2104">
      <w:pPr>
        <w:spacing w:line="360" w:lineRule="auto"/>
        <w:jc w:val="both"/>
        <w:rPr>
          <w:rFonts w:ascii="Book Antiqua" w:hAnsi="Book Antiqua"/>
        </w:rPr>
      </w:pPr>
    </w:p>
    <w:p w14:paraId="3D83EB50" w14:textId="41AD2537" w:rsidR="00A77B3E" w:rsidRPr="007D2104" w:rsidRDefault="008846B4" w:rsidP="007D2104">
      <w:pPr>
        <w:spacing w:line="360" w:lineRule="auto"/>
        <w:jc w:val="both"/>
        <w:rPr>
          <w:rFonts w:ascii="Book Antiqua" w:hAnsi="Book Antiqua"/>
        </w:rPr>
      </w:pPr>
      <w:bookmarkStart w:id="1" w:name="OLE_LINK1"/>
      <w:r w:rsidRPr="007D2104">
        <w:rPr>
          <w:rFonts w:ascii="Book Antiqua" w:eastAsia="Book Antiqua" w:hAnsi="Book Antiqua" w:cs="Book Antiqua"/>
          <w:color w:val="000000"/>
        </w:rPr>
        <w:lastRenderedPageBreak/>
        <w:t>Fu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XH,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Liao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JX,</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ZQ,</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transplantation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ornithine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transcarbamylase</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deficiency: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report.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World</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J</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Clin</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Cases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2022;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press</w:t>
      </w:r>
    </w:p>
    <w:p w14:paraId="08E73980" w14:textId="77777777" w:rsidR="00A77B3E" w:rsidRPr="007D2104" w:rsidRDefault="00A77B3E" w:rsidP="007D2104">
      <w:pPr>
        <w:spacing w:line="360" w:lineRule="auto"/>
        <w:jc w:val="both"/>
        <w:rPr>
          <w:rFonts w:ascii="Book Antiqua" w:hAnsi="Book Antiqua"/>
        </w:rPr>
      </w:pPr>
    </w:p>
    <w:bookmarkEnd w:id="1"/>
    <w:p w14:paraId="6DB644FF" w14:textId="14C24CFD" w:rsidR="00A77B3E" w:rsidRDefault="008846B4" w:rsidP="007D2104">
      <w:pPr>
        <w:spacing w:line="360" w:lineRule="auto"/>
        <w:jc w:val="both"/>
        <w:rPr>
          <w:rFonts w:ascii="Book Antiqua" w:eastAsia="Book Antiqua" w:hAnsi="Book Antiqua" w:cs="Book Antiqua"/>
          <w:color w:val="000000"/>
        </w:rPr>
      </w:pPr>
      <w:r w:rsidRPr="007D2104">
        <w:rPr>
          <w:rFonts w:ascii="Book Antiqua" w:eastAsia="Book Antiqua" w:hAnsi="Book Antiqua" w:cs="Book Antiqua"/>
          <w:b/>
          <w:bCs/>
          <w:color w:val="000000"/>
        </w:rPr>
        <w:t>Core</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Tip:</w:t>
      </w:r>
      <w:r w:rsidR="007D2104" w:rsidRPr="007D2104">
        <w:rPr>
          <w:rFonts w:ascii="Book Antiqua" w:eastAsia="Book Antiqua" w:hAnsi="Book Antiqua" w:cs="Book Antiqua"/>
          <w:b/>
          <w:bCs/>
          <w:color w:val="000000"/>
        </w:rPr>
        <w:t xml:space="preserve"> </w:t>
      </w:r>
      <w:r w:rsidR="0077335C" w:rsidRPr="0077335C">
        <w:rPr>
          <w:rFonts w:ascii="Book Antiqua" w:eastAsia="Book Antiqua" w:hAnsi="Book Antiqua" w:cs="Book Antiqua"/>
          <w:color w:val="000000"/>
        </w:rPr>
        <w:t xml:space="preserve">There are differing views on the timing of liver transplantation (LT) for ornithine </w:t>
      </w:r>
      <w:proofErr w:type="spellStart"/>
      <w:r w:rsidR="0077335C" w:rsidRPr="0077335C">
        <w:rPr>
          <w:rFonts w:ascii="Book Antiqua" w:eastAsia="Book Antiqua" w:hAnsi="Book Antiqua" w:cs="Book Antiqua"/>
          <w:color w:val="000000"/>
        </w:rPr>
        <w:t>transcarbamylase</w:t>
      </w:r>
      <w:proofErr w:type="spellEnd"/>
      <w:r w:rsidR="0077335C" w:rsidRPr="0077335C">
        <w:rPr>
          <w:rFonts w:ascii="Book Antiqua" w:eastAsia="Book Antiqua" w:hAnsi="Book Antiqua" w:cs="Book Antiqua"/>
          <w:color w:val="000000"/>
        </w:rPr>
        <w:t xml:space="preserve"> deficiency (OTCD) and whether it makes sense to perform LT in a patient with severe neurological impairment. We report a case of late-onset OTCD with severe neurological impairment, whose nervous system function recovered after LT. In late-onset OTCD patients with severe neurological impairment, LT can be considered.</w:t>
      </w:r>
    </w:p>
    <w:p w14:paraId="7D1043CC" w14:textId="77777777" w:rsidR="0077335C" w:rsidRPr="007D2104" w:rsidRDefault="0077335C" w:rsidP="007D2104">
      <w:pPr>
        <w:spacing w:line="360" w:lineRule="auto"/>
        <w:jc w:val="both"/>
        <w:rPr>
          <w:rFonts w:ascii="Book Antiqua" w:hAnsi="Book Antiqua"/>
        </w:rPr>
      </w:pPr>
    </w:p>
    <w:p w14:paraId="0481CAD9" w14:textId="77777777"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aps/>
          <w:color w:val="000000"/>
          <w:u w:val="single"/>
        </w:rPr>
        <w:t>INTRODUCTION</w:t>
      </w:r>
    </w:p>
    <w:p w14:paraId="442D0B5F" w14:textId="15EED134" w:rsidR="00A77B3E" w:rsidRDefault="00A87C33" w:rsidP="007D2104">
      <w:pPr>
        <w:spacing w:line="360" w:lineRule="auto"/>
        <w:jc w:val="both"/>
        <w:rPr>
          <w:rFonts w:ascii="Book Antiqua" w:eastAsia="Book Antiqua" w:hAnsi="Book Antiqua" w:cs="Book Antiqua"/>
          <w:color w:val="000000"/>
        </w:rPr>
      </w:pPr>
      <w:r w:rsidRPr="00A87C33">
        <w:rPr>
          <w:rFonts w:ascii="Book Antiqua" w:eastAsia="Book Antiqua" w:hAnsi="Book Antiqua" w:cs="Book Antiqua"/>
          <w:color w:val="000000"/>
        </w:rPr>
        <w:t xml:space="preserve">Ornithine </w:t>
      </w:r>
      <w:proofErr w:type="spellStart"/>
      <w:r w:rsidRPr="00A87C33">
        <w:rPr>
          <w:rFonts w:ascii="Book Antiqua" w:eastAsia="Book Antiqua" w:hAnsi="Book Antiqua" w:cs="Book Antiqua"/>
          <w:color w:val="000000"/>
        </w:rPr>
        <w:t>transcarbamylase</w:t>
      </w:r>
      <w:proofErr w:type="spellEnd"/>
      <w:r w:rsidRPr="00A87C33">
        <w:rPr>
          <w:rFonts w:ascii="Book Antiqua" w:eastAsia="Book Antiqua" w:hAnsi="Book Antiqua" w:cs="Book Antiqua"/>
          <w:color w:val="000000"/>
        </w:rPr>
        <w:t xml:space="preserve"> deficiency (OTCD) is the most common urea cycle disorder, with an incidence of approximately 1/56500 to 1/80000 reported in the </w:t>
      </w:r>
      <w:proofErr w:type="gramStart"/>
      <w:r w:rsidRPr="00A87C33">
        <w:rPr>
          <w:rFonts w:ascii="Book Antiqua" w:eastAsia="Book Antiqua" w:hAnsi="Book Antiqua" w:cs="Book Antiqua"/>
          <w:color w:val="000000"/>
        </w:rPr>
        <w:t>literature[</w:t>
      </w:r>
      <w:proofErr w:type="gramEnd"/>
      <w:r w:rsidRPr="00A87C33">
        <w:rPr>
          <w:rFonts w:ascii="Book Antiqua" w:eastAsia="Book Antiqua" w:hAnsi="Book Antiqua" w:cs="Book Antiqua"/>
          <w:color w:val="000000"/>
        </w:rPr>
        <w:t xml:space="preserve">1-4]. The 2019 Urea Cycle Disorders Diagnosis and Management guidelines recommend liver transplantation (LT) for patients with severe urea cycle disorders who do not have severe neurological impairment and have stable metabolic </w:t>
      </w:r>
      <w:proofErr w:type="gramStart"/>
      <w:r w:rsidRPr="00A87C33">
        <w:rPr>
          <w:rFonts w:ascii="Book Antiqua" w:eastAsia="Book Antiqua" w:hAnsi="Book Antiqua" w:cs="Book Antiqua"/>
          <w:color w:val="000000"/>
        </w:rPr>
        <w:t>status[</w:t>
      </w:r>
      <w:proofErr w:type="gramEnd"/>
      <w:r w:rsidRPr="00A87C33">
        <w:rPr>
          <w:rFonts w:ascii="Book Antiqua" w:eastAsia="Book Antiqua" w:hAnsi="Book Antiqua" w:cs="Book Antiqua"/>
          <w:color w:val="000000"/>
        </w:rPr>
        <w:t xml:space="preserve">5]. Opinions regarding LT for children with pre-existing severe brain damage differ as LT does not restore pre-existing neurological damage and due to the high risk of LT in children with acute encephalopathy; there is no experience regarding the extent to which neurological damage can be restored after </w:t>
      </w:r>
      <w:proofErr w:type="gramStart"/>
      <w:r w:rsidRPr="00A87C33">
        <w:rPr>
          <w:rFonts w:ascii="Book Antiqua" w:eastAsia="Book Antiqua" w:hAnsi="Book Antiqua" w:cs="Book Antiqua"/>
          <w:color w:val="000000"/>
        </w:rPr>
        <w:t>surgery[</w:t>
      </w:r>
      <w:proofErr w:type="gramEnd"/>
      <w:r w:rsidRPr="00A87C33">
        <w:rPr>
          <w:rFonts w:ascii="Book Antiqua" w:eastAsia="Book Antiqua" w:hAnsi="Book Antiqua" w:cs="Book Antiqua"/>
          <w:color w:val="000000"/>
        </w:rPr>
        <w:t>5]. We report a patient with late-onset OTCD with good neurological recovery after LT.</w:t>
      </w:r>
    </w:p>
    <w:p w14:paraId="05DC83CC" w14:textId="77777777" w:rsidR="00A87C33" w:rsidRPr="007D2104" w:rsidRDefault="00A87C33" w:rsidP="007D2104">
      <w:pPr>
        <w:spacing w:line="360" w:lineRule="auto"/>
        <w:jc w:val="both"/>
        <w:rPr>
          <w:rFonts w:ascii="Book Antiqua" w:hAnsi="Book Antiqua"/>
        </w:rPr>
      </w:pPr>
    </w:p>
    <w:p w14:paraId="0F1A0339" w14:textId="132C2474"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aps/>
          <w:color w:val="000000"/>
          <w:u w:val="single"/>
        </w:rPr>
        <w:t>CASE</w:t>
      </w:r>
      <w:r w:rsidR="007D2104" w:rsidRPr="007D2104">
        <w:rPr>
          <w:rFonts w:ascii="Book Antiqua" w:eastAsia="Book Antiqua" w:hAnsi="Book Antiqua" w:cs="Book Antiqua"/>
          <w:b/>
          <w:caps/>
          <w:color w:val="000000"/>
          <w:u w:val="single"/>
        </w:rPr>
        <w:t xml:space="preserve"> </w:t>
      </w:r>
      <w:r w:rsidRPr="007D2104">
        <w:rPr>
          <w:rFonts w:ascii="Book Antiqua" w:eastAsia="Book Antiqua" w:hAnsi="Book Antiqua" w:cs="Book Antiqua"/>
          <w:b/>
          <w:caps/>
          <w:color w:val="000000"/>
          <w:u w:val="single"/>
        </w:rPr>
        <w:t>PRESENTATION</w:t>
      </w:r>
    </w:p>
    <w:p w14:paraId="73FA65AA" w14:textId="6AFF547E"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i/>
          <w:color w:val="000000"/>
        </w:rPr>
        <w:t>Chief</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complaints</w:t>
      </w:r>
    </w:p>
    <w:p w14:paraId="681B214B" w14:textId="0AE8E96F"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11.7-year-old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boy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admitted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our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 xml:space="preserve">due to </w:t>
      </w:r>
      <w:r w:rsidRPr="007D2104">
        <w:rPr>
          <w:rFonts w:ascii="Book Antiqua" w:eastAsia="Book Antiqua" w:hAnsi="Book Antiqua" w:cs="Book Antiqua"/>
          <w:color w:val="000000"/>
        </w:rPr>
        <w:t>headache,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vomiting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altered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mental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status.</w:t>
      </w:r>
    </w:p>
    <w:p w14:paraId="73D921DE" w14:textId="77777777" w:rsidR="00A77B3E" w:rsidRPr="007D2104" w:rsidRDefault="00A77B3E" w:rsidP="007D2104">
      <w:pPr>
        <w:spacing w:line="360" w:lineRule="auto"/>
        <w:jc w:val="both"/>
        <w:rPr>
          <w:rFonts w:ascii="Book Antiqua" w:hAnsi="Book Antiqua"/>
        </w:rPr>
      </w:pPr>
    </w:p>
    <w:p w14:paraId="6BF549DE" w14:textId="5606478B"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i/>
          <w:color w:val="000000"/>
        </w:rPr>
        <w:t>History</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of</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present</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illness</w:t>
      </w:r>
    </w:p>
    <w:p w14:paraId="3C1FAC2E" w14:textId="53A933D7"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Two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days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before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admission,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complained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headache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without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obvious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inducement,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accompanied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vomiting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times.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headache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improve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cold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lastRenderedPageBreak/>
        <w:t>medic</w:t>
      </w:r>
      <w:r w:rsidR="00A87C33">
        <w:rPr>
          <w:rFonts w:ascii="Book Antiqua" w:eastAsia="Book Antiqua" w:hAnsi="Book Antiqua" w:cs="Book Antiqua"/>
          <w:color w:val="000000"/>
        </w:rPr>
        <w:t>ation</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became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unconscious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before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admission,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relevant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tests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completed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referring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500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µmol/L.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referred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our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further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treatment.</w:t>
      </w:r>
    </w:p>
    <w:p w14:paraId="261D3528" w14:textId="77777777" w:rsidR="00A77B3E" w:rsidRPr="007D2104" w:rsidRDefault="00A77B3E" w:rsidP="007D2104">
      <w:pPr>
        <w:spacing w:line="360" w:lineRule="auto"/>
        <w:jc w:val="both"/>
        <w:rPr>
          <w:rFonts w:ascii="Book Antiqua" w:hAnsi="Book Antiqua"/>
        </w:rPr>
      </w:pPr>
    </w:p>
    <w:p w14:paraId="498D0E35" w14:textId="0D58BAEB"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i/>
          <w:color w:val="000000"/>
        </w:rPr>
        <w:t>History</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of</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past</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illness</w:t>
      </w:r>
    </w:p>
    <w:p w14:paraId="4366D674" w14:textId="385C1BD0"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product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first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pregnancy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first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birth</w:t>
      </w:r>
      <w:r w:rsidR="007D2104" w:rsidRPr="007D2104">
        <w:rPr>
          <w:rFonts w:ascii="Book Antiqua" w:eastAsia="Book Antiqua" w:hAnsi="Book Antiqua" w:cs="Book Antiqua"/>
          <w:color w:val="000000"/>
        </w:rPr>
        <w:t xml:space="preserve"> </w:t>
      </w:r>
      <w:r w:rsidR="00165FC9" w:rsidRPr="007D2104">
        <w:rPr>
          <w:rFonts w:ascii="Book Antiqua" w:eastAsia="Book Antiqua" w:hAnsi="Book Antiqua" w:cs="Book Antiqua"/>
          <w:color w:val="000000"/>
        </w:rPr>
        <w:t>(G1P1)</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mother,</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 xml:space="preserve">and </w:t>
      </w:r>
      <w:r w:rsidRPr="007D2104">
        <w:rPr>
          <w:rFonts w:ascii="Book Antiqua" w:eastAsia="Book Antiqua" w:hAnsi="Book Antiqua" w:cs="Book Antiqua"/>
          <w:color w:val="000000"/>
        </w:rPr>
        <w:t>delivered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cesarean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section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term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birth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weight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3.0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perinatal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condition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unremarkable,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history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asphyxia.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generally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healthy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developed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child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same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Prior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episode,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family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aware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had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p>
    <w:p w14:paraId="5B3DF9C1" w14:textId="77777777" w:rsidR="00A77B3E" w:rsidRPr="007D2104" w:rsidRDefault="00A77B3E" w:rsidP="007D2104">
      <w:pPr>
        <w:spacing w:line="360" w:lineRule="auto"/>
        <w:jc w:val="both"/>
        <w:rPr>
          <w:rFonts w:ascii="Book Antiqua" w:hAnsi="Book Antiqua"/>
        </w:rPr>
      </w:pPr>
    </w:p>
    <w:p w14:paraId="73A3443E" w14:textId="779C897C"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i/>
          <w:color w:val="000000"/>
        </w:rPr>
        <w:t>Personal</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and</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family</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history</w:t>
      </w:r>
    </w:p>
    <w:p w14:paraId="597DE446" w14:textId="23549CCD"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had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significant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family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history.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family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had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 xml:space="preserve">or </w:t>
      </w:r>
      <w:r w:rsidRPr="007D2104">
        <w:rPr>
          <w:rFonts w:ascii="Book Antiqua" w:eastAsia="Book Antiqua" w:hAnsi="Book Antiqua" w:cs="Book Antiqua"/>
          <w:color w:val="000000"/>
        </w:rPr>
        <w:t>symptoms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associated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disease.</w:t>
      </w:r>
    </w:p>
    <w:p w14:paraId="4DAB450B" w14:textId="77777777" w:rsidR="00A77B3E" w:rsidRPr="007D2104" w:rsidRDefault="00A77B3E" w:rsidP="007D2104">
      <w:pPr>
        <w:spacing w:line="360" w:lineRule="auto"/>
        <w:jc w:val="both"/>
        <w:rPr>
          <w:rFonts w:ascii="Book Antiqua" w:hAnsi="Book Antiqua"/>
        </w:rPr>
      </w:pPr>
    </w:p>
    <w:p w14:paraId="3E849B40" w14:textId="274D5BE5"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i/>
          <w:color w:val="000000"/>
        </w:rPr>
        <w:t>Physical</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examination</w:t>
      </w:r>
    </w:p>
    <w:p w14:paraId="0044C171" w14:textId="1B7EA097"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physical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examination,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moderate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comatose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state</w:t>
      </w:r>
      <w:r w:rsidR="007D2104" w:rsidRPr="007D2104">
        <w:rPr>
          <w:rFonts w:ascii="Book Antiqua" w:eastAsia="Book Antiqua" w:hAnsi="Book Antiqua" w:cs="Book Antiqua"/>
          <w:color w:val="000000"/>
        </w:rPr>
        <w:t xml:space="preserve"> </w:t>
      </w:r>
      <w:r w:rsidR="00EA13EF" w:rsidRPr="007D2104">
        <w:rPr>
          <w:rFonts w:ascii="Book Antiqua" w:eastAsia="Book Antiqua" w:hAnsi="Book Antiqua" w:cs="Book Antiqua"/>
          <w:color w:val="000000"/>
        </w:rPr>
        <w:t>[</w:t>
      </w:r>
      <w:bookmarkStart w:id="2" w:name="_Hlk100315696"/>
      <w:r w:rsidRPr="007D2104">
        <w:rPr>
          <w:rFonts w:ascii="Book Antiqua" w:eastAsia="Book Antiqua" w:hAnsi="Book Antiqua" w:cs="Book Antiqua"/>
          <w:color w:val="000000"/>
        </w:rPr>
        <w:t>Glasgow</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 xml:space="preserve">coma </w:t>
      </w:r>
      <w:r w:rsidRPr="007D2104">
        <w:rPr>
          <w:rFonts w:ascii="Book Antiqua" w:eastAsia="Book Antiqua" w:hAnsi="Book Antiqua" w:cs="Book Antiqua"/>
          <w:color w:val="000000"/>
        </w:rPr>
        <w:t>score</w:t>
      </w:r>
      <w:r w:rsidR="007D2104" w:rsidRPr="007D2104">
        <w:rPr>
          <w:rFonts w:ascii="Book Antiqua" w:eastAsia="Book Antiqua" w:hAnsi="Book Antiqua" w:cs="Book Antiqua"/>
          <w:color w:val="000000"/>
        </w:rPr>
        <w:t xml:space="preserve"> </w:t>
      </w:r>
      <w:r w:rsidR="00EA13EF" w:rsidRPr="007D2104">
        <w:rPr>
          <w:rFonts w:ascii="Book Antiqua" w:eastAsia="Book Antiqua" w:hAnsi="Book Antiqua" w:cs="Book Antiqua"/>
          <w:color w:val="000000"/>
        </w:rPr>
        <w:t>(GSC)</w:t>
      </w:r>
      <w:bookmarkEnd w:id="2"/>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6</w:t>
      </w:r>
      <w:r w:rsidR="00EA13EF"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unresponsive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sound.</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 xml:space="preserve">His </w:t>
      </w:r>
      <w:r w:rsidRPr="007D2104">
        <w:rPr>
          <w:rFonts w:ascii="Book Antiqua" w:eastAsia="Book Antiqua" w:hAnsi="Book Antiqua" w:cs="Book Antiqua"/>
          <w:color w:val="000000"/>
        </w:rPr>
        <w:t>eyes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could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closed,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pupils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equally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large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round,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about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3</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diameter,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light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reflex</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delayed.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significant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abnormalities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cardiopulmonary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abdominal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examinations.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Muscle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strength</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limbs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could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tested,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muscle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all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pathological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signs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negative.</w:t>
      </w:r>
    </w:p>
    <w:p w14:paraId="68BDC1B3" w14:textId="77777777" w:rsidR="00A77B3E" w:rsidRPr="007D2104" w:rsidRDefault="00A77B3E" w:rsidP="007D2104">
      <w:pPr>
        <w:spacing w:line="360" w:lineRule="auto"/>
        <w:jc w:val="both"/>
        <w:rPr>
          <w:rFonts w:ascii="Book Antiqua" w:hAnsi="Book Antiqua"/>
        </w:rPr>
      </w:pPr>
    </w:p>
    <w:p w14:paraId="52BCCBF7" w14:textId="22DEFED7"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i/>
          <w:color w:val="000000"/>
        </w:rPr>
        <w:t>Laboratory</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examinations</w:t>
      </w:r>
    </w:p>
    <w:p w14:paraId="2FE9A616" w14:textId="58A3EF08"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Laboratory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tests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showed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significantly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elevated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level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(Table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function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coagulation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times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abnormal.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tandem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mass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spectrometry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showed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moderately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elevated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glutamine.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Citrulline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arginine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range.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Urine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organic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phase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mass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spectrometry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showed</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 xml:space="preserve">that </w:t>
      </w:r>
      <w:r w:rsidRPr="007D2104">
        <w:rPr>
          <w:rFonts w:ascii="Book Antiqua" w:eastAsia="Book Antiqua" w:hAnsi="Book Antiqua" w:cs="Book Antiqua"/>
          <w:color w:val="000000"/>
        </w:rPr>
        <w:t>uracil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orotic</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levels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elevated.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levels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during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first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week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admission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shown</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lastRenderedPageBreak/>
        <w:t xml:space="preserve">in </w:t>
      </w:r>
      <w:r w:rsidRPr="007D2104">
        <w:rPr>
          <w:rFonts w:ascii="Book Antiqua" w:eastAsia="Book Antiqua" w:hAnsi="Book Antiqua" w:cs="Book Antiqua"/>
          <w:color w:val="000000"/>
        </w:rPr>
        <w:t>Figure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During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remainder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rest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 xml:space="preserve">his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stay,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levels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range.</w:t>
      </w:r>
    </w:p>
    <w:p w14:paraId="31956E4A" w14:textId="544114B2" w:rsidR="00A77B3E" w:rsidRPr="007D2104" w:rsidRDefault="008846B4" w:rsidP="007D2104">
      <w:pPr>
        <w:spacing w:line="360" w:lineRule="auto"/>
        <w:ind w:firstLineChars="200" w:firstLine="480"/>
        <w:jc w:val="both"/>
        <w:rPr>
          <w:rFonts w:ascii="Book Antiqua" w:hAnsi="Book Antiqua"/>
        </w:rPr>
      </w:pPr>
      <w:r w:rsidRPr="007D2104">
        <w:rPr>
          <w:rFonts w:ascii="Book Antiqua" w:eastAsia="Book Antiqua" w:hAnsi="Book Antiqua" w:cs="Book Antiqua"/>
          <w:color w:val="000000"/>
        </w:rPr>
        <w:t>Whole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exome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gene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testing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revealed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OTC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gene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exon2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hemizygote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variant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c.119G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(p.R40H),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inherited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from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mother.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missense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mutation</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located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well-studied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exon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functional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domain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without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benign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variation</w:t>
      </w:r>
      <w:r w:rsidR="007D2104" w:rsidRPr="007D2104">
        <w:rPr>
          <w:rFonts w:ascii="Book Antiqua" w:eastAsia="Book Antiqua" w:hAnsi="Book Antiqua" w:cs="Book Antiqua"/>
          <w:color w:val="000000"/>
        </w:rPr>
        <w:t xml:space="preserve"> </w:t>
      </w:r>
      <w:r w:rsidR="00501BBF" w:rsidRPr="007D2104">
        <w:rPr>
          <w:rFonts w:ascii="Book Antiqua" w:eastAsia="Book Antiqua" w:hAnsi="Book Antiqua" w:cs="Book Antiqua"/>
          <w:color w:val="000000"/>
        </w:rPr>
        <w:t>[Pathogenic</w:t>
      </w:r>
      <w:r w:rsidR="007D2104" w:rsidRPr="007D2104">
        <w:rPr>
          <w:rFonts w:ascii="Book Antiqua" w:eastAsia="Book Antiqua" w:hAnsi="Book Antiqua" w:cs="Book Antiqua"/>
          <w:color w:val="000000"/>
        </w:rPr>
        <w:t xml:space="preserve"> </w:t>
      </w:r>
      <w:r w:rsidR="00501BBF" w:rsidRPr="007D2104">
        <w:rPr>
          <w:rFonts w:ascii="Book Antiqua" w:eastAsia="Book Antiqua" w:hAnsi="Book Antiqua" w:cs="Book Antiqua"/>
          <w:color w:val="000000"/>
        </w:rPr>
        <w:t>moderate</w:t>
      </w:r>
      <w:r w:rsidR="007D2104" w:rsidRPr="007D2104">
        <w:rPr>
          <w:rFonts w:ascii="Book Antiqua" w:eastAsia="Book Antiqua" w:hAnsi="Book Antiqua" w:cs="Book Antiqua"/>
          <w:color w:val="000000"/>
        </w:rPr>
        <w:t xml:space="preserve"> </w:t>
      </w:r>
      <w:r w:rsidR="00501BBF" w:rsidRPr="007D2104">
        <w:rPr>
          <w:rFonts w:ascii="Book Antiqua" w:eastAsia="Book Antiqua" w:hAnsi="Book Antiqua" w:cs="Book Antiqua"/>
          <w:color w:val="000000"/>
        </w:rPr>
        <w:t>(</w:t>
      </w:r>
      <w:r w:rsidRPr="007D2104">
        <w:rPr>
          <w:rFonts w:ascii="Book Antiqua" w:eastAsia="Book Antiqua" w:hAnsi="Book Antiqua" w:cs="Book Antiqua"/>
          <w:color w:val="000000"/>
        </w:rPr>
        <w:t>PM</w:t>
      </w:r>
      <w:r w:rsidR="00501BBF"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w:t>
      </w:r>
      <w:r w:rsidR="00501BBF" w:rsidRPr="007D2104">
        <w:rPr>
          <w:rFonts w:ascii="Book Antiqua" w:eastAsia="Book Antiqua" w:hAnsi="Book Antiqua" w:cs="Book Antiqua"/>
          <w:color w:val="000000"/>
        </w:rPr>
        <w:t>]</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frequencies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all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population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databases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t>
      </w:r>
      <w:proofErr w:type="spellStart"/>
      <w:r w:rsidRPr="007D2104">
        <w:rPr>
          <w:rFonts w:ascii="Book Antiqua" w:eastAsia="Book Antiqua" w:hAnsi="Book Antiqua" w:cs="Book Antiqua"/>
          <w:color w:val="000000"/>
        </w:rPr>
        <w:t>dsSNP</w:t>
      </w:r>
      <w:proofErr w:type="spellEnd"/>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1000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genomes)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less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0.0005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variant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different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amino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changes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same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locus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reported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literature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pathogenic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variants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Pathogenic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missense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mutations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gene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common,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benign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missense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mutations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rare</w:t>
      </w:r>
      <w:r w:rsidR="007D2104" w:rsidRPr="007D2104">
        <w:rPr>
          <w:rFonts w:ascii="Book Antiqua" w:eastAsia="Book Antiqua" w:hAnsi="Book Antiqua" w:cs="Book Antiqua"/>
          <w:color w:val="000000"/>
        </w:rPr>
        <w:t xml:space="preserve"> </w:t>
      </w:r>
      <w:r w:rsidR="00501BBF" w:rsidRPr="007D2104">
        <w:rPr>
          <w:rFonts w:ascii="Book Antiqua" w:eastAsia="Book Antiqua" w:hAnsi="Book Antiqua" w:cs="Book Antiqua"/>
          <w:color w:val="000000"/>
        </w:rPr>
        <w:t>[Pathogenic</w:t>
      </w:r>
      <w:r w:rsidR="007D2104" w:rsidRPr="007D2104">
        <w:rPr>
          <w:rFonts w:ascii="Book Antiqua" w:eastAsia="Book Antiqua" w:hAnsi="Book Antiqua" w:cs="Book Antiqua"/>
          <w:color w:val="000000"/>
        </w:rPr>
        <w:t xml:space="preserve"> </w:t>
      </w:r>
      <w:r w:rsidR="00501BBF" w:rsidRPr="007D2104">
        <w:rPr>
          <w:rFonts w:ascii="Book Antiqua" w:eastAsia="Book Antiqua" w:hAnsi="Book Antiqua" w:cs="Book Antiqua"/>
          <w:color w:val="000000"/>
        </w:rPr>
        <w:t>supporting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(PP</w:t>
      </w:r>
      <w:r w:rsidR="00501BBF"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w:t>
      </w:r>
      <w:r w:rsidR="00501BBF" w:rsidRPr="007D2104">
        <w:rPr>
          <w:rFonts w:ascii="Book Antiqua" w:eastAsia="Book Antiqua" w:hAnsi="Book Antiqua" w:cs="Book Antiqua"/>
          <w:color w:val="000000"/>
        </w:rPr>
        <w:t>]</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literature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reported</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that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variant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cause</w:t>
      </w:r>
      <w:r w:rsidR="00A87C33">
        <w:rPr>
          <w:rFonts w:ascii="Book Antiqua" w:eastAsia="Book Antiqua" w:hAnsi="Book Antiqua" w:cs="Book Antiqua"/>
          <w:color w:val="000000"/>
        </w:rPr>
        <w:t>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impaired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gene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function</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 xml:space="preserve">as show by </w:t>
      </w:r>
      <w:r w:rsidRPr="007D2104">
        <w:rPr>
          <w:rFonts w:ascii="Book Antiqua" w:eastAsia="Book Antiqua" w:hAnsi="Book Antiqua" w:cs="Book Antiqua"/>
          <w:i/>
          <w:iCs/>
          <w:color w:val="000000"/>
        </w:rPr>
        <w:t>in</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vitro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functional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assays</w:t>
      </w:r>
      <w:r w:rsidR="007D2104" w:rsidRPr="007D2104">
        <w:rPr>
          <w:rFonts w:ascii="Book Antiqua" w:eastAsia="Book Antiqua" w:hAnsi="Book Antiqua" w:cs="Book Antiqua"/>
          <w:color w:val="000000"/>
        </w:rPr>
        <w:t xml:space="preserve"> </w:t>
      </w:r>
      <w:r w:rsidR="00C27D9B" w:rsidRPr="007D2104">
        <w:rPr>
          <w:rFonts w:ascii="Book Antiqua" w:eastAsia="Book Antiqua" w:hAnsi="Book Antiqua" w:cs="Book Antiqua"/>
          <w:color w:val="000000"/>
        </w:rPr>
        <w:t>[Pathogenic</w:t>
      </w:r>
      <w:r w:rsidR="007D2104" w:rsidRPr="007D2104">
        <w:rPr>
          <w:rFonts w:ascii="Book Antiqua" w:eastAsia="Book Antiqua" w:hAnsi="Book Antiqua" w:cs="Book Antiqua"/>
          <w:color w:val="000000"/>
        </w:rPr>
        <w:t xml:space="preserve"> </w:t>
      </w:r>
      <w:r w:rsidR="00C27D9B" w:rsidRPr="007D2104">
        <w:rPr>
          <w:rFonts w:ascii="Book Antiqua" w:eastAsia="Book Antiqua" w:hAnsi="Book Antiqua" w:cs="Book Antiqua"/>
          <w:color w:val="000000"/>
        </w:rPr>
        <w:t>strong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(PS</w:t>
      </w:r>
      <w:r w:rsidR="00C27D9B"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3</w:t>
      </w:r>
      <w:r w:rsidR="00C27D9B" w:rsidRPr="007D2104">
        <w:rPr>
          <w:rFonts w:ascii="Book Antiqua" w:eastAsia="Book Antiqua" w:hAnsi="Book Antiqua" w:cs="Book Antiqua"/>
          <w:color w:val="000000"/>
        </w:rPr>
        <w:t>]</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summary,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according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American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College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Medical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Genetics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(ACMG)guidelines,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variant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likely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pathogenic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(PM1</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PP2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PS3).</w:t>
      </w:r>
    </w:p>
    <w:p w14:paraId="4CB4CD9F" w14:textId="77777777" w:rsidR="00A77B3E" w:rsidRPr="007D2104" w:rsidRDefault="00A77B3E" w:rsidP="007D2104">
      <w:pPr>
        <w:spacing w:line="360" w:lineRule="auto"/>
        <w:jc w:val="both"/>
        <w:rPr>
          <w:rFonts w:ascii="Book Antiqua" w:hAnsi="Book Antiqua"/>
        </w:rPr>
      </w:pPr>
    </w:p>
    <w:p w14:paraId="4F412434" w14:textId="7107A15D"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i/>
          <w:color w:val="000000"/>
        </w:rPr>
        <w:t>Imaging</w:t>
      </w:r>
      <w:r w:rsidR="007D2104" w:rsidRPr="007D2104">
        <w:rPr>
          <w:rFonts w:ascii="Book Antiqua" w:eastAsia="Book Antiqua" w:hAnsi="Book Antiqua" w:cs="Book Antiqua"/>
          <w:b/>
          <w:i/>
          <w:color w:val="000000"/>
        </w:rPr>
        <w:t xml:space="preserve"> </w:t>
      </w:r>
      <w:r w:rsidRPr="007D2104">
        <w:rPr>
          <w:rFonts w:ascii="Book Antiqua" w:eastAsia="Book Antiqua" w:hAnsi="Book Antiqua" w:cs="Book Antiqua"/>
          <w:b/>
          <w:i/>
          <w:color w:val="000000"/>
        </w:rPr>
        <w:t>examinations</w:t>
      </w:r>
    </w:p>
    <w:p w14:paraId="1116B7C2" w14:textId="22E474AF"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Brain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magnetic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resonance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imaging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(MRI)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revealed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large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patches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symmetrical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high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signal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shadows</w:t>
      </w:r>
      <w:r w:rsidR="007D2104" w:rsidRPr="007D2104">
        <w:rPr>
          <w:rFonts w:ascii="Book Antiqua" w:eastAsia="Book Antiqua" w:hAnsi="Book Antiqua" w:cs="Book Antiqua"/>
          <w:color w:val="000000"/>
        </w:rPr>
        <w:t xml:space="preserve"> </w:t>
      </w:r>
      <w:r w:rsidR="00A87C33">
        <w:rPr>
          <w:rFonts w:ascii="Book Antiqua" w:eastAsia="Book Antiqua" w:hAnsi="Book Antiqua" w:cs="Book Antiqua"/>
          <w:color w:val="000000"/>
        </w:rPr>
        <w:t xml:space="preserve">on </w:t>
      </w:r>
      <w:r w:rsidRPr="007D2104">
        <w:rPr>
          <w:rFonts w:ascii="Book Antiqua" w:eastAsia="Book Antiqua" w:hAnsi="Book Antiqua" w:cs="Book Antiqua"/>
          <w:color w:val="000000"/>
        </w:rPr>
        <w:t>T2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weighted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imaging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(T2WI)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fluid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attenuated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inversion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recovery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cerebral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hemispheres,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diffusion</w:t>
      </w:r>
      <w:r w:rsidR="007D2104" w:rsidRPr="007D2104">
        <w:rPr>
          <w:rFonts w:ascii="Book Antiqua" w:eastAsia="Book Antiqua" w:hAnsi="Book Antiqua" w:cs="Book Antiqua"/>
          <w:color w:val="000000"/>
        </w:rPr>
        <w:t xml:space="preserve"> </w:t>
      </w:r>
      <w:r w:rsidR="00716C32" w:rsidRPr="007D2104">
        <w:rPr>
          <w:rFonts w:ascii="Book Antiqua" w:eastAsia="Book Antiqua" w:hAnsi="Book Antiqua" w:cs="Book Antiqua"/>
          <w:color w:val="000000"/>
        </w:rPr>
        <w:t>WI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(DWI)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revealed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significant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high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signal,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pronounced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bilateral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dorsal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thalamus,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caudate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nucleus,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lenticular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nucleus,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insula,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cingulate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gyrus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frontal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lobe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cortex</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falx</w:t>
      </w:r>
      <w:proofErr w:type="spellEnd"/>
      <w:r w:rsidRPr="007D2104">
        <w:rPr>
          <w:rFonts w:ascii="Book Antiqua" w:eastAsia="Book Antiqua" w:hAnsi="Book Antiqua" w:cs="Book Antiqua"/>
          <w:color w:val="000000"/>
        </w:rPr>
        <w:t>.</w:t>
      </w:r>
    </w:p>
    <w:p w14:paraId="2F94514A" w14:textId="77777777" w:rsidR="00A77B3E" w:rsidRPr="007D2104" w:rsidRDefault="00A77B3E" w:rsidP="007D2104">
      <w:pPr>
        <w:spacing w:line="360" w:lineRule="auto"/>
        <w:jc w:val="both"/>
        <w:rPr>
          <w:rFonts w:ascii="Book Antiqua" w:hAnsi="Book Antiqua"/>
        </w:rPr>
      </w:pPr>
    </w:p>
    <w:p w14:paraId="67FF461E" w14:textId="1011A4BF"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aps/>
          <w:color w:val="000000"/>
          <w:u w:val="single"/>
        </w:rPr>
        <w:t>FINAL</w:t>
      </w:r>
      <w:r w:rsidR="007D2104" w:rsidRPr="007D2104">
        <w:rPr>
          <w:rFonts w:ascii="Book Antiqua" w:eastAsia="Book Antiqua" w:hAnsi="Book Antiqua" w:cs="Book Antiqua"/>
          <w:b/>
          <w:caps/>
          <w:color w:val="000000"/>
          <w:u w:val="single"/>
        </w:rPr>
        <w:t xml:space="preserve"> </w:t>
      </w:r>
      <w:r w:rsidRPr="007D2104">
        <w:rPr>
          <w:rFonts w:ascii="Book Antiqua" w:eastAsia="Book Antiqua" w:hAnsi="Book Antiqua" w:cs="Book Antiqua"/>
          <w:b/>
          <w:caps/>
          <w:color w:val="000000"/>
          <w:u w:val="single"/>
        </w:rPr>
        <w:t>DIAGNOSIS</w:t>
      </w:r>
    </w:p>
    <w:p w14:paraId="72B2F7AC" w14:textId="77777777" w:rsidR="00A87C33" w:rsidRPr="007D2104" w:rsidRDefault="00A87C33" w:rsidP="00A87C33">
      <w:pPr>
        <w:spacing w:line="360" w:lineRule="auto"/>
        <w:jc w:val="both"/>
        <w:rPr>
          <w:rFonts w:ascii="Book Antiqua" w:hAnsi="Book Antiqua"/>
        </w:rPr>
      </w:pPr>
      <w:proofErr w:type="spellStart"/>
      <w:r w:rsidRPr="007D2104">
        <w:rPr>
          <w:rFonts w:ascii="Book Antiqua" w:eastAsia="Book Antiqua" w:hAnsi="Book Antiqua" w:cs="Book Antiqua"/>
          <w:color w:val="000000"/>
        </w:rPr>
        <w:t>Hyperammon</w:t>
      </w:r>
      <w:r>
        <w:rPr>
          <w:rFonts w:ascii="Book Antiqua" w:eastAsia="Book Antiqua" w:hAnsi="Book Antiqua" w:cs="Book Antiqua"/>
          <w:color w:val="000000"/>
        </w:rPr>
        <w:t>em</w:t>
      </w:r>
      <w:r w:rsidRPr="007D2104">
        <w:rPr>
          <w:rFonts w:ascii="Book Antiqua" w:eastAsia="Book Antiqua" w:hAnsi="Book Antiqua" w:cs="Book Antiqua"/>
          <w:color w:val="000000"/>
        </w:rPr>
        <w:t>ic</w:t>
      </w:r>
      <w:proofErr w:type="spellEnd"/>
      <w:r w:rsidRPr="007D2104">
        <w:rPr>
          <w:rFonts w:ascii="Book Antiqua" w:eastAsia="Book Antiqua" w:hAnsi="Book Antiqua" w:cs="Book Antiqua"/>
          <w:color w:val="000000"/>
        </w:rPr>
        <w:t xml:space="preserve"> encephalopathy</w:t>
      </w:r>
      <w:r>
        <w:rPr>
          <w:rFonts w:ascii="Book Antiqua" w:eastAsia="Book Antiqua" w:hAnsi="Book Antiqua" w:cs="Book Antiqua"/>
          <w:color w:val="000000"/>
        </w:rPr>
        <w:t xml:space="preserve"> and</w:t>
      </w:r>
      <w:r w:rsidRPr="007D2104">
        <w:rPr>
          <w:rFonts w:ascii="Book Antiqua" w:eastAsia="Book Antiqua" w:hAnsi="Book Antiqua" w:cs="Book Antiqua"/>
          <w:color w:val="000000"/>
        </w:rPr>
        <w:t xml:space="preserve"> ornithine </w:t>
      </w:r>
      <w:proofErr w:type="spellStart"/>
      <w:r w:rsidRPr="007D2104">
        <w:rPr>
          <w:rFonts w:ascii="Book Antiqua" w:eastAsia="Book Antiqua" w:hAnsi="Book Antiqua" w:cs="Book Antiqua"/>
          <w:color w:val="000000"/>
        </w:rPr>
        <w:t>transcarbamylase</w:t>
      </w:r>
      <w:proofErr w:type="spellEnd"/>
      <w:r w:rsidRPr="007D2104">
        <w:rPr>
          <w:rFonts w:ascii="Book Antiqua" w:eastAsia="Book Antiqua" w:hAnsi="Book Antiqua" w:cs="Book Antiqua"/>
          <w:color w:val="000000"/>
        </w:rPr>
        <w:t xml:space="preserve"> deficiency.</w:t>
      </w:r>
    </w:p>
    <w:p w14:paraId="5EE96C91" w14:textId="77777777" w:rsidR="00A77B3E" w:rsidRPr="007D2104" w:rsidRDefault="00A77B3E" w:rsidP="007D2104">
      <w:pPr>
        <w:spacing w:line="360" w:lineRule="auto"/>
        <w:jc w:val="both"/>
        <w:rPr>
          <w:rFonts w:ascii="Book Antiqua" w:hAnsi="Book Antiqua"/>
        </w:rPr>
      </w:pPr>
    </w:p>
    <w:p w14:paraId="3BF6E858" w14:textId="77777777"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aps/>
          <w:color w:val="000000"/>
          <w:u w:val="single"/>
        </w:rPr>
        <w:t>TREATMENT</w:t>
      </w:r>
    </w:p>
    <w:p w14:paraId="6BA79073" w14:textId="77777777" w:rsidR="00A87C33" w:rsidRPr="007D2104" w:rsidRDefault="008846B4" w:rsidP="00A87C33">
      <w:pPr>
        <w:spacing w:line="360" w:lineRule="auto"/>
        <w:jc w:val="both"/>
        <w:rPr>
          <w:rFonts w:ascii="Book Antiqua" w:hAnsi="Book Antiqua"/>
        </w:rPr>
      </w:pPr>
      <w:r w:rsidRPr="007D2104">
        <w:rPr>
          <w:rFonts w:ascii="Book Antiqua" w:eastAsia="Book Antiqua" w:hAnsi="Book Antiqua" w:cs="Book Antiqua"/>
          <w:color w:val="000000"/>
        </w:rPr>
        <w:t>After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admission,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underwent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continuous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hemodiafiltration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(Disposable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hemodialysate</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filter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supporting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pipeline,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Prismaflex</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M100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Gambro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Industries,</w:t>
      </w:r>
      <w:r w:rsidR="007D2104" w:rsidRPr="007D2104">
        <w:rPr>
          <w:rFonts w:ascii="Book Antiqua" w:eastAsia="Book Antiqua" w:hAnsi="Book Antiqua" w:cs="Book Antiqua"/>
          <w:color w:val="000000"/>
        </w:rPr>
        <w:t xml:space="preserve"> </w:t>
      </w:r>
      <w:proofErr w:type="spellStart"/>
      <w:r w:rsidR="001C4589" w:rsidRPr="007D2104">
        <w:rPr>
          <w:rFonts w:ascii="Book Antiqua" w:eastAsia="Book Antiqua" w:hAnsi="Book Antiqua" w:cs="Book Antiqua"/>
          <w:color w:val="000000"/>
        </w:rPr>
        <w:t>Meyzieu</w:t>
      </w:r>
      <w:proofErr w:type="spellEnd"/>
      <w:r w:rsidR="001C4589"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001C4589" w:rsidRPr="007D2104">
        <w:rPr>
          <w:rFonts w:ascii="Book Antiqua" w:eastAsia="Book Antiqua" w:hAnsi="Book Antiqua" w:cs="Book Antiqua"/>
          <w:color w:val="000000"/>
        </w:rPr>
        <w:t>France</w:t>
      </w:r>
      <w:r w:rsidR="00D31367"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flow</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velocity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150-300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mL/min,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replacement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velocity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1000-2500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mL/h,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dialysis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velocity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1500-5000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mL/h)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lower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level.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impairment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consciousness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worsened,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repeat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level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511.72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lastRenderedPageBreak/>
        <w:t>µmol/L.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few</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hours,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fell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severe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t>
      </w:r>
      <w:r w:rsidR="00EA13EF" w:rsidRPr="007D2104">
        <w:rPr>
          <w:rFonts w:ascii="Book Antiqua" w:eastAsia="Book Antiqua" w:hAnsi="Book Antiqua" w:cs="Book Antiqua"/>
          <w:color w:val="000000"/>
        </w:rPr>
        <w:t>GSC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3)</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developed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central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respiratory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failure.</w:t>
      </w:r>
      <w:r w:rsidR="007D2104" w:rsidRPr="007D2104">
        <w:rPr>
          <w:rFonts w:ascii="Book Antiqua" w:eastAsia="Book Antiqua" w:hAnsi="Book Antiqua" w:cs="Book Antiqua"/>
          <w:color w:val="000000"/>
        </w:rPr>
        <w:t xml:space="preserve"> </w:t>
      </w:r>
      <w:r w:rsidR="00A87C33" w:rsidRPr="007D2104">
        <w:rPr>
          <w:rFonts w:ascii="Book Antiqua" w:eastAsia="Book Antiqua" w:hAnsi="Book Antiqua" w:cs="Book Antiqua"/>
          <w:color w:val="000000"/>
        </w:rPr>
        <w:t xml:space="preserve">We immediately </w:t>
      </w:r>
      <w:r w:rsidR="00A87C33">
        <w:rPr>
          <w:rFonts w:ascii="Book Antiqua" w:eastAsia="Book Antiqua" w:hAnsi="Book Antiqua" w:cs="Book Antiqua"/>
          <w:color w:val="000000"/>
        </w:rPr>
        <w:t>provided</w:t>
      </w:r>
      <w:r w:rsidR="00A87C33" w:rsidRPr="007D2104">
        <w:rPr>
          <w:rFonts w:ascii="Book Antiqua" w:eastAsia="Book Antiqua" w:hAnsi="Book Antiqua" w:cs="Book Antiqua"/>
          <w:color w:val="000000"/>
        </w:rPr>
        <w:t xml:space="preserve"> ventilation, reduce</w:t>
      </w:r>
      <w:r w:rsidR="00A87C33">
        <w:rPr>
          <w:rFonts w:ascii="Book Antiqua" w:eastAsia="Book Antiqua" w:hAnsi="Book Antiqua" w:cs="Book Antiqua"/>
          <w:color w:val="000000"/>
        </w:rPr>
        <w:t>d</w:t>
      </w:r>
      <w:r w:rsidR="00A87C33" w:rsidRPr="007D2104">
        <w:rPr>
          <w:rFonts w:ascii="Book Antiqua" w:eastAsia="Book Antiqua" w:hAnsi="Book Antiqua" w:cs="Book Antiqua"/>
          <w:color w:val="000000"/>
        </w:rPr>
        <w:t xml:space="preserve"> intracranial pressure (mannitol and hypertonic</w:t>
      </w:r>
      <w:r w:rsidR="00A87C33" w:rsidRPr="00A21D2E">
        <w:rPr>
          <w:rFonts w:ascii="Book Antiqua" w:eastAsia="Book Antiqua" w:hAnsi="Book Antiqua" w:cs="Book Antiqua"/>
          <w:color w:val="000000"/>
        </w:rPr>
        <w:t xml:space="preserve"> </w:t>
      </w:r>
      <w:r w:rsidR="00A87C33" w:rsidRPr="007D2104">
        <w:rPr>
          <w:rFonts w:ascii="Book Antiqua" w:eastAsia="Book Antiqua" w:hAnsi="Book Antiqua" w:cs="Book Antiqua"/>
          <w:color w:val="000000"/>
        </w:rPr>
        <w:t>sodium), nitrogen scavenger agents includ</w:t>
      </w:r>
      <w:r w:rsidR="00A87C33">
        <w:rPr>
          <w:rFonts w:ascii="Book Antiqua" w:eastAsia="Book Antiqua" w:hAnsi="Book Antiqua" w:cs="Book Antiqua"/>
          <w:color w:val="000000"/>
        </w:rPr>
        <w:t>ing</w:t>
      </w:r>
      <w:r w:rsidR="00A87C33" w:rsidRPr="007D2104">
        <w:rPr>
          <w:rFonts w:ascii="Book Antiqua" w:eastAsia="Book Antiqua" w:hAnsi="Book Antiqua" w:cs="Book Antiqua"/>
          <w:color w:val="000000"/>
        </w:rPr>
        <w:t xml:space="preserve"> sodium benzoate and arginine, antibiotics to inhibit ammonia production by intestinal bacteria, along with multiple nutritional support treatments.</w:t>
      </w:r>
    </w:p>
    <w:p w14:paraId="30CBA84C" w14:textId="77777777" w:rsidR="00AA0533" w:rsidRDefault="008846B4" w:rsidP="007D2104">
      <w:pPr>
        <w:spacing w:line="360" w:lineRule="auto"/>
        <w:ind w:firstLineChars="200" w:firstLine="480"/>
        <w:jc w:val="both"/>
        <w:rPr>
          <w:rFonts w:ascii="Book Antiqua" w:eastAsia="Book Antiqua" w:hAnsi="Book Antiqua" w:cs="Book Antiqua"/>
          <w:color w:val="000000"/>
        </w:rPr>
      </w:pP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day</w:t>
      </w:r>
      <w:r w:rsidR="007D2104" w:rsidRPr="007D2104">
        <w:rPr>
          <w:rFonts w:ascii="Book Antiqua" w:eastAsia="Book Antiqua" w:hAnsi="Book Antiqua" w:cs="Book Antiqua"/>
          <w:color w:val="000000"/>
        </w:rPr>
        <w:t xml:space="preserve"> </w:t>
      </w:r>
      <w:r w:rsidR="008A478D" w:rsidRPr="007D2104">
        <w:rPr>
          <w:rFonts w:ascii="Book Antiqua" w:eastAsia="Book Antiqua" w:hAnsi="Book Antiqua" w:cs="Book Antiqua"/>
          <w:color w:val="000000"/>
        </w:rPr>
        <w:t>3</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decreased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maintained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range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remainder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stay.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continuous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hemodiafiltration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parameters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flow</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velocity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120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replacement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velocity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500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mL/h,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dialysis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velocity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2500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mL/h)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gradually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adjusted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downwards.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6,</w:t>
      </w:r>
      <w:r w:rsidR="007D2104" w:rsidRPr="007D2104">
        <w:rPr>
          <w:rFonts w:ascii="Book Antiqua" w:eastAsia="Book Antiqua" w:hAnsi="Book Antiqua" w:cs="Book Antiqua"/>
          <w:color w:val="000000"/>
        </w:rPr>
        <w:t xml:space="preserve"> </w:t>
      </w:r>
      <w:r w:rsidR="00AA0533" w:rsidRPr="00AA0533">
        <w:rPr>
          <w:rFonts w:ascii="Book Antiqua" w:eastAsia="Book Antiqua" w:hAnsi="Book Antiqua" w:cs="Book Antiqua"/>
          <w:color w:val="000000"/>
        </w:rPr>
        <w:t xml:space="preserve">the patient discontinued hemodiafiltration. On day 7, the patient’s consciousness changed from deep coma to moderate coma. On day 12, the patient was weaned from the ventilator; however, he remained in a moderate coma. </w:t>
      </w:r>
    </w:p>
    <w:p w14:paraId="3575F898" w14:textId="77777777" w:rsidR="00AA0533" w:rsidRPr="007D2104" w:rsidRDefault="00AA0533" w:rsidP="00AA0533">
      <w:pPr>
        <w:spacing w:line="360" w:lineRule="auto"/>
        <w:ind w:firstLineChars="200" w:firstLine="480"/>
        <w:jc w:val="both"/>
        <w:rPr>
          <w:rFonts w:ascii="Book Antiqua" w:hAnsi="Book Antiqua"/>
        </w:rPr>
      </w:pPr>
      <w:r w:rsidRPr="007D2104">
        <w:rPr>
          <w:rFonts w:ascii="Book Antiqua" w:eastAsia="Book Antiqua" w:hAnsi="Book Antiqua" w:cs="Book Antiqua"/>
          <w:color w:val="000000"/>
        </w:rPr>
        <w:t xml:space="preserve">On day 31, modified piggyback orthotopic </w:t>
      </w:r>
      <w:r>
        <w:rPr>
          <w:rFonts w:ascii="Book Antiqua" w:eastAsia="Book Antiqua" w:hAnsi="Book Antiqua" w:cs="Book Antiqua"/>
          <w:color w:val="000000"/>
        </w:rPr>
        <w:t>LT</w:t>
      </w:r>
      <w:r w:rsidRPr="007D2104">
        <w:rPr>
          <w:rFonts w:ascii="Book Antiqua" w:eastAsia="Book Antiqua" w:hAnsi="Book Antiqua" w:cs="Book Antiqua"/>
          <w:color w:val="000000"/>
        </w:rPr>
        <w:t xml:space="preserve"> (anastomosis of the donor inferior vena cava to the recipient inferior vena cava) was performed, the donor </w:t>
      </w:r>
      <w:r>
        <w:rPr>
          <w:rFonts w:ascii="Book Antiqua" w:eastAsia="Book Antiqua" w:hAnsi="Book Antiqua" w:cs="Book Antiqua"/>
          <w:color w:val="000000"/>
        </w:rPr>
        <w:t>was</w:t>
      </w:r>
      <w:r w:rsidRPr="007D2104">
        <w:rPr>
          <w:rFonts w:ascii="Book Antiqua" w:eastAsia="Book Antiqua" w:hAnsi="Book Antiqua" w:cs="Book Antiqua"/>
          <w:color w:val="000000"/>
        </w:rPr>
        <w:t xml:space="preserve"> deceased. Postoperatively, </w:t>
      </w:r>
      <w:r>
        <w:rPr>
          <w:rFonts w:ascii="Book Antiqua" w:eastAsia="Book Antiqua" w:hAnsi="Book Antiqua" w:cs="Book Antiqua"/>
          <w:color w:val="000000"/>
        </w:rPr>
        <w:t>the patient</w:t>
      </w:r>
      <w:r w:rsidRPr="007D2104">
        <w:rPr>
          <w:rFonts w:ascii="Book Antiqua" w:eastAsia="Book Antiqua" w:hAnsi="Book Antiqua" w:cs="Book Antiqua"/>
          <w:color w:val="000000"/>
        </w:rPr>
        <w:t xml:space="preserve"> was treated with tacrolimus, sodium mescaline, and methylprednisolone. On day 35 (day 4 after surgery), the patient </w:t>
      </w:r>
      <w:r>
        <w:rPr>
          <w:rFonts w:ascii="Book Antiqua" w:eastAsia="Book Antiqua" w:hAnsi="Book Antiqua" w:cs="Book Antiqua"/>
          <w:color w:val="000000"/>
        </w:rPr>
        <w:t xml:space="preserve">was </w:t>
      </w:r>
      <w:r w:rsidRPr="007D2104">
        <w:rPr>
          <w:rFonts w:ascii="Book Antiqua" w:eastAsia="Book Antiqua" w:hAnsi="Book Antiqua" w:cs="Book Antiqua"/>
          <w:color w:val="000000"/>
        </w:rPr>
        <w:t>conscious (open</w:t>
      </w:r>
      <w:r>
        <w:rPr>
          <w:rFonts w:ascii="Book Antiqua" w:eastAsia="Book Antiqua" w:hAnsi="Book Antiqua" w:cs="Book Antiqua"/>
          <w:color w:val="000000"/>
        </w:rPr>
        <w:t>ed</w:t>
      </w:r>
      <w:r w:rsidRPr="007D2104">
        <w:rPr>
          <w:rFonts w:ascii="Book Antiqua" w:eastAsia="Book Antiqua" w:hAnsi="Book Antiqua" w:cs="Book Antiqua"/>
          <w:color w:val="000000"/>
        </w:rPr>
        <w:t xml:space="preserve"> eyes autonomously, obey</w:t>
      </w:r>
      <w:r>
        <w:rPr>
          <w:rFonts w:ascii="Book Antiqua" w:eastAsia="Book Antiqua" w:hAnsi="Book Antiqua" w:cs="Book Antiqua"/>
          <w:color w:val="000000"/>
        </w:rPr>
        <w:t>ed</w:t>
      </w:r>
      <w:r w:rsidRPr="007D2104">
        <w:rPr>
          <w:rFonts w:ascii="Book Antiqua" w:eastAsia="Book Antiqua" w:hAnsi="Book Antiqua" w:cs="Book Antiqua"/>
          <w:color w:val="000000"/>
        </w:rPr>
        <w:t xml:space="preserve"> commands, verbal response </w:t>
      </w:r>
      <w:r>
        <w:rPr>
          <w:rFonts w:ascii="Book Antiqua" w:eastAsia="Book Antiqua" w:hAnsi="Book Antiqua" w:cs="Book Antiqua"/>
          <w:color w:val="000000"/>
        </w:rPr>
        <w:t>was</w:t>
      </w:r>
      <w:r w:rsidRPr="007D2104">
        <w:rPr>
          <w:rFonts w:ascii="Book Antiqua" w:eastAsia="Book Antiqua" w:hAnsi="Book Antiqua" w:cs="Book Antiqua"/>
          <w:color w:val="000000"/>
        </w:rPr>
        <w:t xml:space="preserve"> “T”). A repeat brain MRI more than 2 </w:t>
      </w:r>
      <w:proofErr w:type="spellStart"/>
      <w:r w:rsidRPr="007D2104">
        <w:rPr>
          <w:rFonts w:ascii="Book Antiqua" w:eastAsia="Book Antiqua" w:hAnsi="Book Antiqua" w:cs="Book Antiqua"/>
          <w:color w:val="000000"/>
        </w:rPr>
        <w:t>mo</w:t>
      </w:r>
      <w:proofErr w:type="spellEnd"/>
      <w:r w:rsidRPr="007D2104">
        <w:rPr>
          <w:rFonts w:ascii="Book Antiqua" w:eastAsia="Book Antiqua" w:hAnsi="Book Antiqua" w:cs="Book Antiqua"/>
          <w:color w:val="000000"/>
        </w:rPr>
        <w:t xml:space="preserve"> after transplantation showed that the previous subcortical lesions had largely disappeared; however, hydrocephalus was worse (Figure 2). He was discharged after 3 </w:t>
      </w:r>
      <w:proofErr w:type="spellStart"/>
      <w:r w:rsidRPr="007D2104">
        <w:rPr>
          <w:rFonts w:ascii="Book Antiqua" w:eastAsia="Book Antiqua" w:hAnsi="Book Antiqua" w:cs="Book Antiqua"/>
          <w:color w:val="000000"/>
        </w:rPr>
        <w:t>mo</w:t>
      </w:r>
      <w:proofErr w:type="spellEnd"/>
      <w:r w:rsidRPr="007D2104">
        <w:rPr>
          <w:rFonts w:ascii="Book Antiqua" w:eastAsia="Book Antiqua" w:hAnsi="Book Antiqua" w:cs="Book Antiqua"/>
          <w:color w:val="000000"/>
        </w:rPr>
        <w:t xml:space="preserve"> and underwent abdominal ventricular drainage at another hospital.</w:t>
      </w:r>
    </w:p>
    <w:p w14:paraId="51052DCE" w14:textId="77777777" w:rsidR="00A77B3E" w:rsidRPr="007D2104" w:rsidRDefault="00A77B3E" w:rsidP="007D2104">
      <w:pPr>
        <w:spacing w:line="360" w:lineRule="auto"/>
        <w:jc w:val="both"/>
        <w:rPr>
          <w:rFonts w:ascii="Book Antiqua" w:hAnsi="Book Antiqua"/>
        </w:rPr>
      </w:pPr>
    </w:p>
    <w:p w14:paraId="4EBB0B88" w14:textId="1F235C35"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aps/>
          <w:color w:val="000000"/>
          <w:u w:val="single"/>
        </w:rPr>
        <w:t>OUTCOME</w:t>
      </w:r>
      <w:r w:rsidR="007D2104" w:rsidRPr="007D2104">
        <w:rPr>
          <w:rFonts w:ascii="Book Antiqua" w:eastAsia="Book Antiqua" w:hAnsi="Book Antiqua" w:cs="Book Antiqua"/>
          <w:b/>
          <w:caps/>
          <w:color w:val="000000"/>
          <w:u w:val="single"/>
        </w:rPr>
        <w:t xml:space="preserve"> </w:t>
      </w:r>
      <w:r w:rsidRPr="007D2104">
        <w:rPr>
          <w:rFonts w:ascii="Book Antiqua" w:eastAsia="Book Antiqua" w:hAnsi="Book Antiqua" w:cs="Book Antiqua"/>
          <w:b/>
          <w:caps/>
          <w:color w:val="000000"/>
          <w:u w:val="single"/>
        </w:rPr>
        <w:t>AND</w:t>
      </w:r>
      <w:r w:rsidR="007D2104" w:rsidRPr="007D2104">
        <w:rPr>
          <w:rFonts w:ascii="Book Antiqua" w:eastAsia="Book Antiqua" w:hAnsi="Book Antiqua" w:cs="Book Antiqua"/>
          <w:b/>
          <w:caps/>
          <w:color w:val="000000"/>
          <w:u w:val="single"/>
        </w:rPr>
        <w:t xml:space="preserve"> </w:t>
      </w:r>
      <w:r w:rsidRPr="007D2104">
        <w:rPr>
          <w:rFonts w:ascii="Book Antiqua" w:eastAsia="Book Antiqua" w:hAnsi="Book Antiqua" w:cs="Book Antiqua"/>
          <w:b/>
          <w:caps/>
          <w:color w:val="000000"/>
          <w:u w:val="single"/>
        </w:rPr>
        <w:t>FOLLOW-UP</w:t>
      </w:r>
    </w:p>
    <w:p w14:paraId="78B6361F" w14:textId="06F31F86"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follow-up</w:t>
      </w:r>
      <w:r w:rsidR="00913CD7">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00913CD7">
        <w:rPr>
          <w:rFonts w:ascii="Book Antiqua" w:eastAsia="Book Antiqua" w:hAnsi="Book Antiqua" w:cs="Book Antiqua"/>
          <w:color w:val="000000"/>
        </w:rPr>
        <w:t xml:space="preserve">6 </w:t>
      </w:r>
      <w:proofErr w:type="spellStart"/>
      <w:r w:rsidRPr="007D2104">
        <w:rPr>
          <w:rFonts w:ascii="Book Antiqua" w:eastAsia="Book Antiqua" w:hAnsi="Book Antiqua" w:cs="Book Antiqua"/>
          <w:color w:val="000000"/>
        </w:rPr>
        <w:t>mo</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surgery,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could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sit,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squat,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walk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smoothly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own.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could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say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simple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superlatives,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command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execution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rate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00913CD7" w:rsidRPr="007D2104">
        <w:rPr>
          <w:rFonts w:ascii="Book Antiqua" w:eastAsia="Book Antiqua" w:hAnsi="Book Antiqua" w:cs="Book Antiqua"/>
          <w:color w:val="000000"/>
        </w:rPr>
        <w:t>a</w:t>
      </w:r>
      <w:r w:rsidR="00913CD7">
        <w:rPr>
          <w:rFonts w:ascii="Book Antiqua" w:eastAsia="Book Antiqua" w:hAnsi="Book Antiqua" w:cs="Book Antiqua"/>
          <w:color w:val="000000"/>
        </w:rPr>
        <w:t xml:space="preserve">pproximately </w:t>
      </w:r>
      <w:r w:rsidRPr="007D2104">
        <w:rPr>
          <w:rFonts w:ascii="Book Antiqua" w:eastAsia="Book Antiqua" w:hAnsi="Book Antiqua" w:cs="Book Antiqua"/>
          <w:color w:val="000000"/>
        </w:rPr>
        <w:t>30%.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showed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poor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emotional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control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greater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temper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parents;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however,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gentler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strangers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brother.</w:t>
      </w:r>
    </w:p>
    <w:p w14:paraId="01473BAD" w14:textId="77777777" w:rsidR="00A77B3E" w:rsidRPr="007D2104" w:rsidRDefault="00A77B3E" w:rsidP="007D2104">
      <w:pPr>
        <w:spacing w:line="360" w:lineRule="auto"/>
        <w:jc w:val="both"/>
        <w:rPr>
          <w:rFonts w:ascii="Book Antiqua" w:hAnsi="Book Antiqua"/>
        </w:rPr>
      </w:pPr>
    </w:p>
    <w:p w14:paraId="24C90B6E" w14:textId="77777777"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aps/>
          <w:color w:val="000000"/>
          <w:u w:val="single"/>
        </w:rPr>
        <w:t>DISCUSSION</w:t>
      </w:r>
    </w:p>
    <w:p w14:paraId="4FC83B8D" w14:textId="55944CC5"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develop</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Depending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time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divided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neonatal-onset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type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type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28</w:t>
      </w:r>
      <w:r w:rsidR="00913CD7">
        <w:rPr>
          <w:rFonts w:ascii="Book Antiqua" w:eastAsia="Book Antiqua" w:hAnsi="Book Antiqua" w:cs="Book Antiqua"/>
          <w:color w:val="000000"/>
        </w:rPr>
        <w:t xml:space="preserve"> </w:t>
      </w:r>
      <w:proofErr w:type="gramStart"/>
      <w:r w:rsidRPr="007D2104">
        <w:rPr>
          <w:rFonts w:ascii="Book Antiqua" w:eastAsia="Book Antiqua" w:hAnsi="Book Antiqua" w:cs="Book Antiqua"/>
          <w:color w:val="000000"/>
        </w:rPr>
        <w:t>d)</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6]</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lastRenderedPageBreak/>
        <w:t>neonatal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usually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present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first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few</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hours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days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birth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severe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disease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high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mortality.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clinical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presentation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disease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varies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widely,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specific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clinical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manifestations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before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initial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Acute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induced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infection,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prolonged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fasting,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fatigue.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outcome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conservative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poor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hyperammonemia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crisis,</w:t>
      </w:r>
      <w:r w:rsidR="007D2104" w:rsidRPr="007D2104">
        <w:rPr>
          <w:rFonts w:ascii="Book Antiqua" w:eastAsia="Book Antiqua" w:hAnsi="Book Antiqua" w:cs="Book Antiqua"/>
          <w:color w:val="000000"/>
        </w:rPr>
        <w:t xml:space="preserve"> </w:t>
      </w:r>
      <w:r w:rsidR="00913CD7">
        <w:rPr>
          <w:rFonts w:ascii="Book Antiqua" w:eastAsia="Book Antiqua" w:hAnsi="Book Antiqua" w:cs="Book Antiqua"/>
          <w:color w:val="000000"/>
        </w:rPr>
        <w:t xml:space="preserve">and </w:t>
      </w:r>
      <w:r w:rsidRPr="007D2104">
        <w:rPr>
          <w:rFonts w:ascii="Book Antiqua" w:eastAsia="Book Antiqua" w:hAnsi="Book Antiqua" w:cs="Book Antiqua"/>
          <w:color w:val="000000"/>
        </w:rPr>
        <w:t>5-year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survival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approximately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45</w:t>
      </w:r>
      <w:proofErr w:type="gramStart"/>
      <w:r w:rsidRPr="007D2104">
        <w:rPr>
          <w:rFonts w:ascii="Book Antiqua" w:eastAsia="Book Antiqua" w:hAnsi="Book Antiqua" w:cs="Book Antiqua"/>
          <w:color w:val="000000"/>
        </w:rPr>
        <w:t>%</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7]</w:t>
      </w:r>
      <w:r w:rsidRPr="007D2104">
        <w:rPr>
          <w:rFonts w:ascii="Book Antiqua" w:eastAsia="Book Antiqua" w:hAnsi="Book Antiqua" w:cs="Book Antiqua"/>
          <w:color w:val="000000"/>
        </w:rPr>
        <w:t>.</w:t>
      </w:r>
    </w:p>
    <w:p w14:paraId="4FA1653A" w14:textId="7E13BB19" w:rsidR="00A77B3E" w:rsidRPr="007D2104" w:rsidRDefault="008846B4" w:rsidP="007D2104">
      <w:pPr>
        <w:spacing w:line="360" w:lineRule="auto"/>
        <w:ind w:firstLineChars="200" w:firstLine="480"/>
        <w:jc w:val="both"/>
        <w:rPr>
          <w:rFonts w:ascii="Book Antiqua" w:hAnsi="Book Antiqua"/>
        </w:rPr>
      </w:pPr>
      <w:r w:rsidRPr="007D2104">
        <w:rPr>
          <w:rFonts w:ascii="Book Antiqua" w:eastAsia="Book Antiqua" w:hAnsi="Book Antiqua" w:cs="Book Antiqua"/>
          <w:color w:val="000000"/>
        </w:rPr>
        <w:t>Outcomes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urea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cycle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related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levels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duration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According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European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questionnaire,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levels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300</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μmol</w:t>
      </w:r>
      <w:proofErr w:type="spellEnd"/>
      <w:r w:rsidRPr="007D2104">
        <w:rPr>
          <w:rFonts w:ascii="Book Antiqua" w:eastAsia="Book Antiqua" w:hAnsi="Book Antiqua" w:cs="Book Antiqua"/>
          <w:color w:val="000000"/>
        </w:rPr>
        <w:t>/L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peak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levels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480</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μmol</w:t>
      </w:r>
      <w:proofErr w:type="spellEnd"/>
      <w:r w:rsidRPr="007D2104">
        <w:rPr>
          <w:rFonts w:ascii="Book Antiqua" w:eastAsia="Book Antiqua" w:hAnsi="Book Antiqua" w:cs="Book Antiqua"/>
          <w:color w:val="000000"/>
        </w:rPr>
        <w:t>/L</w:t>
      </w:r>
      <w:r w:rsidR="007D2104" w:rsidRPr="007D2104">
        <w:rPr>
          <w:rFonts w:ascii="Book Antiqua" w:eastAsia="Book Antiqua" w:hAnsi="Book Antiqua" w:cs="Book Antiqua"/>
          <w:color w:val="000000"/>
        </w:rPr>
        <w:t xml:space="preserve"> </w:t>
      </w:r>
      <w:r w:rsidR="00913CD7">
        <w:rPr>
          <w:rFonts w:ascii="Book Antiqua" w:eastAsia="Book Antiqua" w:hAnsi="Book Antiqua" w:cs="Book Antiqua"/>
          <w:color w:val="000000"/>
        </w:rPr>
        <w:t>during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first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episode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suffered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neurological</w:t>
      </w:r>
      <w:r w:rsidR="007D2104" w:rsidRPr="007D2104">
        <w:rPr>
          <w:rFonts w:ascii="Book Antiqua" w:eastAsia="Book Antiqua" w:hAnsi="Book Antiqua" w:cs="Book Antiqua"/>
          <w:color w:val="000000"/>
        </w:rPr>
        <w:t xml:space="preserve"> </w:t>
      </w:r>
      <w:proofErr w:type="gramStart"/>
      <w:r w:rsidRPr="007D2104">
        <w:rPr>
          <w:rFonts w:ascii="Book Antiqua" w:eastAsia="Book Antiqua" w:hAnsi="Book Antiqua" w:cs="Book Antiqua"/>
          <w:color w:val="000000"/>
        </w:rPr>
        <w:t>dysfunction</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8]</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Although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generally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have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better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outcomes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those</w:t>
      </w:r>
      <w:r w:rsidR="007D2104" w:rsidRPr="007D2104">
        <w:rPr>
          <w:rFonts w:ascii="Book Antiqua" w:eastAsia="Book Antiqua" w:hAnsi="Book Antiqua" w:cs="Book Antiqua"/>
          <w:color w:val="000000"/>
        </w:rPr>
        <w:t xml:space="preserve"> </w:t>
      </w:r>
      <w:r w:rsidR="00913CD7">
        <w:rPr>
          <w:rFonts w:ascii="Book Antiqua" w:eastAsia="Book Antiqua" w:hAnsi="Book Antiqua" w:cs="Book Antiqua"/>
          <w:color w:val="000000"/>
        </w:rPr>
        <w:t xml:space="preserve">with </w:t>
      </w:r>
      <w:r w:rsidRPr="007D2104">
        <w:rPr>
          <w:rFonts w:ascii="Book Antiqua" w:eastAsia="Book Antiqua" w:hAnsi="Book Antiqua" w:cs="Book Antiqua"/>
          <w:color w:val="000000"/>
        </w:rPr>
        <w:t>neonatal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higher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incidence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residual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neurological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damage,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mortality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rate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first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episode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high.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follow-up</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study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included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90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cases,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had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their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first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presentation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6</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them</w:t>
      </w:r>
      <w:r w:rsidR="007D2104" w:rsidRPr="007D2104">
        <w:rPr>
          <w:rFonts w:ascii="Book Antiqua" w:eastAsia="Book Antiqua" w:hAnsi="Book Antiqua" w:cs="Book Antiqua"/>
          <w:color w:val="000000"/>
        </w:rPr>
        <w:t xml:space="preserve"> </w:t>
      </w:r>
      <w:proofErr w:type="gramStart"/>
      <w:r w:rsidRPr="007D2104">
        <w:rPr>
          <w:rFonts w:ascii="Book Antiqua" w:eastAsia="Book Antiqua" w:hAnsi="Book Antiqua" w:cs="Book Antiqua"/>
          <w:color w:val="000000"/>
        </w:rPr>
        <w:t>died</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9]</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Among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16</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genetically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confirmed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cases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reported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Chinese</w:t>
      </w:r>
      <w:r w:rsidR="007D2104" w:rsidRPr="007D2104">
        <w:rPr>
          <w:rFonts w:ascii="Book Antiqua" w:eastAsia="Book Antiqua" w:hAnsi="Book Antiqua" w:cs="Book Antiqua"/>
          <w:color w:val="000000"/>
        </w:rPr>
        <w:t xml:space="preserve"> </w:t>
      </w:r>
      <w:proofErr w:type="gramStart"/>
      <w:r w:rsidRPr="007D2104">
        <w:rPr>
          <w:rFonts w:ascii="Book Antiqua" w:eastAsia="Book Antiqua" w:hAnsi="Book Antiqua" w:cs="Book Antiqua"/>
          <w:color w:val="000000"/>
        </w:rPr>
        <w:t>literature</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10]</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nine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shortly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hospital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admission,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suggesting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disease</w:t>
      </w:r>
      <w:r w:rsidR="009B4758" w:rsidRPr="007D2104">
        <w:rPr>
          <w:rFonts w:ascii="Book Antiqua" w:eastAsia="Book Antiqua" w:hAnsi="Book Antiqua" w:cs="Book Antiqua"/>
          <w:color w:val="000000"/>
        </w:rPr>
        <w:t>’</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aggressive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nature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acute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our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physically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fit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had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development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before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presentation.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Headache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vomiting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primary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manifestations;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symptoms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taken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seriously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until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unconsciousness,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which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delayed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Although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levels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reduced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00913CD7">
        <w:rPr>
          <w:rFonts w:ascii="Book Antiqua" w:eastAsia="Book Antiqua" w:hAnsi="Book Antiqua" w:cs="Book Antiqua"/>
          <w:color w:val="000000"/>
        </w:rPr>
        <w:t xml:space="preserve">the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range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aggressive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treatment</w:t>
      </w:r>
      <w:r w:rsidR="00913CD7">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neurological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damage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improve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normalization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moderate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before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p>
    <w:p w14:paraId="7DB551DC" w14:textId="3265D169" w:rsidR="00A77B3E" w:rsidRPr="007D2104" w:rsidRDefault="008846B4" w:rsidP="007D2104">
      <w:pPr>
        <w:spacing w:line="360" w:lineRule="auto"/>
        <w:ind w:firstLineChars="200" w:firstLine="480"/>
        <w:jc w:val="both"/>
        <w:rPr>
          <w:rFonts w:ascii="Book Antiqua" w:hAnsi="Book Antiqua"/>
        </w:rPr>
      </w:pP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low-protein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long-term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ammonia-lowering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medications.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radical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longer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restrict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their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take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nitrogen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scavenging</w:t>
      </w:r>
      <w:r w:rsidR="007D2104" w:rsidRPr="007D2104">
        <w:rPr>
          <w:rFonts w:ascii="Book Antiqua" w:eastAsia="Book Antiqua" w:hAnsi="Book Antiqua" w:cs="Book Antiqua"/>
          <w:color w:val="000000"/>
        </w:rPr>
        <w:t xml:space="preserve"> </w:t>
      </w:r>
      <w:proofErr w:type="gramStart"/>
      <w:r w:rsidRPr="007D2104">
        <w:rPr>
          <w:rFonts w:ascii="Book Antiqua" w:eastAsia="Book Antiqua" w:hAnsi="Book Antiqua" w:cs="Book Antiqua"/>
          <w:color w:val="000000"/>
        </w:rPr>
        <w:t>agents</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5]</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Statistics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00913CD7">
        <w:rPr>
          <w:rFonts w:ascii="Book Antiqua" w:eastAsia="Book Antiqua" w:hAnsi="Book Antiqua" w:cs="Book Antiqua"/>
          <w:color w:val="000000"/>
        </w:rPr>
        <w:t xml:space="preserve">in patients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urea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circulation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show</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5-year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survival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rate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exceed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90</w:t>
      </w:r>
      <w:proofErr w:type="gramStart"/>
      <w:r w:rsidRPr="007D2104">
        <w:rPr>
          <w:rFonts w:ascii="Book Antiqua" w:eastAsia="Book Antiqua" w:hAnsi="Book Antiqua" w:cs="Book Antiqua"/>
          <w:color w:val="000000"/>
        </w:rPr>
        <w:t>%</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11,12]</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consensus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regarding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indications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timing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now</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believed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should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performed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all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neonatal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prevent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neurological</w:t>
      </w:r>
      <w:r w:rsidR="007D2104" w:rsidRPr="007D2104">
        <w:rPr>
          <w:rFonts w:ascii="Book Antiqua" w:eastAsia="Book Antiqua" w:hAnsi="Book Antiqua" w:cs="Book Antiqua"/>
          <w:color w:val="000000"/>
        </w:rPr>
        <w:t xml:space="preserve"> </w:t>
      </w:r>
      <w:proofErr w:type="gramStart"/>
      <w:r w:rsidRPr="007D2104">
        <w:rPr>
          <w:rFonts w:ascii="Book Antiqua" w:eastAsia="Book Antiqua" w:hAnsi="Book Antiqua" w:cs="Book Antiqua"/>
          <w:color w:val="000000"/>
        </w:rPr>
        <w:t>damage</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13]</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indications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timing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must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determined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clinical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symptoms,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including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poor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drug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efficacy,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recurrent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episodes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lastRenderedPageBreak/>
        <w:t>hyperammonemia,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growth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retardation,</w:t>
      </w:r>
      <w:r w:rsidR="007D2104" w:rsidRPr="007D2104">
        <w:rPr>
          <w:rFonts w:ascii="Book Antiqua" w:eastAsia="Book Antiqua" w:hAnsi="Book Antiqua" w:cs="Book Antiqua"/>
          <w:color w:val="000000"/>
        </w:rPr>
        <w:t xml:space="preserve"> </w:t>
      </w:r>
      <w:r w:rsidR="00913CD7" w:rsidRPr="007D2104">
        <w:rPr>
          <w:rFonts w:ascii="Book Antiqua" w:eastAsia="Book Antiqua" w:hAnsi="Book Antiqua" w:cs="Book Antiqua"/>
          <w:color w:val="000000"/>
        </w:rPr>
        <w:t xml:space="preserve">and inability to strictly control </w:t>
      </w:r>
      <w:r w:rsidR="00913CD7">
        <w:rPr>
          <w:rFonts w:ascii="Book Antiqua" w:eastAsia="Book Antiqua" w:hAnsi="Book Antiqua" w:cs="Book Antiqua"/>
          <w:color w:val="000000"/>
        </w:rPr>
        <w:t xml:space="preserve">the </w:t>
      </w:r>
      <w:proofErr w:type="gramStart"/>
      <w:r w:rsidR="00913CD7" w:rsidRPr="007D2104">
        <w:rPr>
          <w:rFonts w:ascii="Book Antiqua" w:eastAsia="Book Antiqua" w:hAnsi="Book Antiqua" w:cs="Book Antiqua"/>
          <w:color w:val="000000"/>
        </w:rPr>
        <w:t>diet</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14]</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Although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post-transplant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require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long-term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immunosuppressive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drugs,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evidence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OTCD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who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underwent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have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better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quality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life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those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who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longer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risked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death</w:t>
      </w:r>
      <w:r w:rsidR="007D2104" w:rsidRPr="007D2104">
        <w:rPr>
          <w:rFonts w:ascii="Book Antiqua" w:eastAsia="Book Antiqua" w:hAnsi="Book Antiqua" w:cs="Book Antiqua"/>
          <w:color w:val="000000"/>
        </w:rPr>
        <w:t xml:space="preserve"> </w:t>
      </w:r>
      <w:r w:rsidR="00913CD7">
        <w:rPr>
          <w:rFonts w:ascii="Book Antiqua" w:eastAsia="Book Antiqua" w:hAnsi="Book Antiqua" w:cs="Book Antiqua"/>
          <w:color w:val="000000"/>
        </w:rPr>
        <w:t xml:space="preserve">due to </w:t>
      </w:r>
      <w:r w:rsidRPr="007D2104">
        <w:rPr>
          <w:rFonts w:ascii="Book Antiqua" w:eastAsia="Book Antiqua" w:hAnsi="Book Antiqua" w:cs="Book Antiqua"/>
          <w:color w:val="000000"/>
        </w:rPr>
        <w:t>sudden-onset</w:t>
      </w:r>
      <w:r w:rsidR="007D2104" w:rsidRPr="007D2104">
        <w:rPr>
          <w:rFonts w:ascii="Book Antiqua" w:eastAsia="Book Antiqua" w:hAnsi="Book Antiqua" w:cs="Book Antiqua"/>
          <w:color w:val="000000"/>
        </w:rPr>
        <w:t xml:space="preserve"> </w:t>
      </w:r>
      <w:proofErr w:type="gramStart"/>
      <w:r w:rsidRPr="007D2104">
        <w:rPr>
          <w:rFonts w:ascii="Book Antiqua" w:eastAsia="Book Antiqua" w:hAnsi="Book Antiqua" w:cs="Book Antiqua"/>
          <w:color w:val="000000"/>
        </w:rPr>
        <w:t>hyperammonemia</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11,15]</w:t>
      </w:r>
      <w:r w:rsidRPr="007D2104">
        <w:rPr>
          <w:rFonts w:ascii="Book Antiqua" w:eastAsia="Book Antiqua" w:hAnsi="Book Antiqua" w:cs="Book Antiqua"/>
          <w:color w:val="000000"/>
        </w:rPr>
        <w:t>.</w:t>
      </w:r>
    </w:p>
    <w:p w14:paraId="44D75BE7" w14:textId="77777777" w:rsidR="00913CD7" w:rsidRPr="007D2104" w:rsidRDefault="00913CD7" w:rsidP="00913CD7">
      <w:pPr>
        <w:spacing w:line="360" w:lineRule="auto"/>
        <w:ind w:firstLineChars="200" w:firstLine="480"/>
        <w:jc w:val="both"/>
        <w:rPr>
          <w:rFonts w:ascii="Book Antiqua" w:hAnsi="Book Antiqua"/>
        </w:rPr>
      </w:pPr>
      <w:r w:rsidRPr="007D2104">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present </w:t>
      </w:r>
      <w:r w:rsidRPr="007D2104">
        <w:rPr>
          <w:rFonts w:ascii="Book Antiqua" w:eastAsia="Book Antiqua" w:hAnsi="Book Antiqua" w:cs="Book Antiqua"/>
          <w:color w:val="000000"/>
        </w:rPr>
        <w:t xml:space="preserve">patient had an acute onset, a long duration of hyperammonemia, severe brain damage, and was in a moderate coma before LT. Therefore, the optimal time window for LT was missed, and the choice of LT and the extent to which the patient would recover from neurological damage after transplantation were </w:t>
      </w:r>
      <w:r>
        <w:rPr>
          <w:rFonts w:ascii="Book Antiqua" w:eastAsia="Book Antiqua" w:hAnsi="Book Antiqua" w:cs="Book Antiqua"/>
          <w:color w:val="000000"/>
        </w:rPr>
        <w:t xml:space="preserve">a </w:t>
      </w:r>
      <w:r w:rsidRPr="007D2104">
        <w:rPr>
          <w:rFonts w:ascii="Book Antiqua" w:eastAsia="Book Antiqua" w:hAnsi="Book Antiqua" w:cs="Book Antiqua"/>
          <w:color w:val="000000"/>
        </w:rPr>
        <w:t xml:space="preserve">concern for his physicians and parents. Most LTs for OTCD patients are carried out in the context of stable metabolism, and there are few reports of LT in </w:t>
      </w:r>
      <w:r>
        <w:rPr>
          <w:rFonts w:ascii="Book Antiqua" w:eastAsia="Book Antiqua" w:hAnsi="Book Antiqua" w:cs="Book Antiqua"/>
          <w:color w:val="000000"/>
        </w:rPr>
        <w:t>patients with</w:t>
      </w:r>
      <w:r w:rsidRPr="007D2104">
        <w:rPr>
          <w:rFonts w:ascii="Book Antiqua" w:eastAsia="Book Antiqua" w:hAnsi="Book Antiqua" w:cs="Book Antiqua"/>
          <w:color w:val="000000"/>
        </w:rPr>
        <w:t xml:space="preserve"> severe neurological injury. Nevertheless, given the patient’s inability to regain consciousness, we performed LT, and he </w:t>
      </w:r>
      <w:r>
        <w:rPr>
          <w:rFonts w:ascii="Book Antiqua" w:eastAsia="Book Antiqua" w:hAnsi="Book Antiqua" w:cs="Book Antiqua"/>
          <w:color w:val="000000"/>
        </w:rPr>
        <w:t>was</w:t>
      </w:r>
      <w:r w:rsidRPr="007D2104">
        <w:rPr>
          <w:rFonts w:ascii="Book Antiqua" w:eastAsia="Book Antiqua" w:hAnsi="Book Antiqua" w:cs="Book Antiqua"/>
          <w:color w:val="000000"/>
        </w:rPr>
        <w:t xml:space="preserve"> conscious 4 d later. After LT, he did not take nitrogen scavenging agents, and blood ammonia, liver, and kidney function biochemistry were maintained in the normal range at regular follow-up. </w:t>
      </w:r>
      <w:proofErr w:type="spellStart"/>
      <w:r w:rsidRPr="007D2104">
        <w:rPr>
          <w:rFonts w:ascii="Book Antiqua" w:eastAsia="Book Antiqua" w:hAnsi="Book Antiqua" w:cs="Book Antiqua"/>
          <w:color w:val="000000"/>
        </w:rPr>
        <w:t>Kawagishi</w:t>
      </w:r>
      <w:proofErr w:type="spellEnd"/>
      <w:r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 xml:space="preserve">et </w:t>
      </w:r>
      <w:proofErr w:type="gramStart"/>
      <w:r w:rsidRPr="007D2104">
        <w:rPr>
          <w:rFonts w:ascii="Book Antiqua" w:eastAsia="Book Antiqua" w:hAnsi="Book Antiqua" w:cs="Book Antiqua"/>
          <w:i/>
          <w:iCs/>
          <w:color w:val="000000"/>
        </w:rPr>
        <w:t>al</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 xml:space="preserve">16] </w:t>
      </w:r>
      <w:r w:rsidRPr="007D2104">
        <w:rPr>
          <w:rFonts w:ascii="Book Antiqua" w:eastAsia="Book Antiqua" w:hAnsi="Book Antiqua" w:cs="Book Antiqua"/>
          <w:color w:val="000000"/>
        </w:rPr>
        <w:t xml:space="preserve">reported a patient who underwent LT for recurrent hyperammonemia due to late-onset OTCD, and blood ammonia was maintained in the normal range without further nitrogen scavenging agents after surgery. Nevertheless, at 16 </w:t>
      </w:r>
      <w:proofErr w:type="spellStart"/>
      <w:r w:rsidRPr="007D2104">
        <w:rPr>
          <w:rFonts w:ascii="Book Antiqua" w:eastAsia="Book Antiqua" w:hAnsi="Book Antiqua" w:cs="Book Antiqua"/>
          <w:color w:val="000000"/>
        </w:rPr>
        <w:t>mo</w:t>
      </w:r>
      <w:proofErr w:type="spellEnd"/>
      <w:r w:rsidRPr="007D2104">
        <w:rPr>
          <w:rFonts w:ascii="Book Antiqua" w:eastAsia="Book Antiqua" w:hAnsi="Book Antiqua" w:cs="Book Antiqua"/>
          <w:color w:val="000000"/>
        </w:rPr>
        <w:t xml:space="preserve"> after surgery showed no change in subcortical lesions. </w:t>
      </w:r>
      <w:r>
        <w:rPr>
          <w:rFonts w:ascii="Book Antiqua" w:eastAsia="Book Antiqua" w:hAnsi="Book Antiqua" w:cs="Book Antiqua"/>
          <w:color w:val="000000"/>
        </w:rPr>
        <w:t>B</w:t>
      </w:r>
      <w:r w:rsidRPr="007D2104">
        <w:rPr>
          <w:rFonts w:ascii="Book Antiqua" w:eastAsia="Book Antiqua" w:hAnsi="Book Antiqua" w:cs="Book Antiqua"/>
          <w:color w:val="000000"/>
        </w:rPr>
        <w:t xml:space="preserve">rain MRI </w:t>
      </w:r>
      <w:r>
        <w:rPr>
          <w:rFonts w:ascii="Book Antiqua" w:eastAsia="Book Antiqua" w:hAnsi="Book Antiqua" w:cs="Book Antiqua"/>
          <w:color w:val="000000"/>
        </w:rPr>
        <w:t>in</w:t>
      </w:r>
      <w:r w:rsidRPr="007D2104">
        <w:rPr>
          <w:rFonts w:ascii="Book Antiqua" w:eastAsia="Book Antiqua" w:hAnsi="Book Antiqua" w:cs="Book Antiqua"/>
          <w:color w:val="000000"/>
        </w:rPr>
        <w:t xml:space="preserve"> our patient was repeated about 2 </w:t>
      </w:r>
      <w:proofErr w:type="spellStart"/>
      <w:r w:rsidRPr="007D2104">
        <w:rPr>
          <w:rFonts w:ascii="Book Antiqua" w:eastAsia="Book Antiqua" w:hAnsi="Book Antiqua" w:cs="Book Antiqua"/>
          <w:color w:val="000000"/>
        </w:rPr>
        <w:t>mo</w:t>
      </w:r>
      <w:proofErr w:type="spellEnd"/>
      <w:r w:rsidRPr="007D2104">
        <w:rPr>
          <w:rFonts w:ascii="Book Antiqua" w:eastAsia="Book Antiqua" w:hAnsi="Book Antiqua" w:cs="Book Antiqua"/>
          <w:color w:val="000000"/>
        </w:rPr>
        <w:t xml:space="preserve"> after surgery, </w:t>
      </w:r>
      <w:r>
        <w:rPr>
          <w:rFonts w:ascii="Book Antiqua" w:eastAsia="Book Antiqua" w:hAnsi="Book Antiqua" w:cs="Book Antiqua"/>
          <w:color w:val="000000"/>
        </w:rPr>
        <w:t xml:space="preserve">and </w:t>
      </w:r>
      <w:r w:rsidRPr="007D2104">
        <w:rPr>
          <w:rFonts w:ascii="Book Antiqua" w:eastAsia="Book Antiqua" w:hAnsi="Book Antiqua" w:cs="Book Antiqua"/>
          <w:color w:val="000000"/>
        </w:rPr>
        <w:t>suggest</w:t>
      </w:r>
      <w:r>
        <w:rPr>
          <w:rFonts w:ascii="Book Antiqua" w:eastAsia="Book Antiqua" w:hAnsi="Book Antiqua" w:cs="Book Antiqua"/>
          <w:color w:val="000000"/>
        </w:rPr>
        <w:t>ed</w:t>
      </w:r>
      <w:r w:rsidRPr="007D2104">
        <w:rPr>
          <w:rFonts w:ascii="Book Antiqua" w:eastAsia="Book Antiqua" w:hAnsi="Book Antiqua" w:cs="Book Antiqua"/>
          <w:color w:val="000000"/>
        </w:rPr>
        <w:t xml:space="preserve"> a significant reduction </w:t>
      </w:r>
      <w:r>
        <w:rPr>
          <w:rFonts w:ascii="Book Antiqua" w:eastAsia="Book Antiqua" w:hAnsi="Book Antiqua" w:cs="Book Antiqua"/>
          <w:color w:val="000000"/>
        </w:rPr>
        <w:t>in</w:t>
      </w:r>
      <w:r w:rsidRPr="007D2104">
        <w:rPr>
          <w:rFonts w:ascii="Book Antiqua" w:eastAsia="Book Antiqua" w:hAnsi="Book Antiqua" w:cs="Book Antiqua"/>
          <w:color w:val="000000"/>
        </w:rPr>
        <w:t xml:space="preserve"> abnormal cranial signals compared with the previous </w:t>
      </w:r>
      <w:r>
        <w:rPr>
          <w:rFonts w:ascii="Book Antiqua" w:eastAsia="Book Antiqua" w:hAnsi="Book Antiqua" w:cs="Book Antiqua"/>
          <w:color w:val="000000"/>
        </w:rPr>
        <w:t>MRI</w:t>
      </w:r>
      <w:r w:rsidRPr="007D2104">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Pr="007D2104">
        <w:rPr>
          <w:rFonts w:ascii="Book Antiqua" w:eastAsia="Book Antiqua" w:hAnsi="Book Antiqua" w:cs="Book Antiqua"/>
          <w:color w:val="000000"/>
        </w:rPr>
        <w:t xml:space="preserve"> that LT was effective in the treatment of this patient, However, brain MRI showed that hydrocephalus had progressed and brain atrophy</w:t>
      </w:r>
      <w:r>
        <w:rPr>
          <w:rFonts w:ascii="Book Antiqua" w:eastAsia="Book Antiqua" w:hAnsi="Book Antiqua" w:cs="Book Antiqua"/>
          <w:color w:val="000000"/>
        </w:rPr>
        <w:t xml:space="preserve"> was present</w:t>
      </w:r>
      <w:r w:rsidRPr="007D2104">
        <w:rPr>
          <w:rFonts w:ascii="Book Antiqua" w:eastAsia="Book Antiqua" w:hAnsi="Book Antiqua" w:cs="Book Antiqua"/>
          <w:color w:val="000000"/>
        </w:rPr>
        <w:t xml:space="preserve">, suggesting that some neurological damage may not </w:t>
      </w:r>
      <w:r>
        <w:rPr>
          <w:rFonts w:ascii="Book Antiqua" w:eastAsia="Book Antiqua" w:hAnsi="Book Antiqua" w:cs="Book Antiqua"/>
          <w:color w:val="000000"/>
        </w:rPr>
        <w:t xml:space="preserve">be </w:t>
      </w:r>
      <w:r w:rsidRPr="007D2104">
        <w:rPr>
          <w:rFonts w:ascii="Book Antiqua" w:eastAsia="Book Antiqua" w:hAnsi="Book Antiqua" w:cs="Book Antiqua"/>
          <w:color w:val="000000"/>
        </w:rPr>
        <w:t>reverse</w:t>
      </w:r>
      <w:r>
        <w:rPr>
          <w:rFonts w:ascii="Book Antiqua" w:eastAsia="Book Antiqua" w:hAnsi="Book Antiqua" w:cs="Book Antiqua"/>
          <w:color w:val="000000"/>
        </w:rPr>
        <w:t>d</w:t>
      </w:r>
      <w:r w:rsidRPr="007D2104">
        <w:rPr>
          <w:rFonts w:ascii="Book Antiqua" w:eastAsia="Book Antiqua" w:hAnsi="Book Antiqua" w:cs="Book Antiqua"/>
          <w:color w:val="000000"/>
        </w:rPr>
        <w:t xml:space="preserve"> after LT.</w:t>
      </w:r>
    </w:p>
    <w:p w14:paraId="14ED8F74" w14:textId="77777777" w:rsidR="00913CD7" w:rsidRPr="007D2104" w:rsidRDefault="00913CD7" w:rsidP="00913CD7">
      <w:pPr>
        <w:spacing w:line="360" w:lineRule="auto"/>
        <w:ind w:firstLineChars="200" w:firstLine="480"/>
        <w:jc w:val="both"/>
        <w:rPr>
          <w:rFonts w:ascii="Book Antiqua" w:hAnsi="Book Antiqua"/>
        </w:rPr>
      </w:pPr>
      <w:r w:rsidRPr="007D2104">
        <w:rPr>
          <w:rFonts w:ascii="Book Antiqua" w:eastAsia="Book Antiqua" w:hAnsi="Book Antiqua" w:cs="Book Antiqua"/>
          <w:color w:val="000000"/>
        </w:rPr>
        <w:t xml:space="preserve">Several studies </w:t>
      </w:r>
      <w:r>
        <w:rPr>
          <w:rFonts w:ascii="Book Antiqua" w:eastAsia="Book Antiqua" w:hAnsi="Book Antiqua" w:cs="Book Antiqua"/>
          <w:color w:val="000000"/>
        </w:rPr>
        <w:t xml:space="preserve">have </w:t>
      </w:r>
      <w:r w:rsidRPr="007D2104">
        <w:rPr>
          <w:rFonts w:ascii="Book Antiqua" w:eastAsia="Book Antiqua" w:hAnsi="Book Antiqua" w:cs="Book Antiqua"/>
          <w:color w:val="000000"/>
        </w:rPr>
        <w:t>show</w:t>
      </w:r>
      <w:r>
        <w:rPr>
          <w:rFonts w:ascii="Book Antiqua" w:eastAsia="Book Antiqua" w:hAnsi="Book Antiqua" w:cs="Book Antiqua"/>
          <w:color w:val="000000"/>
        </w:rPr>
        <w:t>n</w:t>
      </w:r>
      <w:r w:rsidRPr="007D2104">
        <w:rPr>
          <w:rFonts w:ascii="Book Antiqua" w:eastAsia="Book Antiqua" w:hAnsi="Book Antiqua" w:cs="Book Antiqua"/>
          <w:color w:val="000000"/>
        </w:rPr>
        <w:t xml:space="preserve"> that LT could be used as a radical treatment </w:t>
      </w:r>
      <w:r>
        <w:rPr>
          <w:rFonts w:ascii="Book Antiqua" w:eastAsia="Book Antiqua" w:hAnsi="Book Antiqua" w:cs="Book Antiqua"/>
          <w:color w:val="000000"/>
        </w:rPr>
        <w:t>which</w:t>
      </w:r>
      <w:r w:rsidRPr="007D2104">
        <w:rPr>
          <w:rFonts w:ascii="Book Antiqua" w:eastAsia="Book Antiqua" w:hAnsi="Book Antiqua" w:cs="Book Antiqua"/>
          <w:color w:val="000000"/>
        </w:rPr>
        <w:t xml:space="preserve"> significantly improves the quality of </w:t>
      </w:r>
      <w:proofErr w:type="gramStart"/>
      <w:r w:rsidRPr="007D2104">
        <w:rPr>
          <w:rFonts w:ascii="Book Antiqua" w:eastAsia="Book Antiqua" w:hAnsi="Book Antiqua" w:cs="Book Antiqua"/>
          <w:color w:val="000000"/>
        </w:rPr>
        <w:t>life</w:t>
      </w:r>
      <w:r w:rsidRPr="007D2104">
        <w:rPr>
          <w:rFonts w:ascii="Book Antiqua" w:eastAsia="Book Antiqua" w:hAnsi="Book Antiqua" w:cs="Book Antiqua"/>
          <w:color w:val="000000"/>
          <w:vertAlign w:val="superscript"/>
        </w:rPr>
        <w:t>[</w:t>
      </w:r>
      <w:proofErr w:type="gramEnd"/>
      <w:r w:rsidRPr="007D2104">
        <w:rPr>
          <w:rFonts w:ascii="Book Antiqua" w:eastAsia="Book Antiqua" w:hAnsi="Book Antiqua" w:cs="Book Antiqua"/>
          <w:color w:val="000000"/>
          <w:vertAlign w:val="superscript"/>
        </w:rPr>
        <w:t>11,17]</w:t>
      </w:r>
      <w:r w:rsidRPr="007D2104">
        <w:rPr>
          <w:rFonts w:ascii="Book Antiqua" w:eastAsia="Book Antiqua" w:hAnsi="Book Antiqua" w:cs="Book Antiqua"/>
          <w:color w:val="000000"/>
        </w:rPr>
        <w:t>. However, it is not clear whether LT is beneficia</w:t>
      </w:r>
      <w:r>
        <w:rPr>
          <w:rFonts w:ascii="Book Antiqua" w:eastAsia="Book Antiqua" w:hAnsi="Book Antiqua" w:cs="Book Antiqua"/>
          <w:color w:val="000000"/>
        </w:rPr>
        <w:t>l</w:t>
      </w:r>
      <w:r w:rsidRPr="007D2104">
        <w:rPr>
          <w:rFonts w:ascii="Book Antiqua" w:eastAsia="Book Antiqua" w:hAnsi="Book Antiqua" w:cs="Book Antiqua"/>
          <w:color w:val="000000"/>
        </w:rPr>
        <w:t xml:space="preserve"> for OTCD patients who already have severe neurological damage. This case report suggests </w:t>
      </w:r>
      <w:r>
        <w:rPr>
          <w:rFonts w:ascii="Book Antiqua" w:eastAsia="Book Antiqua" w:hAnsi="Book Antiqua" w:cs="Book Antiqua"/>
          <w:color w:val="000000"/>
        </w:rPr>
        <w:t xml:space="preserve">that </w:t>
      </w:r>
      <w:r w:rsidRPr="007D2104">
        <w:rPr>
          <w:rFonts w:ascii="Book Antiqua" w:eastAsia="Book Antiqua" w:hAnsi="Book Antiqua" w:cs="Book Antiqua"/>
          <w:color w:val="000000"/>
        </w:rPr>
        <w:t xml:space="preserve">LT can be attempted in children with late-onset OTCD, even if severe neurological impairment is already present. </w:t>
      </w:r>
      <w:r>
        <w:rPr>
          <w:rFonts w:ascii="Book Antiqua" w:eastAsia="Book Antiqua" w:hAnsi="Book Antiqua" w:cs="Book Antiqua"/>
          <w:color w:val="000000"/>
        </w:rPr>
        <w:t>N</w:t>
      </w:r>
      <w:r w:rsidRPr="007D2104">
        <w:rPr>
          <w:rFonts w:ascii="Book Antiqua" w:eastAsia="Book Antiqua" w:hAnsi="Book Antiqua" w:cs="Book Antiqua"/>
          <w:color w:val="000000"/>
        </w:rPr>
        <w:t xml:space="preserve">eurological recovery after LT in this patient was unexpected; the recovery of higher functions such as emotional control and spatial thinking require long-term rehabilitation training and psychotherapy, and its effects need to be observed </w:t>
      </w:r>
      <w:r>
        <w:rPr>
          <w:rFonts w:ascii="Book Antiqua" w:eastAsia="Book Antiqua" w:hAnsi="Book Antiqua" w:cs="Book Antiqua"/>
          <w:color w:val="000000"/>
        </w:rPr>
        <w:t>during</w:t>
      </w:r>
      <w:r w:rsidRPr="007D2104">
        <w:rPr>
          <w:rFonts w:ascii="Book Antiqua" w:eastAsia="Book Antiqua" w:hAnsi="Book Antiqua" w:cs="Book Antiqua"/>
          <w:color w:val="000000"/>
        </w:rPr>
        <w:t xml:space="preserve"> follow-up.</w:t>
      </w:r>
    </w:p>
    <w:p w14:paraId="78A50325" w14:textId="77777777" w:rsidR="00913CD7" w:rsidRPr="007D2104" w:rsidRDefault="00913CD7" w:rsidP="00913CD7">
      <w:pPr>
        <w:spacing w:line="360" w:lineRule="auto"/>
        <w:jc w:val="both"/>
        <w:rPr>
          <w:rFonts w:ascii="Book Antiqua" w:hAnsi="Book Antiqua"/>
        </w:rPr>
      </w:pPr>
    </w:p>
    <w:p w14:paraId="6D769082" w14:textId="77777777" w:rsidR="00913CD7" w:rsidRPr="007D2104" w:rsidRDefault="00913CD7" w:rsidP="00913CD7">
      <w:pPr>
        <w:spacing w:line="360" w:lineRule="auto"/>
        <w:jc w:val="both"/>
        <w:rPr>
          <w:rFonts w:ascii="Book Antiqua" w:hAnsi="Book Antiqua"/>
        </w:rPr>
      </w:pPr>
      <w:r w:rsidRPr="007D2104">
        <w:rPr>
          <w:rFonts w:ascii="Book Antiqua" w:eastAsia="Book Antiqua" w:hAnsi="Book Antiqua" w:cs="Book Antiqua"/>
          <w:b/>
          <w:caps/>
          <w:color w:val="000000"/>
          <w:u w:val="single"/>
        </w:rPr>
        <w:t>CONCLUSION</w:t>
      </w:r>
    </w:p>
    <w:p w14:paraId="7892C4FB" w14:textId="77777777" w:rsidR="00913CD7" w:rsidRPr="007D2104" w:rsidRDefault="00913CD7" w:rsidP="00913CD7">
      <w:pPr>
        <w:spacing w:line="360" w:lineRule="auto"/>
        <w:jc w:val="both"/>
        <w:rPr>
          <w:rFonts w:ascii="Book Antiqua" w:hAnsi="Book Antiqua"/>
        </w:rPr>
      </w:pPr>
      <w:r w:rsidRPr="007D2104">
        <w:rPr>
          <w:rFonts w:ascii="Book Antiqua" w:eastAsia="Book Antiqua" w:hAnsi="Book Antiqua" w:cs="Book Antiqua"/>
          <w:color w:val="000000"/>
        </w:rPr>
        <w:t xml:space="preserve">In summary, patients with late-onset OTCD </w:t>
      </w:r>
      <w:r>
        <w:rPr>
          <w:rFonts w:ascii="Book Antiqua" w:eastAsia="Book Antiqua" w:hAnsi="Book Antiqua" w:cs="Book Antiqua"/>
          <w:color w:val="000000"/>
        </w:rPr>
        <w:t>and</w:t>
      </w:r>
      <w:r w:rsidRPr="007D2104">
        <w:rPr>
          <w:rFonts w:ascii="Book Antiqua" w:eastAsia="Book Antiqua" w:hAnsi="Book Antiqua" w:cs="Book Antiqua"/>
          <w:color w:val="000000"/>
        </w:rPr>
        <w:t xml:space="preserve"> acute </w:t>
      </w:r>
      <w:proofErr w:type="spellStart"/>
      <w:r w:rsidRPr="007D2104">
        <w:rPr>
          <w:rFonts w:ascii="Book Antiqua" w:eastAsia="Book Antiqua" w:hAnsi="Book Antiqua" w:cs="Book Antiqua"/>
          <w:color w:val="000000"/>
        </w:rPr>
        <w:t>hyperammon</w:t>
      </w:r>
      <w:r>
        <w:rPr>
          <w:rFonts w:ascii="Book Antiqua" w:eastAsia="Book Antiqua" w:hAnsi="Book Antiqua" w:cs="Book Antiqua"/>
          <w:color w:val="000000"/>
        </w:rPr>
        <w:t>em</w:t>
      </w:r>
      <w:r w:rsidRPr="007D2104">
        <w:rPr>
          <w:rFonts w:ascii="Book Antiqua" w:eastAsia="Book Antiqua" w:hAnsi="Book Antiqua" w:cs="Book Antiqua"/>
          <w:color w:val="000000"/>
        </w:rPr>
        <w:t>ic</w:t>
      </w:r>
      <w:proofErr w:type="spellEnd"/>
      <w:r w:rsidRPr="007D2104">
        <w:rPr>
          <w:rFonts w:ascii="Book Antiqua" w:eastAsia="Book Antiqua" w:hAnsi="Book Antiqua" w:cs="Book Antiqua"/>
          <w:color w:val="000000"/>
        </w:rPr>
        <w:t xml:space="preserve"> encephalopathy are at high risk, and LT can significantly improve the neurological damage caused by this disease. As a radical cure for OTCD, LT should be considered more aggressively.</w:t>
      </w:r>
    </w:p>
    <w:p w14:paraId="64A3D691" w14:textId="77777777" w:rsidR="00A77B3E" w:rsidRPr="007D2104" w:rsidRDefault="00A77B3E" w:rsidP="007D2104">
      <w:pPr>
        <w:spacing w:line="360" w:lineRule="auto"/>
        <w:jc w:val="both"/>
        <w:rPr>
          <w:rFonts w:ascii="Book Antiqua" w:hAnsi="Book Antiqua"/>
        </w:rPr>
      </w:pPr>
    </w:p>
    <w:p w14:paraId="7C6B75A7" w14:textId="77777777"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REFERENCES</w:t>
      </w:r>
    </w:p>
    <w:p w14:paraId="418D86F9" w14:textId="085ED0B9"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1</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b/>
          <w:bCs/>
          <w:color w:val="000000"/>
        </w:rPr>
        <w:t>Wilcken</w:t>
      </w:r>
      <w:proofErr w:type="spellEnd"/>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B</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Problems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management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urea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cycle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Mol</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Genet</w:t>
      </w:r>
      <w:r w:rsidR="007D2104" w:rsidRPr="007D2104">
        <w:rPr>
          <w:rFonts w:ascii="Book Antiqua" w:eastAsia="Book Antiqua" w:hAnsi="Book Antiqua" w:cs="Book Antiqua"/>
          <w:i/>
          <w:iCs/>
          <w:color w:val="000000"/>
        </w:rPr>
        <w:t xml:space="preserve"> </w:t>
      </w:r>
      <w:proofErr w:type="spellStart"/>
      <w:r w:rsidRPr="007D2104">
        <w:rPr>
          <w:rFonts w:ascii="Book Antiqua" w:eastAsia="Book Antiqua" w:hAnsi="Book Antiqua" w:cs="Book Antiqua"/>
          <w:i/>
          <w:iCs/>
          <w:color w:val="000000"/>
        </w:rPr>
        <w:t>Metab</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2004;</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81</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color w:val="000000"/>
        </w:rPr>
        <w:t>Suppl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S86-S91</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15050980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10.1016/j.ymgme.2003.10.016]</w:t>
      </w:r>
    </w:p>
    <w:p w14:paraId="6D7FC94F" w14:textId="1929015C"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2</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b/>
          <w:bCs/>
          <w:color w:val="000000"/>
        </w:rPr>
        <w:t>Summar</w:t>
      </w:r>
      <w:proofErr w:type="spellEnd"/>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ML</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Koelker</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Freedenberg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Mons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Haberle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HS,</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Kirmse</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w:t>
      </w:r>
      <w:r w:rsidR="001E4A34"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European</w:t>
      </w:r>
      <w:r w:rsidR="007D2104" w:rsidRPr="007D2104">
        <w:rPr>
          <w:rFonts w:ascii="Book Antiqua" w:eastAsia="Book Antiqua" w:hAnsi="Book Antiqua" w:cs="Book Antiqua"/>
          <w:color w:val="000000"/>
        </w:rPr>
        <w:t xml:space="preserve"> </w:t>
      </w:r>
      <w:r w:rsidR="001E4A34" w:rsidRPr="007D2104">
        <w:rPr>
          <w:rFonts w:ascii="Book Antiqua" w:eastAsia="Book Antiqua" w:hAnsi="Book Antiqua" w:cs="Book Antiqua"/>
          <w:color w:val="000000"/>
        </w:rPr>
        <w:t>registry</w:t>
      </w:r>
      <w:r w:rsidR="007D2104" w:rsidRPr="007D2104">
        <w:rPr>
          <w:rFonts w:ascii="Book Antiqua" w:eastAsia="Book Antiqua" w:hAnsi="Book Antiqua" w:cs="Book Antiqua"/>
          <w:color w:val="000000"/>
        </w:rPr>
        <w:t xml:space="preserve"> </w:t>
      </w:r>
      <w:r w:rsidR="001E4A34"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001E4A34" w:rsidRPr="007D2104">
        <w:rPr>
          <w:rFonts w:ascii="Book Antiqua" w:eastAsia="Book Antiqua" w:hAnsi="Book Antiqua" w:cs="Book Antiqua"/>
          <w:color w:val="000000"/>
        </w:rPr>
        <w:t>network</w:t>
      </w:r>
      <w:r w:rsidR="007D2104" w:rsidRPr="007D2104">
        <w:rPr>
          <w:rFonts w:ascii="Book Antiqua" w:eastAsia="Book Antiqua" w:hAnsi="Book Antiqua" w:cs="Book Antiqua"/>
          <w:color w:val="000000"/>
        </w:rPr>
        <w:t xml:space="preserve"> </w:t>
      </w:r>
      <w:r w:rsidR="001E4A34"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001E4A34" w:rsidRPr="007D2104">
        <w:rPr>
          <w:rFonts w:ascii="Book Antiqua" w:eastAsia="Book Antiqua" w:hAnsi="Book Antiqua" w:cs="Book Antiqua"/>
          <w:color w:val="000000"/>
        </w:rPr>
        <w:t>intoxication</w:t>
      </w:r>
      <w:r w:rsidR="007D2104" w:rsidRPr="007D2104">
        <w:rPr>
          <w:rFonts w:ascii="Book Antiqua" w:eastAsia="Book Antiqua" w:hAnsi="Book Antiqua" w:cs="Book Antiqua"/>
          <w:color w:val="000000"/>
        </w:rPr>
        <w:t xml:space="preserve"> </w:t>
      </w:r>
      <w:r w:rsidR="001E4A34" w:rsidRPr="007D2104">
        <w:rPr>
          <w:rFonts w:ascii="Book Antiqua" w:eastAsia="Book Antiqua" w:hAnsi="Book Antiqua" w:cs="Book Antiqua"/>
          <w:color w:val="000000"/>
        </w:rPr>
        <w:t>type</w:t>
      </w:r>
      <w:r w:rsidR="007D2104" w:rsidRPr="007D2104">
        <w:rPr>
          <w:rFonts w:ascii="Book Antiqua" w:eastAsia="Book Antiqua" w:hAnsi="Book Antiqua" w:cs="Book Antiqua"/>
          <w:color w:val="000000"/>
        </w:rPr>
        <w:t xml:space="preserve"> </w:t>
      </w:r>
      <w:r w:rsidR="001E4A34" w:rsidRPr="007D2104">
        <w:rPr>
          <w:rFonts w:ascii="Book Antiqua" w:eastAsia="Book Antiqua" w:hAnsi="Book Antiqua" w:cs="Book Antiqua"/>
          <w:color w:val="000000"/>
        </w:rPr>
        <w:t>metabolic</w:t>
      </w:r>
      <w:r w:rsidR="007D2104" w:rsidRPr="007D2104">
        <w:rPr>
          <w:rFonts w:ascii="Book Antiqua" w:eastAsia="Book Antiqua" w:hAnsi="Book Antiqua" w:cs="Book Antiqua"/>
          <w:color w:val="000000"/>
        </w:rPr>
        <w:t xml:space="preserve"> </w:t>
      </w:r>
      <w:r w:rsidR="001E4A34" w:rsidRPr="007D2104">
        <w:rPr>
          <w:rFonts w:ascii="Book Antiqua" w:eastAsia="Book Antiqua" w:hAnsi="Book Antiqua" w:cs="Book Antiqua"/>
          <w:color w:val="000000"/>
        </w:rPr>
        <w:t>diseases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(E-IMD).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incidence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urea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cycle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Mol</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Genet</w:t>
      </w:r>
      <w:r w:rsidR="007D2104" w:rsidRPr="007D2104">
        <w:rPr>
          <w:rFonts w:ascii="Book Antiqua" w:eastAsia="Book Antiqua" w:hAnsi="Book Antiqua" w:cs="Book Antiqua"/>
          <w:i/>
          <w:iCs/>
          <w:color w:val="000000"/>
        </w:rPr>
        <w:t xml:space="preserve"> </w:t>
      </w:r>
      <w:proofErr w:type="spellStart"/>
      <w:r w:rsidRPr="007D2104">
        <w:rPr>
          <w:rFonts w:ascii="Book Antiqua" w:eastAsia="Book Antiqua" w:hAnsi="Book Antiqua" w:cs="Book Antiqua"/>
          <w:i/>
          <w:iCs/>
          <w:color w:val="000000"/>
        </w:rPr>
        <w:t>Metab</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2013;</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110</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179-180</w:t>
      </w:r>
      <w:r w:rsidR="00C44F9B"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bookmarkStart w:id="3" w:name="OLE_LINK6"/>
      <w:r w:rsidR="00C44F9B" w:rsidRPr="007D2104">
        <w:rPr>
          <w:rFonts w:ascii="Book Antiqua" w:hAnsi="Book Antiqua" w:cs="Arial"/>
          <w:bCs/>
        </w:rPr>
        <w:t>Available</w:t>
      </w:r>
      <w:r w:rsidR="007D2104" w:rsidRPr="007D2104">
        <w:rPr>
          <w:rFonts w:ascii="Book Antiqua" w:hAnsi="Book Antiqua" w:cs="Arial"/>
          <w:bCs/>
        </w:rPr>
        <w:t xml:space="preserve"> </w:t>
      </w:r>
      <w:r w:rsidR="00C44F9B" w:rsidRPr="007D2104">
        <w:rPr>
          <w:rFonts w:ascii="Book Antiqua" w:hAnsi="Book Antiqua" w:cs="Arial"/>
          <w:bCs/>
        </w:rPr>
        <w:t>from:</w:t>
      </w:r>
      <w:bookmarkEnd w:id="3"/>
      <w:r w:rsidR="007D2104" w:rsidRPr="007D2104">
        <w:rPr>
          <w:rFonts w:ascii="Book Antiqua" w:eastAsia="Book Antiqua" w:hAnsi="Book Antiqua" w:cs="Book Antiqua"/>
          <w:color w:val="000000"/>
        </w:rPr>
        <w:t xml:space="preserve"> </w:t>
      </w:r>
      <w:r w:rsidR="00C44F9B" w:rsidRPr="007D2104">
        <w:rPr>
          <w:rFonts w:ascii="Book Antiqua" w:eastAsia="Book Antiqua" w:hAnsi="Book Antiqua" w:cs="Book Antiqua"/>
          <w:color w:val="000000"/>
        </w:rPr>
        <w:t>http://rarediseasesnetwork.epi.usf.edu/ucdc/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23972786</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10.1016/j.ymgme.2013.07.008]</w:t>
      </w:r>
    </w:p>
    <w:p w14:paraId="5A5AC725" w14:textId="7ED26900"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3</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b/>
          <w:bCs/>
          <w:color w:val="000000"/>
        </w:rPr>
        <w:t>Dionisi</w:t>
      </w:r>
      <w:proofErr w:type="spellEnd"/>
      <w:r w:rsidRPr="007D2104">
        <w:rPr>
          <w:rFonts w:ascii="Book Antiqua" w:eastAsia="Book Antiqua" w:hAnsi="Book Antiqua" w:cs="Book Antiqua"/>
          <w:b/>
          <w:bCs/>
          <w:color w:val="000000"/>
        </w:rPr>
        <w:t>-Vici</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C</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Rizzo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Burlina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AB,</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Caruso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Sabetta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Uziel</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Abeni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Inborn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errors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metabolism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Italian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pediatric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population: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national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retrospective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survey.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J</w:t>
      </w:r>
      <w:r w:rsidR="007D2104" w:rsidRPr="007D2104">
        <w:rPr>
          <w:rFonts w:ascii="Book Antiqua" w:eastAsia="Book Antiqua" w:hAnsi="Book Antiqua" w:cs="Book Antiqua"/>
          <w:i/>
          <w:iCs/>
          <w:color w:val="000000"/>
        </w:rPr>
        <w:t xml:space="preserve"> </w:t>
      </w:r>
      <w:proofErr w:type="spellStart"/>
      <w:r w:rsidRPr="007D2104">
        <w:rPr>
          <w:rFonts w:ascii="Book Antiqua" w:eastAsia="Book Antiqua" w:hAnsi="Book Antiqua" w:cs="Book Antiqua"/>
          <w:i/>
          <w:iCs/>
          <w:color w:val="000000"/>
        </w:rPr>
        <w:t>Pediatr</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2002;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140</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321-327</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11953730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10.1067/mpd.2002.122394</w:t>
      </w:r>
      <w:r w:rsidR="00101928" w:rsidRPr="007D2104">
        <w:rPr>
          <w:rFonts w:ascii="Book Antiqua" w:eastAsia="Book Antiqua" w:hAnsi="Book Antiqua" w:cs="Book Antiqua"/>
          <w:color w:val="000000"/>
        </w:rPr>
        <w:t>]</w:t>
      </w:r>
    </w:p>
    <w:p w14:paraId="6796C290" w14:textId="196D80F8"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4</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Kido</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J</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Nakamura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Mitsubuchi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Ohura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Takayanagi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Matsuo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Yoshino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Shigematsu</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Yorifuji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Kasahara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Horikawa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Endo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Long-term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outcome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intervention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urea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cycle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Japan.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J</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Inherit</w:t>
      </w:r>
      <w:r w:rsidR="007D2104" w:rsidRPr="007D2104">
        <w:rPr>
          <w:rFonts w:ascii="Book Antiqua" w:eastAsia="Book Antiqua" w:hAnsi="Book Antiqua" w:cs="Book Antiqua"/>
          <w:i/>
          <w:iCs/>
          <w:color w:val="000000"/>
        </w:rPr>
        <w:t xml:space="preserve"> </w:t>
      </w:r>
      <w:proofErr w:type="spellStart"/>
      <w:r w:rsidRPr="007D2104">
        <w:rPr>
          <w:rFonts w:ascii="Book Antiqua" w:eastAsia="Book Antiqua" w:hAnsi="Book Antiqua" w:cs="Book Antiqua"/>
          <w:i/>
          <w:iCs/>
          <w:color w:val="000000"/>
        </w:rPr>
        <w:t>Metab</w:t>
      </w:r>
      <w:proofErr w:type="spellEnd"/>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Dis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2012;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35</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777-785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22167275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10.1007/s10545-011-9427-0]</w:t>
      </w:r>
    </w:p>
    <w:p w14:paraId="1DB2EC46" w14:textId="35E147B4"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5</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b/>
          <w:bCs/>
          <w:color w:val="000000"/>
        </w:rPr>
        <w:t>Häberle</w:t>
      </w:r>
      <w:proofErr w:type="spellEnd"/>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J</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Burlina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Chakrapani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Dixon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Karall</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Lindner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Mandel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Martinelli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Pintos-Morell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Santer</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Skouma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Servais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Rubio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Huemer</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Dionisi</w:t>
      </w:r>
      <w:proofErr w:type="spellEnd"/>
      <w:r w:rsidRPr="007D2104">
        <w:rPr>
          <w:rFonts w:ascii="Book Antiqua" w:eastAsia="Book Antiqua" w:hAnsi="Book Antiqua" w:cs="Book Antiqua"/>
          <w:color w:val="000000"/>
        </w:rPr>
        <w:t>-Vici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Suggested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guidelines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diagnosis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management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urea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cycle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First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revision.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J</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Inherit</w:t>
      </w:r>
      <w:r w:rsidR="007D2104" w:rsidRPr="007D2104">
        <w:rPr>
          <w:rFonts w:ascii="Book Antiqua" w:eastAsia="Book Antiqua" w:hAnsi="Book Antiqua" w:cs="Book Antiqua"/>
          <w:i/>
          <w:iCs/>
          <w:color w:val="000000"/>
        </w:rPr>
        <w:t xml:space="preserve"> </w:t>
      </w:r>
      <w:proofErr w:type="spellStart"/>
      <w:r w:rsidRPr="007D2104">
        <w:rPr>
          <w:rFonts w:ascii="Book Antiqua" w:eastAsia="Book Antiqua" w:hAnsi="Book Antiqua" w:cs="Book Antiqua"/>
          <w:i/>
          <w:iCs/>
          <w:color w:val="000000"/>
        </w:rPr>
        <w:t>Metab</w:t>
      </w:r>
      <w:proofErr w:type="spellEnd"/>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Dis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2019;</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42</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1192-1230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30982989</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10.1002/jimd.12100]</w:t>
      </w:r>
    </w:p>
    <w:p w14:paraId="741F0AB9" w14:textId="6012FBBB"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6</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Division</w:t>
      </w:r>
      <w:r w:rsidR="007D2104" w:rsidRPr="007D2104">
        <w:rPr>
          <w:rFonts w:ascii="Book Antiqua" w:eastAsia="Book Antiqua" w:hAnsi="Book Antiqua" w:cs="Book Antiqua"/>
          <w:b/>
          <w:bCs/>
          <w:color w:val="000000"/>
        </w:rPr>
        <w:t xml:space="preserve"> </w:t>
      </w:r>
      <w:r w:rsidR="001F391F" w:rsidRPr="007D2104">
        <w:rPr>
          <w:rFonts w:ascii="Book Antiqua" w:eastAsia="Book Antiqua" w:hAnsi="Book Antiqua" w:cs="Book Antiqua"/>
          <w:b/>
          <w:bCs/>
          <w:color w:val="000000"/>
        </w:rPr>
        <w:t>of</w:t>
      </w:r>
      <w:r w:rsidR="007D2104" w:rsidRPr="007D2104">
        <w:rPr>
          <w:rFonts w:ascii="Book Antiqua" w:eastAsia="Book Antiqua" w:hAnsi="Book Antiqua" w:cs="Book Antiqua"/>
          <w:b/>
          <w:bCs/>
          <w:color w:val="000000"/>
        </w:rPr>
        <w:t xml:space="preserve"> </w:t>
      </w:r>
      <w:r w:rsidR="001F391F" w:rsidRPr="007D2104">
        <w:rPr>
          <w:rFonts w:ascii="Book Antiqua" w:eastAsia="Book Antiqua" w:hAnsi="Book Antiqua" w:cs="Book Antiqua"/>
          <w:b/>
          <w:bCs/>
          <w:color w:val="000000"/>
        </w:rPr>
        <w:t>genetics</w:t>
      </w:r>
      <w:r w:rsidR="007D2104" w:rsidRPr="007D2104">
        <w:rPr>
          <w:rFonts w:ascii="Book Antiqua" w:eastAsia="Book Antiqua" w:hAnsi="Book Antiqua" w:cs="Book Antiqua"/>
          <w:b/>
          <w:bCs/>
          <w:color w:val="000000"/>
        </w:rPr>
        <w:t xml:space="preserve"> </w:t>
      </w:r>
      <w:r w:rsidR="001F391F" w:rsidRPr="007D2104">
        <w:rPr>
          <w:rFonts w:ascii="Book Antiqua" w:eastAsia="Book Antiqua" w:hAnsi="Book Antiqua" w:cs="Book Antiqua"/>
          <w:b/>
          <w:bCs/>
          <w:color w:val="000000"/>
        </w:rPr>
        <w:t>and</w:t>
      </w:r>
      <w:r w:rsidR="007D2104" w:rsidRPr="007D2104">
        <w:rPr>
          <w:rFonts w:ascii="Book Antiqua" w:eastAsia="Book Antiqua" w:hAnsi="Book Antiqua" w:cs="Book Antiqua"/>
          <w:b/>
          <w:bCs/>
          <w:color w:val="000000"/>
        </w:rPr>
        <w:t xml:space="preserve"> </w:t>
      </w:r>
      <w:r w:rsidR="001F391F" w:rsidRPr="007D2104">
        <w:rPr>
          <w:rFonts w:ascii="Book Antiqua" w:eastAsia="Book Antiqua" w:hAnsi="Book Antiqua" w:cs="Book Antiqua"/>
          <w:b/>
          <w:bCs/>
          <w:color w:val="000000"/>
        </w:rPr>
        <w:t>metabolism</w:t>
      </w:r>
      <w:r w:rsidR="001F391F"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00E866B6" w:rsidRPr="007D2104">
        <w:rPr>
          <w:rFonts w:ascii="Book Antiqua" w:eastAsia="Book Antiqua" w:hAnsi="Book Antiqua" w:cs="Book Antiqua"/>
          <w:color w:val="000000"/>
        </w:rPr>
        <w:t>C</w:t>
      </w:r>
      <w:r w:rsidR="001F391F" w:rsidRPr="007D2104">
        <w:rPr>
          <w:rFonts w:ascii="Book Antiqua" w:eastAsia="Book Antiqua" w:hAnsi="Book Antiqua" w:cs="Book Antiqua"/>
          <w:color w:val="000000"/>
        </w:rPr>
        <w:t>hild</w:t>
      </w:r>
      <w:r w:rsidR="007D2104" w:rsidRPr="007D2104">
        <w:rPr>
          <w:rFonts w:ascii="Book Antiqua" w:eastAsia="Book Antiqua" w:hAnsi="Book Antiqua" w:cs="Book Antiqua"/>
          <w:color w:val="000000"/>
        </w:rPr>
        <w:t xml:space="preserve"> </w:t>
      </w:r>
      <w:r w:rsidR="001F391F" w:rsidRPr="007D2104">
        <w:rPr>
          <w:rFonts w:ascii="Book Antiqua" w:eastAsia="Book Antiqua" w:hAnsi="Book Antiqua" w:cs="Book Antiqua"/>
          <w:color w:val="000000"/>
        </w:rPr>
        <w:t>diseases</w:t>
      </w:r>
      <w:r w:rsidR="007D2104" w:rsidRPr="007D2104">
        <w:rPr>
          <w:rFonts w:ascii="Book Antiqua" w:eastAsia="Book Antiqua" w:hAnsi="Book Antiqua" w:cs="Book Antiqua"/>
          <w:color w:val="000000"/>
        </w:rPr>
        <w:t xml:space="preserve"> </w:t>
      </w:r>
      <w:r w:rsidR="001F391F"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001F391F" w:rsidRPr="007D2104">
        <w:rPr>
          <w:rFonts w:ascii="Book Antiqua" w:eastAsia="Book Antiqua" w:hAnsi="Book Antiqua" w:cs="Book Antiqua"/>
          <w:color w:val="000000"/>
        </w:rPr>
        <w:t>health</w:t>
      </w:r>
      <w:r w:rsidR="007D2104" w:rsidRPr="007D2104">
        <w:rPr>
          <w:rFonts w:ascii="Book Antiqua" w:eastAsia="Book Antiqua" w:hAnsi="Book Antiqua" w:cs="Book Antiqua"/>
          <w:color w:val="000000"/>
        </w:rPr>
        <w:t xml:space="preserve"> </w:t>
      </w:r>
      <w:r w:rsidR="001F391F" w:rsidRPr="007D2104">
        <w:rPr>
          <w:rFonts w:ascii="Book Antiqua" w:eastAsia="Book Antiqua" w:hAnsi="Book Antiqua" w:cs="Book Antiqua"/>
          <w:color w:val="000000"/>
        </w:rPr>
        <w:t>care</w:t>
      </w:r>
      <w:r w:rsidR="007D2104" w:rsidRPr="007D2104">
        <w:rPr>
          <w:rFonts w:ascii="Book Antiqua" w:eastAsia="Book Antiqua" w:hAnsi="Book Antiqua" w:cs="Book Antiqua"/>
          <w:color w:val="000000"/>
        </w:rPr>
        <w:t xml:space="preserve"> </w:t>
      </w:r>
      <w:r w:rsidR="001F391F" w:rsidRPr="007D2104">
        <w:rPr>
          <w:rFonts w:ascii="Book Antiqua" w:eastAsia="Book Antiqua" w:hAnsi="Book Antiqua" w:cs="Book Antiqua"/>
          <w:color w:val="000000"/>
        </w:rPr>
        <w:t>branch,</w:t>
      </w:r>
      <w:r w:rsidR="007D2104" w:rsidRPr="007D2104">
        <w:rPr>
          <w:rFonts w:ascii="Book Antiqua" w:eastAsia="Book Antiqua" w:hAnsi="Book Antiqua" w:cs="Book Antiqua"/>
          <w:color w:val="000000"/>
        </w:rPr>
        <w:t xml:space="preserve"> </w:t>
      </w:r>
      <w:r w:rsidR="00E866B6" w:rsidRPr="007D2104">
        <w:rPr>
          <w:rFonts w:ascii="Book Antiqua" w:eastAsia="Book Antiqua" w:hAnsi="Book Antiqua" w:cs="Book Antiqua"/>
          <w:color w:val="000000"/>
        </w:rPr>
        <w:t>C</w:t>
      </w:r>
      <w:r w:rsidR="001F391F" w:rsidRPr="007D2104">
        <w:rPr>
          <w:rFonts w:ascii="Book Antiqua" w:eastAsia="Book Antiqua" w:hAnsi="Book Antiqua" w:cs="Book Antiqua"/>
          <w:color w:val="000000"/>
        </w:rPr>
        <w:t>hinese</w:t>
      </w:r>
      <w:r w:rsidR="007D2104" w:rsidRPr="007D2104">
        <w:rPr>
          <w:rFonts w:ascii="Book Antiqua" w:eastAsia="Book Antiqua" w:hAnsi="Book Antiqua" w:cs="Book Antiqua"/>
          <w:color w:val="000000"/>
        </w:rPr>
        <w:t xml:space="preserve"> </w:t>
      </w:r>
      <w:r w:rsidR="001F391F" w:rsidRPr="007D2104">
        <w:rPr>
          <w:rFonts w:ascii="Book Antiqua" w:eastAsia="Book Antiqua" w:hAnsi="Book Antiqua" w:cs="Book Antiqua"/>
          <w:color w:val="000000"/>
        </w:rPr>
        <w:t>association</w:t>
      </w:r>
      <w:r w:rsidR="007D2104" w:rsidRPr="007D2104">
        <w:rPr>
          <w:rFonts w:ascii="Book Antiqua" w:eastAsia="Book Antiqua" w:hAnsi="Book Antiqua" w:cs="Book Antiqua"/>
          <w:color w:val="000000"/>
        </w:rPr>
        <w:t xml:space="preserve"> </w:t>
      </w:r>
      <w:r w:rsidR="001F391F"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001F391F" w:rsidRPr="007D2104">
        <w:rPr>
          <w:rFonts w:ascii="Book Antiqua" w:eastAsia="Book Antiqua" w:hAnsi="Book Antiqua" w:cs="Book Antiqua"/>
          <w:color w:val="000000"/>
        </w:rPr>
        <w:t>maternal</w:t>
      </w:r>
      <w:r w:rsidR="007D2104" w:rsidRPr="007D2104">
        <w:rPr>
          <w:rFonts w:ascii="Book Antiqua" w:eastAsia="Book Antiqua" w:hAnsi="Book Antiqua" w:cs="Book Antiqua"/>
          <w:color w:val="000000"/>
        </w:rPr>
        <w:t xml:space="preserve"> </w:t>
      </w:r>
      <w:r w:rsidR="001F391F"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001F391F" w:rsidRPr="007D2104">
        <w:rPr>
          <w:rFonts w:ascii="Book Antiqua" w:eastAsia="Book Antiqua" w:hAnsi="Book Antiqua" w:cs="Book Antiqua"/>
          <w:color w:val="000000"/>
        </w:rPr>
        <w:t>child</w:t>
      </w:r>
      <w:r w:rsidR="007D2104" w:rsidRPr="007D2104">
        <w:rPr>
          <w:rFonts w:ascii="Book Antiqua" w:eastAsia="Book Antiqua" w:hAnsi="Book Antiqua" w:cs="Book Antiqua"/>
          <w:color w:val="000000"/>
        </w:rPr>
        <w:t xml:space="preserve"> </w:t>
      </w:r>
      <w:r w:rsidR="001F391F" w:rsidRPr="007D2104">
        <w:rPr>
          <w:rFonts w:ascii="Book Antiqua" w:eastAsia="Book Antiqua" w:hAnsi="Book Antiqua" w:cs="Book Antiqua"/>
          <w:color w:val="000000"/>
        </w:rPr>
        <w:t>health.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Consensus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diagnosis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lastRenderedPageBreak/>
        <w:t>ornithine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trans-</w:t>
      </w:r>
      <w:proofErr w:type="spellStart"/>
      <w:r w:rsidRPr="007D2104">
        <w:rPr>
          <w:rFonts w:ascii="Book Antiqua" w:eastAsia="Book Antiqua" w:hAnsi="Book Antiqua" w:cs="Book Antiqua"/>
          <w:color w:val="000000"/>
        </w:rPr>
        <w:t>carbamylase</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deficiency</w:t>
      </w:r>
      <w:r w:rsidR="001F391F"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Zhejiang</w:t>
      </w:r>
      <w:r w:rsidR="007D2104" w:rsidRPr="007D2104">
        <w:rPr>
          <w:rFonts w:ascii="Book Antiqua" w:eastAsia="Book Antiqua" w:hAnsi="Book Antiqua" w:cs="Book Antiqua"/>
          <w:i/>
          <w:iCs/>
          <w:color w:val="000000"/>
        </w:rPr>
        <w:t xml:space="preserve"> </w:t>
      </w:r>
      <w:proofErr w:type="spellStart"/>
      <w:r w:rsidR="005265EE" w:rsidRPr="007D2104">
        <w:rPr>
          <w:rFonts w:ascii="Book Antiqua" w:eastAsia="Book Antiqua" w:hAnsi="Book Antiqua" w:cs="Book Antiqua"/>
          <w:i/>
          <w:iCs/>
          <w:color w:val="000000"/>
        </w:rPr>
        <w:t>D</w:t>
      </w:r>
      <w:r w:rsidRPr="007D2104">
        <w:rPr>
          <w:rFonts w:ascii="Book Antiqua" w:eastAsia="Book Antiqua" w:hAnsi="Book Antiqua" w:cs="Book Antiqua"/>
          <w:i/>
          <w:iCs/>
          <w:color w:val="000000"/>
        </w:rPr>
        <w:t>a</w:t>
      </w:r>
      <w:r w:rsidR="001F391F" w:rsidRPr="007D2104">
        <w:rPr>
          <w:rFonts w:ascii="Book Antiqua" w:hAnsi="Book Antiqua" w:cs="Book Antiqua"/>
          <w:i/>
          <w:iCs/>
          <w:color w:val="000000"/>
          <w:lang w:eastAsia="zh-CN"/>
        </w:rPr>
        <w:t>x</w:t>
      </w:r>
      <w:r w:rsidRPr="007D2104">
        <w:rPr>
          <w:rFonts w:ascii="Book Antiqua" w:eastAsia="Book Antiqua" w:hAnsi="Book Antiqua" w:cs="Book Antiqua"/>
          <w:i/>
          <w:iCs/>
          <w:color w:val="000000"/>
        </w:rPr>
        <w:t>ue</w:t>
      </w:r>
      <w:proofErr w:type="spellEnd"/>
      <w:r w:rsidR="007D2104" w:rsidRPr="007D2104">
        <w:rPr>
          <w:rFonts w:ascii="Book Antiqua" w:eastAsia="Book Antiqua" w:hAnsi="Book Antiqua" w:cs="Book Antiqua"/>
          <w:i/>
          <w:iCs/>
          <w:color w:val="000000"/>
        </w:rPr>
        <w:t xml:space="preserve"> </w:t>
      </w:r>
      <w:proofErr w:type="spellStart"/>
      <w:r w:rsidR="001F391F" w:rsidRPr="007D2104">
        <w:rPr>
          <w:rFonts w:ascii="Book Antiqua" w:eastAsia="Book Antiqua" w:hAnsi="Book Antiqua" w:cs="Book Antiqua"/>
          <w:i/>
          <w:iCs/>
          <w:color w:val="000000"/>
        </w:rPr>
        <w:t>X</w:t>
      </w:r>
      <w:r w:rsidRPr="007D2104">
        <w:rPr>
          <w:rFonts w:ascii="Book Antiqua" w:eastAsia="Book Antiqua" w:hAnsi="Book Antiqua" w:cs="Book Antiqua"/>
          <w:i/>
          <w:iCs/>
          <w:color w:val="000000"/>
        </w:rPr>
        <w:t>ue</w:t>
      </w:r>
      <w:r w:rsidR="001F391F" w:rsidRPr="007D2104">
        <w:rPr>
          <w:rFonts w:ascii="Book Antiqua" w:eastAsia="Book Antiqua" w:hAnsi="Book Antiqua" w:cs="Book Antiqua"/>
          <w:i/>
          <w:iCs/>
          <w:color w:val="000000"/>
        </w:rPr>
        <w:t>b</w:t>
      </w:r>
      <w:r w:rsidRPr="007D2104">
        <w:rPr>
          <w:rFonts w:ascii="Book Antiqua" w:eastAsia="Book Antiqua" w:hAnsi="Book Antiqua" w:cs="Book Antiqua"/>
          <w:i/>
          <w:iCs/>
          <w:color w:val="000000"/>
        </w:rPr>
        <w:t>ao</w:t>
      </w:r>
      <w:proofErr w:type="spellEnd"/>
      <w:r w:rsidR="007D2104" w:rsidRPr="007D2104">
        <w:rPr>
          <w:rFonts w:ascii="Book Antiqua" w:eastAsia="Book Antiqua" w:hAnsi="Book Antiqua" w:cs="Book Antiqua"/>
          <w:i/>
          <w:iCs/>
          <w:color w:val="000000"/>
        </w:rPr>
        <w:t xml:space="preserve"> </w:t>
      </w:r>
      <w:proofErr w:type="spellStart"/>
      <w:r w:rsidRPr="007D2104">
        <w:rPr>
          <w:rFonts w:ascii="Book Antiqua" w:eastAsia="Book Antiqua" w:hAnsi="Book Antiqua" w:cs="Book Antiqua"/>
          <w:i/>
          <w:iCs/>
          <w:color w:val="000000"/>
        </w:rPr>
        <w:t>Yi</w:t>
      </w:r>
      <w:r w:rsidR="001F391F" w:rsidRPr="007D2104">
        <w:rPr>
          <w:rFonts w:ascii="Book Antiqua" w:eastAsia="Book Antiqua" w:hAnsi="Book Antiqua" w:cs="Book Antiqua"/>
          <w:i/>
          <w:iCs/>
          <w:color w:val="000000"/>
        </w:rPr>
        <w:t>x</w:t>
      </w:r>
      <w:r w:rsidRPr="007D2104">
        <w:rPr>
          <w:rFonts w:ascii="Book Antiqua" w:eastAsia="Book Antiqua" w:hAnsi="Book Antiqua" w:cs="Book Antiqua"/>
          <w:i/>
          <w:iCs/>
          <w:color w:val="000000"/>
        </w:rPr>
        <w:t>ue</w:t>
      </w:r>
      <w:r w:rsidR="001F391F" w:rsidRPr="007D2104">
        <w:rPr>
          <w:rFonts w:ascii="Book Antiqua" w:eastAsia="Book Antiqua" w:hAnsi="Book Antiqua" w:cs="Book Antiqua"/>
          <w:i/>
          <w:iCs/>
          <w:color w:val="000000"/>
        </w:rPr>
        <w:t>b</w:t>
      </w:r>
      <w:r w:rsidRPr="007D2104">
        <w:rPr>
          <w:rFonts w:ascii="Book Antiqua" w:eastAsia="Book Antiqua" w:hAnsi="Book Antiqua" w:cs="Book Antiqua"/>
          <w:i/>
          <w:iCs/>
          <w:color w:val="000000"/>
        </w:rPr>
        <w:t>an</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2020;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49</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539-547</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33210478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10.3785/j.issn.1008-9292.2020.04.11]</w:t>
      </w:r>
    </w:p>
    <w:p w14:paraId="65EB5E7B" w14:textId="466172C6"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7</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b/>
          <w:bCs/>
          <w:color w:val="000000"/>
        </w:rPr>
        <w:t>Wakiya</w:t>
      </w:r>
      <w:proofErr w:type="spellEnd"/>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T</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Sanada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Mizuta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Umehara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Urahasi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Egami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Hishikawa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Fujiwara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Sakuma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Hyodo</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Murayama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Hakamada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Yasuda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Kawarasaki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donor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transplantation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ornithine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transcarbamylase</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deficiency.</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i/>
          <w:iCs/>
          <w:color w:val="000000"/>
        </w:rPr>
        <w:t>Pediatr</w:t>
      </w:r>
      <w:proofErr w:type="spellEnd"/>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Transplant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2011;</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15</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390-395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21585627</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10.1111/j.1399-3046.</w:t>
      </w:r>
      <w:proofErr w:type="gramStart"/>
      <w:r w:rsidRPr="007D2104">
        <w:rPr>
          <w:rFonts w:ascii="Book Antiqua" w:eastAsia="Book Antiqua" w:hAnsi="Book Antiqua" w:cs="Book Antiqua"/>
          <w:color w:val="000000"/>
        </w:rPr>
        <w:t>2011.01494.x</w:t>
      </w:r>
      <w:proofErr w:type="gramEnd"/>
      <w:r w:rsidRPr="007D2104">
        <w:rPr>
          <w:rFonts w:ascii="Book Antiqua" w:eastAsia="Book Antiqua" w:hAnsi="Book Antiqua" w:cs="Book Antiqua"/>
          <w:color w:val="000000"/>
        </w:rPr>
        <w:t>]</w:t>
      </w:r>
    </w:p>
    <w:p w14:paraId="11947784" w14:textId="56883A18"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Enns</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GM</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Neurologic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damage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neurocognitive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dysfunction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urea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cycle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Semin</w:t>
      </w:r>
      <w:r w:rsidR="007D2104" w:rsidRPr="007D2104">
        <w:rPr>
          <w:rFonts w:ascii="Book Antiqua" w:eastAsia="Book Antiqua" w:hAnsi="Book Antiqua" w:cs="Book Antiqua"/>
          <w:i/>
          <w:iCs/>
          <w:color w:val="000000"/>
        </w:rPr>
        <w:t xml:space="preserve"> </w:t>
      </w:r>
      <w:proofErr w:type="spellStart"/>
      <w:r w:rsidRPr="007D2104">
        <w:rPr>
          <w:rFonts w:ascii="Book Antiqua" w:eastAsia="Book Antiqua" w:hAnsi="Book Antiqua" w:cs="Book Antiqua"/>
          <w:i/>
          <w:iCs/>
          <w:color w:val="000000"/>
        </w:rPr>
        <w:t>Pediatr</w:t>
      </w:r>
      <w:proofErr w:type="spellEnd"/>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Neurol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2008;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15</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132-139</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18708004</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10.1016/j.spen.2008.05.007]</w:t>
      </w:r>
    </w:p>
    <w:p w14:paraId="07B9CCD6" w14:textId="0C985FD0"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9</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Brassier</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A</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Gobin</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Arnoux</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JB,</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Valayannopoulos</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Habarou</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Kossorotoff</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Servais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Barbier</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Dubois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Touati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Barouki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Lesage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Dupic</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Bonnefont</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JP,</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Ottolenghi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Lonlay</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Long-term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outcomes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Ornithine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Transcarbamylase</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deficiency: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series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90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i/>
          <w:iCs/>
          <w:color w:val="000000"/>
        </w:rPr>
        <w:t>Orphanet</w:t>
      </w:r>
      <w:proofErr w:type="spellEnd"/>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J</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Rare</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Dis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2015;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10</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58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25958381</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10.1186/s13023-015-0266-1]</w:t>
      </w:r>
    </w:p>
    <w:p w14:paraId="7DF3E4F6" w14:textId="6AB2E726"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10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Sun</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Y</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X</w:t>
      </w:r>
      <w:r w:rsidR="00101928" w:rsidRPr="007D2104">
        <w:rPr>
          <w:rFonts w:ascii="Book Antiqua" w:eastAsia="Book Antiqua" w:hAnsi="Book Antiqua" w:cs="Book Antiqua"/>
          <w:color w:val="000000"/>
        </w:rPr>
        <w:t>M</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Zhang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w:t>
      </w:r>
      <w:r w:rsidR="00101928" w:rsidRPr="007D2104">
        <w:rPr>
          <w:rFonts w:ascii="Book Antiqua" w:eastAsia="Book Antiqua" w:hAnsi="Book Antiqua" w:cs="Book Antiqua"/>
          <w:color w:val="000000"/>
        </w:rPr>
        <w:t>X</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w:t>
      </w:r>
      <w:r w:rsidR="00101928" w:rsidRPr="007D2104">
        <w:rPr>
          <w:rFonts w:ascii="Book Antiqua" w:eastAsia="Book Antiqua" w:hAnsi="Book Antiqua" w:cs="Book Antiqua"/>
          <w:color w:val="000000"/>
        </w:rPr>
        <w:t>L</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101928" w:rsidRPr="007D2104">
        <w:rPr>
          <w:rFonts w:ascii="Book Antiqua" w:eastAsia="Book Antiqua" w:hAnsi="Book Antiqua" w:cs="Book Antiqua"/>
          <w:color w:val="000000"/>
        </w:rPr>
        <w:t>Q</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w:t>
      </w:r>
      <w:r w:rsidR="00101928" w:rsidRPr="007D2104">
        <w:rPr>
          <w:rFonts w:ascii="Book Antiqua" w:eastAsia="Book Antiqua" w:hAnsi="Book Antiqua" w:cs="Book Antiqua"/>
          <w:color w:val="000000"/>
        </w:rPr>
        <w:t>Z</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Zhao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101928" w:rsidRPr="007D2104">
        <w:rPr>
          <w:rFonts w:ascii="Book Antiqua" w:eastAsia="Book Antiqua" w:hAnsi="Book Antiqua" w:cs="Book Antiqua"/>
          <w:color w:val="000000"/>
        </w:rPr>
        <w:t>Y</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Clinical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research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two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cases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ornithine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carbamoyltransferase</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deficiency.</w:t>
      </w:r>
      <w:r w:rsidR="007D2104" w:rsidRPr="007D2104">
        <w:rPr>
          <w:rFonts w:ascii="Book Antiqua" w:eastAsia="Book Antiqua" w:hAnsi="Book Antiqua" w:cs="Book Antiqua"/>
          <w:color w:val="000000"/>
        </w:rPr>
        <w:t xml:space="preserve"> </w:t>
      </w:r>
      <w:proofErr w:type="spellStart"/>
      <w:r w:rsidR="00B40D29" w:rsidRPr="007D2104">
        <w:rPr>
          <w:rFonts w:ascii="Book Antiqua" w:eastAsia="Book Antiqua" w:hAnsi="Book Antiqua" w:cs="Book Antiqua"/>
          <w:i/>
          <w:iCs/>
          <w:color w:val="000000"/>
        </w:rPr>
        <w:t>Zhonghua</w:t>
      </w:r>
      <w:proofErr w:type="spellEnd"/>
      <w:r w:rsidR="007D2104" w:rsidRPr="007D2104">
        <w:rPr>
          <w:rFonts w:ascii="Book Antiqua" w:eastAsia="Book Antiqua" w:hAnsi="Book Antiqua" w:cs="Book Antiqua"/>
          <w:i/>
          <w:iCs/>
          <w:color w:val="000000"/>
        </w:rPr>
        <w:t xml:space="preserve"> </w:t>
      </w:r>
      <w:proofErr w:type="spellStart"/>
      <w:r w:rsidR="00B40D29" w:rsidRPr="007D2104">
        <w:rPr>
          <w:rFonts w:ascii="Book Antiqua" w:eastAsia="Book Antiqua" w:hAnsi="Book Antiqua" w:cs="Book Antiqua"/>
          <w:i/>
          <w:iCs/>
          <w:color w:val="000000"/>
        </w:rPr>
        <w:t>Shenjingke</w:t>
      </w:r>
      <w:proofErr w:type="spellEnd"/>
      <w:r w:rsidR="007D2104" w:rsidRPr="007D2104">
        <w:rPr>
          <w:rFonts w:ascii="Book Antiqua" w:eastAsia="Book Antiqua" w:hAnsi="Book Antiqua" w:cs="Book Antiqua"/>
          <w:i/>
          <w:iCs/>
          <w:color w:val="000000"/>
        </w:rPr>
        <w:t xml:space="preserve"> </w:t>
      </w:r>
      <w:proofErr w:type="spellStart"/>
      <w:r w:rsidR="00B40D29" w:rsidRPr="007D2104">
        <w:rPr>
          <w:rFonts w:ascii="Book Antiqua" w:eastAsia="Book Antiqua" w:hAnsi="Book Antiqua" w:cs="Book Antiqua"/>
          <w:i/>
          <w:iCs/>
          <w:color w:val="000000"/>
        </w:rPr>
        <w:t>Zazhi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2019</w:t>
      </w:r>
      <w:r w:rsidR="00101928"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5</w:t>
      </w:r>
      <w:r w:rsidR="00B40D29" w:rsidRPr="007D2104">
        <w:rPr>
          <w:rFonts w:ascii="Book Antiqua" w:eastAsia="Book Antiqua" w:hAnsi="Book Antiqua" w:cs="Book Antiqua"/>
          <w:b/>
          <w:bCs/>
          <w:color w:val="000000"/>
        </w:rPr>
        <w:t>2</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399-405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10.3760/cma.j.issn.1006-7876.2019.05.007]</w:t>
      </w:r>
    </w:p>
    <w:p w14:paraId="10A3AC8D" w14:textId="58CB7BFF"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11</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Morioka</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D</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Kasahara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Takada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Shirouzu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Taira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Sakamoto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Uryuhara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Egawa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Shimada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Tanaka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Current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role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transplantation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urea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cycle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review</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worldwide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English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literature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13</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cases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Kyoto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University.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Liver</w:t>
      </w:r>
      <w:r w:rsidR="007D2104" w:rsidRPr="007D2104">
        <w:rPr>
          <w:rFonts w:ascii="Book Antiqua" w:eastAsia="Book Antiqua" w:hAnsi="Book Antiqua" w:cs="Book Antiqua"/>
          <w:i/>
          <w:iCs/>
          <w:color w:val="000000"/>
        </w:rPr>
        <w:t xml:space="preserve"> </w:t>
      </w:r>
      <w:proofErr w:type="spellStart"/>
      <w:r w:rsidRPr="007D2104">
        <w:rPr>
          <w:rFonts w:ascii="Book Antiqua" w:eastAsia="Book Antiqua" w:hAnsi="Book Antiqua" w:cs="Book Antiqua"/>
          <w:i/>
          <w:iCs/>
          <w:color w:val="000000"/>
        </w:rPr>
        <w:t>Transpl</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2005;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11</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1332-1342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16237708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10.1002/Lt.20587]</w:t>
      </w:r>
    </w:p>
    <w:p w14:paraId="721F685F" w14:textId="115B4466"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12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Molema</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F</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Martinelli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Hörster</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Kölker</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Tangeraas</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Koning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Dionisi</w:t>
      </w:r>
      <w:proofErr w:type="spellEnd"/>
      <w:r w:rsidRPr="007D2104">
        <w:rPr>
          <w:rFonts w:ascii="Book Antiqua" w:eastAsia="Book Antiqua" w:hAnsi="Book Antiqua" w:cs="Book Antiqua"/>
          <w:color w:val="000000"/>
        </w:rPr>
        <w:t>-Vici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Williams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additional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individual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contributors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MetabERN</w:t>
      </w:r>
      <w:proofErr w:type="spellEnd"/>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kidney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transplantation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amino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organic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acid-related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inborn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errors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metabolism:</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overview</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European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data.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J</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Inherit</w:t>
      </w:r>
      <w:r w:rsidR="007D2104" w:rsidRPr="007D2104">
        <w:rPr>
          <w:rFonts w:ascii="Book Antiqua" w:eastAsia="Book Antiqua" w:hAnsi="Book Antiqua" w:cs="Book Antiqua"/>
          <w:i/>
          <w:iCs/>
          <w:color w:val="000000"/>
        </w:rPr>
        <w:t xml:space="preserve"> </w:t>
      </w:r>
      <w:proofErr w:type="spellStart"/>
      <w:r w:rsidRPr="007D2104">
        <w:rPr>
          <w:rFonts w:ascii="Book Antiqua" w:eastAsia="Book Antiqua" w:hAnsi="Book Antiqua" w:cs="Book Antiqua"/>
          <w:i/>
          <w:iCs/>
          <w:color w:val="000000"/>
        </w:rPr>
        <w:t>Metab</w:t>
      </w:r>
      <w:proofErr w:type="spellEnd"/>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Dis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2021;</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44</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593-605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32996606</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10.1002/jimd.12318]</w:t>
      </w:r>
    </w:p>
    <w:p w14:paraId="39F40BD5" w14:textId="0527E8D5"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13</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Kido</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J</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Matsumoto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Mitsubuchi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Endo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Nakamura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Early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transplantation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neonatal-onset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moderate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urea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cycle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lead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normal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neurodevelopment.</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i/>
          <w:iCs/>
          <w:color w:val="000000"/>
        </w:rPr>
        <w:t>Metab</w:t>
      </w:r>
      <w:proofErr w:type="spellEnd"/>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Brain</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Dis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2018;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33</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1517-1523</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29948653</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10.1007/s11011-018-0259-6]</w:t>
      </w:r>
    </w:p>
    <w:p w14:paraId="6276C604" w14:textId="2FC2C878"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lastRenderedPageBreak/>
        <w:t>14</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b/>
          <w:bCs/>
          <w:color w:val="000000"/>
        </w:rPr>
        <w:t>Wakiya</w:t>
      </w:r>
      <w:proofErr w:type="spellEnd"/>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T</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Sanada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Urahashi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Ihara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Yamada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Okada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Ushijima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Otomo</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Sakamoto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Murayama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Takayanagi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Hakamada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Yasuda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Mizuta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Impact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enzyme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activity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assay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indication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transplantation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ornithine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transcarbamylase</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deficiency.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Mol</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Genet</w:t>
      </w:r>
      <w:r w:rsidR="007D2104" w:rsidRPr="007D2104">
        <w:rPr>
          <w:rFonts w:ascii="Book Antiqua" w:eastAsia="Book Antiqua" w:hAnsi="Book Antiqua" w:cs="Book Antiqua"/>
          <w:i/>
          <w:iCs/>
          <w:color w:val="000000"/>
        </w:rPr>
        <w:t xml:space="preserve"> </w:t>
      </w:r>
      <w:proofErr w:type="spellStart"/>
      <w:r w:rsidRPr="007D2104">
        <w:rPr>
          <w:rFonts w:ascii="Book Antiqua" w:eastAsia="Book Antiqua" w:hAnsi="Book Antiqua" w:cs="Book Antiqua"/>
          <w:i/>
          <w:iCs/>
          <w:color w:val="000000"/>
        </w:rPr>
        <w:t>Metab</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2012;</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105</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404-407</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22264779</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10.1016/j.ymgme.2011.12.019]</w:t>
      </w:r>
    </w:p>
    <w:p w14:paraId="019766EA" w14:textId="533E4FC6"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15</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b/>
          <w:bCs/>
          <w:color w:val="000000"/>
        </w:rPr>
        <w:t>Foschi</w:t>
      </w:r>
      <w:proofErr w:type="spellEnd"/>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FG</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Morelli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MC,</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Savini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Dall'Aglio</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Lanzi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Cescon</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Ercolani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Cucchetti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Pinna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AD,</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Stefanini</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Urea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cycle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report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successful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treatment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transplant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literature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review.</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World</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J</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Gastroenterol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2015;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21</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4063-4068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25852294</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10.3748/</w:t>
      </w:r>
      <w:proofErr w:type="gramStart"/>
      <w:r w:rsidRPr="007D2104">
        <w:rPr>
          <w:rFonts w:ascii="Book Antiqua" w:eastAsia="Book Antiqua" w:hAnsi="Book Antiqua" w:cs="Book Antiqua"/>
          <w:color w:val="000000"/>
        </w:rPr>
        <w:t>wjg.v21.i</w:t>
      </w:r>
      <w:proofErr w:type="gramEnd"/>
      <w:r w:rsidRPr="007D2104">
        <w:rPr>
          <w:rFonts w:ascii="Book Antiqua" w:eastAsia="Book Antiqua" w:hAnsi="Book Antiqua" w:cs="Book Antiqua"/>
          <w:color w:val="000000"/>
        </w:rPr>
        <w:t>13.4063]</w:t>
      </w:r>
    </w:p>
    <w:p w14:paraId="2853E238" w14:textId="226816D3"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16</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b/>
          <w:bCs/>
          <w:color w:val="000000"/>
        </w:rPr>
        <w:t>Kawagishi</w:t>
      </w:r>
      <w:proofErr w:type="spellEnd"/>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N</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Satoh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Enomoto</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Akamatsu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Sekiguchi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Satoh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Fujimori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Takasago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Ohura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Satomi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Improved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quality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life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unchanged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magnetic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resonance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brain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imaging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after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living</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donor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transplantation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late-onset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ornithine</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transcarbamylase</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deficiency: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report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case.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i/>
          <w:iCs/>
          <w:color w:val="000000"/>
        </w:rPr>
        <w:t>Surg</w:t>
      </w:r>
      <w:r w:rsidR="007D2104" w:rsidRPr="007D2104">
        <w:rPr>
          <w:rFonts w:ascii="Book Antiqua" w:eastAsia="Book Antiqua" w:hAnsi="Book Antiqua" w:cs="Book Antiqua"/>
          <w:i/>
          <w:iCs/>
          <w:color w:val="000000"/>
        </w:rPr>
        <w:t xml:space="preserve"> </w:t>
      </w:r>
      <w:r w:rsidRPr="007D2104">
        <w:rPr>
          <w:rFonts w:ascii="Book Antiqua" w:eastAsia="Book Antiqua" w:hAnsi="Book Antiqua" w:cs="Book Antiqua"/>
          <w:i/>
          <w:iCs/>
          <w:color w:val="000000"/>
        </w:rPr>
        <w:t>Today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2005;</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b/>
          <w:bCs/>
          <w:color w:val="000000"/>
        </w:rPr>
        <w:t>35</w:t>
      </w:r>
      <w:r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1087-1091</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16341494</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10.1007/s00595-005-3071-y]</w:t>
      </w:r>
    </w:p>
    <w:p w14:paraId="351A5590" w14:textId="36597A18"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17</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b/>
          <w:bCs/>
          <w:color w:val="000000"/>
        </w:rPr>
        <w:t>Kasahara</w:t>
      </w:r>
      <w:r w:rsidR="007D2104" w:rsidRPr="007D2104">
        <w:rPr>
          <w:rFonts w:ascii="Book Antiqua" w:eastAsia="Book Antiqua" w:hAnsi="Book Antiqua" w:cs="Book Antiqua"/>
          <w:b/>
          <w:bCs/>
          <w:color w:val="000000"/>
        </w:rPr>
        <w:t xml:space="preserve"> </w:t>
      </w:r>
      <w:r w:rsidR="00463CD4" w:rsidRPr="007D2104">
        <w:rPr>
          <w:rFonts w:ascii="Book Antiqua" w:eastAsia="Book Antiqua" w:hAnsi="Book Antiqua" w:cs="Book Antiqua"/>
          <w:b/>
          <w:bCs/>
          <w:color w:val="000000"/>
        </w:rPr>
        <w:t>M</w:t>
      </w:r>
      <w:r w:rsidR="00463CD4"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Sakamoto</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Horikawa</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R,</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Koji</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U,</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Mizuta</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proofErr w:type="spellStart"/>
      <w:r w:rsidR="00463CD4" w:rsidRPr="007D2104">
        <w:rPr>
          <w:rFonts w:ascii="Book Antiqua" w:eastAsia="Book Antiqua" w:hAnsi="Book Antiqua" w:cs="Book Antiqua"/>
          <w:color w:val="000000"/>
        </w:rPr>
        <w:t>Shinkai</w:t>
      </w:r>
      <w:proofErr w:type="spellEnd"/>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M,</w:t>
      </w:r>
      <w:r w:rsidR="007D2104" w:rsidRPr="007D2104">
        <w:rPr>
          <w:rFonts w:ascii="Book Antiqua" w:eastAsia="Book Antiqua" w:hAnsi="Book Antiqua" w:cs="Book Antiqua"/>
          <w:color w:val="000000"/>
        </w:rPr>
        <w:t xml:space="preserve"> </w:t>
      </w:r>
      <w:proofErr w:type="spellStart"/>
      <w:r w:rsidR="00463CD4" w:rsidRPr="007D2104">
        <w:rPr>
          <w:rFonts w:ascii="Book Antiqua" w:eastAsia="Book Antiqua" w:hAnsi="Book Antiqua" w:cs="Book Antiqua"/>
          <w:color w:val="000000"/>
        </w:rPr>
        <w:t>Takahito</w:t>
      </w:r>
      <w:proofErr w:type="spellEnd"/>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Taguchi</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T,</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Inomata</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Y,</w:t>
      </w:r>
      <w:r w:rsidR="007D2104" w:rsidRPr="007D2104">
        <w:rPr>
          <w:rFonts w:ascii="Book Antiqua" w:eastAsia="Book Antiqua" w:hAnsi="Book Antiqua" w:cs="Book Antiqua"/>
          <w:color w:val="000000"/>
        </w:rPr>
        <w:t xml:space="preserve"> </w:t>
      </w:r>
      <w:proofErr w:type="spellStart"/>
      <w:r w:rsidR="00463CD4" w:rsidRPr="007D2104">
        <w:rPr>
          <w:rFonts w:ascii="Book Antiqua" w:eastAsia="Book Antiqua" w:hAnsi="Book Antiqua" w:cs="Book Antiqua"/>
          <w:color w:val="000000"/>
        </w:rPr>
        <w:t>Uemoto</w:t>
      </w:r>
      <w:proofErr w:type="spellEnd"/>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Tatsuo</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K,</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Kato</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Living</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donor</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liver</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transplantation</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pediatric</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patients</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metabolic</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disorders:</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Japanese</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multicenter</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registry.</w:t>
      </w:r>
      <w:r w:rsidR="007D2104" w:rsidRPr="007D2104">
        <w:rPr>
          <w:rFonts w:ascii="Book Antiqua" w:eastAsia="Book Antiqua" w:hAnsi="Book Antiqua" w:cs="Book Antiqua"/>
          <w:color w:val="000000"/>
        </w:rPr>
        <w:t xml:space="preserve"> </w:t>
      </w:r>
      <w:proofErr w:type="spellStart"/>
      <w:r w:rsidR="00463CD4" w:rsidRPr="007D2104">
        <w:rPr>
          <w:rFonts w:ascii="Book Antiqua" w:eastAsia="Book Antiqua" w:hAnsi="Book Antiqua" w:cs="Book Antiqua"/>
          <w:i/>
          <w:iCs/>
          <w:color w:val="000000"/>
        </w:rPr>
        <w:t>Pediatr</w:t>
      </w:r>
      <w:proofErr w:type="spellEnd"/>
      <w:r w:rsidR="007D2104" w:rsidRPr="007D2104">
        <w:rPr>
          <w:rFonts w:ascii="Book Antiqua" w:eastAsia="Book Antiqua" w:hAnsi="Book Antiqua" w:cs="Book Antiqua"/>
          <w:i/>
          <w:iCs/>
          <w:color w:val="000000"/>
        </w:rPr>
        <w:t xml:space="preserve"> </w:t>
      </w:r>
      <w:r w:rsidR="00463CD4" w:rsidRPr="007D2104">
        <w:rPr>
          <w:rFonts w:ascii="Book Antiqua" w:eastAsia="Book Antiqua" w:hAnsi="Book Antiqua" w:cs="Book Antiqua"/>
          <w:i/>
          <w:iCs/>
          <w:color w:val="000000"/>
        </w:rPr>
        <w:t>Transplant</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2014;</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b/>
          <w:bCs/>
          <w:color w:val="000000"/>
        </w:rPr>
        <w:t>18</w:t>
      </w:r>
      <w:r w:rsidR="00463CD4" w:rsidRPr="007D2104">
        <w:rPr>
          <w:rFonts w:ascii="Book Antiqua" w:eastAsia="Book Antiqua" w:hAnsi="Book Antiqua" w:cs="Book Antiqua"/>
          <w:color w:val="000000"/>
        </w:rPr>
        <w:t>:</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6-15</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[PMID:</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24283623</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DOI:</w:t>
      </w:r>
      <w:r w:rsidR="007D2104" w:rsidRPr="007D2104">
        <w:rPr>
          <w:rFonts w:ascii="Book Antiqua" w:eastAsia="Book Antiqua" w:hAnsi="Book Antiqua" w:cs="Book Antiqua"/>
          <w:color w:val="000000"/>
        </w:rPr>
        <w:t xml:space="preserve"> </w:t>
      </w:r>
      <w:r w:rsidR="00463CD4" w:rsidRPr="007D2104">
        <w:rPr>
          <w:rFonts w:ascii="Book Antiqua" w:eastAsia="Book Antiqua" w:hAnsi="Book Antiqua" w:cs="Book Antiqua"/>
          <w:color w:val="000000"/>
        </w:rPr>
        <w:t>10.1111/petr.12196]</w:t>
      </w:r>
    </w:p>
    <w:p w14:paraId="4E5144C6" w14:textId="77777777" w:rsidR="00A77B3E" w:rsidRPr="007D2104" w:rsidRDefault="00A77B3E" w:rsidP="007D2104">
      <w:pPr>
        <w:spacing w:line="360" w:lineRule="auto"/>
        <w:jc w:val="both"/>
        <w:rPr>
          <w:rFonts w:ascii="Book Antiqua" w:hAnsi="Book Antiqua"/>
        </w:rPr>
        <w:sectPr w:rsidR="00A77B3E" w:rsidRPr="007D2104">
          <w:pgSz w:w="12240" w:h="15840"/>
          <w:pgMar w:top="1440" w:right="1440" w:bottom="1440" w:left="1440" w:header="720" w:footer="720" w:gutter="0"/>
          <w:cols w:space="720"/>
          <w:docGrid w:linePitch="360"/>
        </w:sectPr>
      </w:pPr>
    </w:p>
    <w:p w14:paraId="1EC83EC1" w14:textId="77777777"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lastRenderedPageBreak/>
        <w:t>Footnotes</w:t>
      </w:r>
    </w:p>
    <w:p w14:paraId="031C339B" w14:textId="20F26009" w:rsidR="00A77B3E" w:rsidRPr="007D2104" w:rsidRDefault="008846B4" w:rsidP="007D2104">
      <w:pPr>
        <w:spacing w:line="360" w:lineRule="auto"/>
        <w:jc w:val="both"/>
        <w:rPr>
          <w:rFonts w:ascii="Book Antiqua" w:hAnsi="Book Antiqua"/>
          <w:lang w:val="en-IE"/>
        </w:rPr>
      </w:pPr>
      <w:r w:rsidRPr="007D2104">
        <w:rPr>
          <w:rFonts w:ascii="Book Antiqua" w:eastAsia="Book Antiqua" w:hAnsi="Book Antiqua" w:cs="Book Antiqua"/>
          <w:b/>
          <w:bCs/>
          <w:color w:val="000000"/>
        </w:rPr>
        <w:t>Informed</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consent</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statement:</w:t>
      </w:r>
      <w:r w:rsidR="007D2104" w:rsidRPr="007D2104">
        <w:rPr>
          <w:rFonts w:ascii="Book Antiqua" w:eastAsia="Book Antiqua" w:hAnsi="Book Antiqua" w:cs="Book Antiqua"/>
          <w:b/>
          <w:bCs/>
          <w:color w:val="000000"/>
        </w:rPr>
        <w:t xml:space="preserve"> </w:t>
      </w:r>
      <w:r w:rsidR="00CE0E77" w:rsidRPr="007D2104">
        <w:rPr>
          <w:rFonts w:ascii="Book Antiqua" w:eastAsia="Book Antiqua" w:hAnsi="Book Antiqua" w:cs="Book Antiqua"/>
          <w:color w:val="000000"/>
        </w:rPr>
        <w:t>Informed</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written</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consent</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obtained</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from</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patient</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for</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publication</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this</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report</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any</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accompanying</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images.</w:t>
      </w:r>
    </w:p>
    <w:p w14:paraId="6BF46B57" w14:textId="77777777" w:rsidR="00A77B3E" w:rsidRPr="007D2104" w:rsidRDefault="00A77B3E" w:rsidP="007D2104">
      <w:pPr>
        <w:spacing w:line="360" w:lineRule="auto"/>
        <w:jc w:val="both"/>
        <w:rPr>
          <w:rFonts w:ascii="Book Antiqua" w:hAnsi="Book Antiqua"/>
        </w:rPr>
      </w:pPr>
    </w:p>
    <w:p w14:paraId="5B4B9C8B" w14:textId="7336D66B" w:rsidR="00A77B3E" w:rsidRPr="007D2104" w:rsidRDefault="008846B4" w:rsidP="007D2104">
      <w:pPr>
        <w:spacing w:line="360" w:lineRule="auto"/>
        <w:jc w:val="both"/>
        <w:rPr>
          <w:rFonts w:ascii="Book Antiqua" w:eastAsia="Book Antiqua" w:hAnsi="Book Antiqua" w:cs="Book Antiqua"/>
          <w:color w:val="000000"/>
        </w:rPr>
      </w:pPr>
      <w:r w:rsidRPr="007D2104">
        <w:rPr>
          <w:rFonts w:ascii="Book Antiqua" w:eastAsia="Book Antiqua" w:hAnsi="Book Antiqua" w:cs="Book Antiqua"/>
          <w:b/>
          <w:bCs/>
          <w:color w:val="000000"/>
        </w:rPr>
        <w:t>Conflict-of-interest</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statement:</w:t>
      </w:r>
      <w:r w:rsidR="007D2104" w:rsidRPr="007D2104">
        <w:rPr>
          <w:rFonts w:ascii="Book Antiqua" w:eastAsia="Book Antiqua" w:hAnsi="Book Antiqua" w:cs="Book Antiqua"/>
          <w:b/>
          <w:bCs/>
          <w:color w:val="000000"/>
        </w:rPr>
        <w:t xml:space="preserve"> </w:t>
      </w:r>
      <w:r w:rsidR="00CE0E77"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authors</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declare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that</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they</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have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no</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conflict</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of</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interest.</w:t>
      </w:r>
    </w:p>
    <w:p w14:paraId="73E126DE" w14:textId="77777777" w:rsidR="00CE0E77" w:rsidRPr="007D2104" w:rsidRDefault="00CE0E77" w:rsidP="007D2104">
      <w:pPr>
        <w:spacing w:line="360" w:lineRule="auto"/>
        <w:jc w:val="both"/>
        <w:rPr>
          <w:rFonts w:ascii="Book Antiqua" w:hAnsi="Book Antiqua"/>
          <w:lang w:val="en-IE"/>
        </w:rPr>
      </w:pPr>
    </w:p>
    <w:p w14:paraId="7EC16A24" w14:textId="0910FC9E" w:rsidR="00A77B3E" w:rsidRPr="007D2104" w:rsidRDefault="008846B4" w:rsidP="007D2104">
      <w:pPr>
        <w:spacing w:line="360" w:lineRule="auto"/>
        <w:jc w:val="both"/>
        <w:rPr>
          <w:rFonts w:ascii="Book Antiqua" w:hAnsi="Book Antiqua"/>
          <w:lang w:val="en-IE"/>
        </w:rPr>
      </w:pPr>
      <w:r w:rsidRPr="007D2104">
        <w:rPr>
          <w:rFonts w:ascii="Book Antiqua" w:eastAsia="Book Antiqua" w:hAnsi="Book Antiqua" w:cs="Book Antiqua"/>
          <w:b/>
          <w:bCs/>
          <w:color w:val="000000"/>
        </w:rPr>
        <w:t>CARE</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Checklist</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(2016)</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statement:</w:t>
      </w:r>
      <w:r w:rsidR="007D2104" w:rsidRPr="007D2104">
        <w:rPr>
          <w:rFonts w:ascii="Book Antiqua" w:eastAsia="Book Antiqua" w:hAnsi="Book Antiqua" w:cs="Book Antiqua"/>
          <w:b/>
          <w:bCs/>
          <w:color w:val="000000"/>
        </w:rPr>
        <w:t xml:space="preserve"> </w:t>
      </w:r>
      <w:r w:rsidR="00CE0E77"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authors</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have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read</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CARE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Checklist</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(2016),</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manuscript</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prepared</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revised</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according</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CARE</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Checklist</w:t>
      </w:r>
      <w:r w:rsidR="007D2104" w:rsidRPr="007D2104">
        <w:rPr>
          <w:rFonts w:ascii="Book Antiqua" w:eastAsia="Book Antiqua" w:hAnsi="Book Antiqua" w:cs="Book Antiqua"/>
          <w:color w:val="000000"/>
        </w:rPr>
        <w:t xml:space="preserve"> </w:t>
      </w:r>
      <w:r w:rsidR="00CE0E77" w:rsidRPr="007D2104">
        <w:rPr>
          <w:rFonts w:ascii="Book Antiqua" w:eastAsia="Book Antiqua" w:hAnsi="Book Antiqua" w:cs="Book Antiqua"/>
          <w:color w:val="000000"/>
        </w:rPr>
        <w:t>(2016).</w:t>
      </w:r>
    </w:p>
    <w:p w14:paraId="5D11EBA0" w14:textId="77777777" w:rsidR="00A77B3E" w:rsidRPr="007D2104" w:rsidRDefault="00A77B3E" w:rsidP="007D2104">
      <w:pPr>
        <w:spacing w:line="360" w:lineRule="auto"/>
        <w:jc w:val="both"/>
        <w:rPr>
          <w:rFonts w:ascii="Book Antiqua" w:hAnsi="Book Antiqua"/>
        </w:rPr>
      </w:pPr>
    </w:p>
    <w:p w14:paraId="13893F68" w14:textId="69F7DACF"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bCs/>
          <w:color w:val="000000"/>
        </w:rPr>
        <w:t>Open-Access:</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color w:val="000000"/>
        </w:rPr>
        <w:t>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article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open-access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article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that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was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selected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in-house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editor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fully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peer-reviewed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external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reviewers.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distributed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accordance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with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Creative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Commons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Attribution</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NonCommercial</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BY-NC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4.0)</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license,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which</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permits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others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distribute,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remix,</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adapt,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build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upon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work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non-commercially,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license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their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derivative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works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on</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different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terms,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provided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original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work</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properly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cited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the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use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is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non-commercial.</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See: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https://creativecommons.org/Licenses/by-nc/4.0/</w:t>
      </w:r>
    </w:p>
    <w:p w14:paraId="135229F0" w14:textId="77777777" w:rsidR="00A77B3E" w:rsidRPr="007D2104" w:rsidRDefault="00A77B3E" w:rsidP="007D2104">
      <w:pPr>
        <w:spacing w:line="360" w:lineRule="auto"/>
        <w:jc w:val="both"/>
        <w:rPr>
          <w:rFonts w:ascii="Book Antiqua" w:hAnsi="Book Antiqua"/>
        </w:rPr>
      </w:pPr>
    </w:p>
    <w:p w14:paraId="521F95A8" w14:textId="1C8FAC4F"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Provenance</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and</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peer</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review:</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color w:val="000000"/>
        </w:rPr>
        <w:t>Unsolicited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article;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Externally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peer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reviewed.</w:t>
      </w:r>
    </w:p>
    <w:p w14:paraId="20BD3416" w14:textId="5B9DDABE"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Peer-review</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model:</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color w:val="000000"/>
        </w:rPr>
        <w:t>Single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blind</w:t>
      </w:r>
    </w:p>
    <w:p w14:paraId="1583F29B" w14:textId="77777777" w:rsidR="00A77B3E" w:rsidRPr="007D2104" w:rsidRDefault="00A77B3E" w:rsidP="007D2104">
      <w:pPr>
        <w:spacing w:line="360" w:lineRule="auto"/>
        <w:jc w:val="both"/>
        <w:rPr>
          <w:rFonts w:ascii="Book Antiqua" w:hAnsi="Book Antiqua"/>
        </w:rPr>
      </w:pPr>
    </w:p>
    <w:p w14:paraId="01FEEA25" w14:textId="42004F29"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Peer-review</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started:</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color w:val="000000"/>
        </w:rPr>
        <w:t>October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28,</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2021</w:t>
      </w:r>
    </w:p>
    <w:p w14:paraId="2B694C02" w14:textId="6BBB76F9"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First</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decision:</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color w:val="000000"/>
        </w:rPr>
        <w:t>December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27,</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2021</w:t>
      </w:r>
    </w:p>
    <w:p w14:paraId="0195B5E9" w14:textId="5178DE80"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Article</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in</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press:</w:t>
      </w:r>
      <w:r w:rsidR="007D2104" w:rsidRPr="007D2104">
        <w:rPr>
          <w:rFonts w:ascii="Book Antiqua" w:eastAsia="Book Antiqua" w:hAnsi="Book Antiqua" w:cs="Book Antiqua"/>
          <w:b/>
          <w:color w:val="000000"/>
        </w:rPr>
        <w:t xml:space="preserve"> </w:t>
      </w:r>
    </w:p>
    <w:p w14:paraId="67705334" w14:textId="77777777" w:rsidR="00A77B3E" w:rsidRPr="007D2104" w:rsidRDefault="00A77B3E" w:rsidP="007D2104">
      <w:pPr>
        <w:spacing w:line="360" w:lineRule="auto"/>
        <w:jc w:val="both"/>
        <w:rPr>
          <w:rFonts w:ascii="Book Antiqua" w:hAnsi="Book Antiqua"/>
        </w:rPr>
      </w:pPr>
    </w:p>
    <w:p w14:paraId="5B34EE7F" w14:textId="547AB1A4"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Specialty</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type:</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color w:val="000000"/>
        </w:rPr>
        <w:t>Genetics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and</w:t>
      </w:r>
      <w:r w:rsidR="007D2104" w:rsidRPr="007D2104">
        <w:rPr>
          <w:rFonts w:ascii="Book Antiqua" w:eastAsia="Book Antiqua" w:hAnsi="Book Antiqua" w:cs="Book Antiqua"/>
          <w:color w:val="000000"/>
        </w:rPr>
        <w:t xml:space="preserve"> </w:t>
      </w:r>
      <w:r w:rsidR="00554464" w:rsidRPr="007D2104">
        <w:rPr>
          <w:rFonts w:ascii="Book Antiqua" w:eastAsia="Book Antiqua" w:hAnsi="Book Antiqua" w:cs="Book Antiqua"/>
          <w:color w:val="000000"/>
        </w:rPr>
        <w:t>h</w:t>
      </w:r>
      <w:r w:rsidRPr="007D2104">
        <w:rPr>
          <w:rFonts w:ascii="Book Antiqua" w:eastAsia="Book Antiqua" w:hAnsi="Book Antiqua" w:cs="Book Antiqua"/>
          <w:color w:val="000000"/>
        </w:rPr>
        <w:t>eredity</w:t>
      </w:r>
    </w:p>
    <w:p w14:paraId="18AE6611" w14:textId="45E7FD51"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Country/Territory</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of</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origin:</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color w:val="000000"/>
        </w:rPr>
        <w:t>China</w:t>
      </w:r>
    </w:p>
    <w:p w14:paraId="758E4B2D" w14:textId="00F39920"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b/>
          <w:color w:val="000000"/>
        </w:rPr>
        <w:t>Peer-review</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report’s</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scientific</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quality</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classification</w:t>
      </w:r>
    </w:p>
    <w:p w14:paraId="6EE6F59B" w14:textId="4969DEAB"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Grade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A</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(Excellent):</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0</w:t>
      </w:r>
    </w:p>
    <w:p w14:paraId="2D6929AE" w14:textId="1904DCCE"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Grade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B</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(Very</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0</w:t>
      </w:r>
    </w:p>
    <w:p w14:paraId="3670C11E" w14:textId="0BD8F055"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Grade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(Good):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C</w:t>
      </w:r>
    </w:p>
    <w:p w14:paraId="1EAD6BA0" w14:textId="6951CED2"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t>Grade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(Fair):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D</w:t>
      </w:r>
    </w:p>
    <w:p w14:paraId="7E0696CA" w14:textId="4763F05B" w:rsidR="00A77B3E" w:rsidRPr="007D2104" w:rsidRDefault="008846B4" w:rsidP="007D2104">
      <w:pPr>
        <w:spacing w:line="360" w:lineRule="auto"/>
        <w:jc w:val="both"/>
        <w:rPr>
          <w:rFonts w:ascii="Book Antiqua" w:hAnsi="Book Antiqua"/>
        </w:rPr>
      </w:pPr>
      <w:r w:rsidRPr="007D2104">
        <w:rPr>
          <w:rFonts w:ascii="Book Antiqua" w:eastAsia="Book Antiqua" w:hAnsi="Book Antiqua" w:cs="Book Antiqua"/>
          <w:color w:val="000000"/>
        </w:rPr>
        <w:lastRenderedPageBreak/>
        <w:t>Grade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E</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(Poor):</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0</w:t>
      </w:r>
    </w:p>
    <w:p w14:paraId="5DD3B007" w14:textId="77777777" w:rsidR="00A77B3E" w:rsidRPr="007D2104" w:rsidRDefault="00A77B3E" w:rsidP="007D2104">
      <w:pPr>
        <w:spacing w:line="360" w:lineRule="auto"/>
        <w:jc w:val="both"/>
        <w:rPr>
          <w:rFonts w:ascii="Book Antiqua" w:hAnsi="Book Antiqua"/>
        </w:rPr>
      </w:pPr>
    </w:p>
    <w:p w14:paraId="5F124BA6" w14:textId="77777777" w:rsidR="00A77B3E" w:rsidRDefault="008846B4" w:rsidP="007D2104">
      <w:pPr>
        <w:spacing w:line="360" w:lineRule="auto"/>
        <w:jc w:val="both"/>
        <w:rPr>
          <w:rFonts w:ascii="Book Antiqua" w:eastAsia="Book Antiqua" w:hAnsi="Book Antiqua" w:cs="Book Antiqua"/>
          <w:color w:val="000000"/>
        </w:rPr>
      </w:pPr>
      <w:r w:rsidRPr="007D2104">
        <w:rPr>
          <w:rFonts w:ascii="Book Antiqua" w:eastAsia="Book Antiqua" w:hAnsi="Book Antiqua" w:cs="Book Antiqua"/>
          <w:b/>
          <w:color w:val="000000"/>
        </w:rPr>
        <w:t>P-Reviewer:</w:t>
      </w:r>
      <w:r w:rsidR="007D2104" w:rsidRPr="007D2104">
        <w:rPr>
          <w:rFonts w:ascii="Book Antiqua" w:eastAsia="Book Antiqua" w:hAnsi="Book Antiqua" w:cs="Book Antiqua"/>
          <w:b/>
          <w:color w:val="000000"/>
        </w:rPr>
        <w:t xml:space="preserve"> </w:t>
      </w:r>
      <w:proofErr w:type="spellStart"/>
      <w:r w:rsidRPr="007D2104">
        <w:rPr>
          <w:rFonts w:ascii="Book Antiqua" w:eastAsia="Book Antiqua" w:hAnsi="Book Antiqua" w:cs="Book Antiqua"/>
          <w:color w:val="000000"/>
        </w:rPr>
        <w:t>Enosawa</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S,</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Japan;</w:t>
      </w:r>
      <w:r w:rsidR="007D2104" w:rsidRPr="007D2104">
        <w:rPr>
          <w:rFonts w:ascii="Book Antiqua" w:eastAsia="Book Antiqua" w:hAnsi="Book Antiqua" w:cs="Book Antiqua"/>
          <w:color w:val="000000"/>
        </w:rPr>
        <w:t xml:space="preserve"> </w:t>
      </w:r>
      <w:proofErr w:type="spellStart"/>
      <w:r w:rsidRPr="007D2104">
        <w:rPr>
          <w:rFonts w:ascii="Book Antiqua" w:eastAsia="Book Antiqua" w:hAnsi="Book Antiqua" w:cs="Book Antiqua"/>
          <w:color w:val="000000"/>
        </w:rPr>
        <w:t>Topal</w:t>
      </w:r>
      <w:proofErr w:type="spellEnd"/>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U,</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Turkey</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S-Editor:</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color w:val="000000"/>
        </w:rPr>
        <w:t>Guo</w:t>
      </w:r>
      <w:r w:rsidR="007D2104" w:rsidRPr="007D2104">
        <w:rPr>
          <w:rFonts w:ascii="Book Antiqua" w:eastAsia="Book Antiqua" w:hAnsi="Book Antiqua" w:cs="Book Antiqua"/>
          <w:color w:val="000000"/>
        </w:rPr>
        <w:t xml:space="preserve"> </w:t>
      </w:r>
      <w:r w:rsidRPr="007D2104">
        <w:rPr>
          <w:rFonts w:ascii="Book Antiqua" w:eastAsia="Book Antiqua" w:hAnsi="Book Antiqua" w:cs="Book Antiqua"/>
          <w:color w:val="000000"/>
        </w:rPr>
        <w:t>XR</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L-Editor:</w:t>
      </w:r>
      <w:r w:rsidR="007D2104" w:rsidRPr="007D2104">
        <w:rPr>
          <w:rFonts w:ascii="Book Antiqua" w:eastAsia="Book Antiqua" w:hAnsi="Book Antiqua" w:cs="Book Antiqua"/>
          <w:b/>
          <w:color w:val="000000"/>
        </w:rPr>
        <w:t xml:space="preserve"> </w:t>
      </w:r>
      <w:r w:rsidR="00330684">
        <w:rPr>
          <w:rFonts w:ascii="Book Antiqua" w:eastAsia="Book Antiqua" w:hAnsi="Book Antiqua" w:cs="Book Antiqua"/>
          <w:color w:val="000000"/>
        </w:rPr>
        <w:t>Webster JR</w:t>
      </w:r>
      <w:r w:rsidR="0033068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P-Editor:</w:t>
      </w:r>
      <w:r w:rsidR="007D2104" w:rsidRPr="007D2104">
        <w:rPr>
          <w:rFonts w:ascii="Book Antiqua" w:eastAsia="Book Antiqua" w:hAnsi="Book Antiqua" w:cs="Book Antiqua"/>
          <w:b/>
          <w:color w:val="000000"/>
        </w:rPr>
        <w:t xml:space="preserve"> </w:t>
      </w:r>
      <w:r w:rsidR="0047382F" w:rsidRPr="007D2104">
        <w:rPr>
          <w:rFonts w:ascii="Book Antiqua" w:eastAsia="Book Antiqua" w:hAnsi="Book Antiqua" w:cs="Book Antiqua"/>
          <w:color w:val="000000"/>
        </w:rPr>
        <w:t>Guo XR</w:t>
      </w:r>
    </w:p>
    <w:p w14:paraId="1D14E512" w14:textId="6BB021EC" w:rsidR="0047382F" w:rsidRPr="007D2104" w:rsidRDefault="0047382F" w:rsidP="007D2104">
      <w:pPr>
        <w:spacing w:line="360" w:lineRule="auto"/>
        <w:jc w:val="both"/>
        <w:rPr>
          <w:rFonts w:ascii="Book Antiqua" w:hAnsi="Book Antiqua"/>
        </w:rPr>
        <w:sectPr w:rsidR="0047382F" w:rsidRPr="007D2104">
          <w:pgSz w:w="12240" w:h="15840"/>
          <w:pgMar w:top="1440" w:right="1440" w:bottom="1440" w:left="1440" w:header="720" w:footer="720" w:gutter="0"/>
          <w:cols w:space="720"/>
          <w:docGrid w:linePitch="360"/>
        </w:sectPr>
      </w:pPr>
    </w:p>
    <w:p w14:paraId="45A4A5ED" w14:textId="1657CCA2" w:rsidR="00A77B3E" w:rsidRPr="007D2104" w:rsidRDefault="008846B4" w:rsidP="007D2104">
      <w:pPr>
        <w:spacing w:line="360" w:lineRule="auto"/>
        <w:jc w:val="both"/>
        <w:rPr>
          <w:rFonts w:ascii="Book Antiqua" w:eastAsia="Book Antiqua" w:hAnsi="Book Antiqua" w:cs="Book Antiqua"/>
          <w:b/>
          <w:color w:val="000000"/>
        </w:rPr>
      </w:pPr>
      <w:r w:rsidRPr="007D2104">
        <w:rPr>
          <w:rFonts w:ascii="Book Antiqua" w:eastAsia="Book Antiqua" w:hAnsi="Book Antiqua" w:cs="Book Antiqua"/>
          <w:b/>
          <w:color w:val="000000"/>
        </w:rPr>
        <w:lastRenderedPageBreak/>
        <w:t>Figure</w:t>
      </w:r>
      <w:r w:rsidR="007D2104" w:rsidRPr="007D2104">
        <w:rPr>
          <w:rFonts w:ascii="Book Antiqua" w:eastAsia="Book Antiqua" w:hAnsi="Book Antiqua" w:cs="Book Antiqua"/>
          <w:b/>
          <w:color w:val="000000"/>
        </w:rPr>
        <w:t xml:space="preserve"> </w:t>
      </w:r>
      <w:r w:rsidRPr="007D2104">
        <w:rPr>
          <w:rFonts w:ascii="Book Antiqua" w:eastAsia="Book Antiqua" w:hAnsi="Book Antiqua" w:cs="Book Antiqua"/>
          <w:b/>
          <w:color w:val="000000"/>
        </w:rPr>
        <w:t>Legends</w:t>
      </w:r>
    </w:p>
    <w:p w14:paraId="7B949716" w14:textId="2D2F019C" w:rsidR="00554464" w:rsidRPr="007D2104" w:rsidRDefault="00CC262D" w:rsidP="007D2104">
      <w:pPr>
        <w:spacing w:line="360" w:lineRule="auto"/>
        <w:jc w:val="both"/>
        <w:rPr>
          <w:rFonts w:ascii="Book Antiqua" w:hAnsi="Book Antiqua"/>
        </w:rPr>
      </w:pPr>
      <w:r w:rsidRPr="00CC262D">
        <w:rPr>
          <w:rFonts w:ascii="Book Antiqua" w:hAnsi="Book Antiqua"/>
          <w:noProof/>
        </w:rPr>
        <w:drawing>
          <wp:inline distT="0" distB="0" distL="0" distR="0" wp14:anchorId="127CB3BC" wp14:editId="5B3F79C3">
            <wp:extent cx="3848100" cy="30054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3005455"/>
                    </a:xfrm>
                    <a:prstGeom prst="rect">
                      <a:avLst/>
                    </a:prstGeom>
                    <a:noFill/>
                    <a:ln>
                      <a:noFill/>
                    </a:ln>
                  </pic:spPr>
                </pic:pic>
              </a:graphicData>
            </a:graphic>
          </wp:inline>
        </w:drawing>
      </w:r>
    </w:p>
    <w:p w14:paraId="587E4C63" w14:textId="7E7B6EB3" w:rsidR="00A77B3E" w:rsidRPr="007D2104" w:rsidRDefault="008846B4" w:rsidP="007D2104">
      <w:pPr>
        <w:spacing w:line="360" w:lineRule="auto"/>
        <w:jc w:val="both"/>
        <w:rPr>
          <w:rFonts w:ascii="Book Antiqua" w:eastAsia="Book Antiqua" w:hAnsi="Book Antiqua" w:cs="Book Antiqua"/>
          <w:b/>
          <w:bCs/>
          <w:color w:val="000000"/>
        </w:rPr>
      </w:pPr>
      <w:r w:rsidRPr="007D2104">
        <w:rPr>
          <w:rFonts w:ascii="Book Antiqua" w:eastAsia="Book Antiqua" w:hAnsi="Book Antiqua" w:cs="Book Antiqua"/>
          <w:b/>
          <w:bCs/>
          <w:color w:val="000000"/>
        </w:rPr>
        <w:t>Figure</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1</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Blood</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ammonia</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changes</w:t>
      </w:r>
      <w:r w:rsidR="007D2104" w:rsidRPr="007D2104">
        <w:rPr>
          <w:rFonts w:ascii="Book Antiqua" w:eastAsia="Book Antiqua" w:hAnsi="Book Antiqua" w:cs="Book Antiqua"/>
          <w:b/>
          <w:bCs/>
          <w:color w:val="000000"/>
        </w:rPr>
        <w:t xml:space="preserve"> </w:t>
      </w:r>
      <w:r w:rsidR="00357D1E">
        <w:rPr>
          <w:rFonts w:ascii="Book Antiqua" w:eastAsia="Book Antiqua" w:hAnsi="Book Antiqua" w:cs="Book Antiqua"/>
          <w:b/>
          <w:bCs/>
          <w:color w:val="000000"/>
        </w:rPr>
        <w:t xml:space="preserve">during </w:t>
      </w:r>
      <w:r w:rsidRPr="007D2104">
        <w:rPr>
          <w:rFonts w:ascii="Book Antiqua" w:eastAsia="Book Antiqua" w:hAnsi="Book Antiqua" w:cs="Book Antiqua"/>
          <w:b/>
          <w:bCs/>
          <w:color w:val="000000"/>
        </w:rPr>
        <w:t>the</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first</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week</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of</w:t>
      </w:r>
      <w:r w:rsidR="007D2104" w:rsidRPr="007D2104">
        <w:rPr>
          <w:rFonts w:ascii="Book Antiqua" w:eastAsia="Book Antiqua" w:hAnsi="Book Antiqua" w:cs="Book Antiqua"/>
          <w:b/>
          <w:bCs/>
          <w:color w:val="000000"/>
        </w:rPr>
        <w:t xml:space="preserve"> </w:t>
      </w:r>
      <w:r w:rsidRPr="007D2104">
        <w:rPr>
          <w:rFonts w:ascii="Book Antiqua" w:eastAsia="Book Antiqua" w:hAnsi="Book Antiqua" w:cs="Book Antiqua"/>
          <w:b/>
          <w:bCs/>
          <w:color w:val="000000"/>
        </w:rPr>
        <w:t>admission</w:t>
      </w:r>
      <w:r w:rsidR="00E350E8" w:rsidRPr="007D2104">
        <w:rPr>
          <w:rFonts w:ascii="Book Antiqua" w:eastAsia="Book Antiqua" w:hAnsi="Book Antiqua" w:cs="Book Antiqua"/>
          <w:b/>
          <w:bCs/>
          <w:color w:val="000000"/>
        </w:rPr>
        <w:t>.</w:t>
      </w:r>
    </w:p>
    <w:p w14:paraId="0A9C6A4F" w14:textId="25AB0173" w:rsidR="00E350E8" w:rsidRPr="007D2104" w:rsidRDefault="00CC262D" w:rsidP="007D2104">
      <w:pPr>
        <w:spacing w:line="360" w:lineRule="auto"/>
        <w:jc w:val="both"/>
        <w:rPr>
          <w:rFonts w:ascii="Book Antiqua" w:hAnsi="Book Antiqua"/>
          <w:b/>
          <w:bCs/>
        </w:rPr>
      </w:pPr>
      <w:r w:rsidRPr="00CC262D">
        <w:rPr>
          <w:rFonts w:ascii="Book Antiqua" w:hAnsi="Book Antiqua"/>
          <w:b/>
          <w:bCs/>
          <w:noProof/>
        </w:rPr>
        <w:drawing>
          <wp:inline distT="0" distB="0" distL="0" distR="0" wp14:anchorId="3972ADAB" wp14:editId="19E9493A">
            <wp:extent cx="3629025" cy="3609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3609975"/>
                    </a:xfrm>
                    <a:prstGeom prst="rect">
                      <a:avLst/>
                    </a:prstGeom>
                    <a:noFill/>
                    <a:ln>
                      <a:noFill/>
                    </a:ln>
                  </pic:spPr>
                </pic:pic>
              </a:graphicData>
            </a:graphic>
          </wp:inline>
        </w:drawing>
      </w:r>
    </w:p>
    <w:p w14:paraId="7B2F2216" w14:textId="77777777" w:rsidR="00357D1E" w:rsidRPr="007D2104" w:rsidRDefault="00357D1E" w:rsidP="00357D1E">
      <w:pPr>
        <w:spacing w:line="360" w:lineRule="auto"/>
        <w:jc w:val="both"/>
        <w:rPr>
          <w:rFonts w:ascii="Book Antiqua" w:hAnsi="Book Antiqua" w:cs="Book Antiqua"/>
          <w:color w:val="000000"/>
          <w:lang w:eastAsia="zh-CN"/>
        </w:rPr>
      </w:pPr>
      <w:r w:rsidRPr="007D2104">
        <w:rPr>
          <w:rFonts w:ascii="Book Antiqua" w:eastAsia="Book Antiqua" w:hAnsi="Book Antiqua" w:cs="Book Antiqua"/>
          <w:b/>
          <w:bCs/>
          <w:color w:val="000000"/>
        </w:rPr>
        <w:t>Figure 2 Brain magnetic resonance imaging.</w:t>
      </w:r>
      <w:r w:rsidRPr="007D2104">
        <w:rPr>
          <w:rFonts w:ascii="Book Antiqua" w:eastAsia="Book Antiqua" w:hAnsi="Book Antiqua" w:cs="Book Antiqua"/>
          <w:color w:val="000000"/>
        </w:rPr>
        <w:t xml:space="preserve"> A:</w:t>
      </w:r>
      <w:r w:rsidRPr="007D2104">
        <w:rPr>
          <w:rFonts w:ascii="Book Antiqua" w:hAnsi="Book Antiqua" w:cs="Book Antiqua"/>
          <w:color w:val="000000"/>
          <w:lang w:eastAsia="zh-CN"/>
        </w:rPr>
        <w:t xml:space="preserve"> On admission, brain magnetic resonance imaging (MRI), T2 </w:t>
      </w:r>
      <w:r>
        <w:rPr>
          <w:rFonts w:ascii="Book Antiqua" w:hAnsi="Book Antiqua" w:cs="Book Antiqua"/>
          <w:color w:val="000000"/>
          <w:lang w:eastAsia="zh-CN"/>
        </w:rPr>
        <w:t>fluid attenuated inversion recovery (</w:t>
      </w:r>
      <w:r w:rsidRPr="007D2104">
        <w:rPr>
          <w:rFonts w:ascii="Book Antiqua" w:hAnsi="Book Antiqua" w:cs="Book Antiqua"/>
          <w:color w:val="000000"/>
          <w:lang w:eastAsia="zh-CN"/>
        </w:rPr>
        <w:t>FLAIR</w:t>
      </w:r>
      <w:r>
        <w:rPr>
          <w:rFonts w:ascii="Book Antiqua" w:hAnsi="Book Antiqua" w:cs="Book Antiqua"/>
          <w:color w:val="000000"/>
          <w:lang w:eastAsia="zh-CN"/>
        </w:rPr>
        <w:t>)</w:t>
      </w:r>
      <w:r w:rsidRPr="007D2104">
        <w:rPr>
          <w:rFonts w:ascii="Book Antiqua" w:hAnsi="Book Antiqua" w:cs="Book Antiqua"/>
          <w:color w:val="000000"/>
          <w:lang w:eastAsia="zh-CN"/>
        </w:rPr>
        <w:t xml:space="preserve"> imaging showed a large symmetrical high signal, more pronounced in the bilateral dorsal thalamus, caudate </w:t>
      </w:r>
      <w:r w:rsidRPr="007D2104">
        <w:rPr>
          <w:rFonts w:ascii="Book Antiqua" w:hAnsi="Book Antiqua" w:cs="Book Antiqua"/>
          <w:color w:val="000000"/>
          <w:lang w:eastAsia="zh-CN"/>
        </w:rPr>
        <w:lastRenderedPageBreak/>
        <w:t xml:space="preserve">nucleus, lenticular nucleus, insula, cingulate gyrus and frontal lobe into the cortex at the falx; B: On admission, </w:t>
      </w:r>
      <w:r>
        <w:rPr>
          <w:rFonts w:ascii="Book Antiqua" w:hAnsi="Book Antiqua" w:cs="Book Antiqua"/>
          <w:color w:val="000000"/>
          <w:lang w:eastAsia="zh-CN"/>
        </w:rPr>
        <w:t xml:space="preserve">a </w:t>
      </w:r>
      <w:r w:rsidRPr="007D2104">
        <w:rPr>
          <w:rFonts w:ascii="Book Antiqua" w:hAnsi="Book Antiqua" w:cs="Book Antiqua"/>
          <w:color w:val="000000"/>
          <w:lang w:eastAsia="zh-CN"/>
        </w:rPr>
        <w:t xml:space="preserve">high signal was observed </w:t>
      </w:r>
      <w:r>
        <w:rPr>
          <w:rFonts w:ascii="Book Antiqua" w:hAnsi="Book Antiqua" w:cs="Book Antiqua"/>
          <w:color w:val="000000"/>
          <w:lang w:eastAsia="zh-CN"/>
        </w:rPr>
        <w:t>o</w:t>
      </w:r>
      <w:r w:rsidRPr="007D2104">
        <w:rPr>
          <w:rFonts w:ascii="Book Antiqua" w:hAnsi="Book Antiqua" w:cs="Book Antiqua"/>
          <w:color w:val="000000"/>
          <w:lang w:eastAsia="zh-CN"/>
        </w:rPr>
        <w:t xml:space="preserve">n </w:t>
      </w:r>
      <w:r w:rsidRPr="007D2104">
        <w:rPr>
          <w:rFonts w:ascii="Book Antiqua" w:eastAsia="Book Antiqua" w:hAnsi="Book Antiqua" w:cs="Book Antiqua"/>
          <w:color w:val="000000"/>
        </w:rPr>
        <w:t>diffusion</w:t>
      </w:r>
      <w:r w:rsidRPr="007D2104">
        <w:rPr>
          <w:rFonts w:ascii="Book Antiqua" w:hAnsi="Book Antiqua" w:cs="Book Antiqua"/>
          <w:color w:val="000000"/>
          <w:lang w:eastAsia="zh-CN"/>
        </w:rPr>
        <w:t xml:space="preserve"> </w:t>
      </w:r>
      <w:r w:rsidRPr="00DC7DB5">
        <w:rPr>
          <w:rFonts w:ascii="Book Antiqua" w:hAnsi="Book Antiqua" w:cs="Book Antiqua"/>
          <w:color w:val="000000"/>
          <w:lang w:eastAsia="zh-CN"/>
        </w:rPr>
        <w:t xml:space="preserve">weighted imaging </w:t>
      </w:r>
      <w:r>
        <w:rPr>
          <w:rFonts w:ascii="Book Antiqua" w:hAnsi="Book Antiqua" w:cs="Book Antiqua"/>
          <w:color w:val="000000"/>
          <w:lang w:eastAsia="zh-CN"/>
        </w:rPr>
        <w:t>(</w:t>
      </w:r>
      <w:r w:rsidRPr="007D2104">
        <w:rPr>
          <w:rFonts w:ascii="Book Antiqua" w:hAnsi="Book Antiqua" w:cs="Book Antiqua"/>
          <w:color w:val="000000"/>
          <w:lang w:eastAsia="zh-CN"/>
        </w:rPr>
        <w:t>DWI</w:t>
      </w:r>
      <w:r>
        <w:rPr>
          <w:rFonts w:ascii="Book Antiqua" w:hAnsi="Book Antiqua" w:cs="Book Antiqua"/>
          <w:color w:val="000000"/>
          <w:lang w:eastAsia="zh-CN"/>
        </w:rPr>
        <w:t>)</w:t>
      </w:r>
      <w:r w:rsidRPr="007D2104">
        <w:rPr>
          <w:rFonts w:ascii="Book Antiqua" w:hAnsi="Book Antiqua" w:cs="Book Antiqua"/>
          <w:color w:val="000000"/>
          <w:lang w:eastAsia="zh-CN"/>
        </w:rPr>
        <w:t xml:space="preserve"> of bilateral dorsal thalamus, caudate nucleus, lenticular nucleus, insula, frontal lobe into the cortex at the falx; C:</w:t>
      </w:r>
      <w:r w:rsidRPr="007D2104">
        <w:rPr>
          <w:rFonts w:ascii="Book Antiqua" w:hAnsi="Book Antiqua"/>
        </w:rPr>
        <w:t xml:space="preserve"> </w:t>
      </w:r>
      <w:r w:rsidRPr="007D2104">
        <w:rPr>
          <w:rFonts w:ascii="Book Antiqua" w:hAnsi="Book Antiqua" w:cs="Book Antiqua"/>
          <w:color w:val="000000"/>
          <w:lang w:eastAsia="zh-CN"/>
        </w:rPr>
        <w:t xml:space="preserve">Two months after </w:t>
      </w:r>
      <w:r w:rsidRPr="00DC7DB5">
        <w:rPr>
          <w:rFonts w:ascii="Book Antiqua" w:hAnsi="Book Antiqua" w:cs="Book Antiqua"/>
          <w:color w:val="000000"/>
          <w:lang w:eastAsia="zh-CN"/>
        </w:rPr>
        <w:t>liver transp</w:t>
      </w:r>
      <w:r>
        <w:rPr>
          <w:rFonts w:ascii="Book Antiqua" w:hAnsi="Book Antiqua" w:cs="Book Antiqua"/>
          <w:color w:val="000000"/>
          <w:lang w:eastAsia="zh-CN"/>
        </w:rPr>
        <w:t>l</w:t>
      </w:r>
      <w:r w:rsidRPr="00DC7DB5">
        <w:rPr>
          <w:rFonts w:ascii="Book Antiqua" w:hAnsi="Book Antiqua" w:cs="Book Antiqua"/>
          <w:color w:val="000000"/>
          <w:lang w:eastAsia="zh-CN"/>
        </w:rPr>
        <w:t xml:space="preserve">antation </w:t>
      </w:r>
      <w:r>
        <w:rPr>
          <w:rFonts w:ascii="Book Antiqua" w:hAnsi="Book Antiqua" w:cs="Book Antiqua"/>
          <w:color w:val="000000"/>
          <w:lang w:eastAsia="zh-CN"/>
        </w:rPr>
        <w:t>(</w:t>
      </w:r>
      <w:r w:rsidRPr="007D2104">
        <w:rPr>
          <w:rFonts w:ascii="Book Antiqua" w:hAnsi="Book Antiqua" w:cs="Book Antiqua"/>
          <w:color w:val="000000"/>
          <w:lang w:eastAsia="zh-CN"/>
        </w:rPr>
        <w:t>LT</w:t>
      </w:r>
      <w:r>
        <w:rPr>
          <w:rFonts w:ascii="Book Antiqua" w:hAnsi="Book Antiqua" w:cs="Book Antiqua"/>
          <w:color w:val="000000"/>
          <w:lang w:eastAsia="zh-CN"/>
        </w:rPr>
        <w:t>)</w:t>
      </w:r>
      <w:r w:rsidRPr="007D2104">
        <w:rPr>
          <w:rFonts w:ascii="Book Antiqua" w:hAnsi="Book Antiqua" w:cs="Book Antiqua"/>
          <w:color w:val="000000"/>
          <w:lang w:eastAsia="zh-CN"/>
        </w:rPr>
        <w:t xml:space="preserve">, brain MRI, T2 FLAIR imaging showed </w:t>
      </w:r>
      <w:r>
        <w:rPr>
          <w:rFonts w:ascii="Book Antiqua" w:hAnsi="Book Antiqua" w:cs="Book Antiqua"/>
          <w:color w:val="000000"/>
          <w:lang w:eastAsia="zh-CN"/>
        </w:rPr>
        <w:t xml:space="preserve">that </w:t>
      </w:r>
      <w:r w:rsidRPr="007D2104">
        <w:rPr>
          <w:rFonts w:ascii="Book Antiqua" w:hAnsi="Book Antiqua" w:cs="Book Antiqua"/>
          <w:color w:val="000000"/>
          <w:lang w:eastAsia="zh-CN"/>
        </w:rPr>
        <w:t xml:space="preserve">the cerebral sulcus fissure was widened and deepened bilaterally in the cerebral hemispheres, and the cortex was atrophied, </w:t>
      </w:r>
      <w:r>
        <w:rPr>
          <w:rFonts w:ascii="Book Antiqua" w:hAnsi="Book Antiqua" w:cs="Book Antiqua"/>
          <w:color w:val="000000"/>
          <w:lang w:eastAsia="zh-CN"/>
        </w:rPr>
        <w:t xml:space="preserve">with a </w:t>
      </w:r>
      <w:r w:rsidRPr="007D2104">
        <w:rPr>
          <w:rFonts w:ascii="Book Antiqua" w:hAnsi="Book Antiqua" w:cs="Book Antiqua"/>
          <w:color w:val="000000"/>
          <w:lang w:eastAsia="zh-CN"/>
        </w:rPr>
        <w:t>patchy high signal in the frontal lobes bilaterally; D:</w:t>
      </w:r>
      <w:r w:rsidRPr="007D2104">
        <w:rPr>
          <w:rFonts w:ascii="Book Antiqua" w:hAnsi="Book Antiqua"/>
        </w:rPr>
        <w:t xml:space="preserve"> </w:t>
      </w:r>
      <w:r w:rsidRPr="007D2104">
        <w:rPr>
          <w:rFonts w:ascii="Book Antiqua" w:hAnsi="Book Antiqua" w:cs="Book Antiqua"/>
          <w:color w:val="000000"/>
          <w:lang w:eastAsia="zh-CN"/>
        </w:rPr>
        <w:t>Two months after LT, brain MRI, DWI did not show any significant abnormal signal, and the abnormal signal in the original bilateral cerebral hemispheric cortex, dorsal thalamus, basal ganglia area, insula, cingulate gyrus, and frontal and temporal lobes was no longer obvious.</w:t>
      </w:r>
    </w:p>
    <w:p w14:paraId="0B0BCCB1" w14:textId="6CD178EF" w:rsidR="007D2104" w:rsidRPr="00357D1E" w:rsidRDefault="007D2104" w:rsidP="007D2104">
      <w:pPr>
        <w:spacing w:line="360" w:lineRule="auto"/>
        <w:jc w:val="both"/>
        <w:rPr>
          <w:rFonts w:ascii="Book Antiqua" w:hAnsi="Book Antiqua" w:cs="Book Antiqua"/>
          <w:color w:val="000000"/>
          <w:lang w:eastAsia="zh-CN"/>
        </w:rPr>
        <w:sectPr w:rsidR="007D2104" w:rsidRPr="00357D1E">
          <w:pgSz w:w="12240" w:h="15840"/>
          <w:pgMar w:top="1440" w:right="1440" w:bottom="1440" w:left="1440" w:header="720" w:footer="720" w:gutter="0"/>
          <w:cols w:space="720"/>
          <w:docGrid w:linePitch="360"/>
        </w:sectPr>
      </w:pPr>
    </w:p>
    <w:p w14:paraId="5EB84896" w14:textId="6C4F45DF" w:rsidR="00051314" w:rsidRPr="007D2104" w:rsidRDefault="00051314" w:rsidP="007D2104">
      <w:pPr>
        <w:spacing w:line="360" w:lineRule="auto"/>
        <w:jc w:val="both"/>
        <w:rPr>
          <w:rFonts w:ascii="Book Antiqua" w:hAnsi="Book Antiqua"/>
          <w:lang w:eastAsia="zh-CN"/>
        </w:rPr>
      </w:pPr>
      <w:r w:rsidRPr="007D2104">
        <w:rPr>
          <w:rFonts w:ascii="Book Antiqua" w:hAnsi="Book Antiqua"/>
          <w:b/>
          <w:bCs/>
        </w:rPr>
        <w:lastRenderedPageBreak/>
        <w:t>Table</w:t>
      </w:r>
      <w:r w:rsidR="007D2104" w:rsidRPr="007D2104">
        <w:rPr>
          <w:rFonts w:ascii="Book Antiqua" w:hAnsi="Book Antiqua"/>
          <w:b/>
          <w:bCs/>
        </w:rPr>
        <w:t xml:space="preserve"> </w:t>
      </w:r>
      <w:r w:rsidRPr="007D2104">
        <w:rPr>
          <w:rFonts w:ascii="Book Antiqua" w:hAnsi="Book Antiqua"/>
          <w:b/>
          <w:bCs/>
        </w:rPr>
        <w:t>1</w:t>
      </w:r>
      <w:r w:rsidR="007D2104" w:rsidRPr="007D2104">
        <w:rPr>
          <w:rFonts w:ascii="Book Antiqua" w:hAnsi="Book Antiqua"/>
          <w:b/>
          <w:bCs/>
        </w:rPr>
        <w:t xml:space="preserve"> </w:t>
      </w:r>
      <w:r w:rsidRPr="007D2104">
        <w:rPr>
          <w:rFonts w:ascii="Book Antiqua" w:hAnsi="Book Antiqua"/>
          <w:b/>
          <w:bCs/>
        </w:rPr>
        <w:t>Laboratory</w:t>
      </w:r>
      <w:r w:rsidR="007D2104" w:rsidRPr="007D2104">
        <w:rPr>
          <w:rFonts w:ascii="Book Antiqua" w:hAnsi="Book Antiqua"/>
          <w:b/>
          <w:bCs/>
        </w:rPr>
        <w:t xml:space="preserve"> </w:t>
      </w:r>
      <w:r w:rsidRPr="007D2104">
        <w:rPr>
          <w:rFonts w:ascii="Book Antiqua" w:hAnsi="Book Antiqua"/>
          <w:b/>
          <w:bCs/>
        </w:rPr>
        <w:t>data</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984"/>
        <w:gridCol w:w="1418"/>
        <w:gridCol w:w="1701"/>
      </w:tblGrid>
      <w:tr w:rsidR="00051314" w:rsidRPr="007D2104" w14:paraId="7AF582C6" w14:textId="77777777" w:rsidTr="00A00265">
        <w:tc>
          <w:tcPr>
            <w:tcW w:w="3936" w:type="dxa"/>
            <w:tcBorders>
              <w:top w:val="single" w:sz="12" w:space="0" w:color="auto"/>
              <w:bottom w:val="single" w:sz="12" w:space="0" w:color="auto"/>
            </w:tcBorders>
          </w:tcPr>
          <w:p w14:paraId="5EC59BB9" w14:textId="77777777" w:rsidR="00051314" w:rsidRPr="007D2104" w:rsidRDefault="00051314" w:rsidP="007D2104">
            <w:pPr>
              <w:spacing w:line="360" w:lineRule="auto"/>
              <w:jc w:val="both"/>
              <w:rPr>
                <w:rFonts w:ascii="Book Antiqua" w:hAnsi="Book Antiqua"/>
                <w:b/>
                <w:bCs/>
              </w:rPr>
            </w:pPr>
            <w:r w:rsidRPr="007D2104">
              <w:rPr>
                <w:rFonts w:ascii="Book Antiqua" w:hAnsi="Book Antiqua"/>
                <w:b/>
                <w:bCs/>
              </w:rPr>
              <w:t>Parameter</w:t>
            </w:r>
          </w:p>
        </w:tc>
        <w:tc>
          <w:tcPr>
            <w:tcW w:w="1984" w:type="dxa"/>
            <w:tcBorders>
              <w:top w:val="single" w:sz="12" w:space="0" w:color="auto"/>
              <w:bottom w:val="single" w:sz="12" w:space="0" w:color="auto"/>
            </w:tcBorders>
          </w:tcPr>
          <w:p w14:paraId="5DF4045D" w14:textId="678F8ED9" w:rsidR="00051314" w:rsidRPr="007D2104" w:rsidRDefault="00051314" w:rsidP="007D2104">
            <w:pPr>
              <w:spacing w:line="360" w:lineRule="auto"/>
              <w:jc w:val="both"/>
              <w:rPr>
                <w:rFonts w:ascii="Book Antiqua" w:hAnsi="Book Antiqua"/>
                <w:b/>
                <w:bCs/>
              </w:rPr>
            </w:pPr>
            <w:r w:rsidRPr="007D2104">
              <w:rPr>
                <w:rFonts w:ascii="Book Antiqua" w:hAnsi="Book Antiqua"/>
                <w:b/>
                <w:bCs/>
              </w:rPr>
              <w:t>On</w:t>
            </w:r>
            <w:r w:rsidR="007D2104" w:rsidRPr="007D2104">
              <w:rPr>
                <w:rFonts w:ascii="Book Antiqua" w:hAnsi="Book Antiqua"/>
                <w:b/>
                <w:bCs/>
              </w:rPr>
              <w:t xml:space="preserve"> </w:t>
            </w:r>
            <w:r w:rsidRPr="007D2104">
              <w:rPr>
                <w:rFonts w:ascii="Book Antiqua" w:hAnsi="Book Antiqua"/>
                <w:b/>
                <w:bCs/>
              </w:rPr>
              <w:t>admission</w:t>
            </w:r>
          </w:p>
        </w:tc>
        <w:tc>
          <w:tcPr>
            <w:tcW w:w="1418" w:type="dxa"/>
            <w:tcBorders>
              <w:top w:val="single" w:sz="12" w:space="0" w:color="auto"/>
              <w:bottom w:val="single" w:sz="12" w:space="0" w:color="auto"/>
            </w:tcBorders>
          </w:tcPr>
          <w:p w14:paraId="75583CCC" w14:textId="751C50E7" w:rsidR="00051314" w:rsidRPr="007D2104" w:rsidRDefault="00051314" w:rsidP="007D2104">
            <w:pPr>
              <w:spacing w:line="360" w:lineRule="auto"/>
              <w:jc w:val="both"/>
              <w:rPr>
                <w:rFonts w:ascii="Book Antiqua" w:hAnsi="Book Antiqua"/>
                <w:b/>
                <w:bCs/>
              </w:rPr>
            </w:pPr>
            <w:r w:rsidRPr="007D2104">
              <w:rPr>
                <w:rFonts w:ascii="Book Antiqua" w:hAnsi="Book Antiqua"/>
                <w:b/>
                <w:bCs/>
              </w:rPr>
              <w:t>After</w:t>
            </w:r>
            <w:r w:rsidR="007D2104" w:rsidRPr="007D2104">
              <w:rPr>
                <w:rFonts w:ascii="Book Antiqua" w:hAnsi="Book Antiqua"/>
                <w:b/>
                <w:bCs/>
              </w:rPr>
              <w:t xml:space="preserve"> </w:t>
            </w:r>
            <w:r w:rsidRPr="007D2104">
              <w:rPr>
                <w:rFonts w:ascii="Book Antiqua" w:hAnsi="Book Antiqua"/>
                <w:b/>
                <w:bCs/>
              </w:rPr>
              <w:t>LT</w:t>
            </w:r>
          </w:p>
        </w:tc>
        <w:tc>
          <w:tcPr>
            <w:tcW w:w="1701" w:type="dxa"/>
            <w:tcBorders>
              <w:top w:val="single" w:sz="12" w:space="0" w:color="auto"/>
              <w:bottom w:val="single" w:sz="12" w:space="0" w:color="auto"/>
            </w:tcBorders>
          </w:tcPr>
          <w:p w14:paraId="55215638" w14:textId="150EA49A" w:rsidR="00051314" w:rsidRPr="007D2104" w:rsidRDefault="00051314" w:rsidP="007D2104">
            <w:pPr>
              <w:spacing w:line="360" w:lineRule="auto"/>
              <w:jc w:val="both"/>
              <w:rPr>
                <w:rFonts w:ascii="Book Antiqua" w:hAnsi="Book Antiqua"/>
                <w:b/>
                <w:bCs/>
              </w:rPr>
            </w:pPr>
            <w:r w:rsidRPr="007D2104">
              <w:rPr>
                <w:rFonts w:ascii="Book Antiqua" w:hAnsi="Book Antiqua"/>
                <w:b/>
                <w:bCs/>
              </w:rPr>
              <w:t>Reference</w:t>
            </w:r>
            <w:r w:rsidR="007D2104" w:rsidRPr="007D2104">
              <w:rPr>
                <w:rFonts w:ascii="Book Antiqua" w:hAnsi="Book Antiqua"/>
                <w:b/>
                <w:bCs/>
              </w:rPr>
              <w:t xml:space="preserve"> </w:t>
            </w:r>
            <w:r w:rsidR="00A00265" w:rsidRPr="007D2104">
              <w:rPr>
                <w:rFonts w:ascii="Book Antiqua" w:hAnsi="Book Antiqua"/>
                <w:b/>
                <w:bCs/>
              </w:rPr>
              <w:t>range</w:t>
            </w:r>
          </w:p>
        </w:tc>
      </w:tr>
      <w:tr w:rsidR="00051314" w:rsidRPr="007D2104" w14:paraId="3A8410B0" w14:textId="77777777" w:rsidTr="00A00265">
        <w:tc>
          <w:tcPr>
            <w:tcW w:w="3936" w:type="dxa"/>
            <w:tcBorders>
              <w:top w:val="single" w:sz="12" w:space="0" w:color="auto"/>
            </w:tcBorders>
          </w:tcPr>
          <w:p w14:paraId="37A6DD5E" w14:textId="184EF7C6" w:rsidR="00051314" w:rsidRPr="007D2104" w:rsidRDefault="00051314" w:rsidP="007D2104">
            <w:pPr>
              <w:spacing w:line="360" w:lineRule="auto"/>
              <w:jc w:val="both"/>
              <w:rPr>
                <w:rFonts w:ascii="Book Antiqua" w:hAnsi="Book Antiqua"/>
              </w:rPr>
            </w:pPr>
            <w:r w:rsidRPr="007D2104">
              <w:rPr>
                <w:rFonts w:ascii="Book Antiqua" w:hAnsi="Book Antiqua"/>
              </w:rPr>
              <w:t>Blood</w:t>
            </w:r>
            <w:r w:rsidR="007D2104" w:rsidRPr="007D2104">
              <w:rPr>
                <w:rFonts w:ascii="Book Antiqua" w:hAnsi="Book Antiqua"/>
              </w:rPr>
              <w:t xml:space="preserve"> </w:t>
            </w:r>
            <w:r w:rsidRPr="007D2104">
              <w:rPr>
                <w:rFonts w:ascii="Book Antiqua" w:hAnsi="Book Antiqua"/>
              </w:rPr>
              <w:t>ammonia</w:t>
            </w:r>
            <w:r w:rsidR="00A00265" w:rsidRPr="007D2104">
              <w:rPr>
                <w:rFonts w:ascii="Book Antiqua" w:hAnsi="Book Antiqua"/>
              </w:rPr>
              <w:t>,</w:t>
            </w:r>
            <w:r w:rsidR="007D2104" w:rsidRPr="007D2104">
              <w:rPr>
                <w:rFonts w:ascii="Book Antiqua" w:hAnsi="Book Antiqua"/>
              </w:rPr>
              <w:t xml:space="preserve"> </w:t>
            </w:r>
            <w:r w:rsidRPr="007D2104">
              <w:rPr>
                <w:rFonts w:ascii="Book Antiqua" w:eastAsia="SimSun" w:hAnsi="Book Antiqua" w:cs="Times New Roman"/>
              </w:rPr>
              <w:t>µmol/L</w:t>
            </w:r>
          </w:p>
        </w:tc>
        <w:tc>
          <w:tcPr>
            <w:tcW w:w="1984" w:type="dxa"/>
            <w:tcBorders>
              <w:top w:val="single" w:sz="12" w:space="0" w:color="auto"/>
            </w:tcBorders>
          </w:tcPr>
          <w:p w14:paraId="1787274F" w14:textId="70D0241D" w:rsidR="00051314" w:rsidRPr="007D2104" w:rsidRDefault="00051314" w:rsidP="007D2104">
            <w:pPr>
              <w:spacing w:line="360" w:lineRule="auto"/>
              <w:jc w:val="both"/>
              <w:rPr>
                <w:rFonts w:ascii="Book Antiqua" w:hAnsi="Book Antiqua"/>
              </w:rPr>
            </w:pPr>
            <w:r w:rsidRPr="007D2104">
              <w:rPr>
                <w:rFonts w:ascii="Book Antiqua" w:hAnsi="Book Antiqua"/>
              </w:rPr>
              <w:t>461.2</w:t>
            </w:r>
            <w:r w:rsidR="007D2104" w:rsidRPr="007D2104">
              <w:rPr>
                <w:rFonts w:ascii="Book Antiqua" w:hAnsi="Book Antiqua"/>
              </w:rPr>
              <w:t xml:space="preserve"> </w:t>
            </w:r>
            <w:r w:rsidRPr="007D2104">
              <w:rPr>
                <w:rFonts w:ascii="Book Antiqua" w:eastAsia="DengXian" w:hAnsi="Book Antiqua"/>
              </w:rPr>
              <w:t>↑</w:t>
            </w:r>
          </w:p>
        </w:tc>
        <w:tc>
          <w:tcPr>
            <w:tcW w:w="1418" w:type="dxa"/>
            <w:tcBorders>
              <w:top w:val="single" w:sz="12" w:space="0" w:color="auto"/>
            </w:tcBorders>
          </w:tcPr>
          <w:p w14:paraId="36FBB21B" w14:textId="77777777" w:rsidR="00051314" w:rsidRPr="007D2104" w:rsidRDefault="00051314" w:rsidP="007D2104">
            <w:pPr>
              <w:spacing w:line="360" w:lineRule="auto"/>
              <w:jc w:val="both"/>
              <w:rPr>
                <w:rFonts w:ascii="Book Antiqua" w:hAnsi="Book Antiqua"/>
              </w:rPr>
            </w:pPr>
            <w:r w:rsidRPr="007D2104">
              <w:rPr>
                <w:rFonts w:ascii="Book Antiqua" w:hAnsi="Book Antiqua"/>
              </w:rPr>
              <w:t>51.2</w:t>
            </w:r>
          </w:p>
        </w:tc>
        <w:tc>
          <w:tcPr>
            <w:tcW w:w="1701" w:type="dxa"/>
            <w:tcBorders>
              <w:top w:val="single" w:sz="12" w:space="0" w:color="auto"/>
            </w:tcBorders>
          </w:tcPr>
          <w:p w14:paraId="70EC7652" w14:textId="77777777" w:rsidR="00051314" w:rsidRPr="007D2104" w:rsidRDefault="00051314" w:rsidP="007D2104">
            <w:pPr>
              <w:spacing w:line="360" w:lineRule="auto"/>
              <w:jc w:val="both"/>
              <w:rPr>
                <w:rFonts w:ascii="Book Antiqua" w:hAnsi="Book Antiqua"/>
              </w:rPr>
            </w:pPr>
            <w:r w:rsidRPr="007D2104">
              <w:rPr>
                <w:rFonts w:ascii="Book Antiqua" w:hAnsi="Book Antiqua"/>
              </w:rPr>
              <w:t>14-65</w:t>
            </w:r>
          </w:p>
        </w:tc>
      </w:tr>
      <w:tr w:rsidR="00051314" w:rsidRPr="007D2104" w14:paraId="2C090F08" w14:textId="77777777" w:rsidTr="00A00265">
        <w:tc>
          <w:tcPr>
            <w:tcW w:w="3936" w:type="dxa"/>
          </w:tcPr>
          <w:p w14:paraId="7781152A" w14:textId="3E94E331" w:rsidR="00051314" w:rsidRPr="007D2104" w:rsidRDefault="00051314" w:rsidP="007D2104">
            <w:pPr>
              <w:spacing w:line="360" w:lineRule="auto"/>
              <w:jc w:val="both"/>
              <w:rPr>
                <w:rFonts w:ascii="Book Antiqua" w:hAnsi="Book Antiqua"/>
              </w:rPr>
            </w:pPr>
            <w:r w:rsidRPr="007D2104">
              <w:rPr>
                <w:rFonts w:ascii="Book Antiqua" w:hAnsi="Book Antiqua"/>
              </w:rPr>
              <w:t>Blood</w:t>
            </w:r>
            <w:r w:rsidR="007D2104" w:rsidRPr="007D2104">
              <w:rPr>
                <w:rFonts w:ascii="Book Antiqua" w:hAnsi="Book Antiqua"/>
              </w:rPr>
              <w:t xml:space="preserve"> </w:t>
            </w:r>
            <w:r w:rsidRPr="007D2104">
              <w:rPr>
                <w:rFonts w:ascii="Book Antiqua" w:hAnsi="Book Antiqua"/>
              </w:rPr>
              <w:t>lactic</w:t>
            </w:r>
            <w:r w:rsidR="007D2104" w:rsidRPr="007D2104">
              <w:rPr>
                <w:rFonts w:ascii="Book Antiqua" w:hAnsi="Book Antiqua"/>
              </w:rPr>
              <w:t xml:space="preserve"> </w:t>
            </w:r>
            <w:r w:rsidRPr="007D2104">
              <w:rPr>
                <w:rFonts w:ascii="Book Antiqua" w:hAnsi="Book Antiqua"/>
              </w:rPr>
              <w:t>acid</w:t>
            </w:r>
            <w:r w:rsidR="00A00265" w:rsidRPr="007D2104">
              <w:rPr>
                <w:rFonts w:ascii="Book Antiqua" w:hAnsi="Book Antiqua"/>
              </w:rPr>
              <w:t>,</w:t>
            </w:r>
            <w:r w:rsidR="007D2104" w:rsidRPr="007D2104">
              <w:rPr>
                <w:rFonts w:ascii="Book Antiqua" w:hAnsi="Book Antiqua"/>
              </w:rPr>
              <w:t xml:space="preserve"> </w:t>
            </w:r>
            <w:r w:rsidRPr="007D2104">
              <w:rPr>
                <w:rFonts w:ascii="Book Antiqua" w:hAnsi="Book Antiqua"/>
              </w:rPr>
              <w:t>mmol/L</w:t>
            </w:r>
          </w:p>
        </w:tc>
        <w:tc>
          <w:tcPr>
            <w:tcW w:w="1984" w:type="dxa"/>
          </w:tcPr>
          <w:p w14:paraId="2E15D54F" w14:textId="59FF871D" w:rsidR="00051314" w:rsidRPr="007D2104" w:rsidRDefault="00051314" w:rsidP="007D2104">
            <w:pPr>
              <w:spacing w:line="360" w:lineRule="auto"/>
              <w:jc w:val="both"/>
              <w:rPr>
                <w:rFonts w:ascii="Book Antiqua" w:hAnsi="Book Antiqua"/>
              </w:rPr>
            </w:pPr>
            <w:r w:rsidRPr="007D2104">
              <w:rPr>
                <w:rFonts w:ascii="Book Antiqua" w:hAnsi="Book Antiqua"/>
              </w:rPr>
              <w:t>4.47</w:t>
            </w:r>
            <w:r w:rsidR="007D2104" w:rsidRPr="007D2104">
              <w:rPr>
                <w:rFonts w:ascii="Book Antiqua" w:hAnsi="Book Antiqua"/>
              </w:rPr>
              <w:t xml:space="preserve"> </w:t>
            </w:r>
            <w:r w:rsidRPr="007D2104">
              <w:rPr>
                <w:rFonts w:ascii="Book Antiqua" w:eastAsia="DengXian" w:hAnsi="Book Antiqua"/>
              </w:rPr>
              <w:t>↑</w:t>
            </w:r>
          </w:p>
        </w:tc>
        <w:tc>
          <w:tcPr>
            <w:tcW w:w="1418" w:type="dxa"/>
          </w:tcPr>
          <w:p w14:paraId="16A504A7" w14:textId="77777777" w:rsidR="00051314" w:rsidRPr="007D2104" w:rsidRDefault="00051314" w:rsidP="007D2104">
            <w:pPr>
              <w:spacing w:line="360" w:lineRule="auto"/>
              <w:jc w:val="both"/>
              <w:rPr>
                <w:rFonts w:ascii="Book Antiqua" w:hAnsi="Book Antiqua"/>
              </w:rPr>
            </w:pPr>
            <w:r w:rsidRPr="007D2104">
              <w:rPr>
                <w:rFonts w:ascii="Book Antiqua" w:hAnsi="Book Antiqua"/>
              </w:rPr>
              <w:t>0.78</w:t>
            </w:r>
          </w:p>
        </w:tc>
        <w:tc>
          <w:tcPr>
            <w:tcW w:w="1701" w:type="dxa"/>
          </w:tcPr>
          <w:p w14:paraId="53B0430C" w14:textId="77777777" w:rsidR="00051314" w:rsidRPr="007D2104" w:rsidRDefault="00051314" w:rsidP="007D2104">
            <w:pPr>
              <w:spacing w:line="360" w:lineRule="auto"/>
              <w:jc w:val="both"/>
              <w:rPr>
                <w:rFonts w:ascii="Book Antiqua" w:hAnsi="Book Antiqua"/>
              </w:rPr>
            </w:pPr>
            <w:r w:rsidRPr="007D2104">
              <w:rPr>
                <w:rFonts w:ascii="Book Antiqua" w:hAnsi="Book Antiqua"/>
              </w:rPr>
              <w:t>0.5-2.2</w:t>
            </w:r>
          </w:p>
        </w:tc>
      </w:tr>
      <w:tr w:rsidR="00051314" w:rsidRPr="007D2104" w14:paraId="04A54EB8" w14:textId="77777777" w:rsidTr="00A00265">
        <w:tc>
          <w:tcPr>
            <w:tcW w:w="3936" w:type="dxa"/>
          </w:tcPr>
          <w:p w14:paraId="7292806B" w14:textId="09CFBDFF" w:rsidR="00051314" w:rsidRPr="007D2104" w:rsidRDefault="00051314" w:rsidP="007D2104">
            <w:pPr>
              <w:spacing w:line="360" w:lineRule="auto"/>
              <w:jc w:val="both"/>
              <w:rPr>
                <w:rFonts w:ascii="Book Antiqua" w:hAnsi="Book Antiqua"/>
              </w:rPr>
            </w:pPr>
            <w:r w:rsidRPr="007D2104">
              <w:rPr>
                <w:rFonts w:ascii="Book Antiqua" w:hAnsi="Book Antiqua"/>
              </w:rPr>
              <w:t>APTT,</w:t>
            </w:r>
            <w:r w:rsidR="007D2104" w:rsidRPr="007D2104">
              <w:rPr>
                <w:rFonts w:ascii="Book Antiqua" w:hAnsi="Book Antiqua"/>
              </w:rPr>
              <w:t xml:space="preserve"> </w:t>
            </w:r>
            <w:r w:rsidR="00A00265" w:rsidRPr="007D2104">
              <w:rPr>
                <w:rFonts w:ascii="Book Antiqua" w:hAnsi="Book Antiqua"/>
              </w:rPr>
              <w:t>s</w:t>
            </w:r>
          </w:p>
        </w:tc>
        <w:tc>
          <w:tcPr>
            <w:tcW w:w="1984" w:type="dxa"/>
          </w:tcPr>
          <w:p w14:paraId="795572E4" w14:textId="77777777" w:rsidR="00051314" w:rsidRPr="007D2104" w:rsidRDefault="00051314" w:rsidP="007D2104">
            <w:pPr>
              <w:spacing w:line="360" w:lineRule="auto"/>
              <w:jc w:val="both"/>
              <w:rPr>
                <w:rFonts w:ascii="Book Antiqua" w:hAnsi="Book Antiqua"/>
              </w:rPr>
            </w:pPr>
            <w:r w:rsidRPr="007D2104">
              <w:rPr>
                <w:rFonts w:ascii="Book Antiqua" w:hAnsi="Book Antiqua"/>
              </w:rPr>
              <w:t>37.3</w:t>
            </w:r>
          </w:p>
        </w:tc>
        <w:tc>
          <w:tcPr>
            <w:tcW w:w="1418" w:type="dxa"/>
          </w:tcPr>
          <w:p w14:paraId="5E2595EE" w14:textId="77777777" w:rsidR="00051314" w:rsidRPr="007D2104" w:rsidRDefault="00051314" w:rsidP="007D2104">
            <w:pPr>
              <w:spacing w:line="360" w:lineRule="auto"/>
              <w:jc w:val="both"/>
              <w:rPr>
                <w:rFonts w:ascii="Book Antiqua" w:hAnsi="Book Antiqua"/>
              </w:rPr>
            </w:pPr>
            <w:r w:rsidRPr="007D2104">
              <w:rPr>
                <w:rFonts w:ascii="Book Antiqua" w:hAnsi="Book Antiqua"/>
              </w:rPr>
              <w:t>24.1</w:t>
            </w:r>
          </w:p>
        </w:tc>
        <w:tc>
          <w:tcPr>
            <w:tcW w:w="1701" w:type="dxa"/>
          </w:tcPr>
          <w:p w14:paraId="62F5A419" w14:textId="77777777" w:rsidR="00051314" w:rsidRPr="007D2104" w:rsidRDefault="00051314" w:rsidP="007D2104">
            <w:pPr>
              <w:spacing w:line="360" w:lineRule="auto"/>
              <w:jc w:val="both"/>
              <w:rPr>
                <w:rFonts w:ascii="Book Antiqua" w:hAnsi="Book Antiqua"/>
              </w:rPr>
            </w:pPr>
            <w:r w:rsidRPr="007D2104">
              <w:rPr>
                <w:rFonts w:ascii="Book Antiqua" w:hAnsi="Book Antiqua"/>
              </w:rPr>
              <w:t>26.1-40.7</w:t>
            </w:r>
          </w:p>
        </w:tc>
      </w:tr>
      <w:tr w:rsidR="00051314" w:rsidRPr="007D2104" w14:paraId="77D3BA4A" w14:textId="77777777" w:rsidTr="00A00265">
        <w:tc>
          <w:tcPr>
            <w:tcW w:w="3936" w:type="dxa"/>
          </w:tcPr>
          <w:p w14:paraId="54C99114" w14:textId="1FA8DFF4" w:rsidR="00051314" w:rsidRPr="007D2104" w:rsidRDefault="00051314" w:rsidP="007D2104">
            <w:pPr>
              <w:spacing w:line="360" w:lineRule="auto"/>
              <w:jc w:val="both"/>
              <w:rPr>
                <w:rFonts w:ascii="Book Antiqua" w:hAnsi="Book Antiqua"/>
              </w:rPr>
            </w:pPr>
            <w:r w:rsidRPr="007D2104">
              <w:rPr>
                <w:rFonts w:ascii="Book Antiqua" w:hAnsi="Book Antiqua"/>
              </w:rPr>
              <w:t>PT,</w:t>
            </w:r>
            <w:r w:rsidR="007D2104" w:rsidRPr="007D2104">
              <w:rPr>
                <w:rFonts w:ascii="Book Antiqua" w:hAnsi="Book Antiqua"/>
              </w:rPr>
              <w:t xml:space="preserve"> </w:t>
            </w:r>
            <w:r w:rsidR="00A00265" w:rsidRPr="007D2104">
              <w:rPr>
                <w:rFonts w:ascii="Book Antiqua" w:hAnsi="Book Antiqua"/>
              </w:rPr>
              <w:t>s</w:t>
            </w:r>
          </w:p>
        </w:tc>
        <w:tc>
          <w:tcPr>
            <w:tcW w:w="1984" w:type="dxa"/>
          </w:tcPr>
          <w:p w14:paraId="53CF9ADC" w14:textId="36A2230E" w:rsidR="00051314" w:rsidRPr="007D2104" w:rsidRDefault="00051314" w:rsidP="007D2104">
            <w:pPr>
              <w:spacing w:line="360" w:lineRule="auto"/>
              <w:jc w:val="both"/>
              <w:rPr>
                <w:rFonts w:ascii="Book Antiqua" w:hAnsi="Book Antiqua"/>
              </w:rPr>
            </w:pPr>
            <w:r w:rsidRPr="007D2104">
              <w:rPr>
                <w:rFonts w:ascii="Book Antiqua" w:hAnsi="Book Antiqua"/>
              </w:rPr>
              <w:t>23.1</w:t>
            </w:r>
            <w:r w:rsidR="007D2104" w:rsidRPr="007D2104">
              <w:rPr>
                <w:rFonts w:ascii="Book Antiqua" w:hAnsi="Book Antiqua"/>
              </w:rPr>
              <w:t xml:space="preserve"> </w:t>
            </w:r>
            <w:r w:rsidRPr="007D2104">
              <w:rPr>
                <w:rFonts w:ascii="Book Antiqua" w:eastAsia="DengXian" w:hAnsi="Book Antiqua"/>
              </w:rPr>
              <w:t>↑</w:t>
            </w:r>
          </w:p>
        </w:tc>
        <w:tc>
          <w:tcPr>
            <w:tcW w:w="1418" w:type="dxa"/>
          </w:tcPr>
          <w:p w14:paraId="5E74C7A8" w14:textId="77777777" w:rsidR="00051314" w:rsidRPr="007D2104" w:rsidRDefault="00051314" w:rsidP="007D2104">
            <w:pPr>
              <w:spacing w:line="360" w:lineRule="auto"/>
              <w:jc w:val="both"/>
              <w:rPr>
                <w:rFonts w:ascii="Book Antiqua" w:hAnsi="Book Antiqua"/>
              </w:rPr>
            </w:pPr>
            <w:r w:rsidRPr="007D2104">
              <w:rPr>
                <w:rFonts w:ascii="Book Antiqua" w:hAnsi="Book Antiqua"/>
              </w:rPr>
              <w:t>12.6</w:t>
            </w:r>
          </w:p>
        </w:tc>
        <w:tc>
          <w:tcPr>
            <w:tcW w:w="1701" w:type="dxa"/>
          </w:tcPr>
          <w:p w14:paraId="411C5AC9" w14:textId="77777777" w:rsidR="00051314" w:rsidRPr="007D2104" w:rsidRDefault="00051314" w:rsidP="007D2104">
            <w:pPr>
              <w:spacing w:line="360" w:lineRule="auto"/>
              <w:jc w:val="both"/>
              <w:rPr>
                <w:rFonts w:ascii="Book Antiqua" w:hAnsi="Book Antiqua"/>
              </w:rPr>
            </w:pPr>
            <w:r w:rsidRPr="007D2104">
              <w:rPr>
                <w:rFonts w:ascii="Book Antiqua" w:hAnsi="Book Antiqua"/>
              </w:rPr>
              <w:t>9.3-12.9</w:t>
            </w:r>
          </w:p>
        </w:tc>
      </w:tr>
      <w:tr w:rsidR="00051314" w:rsidRPr="007D2104" w14:paraId="7D9C8966" w14:textId="77777777" w:rsidTr="00A00265">
        <w:tc>
          <w:tcPr>
            <w:tcW w:w="3936" w:type="dxa"/>
          </w:tcPr>
          <w:p w14:paraId="109EB0F5" w14:textId="77777777" w:rsidR="00051314" w:rsidRPr="007D2104" w:rsidRDefault="00051314" w:rsidP="007D2104">
            <w:pPr>
              <w:spacing w:line="360" w:lineRule="auto"/>
              <w:jc w:val="both"/>
              <w:rPr>
                <w:rFonts w:ascii="Book Antiqua" w:hAnsi="Book Antiqua"/>
              </w:rPr>
            </w:pPr>
            <w:r w:rsidRPr="007D2104">
              <w:rPr>
                <w:rFonts w:ascii="Book Antiqua" w:hAnsi="Book Antiqua"/>
              </w:rPr>
              <w:t>INR</w:t>
            </w:r>
          </w:p>
        </w:tc>
        <w:tc>
          <w:tcPr>
            <w:tcW w:w="1984" w:type="dxa"/>
          </w:tcPr>
          <w:p w14:paraId="32F75516" w14:textId="5CE2A3F3" w:rsidR="00051314" w:rsidRPr="007D2104" w:rsidRDefault="00051314" w:rsidP="007D2104">
            <w:pPr>
              <w:spacing w:line="360" w:lineRule="auto"/>
              <w:jc w:val="both"/>
              <w:rPr>
                <w:rFonts w:ascii="Book Antiqua" w:hAnsi="Book Antiqua"/>
              </w:rPr>
            </w:pPr>
            <w:r w:rsidRPr="007D2104">
              <w:rPr>
                <w:rFonts w:ascii="Book Antiqua" w:hAnsi="Book Antiqua"/>
              </w:rPr>
              <w:t>2.030</w:t>
            </w:r>
            <w:r w:rsidR="007D2104" w:rsidRPr="007D2104">
              <w:rPr>
                <w:rFonts w:ascii="Book Antiqua" w:hAnsi="Book Antiqua"/>
              </w:rPr>
              <w:t xml:space="preserve"> </w:t>
            </w:r>
            <w:r w:rsidRPr="007D2104">
              <w:rPr>
                <w:rFonts w:ascii="Book Antiqua" w:eastAsia="DengXian" w:hAnsi="Book Antiqua"/>
              </w:rPr>
              <w:t>↑</w:t>
            </w:r>
          </w:p>
        </w:tc>
        <w:tc>
          <w:tcPr>
            <w:tcW w:w="1418" w:type="dxa"/>
          </w:tcPr>
          <w:p w14:paraId="5587FBAA" w14:textId="3E164798" w:rsidR="00051314" w:rsidRPr="007D2104" w:rsidRDefault="00051314" w:rsidP="007D2104">
            <w:pPr>
              <w:spacing w:line="360" w:lineRule="auto"/>
              <w:jc w:val="both"/>
              <w:rPr>
                <w:rFonts w:ascii="Book Antiqua" w:hAnsi="Book Antiqua"/>
              </w:rPr>
            </w:pPr>
            <w:r w:rsidRPr="007D2104">
              <w:rPr>
                <w:rFonts w:ascii="Book Antiqua" w:hAnsi="Book Antiqua"/>
              </w:rPr>
              <w:t>1.10</w:t>
            </w:r>
          </w:p>
        </w:tc>
        <w:tc>
          <w:tcPr>
            <w:tcW w:w="1701" w:type="dxa"/>
          </w:tcPr>
          <w:p w14:paraId="5CCE9E52" w14:textId="77777777" w:rsidR="00051314" w:rsidRPr="007D2104" w:rsidRDefault="00051314" w:rsidP="007D2104">
            <w:pPr>
              <w:spacing w:line="360" w:lineRule="auto"/>
              <w:jc w:val="both"/>
              <w:rPr>
                <w:rFonts w:ascii="Book Antiqua" w:hAnsi="Book Antiqua"/>
              </w:rPr>
            </w:pPr>
            <w:r w:rsidRPr="007D2104">
              <w:rPr>
                <w:rFonts w:ascii="Book Antiqua" w:hAnsi="Book Antiqua"/>
              </w:rPr>
              <w:t>0.72-1.15</w:t>
            </w:r>
          </w:p>
        </w:tc>
      </w:tr>
      <w:tr w:rsidR="00051314" w:rsidRPr="007D2104" w14:paraId="21278C6F" w14:textId="77777777" w:rsidTr="00A00265">
        <w:tc>
          <w:tcPr>
            <w:tcW w:w="3936" w:type="dxa"/>
          </w:tcPr>
          <w:p w14:paraId="7950178C" w14:textId="2CE176D6" w:rsidR="00051314" w:rsidRPr="007D2104" w:rsidRDefault="00051314" w:rsidP="007D2104">
            <w:pPr>
              <w:spacing w:line="360" w:lineRule="auto"/>
              <w:jc w:val="both"/>
              <w:rPr>
                <w:rFonts w:ascii="Book Antiqua" w:hAnsi="Book Antiqua"/>
              </w:rPr>
            </w:pPr>
            <w:r w:rsidRPr="007D2104">
              <w:rPr>
                <w:rFonts w:ascii="Book Antiqua" w:hAnsi="Book Antiqua"/>
              </w:rPr>
              <w:t>Fibrinogen,</w:t>
            </w:r>
            <w:r w:rsidR="007D2104" w:rsidRPr="007D2104">
              <w:rPr>
                <w:rFonts w:ascii="Book Antiqua" w:hAnsi="Book Antiqua"/>
              </w:rPr>
              <w:t xml:space="preserve"> </w:t>
            </w:r>
            <w:r w:rsidRPr="007D2104">
              <w:rPr>
                <w:rFonts w:ascii="Book Antiqua" w:hAnsi="Book Antiqua"/>
              </w:rPr>
              <w:t>g/L</w:t>
            </w:r>
          </w:p>
        </w:tc>
        <w:tc>
          <w:tcPr>
            <w:tcW w:w="1984" w:type="dxa"/>
          </w:tcPr>
          <w:p w14:paraId="10A43BB1" w14:textId="77777777" w:rsidR="00051314" w:rsidRPr="007D2104" w:rsidRDefault="00051314" w:rsidP="007D2104">
            <w:pPr>
              <w:spacing w:line="360" w:lineRule="auto"/>
              <w:jc w:val="both"/>
              <w:rPr>
                <w:rFonts w:ascii="Book Antiqua" w:hAnsi="Book Antiqua"/>
              </w:rPr>
            </w:pPr>
            <w:r w:rsidRPr="007D2104">
              <w:rPr>
                <w:rFonts w:ascii="Book Antiqua" w:hAnsi="Book Antiqua"/>
              </w:rPr>
              <w:t>1.88</w:t>
            </w:r>
          </w:p>
        </w:tc>
        <w:tc>
          <w:tcPr>
            <w:tcW w:w="1418" w:type="dxa"/>
          </w:tcPr>
          <w:p w14:paraId="0792A316" w14:textId="77777777" w:rsidR="00051314" w:rsidRPr="007D2104" w:rsidRDefault="00051314" w:rsidP="007D2104">
            <w:pPr>
              <w:spacing w:line="360" w:lineRule="auto"/>
              <w:jc w:val="both"/>
              <w:rPr>
                <w:rFonts w:ascii="Book Antiqua" w:hAnsi="Book Antiqua"/>
              </w:rPr>
            </w:pPr>
            <w:r w:rsidRPr="007D2104">
              <w:rPr>
                <w:rFonts w:ascii="Book Antiqua" w:hAnsi="Book Antiqua"/>
              </w:rPr>
              <w:t>2.36</w:t>
            </w:r>
          </w:p>
        </w:tc>
        <w:tc>
          <w:tcPr>
            <w:tcW w:w="1701" w:type="dxa"/>
          </w:tcPr>
          <w:p w14:paraId="1F8735CC" w14:textId="77777777" w:rsidR="00051314" w:rsidRPr="007D2104" w:rsidRDefault="00051314" w:rsidP="007D2104">
            <w:pPr>
              <w:spacing w:line="360" w:lineRule="auto"/>
              <w:jc w:val="both"/>
              <w:rPr>
                <w:rFonts w:ascii="Book Antiqua" w:hAnsi="Book Antiqua"/>
              </w:rPr>
            </w:pPr>
            <w:r w:rsidRPr="007D2104">
              <w:rPr>
                <w:rFonts w:ascii="Book Antiqua" w:hAnsi="Book Antiqua"/>
              </w:rPr>
              <w:t>1.57-3.93</w:t>
            </w:r>
          </w:p>
        </w:tc>
      </w:tr>
      <w:tr w:rsidR="00051314" w:rsidRPr="007D2104" w14:paraId="34EBD851" w14:textId="77777777" w:rsidTr="00A00265">
        <w:tc>
          <w:tcPr>
            <w:tcW w:w="3936" w:type="dxa"/>
          </w:tcPr>
          <w:p w14:paraId="05433015" w14:textId="5B9AA2ED" w:rsidR="00051314" w:rsidRPr="007D2104" w:rsidRDefault="00051314" w:rsidP="007D2104">
            <w:pPr>
              <w:spacing w:line="360" w:lineRule="auto"/>
              <w:jc w:val="both"/>
              <w:rPr>
                <w:rFonts w:ascii="Book Antiqua" w:hAnsi="Book Antiqua"/>
              </w:rPr>
            </w:pPr>
            <w:r w:rsidRPr="007D2104">
              <w:rPr>
                <w:rFonts w:ascii="Book Antiqua" w:hAnsi="Book Antiqua"/>
              </w:rPr>
              <w:t>ALT,</w:t>
            </w:r>
            <w:r w:rsidR="007D2104" w:rsidRPr="007D2104">
              <w:rPr>
                <w:rFonts w:ascii="Book Antiqua" w:hAnsi="Book Antiqua"/>
              </w:rPr>
              <w:t xml:space="preserve"> </w:t>
            </w:r>
            <w:r w:rsidRPr="007D2104">
              <w:rPr>
                <w:rFonts w:ascii="Book Antiqua" w:hAnsi="Book Antiqua"/>
              </w:rPr>
              <w:t>U/L</w:t>
            </w:r>
          </w:p>
        </w:tc>
        <w:tc>
          <w:tcPr>
            <w:tcW w:w="1984" w:type="dxa"/>
          </w:tcPr>
          <w:p w14:paraId="7D983A1E" w14:textId="21149B83" w:rsidR="00051314" w:rsidRPr="007D2104" w:rsidRDefault="00051314" w:rsidP="007D2104">
            <w:pPr>
              <w:spacing w:line="360" w:lineRule="auto"/>
              <w:jc w:val="both"/>
              <w:rPr>
                <w:rFonts w:ascii="Book Antiqua" w:hAnsi="Book Antiqua"/>
              </w:rPr>
            </w:pPr>
            <w:r w:rsidRPr="007D2104">
              <w:rPr>
                <w:rFonts w:ascii="Book Antiqua" w:hAnsi="Book Antiqua"/>
              </w:rPr>
              <w:t>73</w:t>
            </w:r>
            <w:r w:rsidR="007D2104" w:rsidRPr="007D2104">
              <w:rPr>
                <w:rFonts w:ascii="Book Antiqua" w:hAnsi="Book Antiqua"/>
              </w:rPr>
              <w:t xml:space="preserve"> </w:t>
            </w:r>
            <w:r w:rsidRPr="007D2104">
              <w:rPr>
                <w:rFonts w:ascii="Book Antiqua" w:eastAsia="DengXian" w:hAnsi="Book Antiqua"/>
              </w:rPr>
              <w:t>↑</w:t>
            </w:r>
          </w:p>
        </w:tc>
        <w:tc>
          <w:tcPr>
            <w:tcW w:w="1418" w:type="dxa"/>
          </w:tcPr>
          <w:p w14:paraId="53FA7C58" w14:textId="19C0928E" w:rsidR="00051314" w:rsidRPr="007D2104" w:rsidRDefault="00051314" w:rsidP="007D2104">
            <w:pPr>
              <w:spacing w:line="360" w:lineRule="auto"/>
              <w:jc w:val="both"/>
              <w:rPr>
                <w:rFonts w:ascii="Book Antiqua" w:hAnsi="Book Antiqua"/>
              </w:rPr>
            </w:pPr>
            <w:r w:rsidRPr="007D2104">
              <w:rPr>
                <w:rFonts w:ascii="Book Antiqua" w:hAnsi="Book Antiqua"/>
              </w:rPr>
              <w:t>44</w:t>
            </w:r>
            <w:r w:rsidR="007D2104" w:rsidRPr="007D2104">
              <w:rPr>
                <w:rFonts w:ascii="Book Antiqua" w:hAnsi="Book Antiqua"/>
              </w:rPr>
              <w:t xml:space="preserve"> </w:t>
            </w:r>
            <w:r w:rsidRPr="007D2104">
              <w:rPr>
                <w:rFonts w:ascii="Book Antiqua" w:eastAsia="DengXian" w:hAnsi="Book Antiqua"/>
              </w:rPr>
              <w:t>↑</w:t>
            </w:r>
          </w:p>
        </w:tc>
        <w:tc>
          <w:tcPr>
            <w:tcW w:w="1701" w:type="dxa"/>
          </w:tcPr>
          <w:p w14:paraId="4B812817" w14:textId="77777777" w:rsidR="00051314" w:rsidRPr="007D2104" w:rsidRDefault="00051314" w:rsidP="007D2104">
            <w:pPr>
              <w:spacing w:line="360" w:lineRule="auto"/>
              <w:jc w:val="both"/>
              <w:rPr>
                <w:rFonts w:ascii="Book Antiqua" w:hAnsi="Book Antiqua"/>
              </w:rPr>
            </w:pPr>
            <w:r w:rsidRPr="007D2104">
              <w:rPr>
                <w:rFonts w:ascii="Book Antiqua" w:hAnsi="Book Antiqua"/>
              </w:rPr>
              <w:t>0-40</w:t>
            </w:r>
          </w:p>
        </w:tc>
      </w:tr>
      <w:tr w:rsidR="00051314" w:rsidRPr="007D2104" w14:paraId="057B5F06" w14:textId="77777777" w:rsidTr="00A00265">
        <w:tc>
          <w:tcPr>
            <w:tcW w:w="3936" w:type="dxa"/>
          </w:tcPr>
          <w:p w14:paraId="56D66CB9" w14:textId="539A8900" w:rsidR="00051314" w:rsidRPr="007D2104" w:rsidRDefault="00051314" w:rsidP="007D2104">
            <w:pPr>
              <w:spacing w:line="360" w:lineRule="auto"/>
              <w:jc w:val="both"/>
              <w:rPr>
                <w:rFonts w:ascii="Book Antiqua" w:hAnsi="Book Antiqua"/>
              </w:rPr>
            </w:pPr>
            <w:r w:rsidRPr="007D2104">
              <w:rPr>
                <w:rFonts w:ascii="Book Antiqua" w:hAnsi="Book Antiqua"/>
              </w:rPr>
              <w:t>AST,</w:t>
            </w:r>
            <w:r w:rsidR="007D2104" w:rsidRPr="007D2104">
              <w:rPr>
                <w:rFonts w:ascii="Book Antiqua" w:hAnsi="Book Antiqua"/>
              </w:rPr>
              <w:t xml:space="preserve"> </w:t>
            </w:r>
            <w:r w:rsidRPr="007D2104">
              <w:rPr>
                <w:rFonts w:ascii="Book Antiqua" w:hAnsi="Book Antiqua"/>
              </w:rPr>
              <w:t>U/L</w:t>
            </w:r>
          </w:p>
        </w:tc>
        <w:tc>
          <w:tcPr>
            <w:tcW w:w="1984" w:type="dxa"/>
          </w:tcPr>
          <w:p w14:paraId="7B15D21D" w14:textId="4BEF941A" w:rsidR="00051314" w:rsidRPr="007D2104" w:rsidRDefault="00051314" w:rsidP="007D2104">
            <w:pPr>
              <w:spacing w:line="360" w:lineRule="auto"/>
              <w:jc w:val="both"/>
              <w:rPr>
                <w:rFonts w:ascii="Book Antiqua" w:hAnsi="Book Antiqua"/>
              </w:rPr>
            </w:pPr>
            <w:r w:rsidRPr="007D2104">
              <w:rPr>
                <w:rFonts w:ascii="Book Antiqua" w:hAnsi="Book Antiqua"/>
              </w:rPr>
              <w:t>50</w:t>
            </w:r>
            <w:r w:rsidR="007D2104" w:rsidRPr="007D2104">
              <w:rPr>
                <w:rFonts w:ascii="Book Antiqua" w:hAnsi="Book Antiqua"/>
              </w:rPr>
              <w:t xml:space="preserve"> </w:t>
            </w:r>
            <w:r w:rsidRPr="007D2104">
              <w:rPr>
                <w:rFonts w:ascii="Book Antiqua" w:eastAsia="DengXian" w:hAnsi="Book Antiqua"/>
              </w:rPr>
              <w:t>↑</w:t>
            </w:r>
          </w:p>
        </w:tc>
        <w:tc>
          <w:tcPr>
            <w:tcW w:w="1418" w:type="dxa"/>
          </w:tcPr>
          <w:p w14:paraId="0F2AABBB" w14:textId="77777777" w:rsidR="00051314" w:rsidRPr="007D2104" w:rsidRDefault="00051314" w:rsidP="007D2104">
            <w:pPr>
              <w:spacing w:line="360" w:lineRule="auto"/>
              <w:jc w:val="both"/>
              <w:rPr>
                <w:rFonts w:ascii="Book Antiqua" w:hAnsi="Book Antiqua"/>
              </w:rPr>
            </w:pPr>
            <w:r w:rsidRPr="007D2104">
              <w:rPr>
                <w:rFonts w:ascii="Book Antiqua" w:hAnsi="Book Antiqua"/>
              </w:rPr>
              <w:t>31</w:t>
            </w:r>
          </w:p>
        </w:tc>
        <w:tc>
          <w:tcPr>
            <w:tcW w:w="1701" w:type="dxa"/>
          </w:tcPr>
          <w:p w14:paraId="730AEEE3" w14:textId="77777777" w:rsidR="00051314" w:rsidRPr="007D2104" w:rsidRDefault="00051314" w:rsidP="007D2104">
            <w:pPr>
              <w:spacing w:line="360" w:lineRule="auto"/>
              <w:jc w:val="both"/>
              <w:rPr>
                <w:rFonts w:ascii="Book Antiqua" w:hAnsi="Book Antiqua"/>
              </w:rPr>
            </w:pPr>
            <w:r w:rsidRPr="007D2104">
              <w:rPr>
                <w:rFonts w:ascii="Book Antiqua" w:hAnsi="Book Antiqua"/>
              </w:rPr>
              <w:t>0-40</w:t>
            </w:r>
          </w:p>
        </w:tc>
      </w:tr>
      <w:tr w:rsidR="00051314" w:rsidRPr="007D2104" w14:paraId="1BD75794" w14:textId="77777777" w:rsidTr="00A00265">
        <w:tc>
          <w:tcPr>
            <w:tcW w:w="3936" w:type="dxa"/>
          </w:tcPr>
          <w:p w14:paraId="68F913A9" w14:textId="57E65931" w:rsidR="00051314" w:rsidRPr="007D2104" w:rsidRDefault="00051314" w:rsidP="007D2104">
            <w:pPr>
              <w:spacing w:line="360" w:lineRule="auto"/>
              <w:jc w:val="both"/>
              <w:rPr>
                <w:rFonts w:ascii="Book Antiqua" w:hAnsi="Book Antiqua"/>
              </w:rPr>
            </w:pPr>
            <w:r w:rsidRPr="007D2104">
              <w:rPr>
                <w:rFonts w:ascii="Book Antiqua" w:hAnsi="Book Antiqua"/>
              </w:rPr>
              <w:t>ALP,</w:t>
            </w:r>
            <w:r w:rsidR="007D2104" w:rsidRPr="007D2104">
              <w:rPr>
                <w:rFonts w:ascii="Book Antiqua" w:hAnsi="Book Antiqua"/>
              </w:rPr>
              <w:t xml:space="preserve"> </w:t>
            </w:r>
            <w:r w:rsidRPr="007D2104">
              <w:rPr>
                <w:rFonts w:ascii="Book Antiqua" w:hAnsi="Book Antiqua"/>
              </w:rPr>
              <w:t>U/L</w:t>
            </w:r>
          </w:p>
        </w:tc>
        <w:tc>
          <w:tcPr>
            <w:tcW w:w="1984" w:type="dxa"/>
          </w:tcPr>
          <w:p w14:paraId="36743A39" w14:textId="6B40D406" w:rsidR="00051314" w:rsidRPr="007D2104" w:rsidRDefault="00051314" w:rsidP="007D2104">
            <w:pPr>
              <w:spacing w:line="360" w:lineRule="auto"/>
              <w:jc w:val="both"/>
              <w:rPr>
                <w:rFonts w:ascii="Book Antiqua" w:hAnsi="Book Antiqua"/>
              </w:rPr>
            </w:pPr>
            <w:r w:rsidRPr="007D2104">
              <w:rPr>
                <w:rFonts w:ascii="Book Antiqua" w:hAnsi="Book Antiqua"/>
              </w:rPr>
              <w:t>564</w:t>
            </w:r>
            <w:r w:rsidR="007D2104" w:rsidRPr="007D2104">
              <w:rPr>
                <w:rFonts w:ascii="Book Antiqua" w:hAnsi="Book Antiqua"/>
              </w:rPr>
              <w:t xml:space="preserve"> </w:t>
            </w:r>
            <w:r w:rsidRPr="007D2104">
              <w:rPr>
                <w:rFonts w:ascii="Book Antiqua" w:eastAsia="DengXian" w:hAnsi="Book Antiqua"/>
              </w:rPr>
              <w:t>↑</w:t>
            </w:r>
          </w:p>
        </w:tc>
        <w:tc>
          <w:tcPr>
            <w:tcW w:w="1418" w:type="dxa"/>
          </w:tcPr>
          <w:p w14:paraId="23EA71E7" w14:textId="77777777" w:rsidR="00051314" w:rsidRPr="007D2104" w:rsidRDefault="00051314" w:rsidP="007D2104">
            <w:pPr>
              <w:spacing w:line="360" w:lineRule="auto"/>
              <w:jc w:val="both"/>
              <w:rPr>
                <w:rFonts w:ascii="Book Antiqua" w:hAnsi="Book Antiqua"/>
              </w:rPr>
            </w:pPr>
            <w:r w:rsidRPr="007D2104">
              <w:rPr>
                <w:rFonts w:ascii="Book Antiqua" w:hAnsi="Book Antiqua"/>
              </w:rPr>
              <w:t>126</w:t>
            </w:r>
          </w:p>
        </w:tc>
        <w:tc>
          <w:tcPr>
            <w:tcW w:w="1701" w:type="dxa"/>
          </w:tcPr>
          <w:p w14:paraId="7420728C" w14:textId="77777777" w:rsidR="00051314" w:rsidRPr="007D2104" w:rsidRDefault="00051314" w:rsidP="007D2104">
            <w:pPr>
              <w:spacing w:line="360" w:lineRule="auto"/>
              <w:jc w:val="both"/>
              <w:rPr>
                <w:rFonts w:ascii="Book Antiqua" w:hAnsi="Book Antiqua"/>
              </w:rPr>
            </w:pPr>
            <w:r w:rsidRPr="007D2104">
              <w:rPr>
                <w:rFonts w:ascii="Book Antiqua" w:hAnsi="Book Antiqua"/>
              </w:rPr>
              <w:t>40-500</w:t>
            </w:r>
          </w:p>
        </w:tc>
      </w:tr>
      <w:tr w:rsidR="00051314" w:rsidRPr="007D2104" w14:paraId="31961107" w14:textId="77777777" w:rsidTr="00A00265">
        <w:tc>
          <w:tcPr>
            <w:tcW w:w="3936" w:type="dxa"/>
          </w:tcPr>
          <w:p w14:paraId="2F477FD7" w14:textId="3B9A1BAA" w:rsidR="00051314" w:rsidRPr="007D2104" w:rsidRDefault="00051314" w:rsidP="007D2104">
            <w:pPr>
              <w:spacing w:line="360" w:lineRule="auto"/>
              <w:jc w:val="both"/>
              <w:rPr>
                <w:rFonts w:ascii="Book Antiqua" w:hAnsi="Book Antiqua"/>
              </w:rPr>
            </w:pPr>
            <w:r w:rsidRPr="007D2104">
              <w:rPr>
                <w:rFonts w:ascii="Book Antiqua" w:hAnsi="Book Antiqua"/>
              </w:rPr>
              <w:t>GGT,</w:t>
            </w:r>
            <w:r w:rsidR="007D2104" w:rsidRPr="007D2104">
              <w:rPr>
                <w:rFonts w:ascii="Book Antiqua" w:hAnsi="Book Antiqua"/>
              </w:rPr>
              <w:t xml:space="preserve"> </w:t>
            </w:r>
            <w:r w:rsidRPr="007D2104">
              <w:rPr>
                <w:rFonts w:ascii="Book Antiqua" w:hAnsi="Book Antiqua"/>
              </w:rPr>
              <w:t>U/L</w:t>
            </w:r>
          </w:p>
        </w:tc>
        <w:tc>
          <w:tcPr>
            <w:tcW w:w="1984" w:type="dxa"/>
          </w:tcPr>
          <w:p w14:paraId="650021FC" w14:textId="77777777" w:rsidR="00051314" w:rsidRPr="007D2104" w:rsidRDefault="00051314" w:rsidP="007D2104">
            <w:pPr>
              <w:spacing w:line="360" w:lineRule="auto"/>
              <w:jc w:val="both"/>
              <w:rPr>
                <w:rFonts w:ascii="Book Antiqua" w:hAnsi="Book Antiqua"/>
              </w:rPr>
            </w:pPr>
            <w:r w:rsidRPr="007D2104">
              <w:rPr>
                <w:rFonts w:ascii="Book Antiqua" w:hAnsi="Book Antiqua"/>
              </w:rPr>
              <w:t>15</w:t>
            </w:r>
          </w:p>
        </w:tc>
        <w:tc>
          <w:tcPr>
            <w:tcW w:w="1418" w:type="dxa"/>
          </w:tcPr>
          <w:p w14:paraId="5124BA4E" w14:textId="5BA9E349" w:rsidR="00051314" w:rsidRPr="007D2104" w:rsidRDefault="00051314" w:rsidP="007D2104">
            <w:pPr>
              <w:spacing w:line="360" w:lineRule="auto"/>
              <w:jc w:val="both"/>
              <w:rPr>
                <w:rFonts w:ascii="Book Antiqua" w:hAnsi="Book Antiqua"/>
              </w:rPr>
            </w:pPr>
            <w:r w:rsidRPr="007D2104">
              <w:rPr>
                <w:rFonts w:ascii="Book Antiqua" w:hAnsi="Book Antiqua"/>
              </w:rPr>
              <w:t>107</w:t>
            </w:r>
            <w:r w:rsidR="007D2104" w:rsidRPr="007D2104">
              <w:rPr>
                <w:rFonts w:ascii="Book Antiqua" w:hAnsi="Book Antiqua"/>
              </w:rPr>
              <w:t xml:space="preserve"> </w:t>
            </w:r>
            <w:r w:rsidRPr="007D2104">
              <w:rPr>
                <w:rFonts w:ascii="Book Antiqua" w:eastAsia="DengXian" w:hAnsi="Book Antiqua"/>
              </w:rPr>
              <w:t>↑</w:t>
            </w:r>
          </w:p>
        </w:tc>
        <w:tc>
          <w:tcPr>
            <w:tcW w:w="1701" w:type="dxa"/>
          </w:tcPr>
          <w:p w14:paraId="090C228C" w14:textId="77777777" w:rsidR="00051314" w:rsidRPr="007D2104" w:rsidRDefault="00051314" w:rsidP="007D2104">
            <w:pPr>
              <w:spacing w:line="360" w:lineRule="auto"/>
              <w:jc w:val="both"/>
              <w:rPr>
                <w:rFonts w:ascii="Book Antiqua" w:hAnsi="Book Antiqua"/>
              </w:rPr>
            </w:pPr>
            <w:r w:rsidRPr="007D2104">
              <w:rPr>
                <w:rFonts w:ascii="Book Antiqua" w:hAnsi="Book Antiqua"/>
              </w:rPr>
              <w:t>0-50</w:t>
            </w:r>
          </w:p>
        </w:tc>
      </w:tr>
      <w:tr w:rsidR="00051314" w:rsidRPr="007D2104" w14:paraId="422B25C5" w14:textId="77777777" w:rsidTr="00A00265">
        <w:tc>
          <w:tcPr>
            <w:tcW w:w="3936" w:type="dxa"/>
          </w:tcPr>
          <w:p w14:paraId="65180DE9" w14:textId="3C229EB1" w:rsidR="00051314" w:rsidRPr="007D2104" w:rsidRDefault="00051314" w:rsidP="007D2104">
            <w:pPr>
              <w:spacing w:line="360" w:lineRule="auto"/>
              <w:jc w:val="both"/>
              <w:rPr>
                <w:rFonts w:ascii="Book Antiqua" w:hAnsi="Book Antiqua"/>
              </w:rPr>
            </w:pPr>
            <w:r w:rsidRPr="007D2104">
              <w:rPr>
                <w:rFonts w:ascii="Book Antiqua" w:hAnsi="Book Antiqua"/>
              </w:rPr>
              <w:t>TBIL,</w:t>
            </w:r>
            <w:r w:rsidR="007D2104" w:rsidRPr="007D2104">
              <w:rPr>
                <w:rFonts w:ascii="Book Antiqua" w:eastAsia="SimSun" w:hAnsi="Book Antiqua" w:cs="Times New Roman"/>
              </w:rPr>
              <w:t xml:space="preserve"> </w:t>
            </w:r>
            <w:bookmarkStart w:id="4" w:name="_Hlk98857942"/>
            <w:bookmarkStart w:id="5" w:name="OLE_LINK5"/>
            <w:r w:rsidRPr="007D2104">
              <w:rPr>
                <w:rFonts w:ascii="Book Antiqua" w:eastAsia="SimSun" w:hAnsi="Book Antiqua" w:cs="Times New Roman"/>
              </w:rPr>
              <w:t>µ</w:t>
            </w:r>
            <w:bookmarkEnd w:id="4"/>
            <w:r w:rsidRPr="007D2104">
              <w:rPr>
                <w:rFonts w:ascii="Book Antiqua" w:eastAsia="SimSun" w:hAnsi="Book Antiqua" w:cs="Times New Roman"/>
              </w:rPr>
              <w:t>mol/L</w:t>
            </w:r>
            <w:bookmarkEnd w:id="5"/>
          </w:p>
        </w:tc>
        <w:tc>
          <w:tcPr>
            <w:tcW w:w="1984" w:type="dxa"/>
          </w:tcPr>
          <w:p w14:paraId="66DA91B6" w14:textId="51AC83CF" w:rsidR="00051314" w:rsidRPr="007D2104" w:rsidRDefault="00051314" w:rsidP="007D2104">
            <w:pPr>
              <w:spacing w:line="360" w:lineRule="auto"/>
              <w:jc w:val="both"/>
              <w:rPr>
                <w:rFonts w:ascii="Book Antiqua" w:hAnsi="Book Antiqua"/>
              </w:rPr>
            </w:pPr>
            <w:r w:rsidRPr="007D2104">
              <w:rPr>
                <w:rFonts w:ascii="Book Antiqua" w:hAnsi="Book Antiqua"/>
              </w:rPr>
              <w:t>30.8</w:t>
            </w:r>
            <w:r w:rsidR="007D2104" w:rsidRPr="007D2104">
              <w:rPr>
                <w:rFonts w:ascii="Book Antiqua" w:hAnsi="Book Antiqua"/>
              </w:rPr>
              <w:t xml:space="preserve"> </w:t>
            </w:r>
            <w:r w:rsidRPr="007D2104">
              <w:rPr>
                <w:rFonts w:ascii="Book Antiqua" w:eastAsia="DengXian" w:hAnsi="Book Antiqua"/>
              </w:rPr>
              <w:t>↑</w:t>
            </w:r>
          </w:p>
        </w:tc>
        <w:tc>
          <w:tcPr>
            <w:tcW w:w="1418" w:type="dxa"/>
          </w:tcPr>
          <w:p w14:paraId="6A14ECCC" w14:textId="77777777" w:rsidR="00051314" w:rsidRPr="007D2104" w:rsidRDefault="00051314" w:rsidP="007D2104">
            <w:pPr>
              <w:spacing w:line="360" w:lineRule="auto"/>
              <w:jc w:val="both"/>
              <w:rPr>
                <w:rFonts w:ascii="Book Antiqua" w:hAnsi="Book Antiqua"/>
              </w:rPr>
            </w:pPr>
            <w:r w:rsidRPr="007D2104">
              <w:rPr>
                <w:rFonts w:ascii="Book Antiqua" w:hAnsi="Book Antiqua"/>
              </w:rPr>
              <w:t>4.0</w:t>
            </w:r>
          </w:p>
        </w:tc>
        <w:tc>
          <w:tcPr>
            <w:tcW w:w="1701" w:type="dxa"/>
          </w:tcPr>
          <w:p w14:paraId="3FCD4DB6" w14:textId="77777777" w:rsidR="00051314" w:rsidRPr="007D2104" w:rsidRDefault="00051314" w:rsidP="007D2104">
            <w:pPr>
              <w:spacing w:line="360" w:lineRule="auto"/>
              <w:jc w:val="both"/>
              <w:rPr>
                <w:rFonts w:ascii="Book Antiqua" w:hAnsi="Book Antiqua"/>
              </w:rPr>
            </w:pPr>
            <w:r w:rsidRPr="007D2104">
              <w:rPr>
                <w:rFonts w:ascii="Book Antiqua" w:hAnsi="Book Antiqua"/>
              </w:rPr>
              <w:t>0.9-17.1</w:t>
            </w:r>
          </w:p>
        </w:tc>
      </w:tr>
      <w:tr w:rsidR="00051314" w:rsidRPr="007D2104" w14:paraId="4D6AACD2" w14:textId="77777777" w:rsidTr="00A00265">
        <w:tc>
          <w:tcPr>
            <w:tcW w:w="3936" w:type="dxa"/>
          </w:tcPr>
          <w:p w14:paraId="0C54CA91" w14:textId="35B2A148" w:rsidR="00051314" w:rsidRPr="007D2104" w:rsidRDefault="00051314" w:rsidP="007D2104">
            <w:pPr>
              <w:spacing w:line="360" w:lineRule="auto"/>
              <w:jc w:val="both"/>
              <w:rPr>
                <w:rFonts w:ascii="Book Antiqua" w:hAnsi="Book Antiqua"/>
              </w:rPr>
            </w:pPr>
            <w:r w:rsidRPr="007D2104">
              <w:rPr>
                <w:rFonts w:ascii="Book Antiqua" w:hAnsi="Book Antiqua"/>
              </w:rPr>
              <w:t>IBIL,</w:t>
            </w:r>
            <w:r w:rsidR="007D2104" w:rsidRPr="007D2104">
              <w:rPr>
                <w:rFonts w:ascii="Book Antiqua" w:eastAsia="SimSun" w:hAnsi="Book Antiqua" w:cs="Times New Roman"/>
              </w:rPr>
              <w:t xml:space="preserve"> </w:t>
            </w:r>
            <w:r w:rsidRPr="007D2104">
              <w:rPr>
                <w:rFonts w:ascii="Book Antiqua" w:eastAsia="SimSun" w:hAnsi="Book Antiqua" w:cs="Times New Roman"/>
              </w:rPr>
              <w:t>µmol/L</w:t>
            </w:r>
          </w:p>
        </w:tc>
        <w:tc>
          <w:tcPr>
            <w:tcW w:w="1984" w:type="dxa"/>
          </w:tcPr>
          <w:p w14:paraId="2BEBC18B" w14:textId="1DA2CD9D" w:rsidR="00051314" w:rsidRPr="007D2104" w:rsidRDefault="00051314" w:rsidP="007D2104">
            <w:pPr>
              <w:spacing w:line="360" w:lineRule="auto"/>
              <w:jc w:val="both"/>
              <w:rPr>
                <w:rFonts w:ascii="Book Antiqua" w:hAnsi="Book Antiqua"/>
              </w:rPr>
            </w:pPr>
            <w:r w:rsidRPr="007D2104">
              <w:rPr>
                <w:rFonts w:ascii="Book Antiqua" w:hAnsi="Book Antiqua"/>
              </w:rPr>
              <w:t>25.6</w:t>
            </w:r>
            <w:r w:rsidR="007D2104" w:rsidRPr="007D2104">
              <w:rPr>
                <w:rFonts w:ascii="Book Antiqua" w:hAnsi="Book Antiqua"/>
              </w:rPr>
              <w:t xml:space="preserve"> </w:t>
            </w:r>
            <w:r w:rsidRPr="007D2104">
              <w:rPr>
                <w:rFonts w:ascii="Book Antiqua" w:eastAsia="DengXian" w:hAnsi="Book Antiqua"/>
              </w:rPr>
              <w:t>↑</w:t>
            </w:r>
          </w:p>
        </w:tc>
        <w:tc>
          <w:tcPr>
            <w:tcW w:w="1418" w:type="dxa"/>
          </w:tcPr>
          <w:p w14:paraId="0E6CB310" w14:textId="77777777" w:rsidR="00051314" w:rsidRPr="007D2104" w:rsidRDefault="00051314" w:rsidP="007D2104">
            <w:pPr>
              <w:spacing w:line="360" w:lineRule="auto"/>
              <w:jc w:val="both"/>
              <w:rPr>
                <w:rFonts w:ascii="Book Antiqua" w:hAnsi="Book Antiqua"/>
              </w:rPr>
            </w:pPr>
            <w:r w:rsidRPr="007D2104">
              <w:rPr>
                <w:rFonts w:ascii="Book Antiqua" w:hAnsi="Book Antiqua"/>
              </w:rPr>
              <w:t>1.8</w:t>
            </w:r>
          </w:p>
        </w:tc>
        <w:tc>
          <w:tcPr>
            <w:tcW w:w="1701" w:type="dxa"/>
          </w:tcPr>
          <w:p w14:paraId="7B1E1DD0" w14:textId="77777777" w:rsidR="00051314" w:rsidRPr="007D2104" w:rsidRDefault="00051314" w:rsidP="007D2104">
            <w:pPr>
              <w:spacing w:line="360" w:lineRule="auto"/>
              <w:jc w:val="both"/>
              <w:rPr>
                <w:rFonts w:ascii="Book Antiqua" w:hAnsi="Book Antiqua"/>
              </w:rPr>
            </w:pPr>
            <w:r w:rsidRPr="007D2104">
              <w:rPr>
                <w:rFonts w:ascii="Book Antiqua" w:hAnsi="Book Antiqua"/>
              </w:rPr>
              <w:t>2-17</w:t>
            </w:r>
          </w:p>
        </w:tc>
      </w:tr>
      <w:tr w:rsidR="00051314" w:rsidRPr="007D2104" w14:paraId="136941B1" w14:textId="77777777" w:rsidTr="00A00265">
        <w:tc>
          <w:tcPr>
            <w:tcW w:w="3936" w:type="dxa"/>
          </w:tcPr>
          <w:p w14:paraId="1074E2A9" w14:textId="43534044" w:rsidR="00051314" w:rsidRPr="007D2104" w:rsidRDefault="00051314" w:rsidP="007D2104">
            <w:pPr>
              <w:spacing w:line="360" w:lineRule="auto"/>
              <w:jc w:val="both"/>
              <w:rPr>
                <w:rFonts w:ascii="Book Antiqua" w:hAnsi="Book Antiqua"/>
              </w:rPr>
            </w:pPr>
            <w:r w:rsidRPr="007D2104">
              <w:rPr>
                <w:rFonts w:ascii="Book Antiqua" w:hAnsi="Book Antiqua"/>
              </w:rPr>
              <w:t>Albumin,</w:t>
            </w:r>
            <w:r w:rsidR="007D2104" w:rsidRPr="007D2104">
              <w:rPr>
                <w:rFonts w:ascii="Book Antiqua" w:hAnsi="Book Antiqua"/>
              </w:rPr>
              <w:t xml:space="preserve"> </w:t>
            </w:r>
            <w:r w:rsidRPr="007D2104">
              <w:rPr>
                <w:rFonts w:ascii="Book Antiqua" w:hAnsi="Book Antiqua"/>
              </w:rPr>
              <w:t>g/L</w:t>
            </w:r>
          </w:p>
        </w:tc>
        <w:tc>
          <w:tcPr>
            <w:tcW w:w="1984" w:type="dxa"/>
          </w:tcPr>
          <w:p w14:paraId="6F283639" w14:textId="77777777" w:rsidR="00051314" w:rsidRPr="007D2104" w:rsidRDefault="00051314" w:rsidP="007D2104">
            <w:pPr>
              <w:spacing w:line="360" w:lineRule="auto"/>
              <w:jc w:val="both"/>
              <w:rPr>
                <w:rFonts w:ascii="Book Antiqua" w:hAnsi="Book Antiqua"/>
              </w:rPr>
            </w:pPr>
            <w:r w:rsidRPr="007D2104">
              <w:rPr>
                <w:rFonts w:ascii="Book Antiqua" w:hAnsi="Book Antiqua"/>
              </w:rPr>
              <w:t>45.5</w:t>
            </w:r>
          </w:p>
        </w:tc>
        <w:tc>
          <w:tcPr>
            <w:tcW w:w="1418" w:type="dxa"/>
          </w:tcPr>
          <w:p w14:paraId="74B517D3" w14:textId="77777777" w:rsidR="00051314" w:rsidRPr="007D2104" w:rsidRDefault="00051314" w:rsidP="007D2104">
            <w:pPr>
              <w:spacing w:line="360" w:lineRule="auto"/>
              <w:jc w:val="both"/>
              <w:rPr>
                <w:rFonts w:ascii="Book Antiqua" w:hAnsi="Book Antiqua"/>
              </w:rPr>
            </w:pPr>
            <w:r w:rsidRPr="007D2104">
              <w:rPr>
                <w:rFonts w:ascii="Book Antiqua" w:hAnsi="Book Antiqua"/>
              </w:rPr>
              <w:t>41.9</w:t>
            </w:r>
          </w:p>
        </w:tc>
        <w:tc>
          <w:tcPr>
            <w:tcW w:w="1701" w:type="dxa"/>
          </w:tcPr>
          <w:p w14:paraId="625FE1E0" w14:textId="77777777" w:rsidR="00051314" w:rsidRPr="007D2104" w:rsidRDefault="00051314" w:rsidP="007D2104">
            <w:pPr>
              <w:spacing w:line="360" w:lineRule="auto"/>
              <w:jc w:val="both"/>
              <w:rPr>
                <w:rFonts w:ascii="Book Antiqua" w:hAnsi="Book Antiqua"/>
              </w:rPr>
            </w:pPr>
            <w:r w:rsidRPr="007D2104">
              <w:rPr>
                <w:rFonts w:ascii="Book Antiqua" w:hAnsi="Book Antiqua"/>
              </w:rPr>
              <w:t>35-55</w:t>
            </w:r>
          </w:p>
        </w:tc>
      </w:tr>
      <w:tr w:rsidR="00051314" w:rsidRPr="007D2104" w14:paraId="03717031" w14:textId="77777777" w:rsidTr="00A00265">
        <w:tc>
          <w:tcPr>
            <w:tcW w:w="3936" w:type="dxa"/>
          </w:tcPr>
          <w:p w14:paraId="4809EBAE" w14:textId="25ABC16D" w:rsidR="00051314" w:rsidRPr="007D2104" w:rsidRDefault="00051314" w:rsidP="007D2104">
            <w:pPr>
              <w:spacing w:line="360" w:lineRule="auto"/>
              <w:jc w:val="both"/>
              <w:rPr>
                <w:rFonts w:ascii="Book Antiqua" w:hAnsi="Book Antiqua"/>
              </w:rPr>
            </w:pPr>
            <w:r w:rsidRPr="007D2104">
              <w:rPr>
                <w:rFonts w:ascii="Book Antiqua" w:hAnsi="Book Antiqua"/>
              </w:rPr>
              <w:t>Serum</w:t>
            </w:r>
            <w:r w:rsidR="007D2104" w:rsidRPr="007D2104">
              <w:rPr>
                <w:rFonts w:ascii="Book Antiqua" w:hAnsi="Book Antiqua"/>
              </w:rPr>
              <w:t xml:space="preserve"> </w:t>
            </w:r>
            <w:r w:rsidRPr="007D2104">
              <w:rPr>
                <w:rFonts w:ascii="Book Antiqua" w:hAnsi="Book Antiqua"/>
              </w:rPr>
              <w:t>creatinine,</w:t>
            </w:r>
            <w:r w:rsidR="007D2104" w:rsidRPr="007D2104">
              <w:rPr>
                <w:rFonts w:ascii="Book Antiqua" w:eastAsia="SimSun" w:hAnsi="Book Antiqua" w:cs="Times New Roman"/>
              </w:rPr>
              <w:t xml:space="preserve"> </w:t>
            </w:r>
            <w:r w:rsidRPr="007D2104">
              <w:rPr>
                <w:rFonts w:ascii="Book Antiqua" w:eastAsia="SimSun" w:hAnsi="Book Antiqua" w:cs="Times New Roman"/>
              </w:rPr>
              <w:t>µmol/L</w:t>
            </w:r>
          </w:p>
        </w:tc>
        <w:tc>
          <w:tcPr>
            <w:tcW w:w="1984" w:type="dxa"/>
          </w:tcPr>
          <w:p w14:paraId="3FA35DE2" w14:textId="77777777" w:rsidR="00051314" w:rsidRPr="007D2104" w:rsidRDefault="00051314" w:rsidP="007D2104">
            <w:pPr>
              <w:spacing w:line="360" w:lineRule="auto"/>
              <w:jc w:val="both"/>
              <w:rPr>
                <w:rFonts w:ascii="Book Antiqua" w:hAnsi="Book Antiqua"/>
              </w:rPr>
            </w:pPr>
            <w:r w:rsidRPr="007D2104">
              <w:rPr>
                <w:rFonts w:ascii="Book Antiqua" w:hAnsi="Book Antiqua"/>
              </w:rPr>
              <w:t>63.5</w:t>
            </w:r>
          </w:p>
        </w:tc>
        <w:tc>
          <w:tcPr>
            <w:tcW w:w="1418" w:type="dxa"/>
          </w:tcPr>
          <w:p w14:paraId="7955819D" w14:textId="77777777" w:rsidR="00051314" w:rsidRPr="007D2104" w:rsidRDefault="00051314" w:rsidP="007D2104">
            <w:pPr>
              <w:spacing w:line="360" w:lineRule="auto"/>
              <w:jc w:val="both"/>
              <w:rPr>
                <w:rFonts w:ascii="Book Antiqua" w:hAnsi="Book Antiqua"/>
              </w:rPr>
            </w:pPr>
            <w:r w:rsidRPr="007D2104">
              <w:rPr>
                <w:rFonts w:ascii="Book Antiqua" w:hAnsi="Book Antiqua"/>
              </w:rPr>
              <w:t>42.3</w:t>
            </w:r>
          </w:p>
        </w:tc>
        <w:tc>
          <w:tcPr>
            <w:tcW w:w="1701" w:type="dxa"/>
          </w:tcPr>
          <w:p w14:paraId="605A4E0F" w14:textId="77777777" w:rsidR="00051314" w:rsidRPr="007D2104" w:rsidRDefault="00051314" w:rsidP="007D2104">
            <w:pPr>
              <w:spacing w:line="360" w:lineRule="auto"/>
              <w:jc w:val="both"/>
              <w:rPr>
                <w:rFonts w:ascii="Book Antiqua" w:hAnsi="Book Antiqua"/>
              </w:rPr>
            </w:pPr>
            <w:r w:rsidRPr="007D2104">
              <w:rPr>
                <w:rFonts w:ascii="Book Antiqua" w:hAnsi="Book Antiqua"/>
              </w:rPr>
              <w:t>64-104</w:t>
            </w:r>
          </w:p>
        </w:tc>
      </w:tr>
      <w:tr w:rsidR="00051314" w:rsidRPr="007D2104" w14:paraId="2E317764" w14:textId="77777777" w:rsidTr="00A00265">
        <w:tc>
          <w:tcPr>
            <w:tcW w:w="3936" w:type="dxa"/>
          </w:tcPr>
          <w:p w14:paraId="31E9BA01" w14:textId="3E2ED422" w:rsidR="00051314" w:rsidRPr="007D2104" w:rsidRDefault="00051314" w:rsidP="007D2104">
            <w:pPr>
              <w:spacing w:line="360" w:lineRule="auto"/>
              <w:jc w:val="both"/>
              <w:rPr>
                <w:rFonts w:ascii="Book Antiqua" w:hAnsi="Book Antiqua"/>
              </w:rPr>
            </w:pPr>
            <w:r w:rsidRPr="007D2104">
              <w:rPr>
                <w:rFonts w:ascii="Book Antiqua" w:hAnsi="Book Antiqua"/>
              </w:rPr>
              <w:t>Serum</w:t>
            </w:r>
            <w:r w:rsidR="007D2104" w:rsidRPr="007D2104">
              <w:rPr>
                <w:rFonts w:ascii="Book Antiqua" w:hAnsi="Book Antiqua"/>
              </w:rPr>
              <w:t xml:space="preserve"> </w:t>
            </w:r>
            <w:r w:rsidRPr="007D2104">
              <w:rPr>
                <w:rFonts w:ascii="Book Antiqua" w:hAnsi="Book Antiqua"/>
              </w:rPr>
              <w:t>uric</w:t>
            </w:r>
            <w:r w:rsidR="007D2104" w:rsidRPr="007D2104">
              <w:rPr>
                <w:rFonts w:ascii="Book Antiqua" w:hAnsi="Book Antiqua"/>
              </w:rPr>
              <w:t xml:space="preserve"> </w:t>
            </w:r>
            <w:r w:rsidRPr="007D2104">
              <w:rPr>
                <w:rFonts w:ascii="Book Antiqua" w:hAnsi="Book Antiqua"/>
              </w:rPr>
              <w:t>acid,</w:t>
            </w:r>
            <w:r w:rsidR="007D2104" w:rsidRPr="007D2104">
              <w:rPr>
                <w:rFonts w:ascii="Book Antiqua" w:eastAsia="SimSun" w:hAnsi="Book Antiqua" w:cs="Times New Roman"/>
              </w:rPr>
              <w:t xml:space="preserve"> </w:t>
            </w:r>
            <w:r w:rsidRPr="007D2104">
              <w:rPr>
                <w:rFonts w:ascii="Book Antiqua" w:eastAsia="SimSun" w:hAnsi="Book Antiqua" w:cs="Times New Roman"/>
              </w:rPr>
              <w:t>µmol/L</w:t>
            </w:r>
          </w:p>
        </w:tc>
        <w:tc>
          <w:tcPr>
            <w:tcW w:w="1984" w:type="dxa"/>
          </w:tcPr>
          <w:p w14:paraId="6E9186A9" w14:textId="2BBF281F" w:rsidR="00051314" w:rsidRPr="007D2104" w:rsidRDefault="00051314" w:rsidP="007D2104">
            <w:pPr>
              <w:spacing w:line="360" w:lineRule="auto"/>
              <w:jc w:val="both"/>
              <w:rPr>
                <w:rFonts w:ascii="Book Antiqua" w:hAnsi="Book Antiqua"/>
              </w:rPr>
            </w:pPr>
            <w:r w:rsidRPr="007D2104">
              <w:rPr>
                <w:rFonts w:ascii="Book Antiqua" w:hAnsi="Book Antiqua"/>
              </w:rPr>
              <w:t>442.90</w:t>
            </w:r>
            <w:r w:rsidR="007D2104" w:rsidRPr="007D2104">
              <w:rPr>
                <w:rFonts w:ascii="Book Antiqua" w:hAnsi="Book Antiqua"/>
              </w:rPr>
              <w:t xml:space="preserve"> </w:t>
            </w:r>
            <w:r w:rsidRPr="007D2104">
              <w:rPr>
                <w:rFonts w:ascii="Book Antiqua" w:eastAsia="DengXian" w:hAnsi="Book Antiqua"/>
              </w:rPr>
              <w:t>↑</w:t>
            </w:r>
          </w:p>
        </w:tc>
        <w:tc>
          <w:tcPr>
            <w:tcW w:w="1418" w:type="dxa"/>
          </w:tcPr>
          <w:p w14:paraId="5FE7FA7A" w14:textId="77777777" w:rsidR="00051314" w:rsidRPr="007D2104" w:rsidRDefault="00051314" w:rsidP="007D2104">
            <w:pPr>
              <w:spacing w:line="360" w:lineRule="auto"/>
              <w:jc w:val="both"/>
              <w:rPr>
                <w:rFonts w:ascii="Book Antiqua" w:hAnsi="Book Antiqua"/>
              </w:rPr>
            </w:pPr>
            <w:r w:rsidRPr="007D2104">
              <w:rPr>
                <w:rFonts w:ascii="Book Antiqua" w:hAnsi="Book Antiqua"/>
              </w:rPr>
              <w:t>365.6</w:t>
            </w:r>
          </w:p>
        </w:tc>
        <w:tc>
          <w:tcPr>
            <w:tcW w:w="1701" w:type="dxa"/>
          </w:tcPr>
          <w:p w14:paraId="6181088A" w14:textId="77777777" w:rsidR="00051314" w:rsidRPr="007D2104" w:rsidRDefault="00051314" w:rsidP="007D2104">
            <w:pPr>
              <w:spacing w:line="360" w:lineRule="auto"/>
              <w:jc w:val="both"/>
              <w:rPr>
                <w:rFonts w:ascii="Book Antiqua" w:hAnsi="Book Antiqua"/>
              </w:rPr>
            </w:pPr>
            <w:r w:rsidRPr="007D2104">
              <w:rPr>
                <w:rFonts w:ascii="Book Antiqua" w:hAnsi="Book Antiqua"/>
              </w:rPr>
              <w:t>90-420</w:t>
            </w:r>
          </w:p>
        </w:tc>
      </w:tr>
      <w:tr w:rsidR="00051314" w:rsidRPr="007D2104" w14:paraId="43255A43" w14:textId="77777777" w:rsidTr="00A00265">
        <w:tc>
          <w:tcPr>
            <w:tcW w:w="3936" w:type="dxa"/>
          </w:tcPr>
          <w:p w14:paraId="3ABE0854" w14:textId="77777777" w:rsidR="00051314" w:rsidRPr="007D2104" w:rsidRDefault="00051314" w:rsidP="007D2104">
            <w:pPr>
              <w:spacing w:line="360" w:lineRule="auto"/>
              <w:jc w:val="both"/>
              <w:rPr>
                <w:rFonts w:ascii="Book Antiqua" w:hAnsi="Book Antiqua"/>
              </w:rPr>
            </w:pPr>
            <w:r w:rsidRPr="007D2104">
              <w:rPr>
                <w:rFonts w:ascii="Book Antiqua" w:hAnsi="Book Antiqua"/>
              </w:rPr>
              <w:t>Ceruloplasmin</w:t>
            </w:r>
          </w:p>
        </w:tc>
        <w:tc>
          <w:tcPr>
            <w:tcW w:w="1984" w:type="dxa"/>
          </w:tcPr>
          <w:p w14:paraId="27523F8E" w14:textId="77777777" w:rsidR="00051314" w:rsidRPr="007D2104" w:rsidRDefault="00051314" w:rsidP="007D2104">
            <w:pPr>
              <w:spacing w:line="360" w:lineRule="auto"/>
              <w:jc w:val="both"/>
              <w:rPr>
                <w:rFonts w:ascii="Book Antiqua" w:hAnsi="Book Antiqua"/>
              </w:rPr>
            </w:pPr>
            <w:r w:rsidRPr="007D2104">
              <w:rPr>
                <w:rFonts w:ascii="Book Antiqua" w:hAnsi="Book Antiqua"/>
              </w:rPr>
              <w:t>24.4</w:t>
            </w:r>
          </w:p>
        </w:tc>
        <w:tc>
          <w:tcPr>
            <w:tcW w:w="1418" w:type="dxa"/>
          </w:tcPr>
          <w:p w14:paraId="195CF78A" w14:textId="77777777" w:rsidR="00051314" w:rsidRPr="007D2104" w:rsidRDefault="00051314" w:rsidP="007D2104">
            <w:pPr>
              <w:spacing w:line="360" w:lineRule="auto"/>
              <w:jc w:val="both"/>
              <w:rPr>
                <w:rFonts w:ascii="Book Antiqua" w:hAnsi="Book Antiqua"/>
              </w:rPr>
            </w:pPr>
            <w:r w:rsidRPr="007D2104">
              <w:rPr>
                <w:rFonts w:ascii="Book Antiqua" w:hAnsi="Book Antiqua"/>
              </w:rPr>
              <w:t>absent</w:t>
            </w:r>
          </w:p>
        </w:tc>
        <w:tc>
          <w:tcPr>
            <w:tcW w:w="1701" w:type="dxa"/>
          </w:tcPr>
          <w:p w14:paraId="1E913184" w14:textId="77777777" w:rsidR="00051314" w:rsidRPr="007D2104" w:rsidRDefault="00051314" w:rsidP="007D2104">
            <w:pPr>
              <w:spacing w:line="360" w:lineRule="auto"/>
              <w:jc w:val="both"/>
              <w:rPr>
                <w:rFonts w:ascii="Book Antiqua" w:hAnsi="Book Antiqua"/>
              </w:rPr>
            </w:pPr>
            <w:r w:rsidRPr="007D2104">
              <w:rPr>
                <w:rFonts w:ascii="Book Antiqua" w:hAnsi="Book Antiqua"/>
              </w:rPr>
              <w:t>22-322</w:t>
            </w:r>
          </w:p>
        </w:tc>
      </w:tr>
      <w:tr w:rsidR="00051314" w:rsidRPr="007D2104" w14:paraId="5FE6FE92" w14:textId="77777777" w:rsidTr="00A00265">
        <w:tc>
          <w:tcPr>
            <w:tcW w:w="3936" w:type="dxa"/>
          </w:tcPr>
          <w:p w14:paraId="0B0496DB" w14:textId="01F68DD7" w:rsidR="00051314" w:rsidRPr="007D2104" w:rsidRDefault="00051314" w:rsidP="007D2104">
            <w:pPr>
              <w:spacing w:line="360" w:lineRule="auto"/>
              <w:jc w:val="both"/>
              <w:rPr>
                <w:rFonts w:ascii="Book Antiqua" w:hAnsi="Book Antiqua"/>
              </w:rPr>
            </w:pPr>
            <w:r w:rsidRPr="007D2104">
              <w:rPr>
                <w:rFonts w:ascii="Book Antiqua" w:hAnsi="Book Antiqua"/>
              </w:rPr>
              <w:t>Blood</w:t>
            </w:r>
            <w:r w:rsidR="007D2104" w:rsidRPr="007D2104">
              <w:rPr>
                <w:rFonts w:ascii="Book Antiqua" w:hAnsi="Book Antiqua"/>
              </w:rPr>
              <w:t xml:space="preserve"> </w:t>
            </w:r>
            <w:r w:rsidRPr="007D2104">
              <w:rPr>
                <w:rFonts w:ascii="Book Antiqua" w:hAnsi="Book Antiqua"/>
              </w:rPr>
              <w:t>amino</w:t>
            </w:r>
            <w:r w:rsidR="007D2104" w:rsidRPr="007D2104">
              <w:rPr>
                <w:rFonts w:ascii="Book Antiqua" w:hAnsi="Book Antiqua"/>
              </w:rPr>
              <w:t xml:space="preserve"> </w:t>
            </w:r>
            <w:r w:rsidRPr="007D2104">
              <w:rPr>
                <w:rFonts w:ascii="Book Antiqua" w:hAnsi="Book Antiqua"/>
              </w:rPr>
              <w:t>acids</w:t>
            </w:r>
          </w:p>
        </w:tc>
        <w:tc>
          <w:tcPr>
            <w:tcW w:w="1984" w:type="dxa"/>
          </w:tcPr>
          <w:p w14:paraId="4A1C1338" w14:textId="77777777" w:rsidR="00051314" w:rsidRPr="007D2104" w:rsidRDefault="00051314" w:rsidP="007D2104">
            <w:pPr>
              <w:spacing w:line="360" w:lineRule="auto"/>
              <w:jc w:val="both"/>
              <w:rPr>
                <w:rFonts w:ascii="Book Antiqua" w:hAnsi="Book Antiqua"/>
              </w:rPr>
            </w:pPr>
          </w:p>
        </w:tc>
        <w:tc>
          <w:tcPr>
            <w:tcW w:w="1418" w:type="dxa"/>
          </w:tcPr>
          <w:p w14:paraId="321A2602" w14:textId="77777777" w:rsidR="00051314" w:rsidRPr="007D2104" w:rsidRDefault="00051314" w:rsidP="007D2104">
            <w:pPr>
              <w:spacing w:line="360" w:lineRule="auto"/>
              <w:jc w:val="both"/>
              <w:rPr>
                <w:rFonts w:ascii="Book Antiqua" w:hAnsi="Book Antiqua"/>
              </w:rPr>
            </w:pPr>
          </w:p>
        </w:tc>
        <w:tc>
          <w:tcPr>
            <w:tcW w:w="1701" w:type="dxa"/>
          </w:tcPr>
          <w:p w14:paraId="3030EC53" w14:textId="77777777" w:rsidR="00051314" w:rsidRPr="007D2104" w:rsidRDefault="00051314" w:rsidP="007D2104">
            <w:pPr>
              <w:spacing w:line="360" w:lineRule="auto"/>
              <w:jc w:val="both"/>
              <w:rPr>
                <w:rFonts w:ascii="Book Antiqua" w:hAnsi="Book Antiqua"/>
              </w:rPr>
            </w:pPr>
          </w:p>
        </w:tc>
      </w:tr>
      <w:tr w:rsidR="00051314" w:rsidRPr="007D2104" w14:paraId="5FBE0949" w14:textId="77777777" w:rsidTr="00A00265">
        <w:tc>
          <w:tcPr>
            <w:tcW w:w="3936" w:type="dxa"/>
          </w:tcPr>
          <w:p w14:paraId="3BC11FC0" w14:textId="68AB1DCF" w:rsidR="00051314" w:rsidRPr="007D2104" w:rsidRDefault="00051314" w:rsidP="007D2104">
            <w:pPr>
              <w:spacing w:line="360" w:lineRule="auto"/>
              <w:jc w:val="both"/>
              <w:rPr>
                <w:rFonts w:ascii="Book Antiqua" w:hAnsi="Book Antiqua"/>
              </w:rPr>
            </w:pPr>
            <w:r w:rsidRPr="007D2104">
              <w:rPr>
                <w:rFonts w:ascii="Book Antiqua" w:hAnsi="Book Antiqua"/>
              </w:rPr>
              <w:t>Glutamine,</w:t>
            </w:r>
            <w:r w:rsidR="007D2104" w:rsidRPr="007D2104">
              <w:rPr>
                <w:rFonts w:ascii="Book Antiqua" w:eastAsia="SimSun" w:hAnsi="Book Antiqua" w:cs="Times New Roman"/>
              </w:rPr>
              <w:t xml:space="preserve"> </w:t>
            </w:r>
            <w:r w:rsidRPr="007D2104">
              <w:rPr>
                <w:rFonts w:ascii="Book Antiqua" w:eastAsia="SimSun" w:hAnsi="Book Antiqua" w:cs="Times New Roman"/>
              </w:rPr>
              <w:t>µmol/L</w:t>
            </w:r>
          </w:p>
        </w:tc>
        <w:tc>
          <w:tcPr>
            <w:tcW w:w="1984" w:type="dxa"/>
          </w:tcPr>
          <w:p w14:paraId="7AEBD420" w14:textId="28221C86" w:rsidR="00051314" w:rsidRPr="007D2104" w:rsidRDefault="00051314" w:rsidP="007D2104">
            <w:pPr>
              <w:spacing w:line="360" w:lineRule="auto"/>
              <w:jc w:val="both"/>
              <w:rPr>
                <w:rFonts w:ascii="Book Antiqua" w:hAnsi="Book Antiqua"/>
              </w:rPr>
            </w:pPr>
            <w:r w:rsidRPr="007D2104">
              <w:rPr>
                <w:rFonts w:ascii="Book Antiqua" w:hAnsi="Book Antiqua"/>
              </w:rPr>
              <w:t>66.28</w:t>
            </w:r>
            <w:r w:rsidR="007D2104" w:rsidRPr="007D2104">
              <w:rPr>
                <w:rFonts w:ascii="Book Antiqua" w:hAnsi="Book Antiqua"/>
              </w:rPr>
              <w:t xml:space="preserve"> </w:t>
            </w:r>
            <w:r w:rsidRPr="007D2104">
              <w:rPr>
                <w:rFonts w:ascii="Book Antiqua" w:eastAsia="DengXian" w:hAnsi="Book Antiqua"/>
              </w:rPr>
              <w:t>↑</w:t>
            </w:r>
          </w:p>
        </w:tc>
        <w:tc>
          <w:tcPr>
            <w:tcW w:w="1418" w:type="dxa"/>
          </w:tcPr>
          <w:p w14:paraId="4435C57D" w14:textId="77777777" w:rsidR="00051314" w:rsidRPr="007D2104" w:rsidRDefault="00051314" w:rsidP="007D2104">
            <w:pPr>
              <w:spacing w:line="360" w:lineRule="auto"/>
              <w:jc w:val="both"/>
              <w:rPr>
                <w:rFonts w:ascii="Book Antiqua" w:hAnsi="Book Antiqua"/>
              </w:rPr>
            </w:pPr>
            <w:r w:rsidRPr="007D2104">
              <w:rPr>
                <w:rFonts w:ascii="Book Antiqua" w:hAnsi="Book Antiqua"/>
              </w:rPr>
              <w:t>15.83</w:t>
            </w:r>
          </w:p>
        </w:tc>
        <w:tc>
          <w:tcPr>
            <w:tcW w:w="1701" w:type="dxa"/>
          </w:tcPr>
          <w:p w14:paraId="5DE61B9C" w14:textId="77777777" w:rsidR="00051314" w:rsidRPr="007D2104" w:rsidRDefault="00051314" w:rsidP="007D2104">
            <w:pPr>
              <w:spacing w:line="360" w:lineRule="auto"/>
              <w:jc w:val="both"/>
              <w:rPr>
                <w:rFonts w:ascii="Book Antiqua" w:hAnsi="Book Antiqua"/>
              </w:rPr>
            </w:pPr>
            <w:r w:rsidRPr="007D2104">
              <w:rPr>
                <w:rFonts w:ascii="Book Antiqua" w:hAnsi="Book Antiqua"/>
              </w:rPr>
              <w:t>1.0-55.0</w:t>
            </w:r>
          </w:p>
        </w:tc>
      </w:tr>
      <w:tr w:rsidR="00051314" w:rsidRPr="007D2104" w14:paraId="701E2E8F" w14:textId="77777777" w:rsidTr="00A00265">
        <w:tc>
          <w:tcPr>
            <w:tcW w:w="3936" w:type="dxa"/>
          </w:tcPr>
          <w:p w14:paraId="187718A7" w14:textId="6BFF5318" w:rsidR="00051314" w:rsidRPr="007D2104" w:rsidRDefault="00051314" w:rsidP="007D2104">
            <w:pPr>
              <w:spacing w:line="360" w:lineRule="auto"/>
              <w:jc w:val="both"/>
              <w:rPr>
                <w:rFonts w:ascii="Book Antiqua" w:hAnsi="Book Antiqua"/>
              </w:rPr>
            </w:pPr>
            <w:r w:rsidRPr="007D2104">
              <w:rPr>
                <w:rFonts w:ascii="Book Antiqua" w:hAnsi="Book Antiqua"/>
              </w:rPr>
              <w:t>Citrulline,</w:t>
            </w:r>
            <w:r w:rsidR="007D2104" w:rsidRPr="007D2104">
              <w:rPr>
                <w:rFonts w:ascii="Book Antiqua" w:eastAsia="SimSun" w:hAnsi="Book Antiqua" w:cs="Times New Roman"/>
              </w:rPr>
              <w:t xml:space="preserve"> </w:t>
            </w:r>
            <w:r w:rsidRPr="007D2104">
              <w:rPr>
                <w:rFonts w:ascii="Book Antiqua" w:eastAsia="SimSun" w:hAnsi="Book Antiqua" w:cs="Times New Roman"/>
              </w:rPr>
              <w:t>µmol/L</w:t>
            </w:r>
          </w:p>
        </w:tc>
        <w:tc>
          <w:tcPr>
            <w:tcW w:w="1984" w:type="dxa"/>
          </w:tcPr>
          <w:p w14:paraId="2BF97E0F" w14:textId="77777777" w:rsidR="00051314" w:rsidRPr="007D2104" w:rsidRDefault="00051314" w:rsidP="007D2104">
            <w:pPr>
              <w:spacing w:line="360" w:lineRule="auto"/>
              <w:jc w:val="both"/>
              <w:rPr>
                <w:rFonts w:ascii="Book Antiqua" w:hAnsi="Book Antiqua"/>
              </w:rPr>
            </w:pPr>
            <w:r w:rsidRPr="007D2104">
              <w:rPr>
                <w:rFonts w:ascii="Book Antiqua" w:hAnsi="Book Antiqua"/>
              </w:rPr>
              <w:t>14.7</w:t>
            </w:r>
          </w:p>
        </w:tc>
        <w:tc>
          <w:tcPr>
            <w:tcW w:w="1418" w:type="dxa"/>
          </w:tcPr>
          <w:p w14:paraId="1D65D28E" w14:textId="77777777" w:rsidR="00051314" w:rsidRPr="007D2104" w:rsidRDefault="00051314" w:rsidP="007D2104">
            <w:pPr>
              <w:spacing w:line="360" w:lineRule="auto"/>
              <w:jc w:val="both"/>
              <w:rPr>
                <w:rFonts w:ascii="Book Antiqua" w:hAnsi="Book Antiqua"/>
              </w:rPr>
            </w:pPr>
            <w:r w:rsidRPr="007D2104">
              <w:rPr>
                <w:rFonts w:ascii="Book Antiqua" w:hAnsi="Book Antiqua"/>
              </w:rPr>
              <w:t>14.19</w:t>
            </w:r>
          </w:p>
        </w:tc>
        <w:tc>
          <w:tcPr>
            <w:tcW w:w="1701" w:type="dxa"/>
          </w:tcPr>
          <w:p w14:paraId="664B418A" w14:textId="77777777" w:rsidR="00051314" w:rsidRPr="007D2104" w:rsidRDefault="00051314" w:rsidP="007D2104">
            <w:pPr>
              <w:spacing w:line="360" w:lineRule="auto"/>
              <w:jc w:val="both"/>
              <w:rPr>
                <w:rFonts w:ascii="Book Antiqua" w:hAnsi="Book Antiqua"/>
              </w:rPr>
            </w:pPr>
            <w:r w:rsidRPr="007D2104">
              <w:rPr>
                <w:rFonts w:ascii="Book Antiqua" w:hAnsi="Book Antiqua"/>
              </w:rPr>
              <w:t>5.50-45.00</w:t>
            </w:r>
          </w:p>
        </w:tc>
      </w:tr>
      <w:tr w:rsidR="00051314" w:rsidRPr="007D2104" w14:paraId="60631FF4" w14:textId="77777777" w:rsidTr="00A00265">
        <w:tc>
          <w:tcPr>
            <w:tcW w:w="3936" w:type="dxa"/>
          </w:tcPr>
          <w:p w14:paraId="50ED2593" w14:textId="1C95745E" w:rsidR="00051314" w:rsidRPr="007D2104" w:rsidRDefault="00051314" w:rsidP="007D2104">
            <w:pPr>
              <w:spacing w:line="360" w:lineRule="auto"/>
              <w:jc w:val="both"/>
              <w:rPr>
                <w:rFonts w:ascii="Book Antiqua" w:hAnsi="Book Antiqua"/>
              </w:rPr>
            </w:pPr>
            <w:r w:rsidRPr="007D2104">
              <w:rPr>
                <w:rFonts w:ascii="Book Antiqua" w:hAnsi="Book Antiqua"/>
              </w:rPr>
              <w:t>Arginine,</w:t>
            </w:r>
            <w:r w:rsidR="007D2104" w:rsidRPr="007D2104">
              <w:rPr>
                <w:rFonts w:ascii="Book Antiqua" w:eastAsia="SimSun" w:hAnsi="Book Antiqua" w:cs="Times New Roman"/>
              </w:rPr>
              <w:t xml:space="preserve"> </w:t>
            </w:r>
            <w:r w:rsidRPr="007D2104">
              <w:rPr>
                <w:rFonts w:ascii="Book Antiqua" w:eastAsia="SimSun" w:hAnsi="Book Antiqua" w:cs="Times New Roman"/>
              </w:rPr>
              <w:t>µmol/L</w:t>
            </w:r>
          </w:p>
        </w:tc>
        <w:tc>
          <w:tcPr>
            <w:tcW w:w="1984" w:type="dxa"/>
          </w:tcPr>
          <w:p w14:paraId="34C75B89" w14:textId="77777777" w:rsidR="00051314" w:rsidRPr="007D2104" w:rsidRDefault="00051314" w:rsidP="007D2104">
            <w:pPr>
              <w:spacing w:line="360" w:lineRule="auto"/>
              <w:jc w:val="both"/>
              <w:rPr>
                <w:rFonts w:ascii="Book Antiqua" w:hAnsi="Book Antiqua"/>
              </w:rPr>
            </w:pPr>
            <w:r w:rsidRPr="007D2104">
              <w:rPr>
                <w:rFonts w:ascii="Book Antiqua" w:hAnsi="Book Antiqua"/>
              </w:rPr>
              <w:t>13.57</w:t>
            </w:r>
          </w:p>
        </w:tc>
        <w:tc>
          <w:tcPr>
            <w:tcW w:w="1418" w:type="dxa"/>
          </w:tcPr>
          <w:p w14:paraId="5F0F5628" w14:textId="77777777" w:rsidR="00051314" w:rsidRPr="007D2104" w:rsidRDefault="00051314" w:rsidP="007D2104">
            <w:pPr>
              <w:spacing w:line="360" w:lineRule="auto"/>
              <w:jc w:val="both"/>
              <w:rPr>
                <w:rFonts w:ascii="Book Antiqua" w:hAnsi="Book Antiqua"/>
              </w:rPr>
            </w:pPr>
            <w:r w:rsidRPr="007D2104">
              <w:rPr>
                <w:rFonts w:ascii="Book Antiqua" w:hAnsi="Book Antiqua"/>
              </w:rPr>
              <w:t>5.38</w:t>
            </w:r>
          </w:p>
        </w:tc>
        <w:tc>
          <w:tcPr>
            <w:tcW w:w="1701" w:type="dxa"/>
          </w:tcPr>
          <w:p w14:paraId="6A692FFE" w14:textId="77777777" w:rsidR="00051314" w:rsidRPr="007D2104" w:rsidRDefault="00051314" w:rsidP="007D2104">
            <w:pPr>
              <w:spacing w:line="360" w:lineRule="auto"/>
              <w:jc w:val="both"/>
              <w:rPr>
                <w:rFonts w:ascii="Book Antiqua" w:hAnsi="Book Antiqua"/>
              </w:rPr>
            </w:pPr>
            <w:r w:rsidRPr="007D2104">
              <w:rPr>
                <w:rFonts w:ascii="Book Antiqua" w:hAnsi="Book Antiqua"/>
              </w:rPr>
              <w:t>1.00-70.00</w:t>
            </w:r>
          </w:p>
        </w:tc>
      </w:tr>
      <w:tr w:rsidR="00051314" w:rsidRPr="007D2104" w14:paraId="33571C59" w14:textId="77777777" w:rsidTr="00A00265">
        <w:tc>
          <w:tcPr>
            <w:tcW w:w="3936" w:type="dxa"/>
          </w:tcPr>
          <w:p w14:paraId="55CDB712" w14:textId="04C65060" w:rsidR="00051314" w:rsidRPr="007D2104" w:rsidRDefault="00051314" w:rsidP="007D2104">
            <w:pPr>
              <w:spacing w:line="360" w:lineRule="auto"/>
              <w:jc w:val="both"/>
              <w:rPr>
                <w:rFonts w:ascii="Book Antiqua" w:hAnsi="Book Antiqua"/>
              </w:rPr>
            </w:pPr>
            <w:r w:rsidRPr="007D2104">
              <w:rPr>
                <w:rFonts w:ascii="Book Antiqua" w:hAnsi="Book Antiqua"/>
              </w:rPr>
              <w:t>Urine</w:t>
            </w:r>
            <w:r w:rsidR="007D2104" w:rsidRPr="007D2104">
              <w:rPr>
                <w:rFonts w:ascii="Book Antiqua" w:hAnsi="Book Antiqua"/>
              </w:rPr>
              <w:t xml:space="preserve"> </w:t>
            </w:r>
            <w:r w:rsidRPr="007D2104">
              <w:rPr>
                <w:rFonts w:ascii="Book Antiqua" w:hAnsi="Book Antiqua"/>
              </w:rPr>
              <w:t>organic</w:t>
            </w:r>
            <w:r w:rsidR="007D2104" w:rsidRPr="007D2104">
              <w:rPr>
                <w:rFonts w:ascii="Book Antiqua" w:hAnsi="Book Antiqua"/>
              </w:rPr>
              <w:t xml:space="preserve"> </w:t>
            </w:r>
            <w:r w:rsidRPr="007D2104">
              <w:rPr>
                <w:rFonts w:ascii="Book Antiqua" w:hAnsi="Book Antiqua"/>
              </w:rPr>
              <w:t>acid</w:t>
            </w:r>
          </w:p>
        </w:tc>
        <w:tc>
          <w:tcPr>
            <w:tcW w:w="1984" w:type="dxa"/>
          </w:tcPr>
          <w:p w14:paraId="4FF508CD" w14:textId="77777777" w:rsidR="00051314" w:rsidRPr="007D2104" w:rsidRDefault="00051314" w:rsidP="007D2104">
            <w:pPr>
              <w:spacing w:line="360" w:lineRule="auto"/>
              <w:jc w:val="both"/>
              <w:rPr>
                <w:rFonts w:ascii="Book Antiqua" w:hAnsi="Book Antiqua"/>
              </w:rPr>
            </w:pPr>
          </w:p>
        </w:tc>
        <w:tc>
          <w:tcPr>
            <w:tcW w:w="1418" w:type="dxa"/>
          </w:tcPr>
          <w:p w14:paraId="065F8375" w14:textId="77777777" w:rsidR="00051314" w:rsidRPr="007D2104" w:rsidRDefault="00051314" w:rsidP="007D2104">
            <w:pPr>
              <w:spacing w:line="360" w:lineRule="auto"/>
              <w:jc w:val="both"/>
              <w:rPr>
                <w:rFonts w:ascii="Book Antiqua" w:hAnsi="Book Antiqua"/>
              </w:rPr>
            </w:pPr>
          </w:p>
        </w:tc>
        <w:tc>
          <w:tcPr>
            <w:tcW w:w="1701" w:type="dxa"/>
          </w:tcPr>
          <w:p w14:paraId="1942D0F6" w14:textId="77777777" w:rsidR="00051314" w:rsidRPr="007D2104" w:rsidRDefault="00051314" w:rsidP="007D2104">
            <w:pPr>
              <w:spacing w:line="360" w:lineRule="auto"/>
              <w:jc w:val="both"/>
              <w:rPr>
                <w:rFonts w:ascii="Book Antiqua" w:hAnsi="Book Antiqua"/>
              </w:rPr>
            </w:pPr>
          </w:p>
        </w:tc>
      </w:tr>
      <w:tr w:rsidR="00051314" w:rsidRPr="007D2104" w14:paraId="13FC4E97" w14:textId="77777777" w:rsidTr="00A00265">
        <w:tc>
          <w:tcPr>
            <w:tcW w:w="3936" w:type="dxa"/>
          </w:tcPr>
          <w:p w14:paraId="2FE757E7" w14:textId="51228611" w:rsidR="00051314" w:rsidRPr="007D2104" w:rsidRDefault="00051314" w:rsidP="007D2104">
            <w:pPr>
              <w:spacing w:line="360" w:lineRule="auto"/>
              <w:jc w:val="both"/>
              <w:rPr>
                <w:rFonts w:ascii="Book Antiqua" w:hAnsi="Book Antiqua"/>
              </w:rPr>
            </w:pPr>
            <w:r w:rsidRPr="007D2104">
              <w:rPr>
                <w:rFonts w:ascii="Book Antiqua" w:hAnsi="Book Antiqua"/>
              </w:rPr>
              <w:t>Uracil,</w:t>
            </w:r>
            <w:r w:rsidR="007D2104" w:rsidRPr="007D2104">
              <w:rPr>
                <w:rFonts w:ascii="Book Antiqua" w:eastAsia="SimSun" w:hAnsi="Book Antiqua" w:cs="Times New Roman"/>
              </w:rPr>
              <w:t xml:space="preserve"> </w:t>
            </w:r>
            <w:r w:rsidRPr="007D2104">
              <w:rPr>
                <w:rFonts w:ascii="Book Antiqua" w:eastAsia="SimSun" w:hAnsi="Book Antiqua" w:cs="Times New Roman"/>
              </w:rPr>
              <w:t>mmol/</w:t>
            </w:r>
            <w:proofErr w:type="spellStart"/>
            <w:r w:rsidRPr="007D2104">
              <w:rPr>
                <w:rFonts w:ascii="Book Antiqua" w:eastAsia="SimSun" w:hAnsi="Book Antiqua" w:cs="Times New Roman"/>
              </w:rPr>
              <w:t>molCr</w:t>
            </w:r>
            <w:proofErr w:type="spellEnd"/>
          </w:p>
        </w:tc>
        <w:tc>
          <w:tcPr>
            <w:tcW w:w="1984" w:type="dxa"/>
          </w:tcPr>
          <w:p w14:paraId="5923FD07" w14:textId="6414CC26" w:rsidR="00051314" w:rsidRPr="007D2104" w:rsidRDefault="00051314" w:rsidP="007D2104">
            <w:pPr>
              <w:spacing w:line="360" w:lineRule="auto"/>
              <w:jc w:val="both"/>
              <w:rPr>
                <w:rFonts w:ascii="Book Antiqua" w:hAnsi="Book Antiqua"/>
              </w:rPr>
            </w:pPr>
            <w:r w:rsidRPr="007D2104">
              <w:rPr>
                <w:rFonts w:ascii="Book Antiqua" w:hAnsi="Book Antiqua"/>
              </w:rPr>
              <w:t>29.4</w:t>
            </w:r>
            <w:r w:rsidR="007D2104" w:rsidRPr="007D2104">
              <w:rPr>
                <w:rFonts w:ascii="Book Antiqua" w:hAnsi="Book Antiqua"/>
              </w:rPr>
              <w:t xml:space="preserve"> </w:t>
            </w:r>
            <w:r w:rsidRPr="007D2104">
              <w:rPr>
                <w:rFonts w:ascii="Book Antiqua" w:eastAsia="DengXian" w:hAnsi="Book Antiqua"/>
              </w:rPr>
              <w:t>↑</w:t>
            </w:r>
          </w:p>
        </w:tc>
        <w:tc>
          <w:tcPr>
            <w:tcW w:w="1418" w:type="dxa"/>
          </w:tcPr>
          <w:p w14:paraId="54AED3A7" w14:textId="77777777" w:rsidR="00051314" w:rsidRPr="007D2104" w:rsidRDefault="00051314" w:rsidP="007D2104">
            <w:pPr>
              <w:spacing w:line="360" w:lineRule="auto"/>
              <w:jc w:val="both"/>
              <w:rPr>
                <w:rFonts w:ascii="Book Antiqua" w:hAnsi="Book Antiqua"/>
              </w:rPr>
            </w:pPr>
            <w:r w:rsidRPr="007D2104">
              <w:rPr>
                <w:rFonts w:ascii="Book Antiqua" w:hAnsi="Book Antiqua"/>
              </w:rPr>
              <w:t>0.0</w:t>
            </w:r>
          </w:p>
        </w:tc>
        <w:tc>
          <w:tcPr>
            <w:tcW w:w="1701" w:type="dxa"/>
          </w:tcPr>
          <w:p w14:paraId="51FA8CE7" w14:textId="77777777" w:rsidR="00051314" w:rsidRPr="007D2104" w:rsidRDefault="00051314" w:rsidP="007D2104">
            <w:pPr>
              <w:spacing w:line="360" w:lineRule="auto"/>
              <w:jc w:val="both"/>
              <w:rPr>
                <w:rFonts w:ascii="Book Antiqua" w:hAnsi="Book Antiqua"/>
              </w:rPr>
            </w:pPr>
            <w:r w:rsidRPr="007D2104">
              <w:rPr>
                <w:rFonts w:ascii="Book Antiqua" w:hAnsi="Book Antiqua"/>
              </w:rPr>
              <w:t>0.0-8.0</w:t>
            </w:r>
          </w:p>
        </w:tc>
      </w:tr>
      <w:tr w:rsidR="00051314" w:rsidRPr="007D2104" w14:paraId="57C3EF10" w14:textId="77777777" w:rsidTr="00A00265">
        <w:tc>
          <w:tcPr>
            <w:tcW w:w="3936" w:type="dxa"/>
            <w:tcBorders>
              <w:bottom w:val="single" w:sz="12" w:space="0" w:color="auto"/>
            </w:tcBorders>
          </w:tcPr>
          <w:p w14:paraId="515FB412" w14:textId="74DD96F6" w:rsidR="00051314" w:rsidRPr="007D2104" w:rsidRDefault="00051314" w:rsidP="007D2104">
            <w:pPr>
              <w:spacing w:line="360" w:lineRule="auto"/>
              <w:jc w:val="both"/>
              <w:rPr>
                <w:rFonts w:ascii="Book Antiqua" w:hAnsi="Book Antiqua"/>
              </w:rPr>
            </w:pPr>
            <w:r w:rsidRPr="007D2104">
              <w:rPr>
                <w:rFonts w:ascii="Book Antiqua" w:hAnsi="Book Antiqua"/>
              </w:rPr>
              <w:t>Urinary</w:t>
            </w:r>
            <w:r w:rsidR="007D2104" w:rsidRPr="007D2104">
              <w:rPr>
                <w:rFonts w:ascii="Book Antiqua" w:eastAsia="SimSun" w:hAnsi="Book Antiqua" w:cs="Times New Roman"/>
              </w:rPr>
              <w:t xml:space="preserve"> </w:t>
            </w:r>
            <w:proofErr w:type="spellStart"/>
            <w:r w:rsidRPr="007D2104">
              <w:rPr>
                <w:rFonts w:ascii="Book Antiqua" w:eastAsia="SimSun" w:hAnsi="Book Antiqua" w:cs="Times New Roman"/>
              </w:rPr>
              <w:t>orotic</w:t>
            </w:r>
            <w:proofErr w:type="spellEnd"/>
            <w:r w:rsidR="007D2104" w:rsidRPr="007D2104">
              <w:rPr>
                <w:rFonts w:ascii="Book Antiqua" w:eastAsia="SimSun" w:hAnsi="Book Antiqua" w:cs="Times New Roman"/>
              </w:rPr>
              <w:t xml:space="preserve"> </w:t>
            </w:r>
            <w:r w:rsidRPr="007D2104">
              <w:rPr>
                <w:rFonts w:ascii="Book Antiqua" w:eastAsia="SimSun" w:hAnsi="Book Antiqua" w:cs="Times New Roman"/>
              </w:rPr>
              <w:t>acid</w:t>
            </w:r>
            <w:r w:rsidRPr="007D2104">
              <w:rPr>
                <w:rFonts w:ascii="Book Antiqua" w:hAnsi="Book Antiqua"/>
              </w:rPr>
              <w:t>,</w:t>
            </w:r>
            <w:r w:rsidR="007D2104" w:rsidRPr="007D2104">
              <w:rPr>
                <w:rFonts w:ascii="Book Antiqua" w:eastAsia="SimSun" w:hAnsi="Book Antiqua" w:cs="Times New Roman"/>
              </w:rPr>
              <w:t xml:space="preserve"> </w:t>
            </w:r>
            <w:r w:rsidRPr="007D2104">
              <w:rPr>
                <w:rFonts w:ascii="Book Antiqua" w:eastAsia="SimSun" w:hAnsi="Book Antiqua" w:cs="Times New Roman"/>
              </w:rPr>
              <w:t>mmol/</w:t>
            </w:r>
            <w:proofErr w:type="spellStart"/>
            <w:r w:rsidRPr="007D2104">
              <w:rPr>
                <w:rFonts w:ascii="Book Antiqua" w:eastAsia="SimSun" w:hAnsi="Book Antiqua" w:cs="Times New Roman"/>
              </w:rPr>
              <w:t>molCr</w:t>
            </w:r>
            <w:proofErr w:type="spellEnd"/>
          </w:p>
        </w:tc>
        <w:tc>
          <w:tcPr>
            <w:tcW w:w="1984" w:type="dxa"/>
            <w:tcBorders>
              <w:bottom w:val="single" w:sz="12" w:space="0" w:color="auto"/>
            </w:tcBorders>
          </w:tcPr>
          <w:p w14:paraId="5F8BFFBD" w14:textId="277BD9B7" w:rsidR="00051314" w:rsidRPr="007D2104" w:rsidRDefault="00051314" w:rsidP="007D2104">
            <w:pPr>
              <w:spacing w:line="360" w:lineRule="auto"/>
              <w:jc w:val="both"/>
              <w:rPr>
                <w:rFonts w:ascii="Book Antiqua" w:hAnsi="Book Antiqua"/>
              </w:rPr>
            </w:pPr>
            <w:r w:rsidRPr="007D2104">
              <w:rPr>
                <w:rFonts w:ascii="Book Antiqua" w:hAnsi="Book Antiqua"/>
              </w:rPr>
              <w:t>123.3</w:t>
            </w:r>
            <w:r w:rsidR="007D2104" w:rsidRPr="007D2104">
              <w:rPr>
                <w:rFonts w:ascii="Book Antiqua" w:hAnsi="Book Antiqua"/>
              </w:rPr>
              <w:t xml:space="preserve"> </w:t>
            </w:r>
            <w:r w:rsidRPr="007D2104">
              <w:rPr>
                <w:rFonts w:ascii="Book Antiqua" w:eastAsia="DengXian" w:hAnsi="Book Antiqua"/>
              </w:rPr>
              <w:t>↑</w:t>
            </w:r>
          </w:p>
        </w:tc>
        <w:tc>
          <w:tcPr>
            <w:tcW w:w="1418" w:type="dxa"/>
            <w:tcBorders>
              <w:bottom w:val="single" w:sz="12" w:space="0" w:color="auto"/>
            </w:tcBorders>
          </w:tcPr>
          <w:p w14:paraId="18DED067" w14:textId="77777777" w:rsidR="00051314" w:rsidRPr="007D2104" w:rsidRDefault="00051314" w:rsidP="007D2104">
            <w:pPr>
              <w:spacing w:line="360" w:lineRule="auto"/>
              <w:jc w:val="both"/>
              <w:rPr>
                <w:rFonts w:ascii="Book Antiqua" w:hAnsi="Book Antiqua"/>
              </w:rPr>
            </w:pPr>
            <w:r w:rsidRPr="007D2104">
              <w:rPr>
                <w:rFonts w:ascii="Book Antiqua" w:hAnsi="Book Antiqua"/>
              </w:rPr>
              <w:t>0.0</w:t>
            </w:r>
          </w:p>
        </w:tc>
        <w:tc>
          <w:tcPr>
            <w:tcW w:w="1701" w:type="dxa"/>
            <w:tcBorders>
              <w:bottom w:val="single" w:sz="12" w:space="0" w:color="auto"/>
            </w:tcBorders>
          </w:tcPr>
          <w:p w14:paraId="36EDB19F" w14:textId="77777777" w:rsidR="00051314" w:rsidRPr="007D2104" w:rsidRDefault="00051314" w:rsidP="007D2104">
            <w:pPr>
              <w:spacing w:line="360" w:lineRule="auto"/>
              <w:jc w:val="both"/>
              <w:rPr>
                <w:rFonts w:ascii="Book Antiqua" w:hAnsi="Book Antiqua"/>
              </w:rPr>
            </w:pPr>
            <w:r w:rsidRPr="007D2104">
              <w:rPr>
                <w:rFonts w:ascii="Book Antiqua" w:hAnsi="Book Antiqua"/>
              </w:rPr>
              <w:t>0.0-2.0</w:t>
            </w:r>
          </w:p>
        </w:tc>
      </w:tr>
    </w:tbl>
    <w:p w14:paraId="00456343" w14:textId="158479AF" w:rsidR="00A77B3E" w:rsidRPr="007D2104" w:rsidRDefault="00051314" w:rsidP="007D2104">
      <w:pPr>
        <w:spacing w:line="360" w:lineRule="auto"/>
        <w:jc w:val="both"/>
        <w:rPr>
          <w:rFonts w:ascii="Book Antiqua" w:hAnsi="Book Antiqua"/>
        </w:rPr>
      </w:pPr>
      <w:r w:rsidRPr="007D2104">
        <w:rPr>
          <w:rFonts w:ascii="Book Antiqua" w:eastAsia="DengXian" w:hAnsi="Book Antiqua"/>
        </w:rPr>
        <w:t>↑:</w:t>
      </w:r>
      <w:r w:rsidR="007D2104" w:rsidRPr="007D2104">
        <w:rPr>
          <w:rFonts w:ascii="Book Antiqua" w:hAnsi="Book Antiqua"/>
        </w:rPr>
        <w:t xml:space="preserve"> </w:t>
      </w:r>
      <w:r w:rsidRPr="007D2104">
        <w:rPr>
          <w:rFonts w:ascii="Book Antiqua" w:eastAsia="DengXian" w:hAnsi="Book Antiqua"/>
        </w:rPr>
        <w:t>Higher</w:t>
      </w:r>
      <w:r w:rsidR="007D2104" w:rsidRPr="007D2104">
        <w:rPr>
          <w:rFonts w:ascii="Book Antiqua" w:eastAsia="DengXian" w:hAnsi="Book Antiqua"/>
        </w:rPr>
        <w:t xml:space="preserve"> </w:t>
      </w:r>
      <w:r w:rsidRPr="007D2104">
        <w:rPr>
          <w:rFonts w:ascii="Book Antiqua" w:eastAsia="DengXian" w:hAnsi="Book Antiqua"/>
        </w:rPr>
        <w:t>than</w:t>
      </w:r>
      <w:r w:rsidR="007D2104" w:rsidRPr="007D2104">
        <w:rPr>
          <w:rFonts w:ascii="Book Antiqua" w:eastAsia="DengXian" w:hAnsi="Book Antiqua"/>
        </w:rPr>
        <w:t xml:space="preserve"> </w:t>
      </w:r>
      <w:r w:rsidRPr="007D2104">
        <w:rPr>
          <w:rFonts w:ascii="Book Antiqua" w:eastAsia="DengXian" w:hAnsi="Book Antiqua"/>
        </w:rPr>
        <w:t>the</w:t>
      </w:r>
      <w:r w:rsidR="007D2104" w:rsidRPr="007D2104">
        <w:rPr>
          <w:rFonts w:ascii="Book Antiqua" w:eastAsia="DengXian" w:hAnsi="Book Antiqua"/>
        </w:rPr>
        <w:t xml:space="preserve"> </w:t>
      </w:r>
      <w:r w:rsidRPr="007D2104">
        <w:rPr>
          <w:rFonts w:ascii="Book Antiqua" w:eastAsia="DengXian" w:hAnsi="Book Antiqua"/>
        </w:rPr>
        <w:t>reference</w:t>
      </w:r>
      <w:r w:rsidR="007D2104" w:rsidRPr="007D2104">
        <w:rPr>
          <w:rFonts w:ascii="Book Antiqua" w:eastAsia="DengXian" w:hAnsi="Book Antiqua"/>
        </w:rPr>
        <w:t xml:space="preserve"> </w:t>
      </w:r>
      <w:r w:rsidRPr="007D2104">
        <w:rPr>
          <w:rFonts w:ascii="Book Antiqua" w:eastAsia="DengXian" w:hAnsi="Book Antiqua"/>
        </w:rPr>
        <w:t>value;</w:t>
      </w:r>
      <w:r w:rsidR="007D2104" w:rsidRPr="007D2104">
        <w:rPr>
          <w:rFonts w:ascii="Book Antiqua" w:eastAsia="DengXian" w:hAnsi="Book Antiqua"/>
        </w:rPr>
        <w:t xml:space="preserve"> </w:t>
      </w:r>
      <w:r w:rsidRPr="007D2104">
        <w:rPr>
          <w:rFonts w:ascii="Book Antiqua" w:hAnsi="Book Antiqua"/>
        </w:rPr>
        <w:t>LT:</w:t>
      </w:r>
      <w:r w:rsidR="007D2104" w:rsidRPr="007D2104">
        <w:rPr>
          <w:rFonts w:ascii="Book Antiqua" w:hAnsi="Book Antiqua"/>
        </w:rPr>
        <w:t xml:space="preserve"> </w:t>
      </w:r>
      <w:r w:rsidRPr="007D2104">
        <w:rPr>
          <w:rFonts w:ascii="Book Antiqua" w:hAnsi="Book Antiqua"/>
        </w:rPr>
        <w:t>Liver</w:t>
      </w:r>
      <w:r w:rsidR="007D2104" w:rsidRPr="007D2104">
        <w:rPr>
          <w:rFonts w:ascii="Book Antiqua" w:hAnsi="Book Antiqua"/>
        </w:rPr>
        <w:t xml:space="preserve"> </w:t>
      </w:r>
      <w:r w:rsidRPr="007D2104">
        <w:rPr>
          <w:rFonts w:ascii="Book Antiqua" w:hAnsi="Book Antiqua"/>
        </w:rPr>
        <w:t>transplantation;</w:t>
      </w:r>
      <w:r w:rsidR="007D2104" w:rsidRPr="007D2104">
        <w:rPr>
          <w:rFonts w:ascii="Book Antiqua" w:hAnsi="Book Antiqua"/>
        </w:rPr>
        <w:t xml:space="preserve"> </w:t>
      </w:r>
      <w:r w:rsidRPr="007D2104">
        <w:rPr>
          <w:rFonts w:ascii="Book Antiqua" w:hAnsi="Book Antiqua"/>
        </w:rPr>
        <w:t>APTT:</w:t>
      </w:r>
      <w:r w:rsidR="007D2104" w:rsidRPr="007D2104">
        <w:rPr>
          <w:rFonts w:ascii="Book Antiqua" w:hAnsi="Book Antiqua"/>
        </w:rPr>
        <w:t xml:space="preserve"> </w:t>
      </w:r>
      <w:r w:rsidRPr="007D2104">
        <w:rPr>
          <w:rFonts w:ascii="Book Antiqua" w:hAnsi="Book Antiqua"/>
        </w:rPr>
        <w:t>Activated</w:t>
      </w:r>
      <w:r w:rsidR="007D2104" w:rsidRPr="007D2104">
        <w:rPr>
          <w:rFonts w:ascii="Book Antiqua" w:hAnsi="Book Antiqua"/>
        </w:rPr>
        <w:t xml:space="preserve"> </w:t>
      </w:r>
      <w:r w:rsidRPr="007D2104">
        <w:rPr>
          <w:rFonts w:ascii="Book Antiqua" w:hAnsi="Book Antiqua"/>
        </w:rPr>
        <w:t>partial</w:t>
      </w:r>
      <w:r w:rsidR="007D2104" w:rsidRPr="007D2104">
        <w:rPr>
          <w:rFonts w:ascii="Book Antiqua" w:hAnsi="Book Antiqua"/>
        </w:rPr>
        <w:t xml:space="preserve"> </w:t>
      </w:r>
      <w:r w:rsidRPr="007D2104">
        <w:rPr>
          <w:rFonts w:ascii="Book Antiqua" w:hAnsi="Book Antiqua"/>
        </w:rPr>
        <w:t>thromboplastin</w:t>
      </w:r>
      <w:r w:rsidR="007D2104" w:rsidRPr="007D2104">
        <w:rPr>
          <w:rFonts w:ascii="Book Antiqua" w:hAnsi="Book Antiqua"/>
        </w:rPr>
        <w:t xml:space="preserve"> </w:t>
      </w:r>
      <w:r w:rsidRPr="007D2104">
        <w:rPr>
          <w:rFonts w:ascii="Book Antiqua" w:hAnsi="Book Antiqua"/>
        </w:rPr>
        <w:t>time;</w:t>
      </w:r>
      <w:r w:rsidR="007D2104" w:rsidRPr="007D2104">
        <w:rPr>
          <w:rFonts w:ascii="Book Antiqua" w:hAnsi="Book Antiqua"/>
        </w:rPr>
        <w:t xml:space="preserve"> </w:t>
      </w:r>
      <w:r w:rsidRPr="007D2104">
        <w:rPr>
          <w:rFonts w:ascii="Book Antiqua" w:hAnsi="Book Antiqua"/>
        </w:rPr>
        <w:t>PT:</w:t>
      </w:r>
      <w:r w:rsidR="007D2104" w:rsidRPr="007D2104">
        <w:rPr>
          <w:rFonts w:ascii="Book Antiqua" w:hAnsi="Book Antiqua"/>
        </w:rPr>
        <w:t xml:space="preserve"> </w:t>
      </w:r>
      <w:r w:rsidRPr="007D2104">
        <w:rPr>
          <w:rFonts w:ascii="Book Antiqua" w:hAnsi="Book Antiqua"/>
        </w:rPr>
        <w:t>Prothrombin</w:t>
      </w:r>
      <w:r w:rsidR="007D2104" w:rsidRPr="007D2104">
        <w:rPr>
          <w:rFonts w:ascii="Book Antiqua" w:hAnsi="Book Antiqua"/>
        </w:rPr>
        <w:t xml:space="preserve"> </w:t>
      </w:r>
      <w:r w:rsidRPr="007D2104">
        <w:rPr>
          <w:rFonts w:ascii="Book Antiqua" w:hAnsi="Book Antiqua"/>
        </w:rPr>
        <w:t>time;</w:t>
      </w:r>
      <w:r w:rsidR="007D2104" w:rsidRPr="007D2104">
        <w:rPr>
          <w:rFonts w:ascii="Book Antiqua" w:hAnsi="Book Antiqua"/>
        </w:rPr>
        <w:t xml:space="preserve"> </w:t>
      </w:r>
      <w:r w:rsidRPr="007D2104">
        <w:rPr>
          <w:rFonts w:ascii="Book Antiqua" w:hAnsi="Book Antiqua"/>
        </w:rPr>
        <w:t>INR:</w:t>
      </w:r>
      <w:r w:rsidR="007D2104" w:rsidRPr="007D2104">
        <w:rPr>
          <w:rFonts w:ascii="Book Antiqua" w:hAnsi="Book Antiqua"/>
        </w:rPr>
        <w:t xml:space="preserve"> </w:t>
      </w:r>
      <w:r w:rsidRPr="007D2104">
        <w:rPr>
          <w:rFonts w:ascii="Book Antiqua" w:hAnsi="Book Antiqua"/>
        </w:rPr>
        <w:t>International</w:t>
      </w:r>
      <w:r w:rsidR="007D2104" w:rsidRPr="007D2104">
        <w:rPr>
          <w:rFonts w:ascii="Book Antiqua" w:hAnsi="Book Antiqua"/>
        </w:rPr>
        <w:t xml:space="preserve"> </w:t>
      </w:r>
      <w:r w:rsidRPr="007D2104">
        <w:rPr>
          <w:rFonts w:ascii="Book Antiqua" w:hAnsi="Book Antiqua"/>
        </w:rPr>
        <w:t>normalized</w:t>
      </w:r>
      <w:r w:rsidR="007D2104" w:rsidRPr="007D2104">
        <w:rPr>
          <w:rFonts w:ascii="Book Antiqua" w:hAnsi="Book Antiqua"/>
        </w:rPr>
        <w:t xml:space="preserve"> </w:t>
      </w:r>
      <w:r w:rsidRPr="007D2104">
        <w:rPr>
          <w:rFonts w:ascii="Book Antiqua" w:hAnsi="Book Antiqua"/>
        </w:rPr>
        <w:t>ratio;</w:t>
      </w:r>
      <w:r w:rsidR="007D2104" w:rsidRPr="007D2104">
        <w:rPr>
          <w:rFonts w:ascii="Book Antiqua" w:hAnsi="Book Antiqua"/>
        </w:rPr>
        <w:t xml:space="preserve"> </w:t>
      </w:r>
      <w:r w:rsidRPr="007D2104">
        <w:rPr>
          <w:rFonts w:ascii="Book Antiqua" w:hAnsi="Book Antiqua"/>
        </w:rPr>
        <w:t>ALT:</w:t>
      </w:r>
      <w:r w:rsidR="007D2104" w:rsidRPr="007D2104">
        <w:rPr>
          <w:rFonts w:ascii="Book Antiqua" w:hAnsi="Book Antiqua"/>
        </w:rPr>
        <w:t xml:space="preserve"> </w:t>
      </w:r>
      <w:r w:rsidRPr="007D2104">
        <w:rPr>
          <w:rFonts w:ascii="Book Antiqua" w:hAnsi="Book Antiqua"/>
        </w:rPr>
        <w:t>Alanine</w:t>
      </w:r>
      <w:r w:rsidR="007D2104" w:rsidRPr="007D2104">
        <w:rPr>
          <w:rFonts w:ascii="Book Antiqua" w:hAnsi="Book Antiqua"/>
        </w:rPr>
        <w:t xml:space="preserve"> </w:t>
      </w:r>
      <w:r w:rsidR="00764F46">
        <w:rPr>
          <w:rFonts w:ascii="Book Antiqua" w:hAnsi="Book Antiqua"/>
        </w:rPr>
        <w:t>amino</w:t>
      </w:r>
      <w:r w:rsidR="00764F46" w:rsidRPr="007D2104">
        <w:rPr>
          <w:rFonts w:ascii="Book Antiqua" w:hAnsi="Book Antiqua"/>
        </w:rPr>
        <w:t>transaminase</w:t>
      </w:r>
      <w:r w:rsidRPr="007D2104">
        <w:rPr>
          <w:rFonts w:ascii="Book Antiqua" w:hAnsi="Book Antiqua"/>
        </w:rPr>
        <w:t>;</w:t>
      </w:r>
      <w:r w:rsidR="007D2104" w:rsidRPr="007D2104">
        <w:rPr>
          <w:rFonts w:ascii="Book Antiqua" w:hAnsi="Book Antiqua"/>
        </w:rPr>
        <w:t xml:space="preserve"> </w:t>
      </w:r>
      <w:r w:rsidRPr="007D2104">
        <w:rPr>
          <w:rFonts w:ascii="Book Antiqua" w:hAnsi="Book Antiqua"/>
        </w:rPr>
        <w:t>AST:</w:t>
      </w:r>
      <w:r w:rsidR="007D2104" w:rsidRPr="007D2104">
        <w:rPr>
          <w:rFonts w:ascii="Book Antiqua" w:hAnsi="Book Antiqua"/>
        </w:rPr>
        <w:t xml:space="preserve"> </w:t>
      </w:r>
      <w:r w:rsidRPr="007D2104">
        <w:rPr>
          <w:rFonts w:ascii="Book Antiqua" w:hAnsi="Book Antiqua"/>
        </w:rPr>
        <w:t>Aspartate</w:t>
      </w:r>
      <w:r w:rsidR="007D2104" w:rsidRPr="007D2104">
        <w:rPr>
          <w:rFonts w:ascii="Book Antiqua" w:hAnsi="Book Antiqua"/>
        </w:rPr>
        <w:t xml:space="preserve"> </w:t>
      </w:r>
      <w:r w:rsidRPr="007D2104">
        <w:rPr>
          <w:rFonts w:ascii="Book Antiqua" w:hAnsi="Book Antiqua"/>
        </w:rPr>
        <w:t>aminotransferase;</w:t>
      </w:r>
      <w:r w:rsidR="007D2104" w:rsidRPr="007D2104">
        <w:rPr>
          <w:rFonts w:ascii="Book Antiqua" w:hAnsi="Book Antiqua"/>
        </w:rPr>
        <w:t xml:space="preserve"> </w:t>
      </w:r>
      <w:r w:rsidRPr="007D2104">
        <w:rPr>
          <w:rFonts w:ascii="Book Antiqua" w:hAnsi="Book Antiqua"/>
        </w:rPr>
        <w:t>ALP:</w:t>
      </w:r>
      <w:r w:rsidR="007D2104" w:rsidRPr="007D2104">
        <w:rPr>
          <w:rFonts w:ascii="Book Antiqua" w:hAnsi="Book Antiqua"/>
        </w:rPr>
        <w:t xml:space="preserve"> </w:t>
      </w:r>
      <w:r w:rsidRPr="007D2104">
        <w:rPr>
          <w:rFonts w:ascii="Book Antiqua" w:hAnsi="Book Antiqua"/>
        </w:rPr>
        <w:t>Alkaline</w:t>
      </w:r>
      <w:r w:rsidR="007D2104" w:rsidRPr="007D2104">
        <w:rPr>
          <w:rFonts w:ascii="Book Antiqua" w:hAnsi="Book Antiqua"/>
        </w:rPr>
        <w:t xml:space="preserve"> </w:t>
      </w:r>
      <w:r w:rsidRPr="007D2104">
        <w:rPr>
          <w:rFonts w:ascii="Book Antiqua" w:hAnsi="Book Antiqua"/>
        </w:rPr>
        <w:t>phosphatase;</w:t>
      </w:r>
      <w:r w:rsidR="007D2104" w:rsidRPr="007D2104">
        <w:rPr>
          <w:rFonts w:ascii="Book Antiqua" w:hAnsi="Book Antiqua"/>
        </w:rPr>
        <w:t xml:space="preserve"> </w:t>
      </w:r>
      <w:r w:rsidRPr="007D2104">
        <w:rPr>
          <w:rFonts w:ascii="Book Antiqua" w:hAnsi="Book Antiqua"/>
        </w:rPr>
        <w:t>GGT:</w:t>
      </w:r>
      <w:r w:rsidR="007D2104" w:rsidRPr="007D2104">
        <w:rPr>
          <w:rFonts w:ascii="Book Antiqua" w:hAnsi="Book Antiqua"/>
        </w:rPr>
        <w:t xml:space="preserve"> </w:t>
      </w:r>
      <w:r w:rsidRPr="007D2104">
        <w:rPr>
          <w:rFonts w:ascii="Book Antiqua" w:eastAsia="DengXian" w:hAnsi="Book Antiqua"/>
        </w:rPr>
        <w:t>γ</w:t>
      </w:r>
      <w:r w:rsidRPr="007D2104">
        <w:rPr>
          <w:rFonts w:ascii="Book Antiqua" w:hAnsi="Book Antiqua"/>
        </w:rPr>
        <w:t>-glutamyl</w:t>
      </w:r>
      <w:r w:rsidR="007D2104" w:rsidRPr="007D2104">
        <w:rPr>
          <w:rFonts w:ascii="Book Antiqua" w:hAnsi="Book Antiqua"/>
        </w:rPr>
        <w:t xml:space="preserve"> </w:t>
      </w:r>
      <w:r w:rsidR="00764F46" w:rsidRPr="007D2104">
        <w:rPr>
          <w:rFonts w:ascii="Book Antiqua" w:hAnsi="Book Antiqua"/>
        </w:rPr>
        <w:t>transpept</w:t>
      </w:r>
      <w:r w:rsidR="00764F46">
        <w:rPr>
          <w:rFonts w:ascii="Book Antiqua" w:hAnsi="Book Antiqua"/>
        </w:rPr>
        <w:t>i</w:t>
      </w:r>
      <w:r w:rsidR="00764F46" w:rsidRPr="007D2104">
        <w:rPr>
          <w:rFonts w:ascii="Book Antiqua" w:hAnsi="Book Antiqua"/>
        </w:rPr>
        <w:t>dase</w:t>
      </w:r>
      <w:r w:rsidRPr="007D2104">
        <w:rPr>
          <w:rFonts w:ascii="Book Antiqua" w:hAnsi="Book Antiqua"/>
        </w:rPr>
        <w:t>;</w:t>
      </w:r>
      <w:r w:rsidR="007D2104" w:rsidRPr="007D2104">
        <w:rPr>
          <w:rFonts w:ascii="Book Antiqua" w:hAnsi="Book Antiqua"/>
        </w:rPr>
        <w:t xml:space="preserve"> </w:t>
      </w:r>
      <w:r w:rsidRPr="007D2104">
        <w:rPr>
          <w:rFonts w:ascii="Book Antiqua" w:hAnsi="Book Antiqua"/>
        </w:rPr>
        <w:t>TBIL:</w:t>
      </w:r>
      <w:r w:rsidR="007D2104" w:rsidRPr="007D2104">
        <w:rPr>
          <w:rFonts w:ascii="Book Antiqua" w:hAnsi="Book Antiqua"/>
        </w:rPr>
        <w:t xml:space="preserve"> </w:t>
      </w:r>
      <w:r w:rsidRPr="007D2104">
        <w:rPr>
          <w:rFonts w:ascii="Book Antiqua" w:hAnsi="Book Antiqua"/>
        </w:rPr>
        <w:t>Total</w:t>
      </w:r>
      <w:r w:rsidR="007D2104" w:rsidRPr="007D2104">
        <w:rPr>
          <w:rFonts w:ascii="Book Antiqua" w:hAnsi="Book Antiqua"/>
        </w:rPr>
        <w:t xml:space="preserve"> </w:t>
      </w:r>
      <w:r w:rsidRPr="007D2104">
        <w:rPr>
          <w:rFonts w:ascii="Book Antiqua" w:hAnsi="Book Antiqua"/>
        </w:rPr>
        <w:t>bilirubin;</w:t>
      </w:r>
      <w:r w:rsidR="007D2104" w:rsidRPr="007D2104">
        <w:rPr>
          <w:rFonts w:ascii="Book Antiqua" w:hAnsi="Book Antiqua"/>
        </w:rPr>
        <w:t xml:space="preserve"> </w:t>
      </w:r>
      <w:r w:rsidRPr="007D2104">
        <w:rPr>
          <w:rFonts w:ascii="Book Antiqua" w:hAnsi="Book Antiqua"/>
        </w:rPr>
        <w:t>IBIL:</w:t>
      </w:r>
      <w:r w:rsidR="007D2104" w:rsidRPr="007D2104">
        <w:rPr>
          <w:rFonts w:ascii="Book Antiqua" w:hAnsi="Book Antiqua"/>
        </w:rPr>
        <w:t xml:space="preserve"> </w:t>
      </w:r>
      <w:r w:rsidRPr="007D2104">
        <w:rPr>
          <w:rFonts w:ascii="Book Antiqua" w:hAnsi="Book Antiqua"/>
        </w:rPr>
        <w:t>Indirect</w:t>
      </w:r>
      <w:r w:rsidR="007D2104" w:rsidRPr="007D2104">
        <w:rPr>
          <w:rFonts w:ascii="Book Antiqua" w:hAnsi="Book Antiqua"/>
        </w:rPr>
        <w:t xml:space="preserve"> </w:t>
      </w:r>
      <w:r w:rsidRPr="007D2104">
        <w:rPr>
          <w:rFonts w:ascii="Book Antiqua" w:hAnsi="Book Antiqua"/>
        </w:rPr>
        <w:t>bilirubin.</w:t>
      </w:r>
    </w:p>
    <w:sectPr w:rsidR="00A77B3E" w:rsidRPr="007D21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6BEE" w14:textId="77777777" w:rsidR="00A53452" w:rsidRDefault="00A53452" w:rsidP="00E00220">
      <w:r>
        <w:separator/>
      </w:r>
    </w:p>
  </w:endnote>
  <w:endnote w:type="continuationSeparator" w:id="0">
    <w:p w14:paraId="063D4E66" w14:textId="77777777" w:rsidR="00A53452" w:rsidRDefault="00A53452" w:rsidP="00E0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9B3A" w14:textId="5FEE9380" w:rsidR="00E00220" w:rsidRPr="00E00220" w:rsidRDefault="007D2104" w:rsidP="00E0022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sidR="00E00220" w:rsidRPr="00E00220">
      <w:rPr>
        <w:rFonts w:ascii="Book Antiqua" w:hAnsi="Book Antiqua"/>
        <w:color w:val="000000" w:themeColor="text1"/>
        <w:sz w:val="24"/>
        <w:szCs w:val="24"/>
      </w:rPr>
      <w:fldChar w:fldCharType="begin"/>
    </w:r>
    <w:r w:rsidR="00E00220" w:rsidRPr="00E00220">
      <w:rPr>
        <w:rFonts w:ascii="Book Antiqua" w:hAnsi="Book Antiqua"/>
        <w:color w:val="000000" w:themeColor="text1"/>
        <w:sz w:val="24"/>
        <w:szCs w:val="24"/>
      </w:rPr>
      <w:instrText>PAGE  \* Arabic  \* MERGEFORMAT</w:instrText>
    </w:r>
    <w:r w:rsidR="00E00220" w:rsidRPr="00E00220">
      <w:rPr>
        <w:rFonts w:ascii="Book Antiqua" w:hAnsi="Book Antiqua"/>
        <w:color w:val="000000" w:themeColor="text1"/>
        <w:sz w:val="24"/>
        <w:szCs w:val="24"/>
      </w:rPr>
      <w:fldChar w:fldCharType="separate"/>
    </w:r>
    <w:r w:rsidR="00E00220" w:rsidRPr="00E00220">
      <w:rPr>
        <w:rFonts w:ascii="Book Antiqua" w:hAnsi="Book Antiqua"/>
        <w:color w:val="000000" w:themeColor="text1"/>
        <w:sz w:val="24"/>
        <w:szCs w:val="24"/>
        <w:lang w:val="zh-CN" w:eastAsia="zh-CN"/>
      </w:rPr>
      <w:t>2</w:t>
    </w:r>
    <w:r w:rsidR="00E00220" w:rsidRPr="00E00220">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w:t>
    </w:r>
    <w:r w:rsidR="00E00220" w:rsidRPr="00E00220">
      <w:rPr>
        <w:rFonts w:ascii="Book Antiqua" w:hAnsi="Book Antiqua"/>
        <w:color w:val="000000" w:themeColor="text1"/>
        <w:sz w:val="24"/>
        <w:szCs w:val="24"/>
        <w:lang w:val="zh-CN" w:eastAsia="zh-CN"/>
      </w:rPr>
      <w:t>/</w:t>
    </w:r>
    <w:r>
      <w:rPr>
        <w:rFonts w:ascii="Book Antiqua" w:hAnsi="Book Antiqua"/>
        <w:color w:val="000000" w:themeColor="text1"/>
        <w:sz w:val="24"/>
        <w:szCs w:val="24"/>
        <w:lang w:val="zh-CN" w:eastAsia="zh-CN"/>
      </w:rPr>
      <w:t xml:space="preserve"> </w:t>
    </w:r>
    <w:r w:rsidR="00E00220" w:rsidRPr="00E00220">
      <w:rPr>
        <w:rFonts w:ascii="Book Antiqua" w:hAnsi="Book Antiqua"/>
        <w:color w:val="000000" w:themeColor="text1"/>
        <w:sz w:val="24"/>
        <w:szCs w:val="24"/>
      </w:rPr>
      <w:fldChar w:fldCharType="begin"/>
    </w:r>
    <w:r w:rsidR="00E00220" w:rsidRPr="00E00220">
      <w:rPr>
        <w:rFonts w:ascii="Book Antiqua" w:hAnsi="Book Antiqua"/>
        <w:color w:val="000000" w:themeColor="text1"/>
        <w:sz w:val="24"/>
        <w:szCs w:val="24"/>
      </w:rPr>
      <w:instrText>NUMPAGES  \* Arabic  \* MERGEFORMAT</w:instrText>
    </w:r>
    <w:r w:rsidR="00E00220" w:rsidRPr="00E00220">
      <w:rPr>
        <w:rFonts w:ascii="Book Antiqua" w:hAnsi="Book Antiqua"/>
        <w:color w:val="000000" w:themeColor="text1"/>
        <w:sz w:val="24"/>
        <w:szCs w:val="24"/>
      </w:rPr>
      <w:fldChar w:fldCharType="separate"/>
    </w:r>
    <w:r w:rsidR="00E00220" w:rsidRPr="00E00220">
      <w:rPr>
        <w:rFonts w:ascii="Book Antiqua" w:hAnsi="Book Antiqua"/>
        <w:color w:val="000000" w:themeColor="text1"/>
        <w:sz w:val="24"/>
        <w:szCs w:val="24"/>
        <w:lang w:val="zh-CN" w:eastAsia="zh-CN"/>
      </w:rPr>
      <w:t>2</w:t>
    </w:r>
    <w:r w:rsidR="00E00220" w:rsidRPr="00E00220">
      <w:rPr>
        <w:rFonts w:ascii="Book Antiqua" w:hAnsi="Book Antiqua"/>
        <w:color w:val="000000" w:themeColor="text1"/>
        <w:sz w:val="24"/>
        <w:szCs w:val="24"/>
      </w:rPr>
      <w:fldChar w:fldCharType="end"/>
    </w:r>
  </w:p>
  <w:p w14:paraId="41F69062" w14:textId="77777777" w:rsidR="00E00220" w:rsidRDefault="00E0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7635" w14:textId="77777777" w:rsidR="00A53452" w:rsidRDefault="00A53452" w:rsidP="00E00220">
      <w:r>
        <w:separator/>
      </w:r>
    </w:p>
  </w:footnote>
  <w:footnote w:type="continuationSeparator" w:id="0">
    <w:p w14:paraId="29AD235D" w14:textId="77777777" w:rsidR="00A53452" w:rsidRDefault="00A53452" w:rsidP="00E00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912"/>
    <w:rsid w:val="00051314"/>
    <w:rsid w:val="000D1DFB"/>
    <w:rsid w:val="000E2D8D"/>
    <w:rsid w:val="00101928"/>
    <w:rsid w:val="00135B67"/>
    <w:rsid w:val="00165FC9"/>
    <w:rsid w:val="001C4589"/>
    <w:rsid w:val="001E39F4"/>
    <w:rsid w:val="001E4A34"/>
    <w:rsid w:val="001F21D8"/>
    <w:rsid w:val="001F391F"/>
    <w:rsid w:val="00201ED3"/>
    <w:rsid w:val="002346F0"/>
    <w:rsid w:val="002F1CB1"/>
    <w:rsid w:val="00330684"/>
    <w:rsid w:val="00334D04"/>
    <w:rsid w:val="003414D2"/>
    <w:rsid w:val="00357D1E"/>
    <w:rsid w:val="003707D8"/>
    <w:rsid w:val="003761F3"/>
    <w:rsid w:val="003B7B78"/>
    <w:rsid w:val="003C2BC4"/>
    <w:rsid w:val="003E1D3E"/>
    <w:rsid w:val="00463CD4"/>
    <w:rsid w:val="0047382F"/>
    <w:rsid w:val="004A6C0C"/>
    <w:rsid w:val="004A6CB2"/>
    <w:rsid w:val="004D3E02"/>
    <w:rsid w:val="00501BBF"/>
    <w:rsid w:val="00512E8E"/>
    <w:rsid w:val="005265EE"/>
    <w:rsid w:val="00554464"/>
    <w:rsid w:val="0056163B"/>
    <w:rsid w:val="005F5C21"/>
    <w:rsid w:val="00610519"/>
    <w:rsid w:val="00622972"/>
    <w:rsid w:val="00716C32"/>
    <w:rsid w:val="00716E80"/>
    <w:rsid w:val="007275D4"/>
    <w:rsid w:val="0075179C"/>
    <w:rsid w:val="00764F46"/>
    <w:rsid w:val="0077335C"/>
    <w:rsid w:val="007D2104"/>
    <w:rsid w:val="007F4B4D"/>
    <w:rsid w:val="0080528A"/>
    <w:rsid w:val="00883DF4"/>
    <w:rsid w:val="008846B4"/>
    <w:rsid w:val="008A378C"/>
    <w:rsid w:val="008A478D"/>
    <w:rsid w:val="008B16CE"/>
    <w:rsid w:val="008D6ECE"/>
    <w:rsid w:val="00905C83"/>
    <w:rsid w:val="009123A3"/>
    <w:rsid w:val="00913CD7"/>
    <w:rsid w:val="00930C03"/>
    <w:rsid w:val="009727C8"/>
    <w:rsid w:val="009A45EB"/>
    <w:rsid w:val="009B3D26"/>
    <w:rsid w:val="009B4758"/>
    <w:rsid w:val="009F27C8"/>
    <w:rsid w:val="009F455E"/>
    <w:rsid w:val="009F6DF2"/>
    <w:rsid w:val="00A00265"/>
    <w:rsid w:val="00A33744"/>
    <w:rsid w:val="00A53452"/>
    <w:rsid w:val="00A77B3E"/>
    <w:rsid w:val="00A87C33"/>
    <w:rsid w:val="00A92E25"/>
    <w:rsid w:val="00A97156"/>
    <w:rsid w:val="00AA0533"/>
    <w:rsid w:val="00AC6037"/>
    <w:rsid w:val="00B40D29"/>
    <w:rsid w:val="00B97BD0"/>
    <w:rsid w:val="00C27D9B"/>
    <w:rsid w:val="00C44F9B"/>
    <w:rsid w:val="00C84DB1"/>
    <w:rsid w:val="00CA150B"/>
    <w:rsid w:val="00CA2A55"/>
    <w:rsid w:val="00CC236A"/>
    <w:rsid w:val="00CC262D"/>
    <w:rsid w:val="00CE0E77"/>
    <w:rsid w:val="00CE5794"/>
    <w:rsid w:val="00D31367"/>
    <w:rsid w:val="00D51608"/>
    <w:rsid w:val="00D76EB8"/>
    <w:rsid w:val="00D8343E"/>
    <w:rsid w:val="00DC7DB5"/>
    <w:rsid w:val="00DF2143"/>
    <w:rsid w:val="00E00220"/>
    <w:rsid w:val="00E117E7"/>
    <w:rsid w:val="00E350E8"/>
    <w:rsid w:val="00E866B6"/>
    <w:rsid w:val="00EA13EF"/>
    <w:rsid w:val="00EA17A8"/>
    <w:rsid w:val="00F05D63"/>
    <w:rsid w:val="00F066AA"/>
    <w:rsid w:val="00F225A6"/>
    <w:rsid w:val="00F70EB0"/>
    <w:rsid w:val="00FB3004"/>
    <w:rsid w:val="00FC6F43"/>
    <w:rsid w:val="00FE4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9F66"/>
  <w15:docId w15:val="{1413FC9C-E5AF-40F6-B785-B0894266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02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00220"/>
    <w:rPr>
      <w:sz w:val="18"/>
      <w:szCs w:val="18"/>
    </w:rPr>
  </w:style>
  <w:style w:type="paragraph" w:styleId="Footer">
    <w:name w:val="footer"/>
    <w:basedOn w:val="Normal"/>
    <w:link w:val="FooterChar"/>
    <w:uiPriority w:val="99"/>
    <w:unhideWhenUsed/>
    <w:rsid w:val="00E0022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00220"/>
    <w:rPr>
      <w:sz w:val="18"/>
      <w:szCs w:val="18"/>
    </w:rPr>
  </w:style>
  <w:style w:type="character" w:styleId="CommentReference">
    <w:name w:val="annotation reference"/>
    <w:basedOn w:val="DefaultParagraphFont"/>
    <w:semiHidden/>
    <w:unhideWhenUsed/>
    <w:rsid w:val="000E2D8D"/>
    <w:rPr>
      <w:sz w:val="21"/>
      <w:szCs w:val="21"/>
    </w:rPr>
  </w:style>
  <w:style w:type="paragraph" w:styleId="CommentText">
    <w:name w:val="annotation text"/>
    <w:basedOn w:val="Normal"/>
    <w:link w:val="CommentTextChar"/>
    <w:semiHidden/>
    <w:unhideWhenUsed/>
    <w:rsid w:val="000E2D8D"/>
  </w:style>
  <w:style w:type="character" w:customStyle="1" w:styleId="CommentTextChar">
    <w:name w:val="Comment Text Char"/>
    <w:basedOn w:val="DefaultParagraphFont"/>
    <w:link w:val="CommentText"/>
    <w:semiHidden/>
    <w:rsid w:val="000E2D8D"/>
    <w:rPr>
      <w:sz w:val="24"/>
      <w:szCs w:val="24"/>
    </w:rPr>
  </w:style>
  <w:style w:type="paragraph" w:styleId="CommentSubject">
    <w:name w:val="annotation subject"/>
    <w:basedOn w:val="CommentText"/>
    <w:next w:val="CommentText"/>
    <w:link w:val="CommentSubjectChar"/>
    <w:semiHidden/>
    <w:unhideWhenUsed/>
    <w:rsid w:val="000E2D8D"/>
    <w:rPr>
      <w:b/>
      <w:bCs/>
    </w:rPr>
  </w:style>
  <w:style w:type="character" w:customStyle="1" w:styleId="CommentSubjectChar">
    <w:name w:val="Comment Subject Char"/>
    <w:basedOn w:val="CommentTextChar"/>
    <w:link w:val="CommentSubject"/>
    <w:semiHidden/>
    <w:rsid w:val="000E2D8D"/>
    <w:rPr>
      <w:b/>
      <w:bCs/>
      <w:sz w:val="24"/>
      <w:szCs w:val="24"/>
    </w:rPr>
  </w:style>
  <w:style w:type="table" w:styleId="TableGrid">
    <w:name w:val="Table Grid"/>
    <w:basedOn w:val="TableNormal"/>
    <w:uiPriority w:val="99"/>
    <w:qFormat/>
    <w:rsid w:val="00051314"/>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2022-04-22T19:18:00Z</dcterms:created>
  <dcterms:modified xsi:type="dcterms:W3CDTF">2022-04-22T19:23:00Z</dcterms:modified>
</cp:coreProperties>
</file>