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CB0" w:rsidRPr="000D25FB" w:rsidRDefault="005C1A74">
      <w:pPr>
        <w:pStyle w:val="p0"/>
        <w:widowControl w:val="0"/>
        <w:adjustRightInd w:val="0"/>
        <w:snapToGrid w:val="0"/>
        <w:spacing w:line="360" w:lineRule="auto"/>
        <w:rPr>
          <w:rFonts w:ascii="Book Antiqua" w:hAnsi="Book Antiqua"/>
          <w:snapToGrid w:val="0"/>
          <w:color w:val="000000"/>
          <w:sz w:val="24"/>
          <w:szCs w:val="24"/>
        </w:rPr>
      </w:pPr>
      <w:bookmarkStart w:id="0" w:name="OLE_LINK1896"/>
      <w:r w:rsidRPr="000D25FB">
        <w:rPr>
          <w:rFonts w:ascii="Book Antiqua" w:eastAsia="Times New Roman" w:hAnsi="Book Antiqua"/>
          <w:b/>
          <w:snapToGrid w:val="0"/>
          <w:color w:val="0033CC"/>
          <w:sz w:val="24"/>
          <w:szCs w:val="24"/>
        </w:rPr>
        <w:t>Name of journal:</w:t>
      </w:r>
      <w:r w:rsidR="002E3900" w:rsidRPr="000D25FB">
        <w:rPr>
          <w:rFonts w:ascii="Book Antiqua" w:eastAsia="Times New Roman" w:hAnsi="Book Antiqua"/>
          <w:b/>
          <w:snapToGrid w:val="0"/>
          <w:color w:val="000000"/>
          <w:sz w:val="24"/>
          <w:szCs w:val="24"/>
        </w:rPr>
        <w:t xml:space="preserve"> </w:t>
      </w:r>
      <w:bookmarkStart w:id="1" w:name="OLE_LINK718"/>
      <w:bookmarkStart w:id="2" w:name="OLE_LINK719"/>
      <w:bookmarkEnd w:id="0"/>
      <w:r w:rsidR="002E3900" w:rsidRPr="000D25FB">
        <w:rPr>
          <w:rFonts w:ascii="Book Antiqua" w:eastAsia="Times New Roman" w:hAnsi="Book Antiqua"/>
          <w:i/>
          <w:snapToGrid w:val="0"/>
          <w:color w:val="000000"/>
          <w:sz w:val="24"/>
          <w:szCs w:val="24"/>
        </w:rPr>
        <w:t>World Journal of Gastroenterology</w:t>
      </w:r>
      <w:bookmarkEnd w:id="1"/>
      <w:bookmarkEnd w:id="2"/>
    </w:p>
    <w:p w:rsidR="000B3CB0" w:rsidRPr="000D25FB" w:rsidRDefault="002E3900">
      <w:pPr>
        <w:widowControl w:val="0"/>
        <w:adjustRightInd w:val="0"/>
        <w:snapToGrid w:val="0"/>
        <w:spacing w:line="360" w:lineRule="auto"/>
        <w:rPr>
          <w:rFonts w:ascii="Book Antiqua" w:eastAsia="Times New Roman" w:hAnsi="Book Antiqua" w:cs="宋体"/>
          <w:b/>
          <w:i/>
          <w:snapToGrid w:val="0"/>
          <w:color w:val="000000"/>
        </w:rPr>
      </w:pPr>
      <w:r w:rsidRPr="000D25FB">
        <w:rPr>
          <w:rFonts w:ascii="Book Antiqua" w:hAnsi="Book Antiqua" w:cs="Arial"/>
          <w:b/>
          <w:snapToGrid w:val="0"/>
          <w:color w:val="0033CC"/>
        </w:rPr>
        <w:t>ESPS Manuscript NO:</w:t>
      </w:r>
      <w:r w:rsidRPr="000D25FB">
        <w:rPr>
          <w:rFonts w:ascii="Book Antiqua" w:hAnsi="Book Antiqua" w:cs="Arial"/>
          <w:b/>
          <w:snapToGrid w:val="0"/>
          <w:color w:val="222222"/>
        </w:rPr>
        <w:t xml:space="preserve"> </w:t>
      </w:r>
      <w:r w:rsidRPr="000D25FB">
        <w:rPr>
          <w:rFonts w:ascii="Book Antiqua" w:hAnsi="Book Antiqua" w:cs="Arial"/>
          <w:b/>
          <w:snapToGrid w:val="0"/>
          <w:color w:val="222222"/>
          <w:lang w:eastAsia="zh-CN"/>
        </w:rPr>
        <w:t>7302</w:t>
      </w:r>
    </w:p>
    <w:p w:rsidR="000B3CB0" w:rsidRPr="000D25FB" w:rsidRDefault="002E3900">
      <w:pPr>
        <w:widowControl w:val="0"/>
        <w:autoSpaceDE w:val="0"/>
        <w:autoSpaceDN w:val="0"/>
        <w:adjustRightInd w:val="0"/>
        <w:snapToGrid w:val="0"/>
        <w:spacing w:line="360" w:lineRule="auto"/>
        <w:rPr>
          <w:rFonts w:ascii="Book Antiqua" w:hAnsi="Book Antiqua"/>
          <w:b/>
          <w:snapToGrid w:val="0"/>
          <w:color w:val="000000"/>
        </w:rPr>
      </w:pPr>
      <w:r w:rsidRPr="000D25FB">
        <w:rPr>
          <w:rFonts w:ascii="Book Antiqua" w:hAnsi="Book Antiqua"/>
          <w:b/>
          <w:snapToGrid w:val="0"/>
          <w:color w:val="0033CC"/>
        </w:rPr>
        <w:t>Columns:</w:t>
      </w:r>
      <w:r w:rsidRPr="000D25FB">
        <w:rPr>
          <w:rFonts w:ascii="Book Antiqua" w:hAnsi="Book Antiqua"/>
          <w:b/>
          <w:snapToGrid w:val="0"/>
          <w:color w:val="000000"/>
        </w:rPr>
        <w:t xml:space="preserve"> </w:t>
      </w:r>
      <w:r w:rsidRPr="000D25FB">
        <w:rPr>
          <w:rFonts w:ascii="Book Antiqua" w:hAnsi="Book Antiqua"/>
          <w:b/>
          <w:snapToGrid w:val="0"/>
          <w:color w:val="000000"/>
          <w:lang w:eastAsia="zh-CN"/>
        </w:rPr>
        <w:t>CASE REPORT</w:t>
      </w:r>
    </w:p>
    <w:p w:rsidR="000B3CB0" w:rsidRPr="000D25FB" w:rsidRDefault="000B3CB0">
      <w:pPr>
        <w:widowControl w:val="0"/>
        <w:snapToGrid w:val="0"/>
        <w:spacing w:line="360" w:lineRule="auto"/>
        <w:jc w:val="both"/>
        <w:rPr>
          <w:rFonts w:ascii="Book Antiqua" w:hAnsi="Book Antiqua" w:cs="Arial"/>
          <w:b/>
          <w:bCs/>
          <w:snapToGrid w:val="0"/>
          <w:lang w:eastAsia="zh-CN"/>
        </w:rPr>
      </w:pPr>
    </w:p>
    <w:p w:rsidR="000B3CB0" w:rsidRPr="000D25FB" w:rsidRDefault="002E3900">
      <w:pPr>
        <w:widowControl w:val="0"/>
        <w:snapToGrid w:val="0"/>
        <w:spacing w:line="360" w:lineRule="auto"/>
        <w:jc w:val="both"/>
        <w:rPr>
          <w:rFonts w:ascii="Book Antiqua" w:hAnsi="Book Antiqua" w:cs="Arial"/>
          <w:b/>
          <w:bCs/>
          <w:snapToGrid w:val="0"/>
          <w:lang w:eastAsia="zh-CN"/>
        </w:rPr>
      </w:pPr>
      <w:r w:rsidRPr="000D25FB">
        <w:rPr>
          <w:rFonts w:ascii="Book Antiqua" w:hAnsi="Book Antiqua" w:cs="Arial"/>
          <w:b/>
          <w:bCs/>
          <w:snapToGrid w:val="0"/>
        </w:rPr>
        <w:t>Synchronous gallbladder and pancreatic cancer associated with pancreaticobiliary maljunction</w:t>
      </w:r>
    </w:p>
    <w:p w:rsidR="000B3CB0" w:rsidRPr="000D25FB" w:rsidRDefault="000B3CB0">
      <w:pPr>
        <w:widowControl w:val="0"/>
        <w:snapToGrid w:val="0"/>
        <w:spacing w:line="360" w:lineRule="auto"/>
        <w:jc w:val="both"/>
        <w:rPr>
          <w:rFonts w:ascii="Book Antiqua" w:hAnsi="Book Antiqua" w:cs="Arial"/>
          <w:b/>
          <w:bCs/>
          <w:snapToGrid w:val="0"/>
          <w:lang w:eastAsia="zh-CN"/>
        </w:rPr>
      </w:pPr>
    </w:p>
    <w:p w:rsidR="000B3CB0" w:rsidRPr="000D25FB" w:rsidRDefault="002E3900">
      <w:pPr>
        <w:widowControl w:val="0"/>
        <w:snapToGrid w:val="0"/>
        <w:spacing w:line="360" w:lineRule="auto"/>
        <w:jc w:val="both"/>
        <w:rPr>
          <w:rFonts w:ascii="Book Antiqua" w:hAnsi="Book Antiqua" w:cs="Arial"/>
          <w:bCs/>
          <w:snapToGrid w:val="0"/>
          <w:lang w:eastAsia="zh-CN"/>
        </w:rPr>
      </w:pPr>
      <w:r w:rsidRPr="000D25FB">
        <w:rPr>
          <w:rFonts w:ascii="Book Antiqua" w:hAnsi="Book Antiqua" w:cs="Arial"/>
          <w:bCs/>
          <w:snapToGrid w:val="0"/>
        </w:rPr>
        <w:t>Rungsakulkij</w:t>
      </w:r>
      <w:r w:rsidRPr="000D25FB">
        <w:rPr>
          <w:rFonts w:ascii="Book Antiqua" w:hAnsi="Book Antiqua" w:cs="Arial"/>
          <w:bCs/>
          <w:snapToGrid w:val="0"/>
          <w:lang w:eastAsia="zh-CN"/>
        </w:rPr>
        <w:t xml:space="preserve"> N </w:t>
      </w:r>
      <w:r w:rsidRPr="000D25FB">
        <w:rPr>
          <w:rFonts w:ascii="Book Antiqua" w:hAnsi="Book Antiqua" w:cs="Arial"/>
          <w:bCs/>
          <w:i/>
          <w:snapToGrid w:val="0"/>
          <w:lang w:eastAsia="zh-CN"/>
        </w:rPr>
        <w:t>et al</w:t>
      </w:r>
      <w:r w:rsidRPr="000D25FB">
        <w:rPr>
          <w:rFonts w:ascii="Book Antiqua" w:hAnsi="Book Antiqua" w:cs="Arial"/>
          <w:bCs/>
          <w:snapToGrid w:val="0"/>
          <w:lang w:eastAsia="zh-CN"/>
        </w:rPr>
        <w:t xml:space="preserve">. </w:t>
      </w:r>
      <w:r w:rsidRPr="000D25FB">
        <w:rPr>
          <w:rFonts w:ascii="Book Antiqua" w:hAnsi="Book Antiqua" w:cs="Arial"/>
          <w:bCs/>
          <w:snapToGrid w:val="0"/>
        </w:rPr>
        <w:t>Synchronous gallbladder and pancreatic</w:t>
      </w:r>
    </w:p>
    <w:p w:rsidR="000B3CB0" w:rsidRPr="000D25FB" w:rsidRDefault="000B3CB0">
      <w:pPr>
        <w:widowControl w:val="0"/>
        <w:snapToGrid w:val="0"/>
        <w:spacing w:line="360" w:lineRule="auto"/>
        <w:jc w:val="both"/>
        <w:rPr>
          <w:rFonts w:ascii="Book Antiqua" w:hAnsi="Book Antiqua" w:cs="Arial"/>
          <w:snapToGrid w:val="0"/>
          <w:lang w:eastAsia="zh-CN"/>
        </w:rPr>
      </w:pPr>
    </w:p>
    <w:p w:rsidR="000B3CB0" w:rsidRPr="000D25FB" w:rsidRDefault="002E3900">
      <w:pPr>
        <w:widowControl w:val="0"/>
        <w:snapToGrid w:val="0"/>
        <w:spacing w:line="360" w:lineRule="auto"/>
        <w:jc w:val="both"/>
        <w:rPr>
          <w:rFonts w:ascii="Book Antiqua" w:hAnsi="Book Antiqua" w:cs="Arial"/>
          <w:bCs/>
          <w:snapToGrid w:val="0"/>
        </w:rPr>
      </w:pPr>
      <w:r w:rsidRPr="000D25FB">
        <w:rPr>
          <w:rFonts w:ascii="Book Antiqua" w:hAnsi="Book Antiqua" w:cs="Arial"/>
          <w:bCs/>
          <w:snapToGrid w:val="0"/>
        </w:rPr>
        <w:t xml:space="preserve">Narongsak Rungsakulkij, </w:t>
      </w:r>
      <w:r w:rsidRPr="000D25FB">
        <w:rPr>
          <w:rFonts w:ascii="Book Antiqua" w:hAnsi="Book Antiqua" w:cs="-LA numchoke laimuu"/>
          <w:snapToGrid w:val="0"/>
        </w:rPr>
        <w:t>Paisarn Boonsakan</w:t>
      </w:r>
    </w:p>
    <w:p w:rsidR="000B3CB0" w:rsidRPr="000D25FB" w:rsidRDefault="000B3CB0">
      <w:pPr>
        <w:widowControl w:val="0"/>
        <w:snapToGrid w:val="0"/>
        <w:spacing w:line="360" w:lineRule="auto"/>
        <w:jc w:val="both"/>
        <w:rPr>
          <w:rFonts w:ascii="Book Antiqua" w:hAnsi="Book Antiqua" w:cs="Arial"/>
          <w:snapToGrid w:val="0"/>
          <w:vertAlign w:val="superscript"/>
        </w:rPr>
      </w:pPr>
    </w:p>
    <w:p w:rsidR="000B3CB0" w:rsidRPr="000D25FB" w:rsidRDefault="002E3900">
      <w:pPr>
        <w:widowControl w:val="0"/>
        <w:snapToGrid w:val="0"/>
        <w:spacing w:line="360" w:lineRule="auto"/>
        <w:jc w:val="both"/>
        <w:rPr>
          <w:rFonts w:ascii="Book Antiqua" w:hAnsi="Book Antiqua" w:cs="Arial"/>
          <w:bCs/>
          <w:snapToGrid w:val="0"/>
          <w:lang w:eastAsia="zh-CN"/>
        </w:rPr>
      </w:pPr>
      <w:r w:rsidRPr="000D25FB">
        <w:rPr>
          <w:rFonts w:ascii="Book Antiqua" w:hAnsi="Book Antiqua" w:cs="Arial"/>
          <w:b/>
          <w:bCs/>
          <w:snapToGrid w:val="0"/>
        </w:rPr>
        <w:t>Narongsak Rungsakulkij,</w:t>
      </w:r>
      <w:r w:rsidRPr="000D25FB">
        <w:rPr>
          <w:rFonts w:ascii="Book Antiqua" w:hAnsi="Book Antiqua" w:cs="Arial"/>
          <w:bCs/>
          <w:snapToGrid w:val="0"/>
        </w:rPr>
        <w:t xml:space="preserve"> Department of Surgery, Ramathibodi Hospital, Mahidol University, Bangkok</w:t>
      </w:r>
      <w:r w:rsidRPr="000D25FB">
        <w:rPr>
          <w:rFonts w:ascii="Book Antiqua" w:hAnsi="Book Antiqua" w:cs="Arial"/>
          <w:bCs/>
          <w:snapToGrid w:val="0"/>
          <w:lang w:eastAsia="zh-CN"/>
        </w:rPr>
        <w:t xml:space="preserve"> </w:t>
      </w:r>
      <w:r w:rsidRPr="000D25FB">
        <w:rPr>
          <w:rFonts w:ascii="Book Antiqua" w:hAnsi="Book Antiqua"/>
          <w:snapToGrid w:val="0"/>
        </w:rPr>
        <w:t>10400</w:t>
      </w:r>
      <w:r w:rsidRPr="000D25FB">
        <w:rPr>
          <w:rFonts w:ascii="Book Antiqua" w:hAnsi="Book Antiqua" w:cs="Arial"/>
          <w:bCs/>
          <w:snapToGrid w:val="0"/>
        </w:rPr>
        <w:t>, Thailand</w:t>
      </w:r>
    </w:p>
    <w:p w:rsidR="000B3CB0" w:rsidRPr="000D25FB" w:rsidRDefault="000B3CB0">
      <w:pPr>
        <w:widowControl w:val="0"/>
        <w:snapToGrid w:val="0"/>
        <w:spacing w:line="360" w:lineRule="auto"/>
        <w:jc w:val="both"/>
        <w:rPr>
          <w:rFonts w:ascii="Book Antiqua" w:hAnsi="Book Antiqua" w:cs="Arial"/>
          <w:bCs/>
          <w:snapToGrid w:val="0"/>
          <w:lang w:eastAsia="zh-CN"/>
        </w:rPr>
      </w:pPr>
    </w:p>
    <w:p w:rsidR="000B3CB0" w:rsidRPr="000D25FB" w:rsidRDefault="002E3900">
      <w:pPr>
        <w:widowControl w:val="0"/>
        <w:snapToGrid w:val="0"/>
        <w:spacing w:line="360" w:lineRule="auto"/>
        <w:jc w:val="both"/>
        <w:rPr>
          <w:rFonts w:ascii="Book Antiqua" w:hAnsi="Book Antiqua" w:cs="Arial"/>
          <w:bCs/>
          <w:snapToGrid w:val="0"/>
        </w:rPr>
      </w:pPr>
      <w:r w:rsidRPr="000D25FB">
        <w:rPr>
          <w:rFonts w:ascii="Book Antiqua" w:hAnsi="Book Antiqua" w:cs="-LA numchoke laimuu"/>
          <w:b/>
          <w:snapToGrid w:val="0"/>
        </w:rPr>
        <w:t>Paisarn Boonsakan</w:t>
      </w:r>
      <w:r w:rsidRPr="000D25FB">
        <w:rPr>
          <w:rFonts w:ascii="Book Antiqua" w:hAnsi="Book Antiqua" w:cs="Arial"/>
          <w:b/>
          <w:bCs/>
          <w:snapToGrid w:val="0"/>
        </w:rPr>
        <w:t>,</w:t>
      </w:r>
      <w:r w:rsidRPr="000D25FB">
        <w:rPr>
          <w:rFonts w:ascii="Book Antiqua" w:hAnsi="Book Antiqua" w:cs="Arial"/>
          <w:bCs/>
          <w:snapToGrid w:val="0"/>
          <w:vertAlign w:val="superscript"/>
          <w:lang w:eastAsia="zh-CN"/>
        </w:rPr>
        <w:t xml:space="preserve"> </w:t>
      </w:r>
      <w:r w:rsidRPr="000D25FB">
        <w:rPr>
          <w:rFonts w:ascii="Book Antiqua" w:hAnsi="Book Antiqua" w:cs="Arial"/>
          <w:bCs/>
          <w:snapToGrid w:val="0"/>
        </w:rPr>
        <w:t>Department of Pathology, Ramathibodi Hospital, Mahidol University, Bangkok</w:t>
      </w:r>
      <w:r w:rsidRPr="000D25FB">
        <w:rPr>
          <w:rFonts w:ascii="Book Antiqua" w:hAnsi="Book Antiqua" w:cs="Arial"/>
          <w:bCs/>
          <w:snapToGrid w:val="0"/>
          <w:lang w:eastAsia="zh-CN"/>
        </w:rPr>
        <w:t xml:space="preserve"> </w:t>
      </w:r>
      <w:r w:rsidRPr="000D25FB">
        <w:rPr>
          <w:rFonts w:ascii="Book Antiqua" w:hAnsi="Book Antiqua"/>
          <w:snapToGrid w:val="0"/>
        </w:rPr>
        <w:t>10400</w:t>
      </w:r>
      <w:r w:rsidRPr="000D25FB">
        <w:rPr>
          <w:rFonts w:ascii="Book Antiqua" w:hAnsi="Book Antiqua" w:cs="Arial"/>
          <w:bCs/>
          <w:snapToGrid w:val="0"/>
        </w:rPr>
        <w:t xml:space="preserve">, Thailand </w:t>
      </w:r>
    </w:p>
    <w:p w:rsidR="000B3CB0" w:rsidRPr="000D25FB" w:rsidRDefault="000B3CB0">
      <w:pPr>
        <w:widowControl w:val="0"/>
        <w:snapToGrid w:val="0"/>
        <w:spacing w:line="360" w:lineRule="auto"/>
        <w:jc w:val="both"/>
        <w:rPr>
          <w:rFonts w:ascii="Book Antiqua" w:hAnsi="Book Antiqua" w:cs="Arial"/>
          <w:snapToGrid w:val="0"/>
          <w:lang w:eastAsia="zh-CN"/>
        </w:rPr>
      </w:pPr>
    </w:p>
    <w:p w:rsidR="000B3CB0" w:rsidRPr="000D25FB" w:rsidRDefault="002E3900">
      <w:pPr>
        <w:widowControl w:val="0"/>
        <w:snapToGrid w:val="0"/>
        <w:spacing w:line="360" w:lineRule="auto"/>
        <w:jc w:val="both"/>
        <w:rPr>
          <w:rFonts w:ascii="Book Antiqua" w:hAnsi="Book Antiqua" w:cs="Arial"/>
          <w:snapToGrid w:val="0"/>
          <w:lang w:eastAsia="zh-CN"/>
        </w:rPr>
      </w:pPr>
      <w:r w:rsidRPr="000D25FB">
        <w:rPr>
          <w:rFonts w:ascii="Book Antiqua" w:hAnsi="Book Antiqua"/>
          <w:b/>
          <w:snapToGrid w:val="0"/>
        </w:rPr>
        <w:t>Author contributions:</w:t>
      </w:r>
      <w:r w:rsidRPr="000D25FB">
        <w:rPr>
          <w:rFonts w:ascii="Book Antiqua" w:hAnsi="Book Antiqua" w:cs="Arial"/>
          <w:bCs/>
          <w:snapToGrid w:val="0"/>
        </w:rPr>
        <w:t xml:space="preserve"> Rungsakulkij</w:t>
      </w:r>
      <w:r w:rsidRPr="000D25FB">
        <w:rPr>
          <w:rFonts w:ascii="Book Antiqua" w:hAnsi="Book Antiqua" w:cs="Arial"/>
          <w:bCs/>
          <w:snapToGrid w:val="0"/>
          <w:lang w:eastAsia="zh-CN"/>
        </w:rPr>
        <w:t xml:space="preserve"> N and </w:t>
      </w:r>
      <w:r w:rsidRPr="000D25FB">
        <w:rPr>
          <w:rFonts w:ascii="Book Antiqua" w:hAnsi="Book Antiqua" w:cs="-LA numchoke laimuu"/>
          <w:snapToGrid w:val="0"/>
        </w:rPr>
        <w:t>Boonsakan</w:t>
      </w:r>
      <w:r w:rsidRPr="000D25FB">
        <w:rPr>
          <w:rFonts w:ascii="Book Antiqua" w:hAnsi="Book Antiqua" w:cs="-LA numchoke laimuu"/>
          <w:snapToGrid w:val="0"/>
          <w:lang w:eastAsia="zh-CN"/>
        </w:rPr>
        <w:t xml:space="preserve"> P contributed equally to this manuscript.</w:t>
      </w:r>
    </w:p>
    <w:p w:rsidR="000B3CB0" w:rsidRPr="000D25FB" w:rsidRDefault="000B3CB0">
      <w:pPr>
        <w:widowControl w:val="0"/>
        <w:snapToGrid w:val="0"/>
        <w:spacing w:line="360" w:lineRule="auto"/>
        <w:jc w:val="both"/>
        <w:rPr>
          <w:rFonts w:ascii="Book Antiqua" w:hAnsi="Book Antiqua" w:cs="Arial"/>
          <w:snapToGrid w:val="0"/>
          <w:lang w:eastAsia="zh-CN"/>
        </w:rPr>
      </w:pPr>
    </w:p>
    <w:p w:rsidR="000B3CB0" w:rsidRPr="000D25FB" w:rsidRDefault="002E3900">
      <w:pPr>
        <w:widowControl w:val="0"/>
        <w:snapToGrid w:val="0"/>
        <w:spacing w:line="360" w:lineRule="auto"/>
        <w:jc w:val="both"/>
        <w:rPr>
          <w:rFonts w:ascii="Book Antiqua" w:hAnsi="Book Antiqua"/>
          <w:snapToGrid w:val="0"/>
        </w:rPr>
      </w:pPr>
      <w:r w:rsidRPr="000D25FB">
        <w:rPr>
          <w:rFonts w:ascii="Book Antiqua" w:hAnsi="Book Antiqua"/>
          <w:b/>
          <w:bCs/>
          <w:snapToGrid w:val="0"/>
        </w:rPr>
        <w:t>Correspondence</w:t>
      </w:r>
      <w:r w:rsidRPr="000D25FB">
        <w:rPr>
          <w:rFonts w:ascii="Book Antiqua" w:hAnsi="Book Antiqua"/>
          <w:b/>
          <w:bCs/>
          <w:snapToGrid w:val="0"/>
          <w:lang w:eastAsia="zh-CN"/>
        </w:rPr>
        <w:t xml:space="preserve"> to</w:t>
      </w:r>
      <w:r w:rsidRPr="000D25FB">
        <w:rPr>
          <w:rFonts w:ascii="Book Antiqua" w:hAnsi="Book Antiqua"/>
          <w:b/>
          <w:bCs/>
          <w:snapToGrid w:val="0"/>
        </w:rPr>
        <w:t xml:space="preserve">: </w:t>
      </w:r>
      <w:r w:rsidRPr="000D25FB">
        <w:rPr>
          <w:rFonts w:ascii="Book Antiqua" w:hAnsi="Book Antiqua"/>
          <w:b/>
          <w:snapToGrid w:val="0"/>
        </w:rPr>
        <w:t>Narongsak Rungsakulkij</w:t>
      </w:r>
      <w:r w:rsidRPr="000D25FB">
        <w:rPr>
          <w:rFonts w:ascii="Book Antiqua" w:hAnsi="Book Antiqua" w:cs="-LA numchoke laimuu"/>
          <w:b/>
          <w:snapToGrid w:val="0"/>
          <w:lang w:eastAsia="zh-CN"/>
        </w:rPr>
        <w:t xml:space="preserve">, </w:t>
      </w:r>
      <w:r w:rsidRPr="000D25FB">
        <w:rPr>
          <w:rFonts w:ascii="Book Antiqua" w:hAnsi="Book Antiqua" w:cs="-LA numchoke laimuu"/>
          <w:b/>
          <w:snapToGrid w:val="0"/>
        </w:rPr>
        <w:t>MD</w:t>
      </w:r>
      <w:r w:rsidRPr="000D25FB">
        <w:rPr>
          <w:rFonts w:ascii="Book Antiqua" w:hAnsi="Book Antiqua" w:cs="-LA numchoke laimuu"/>
          <w:b/>
          <w:snapToGrid w:val="0"/>
          <w:lang w:eastAsia="zh-CN"/>
        </w:rPr>
        <w:t xml:space="preserve">, </w:t>
      </w:r>
      <w:r w:rsidRPr="000D25FB">
        <w:rPr>
          <w:rFonts w:ascii="Book Antiqua" w:hAnsi="Book Antiqua"/>
          <w:snapToGrid w:val="0"/>
        </w:rPr>
        <w:t>Department of Surgery, Ramathibodi Hospital, Mahidol University, 270 Rama VI Road, Bangkok 10400, Thailand.</w:t>
      </w:r>
      <w:r w:rsidRPr="000D25FB">
        <w:rPr>
          <w:rFonts w:ascii="Book Antiqua" w:hAnsi="Book Antiqua"/>
          <w:b/>
          <w:bCs/>
          <w:snapToGrid w:val="0"/>
          <w:lang w:eastAsia="zh-CN"/>
        </w:rPr>
        <w:t xml:space="preserve"> </w:t>
      </w:r>
      <w:r w:rsidRPr="000D25FB">
        <w:rPr>
          <w:rFonts w:ascii="Book Antiqua" w:hAnsi="Book Antiqua"/>
          <w:snapToGrid w:val="0"/>
        </w:rPr>
        <w:t>narongsak.run@mahidol.ac.th</w:t>
      </w:r>
    </w:p>
    <w:p w:rsidR="000B3CB0" w:rsidRPr="000D25FB" w:rsidRDefault="000B3CB0">
      <w:pPr>
        <w:widowControl w:val="0"/>
        <w:autoSpaceDE w:val="0"/>
        <w:autoSpaceDN w:val="0"/>
        <w:adjustRightInd w:val="0"/>
        <w:snapToGrid w:val="0"/>
        <w:spacing w:line="360" w:lineRule="auto"/>
        <w:rPr>
          <w:rFonts w:ascii="Book Antiqua" w:hAnsi="Book Antiqua" w:cs="Arial"/>
          <w:b/>
          <w:bCs/>
          <w:snapToGrid w:val="0"/>
          <w:lang w:eastAsia="zh-CN"/>
        </w:rPr>
      </w:pPr>
    </w:p>
    <w:p w:rsidR="000B3CB0" w:rsidRPr="000D25FB" w:rsidRDefault="002E3900">
      <w:pPr>
        <w:widowControl w:val="0"/>
        <w:autoSpaceDE w:val="0"/>
        <w:autoSpaceDN w:val="0"/>
        <w:adjustRightInd w:val="0"/>
        <w:snapToGrid w:val="0"/>
        <w:spacing w:line="360" w:lineRule="auto"/>
        <w:rPr>
          <w:rFonts w:ascii="Book Antiqua" w:hAnsi="Book Antiqua"/>
          <w:b/>
          <w:snapToGrid w:val="0"/>
          <w:color w:val="000000"/>
        </w:rPr>
      </w:pPr>
      <w:r w:rsidRPr="000D25FB">
        <w:rPr>
          <w:rFonts w:ascii="Book Antiqua" w:hAnsi="Book Antiqua"/>
          <w:b/>
          <w:bCs/>
          <w:snapToGrid w:val="0"/>
          <w:color w:val="000000"/>
        </w:rPr>
        <w:t xml:space="preserve">Telephone: </w:t>
      </w:r>
      <w:bookmarkStart w:id="3" w:name="OLE_LINK1415"/>
      <w:bookmarkStart w:id="4" w:name="OLE_LINK1416"/>
      <w:bookmarkStart w:id="5" w:name="OLE_LINK1417"/>
      <w:r w:rsidRPr="000D25FB">
        <w:rPr>
          <w:rFonts w:ascii="Book Antiqua" w:hAnsi="Book Antiqua"/>
          <w:snapToGrid w:val="0"/>
          <w:color w:val="000000"/>
        </w:rPr>
        <w:t>+</w:t>
      </w:r>
      <w:bookmarkStart w:id="6" w:name="OLE_LINK42"/>
      <w:bookmarkStart w:id="7" w:name="OLE_LINK128"/>
      <w:bookmarkStart w:id="8" w:name="OLE_LINK440"/>
      <w:bookmarkStart w:id="9" w:name="OLE_LINK951"/>
      <w:bookmarkStart w:id="10" w:name="OLE_LINK955"/>
      <w:bookmarkEnd w:id="3"/>
      <w:bookmarkEnd w:id="4"/>
      <w:bookmarkEnd w:id="5"/>
      <w:r w:rsidRPr="000D25FB">
        <w:rPr>
          <w:rFonts w:ascii="Book Antiqua" w:hAnsi="Book Antiqua" w:cs="Arial"/>
          <w:bCs/>
          <w:snapToGrid w:val="0"/>
          <w:lang w:eastAsia="zh-CN"/>
        </w:rPr>
        <w:t>66-2-2011315</w:t>
      </w:r>
      <w:r w:rsidRPr="000D25FB">
        <w:rPr>
          <w:rFonts w:ascii="Book Antiqua" w:hAnsi="Book Antiqua" w:cs="Arial"/>
          <w:b/>
          <w:bCs/>
          <w:snapToGrid w:val="0"/>
          <w:lang w:eastAsia="zh-CN"/>
        </w:rPr>
        <w:t xml:space="preserve">      </w:t>
      </w:r>
      <w:r w:rsidRPr="000D25FB">
        <w:rPr>
          <w:rFonts w:ascii="Book Antiqua" w:hAnsi="Book Antiqua"/>
          <w:b/>
          <w:bCs/>
          <w:snapToGrid w:val="0"/>
          <w:color w:val="000000"/>
        </w:rPr>
        <w:t>Fax:</w:t>
      </w:r>
      <w:r w:rsidRPr="000D25FB">
        <w:rPr>
          <w:rFonts w:ascii="Book Antiqua" w:hAnsi="Book Antiqua"/>
          <w:snapToGrid w:val="0"/>
          <w:color w:val="000000"/>
        </w:rPr>
        <w:t xml:space="preserve"> +</w:t>
      </w:r>
      <w:bookmarkEnd w:id="6"/>
      <w:bookmarkEnd w:id="7"/>
      <w:bookmarkEnd w:id="8"/>
      <w:r w:rsidRPr="000D25FB">
        <w:rPr>
          <w:rFonts w:ascii="Book Antiqua" w:hAnsi="Book Antiqua" w:cs="Arial"/>
          <w:bCs/>
          <w:snapToGrid w:val="0"/>
          <w:lang w:eastAsia="zh-CN"/>
        </w:rPr>
        <w:t>66-2-2011316</w:t>
      </w:r>
    </w:p>
    <w:p w:rsidR="000B3CB0" w:rsidRPr="000D25FB" w:rsidRDefault="002E3900">
      <w:pPr>
        <w:widowControl w:val="0"/>
        <w:adjustRightInd w:val="0"/>
        <w:snapToGrid w:val="0"/>
        <w:spacing w:line="360" w:lineRule="auto"/>
        <w:rPr>
          <w:rFonts w:ascii="Book Antiqua" w:hAnsi="Book Antiqua"/>
          <w:b/>
          <w:snapToGrid w:val="0"/>
        </w:rPr>
      </w:pPr>
      <w:bookmarkStart w:id="11" w:name="OLE_LINK25"/>
      <w:bookmarkStart w:id="12" w:name="OLE_LINK26"/>
      <w:bookmarkStart w:id="13" w:name="OLE_LINK145"/>
      <w:bookmarkStart w:id="14" w:name="OLE_LINK215"/>
      <w:bookmarkStart w:id="15" w:name="OLE_LINK352"/>
      <w:bookmarkStart w:id="16" w:name="OLE_LINK364"/>
      <w:bookmarkStart w:id="17" w:name="OLE_LINK383"/>
      <w:bookmarkStart w:id="18" w:name="OLE_LINK361"/>
      <w:bookmarkStart w:id="19" w:name="OLE_LINK444"/>
      <w:bookmarkStart w:id="20" w:name="OLE_LINK501"/>
      <w:bookmarkStart w:id="21" w:name="OLE_LINK572"/>
      <w:bookmarkStart w:id="22" w:name="OLE_LINK573"/>
      <w:bookmarkStart w:id="23" w:name="OLE_LINK756"/>
      <w:bookmarkStart w:id="24" w:name="OLE_LINK757"/>
      <w:bookmarkStart w:id="25" w:name="OLE_LINK805"/>
      <w:bookmarkStart w:id="26" w:name="OLE_LINK806"/>
      <w:bookmarkStart w:id="27" w:name="OLE_LINK958"/>
      <w:bookmarkStart w:id="28" w:name="OLE_LINK1018"/>
      <w:bookmarkStart w:id="29" w:name="OLE_LINK1059"/>
      <w:bookmarkStart w:id="30" w:name="OLE_LINK1122"/>
      <w:bookmarkStart w:id="31" w:name="OLE_LINK1123"/>
      <w:bookmarkStart w:id="32" w:name="OLE_LINK1402"/>
      <w:bookmarkStart w:id="33" w:name="OLE_LINK1750"/>
      <w:bookmarkStart w:id="34" w:name="OLE_LINK1751"/>
      <w:bookmarkStart w:id="35" w:name="OLE_LINK1832"/>
      <w:bookmarkStart w:id="36" w:name="OLE_LINK1878"/>
      <w:bookmarkStart w:id="37" w:name="OLE_LINK1917"/>
      <w:bookmarkStart w:id="38" w:name="OLE_LINK1918"/>
      <w:bookmarkStart w:id="39" w:name="OLE_LINK1985"/>
      <w:bookmarkStart w:id="40" w:name="OLE_LINK1986"/>
      <w:bookmarkStart w:id="41" w:name="OLE_LINK1927"/>
      <w:bookmarkStart w:id="42" w:name="OLE_LINK1928"/>
      <w:bookmarkStart w:id="43" w:name="OLE_LINK2044"/>
      <w:bookmarkStart w:id="44" w:name="OLE_LINK2352"/>
      <w:bookmarkStart w:id="45" w:name="OLE_LINK2220"/>
      <w:bookmarkStart w:id="46" w:name="OLE_LINK2344"/>
      <w:bookmarkStart w:id="47" w:name="OLE_LINK2347"/>
      <w:bookmarkStart w:id="48" w:name="OLE_LINK2626"/>
      <w:bookmarkStart w:id="49" w:name="OLE_LINK2390"/>
      <w:bookmarkStart w:id="50" w:name="OLE_LINK2752"/>
      <w:bookmarkStart w:id="51" w:name="OLE_LINK2753"/>
      <w:bookmarkStart w:id="52" w:name="OLE_LINK2855"/>
      <w:bookmarkStart w:id="53" w:name="OLE_LINK2992"/>
      <w:bookmarkStart w:id="54" w:name="OLE_LINK3241"/>
      <w:bookmarkStart w:id="55" w:name="OLE_LINK2682"/>
      <w:r w:rsidRPr="000D25FB">
        <w:rPr>
          <w:rFonts w:ascii="Book Antiqua" w:hAnsi="Book Antiqua"/>
          <w:b/>
          <w:snapToGrid w:val="0"/>
        </w:rPr>
        <w:t xml:space="preserve">Received: </w:t>
      </w:r>
      <w:r w:rsidRPr="000D25FB">
        <w:rPr>
          <w:rFonts w:ascii="Book Antiqua" w:hAnsi="Book Antiqua"/>
          <w:snapToGrid w:val="0"/>
          <w:lang w:eastAsia="zh-CN"/>
        </w:rPr>
        <w:t>November 12, 2013</w:t>
      </w:r>
      <w:r w:rsidRPr="000D25FB">
        <w:rPr>
          <w:rFonts w:ascii="Book Antiqua" w:hAnsi="Book Antiqua"/>
          <w:b/>
          <w:snapToGrid w:val="0"/>
          <w:lang w:eastAsia="zh-CN"/>
        </w:rPr>
        <w:t xml:space="preserve">  </w:t>
      </w:r>
      <w:r w:rsidRPr="000D25FB">
        <w:rPr>
          <w:rFonts w:ascii="Book Antiqua" w:hAnsi="Book Antiqua"/>
          <w:b/>
          <w:snapToGrid w:val="0"/>
        </w:rPr>
        <w:t xml:space="preserve"> Revised: </w:t>
      </w:r>
      <w:bookmarkEnd w:id="11"/>
      <w:bookmarkEnd w:id="12"/>
      <w:r w:rsidRPr="000D25FB">
        <w:rPr>
          <w:rFonts w:ascii="Book Antiqua" w:hAnsi="Book Antiqua"/>
          <w:snapToGrid w:val="0"/>
          <w:lang w:eastAsia="zh-CN"/>
        </w:rPr>
        <w:t>June 25, 2014</w:t>
      </w:r>
      <w:r w:rsidRPr="000D25FB">
        <w:rPr>
          <w:rFonts w:ascii="Book Antiqua" w:hAnsi="Book Antiqua"/>
          <w:b/>
          <w:snapToGrid w:val="0"/>
        </w:rPr>
        <w:t xml:space="preserve"> </w:t>
      </w:r>
      <w:bookmarkStart w:id="56" w:name="OLE_LINK103"/>
      <w:bookmarkStart w:id="57" w:name="OLE_LINK104"/>
      <w:bookmarkStart w:id="58" w:name="OLE_LINK69"/>
      <w:bookmarkStart w:id="59" w:name="OLE_LINK70"/>
    </w:p>
    <w:p w:rsidR="00960296" w:rsidRDefault="002E3900" w:rsidP="00960296">
      <w:pPr>
        <w:rPr>
          <w:rFonts w:ascii="Book Antiqua" w:hAnsi="Book Antiqua"/>
          <w:color w:val="000000"/>
        </w:rPr>
      </w:pPr>
      <w:bookmarkStart w:id="60" w:name="OLE_LINK303"/>
      <w:bookmarkStart w:id="61" w:name="OLE_LINK304"/>
      <w:bookmarkStart w:id="62" w:name="OLE_LINK1382"/>
      <w:bookmarkStart w:id="63" w:name="OLE_LINK2188"/>
      <w:bookmarkStart w:id="64" w:name="OLE_LINK2189"/>
      <w:bookmarkStart w:id="65" w:name="OLE_LINK2615"/>
      <w:r w:rsidRPr="000D25FB">
        <w:rPr>
          <w:rFonts w:ascii="Book Antiqua" w:hAnsi="Book Antiqua"/>
          <w:b/>
          <w:snapToGrid w:val="0"/>
        </w:rPr>
        <w:t xml:space="preserve">Accepted: </w:t>
      </w:r>
      <w:bookmarkStart w:id="66" w:name="OLE_LINK1"/>
      <w:bookmarkStart w:id="67" w:name="OLE_LINK2"/>
      <w:bookmarkStart w:id="68" w:name="OLE_LINK3"/>
      <w:bookmarkStart w:id="69" w:name="OLE_LINK4"/>
      <w:bookmarkStart w:id="70" w:name="OLE_LINK5"/>
      <w:bookmarkStart w:id="71" w:name="OLE_LINK6"/>
      <w:bookmarkStart w:id="72" w:name="OLE_LINK7"/>
      <w:bookmarkStart w:id="73" w:name="OLE_LINK9"/>
      <w:bookmarkStart w:id="74" w:name="OLE_LINK10"/>
      <w:bookmarkStart w:id="75" w:name="OLE_LINK13"/>
      <w:bookmarkStart w:id="76" w:name="OLE_LINK14"/>
      <w:bookmarkStart w:id="77" w:name="OLE_LINK17"/>
      <w:bookmarkStart w:id="78" w:name="OLE_LINK18"/>
      <w:bookmarkStart w:id="79" w:name="OLE_LINK19"/>
      <w:bookmarkStart w:id="80" w:name="OLE_LINK22"/>
      <w:bookmarkStart w:id="81" w:name="OLE_LINK24"/>
      <w:bookmarkStart w:id="82" w:name="OLE_LINK27"/>
      <w:bookmarkStart w:id="83" w:name="OLE_LINK28"/>
      <w:bookmarkStart w:id="84" w:name="OLE_LINK29"/>
      <w:bookmarkStart w:id="85" w:name="OLE_LINK30"/>
      <w:bookmarkStart w:id="86" w:name="OLE_LINK31"/>
      <w:bookmarkStart w:id="87" w:name="OLE_LINK32"/>
      <w:bookmarkStart w:id="88" w:name="OLE_LINK34"/>
      <w:bookmarkStart w:id="89" w:name="OLE_LINK36"/>
      <w:bookmarkStart w:id="90" w:name="OLE_LINK37"/>
      <w:bookmarkStart w:id="91" w:name="OLE_LINK38"/>
      <w:bookmarkStart w:id="92" w:name="OLE_LINK41"/>
      <w:bookmarkStart w:id="93" w:name="OLE_LINK44"/>
      <w:bookmarkStart w:id="94" w:name="OLE_LINK45"/>
      <w:bookmarkStart w:id="95" w:name="OLE_LINK46"/>
      <w:bookmarkStart w:id="96" w:name="OLE_LINK47"/>
      <w:bookmarkStart w:id="97" w:name="OLE_LINK52"/>
      <w:bookmarkStart w:id="98" w:name="OLE_LINK43"/>
      <w:bookmarkStart w:id="99" w:name="OLE_LINK57"/>
      <w:bookmarkStart w:id="100" w:name="OLE_LINK58"/>
      <w:bookmarkStart w:id="101" w:name="OLE_LINK8"/>
      <w:bookmarkStart w:id="102" w:name="OLE_LINK62"/>
      <w:bookmarkStart w:id="103" w:name="OLE_LINK66"/>
      <w:bookmarkStart w:id="104" w:name="OLE_LINK68"/>
      <w:bookmarkStart w:id="105" w:name="OLE_LINK71"/>
      <w:bookmarkStart w:id="106" w:name="OLE_LINK74"/>
      <w:bookmarkStart w:id="107" w:name="OLE_LINK77"/>
      <w:bookmarkStart w:id="108" w:name="OLE_LINK78"/>
      <w:bookmarkStart w:id="109" w:name="OLE_LINK72"/>
      <w:bookmarkStart w:id="110" w:name="OLE_LINK73"/>
      <w:bookmarkStart w:id="111" w:name="OLE_LINK79"/>
      <w:r w:rsidR="00960296">
        <w:rPr>
          <w:rFonts w:ascii="Book Antiqua" w:hAnsi="Book Antiqua"/>
          <w:color w:val="000000"/>
        </w:rPr>
        <w:t>July 24, 2014</w:t>
      </w:r>
    </w:p>
    <w:p w:rsidR="000B3CB0" w:rsidRPr="000D25FB" w:rsidRDefault="000B3CB0">
      <w:pPr>
        <w:widowControl w:val="0"/>
        <w:adjustRightInd w:val="0"/>
        <w:snapToGrid w:val="0"/>
        <w:spacing w:line="360" w:lineRule="auto"/>
        <w:rPr>
          <w:rFonts w:ascii="Book Antiqua" w:hAnsi="Book Antiqua"/>
          <w:b/>
          <w:snapToGrid w:val="0"/>
        </w:rPr>
      </w:pPr>
      <w:bookmarkStart w:id="112" w:name="_GoBack"/>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0B3CB0" w:rsidRPr="000D25FB" w:rsidRDefault="002E3900">
      <w:pPr>
        <w:widowControl w:val="0"/>
        <w:adjustRightInd w:val="0"/>
        <w:snapToGrid w:val="0"/>
        <w:spacing w:line="360" w:lineRule="auto"/>
        <w:rPr>
          <w:rFonts w:ascii="Book Antiqua" w:hAnsi="Book Antiqua"/>
          <w:b/>
          <w:snapToGrid w:val="0"/>
        </w:rPr>
      </w:pPr>
      <w:r w:rsidRPr="000D25FB">
        <w:rPr>
          <w:rFonts w:ascii="Book Antiqua" w:hAnsi="Book Antiqua"/>
          <w:b/>
          <w:snapToGrid w:val="0"/>
        </w:rPr>
        <w:t xml:space="preserve">Published online: </w:t>
      </w:r>
      <w:bookmarkEnd w:id="56"/>
      <w:bookmarkEnd w:id="57"/>
    </w:p>
    <w:bookmarkEnd w:id="9"/>
    <w:bookmarkEnd w:id="1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8"/>
    <w:bookmarkEnd w:id="59"/>
    <w:bookmarkEnd w:id="60"/>
    <w:bookmarkEnd w:id="61"/>
    <w:bookmarkEnd w:id="62"/>
    <w:bookmarkEnd w:id="63"/>
    <w:bookmarkEnd w:id="64"/>
    <w:bookmarkEnd w:id="65"/>
    <w:p w:rsidR="000B3CB0" w:rsidRPr="000D25FB" w:rsidRDefault="000B3CB0">
      <w:pPr>
        <w:widowControl w:val="0"/>
        <w:snapToGrid w:val="0"/>
        <w:spacing w:line="360" w:lineRule="auto"/>
        <w:jc w:val="both"/>
        <w:rPr>
          <w:rFonts w:ascii="Book Antiqua" w:hAnsi="Book Antiqua" w:cs="Arial"/>
          <w:snapToGrid w:val="0"/>
        </w:rPr>
      </w:pPr>
    </w:p>
    <w:p w:rsidR="000B3CB0" w:rsidRPr="000D25FB" w:rsidRDefault="002E3900">
      <w:pPr>
        <w:widowControl w:val="0"/>
        <w:snapToGrid w:val="0"/>
        <w:spacing w:line="360" w:lineRule="auto"/>
        <w:jc w:val="both"/>
        <w:rPr>
          <w:rFonts w:ascii="Book Antiqua" w:hAnsi="Book Antiqua" w:cs="Arial"/>
          <w:b/>
          <w:snapToGrid w:val="0"/>
        </w:rPr>
      </w:pPr>
      <w:r w:rsidRPr="000D25FB">
        <w:rPr>
          <w:rFonts w:ascii="Book Antiqua" w:hAnsi="Book Antiqua" w:cs="Arial"/>
          <w:b/>
          <w:snapToGrid w:val="0"/>
        </w:rPr>
        <w:br w:type="page"/>
      </w:r>
    </w:p>
    <w:p w:rsidR="000B3CB0" w:rsidRPr="000D25FB" w:rsidRDefault="002E3900">
      <w:pPr>
        <w:widowControl w:val="0"/>
        <w:snapToGrid w:val="0"/>
        <w:spacing w:line="360" w:lineRule="auto"/>
        <w:jc w:val="both"/>
        <w:rPr>
          <w:rFonts w:ascii="Book Antiqua" w:hAnsi="Book Antiqua" w:cs="Arial"/>
          <w:b/>
          <w:snapToGrid w:val="0"/>
        </w:rPr>
      </w:pPr>
      <w:r w:rsidRPr="000D25FB">
        <w:rPr>
          <w:rFonts w:ascii="Book Antiqua" w:hAnsi="Book Antiqua" w:cs="Arial"/>
          <w:b/>
          <w:snapToGrid w:val="0"/>
        </w:rPr>
        <w:lastRenderedPageBreak/>
        <w:t>Abstract</w:t>
      </w:r>
    </w:p>
    <w:p w:rsidR="000B3CB0" w:rsidRPr="000D25FB" w:rsidRDefault="002E3900">
      <w:pPr>
        <w:widowControl w:val="0"/>
        <w:snapToGrid w:val="0"/>
        <w:spacing w:line="360" w:lineRule="auto"/>
        <w:jc w:val="both"/>
        <w:rPr>
          <w:rFonts w:ascii="Book Antiqua" w:hAnsi="Book Antiqua" w:cs="Arial"/>
          <w:snapToGrid w:val="0"/>
        </w:rPr>
      </w:pPr>
      <w:r w:rsidRPr="000D25FB">
        <w:rPr>
          <w:rFonts w:ascii="Book Antiqua" w:hAnsi="Book Antiqua" w:cs="Arial"/>
          <w:snapToGrid w:val="0"/>
        </w:rPr>
        <w:t xml:space="preserve">We report the case of a 46-year-old woman who presented with chronic intermittent abdominal pain without jaundice; abdominal ultrasonography showed thickening of the gallbladder wall and dilatation of the bile duct. Endoscopic retrograde cholangiopancreaticography showed pancreatobiliary maljunction with proximal common bile duct dilatation. Pancreatobiliary maljunction was diagnosed. A </w:t>
      </w:r>
      <w:r w:rsidRPr="000D25FB">
        <w:rPr>
          <w:rFonts w:ascii="Book Antiqua" w:hAnsi="Book Antiqua" w:cs="Arial"/>
          <w:snapToGrid w:val="0"/>
          <w:lang w:eastAsia="zh-CN"/>
        </w:rPr>
        <w:t>computed tomography</w:t>
      </w:r>
      <w:r w:rsidRPr="000D25FB">
        <w:rPr>
          <w:rFonts w:ascii="Book Antiqua" w:hAnsi="Book Antiqua" w:cs="Arial"/>
          <w:snapToGrid w:val="0"/>
        </w:rPr>
        <w:t xml:space="preserve"> scan of the abdomen showed suspected gallbladder cancer and distal common bile duct obstruction. A pancreatic head mass was incidentally found intraoperative. Radical cholecystectomy with pancreatoduodenectomy was performed. The pathological report showed gallbladder cancer that was synchronous with pancreatic head cancer. In the pancreatobiliary maljunction with pancreatobiliary reflux condition, double primary cancer of the pancreatobiliary system should be awared.</w:t>
      </w:r>
    </w:p>
    <w:p w:rsidR="000B3CB0" w:rsidRPr="000D25FB" w:rsidRDefault="000B3CB0">
      <w:pPr>
        <w:widowControl w:val="0"/>
        <w:snapToGrid w:val="0"/>
        <w:spacing w:line="360" w:lineRule="auto"/>
        <w:jc w:val="both"/>
        <w:rPr>
          <w:rFonts w:ascii="Book Antiqua" w:hAnsi="Book Antiqua" w:cs="Arial"/>
          <w:b/>
          <w:bCs/>
          <w:snapToGrid w:val="0"/>
          <w:lang w:eastAsia="zh-CN"/>
        </w:rPr>
      </w:pPr>
    </w:p>
    <w:p w:rsidR="000B3CB0" w:rsidRPr="000D25FB" w:rsidRDefault="002E3900">
      <w:pPr>
        <w:widowControl w:val="0"/>
        <w:adjustRightInd w:val="0"/>
        <w:snapToGrid w:val="0"/>
        <w:spacing w:line="360" w:lineRule="auto"/>
        <w:rPr>
          <w:rFonts w:ascii="Book Antiqua" w:hAnsi="Book Antiqua"/>
          <w:snapToGrid w:val="0"/>
        </w:rPr>
      </w:pPr>
      <w:bookmarkStart w:id="113" w:name="OLE_LINK98"/>
      <w:bookmarkStart w:id="114" w:name="OLE_LINK156"/>
      <w:bookmarkStart w:id="115" w:name="OLE_LINK196"/>
      <w:bookmarkStart w:id="116" w:name="OLE_LINK217"/>
      <w:bookmarkStart w:id="117" w:name="OLE_LINK242"/>
      <w:bookmarkStart w:id="118" w:name="OLE_LINK247"/>
      <w:bookmarkStart w:id="119" w:name="OLE_LINK311"/>
      <w:bookmarkStart w:id="120" w:name="OLE_LINK312"/>
      <w:bookmarkStart w:id="121" w:name="OLE_LINK325"/>
      <w:bookmarkStart w:id="122" w:name="OLE_LINK330"/>
      <w:bookmarkStart w:id="123" w:name="OLE_LINK513"/>
      <w:bookmarkStart w:id="124" w:name="OLE_LINK514"/>
      <w:bookmarkStart w:id="125" w:name="OLE_LINK464"/>
      <w:bookmarkStart w:id="126" w:name="OLE_LINK465"/>
      <w:bookmarkStart w:id="127" w:name="OLE_LINK466"/>
      <w:bookmarkStart w:id="128" w:name="OLE_LINK470"/>
      <w:bookmarkStart w:id="129" w:name="OLE_LINK471"/>
      <w:bookmarkStart w:id="130" w:name="OLE_LINK472"/>
      <w:bookmarkStart w:id="131" w:name="OLE_LINK474"/>
      <w:bookmarkStart w:id="132" w:name="OLE_LINK512"/>
      <w:bookmarkStart w:id="133" w:name="OLE_LINK800"/>
      <w:bookmarkStart w:id="134" w:name="OLE_LINK982"/>
      <w:bookmarkStart w:id="135" w:name="OLE_LINK1027"/>
      <w:bookmarkStart w:id="136" w:name="OLE_LINK504"/>
      <w:bookmarkStart w:id="137" w:name="OLE_LINK546"/>
      <w:bookmarkStart w:id="138" w:name="OLE_LINK547"/>
      <w:bookmarkStart w:id="139" w:name="OLE_LINK575"/>
      <w:bookmarkStart w:id="140" w:name="OLE_LINK640"/>
      <w:bookmarkStart w:id="141" w:name="OLE_LINK672"/>
      <w:bookmarkStart w:id="142" w:name="OLE_LINK714"/>
      <w:bookmarkStart w:id="143" w:name="OLE_LINK651"/>
      <w:bookmarkStart w:id="144" w:name="OLE_LINK652"/>
      <w:bookmarkStart w:id="145" w:name="OLE_LINK744"/>
      <w:bookmarkStart w:id="146" w:name="OLE_LINK758"/>
      <w:bookmarkStart w:id="147" w:name="OLE_LINK787"/>
      <w:bookmarkStart w:id="148" w:name="OLE_LINK807"/>
      <w:bookmarkStart w:id="149" w:name="OLE_LINK820"/>
      <w:bookmarkStart w:id="150" w:name="OLE_LINK862"/>
      <w:bookmarkStart w:id="151" w:name="OLE_LINK879"/>
      <w:bookmarkStart w:id="152" w:name="OLE_LINK906"/>
      <w:bookmarkStart w:id="153" w:name="OLE_LINK928"/>
      <w:bookmarkStart w:id="154" w:name="OLE_LINK960"/>
      <w:bookmarkStart w:id="155" w:name="OLE_LINK861"/>
      <w:bookmarkStart w:id="156" w:name="OLE_LINK983"/>
      <w:bookmarkStart w:id="157" w:name="OLE_LINK1334"/>
      <w:bookmarkStart w:id="158" w:name="OLE_LINK1029"/>
      <w:bookmarkStart w:id="159" w:name="OLE_LINK1060"/>
      <w:bookmarkStart w:id="160" w:name="OLE_LINK1061"/>
      <w:bookmarkStart w:id="161" w:name="OLE_LINK1348"/>
      <w:bookmarkStart w:id="162" w:name="OLE_LINK1086"/>
      <w:bookmarkStart w:id="163" w:name="OLE_LINK1100"/>
      <w:bookmarkStart w:id="164" w:name="OLE_LINK1125"/>
      <w:bookmarkStart w:id="165" w:name="OLE_LINK1163"/>
      <w:bookmarkStart w:id="166" w:name="OLE_LINK1193"/>
      <w:bookmarkStart w:id="167" w:name="OLE_LINK1219"/>
      <w:bookmarkStart w:id="168" w:name="OLE_LINK1247"/>
      <w:bookmarkStart w:id="169" w:name="OLE_LINK1284"/>
      <w:bookmarkStart w:id="170" w:name="OLE_LINK1313"/>
      <w:bookmarkStart w:id="171" w:name="OLE_LINK1361"/>
      <w:bookmarkStart w:id="172" w:name="OLE_LINK1384"/>
      <w:bookmarkStart w:id="173" w:name="OLE_LINK1403"/>
      <w:bookmarkStart w:id="174" w:name="OLE_LINK1437"/>
      <w:bookmarkStart w:id="175" w:name="OLE_LINK1454"/>
      <w:bookmarkStart w:id="176" w:name="OLE_LINK1480"/>
      <w:bookmarkStart w:id="177" w:name="OLE_LINK1504"/>
      <w:bookmarkStart w:id="178" w:name="OLE_LINK1516"/>
      <w:bookmarkStart w:id="179" w:name="OLE_LINK135"/>
      <w:bookmarkStart w:id="180" w:name="OLE_LINK216"/>
      <w:bookmarkStart w:id="181" w:name="OLE_LINK259"/>
      <w:bookmarkStart w:id="182" w:name="OLE_LINK1186"/>
      <w:bookmarkStart w:id="183" w:name="OLE_LINK1265"/>
      <w:bookmarkStart w:id="184" w:name="OLE_LINK1373"/>
      <w:bookmarkStart w:id="185" w:name="OLE_LINK1478"/>
      <w:bookmarkStart w:id="186" w:name="OLE_LINK1644"/>
      <w:bookmarkStart w:id="187" w:name="OLE_LINK1884"/>
      <w:bookmarkStart w:id="188" w:name="OLE_LINK1885"/>
      <w:bookmarkStart w:id="189" w:name="OLE_LINK1538"/>
      <w:bookmarkStart w:id="190" w:name="OLE_LINK1539"/>
      <w:bookmarkStart w:id="191" w:name="OLE_LINK1543"/>
      <w:bookmarkStart w:id="192" w:name="OLE_LINK1549"/>
      <w:bookmarkStart w:id="193" w:name="OLE_LINK1778"/>
      <w:bookmarkStart w:id="194" w:name="OLE_LINK1756"/>
      <w:bookmarkStart w:id="195" w:name="OLE_LINK1776"/>
      <w:bookmarkStart w:id="196" w:name="OLE_LINK1777"/>
      <w:bookmarkStart w:id="197" w:name="OLE_LINK1868"/>
      <w:bookmarkStart w:id="198" w:name="OLE_LINK1744"/>
      <w:bookmarkStart w:id="199" w:name="OLE_LINK1817"/>
      <w:bookmarkStart w:id="200" w:name="OLE_LINK1835"/>
      <w:bookmarkStart w:id="201" w:name="OLE_LINK1866"/>
      <w:bookmarkStart w:id="202" w:name="OLE_LINK1882"/>
      <w:bookmarkStart w:id="203" w:name="OLE_LINK1901"/>
      <w:bookmarkStart w:id="204" w:name="OLE_LINK1902"/>
      <w:bookmarkStart w:id="205" w:name="OLE_LINK2013"/>
      <w:bookmarkStart w:id="206" w:name="OLE_LINK1894"/>
      <w:bookmarkStart w:id="207" w:name="OLE_LINK1929"/>
      <w:bookmarkStart w:id="208" w:name="OLE_LINK1941"/>
      <w:bookmarkStart w:id="209" w:name="OLE_LINK1995"/>
      <w:bookmarkStart w:id="210" w:name="OLE_LINK1938"/>
      <w:bookmarkStart w:id="211" w:name="OLE_LINK2081"/>
      <w:bookmarkStart w:id="212" w:name="OLE_LINK2082"/>
      <w:bookmarkStart w:id="213" w:name="OLE_LINK2292"/>
      <w:bookmarkStart w:id="214" w:name="OLE_LINK1931"/>
      <w:bookmarkStart w:id="215" w:name="OLE_LINK1964"/>
      <w:bookmarkStart w:id="216" w:name="OLE_LINK2020"/>
      <w:bookmarkStart w:id="217" w:name="OLE_LINK2071"/>
      <w:bookmarkStart w:id="218" w:name="OLE_LINK2134"/>
      <w:bookmarkStart w:id="219" w:name="OLE_LINK2265"/>
      <w:bookmarkStart w:id="220" w:name="OLE_LINK2562"/>
      <w:bookmarkStart w:id="221" w:name="OLE_LINK1923"/>
      <w:bookmarkStart w:id="222" w:name="OLE_LINK2192"/>
      <w:bookmarkStart w:id="223" w:name="OLE_LINK2110"/>
      <w:bookmarkStart w:id="224" w:name="OLE_LINK2445"/>
      <w:bookmarkStart w:id="225" w:name="OLE_LINK2446"/>
      <w:bookmarkStart w:id="226" w:name="OLE_LINK2169"/>
      <w:bookmarkStart w:id="227" w:name="OLE_LINK2190"/>
      <w:bookmarkStart w:id="228" w:name="OLE_LINK2331"/>
      <w:bookmarkStart w:id="229" w:name="OLE_LINK2345"/>
      <w:bookmarkStart w:id="230" w:name="OLE_LINK2467"/>
      <w:bookmarkStart w:id="231" w:name="OLE_LINK2484"/>
      <w:bookmarkStart w:id="232" w:name="OLE_LINK2157"/>
      <w:bookmarkStart w:id="233" w:name="OLE_LINK2221"/>
      <w:bookmarkStart w:id="234" w:name="OLE_LINK2252"/>
      <w:bookmarkStart w:id="235" w:name="OLE_LINK2348"/>
      <w:bookmarkStart w:id="236" w:name="OLE_LINK2451"/>
      <w:bookmarkStart w:id="237" w:name="OLE_LINK2627"/>
      <w:bookmarkStart w:id="238" w:name="OLE_LINK2482"/>
      <w:bookmarkStart w:id="239" w:name="OLE_LINK2663"/>
      <w:bookmarkStart w:id="240" w:name="OLE_LINK2761"/>
      <w:bookmarkStart w:id="241" w:name="OLE_LINK2856"/>
      <w:bookmarkStart w:id="242" w:name="OLE_LINK2993"/>
      <w:bookmarkStart w:id="243" w:name="OLE_LINK2643"/>
      <w:bookmarkStart w:id="244" w:name="OLE_LINK2583"/>
      <w:bookmarkStart w:id="245" w:name="OLE_LINK2762"/>
      <w:bookmarkStart w:id="246" w:name="OLE_LINK2962"/>
      <w:bookmarkStart w:id="247" w:name="OLE_LINK2582"/>
      <w:r w:rsidRPr="000D25FB">
        <w:rPr>
          <w:rFonts w:ascii="Book Antiqua" w:hAnsi="Book Antiqua"/>
          <w:snapToGrid w:val="0"/>
        </w:rPr>
        <w:t xml:space="preserve">© 2014 Baishideng Publishing Group Inc. All rights reserved.  </w:t>
      </w:r>
    </w:p>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rsidR="000B3CB0" w:rsidRPr="000D25FB" w:rsidRDefault="000B3CB0">
      <w:pPr>
        <w:widowControl w:val="0"/>
        <w:snapToGrid w:val="0"/>
        <w:spacing w:line="360" w:lineRule="auto"/>
        <w:jc w:val="both"/>
        <w:rPr>
          <w:rFonts w:ascii="Book Antiqua" w:hAnsi="Book Antiqua" w:cs="Arial"/>
          <w:b/>
          <w:bCs/>
          <w:snapToGrid w:val="0"/>
          <w:lang w:eastAsia="zh-CN"/>
        </w:rPr>
      </w:pPr>
    </w:p>
    <w:p w:rsidR="000B3CB0" w:rsidRPr="000D25FB" w:rsidRDefault="002E3900">
      <w:pPr>
        <w:widowControl w:val="0"/>
        <w:snapToGrid w:val="0"/>
        <w:spacing w:line="360" w:lineRule="auto"/>
        <w:jc w:val="both"/>
        <w:rPr>
          <w:rFonts w:ascii="Book Antiqua" w:hAnsi="Book Antiqua" w:cs="Arial"/>
          <w:snapToGrid w:val="0"/>
          <w:lang w:eastAsia="zh-CN"/>
        </w:rPr>
      </w:pPr>
      <w:r w:rsidRPr="000D25FB">
        <w:rPr>
          <w:rFonts w:ascii="Book Antiqua" w:hAnsi="Book Antiqua" w:cs="Arial"/>
          <w:b/>
          <w:bCs/>
          <w:snapToGrid w:val="0"/>
        </w:rPr>
        <w:t>Key word</w:t>
      </w:r>
      <w:r w:rsidRPr="000D25FB">
        <w:rPr>
          <w:rFonts w:ascii="Book Antiqua" w:hAnsi="Book Antiqua" w:cs="Arial"/>
          <w:snapToGrid w:val="0"/>
        </w:rPr>
        <w:t>: Pancreaticobiliary maljunction</w:t>
      </w:r>
      <w:r w:rsidRPr="000D25FB">
        <w:rPr>
          <w:rFonts w:ascii="Book Antiqua" w:hAnsi="Book Antiqua" w:cs="Arial"/>
          <w:snapToGrid w:val="0"/>
          <w:lang w:eastAsia="zh-CN"/>
        </w:rPr>
        <w:t>;</w:t>
      </w:r>
      <w:r w:rsidRPr="000D25FB">
        <w:rPr>
          <w:rFonts w:ascii="Book Antiqua" w:hAnsi="Book Antiqua" w:cs="Arial"/>
          <w:snapToGrid w:val="0"/>
        </w:rPr>
        <w:t xml:space="preserve"> Gallbladder cancer</w:t>
      </w:r>
      <w:r w:rsidRPr="000D25FB">
        <w:rPr>
          <w:rFonts w:ascii="Book Antiqua" w:hAnsi="Book Antiqua" w:cs="Arial"/>
          <w:snapToGrid w:val="0"/>
          <w:lang w:eastAsia="zh-CN"/>
        </w:rPr>
        <w:t>;</w:t>
      </w:r>
      <w:r w:rsidRPr="000D25FB">
        <w:rPr>
          <w:rFonts w:ascii="Book Antiqua" w:hAnsi="Book Antiqua" w:cs="Arial"/>
          <w:snapToGrid w:val="0"/>
        </w:rPr>
        <w:t xml:space="preserve"> Pancreatic cancer</w:t>
      </w:r>
      <w:r w:rsidR="000D25FB" w:rsidRPr="000D25FB">
        <w:rPr>
          <w:rFonts w:ascii="Book Antiqua" w:hAnsi="Book Antiqua" w:cs="Arial"/>
          <w:snapToGrid w:val="0"/>
          <w:lang w:eastAsia="zh-CN"/>
        </w:rPr>
        <w:t>;</w:t>
      </w:r>
      <w:r w:rsidR="000D25FB" w:rsidRPr="000D25FB">
        <w:rPr>
          <w:rFonts w:ascii="Book Antiqua" w:hAnsi="Book Antiqua" w:cs="Arial" w:hint="eastAsia"/>
          <w:snapToGrid w:val="0"/>
          <w:lang w:eastAsia="zh-CN"/>
        </w:rPr>
        <w:t xml:space="preserve"> </w:t>
      </w:r>
      <w:r w:rsidR="000D25FB" w:rsidRPr="000D25FB">
        <w:rPr>
          <w:rFonts w:ascii="Book Antiqua" w:hAnsi="Book Antiqua" w:cs="Arial"/>
          <w:snapToGrid w:val="0"/>
        </w:rPr>
        <w:t>Endoscopic retrograde cholangiopancreaticography</w:t>
      </w:r>
    </w:p>
    <w:p w:rsidR="000B3CB0" w:rsidRPr="000D25FB" w:rsidRDefault="000B3CB0">
      <w:pPr>
        <w:widowControl w:val="0"/>
        <w:snapToGrid w:val="0"/>
        <w:spacing w:line="360" w:lineRule="auto"/>
        <w:jc w:val="both"/>
        <w:rPr>
          <w:rFonts w:ascii="Book Antiqua" w:hAnsi="Book Antiqua" w:cs="Arial"/>
          <w:snapToGrid w:val="0"/>
          <w:lang w:eastAsia="zh-CN"/>
        </w:rPr>
      </w:pPr>
    </w:p>
    <w:p w:rsidR="000B3CB0" w:rsidRPr="000D25FB" w:rsidRDefault="002E3900">
      <w:pPr>
        <w:widowControl w:val="0"/>
        <w:snapToGrid w:val="0"/>
        <w:spacing w:line="360" w:lineRule="auto"/>
        <w:jc w:val="both"/>
        <w:rPr>
          <w:rFonts w:ascii="Book Antiqua" w:hAnsi="Book Antiqua" w:cs="Arial"/>
          <w:snapToGrid w:val="0"/>
          <w:lang w:eastAsia="zh-CN"/>
        </w:rPr>
      </w:pPr>
      <w:bookmarkStart w:id="248" w:name="OLE_LINK576"/>
      <w:bookmarkStart w:id="249" w:name="OLE_LINK579"/>
      <w:bookmarkStart w:id="250" w:name="OLE_LINK580"/>
      <w:bookmarkStart w:id="251" w:name="OLE_LINK521"/>
      <w:bookmarkStart w:id="252" w:name="OLE_LINK1196"/>
      <w:bookmarkStart w:id="253" w:name="OLE_LINK1154"/>
      <w:bookmarkStart w:id="254" w:name="OLE_LINK1155"/>
      <w:bookmarkStart w:id="255" w:name="OLE_LINK1043"/>
      <w:bookmarkStart w:id="256" w:name="OLE_LINK1322"/>
      <w:bookmarkStart w:id="257" w:name="OLE_LINK1044"/>
      <w:bookmarkStart w:id="258" w:name="OLE_LINK1224"/>
      <w:bookmarkStart w:id="259" w:name="OLE_LINK1225"/>
      <w:bookmarkStart w:id="260" w:name="OLE_LINK1886"/>
      <w:bookmarkStart w:id="261" w:name="OLE_LINK1887"/>
      <w:bookmarkStart w:id="262" w:name="OLE_LINK1888"/>
      <w:bookmarkStart w:id="263" w:name="OLE_LINK1889"/>
      <w:bookmarkStart w:id="264" w:name="OLE_LINK1634"/>
      <w:bookmarkStart w:id="265" w:name="OLE_LINK1635"/>
      <w:bookmarkStart w:id="266" w:name="OLE_LINK1762"/>
      <w:bookmarkStart w:id="267" w:name="OLE_LINK1763"/>
      <w:bookmarkStart w:id="268" w:name="OLE_LINK1764"/>
      <w:bookmarkStart w:id="269" w:name="OLE_LINK1903"/>
      <w:bookmarkStart w:id="270" w:name="OLE_LINK1939"/>
      <w:bookmarkStart w:id="271" w:name="OLE_LINK2083"/>
      <w:bookmarkStart w:id="272" w:name="OLE_LINK2084"/>
      <w:bookmarkStart w:id="273" w:name="OLE_LINK1977"/>
      <w:bookmarkStart w:id="274" w:name="OLE_LINK2194"/>
      <w:bookmarkStart w:id="275" w:name="OLE_LINK3258"/>
      <w:bookmarkStart w:id="276" w:name="OLE_LINK2878"/>
      <w:r w:rsidRPr="000D25FB">
        <w:rPr>
          <w:rFonts w:ascii="Book Antiqua" w:hAnsi="Book Antiqua" w:cs="宋体"/>
          <w:b/>
          <w:snapToGrid w:val="0"/>
        </w:rPr>
        <w:t>Core tip:</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0D25FB">
        <w:rPr>
          <w:rFonts w:ascii="Book Antiqua" w:hAnsi="Book Antiqua" w:cs="宋体"/>
          <w:b/>
          <w:snapToGrid w:val="0"/>
          <w:lang w:eastAsia="zh-CN"/>
        </w:rPr>
        <w:t xml:space="preserve"> </w:t>
      </w:r>
      <w:r w:rsidRPr="000D25FB">
        <w:rPr>
          <w:rFonts w:ascii="Book Antiqua" w:hAnsi="Book Antiqua" w:cs="Arial"/>
          <w:snapToGrid w:val="0"/>
        </w:rPr>
        <w:t>We reported a case of 46-year-old women presented with chronic intermittent abdominal pain without jaundice. Endoscopic retrograde cholangiopancreaticography revealed pancreatobiliary maljunction. Radical cholecystectomy with pancreatoduodenectomy was performed. Pathological report showed gallbladder cancer synchronous with pancreatic head cancer. In the pancreatobiliary maljunction with pancreatobiliary reflux condition double primary cancer of pancreatobiliary system should be kept in mind.</w:t>
      </w:r>
    </w:p>
    <w:p w:rsidR="000B3CB0" w:rsidRPr="000D25FB" w:rsidRDefault="000B3CB0">
      <w:pPr>
        <w:widowControl w:val="0"/>
        <w:snapToGrid w:val="0"/>
        <w:spacing w:line="360" w:lineRule="auto"/>
        <w:jc w:val="both"/>
        <w:rPr>
          <w:rFonts w:ascii="Book Antiqua" w:hAnsi="Book Antiqua" w:cs="Arial"/>
          <w:b/>
          <w:bCs/>
          <w:snapToGrid w:val="0"/>
          <w:lang w:eastAsia="zh-CN"/>
        </w:rPr>
      </w:pPr>
    </w:p>
    <w:p w:rsidR="000B3CB0" w:rsidRPr="000D25FB" w:rsidRDefault="002E3900">
      <w:pPr>
        <w:widowControl w:val="0"/>
        <w:snapToGrid w:val="0"/>
        <w:spacing w:line="360" w:lineRule="auto"/>
        <w:jc w:val="both"/>
        <w:rPr>
          <w:rFonts w:ascii="Book Antiqua" w:hAnsi="Book Antiqua" w:cs="Arial"/>
          <w:bCs/>
          <w:snapToGrid w:val="0"/>
          <w:lang w:eastAsia="zh-CN"/>
        </w:rPr>
      </w:pPr>
      <w:r w:rsidRPr="000D25FB">
        <w:rPr>
          <w:rFonts w:ascii="Book Antiqua" w:hAnsi="Book Antiqua" w:cs="Arial"/>
          <w:bCs/>
          <w:snapToGrid w:val="0"/>
        </w:rPr>
        <w:t>Rungsakulkij</w:t>
      </w:r>
      <w:r w:rsidRPr="000D25FB">
        <w:rPr>
          <w:rFonts w:ascii="Book Antiqua" w:hAnsi="Book Antiqua" w:cs="Arial"/>
          <w:bCs/>
          <w:snapToGrid w:val="0"/>
          <w:lang w:eastAsia="zh-CN"/>
        </w:rPr>
        <w:t xml:space="preserve"> N</w:t>
      </w:r>
      <w:r w:rsidRPr="000D25FB">
        <w:rPr>
          <w:rFonts w:ascii="Book Antiqua" w:hAnsi="Book Antiqua" w:cs="Arial"/>
          <w:bCs/>
          <w:snapToGrid w:val="0"/>
        </w:rPr>
        <w:t xml:space="preserve">, </w:t>
      </w:r>
      <w:r w:rsidRPr="000D25FB">
        <w:rPr>
          <w:rFonts w:ascii="Book Antiqua" w:hAnsi="Book Antiqua" w:cs="-LA numchoke laimuu"/>
          <w:snapToGrid w:val="0"/>
        </w:rPr>
        <w:t>Boonsakan</w:t>
      </w:r>
      <w:r w:rsidRPr="000D25FB">
        <w:rPr>
          <w:rFonts w:ascii="Book Antiqua" w:hAnsi="Book Antiqua" w:cs="-LA numchoke laimuu"/>
          <w:snapToGrid w:val="0"/>
          <w:lang w:eastAsia="zh-CN"/>
        </w:rPr>
        <w:t xml:space="preserve"> P</w:t>
      </w:r>
      <w:r w:rsidRPr="000D25FB">
        <w:rPr>
          <w:rFonts w:ascii="Book Antiqua" w:hAnsi="Book Antiqua" w:cs="Arial"/>
          <w:bCs/>
          <w:snapToGrid w:val="0"/>
          <w:lang w:eastAsia="zh-CN"/>
        </w:rPr>
        <w:t xml:space="preserve">. </w:t>
      </w:r>
      <w:r w:rsidRPr="000D25FB">
        <w:rPr>
          <w:rFonts w:ascii="Book Antiqua" w:hAnsi="Book Antiqua" w:cs="Arial"/>
          <w:bCs/>
          <w:snapToGrid w:val="0"/>
        </w:rPr>
        <w:t>Synchronous gallbladder and pancreatic cancer associated with pancreaticobiliary maljunction</w:t>
      </w:r>
      <w:r w:rsidRPr="000D25FB">
        <w:rPr>
          <w:rFonts w:ascii="Book Antiqua" w:hAnsi="Book Antiqua" w:cs="Arial"/>
          <w:bCs/>
          <w:snapToGrid w:val="0"/>
          <w:lang w:eastAsia="zh-CN"/>
        </w:rPr>
        <w:t>.</w:t>
      </w:r>
      <w:bookmarkStart w:id="277" w:name="OLE_LINK335"/>
      <w:bookmarkStart w:id="278" w:name="OLE_LINK336"/>
      <w:bookmarkStart w:id="279" w:name="OLE_LINK87"/>
      <w:bookmarkStart w:id="280" w:name="OLE_LINK97"/>
      <w:bookmarkStart w:id="281" w:name="OLE_LINK144"/>
      <w:bookmarkStart w:id="282" w:name="OLE_LINK152"/>
      <w:bookmarkStart w:id="283" w:name="OLE_LINK163"/>
      <w:bookmarkStart w:id="284" w:name="OLE_LINK1297"/>
      <w:bookmarkStart w:id="285" w:name="OLE_LINK1298"/>
      <w:bookmarkStart w:id="286" w:name="OLE_LINK1689"/>
      <w:bookmarkStart w:id="287" w:name="OLE_LINK1895"/>
      <w:bookmarkStart w:id="288" w:name="OLE_LINK1897"/>
      <w:bookmarkStart w:id="289" w:name="OLE_LINK1937"/>
      <w:bookmarkStart w:id="290" w:name="OLE_LINK2087"/>
      <w:bookmarkStart w:id="291" w:name="OLE_LINK2088"/>
      <w:bookmarkStart w:id="292" w:name="OLE_LINK2569"/>
      <w:bookmarkStart w:id="293" w:name="OLE_LINK2570"/>
      <w:bookmarkStart w:id="294" w:name="OLE_LINK2127"/>
      <w:bookmarkStart w:id="295" w:name="OLE_LINK2128"/>
      <w:bookmarkStart w:id="296" w:name="OLE_LINK2200"/>
      <w:bookmarkStart w:id="297" w:name="OLE_LINK2113"/>
      <w:bookmarkStart w:id="298" w:name="OLE_LINK2391"/>
      <w:bookmarkStart w:id="299" w:name="OLE_LINK2392"/>
      <w:bookmarkStart w:id="300" w:name="OLE_LINK2499"/>
      <w:bookmarkStart w:id="301" w:name="OLE_LINK2782"/>
      <w:bookmarkStart w:id="302" w:name="OLE_LINK2783"/>
      <w:bookmarkStart w:id="303" w:name="OLE_LINK2667"/>
      <w:bookmarkStart w:id="304" w:name="OLE_LINK2668"/>
      <w:bookmarkStart w:id="305" w:name="OLE_LINK2766"/>
      <w:bookmarkStart w:id="306" w:name="OLE_LINK3008"/>
      <w:bookmarkStart w:id="307" w:name="OLE_LINK3156"/>
      <w:bookmarkStart w:id="308" w:name="OLE_LINK3303"/>
      <w:bookmarkStart w:id="309" w:name="OLE_LINK3304"/>
      <w:bookmarkStart w:id="310" w:name="OLE_LINK2689"/>
      <w:bookmarkStart w:id="311" w:name="OLE_LINK2588"/>
      <w:bookmarkStart w:id="312" w:name="OLE_LINK2769"/>
      <w:bookmarkStart w:id="313" w:name="OLE_LINK3019"/>
      <w:bookmarkStart w:id="314" w:name="OLE_LINK3020"/>
      <w:r w:rsidRPr="000D25FB">
        <w:rPr>
          <w:rFonts w:ascii="Book Antiqua" w:hAnsi="Book Antiqua"/>
          <w:i/>
          <w:snapToGrid w:val="0"/>
        </w:rPr>
        <w:t xml:space="preserve"> World J Gastroenterol</w:t>
      </w:r>
      <w:r w:rsidRPr="000D25FB">
        <w:rPr>
          <w:rFonts w:ascii="Book Antiqua" w:hAnsi="Book Antiqua"/>
          <w:snapToGrid w:val="0"/>
        </w:rPr>
        <w:t xml:space="preserve"> </w:t>
      </w:r>
      <w:bookmarkEnd w:id="277"/>
      <w:bookmarkEnd w:id="278"/>
      <w:r w:rsidRPr="000D25FB">
        <w:rPr>
          <w:rFonts w:ascii="Book Antiqua" w:hAnsi="Book Antiqua"/>
          <w:snapToGrid w:val="0"/>
        </w:rPr>
        <w:t>2014;</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0D25FB">
        <w:rPr>
          <w:rFonts w:ascii="Book Antiqua" w:hAnsi="Book Antiqua"/>
          <w:snapToGrid w:val="0"/>
        </w:rPr>
        <w:t xml:space="preserve"> In press</w:t>
      </w:r>
    </w:p>
    <w:p w:rsidR="000B3CB0" w:rsidRPr="000D25FB" w:rsidRDefault="002E3900">
      <w:pPr>
        <w:widowControl w:val="0"/>
        <w:snapToGrid w:val="0"/>
        <w:spacing w:line="360" w:lineRule="auto"/>
        <w:jc w:val="both"/>
        <w:rPr>
          <w:rFonts w:ascii="Book Antiqua" w:hAnsi="Book Antiqua" w:cs="Arial"/>
          <w:b/>
          <w:bCs/>
          <w:snapToGrid w:val="0"/>
        </w:rPr>
      </w:pPr>
      <w:r w:rsidRPr="000D25FB">
        <w:rPr>
          <w:rFonts w:ascii="Book Antiqua" w:hAnsi="Book Antiqua" w:cs="Arial"/>
          <w:b/>
          <w:bCs/>
          <w:snapToGrid w:val="0"/>
        </w:rPr>
        <w:br w:type="page"/>
      </w:r>
      <w:r w:rsidRPr="000D25FB">
        <w:rPr>
          <w:rFonts w:ascii="Book Antiqua" w:hAnsi="Book Antiqua" w:cs="Arial"/>
          <w:b/>
          <w:bCs/>
          <w:snapToGrid w:val="0"/>
        </w:rPr>
        <w:lastRenderedPageBreak/>
        <w:t>INTRODUCTION</w:t>
      </w:r>
    </w:p>
    <w:p w:rsidR="000B3CB0" w:rsidRPr="000D25FB" w:rsidRDefault="002E3900">
      <w:pPr>
        <w:widowControl w:val="0"/>
        <w:snapToGrid w:val="0"/>
        <w:spacing w:line="360" w:lineRule="auto"/>
        <w:jc w:val="both"/>
        <w:rPr>
          <w:rFonts w:ascii="Book Antiqua" w:hAnsi="Book Antiqua" w:cs="Arial"/>
          <w:snapToGrid w:val="0"/>
        </w:rPr>
      </w:pPr>
      <w:r w:rsidRPr="000D25FB">
        <w:rPr>
          <w:rFonts w:ascii="Book Antiqua" w:hAnsi="Book Antiqua" w:cs="Arial"/>
          <w:snapToGrid w:val="0"/>
        </w:rPr>
        <w:t>Gallbladder cancer is a rare malignancy in Thailand, but it is the most common biliary tract cancer. A report from the United States noted that there are 9000 new cases of gallbladder cancer per year</w:t>
      </w:r>
      <w:r w:rsidRPr="000D25FB">
        <w:rPr>
          <w:rFonts w:ascii="Book Antiqua" w:hAnsi="Book Antiqua" w:cs="Arial"/>
          <w:snapToGrid w:val="0"/>
          <w:vertAlign w:val="superscript"/>
        </w:rPr>
        <w:t>[1]</w:t>
      </w:r>
      <w:r w:rsidRPr="000D25FB">
        <w:rPr>
          <w:rFonts w:ascii="Book Antiqua" w:hAnsi="Book Antiqua" w:cs="Arial"/>
          <w:snapToGrid w:val="0"/>
        </w:rPr>
        <w:t>. The incidence is 1.2 cases/100000 population/year</w:t>
      </w:r>
      <w:r w:rsidRPr="000D25FB">
        <w:rPr>
          <w:rFonts w:ascii="Book Antiqua" w:hAnsi="Book Antiqua" w:cs="Arial"/>
          <w:snapToGrid w:val="0"/>
          <w:vertAlign w:val="superscript"/>
        </w:rPr>
        <w:t>[2]</w:t>
      </w:r>
      <w:r w:rsidRPr="000D25FB">
        <w:rPr>
          <w:rFonts w:ascii="Book Antiqua" w:hAnsi="Book Antiqua" w:cs="Arial"/>
          <w:snapToGrid w:val="0"/>
        </w:rPr>
        <w:t>. This cancer has a dismal prognosis because patients mostly have advanced-stage cancer when they are diagnosed. Early gallbladder cancer stages are rarely ever symptomatic. The most common presented symptom is abdominal pain</w:t>
      </w:r>
      <w:r w:rsidRPr="000D25FB">
        <w:rPr>
          <w:rFonts w:ascii="Book Antiqua" w:hAnsi="Book Antiqua" w:cs="Arial"/>
          <w:snapToGrid w:val="0"/>
          <w:vertAlign w:val="superscript"/>
        </w:rPr>
        <w:t>[3]</w:t>
      </w:r>
      <w:r w:rsidRPr="000D25FB">
        <w:rPr>
          <w:rFonts w:ascii="Book Antiqua" w:hAnsi="Book Antiqua" w:cs="Arial"/>
          <w:snapToGrid w:val="0"/>
        </w:rPr>
        <w:t>. Overall, 0.3%-1.0% of the patients are diagnosed from cholecystectomy specimens in other indications, especially from gallstones</w:t>
      </w:r>
      <w:r w:rsidRPr="000D25FB">
        <w:rPr>
          <w:rFonts w:ascii="Book Antiqua" w:hAnsi="Book Antiqua" w:cs="Arial"/>
          <w:snapToGrid w:val="0"/>
          <w:vertAlign w:val="superscript"/>
        </w:rPr>
        <w:t>[4]</w:t>
      </w:r>
      <w:r w:rsidRPr="000D25FB">
        <w:rPr>
          <w:rFonts w:ascii="Book Antiqua" w:hAnsi="Book Antiqua" w:cs="Arial"/>
          <w:snapToGrid w:val="0"/>
        </w:rPr>
        <w:t>.</w:t>
      </w:r>
    </w:p>
    <w:p w:rsidR="000B3CB0" w:rsidRPr="000D25FB" w:rsidRDefault="002E3900">
      <w:pPr>
        <w:widowControl w:val="0"/>
        <w:snapToGrid w:val="0"/>
        <w:spacing w:line="360" w:lineRule="auto"/>
        <w:ind w:firstLineChars="50" w:firstLine="120"/>
        <w:jc w:val="both"/>
        <w:rPr>
          <w:rFonts w:ascii="Book Antiqua" w:hAnsi="Book Antiqua" w:cs="Arial"/>
          <w:snapToGrid w:val="0"/>
        </w:rPr>
      </w:pPr>
      <w:r w:rsidRPr="000D25FB">
        <w:rPr>
          <w:rFonts w:ascii="Book Antiqua" w:hAnsi="Book Antiqua" w:cs="Arial"/>
          <w:snapToGrid w:val="0"/>
        </w:rPr>
        <w:t>One of the known risk factors for gallbladder cancer is pancreaticobiliary maljunction, which is a congenital anomaly in which the pancreatic and bile ducts meet anatomically outside the duodenal wall, causing abnormal flow of the pancreatic juice and bile due to the absence of control of the sphincter of Oddi</w:t>
      </w:r>
      <w:r w:rsidRPr="000D25FB">
        <w:rPr>
          <w:rFonts w:ascii="Book Antiqua" w:hAnsi="Book Antiqua" w:cs="Arial"/>
          <w:snapToGrid w:val="0"/>
          <w:vertAlign w:val="superscript"/>
        </w:rPr>
        <w:t>[5]</w:t>
      </w:r>
      <w:r w:rsidRPr="000D25FB">
        <w:rPr>
          <w:rFonts w:ascii="Book Antiqua" w:hAnsi="Book Antiqua" w:cs="Arial"/>
          <w:snapToGrid w:val="0"/>
        </w:rPr>
        <w:t>. This rare condition is commonly reported in Asia and particularly in Japan. This condition causes bile duct irritation from pancreatic juice and dysplastic changes in the bile duct mucosa</w:t>
      </w:r>
      <w:r w:rsidRPr="000D25FB">
        <w:rPr>
          <w:rFonts w:ascii="Book Antiqua" w:hAnsi="Book Antiqua" w:cs="Arial"/>
          <w:snapToGrid w:val="0"/>
          <w:vertAlign w:val="superscript"/>
        </w:rPr>
        <w:t>[6]</w:t>
      </w:r>
      <w:r w:rsidRPr="000D25FB">
        <w:rPr>
          <w:rFonts w:ascii="Book Antiqua" w:hAnsi="Book Antiqua" w:cs="Arial"/>
          <w:snapToGrid w:val="0"/>
        </w:rPr>
        <w:t>. Pancreaticobiliary maljunction with or without bile duct dilatation is associated with carcinoma of the pancreaticobiliary tract.</w:t>
      </w:r>
    </w:p>
    <w:p w:rsidR="000B3CB0" w:rsidRPr="000D25FB" w:rsidRDefault="002E3900">
      <w:pPr>
        <w:widowControl w:val="0"/>
        <w:snapToGrid w:val="0"/>
        <w:spacing w:line="360" w:lineRule="auto"/>
        <w:ind w:firstLineChars="50" w:firstLine="120"/>
        <w:jc w:val="both"/>
        <w:rPr>
          <w:rFonts w:ascii="Book Antiqua" w:hAnsi="Book Antiqua" w:cs="Arial"/>
          <w:snapToGrid w:val="0"/>
        </w:rPr>
      </w:pPr>
      <w:r w:rsidRPr="000D25FB">
        <w:rPr>
          <w:rFonts w:ascii="Book Antiqua" w:hAnsi="Book Antiqua" w:cs="Arial"/>
          <w:snapToGrid w:val="0"/>
        </w:rPr>
        <w:t>Gallbladder cancer is commonly associated with bile duct cancer. However, synchronous gallbladder and pancreatic cancer is extremely rare. To date, we have reported only 3 cases of gallbladder cancer</w:t>
      </w:r>
      <w:r w:rsidRPr="000D25FB">
        <w:rPr>
          <w:rFonts w:ascii="Book Antiqua" w:hAnsi="Book Antiqua" w:cs="Arial"/>
          <w:snapToGrid w:val="0"/>
          <w:vertAlign w:val="superscript"/>
        </w:rPr>
        <w:t>[7,8]</w:t>
      </w:r>
      <w:r w:rsidRPr="000D25FB">
        <w:rPr>
          <w:rFonts w:ascii="Book Antiqua" w:hAnsi="Book Antiqua" w:cs="Arial"/>
          <w:snapToGrid w:val="0"/>
        </w:rPr>
        <w:t>. This is the first case report of this condition in Thailand.</w:t>
      </w:r>
    </w:p>
    <w:p w:rsidR="000B3CB0" w:rsidRPr="000D25FB" w:rsidRDefault="000B3CB0">
      <w:pPr>
        <w:widowControl w:val="0"/>
        <w:snapToGrid w:val="0"/>
        <w:spacing w:line="360" w:lineRule="auto"/>
        <w:jc w:val="both"/>
        <w:rPr>
          <w:rFonts w:ascii="Book Antiqua" w:hAnsi="Book Antiqua" w:cs="Arial"/>
          <w:snapToGrid w:val="0"/>
        </w:rPr>
      </w:pPr>
    </w:p>
    <w:p w:rsidR="000B3CB0" w:rsidRPr="000D25FB" w:rsidRDefault="002E3900">
      <w:pPr>
        <w:widowControl w:val="0"/>
        <w:snapToGrid w:val="0"/>
        <w:spacing w:line="360" w:lineRule="auto"/>
        <w:jc w:val="both"/>
        <w:rPr>
          <w:rFonts w:ascii="Book Antiqua" w:hAnsi="Book Antiqua" w:cs="Arial"/>
          <w:snapToGrid w:val="0"/>
          <w:lang w:eastAsia="zh-CN"/>
        </w:rPr>
      </w:pPr>
      <w:r w:rsidRPr="000D25FB">
        <w:rPr>
          <w:rFonts w:ascii="Book Antiqua" w:hAnsi="Book Antiqua" w:cs="Arial"/>
          <w:b/>
          <w:bCs/>
          <w:snapToGrid w:val="0"/>
        </w:rPr>
        <w:t>CASE REPORT</w:t>
      </w:r>
    </w:p>
    <w:p w:rsidR="000B3CB0" w:rsidRPr="000D25FB" w:rsidRDefault="002E3900">
      <w:pPr>
        <w:widowControl w:val="0"/>
        <w:snapToGrid w:val="0"/>
        <w:spacing w:line="360" w:lineRule="auto"/>
        <w:jc w:val="both"/>
        <w:rPr>
          <w:rFonts w:ascii="Book Antiqua" w:hAnsi="Book Antiqua" w:cs="Arial"/>
          <w:snapToGrid w:val="0"/>
          <w:lang w:eastAsia="zh-CN"/>
        </w:rPr>
      </w:pPr>
      <w:r w:rsidRPr="000D25FB">
        <w:rPr>
          <w:rFonts w:ascii="Book Antiqua" w:hAnsi="Book Antiqua" w:cs="Arial"/>
          <w:snapToGrid w:val="0"/>
        </w:rPr>
        <w:t>A 46-year-old Thai woman presented at the clinic with chronic intermittent abdominal pain for 2 mo, and ultrasound of her abdomen showed multiple hepatic cysts involving the right lobe and periportal areas with a relatively ill-defined mixed echoic lesion in the gallbladder lumen that was approximately 3.4</w:t>
      </w:r>
      <w:r w:rsidRPr="000D25FB">
        <w:rPr>
          <w:rFonts w:ascii="Book Antiqua" w:hAnsi="Book Antiqua" w:cs="Arial"/>
          <w:snapToGrid w:val="0"/>
          <w:lang w:eastAsia="zh-CN"/>
        </w:rPr>
        <w:t xml:space="preserve"> </w:t>
      </w:r>
      <w:r w:rsidRPr="000D25FB">
        <w:rPr>
          <w:rFonts w:ascii="Book Antiqua" w:hAnsi="Book Antiqua" w:cs="Arial"/>
          <w:snapToGrid w:val="0"/>
        </w:rPr>
        <w:t>cm</w:t>
      </w:r>
      <w:r w:rsidRPr="000D25FB">
        <w:rPr>
          <w:rFonts w:ascii="Book Antiqua" w:hAnsi="Book Antiqua" w:cs="Arial"/>
          <w:snapToGrid w:val="0"/>
          <w:lang w:eastAsia="zh-CN"/>
        </w:rPr>
        <w:t xml:space="preserve"> × </w:t>
      </w:r>
      <w:r w:rsidRPr="000D25FB">
        <w:rPr>
          <w:rFonts w:ascii="Book Antiqua" w:hAnsi="Book Antiqua" w:cs="Arial"/>
          <w:snapToGrid w:val="0"/>
        </w:rPr>
        <w:t>2.5 cm. She did not have a stone but had abnormal gallbladder wall thickening and bile duct dilatation (Figure 1A, B)</w:t>
      </w:r>
      <w:r w:rsidRPr="000D25FB">
        <w:rPr>
          <w:rFonts w:ascii="Book Antiqua" w:hAnsi="Book Antiqua" w:cs="Arial"/>
          <w:snapToGrid w:val="0"/>
          <w:lang w:eastAsia="zh-CN"/>
        </w:rPr>
        <w:t>.</w:t>
      </w:r>
    </w:p>
    <w:p w:rsidR="000B3CB0" w:rsidRPr="000D25FB" w:rsidRDefault="002E3900">
      <w:pPr>
        <w:widowControl w:val="0"/>
        <w:snapToGrid w:val="0"/>
        <w:spacing w:line="360" w:lineRule="auto"/>
        <w:jc w:val="both"/>
        <w:rPr>
          <w:rFonts w:ascii="Book Antiqua" w:hAnsi="Book Antiqua" w:cs="Arial"/>
          <w:snapToGrid w:val="0"/>
        </w:rPr>
      </w:pPr>
      <w:r w:rsidRPr="000D25FB">
        <w:rPr>
          <w:rFonts w:ascii="Book Antiqua" w:hAnsi="Book Antiqua" w:cs="Arial"/>
          <w:snapToGrid w:val="0"/>
          <w:lang w:eastAsia="zh-CN"/>
        </w:rPr>
        <w:lastRenderedPageBreak/>
        <w:t xml:space="preserve"> </w:t>
      </w:r>
      <w:r w:rsidRPr="000D25FB">
        <w:rPr>
          <w:rFonts w:ascii="Book Antiqua" w:hAnsi="Book Antiqua" w:cs="Arial"/>
          <w:snapToGrid w:val="0"/>
        </w:rPr>
        <w:t>Her laboratory tests revealed a normal complete blood count and normal liver function with an alkaline phosphatase level of 71 U/L, a total bilirubin level of 0.5 mg/dL, a direct bilirubin level of 0.2 mg/dL, and an aspartate transaminase–alanine transaminase ratio of 22/31. She was sent for a</w:t>
      </w:r>
      <w:r w:rsidRPr="000D25FB">
        <w:rPr>
          <w:rFonts w:ascii="Book Antiqua" w:hAnsi="Book Antiqua" w:cs="Arial"/>
          <w:snapToGrid w:val="0"/>
          <w:lang w:eastAsia="zh-CN"/>
        </w:rPr>
        <w:t xml:space="preserve"> computed tomography</w:t>
      </w:r>
      <w:r w:rsidRPr="000D25FB">
        <w:rPr>
          <w:rFonts w:ascii="Book Antiqua" w:hAnsi="Book Antiqua" w:cs="Arial"/>
          <w:snapToGrid w:val="0"/>
        </w:rPr>
        <w:t xml:space="preserve"> </w:t>
      </w:r>
      <w:r w:rsidRPr="000D25FB">
        <w:rPr>
          <w:rFonts w:ascii="Book Antiqua" w:hAnsi="Book Antiqua" w:cs="Arial"/>
          <w:snapToGrid w:val="0"/>
          <w:lang w:eastAsia="zh-CN"/>
        </w:rPr>
        <w:t>(</w:t>
      </w:r>
      <w:r w:rsidRPr="000D25FB">
        <w:rPr>
          <w:rFonts w:ascii="Book Antiqua" w:hAnsi="Book Antiqua" w:cs="Arial"/>
          <w:snapToGrid w:val="0"/>
        </w:rPr>
        <w:t>CT</w:t>
      </w:r>
      <w:r w:rsidRPr="000D25FB">
        <w:rPr>
          <w:rFonts w:ascii="Book Antiqua" w:hAnsi="Book Antiqua" w:cs="Arial"/>
          <w:snapToGrid w:val="0"/>
          <w:lang w:eastAsia="zh-CN"/>
        </w:rPr>
        <w:t>)</w:t>
      </w:r>
      <w:r w:rsidRPr="000D25FB">
        <w:rPr>
          <w:rFonts w:ascii="Book Antiqua" w:hAnsi="Book Antiqua" w:cs="Arial"/>
          <w:snapToGrid w:val="0"/>
        </w:rPr>
        <w:t xml:space="preserve"> scan of her abdomen, which showed cystic dilatation of both the intrahepatic bile duct and proximal common bile duct with smooth narrowing of the proximal to mid common bile duct and no obvious masses. Asymmetric gallbladder wall thickening is observed at the transverse septum (Figure 2A, B).</w:t>
      </w:r>
    </w:p>
    <w:p w:rsidR="000B3CB0" w:rsidRPr="000D25FB" w:rsidRDefault="002E3900">
      <w:pPr>
        <w:widowControl w:val="0"/>
        <w:snapToGrid w:val="0"/>
        <w:spacing w:line="360" w:lineRule="auto"/>
        <w:jc w:val="both"/>
        <w:rPr>
          <w:rFonts w:ascii="Book Antiqua" w:hAnsi="Book Antiqua" w:cs="Arial"/>
          <w:snapToGrid w:val="0"/>
        </w:rPr>
      </w:pPr>
      <w:r w:rsidRPr="000D25FB">
        <w:rPr>
          <w:rFonts w:ascii="Book Antiqua" w:hAnsi="Book Antiqua" w:cs="Arial"/>
          <w:snapToGrid w:val="0"/>
          <w:lang w:eastAsia="zh-CN"/>
        </w:rPr>
        <w:t xml:space="preserve"> </w:t>
      </w:r>
      <w:r w:rsidRPr="000D25FB">
        <w:rPr>
          <w:rFonts w:ascii="Book Antiqua" w:hAnsi="Book Antiqua" w:cs="Arial"/>
          <w:snapToGrid w:val="0"/>
        </w:rPr>
        <w:t>Then, endoscopic retrograde cholangiopancraticography was performed and revealed proximal common hepatic duct dilatation and long segment smooth stenosis of the distal common bile duct as well as abnormal insertion of the pancreatic duct into the common bile duct at approximately 3.0 cm above the ampulla. Sphincterotomy was performed, and a 7 Fr, 5-cm Amsterdam plastic biliary stent was inserted. Bile duct biopsy was performed and showed only inflammatory cells without evidence of malignancy. She suffered from severe pancreatitis after the endoscopic retrograde cholangiopancraticography that required percutaneous drainage for peripancreatic fluid collection (Figure 3).</w:t>
      </w:r>
    </w:p>
    <w:p w:rsidR="000B3CB0" w:rsidRPr="000D25FB" w:rsidRDefault="002E3900">
      <w:pPr>
        <w:widowControl w:val="0"/>
        <w:snapToGrid w:val="0"/>
        <w:spacing w:line="360" w:lineRule="auto"/>
        <w:jc w:val="both"/>
        <w:rPr>
          <w:rFonts w:ascii="Book Antiqua" w:hAnsi="Book Antiqua" w:cs="Arial"/>
          <w:snapToGrid w:val="0"/>
        </w:rPr>
      </w:pPr>
      <w:r w:rsidRPr="000D25FB">
        <w:rPr>
          <w:rFonts w:ascii="Book Antiqua" w:hAnsi="Book Antiqua" w:cs="Arial"/>
          <w:snapToGrid w:val="0"/>
          <w:lang w:eastAsia="zh-CN"/>
        </w:rPr>
        <w:t xml:space="preserve"> </w:t>
      </w:r>
      <w:r w:rsidRPr="000D25FB">
        <w:rPr>
          <w:rFonts w:ascii="Book Antiqua" w:hAnsi="Book Antiqua" w:cs="Arial"/>
          <w:snapToGrid w:val="0"/>
        </w:rPr>
        <w:t>Two months later, she underwent an operation for radical cholecystectomy with bile duct resection. Unfortunately, the intraoperative finding showed periportal lymphadenopathy and a hard nodule at the peripancreatic head area that suggested synchronous pancreatic head cancer, which was not visible in the preoperative CT scan. So, we decided to perform a radical cholecystectomy, including partial hepatectomy of liver segments V and IVb with pancreatoduodenectomy. The operation was uneventful. The total operation time was 8 h, and intraoperative blood loss was 1000 cc.</w:t>
      </w:r>
    </w:p>
    <w:p w:rsidR="000B3CB0" w:rsidRPr="000D25FB" w:rsidRDefault="002E3900">
      <w:pPr>
        <w:widowControl w:val="0"/>
        <w:snapToGrid w:val="0"/>
        <w:spacing w:line="360" w:lineRule="auto"/>
        <w:ind w:firstLineChars="50" w:firstLine="120"/>
        <w:jc w:val="both"/>
        <w:rPr>
          <w:rFonts w:ascii="Book Antiqua" w:hAnsi="Book Antiqua" w:cs="Arial"/>
          <w:snapToGrid w:val="0"/>
        </w:rPr>
      </w:pPr>
      <w:r w:rsidRPr="000D25FB">
        <w:rPr>
          <w:rFonts w:ascii="Book Antiqua" w:hAnsi="Book Antiqua" w:cs="Arial"/>
          <w:snapToGrid w:val="0"/>
        </w:rPr>
        <w:t>Postoperatively, she had pancreatic leakage and intraabdominal collection that required percutaneous drainage. Ultimately, she had to be re-operated on to remove the collection fluid after the percutaneous drainage failed. Finally, she was well when she was discharged from the hospital and did not have a drainage catheter.</w:t>
      </w:r>
    </w:p>
    <w:p w:rsidR="000B3CB0" w:rsidRPr="000D25FB" w:rsidRDefault="002E3900">
      <w:pPr>
        <w:widowControl w:val="0"/>
        <w:snapToGrid w:val="0"/>
        <w:spacing w:line="360" w:lineRule="auto"/>
        <w:jc w:val="both"/>
        <w:rPr>
          <w:rFonts w:ascii="Book Antiqua" w:hAnsi="Book Antiqua" w:cs="Arial"/>
          <w:snapToGrid w:val="0"/>
        </w:rPr>
      </w:pPr>
      <w:r w:rsidRPr="000D25FB">
        <w:rPr>
          <w:rFonts w:ascii="Book Antiqua" w:hAnsi="Book Antiqua" w:cs="Arial"/>
          <w:snapToGrid w:val="0"/>
        </w:rPr>
        <w:lastRenderedPageBreak/>
        <w:t>Pathological report of the gallbladder: Adenocarcinoma, well-differentiated, biliary type at the fundus, perforated serosa into the peri-gallbladder soft tissue, and presence of perineural invasion (pT</w:t>
      </w:r>
      <w:r w:rsidRPr="000D25FB">
        <w:rPr>
          <w:rFonts w:ascii="Book Antiqua" w:hAnsi="Book Antiqua" w:cs="Arial"/>
          <w:snapToGrid w:val="0"/>
          <w:vertAlign w:val="subscript"/>
        </w:rPr>
        <w:t>3</w:t>
      </w:r>
      <w:r w:rsidRPr="000D25FB">
        <w:rPr>
          <w:rFonts w:ascii="Book Antiqua" w:hAnsi="Book Antiqua" w:cs="Arial"/>
          <w:snapToGrid w:val="0"/>
        </w:rPr>
        <w:t>).</w:t>
      </w:r>
    </w:p>
    <w:p w:rsidR="000B3CB0" w:rsidRPr="000D25FB" w:rsidRDefault="002E3900">
      <w:pPr>
        <w:widowControl w:val="0"/>
        <w:snapToGrid w:val="0"/>
        <w:spacing w:line="360" w:lineRule="auto"/>
        <w:ind w:firstLineChars="50" w:firstLine="120"/>
        <w:jc w:val="both"/>
        <w:rPr>
          <w:rFonts w:ascii="Book Antiqua" w:hAnsi="Book Antiqua" w:cs="Arial"/>
          <w:snapToGrid w:val="0"/>
        </w:rPr>
      </w:pPr>
      <w:r w:rsidRPr="000D25FB">
        <w:rPr>
          <w:rFonts w:ascii="Book Antiqua" w:hAnsi="Book Antiqua" w:cs="Arial"/>
          <w:snapToGrid w:val="0"/>
        </w:rPr>
        <w:t>Pancreas: Adenocarcinoma, well-differentiated, ductal type, 2.8 cm in the greatest dimension, and presence of perineural and lymphovascular space invasions. Metastatic adenocarcinoma in all 6 peripancreatic lymph nodes and in one metastatic lymph node at the common hepatic duct (Figures 4 and 5).</w:t>
      </w:r>
      <w:r w:rsidRPr="000D25FB">
        <w:rPr>
          <w:rFonts w:ascii="Book Antiqua" w:hAnsi="Book Antiqua" w:cs="Arial"/>
          <w:snapToGrid w:val="0"/>
          <w:lang w:eastAsia="zh-CN"/>
        </w:rPr>
        <w:t xml:space="preserve"> </w:t>
      </w:r>
      <w:r w:rsidRPr="000D25FB">
        <w:rPr>
          <w:rFonts w:ascii="Book Antiqua" w:hAnsi="Book Antiqua" w:cs="Arial"/>
          <w:snapToGrid w:val="0"/>
        </w:rPr>
        <w:t>She received adjuvant chemotherapy with gemcitabine.</w:t>
      </w:r>
    </w:p>
    <w:p w:rsidR="000B3CB0" w:rsidRPr="000D25FB" w:rsidRDefault="002E3900">
      <w:pPr>
        <w:widowControl w:val="0"/>
        <w:snapToGrid w:val="0"/>
        <w:spacing w:line="360" w:lineRule="auto"/>
        <w:jc w:val="both"/>
        <w:rPr>
          <w:rFonts w:ascii="Book Antiqua" w:hAnsi="Book Antiqua" w:cs="Arial"/>
          <w:snapToGrid w:val="0"/>
        </w:rPr>
      </w:pPr>
      <w:r w:rsidRPr="000D25FB">
        <w:rPr>
          <w:rFonts w:ascii="Book Antiqua" w:hAnsi="Book Antiqua" w:cs="Arial"/>
          <w:snapToGrid w:val="0"/>
          <w:lang w:eastAsia="zh-CN"/>
        </w:rPr>
        <w:t xml:space="preserve"> </w:t>
      </w:r>
      <w:r w:rsidRPr="000D25FB">
        <w:rPr>
          <w:rFonts w:ascii="Book Antiqua" w:hAnsi="Book Antiqua" w:cs="Arial"/>
          <w:snapToGrid w:val="0"/>
        </w:rPr>
        <w:t>Approximately 10 mo postoperatively, she is still alive and has no tumor recurrence.</w:t>
      </w:r>
    </w:p>
    <w:p w:rsidR="000B3CB0" w:rsidRPr="000D25FB" w:rsidRDefault="000B3CB0">
      <w:pPr>
        <w:widowControl w:val="0"/>
        <w:snapToGrid w:val="0"/>
        <w:spacing w:line="360" w:lineRule="auto"/>
        <w:ind w:firstLine="851"/>
        <w:jc w:val="both"/>
        <w:rPr>
          <w:rFonts w:ascii="Book Antiqua" w:hAnsi="Book Antiqua" w:cs="Arial"/>
          <w:snapToGrid w:val="0"/>
        </w:rPr>
      </w:pPr>
    </w:p>
    <w:p w:rsidR="000B3CB0" w:rsidRPr="000D25FB" w:rsidRDefault="002E3900">
      <w:pPr>
        <w:widowControl w:val="0"/>
        <w:snapToGrid w:val="0"/>
        <w:spacing w:line="360" w:lineRule="auto"/>
        <w:jc w:val="both"/>
        <w:rPr>
          <w:rFonts w:ascii="Book Antiqua" w:hAnsi="Book Antiqua" w:cs="Arial"/>
          <w:b/>
          <w:bCs/>
          <w:snapToGrid w:val="0"/>
        </w:rPr>
      </w:pPr>
      <w:r w:rsidRPr="000D25FB">
        <w:rPr>
          <w:rFonts w:ascii="Book Antiqua" w:hAnsi="Book Antiqua" w:cs="Arial"/>
          <w:b/>
          <w:bCs/>
          <w:snapToGrid w:val="0"/>
        </w:rPr>
        <w:t>DISCUSSION</w:t>
      </w:r>
    </w:p>
    <w:p w:rsidR="000B3CB0" w:rsidRPr="000D25FB" w:rsidRDefault="002E3900">
      <w:pPr>
        <w:widowControl w:val="0"/>
        <w:snapToGrid w:val="0"/>
        <w:spacing w:line="360" w:lineRule="auto"/>
        <w:jc w:val="both"/>
        <w:rPr>
          <w:rFonts w:ascii="Book Antiqua" w:hAnsi="Book Antiqua" w:cs="Arial"/>
          <w:snapToGrid w:val="0"/>
        </w:rPr>
      </w:pPr>
      <w:r w:rsidRPr="000D25FB">
        <w:rPr>
          <w:rFonts w:ascii="Book Antiqua" w:hAnsi="Book Antiqua" w:cs="Arial"/>
          <w:snapToGrid w:val="0"/>
        </w:rPr>
        <w:t>Pancreaticobiliary maljunction is more common in the Asian population and especially in Japan than in Western populations</w:t>
      </w:r>
      <w:r w:rsidRPr="000D25FB">
        <w:rPr>
          <w:rFonts w:ascii="Book Antiqua" w:hAnsi="Book Antiqua" w:cs="Arial"/>
          <w:snapToGrid w:val="0"/>
          <w:vertAlign w:val="superscript"/>
        </w:rPr>
        <w:t>[9]</w:t>
      </w:r>
      <w:r w:rsidRPr="000D25FB">
        <w:rPr>
          <w:rFonts w:ascii="Book Antiqua" w:hAnsi="Book Antiqua" w:cs="Arial"/>
          <w:snapToGrid w:val="0"/>
        </w:rPr>
        <w:t>. This condition includes abnormal connection of the pancreatic duct and common bile duct outside the duodenal wall. A report shows that there were 2561 cases of pancreaticobiliary maljunction in Japan between 1990 and 2007</w:t>
      </w:r>
      <w:r w:rsidRPr="000D25FB">
        <w:rPr>
          <w:rFonts w:ascii="Book Antiqua" w:hAnsi="Book Antiqua" w:cs="Arial"/>
          <w:snapToGrid w:val="0"/>
          <w:vertAlign w:val="superscript"/>
          <w:lang w:eastAsia="zh-CN"/>
        </w:rPr>
        <w:t>[1</w:t>
      </w:r>
      <w:r w:rsidRPr="000D25FB">
        <w:rPr>
          <w:rFonts w:ascii="Book Antiqua" w:hAnsi="Book Antiqua" w:cs="Arial"/>
          <w:snapToGrid w:val="0"/>
          <w:vertAlign w:val="superscript"/>
        </w:rPr>
        <w:t>0]</w:t>
      </w:r>
      <w:r w:rsidRPr="000D25FB">
        <w:rPr>
          <w:rFonts w:ascii="Book Antiqua" w:hAnsi="Book Antiqua" w:cs="Arial"/>
          <w:snapToGrid w:val="0"/>
        </w:rPr>
        <w:t>. This condition is considered a risk factor for gallbladder cancer. There are many reports of synchronous and metachronous gallbladder cancer and other biliary tract cancers</w:t>
      </w:r>
      <w:r w:rsidRPr="000D25FB">
        <w:rPr>
          <w:rFonts w:ascii="Book Antiqua" w:hAnsi="Book Antiqua" w:cs="Arial"/>
          <w:snapToGrid w:val="0"/>
          <w:vertAlign w:val="superscript"/>
        </w:rPr>
        <w:t>[5,11]</w:t>
      </w:r>
      <w:r w:rsidRPr="000D25FB">
        <w:rPr>
          <w:rFonts w:ascii="Book Antiqua" w:hAnsi="Book Antiqua" w:cs="Arial"/>
          <w:snapToGrid w:val="0"/>
        </w:rPr>
        <w:t>. In this patient, cholangiogram from the endoscopic retrograde cholangiopancreaticography showed abnormal junction of the common bile duct and pancreatic duct and a long segment of common bile duct stricture from the pancreaticobiliary maljunction rather than distal common bile duct obstruction from pancreatic head cancer because the level of obstruction was high.</w:t>
      </w:r>
    </w:p>
    <w:p w:rsidR="000B3CB0" w:rsidRPr="000D25FB" w:rsidRDefault="002E3900">
      <w:pPr>
        <w:widowControl w:val="0"/>
        <w:snapToGrid w:val="0"/>
        <w:spacing w:line="360" w:lineRule="auto"/>
        <w:ind w:firstLineChars="50" w:firstLine="120"/>
        <w:jc w:val="both"/>
        <w:rPr>
          <w:rFonts w:ascii="Book Antiqua" w:hAnsi="Book Antiqua" w:cs="Arial"/>
          <w:snapToGrid w:val="0"/>
          <w:lang w:eastAsia="zh-CN"/>
        </w:rPr>
      </w:pPr>
      <w:r w:rsidRPr="000D25FB">
        <w:rPr>
          <w:rFonts w:ascii="Book Antiqua" w:hAnsi="Book Antiqua" w:cs="Arial"/>
          <w:snapToGrid w:val="0"/>
        </w:rPr>
        <w:t>Synchronous gallbladder and pancreatic cancer is extremely rare. To the best of our knowledge, there have been only 3 cases reported worldwide in English and 5 cases reported in Japanese (Table 1)</w:t>
      </w:r>
      <w:r w:rsidRPr="000D25FB">
        <w:rPr>
          <w:rFonts w:ascii="Book Antiqua" w:hAnsi="Book Antiqua" w:cs="Arial"/>
          <w:snapToGrid w:val="0"/>
          <w:vertAlign w:val="superscript"/>
        </w:rPr>
        <w:t>[7,8]</w:t>
      </w:r>
      <w:r w:rsidRPr="000D25FB">
        <w:rPr>
          <w:rFonts w:ascii="Book Antiqua" w:hAnsi="Book Antiqua" w:cs="Arial"/>
          <w:snapToGrid w:val="0"/>
        </w:rPr>
        <w:t>. This is the first case reported from Thailand.</w:t>
      </w:r>
    </w:p>
    <w:p w:rsidR="000B3CB0" w:rsidRPr="000D25FB" w:rsidRDefault="002E3900">
      <w:pPr>
        <w:widowControl w:val="0"/>
        <w:snapToGrid w:val="0"/>
        <w:spacing w:line="360" w:lineRule="auto"/>
        <w:ind w:firstLineChars="50" w:firstLine="120"/>
        <w:jc w:val="both"/>
        <w:rPr>
          <w:rFonts w:ascii="Book Antiqua" w:hAnsi="Book Antiqua" w:cs="Arial"/>
          <w:snapToGrid w:val="0"/>
        </w:rPr>
      </w:pPr>
      <w:r w:rsidRPr="000D25FB">
        <w:rPr>
          <w:rFonts w:ascii="Book Antiqua" w:hAnsi="Book Antiqua" w:cs="Arial"/>
          <w:snapToGrid w:val="0"/>
        </w:rPr>
        <w:t xml:space="preserve">Carcinogenesis of pancreatic cancer in this condition is unclear, but pancreaticobiliary maljunction can cause reciprocal reflux of pancreatic juices </w:t>
      </w:r>
      <w:r w:rsidRPr="000D25FB">
        <w:rPr>
          <w:rFonts w:ascii="Book Antiqua" w:hAnsi="Book Antiqua" w:cs="Arial"/>
          <w:snapToGrid w:val="0"/>
        </w:rPr>
        <w:lastRenderedPageBreak/>
        <w:t>and bile due to the inability of the sphincter of Oddi to control normal flow. Pancreatobiliary reflux is confirmed with high levels of amylase and lipase in bile specimens from endoscopic retrograde cholangiopancraticography</w:t>
      </w:r>
      <w:r w:rsidRPr="000D25FB">
        <w:rPr>
          <w:rFonts w:ascii="Book Antiqua" w:hAnsi="Book Antiqua" w:cs="Arial"/>
          <w:snapToGrid w:val="0"/>
          <w:vertAlign w:val="superscript"/>
        </w:rPr>
        <w:t>[5,6]</w:t>
      </w:r>
      <w:r w:rsidRPr="000D25FB">
        <w:rPr>
          <w:rFonts w:ascii="Book Antiqua" w:hAnsi="Book Antiqua" w:cs="Arial"/>
          <w:snapToGrid w:val="0"/>
        </w:rPr>
        <w:t>. However, proof of bile in the pancreatic juice is difficult to obtain. In cases of acute pancreatitis, one hypothesis for the etiology explains the common channel hypothesis of distal common bile duct obstruction from gallstones and bile that is refluxed into the pancreatic duct causes acute pancreatitis</w:t>
      </w:r>
      <w:r w:rsidRPr="000D25FB">
        <w:rPr>
          <w:rFonts w:ascii="Book Antiqua" w:hAnsi="Book Antiqua" w:cs="Arial"/>
          <w:snapToGrid w:val="0"/>
          <w:vertAlign w:val="superscript"/>
        </w:rPr>
        <w:t>[5</w:t>
      </w:r>
      <w:r w:rsidRPr="000D25FB">
        <w:rPr>
          <w:rFonts w:ascii="Book Antiqua" w:hAnsi="Book Antiqua" w:cs="Arial"/>
          <w:snapToGrid w:val="0"/>
          <w:vertAlign w:val="superscript"/>
          <w:lang w:eastAsia="zh-CN"/>
        </w:rPr>
        <w:t>,</w:t>
      </w:r>
      <w:r w:rsidRPr="000D25FB">
        <w:rPr>
          <w:rFonts w:ascii="Book Antiqua" w:hAnsi="Book Antiqua" w:cs="Arial"/>
          <w:snapToGrid w:val="0"/>
          <w:vertAlign w:val="superscript"/>
        </w:rPr>
        <w:t>11, 13]</w:t>
      </w:r>
      <w:r w:rsidRPr="000D25FB">
        <w:rPr>
          <w:rFonts w:ascii="Book Antiqua" w:hAnsi="Book Antiqua" w:cs="Arial"/>
          <w:snapToGrid w:val="0"/>
        </w:rPr>
        <w:t>.</w:t>
      </w:r>
    </w:p>
    <w:p w:rsidR="000B3CB0" w:rsidRPr="000D25FB" w:rsidRDefault="002E3900">
      <w:pPr>
        <w:widowControl w:val="0"/>
        <w:snapToGrid w:val="0"/>
        <w:spacing w:line="360" w:lineRule="auto"/>
        <w:ind w:firstLineChars="50" w:firstLine="120"/>
        <w:jc w:val="both"/>
        <w:rPr>
          <w:rFonts w:ascii="Book Antiqua" w:hAnsi="Book Antiqua" w:cs="Arial"/>
          <w:snapToGrid w:val="0"/>
        </w:rPr>
      </w:pPr>
      <w:r w:rsidRPr="000D25FB">
        <w:rPr>
          <w:rFonts w:ascii="Book Antiqua" w:hAnsi="Book Antiqua" w:cs="Arial"/>
          <w:snapToGrid w:val="0"/>
        </w:rPr>
        <w:t>Owing to reflux of pancreatic juice into the bile duct, there is a proliferation of the bile duct epithelium from normal epithelium to hyperplasia, metaplasia and dysplasia. Furthermore, there is evidence that gene mutations are associated with carcinogenesis, such as in the K-ras and p53 genes, which are involved in carcinogenesis of gallbladder cancer in this condition</w:t>
      </w:r>
      <w:r w:rsidRPr="000D25FB">
        <w:rPr>
          <w:rFonts w:ascii="Book Antiqua" w:hAnsi="Book Antiqua" w:cs="Arial"/>
          <w:snapToGrid w:val="0"/>
          <w:vertAlign w:val="superscript"/>
        </w:rPr>
        <w:t>[14-16]</w:t>
      </w:r>
      <w:r w:rsidRPr="000D25FB">
        <w:rPr>
          <w:rFonts w:ascii="Book Antiqua" w:hAnsi="Book Antiqua" w:cs="Arial"/>
          <w:snapToGrid w:val="0"/>
        </w:rPr>
        <w:t>. This is different from the general principle of carcinogenesis that arises from the adenoma–carcinoma sequence</w:t>
      </w:r>
      <w:r w:rsidRPr="000D25FB">
        <w:rPr>
          <w:rFonts w:ascii="Book Antiqua" w:hAnsi="Book Antiqua" w:cs="Arial"/>
          <w:snapToGrid w:val="0"/>
          <w:vertAlign w:val="superscript"/>
        </w:rPr>
        <w:t>[5]</w:t>
      </w:r>
      <w:r w:rsidRPr="000D25FB">
        <w:rPr>
          <w:rFonts w:ascii="Book Antiqua" w:hAnsi="Book Antiqua" w:cs="Arial"/>
          <w:snapToGrid w:val="0"/>
        </w:rPr>
        <w:t>.</w:t>
      </w:r>
    </w:p>
    <w:p w:rsidR="000B3CB0" w:rsidRPr="000D25FB" w:rsidRDefault="002E3900">
      <w:pPr>
        <w:widowControl w:val="0"/>
        <w:snapToGrid w:val="0"/>
        <w:spacing w:line="360" w:lineRule="auto"/>
        <w:ind w:firstLineChars="50" w:firstLine="120"/>
        <w:jc w:val="both"/>
        <w:rPr>
          <w:rFonts w:ascii="Book Antiqua" w:hAnsi="Book Antiqua" w:cs="Arial"/>
          <w:snapToGrid w:val="0"/>
        </w:rPr>
      </w:pPr>
      <w:r w:rsidRPr="000D25FB">
        <w:rPr>
          <w:rFonts w:ascii="Book Antiqua" w:hAnsi="Book Antiqua" w:cs="Arial"/>
          <w:snapToGrid w:val="0"/>
        </w:rPr>
        <w:t>Although, the evidence of carcinogenesis of pancreatic carcinoma in pancreaticobiliary maljunction is still lacking, the reflux of bile into the pancreatic duct may cause chronic inflammation of the pancreas and may give rise to cancer of the pancreas</w:t>
      </w:r>
      <w:r w:rsidRPr="000D25FB">
        <w:rPr>
          <w:rFonts w:ascii="Book Antiqua" w:hAnsi="Book Antiqua" w:cs="Arial"/>
          <w:snapToGrid w:val="0"/>
          <w:vertAlign w:val="superscript"/>
        </w:rPr>
        <w:t>[11]</w:t>
      </w:r>
      <w:r w:rsidRPr="000D25FB">
        <w:rPr>
          <w:rFonts w:ascii="Book Antiqua" w:hAnsi="Book Antiqua" w:cs="Arial"/>
          <w:snapToGrid w:val="0"/>
        </w:rPr>
        <w:t>.</w:t>
      </w:r>
    </w:p>
    <w:p w:rsidR="000B3CB0" w:rsidRPr="000D25FB" w:rsidRDefault="002E3900">
      <w:pPr>
        <w:widowControl w:val="0"/>
        <w:snapToGrid w:val="0"/>
        <w:spacing w:line="360" w:lineRule="auto"/>
        <w:ind w:firstLineChars="50" w:firstLine="120"/>
        <w:jc w:val="both"/>
        <w:rPr>
          <w:rFonts w:ascii="Book Antiqua" w:hAnsi="Book Antiqua" w:cs="Arial"/>
          <w:snapToGrid w:val="0"/>
        </w:rPr>
      </w:pPr>
      <w:r w:rsidRPr="000D25FB">
        <w:rPr>
          <w:rFonts w:ascii="Book Antiqua" w:hAnsi="Book Antiqua" w:cs="Arial"/>
          <w:snapToGrid w:val="0"/>
        </w:rPr>
        <w:t>The management of pancreaticobiliary maljunction with or without bile duct dilatation at that time of diagnosis and without cancer evidence involves cholecystectomy with or without bile duct resection and biliary reconstruction according to dilatation of the bile duct to divert flow and prevent future cancer development</w:t>
      </w:r>
      <w:r w:rsidRPr="000D25FB">
        <w:rPr>
          <w:rFonts w:ascii="Book Antiqua" w:hAnsi="Book Antiqua" w:cs="Arial"/>
          <w:snapToGrid w:val="0"/>
          <w:vertAlign w:val="superscript"/>
        </w:rPr>
        <w:t>[5,17]</w:t>
      </w:r>
      <w:r w:rsidRPr="000D25FB">
        <w:rPr>
          <w:rFonts w:ascii="Book Antiqua" w:hAnsi="Book Antiqua" w:cs="Arial"/>
          <w:snapToGrid w:val="0"/>
        </w:rPr>
        <w:t>. The cancer treatment at the time of diagnosis depends on the stage of gallbladder cancer and synchronous lesion.</w:t>
      </w:r>
    </w:p>
    <w:p w:rsidR="000B3CB0" w:rsidRPr="000D25FB" w:rsidRDefault="002E3900">
      <w:pPr>
        <w:widowControl w:val="0"/>
        <w:snapToGrid w:val="0"/>
        <w:spacing w:line="360" w:lineRule="auto"/>
        <w:ind w:firstLineChars="50" w:firstLine="120"/>
        <w:jc w:val="both"/>
        <w:rPr>
          <w:rFonts w:ascii="Book Antiqua" w:hAnsi="Book Antiqua" w:cs="Arial"/>
          <w:snapToGrid w:val="0"/>
          <w:lang w:eastAsia="zh-CN"/>
        </w:rPr>
      </w:pPr>
      <w:r w:rsidRPr="000D25FB">
        <w:rPr>
          <w:rFonts w:ascii="Book Antiqua" w:hAnsi="Book Antiqua" w:cs="Arial"/>
          <w:snapToGrid w:val="0"/>
        </w:rPr>
        <w:t>In summary, a patient with pancreaticobiliary maljunction should be made aware of synchronous cancer of the pancreaticobiliary system.</w:t>
      </w:r>
    </w:p>
    <w:p w:rsidR="00B44C80" w:rsidRPr="000D25FB" w:rsidRDefault="00B44C80">
      <w:pPr>
        <w:widowControl w:val="0"/>
        <w:snapToGrid w:val="0"/>
        <w:spacing w:line="360" w:lineRule="auto"/>
        <w:ind w:firstLineChars="50" w:firstLine="120"/>
        <w:jc w:val="both"/>
        <w:rPr>
          <w:rFonts w:ascii="Book Antiqua" w:hAnsi="Book Antiqua" w:cs="Arial"/>
          <w:snapToGrid w:val="0"/>
          <w:lang w:eastAsia="zh-CN"/>
        </w:rPr>
      </w:pPr>
    </w:p>
    <w:p w:rsidR="00B44C80" w:rsidRPr="000D25FB" w:rsidRDefault="00B44C80" w:rsidP="00B44C80">
      <w:pPr>
        <w:widowControl w:val="0"/>
        <w:snapToGrid w:val="0"/>
        <w:spacing w:line="360" w:lineRule="auto"/>
        <w:jc w:val="both"/>
        <w:rPr>
          <w:rFonts w:ascii="Book Antiqua" w:hAnsi="Book Antiqua" w:cs="Arial"/>
          <w:b/>
          <w:snapToGrid w:val="0"/>
          <w:lang w:eastAsia="zh-CN"/>
        </w:rPr>
      </w:pPr>
      <w:r w:rsidRPr="000D25FB">
        <w:rPr>
          <w:rFonts w:ascii="Book Antiqua" w:hAnsi="Book Antiqua" w:cs="Arial" w:hint="eastAsia"/>
          <w:b/>
          <w:snapToGrid w:val="0"/>
          <w:lang w:eastAsia="zh-CN"/>
        </w:rPr>
        <w:t>COMMENTS</w:t>
      </w:r>
    </w:p>
    <w:p w:rsidR="00B44C80" w:rsidRPr="000D25FB" w:rsidRDefault="00B44C80" w:rsidP="007B0E08">
      <w:pPr>
        <w:spacing w:line="360" w:lineRule="auto"/>
        <w:jc w:val="both"/>
        <w:rPr>
          <w:rFonts w:ascii="Book Antiqua" w:hAnsi="Book Antiqua" w:cs="宋体"/>
          <w:i/>
          <w:snapToGrid w:val="0"/>
        </w:rPr>
      </w:pPr>
      <w:r w:rsidRPr="000D25FB">
        <w:rPr>
          <w:rFonts w:ascii="Book Antiqua" w:hAnsi="Book Antiqua" w:cs="宋体"/>
          <w:b/>
          <w:bCs/>
          <w:i/>
          <w:snapToGrid w:val="0"/>
        </w:rPr>
        <w:t>Case characteristics</w:t>
      </w:r>
    </w:p>
    <w:p w:rsidR="005B3AD4" w:rsidRPr="000D25FB" w:rsidRDefault="005B3AD4" w:rsidP="007B0E08">
      <w:pPr>
        <w:spacing w:line="360" w:lineRule="auto"/>
        <w:jc w:val="both"/>
        <w:rPr>
          <w:rFonts w:ascii="Book Antiqua" w:hAnsi="Book Antiqua" w:cs="Arial"/>
          <w:snapToGrid w:val="0"/>
          <w:lang w:eastAsia="zh-CN"/>
        </w:rPr>
      </w:pPr>
      <w:r w:rsidRPr="000D25FB">
        <w:rPr>
          <w:rFonts w:ascii="Book Antiqua" w:hAnsi="Book Antiqua" w:cs="Arial"/>
          <w:snapToGrid w:val="0"/>
        </w:rPr>
        <w:lastRenderedPageBreak/>
        <w:t>A 46-year-old Thai woman presented at the clinic with chronic intermittent abdominal pain for 2 mo</w:t>
      </w:r>
      <w:r w:rsidR="00D014EF" w:rsidRPr="000D25FB">
        <w:rPr>
          <w:rFonts w:ascii="Book Antiqua" w:hAnsi="Book Antiqua" w:cs="Arial" w:hint="eastAsia"/>
          <w:snapToGrid w:val="0"/>
          <w:lang w:eastAsia="zh-CN"/>
        </w:rPr>
        <w:t>.</w:t>
      </w:r>
    </w:p>
    <w:p w:rsidR="00D014EF" w:rsidRPr="000D25FB" w:rsidRDefault="00D014EF" w:rsidP="007B0E08">
      <w:pPr>
        <w:spacing w:line="360" w:lineRule="auto"/>
        <w:jc w:val="both"/>
        <w:rPr>
          <w:rFonts w:ascii="Book Antiqua" w:hAnsi="Book Antiqua" w:cs="宋体"/>
          <w:snapToGrid w:val="0"/>
          <w:lang w:eastAsia="zh-CN"/>
        </w:rPr>
      </w:pPr>
    </w:p>
    <w:p w:rsidR="00B44C80" w:rsidRPr="000D25FB" w:rsidRDefault="00B44C80" w:rsidP="007B0E08">
      <w:pPr>
        <w:spacing w:line="360" w:lineRule="auto"/>
        <w:jc w:val="both"/>
        <w:rPr>
          <w:rFonts w:ascii="Book Antiqua" w:hAnsi="Book Antiqua" w:cs="宋体"/>
          <w:b/>
          <w:bCs/>
          <w:i/>
          <w:snapToGrid w:val="0"/>
          <w:color w:val="000000"/>
        </w:rPr>
      </w:pPr>
      <w:r w:rsidRPr="000D25FB">
        <w:rPr>
          <w:rFonts w:ascii="Book Antiqua" w:hAnsi="Book Antiqua" w:cs="宋体"/>
          <w:b/>
          <w:bCs/>
          <w:i/>
          <w:snapToGrid w:val="0"/>
          <w:color w:val="000000"/>
        </w:rPr>
        <w:t>Clinical diagnosis</w:t>
      </w:r>
    </w:p>
    <w:p w:rsidR="00B44C80" w:rsidRPr="000D25FB" w:rsidRDefault="005B3AD4" w:rsidP="007B0E08">
      <w:pPr>
        <w:spacing w:line="360" w:lineRule="auto"/>
        <w:jc w:val="both"/>
        <w:rPr>
          <w:rFonts w:ascii="Book Antiqua" w:hAnsi="Book Antiqua" w:cs="宋体"/>
          <w:snapToGrid w:val="0"/>
          <w:lang w:eastAsia="zh-CN"/>
        </w:rPr>
      </w:pPr>
      <w:r w:rsidRPr="000D25FB">
        <w:rPr>
          <w:rFonts w:ascii="Book Antiqua" w:hAnsi="Book Antiqua" w:cs="Arial" w:hint="eastAsia"/>
          <w:snapToGrid w:val="0"/>
          <w:lang w:eastAsia="zh-CN"/>
        </w:rPr>
        <w:t xml:space="preserve">The </w:t>
      </w:r>
      <w:r w:rsidRPr="000D25FB">
        <w:rPr>
          <w:rFonts w:ascii="Book Antiqua" w:hAnsi="Book Antiqua" w:cs="Arial"/>
          <w:snapToGrid w:val="0"/>
        </w:rPr>
        <w:t>Thai woman presented at the clinic with chronic intermittent abdominal pain for 2 mo and ultrasound of her abdomen showed multiple hepatic cysts involving the right lobe</w:t>
      </w:r>
      <w:r w:rsidRPr="000D25FB">
        <w:rPr>
          <w:rFonts w:ascii="Book Antiqua" w:hAnsi="Book Antiqua" w:cs="Arial" w:hint="eastAsia"/>
          <w:snapToGrid w:val="0"/>
          <w:lang w:eastAsia="zh-CN"/>
        </w:rPr>
        <w:t>.</w:t>
      </w:r>
    </w:p>
    <w:p w:rsidR="00B44C80" w:rsidRPr="000D25FB" w:rsidRDefault="00B44C80" w:rsidP="007B0E08">
      <w:pPr>
        <w:spacing w:line="360" w:lineRule="auto"/>
        <w:jc w:val="both"/>
        <w:rPr>
          <w:rFonts w:ascii="Book Antiqua" w:hAnsi="Book Antiqua" w:cs="宋体"/>
          <w:b/>
          <w:bCs/>
          <w:snapToGrid w:val="0"/>
          <w:color w:val="000000"/>
          <w:lang w:eastAsia="zh-CN"/>
        </w:rPr>
      </w:pPr>
    </w:p>
    <w:p w:rsidR="00B44C80" w:rsidRPr="000D25FB" w:rsidRDefault="00B44C80" w:rsidP="007B0E08">
      <w:pPr>
        <w:spacing w:line="360" w:lineRule="auto"/>
        <w:jc w:val="both"/>
        <w:rPr>
          <w:rFonts w:ascii="Book Antiqua" w:hAnsi="Book Antiqua" w:cs="宋体"/>
          <w:b/>
          <w:bCs/>
          <w:i/>
          <w:snapToGrid w:val="0"/>
          <w:color w:val="000000"/>
        </w:rPr>
      </w:pPr>
      <w:r w:rsidRPr="000D25FB">
        <w:rPr>
          <w:rFonts w:ascii="Book Antiqua" w:hAnsi="Book Antiqua" w:cs="宋体"/>
          <w:b/>
          <w:bCs/>
          <w:i/>
          <w:snapToGrid w:val="0"/>
          <w:color w:val="000000"/>
        </w:rPr>
        <w:t>Laboratory diagnosis</w:t>
      </w:r>
    </w:p>
    <w:p w:rsidR="00B44C80" w:rsidRPr="000D25FB" w:rsidRDefault="00D014EF" w:rsidP="007B0E08">
      <w:pPr>
        <w:spacing w:line="360" w:lineRule="auto"/>
        <w:jc w:val="both"/>
        <w:rPr>
          <w:rFonts w:ascii="Book Antiqua" w:hAnsi="Book Antiqua" w:cs="Arial"/>
          <w:snapToGrid w:val="0"/>
          <w:lang w:eastAsia="zh-CN"/>
        </w:rPr>
      </w:pPr>
      <w:r w:rsidRPr="000D25FB">
        <w:rPr>
          <w:rFonts w:ascii="Book Antiqua" w:hAnsi="Book Antiqua" w:cs="Arial"/>
          <w:snapToGrid w:val="0"/>
        </w:rPr>
        <w:t>Her laboratory tests revealed a normal complete blood count and normal liver function with an alkaline phosphatase level of 71 U/L, a total bilirubin level of 0.5 mg/dL, a direct bilirubin level of 0.2 mg/dL, and an aspartate transaminase–alanine transaminase ratio of 22/31</w:t>
      </w:r>
      <w:r w:rsidRPr="000D25FB">
        <w:rPr>
          <w:rFonts w:ascii="Book Antiqua" w:hAnsi="Book Antiqua" w:cs="Arial" w:hint="eastAsia"/>
          <w:snapToGrid w:val="0"/>
          <w:lang w:eastAsia="zh-CN"/>
        </w:rPr>
        <w:t>.</w:t>
      </w:r>
    </w:p>
    <w:p w:rsidR="00D014EF" w:rsidRPr="000D25FB" w:rsidRDefault="00D014EF" w:rsidP="007B0E08">
      <w:pPr>
        <w:spacing w:line="360" w:lineRule="auto"/>
        <w:jc w:val="both"/>
        <w:rPr>
          <w:rFonts w:ascii="Book Antiqua" w:hAnsi="Book Antiqua" w:cs="宋体"/>
          <w:snapToGrid w:val="0"/>
          <w:color w:val="000000"/>
          <w:lang w:eastAsia="zh-CN"/>
        </w:rPr>
      </w:pPr>
    </w:p>
    <w:p w:rsidR="00B44C80" w:rsidRPr="000D25FB" w:rsidRDefault="00B44C80" w:rsidP="007B0E08">
      <w:pPr>
        <w:spacing w:line="360" w:lineRule="auto"/>
        <w:jc w:val="both"/>
        <w:rPr>
          <w:rFonts w:ascii="Book Antiqua" w:hAnsi="Book Antiqua" w:cs="宋体"/>
          <w:b/>
          <w:bCs/>
          <w:i/>
          <w:snapToGrid w:val="0"/>
          <w:color w:val="000000"/>
        </w:rPr>
      </w:pPr>
      <w:r w:rsidRPr="000D25FB">
        <w:rPr>
          <w:rFonts w:ascii="Book Antiqua" w:hAnsi="Book Antiqua" w:cs="宋体"/>
          <w:b/>
          <w:bCs/>
          <w:i/>
          <w:snapToGrid w:val="0"/>
          <w:color w:val="000000"/>
        </w:rPr>
        <w:t>Imaging diagnosis</w:t>
      </w:r>
    </w:p>
    <w:p w:rsidR="00D014EF" w:rsidRPr="000D25FB" w:rsidRDefault="007B0E08" w:rsidP="007B0E08">
      <w:pPr>
        <w:spacing w:line="360" w:lineRule="auto"/>
        <w:jc w:val="both"/>
        <w:rPr>
          <w:rFonts w:ascii="Book Antiqua" w:hAnsi="Book Antiqua" w:cs="Arial"/>
          <w:snapToGrid w:val="0"/>
          <w:lang w:eastAsia="zh-CN"/>
        </w:rPr>
      </w:pPr>
      <w:r w:rsidRPr="000D25FB">
        <w:rPr>
          <w:rFonts w:ascii="Book Antiqua" w:hAnsi="Book Antiqua" w:cs="Arial"/>
          <w:snapToGrid w:val="0"/>
        </w:rPr>
        <w:t>U</w:t>
      </w:r>
      <w:r w:rsidR="00D014EF" w:rsidRPr="000D25FB">
        <w:rPr>
          <w:rFonts w:ascii="Book Antiqua" w:hAnsi="Book Antiqua" w:cs="Arial"/>
          <w:snapToGrid w:val="0"/>
        </w:rPr>
        <w:t>ltrasound of her abdomen showed multiple hepatic cysts involving the right lobe and periportal areas with a relatively ill-defined mixed echoic lesion in the gallbladder lumen that was approximately 3.4</w:t>
      </w:r>
      <w:r w:rsidR="00D014EF" w:rsidRPr="000D25FB">
        <w:rPr>
          <w:rFonts w:ascii="Book Antiqua" w:hAnsi="Book Antiqua" w:cs="Arial"/>
          <w:snapToGrid w:val="0"/>
          <w:lang w:eastAsia="zh-CN"/>
        </w:rPr>
        <w:t xml:space="preserve"> </w:t>
      </w:r>
      <w:r w:rsidR="00D014EF" w:rsidRPr="000D25FB">
        <w:rPr>
          <w:rFonts w:ascii="Book Antiqua" w:hAnsi="Book Antiqua" w:cs="Arial"/>
          <w:snapToGrid w:val="0"/>
        </w:rPr>
        <w:t>cm</w:t>
      </w:r>
      <w:r w:rsidR="00D014EF" w:rsidRPr="000D25FB">
        <w:rPr>
          <w:rFonts w:ascii="Book Antiqua" w:hAnsi="Book Antiqua" w:cs="Arial"/>
          <w:snapToGrid w:val="0"/>
          <w:lang w:eastAsia="zh-CN"/>
        </w:rPr>
        <w:t xml:space="preserve"> × </w:t>
      </w:r>
      <w:r w:rsidR="00D014EF" w:rsidRPr="000D25FB">
        <w:rPr>
          <w:rFonts w:ascii="Book Antiqua" w:hAnsi="Book Antiqua" w:cs="Arial"/>
          <w:snapToGrid w:val="0"/>
        </w:rPr>
        <w:t>2.5 cm</w:t>
      </w:r>
      <w:r w:rsidR="00D014EF" w:rsidRPr="000D25FB">
        <w:rPr>
          <w:rFonts w:ascii="Book Antiqua" w:hAnsi="Book Antiqua" w:cs="Arial" w:hint="eastAsia"/>
          <w:snapToGrid w:val="0"/>
          <w:lang w:eastAsia="zh-CN"/>
        </w:rPr>
        <w:t>.</w:t>
      </w:r>
    </w:p>
    <w:p w:rsidR="00B44C80" w:rsidRPr="000D25FB" w:rsidRDefault="00B44C80" w:rsidP="007B0E08">
      <w:pPr>
        <w:spacing w:line="360" w:lineRule="auto"/>
        <w:jc w:val="both"/>
        <w:rPr>
          <w:rFonts w:ascii="Book Antiqua" w:hAnsi="Book Antiqua" w:cs="宋体"/>
          <w:snapToGrid w:val="0"/>
          <w:lang w:eastAsia="zh-CN"/>
        </w:rPr>
      </w:pPr>
    </w:p>
    <w:p w:rsidR="00B44C80" w:rsidRPr="000D25FB" w:rsidRDefault="00B44C80" w:rsidP="007B0E08">
      <w:pPr>
        <w:spacing w:line="360" w:lineRule="auto"/>
        <w:jc w:val="both"/>
        <w:rPr>
          <w:rFonts w:ascii="Book Antiqua" w:hAnsi="Book Antiqua" w:cs="宋体"/>
          <w:b/>
          <w:bCs/>
          <w:i/>
          <w:snapToGrid w:val="0"/>
          <w:color w:val="000000"/>
        </w:rPr>
      </w:pPr>
      <w:r w:rsidRPr="000D25FB">
        <w:rPr>
          <w:rFonts w:ascii="Book Antiqua" w:hAnsi="Book Antiqua" w:cs="宋体"/>
          <w:b/>
          <w:bCs/>
          <w:i/>
          <w:snapToGrid w:val="0"/>
          <w:color w:val="000000"/>
        </w:rPr>
        <w:t>Experiences and lessons</w:t>
      </w:r>
    </w:p>
    <w:p w:rsidR="00B44C80" w:rsidRPr="000D25FB" w:rsidRDefault="009B2691" w:rsidP="007B0E08">
      <w:pPr>
        <w:spacing w:line="360" w:lineRule="auto"/>
        <w:jc w:val="both"/>
        <w:rPr>
          <w:rFonts w:ascii="Book Antiqua" w:hAnsi="Book Antiqua" w:cs="Arial"/>
          <w:snapToGrid w:val="0"/>
          <w:lang w:eastAsia="zh-CN"/>
        </w:rPr>
      </w:pPr>
      <w:r w:rsidRPr="000D25FB">
        <w:rPr>
          <w:rFonts w:ascii="Book Antiqua" w:hAnsi="Book Antiqua" w:cs="Arial"/>
          <w:snapToGrid w:val="0"/>
        </w:rPr>
        <w:t>Pancreatobiliary reflux is confirmed with high levels of amylase and lipase in bile specimens from endoscopic retrograde cholangiopancraticography</w:t>
      </w:r>
      <w:r w:rsidRPr="000D25FB">
        <w:rPr>
          <w:rFonts w:ascii="Book Antiqua" w:hAnsi="Book Antiqua" w:cs="Arial" w:hint="eastAsia"/>
          <w:snapToGrid w:val="0"/>
          <w:lang w:eastAsia="zh-CN"/>
        </w:rPr>
        <w:t>.</w:t>
      </w:r>
    </w:p>
    <w:p w:rsidR="009B2691" w:rsidRPr="000D25FB" w:rsidRDefault="009B2691" w:rsidP="007B0E08">
      <w:pPr>
        <w:spacing w:line="360" w:lineRule="auto"/>
        <w:jc w:val="both"/>
        <w:rPr>
          <w:rFonts w:ascii="Book Antiqua" w:hAnsi="Book Antiqua" w:cs="宋体"/>
          <w:b/>
          <w:bCs/>
          <w:snapToGrid w:val="0"/>
          <w:lang w:eastAsia="zh-CN"/>
        </w:rPr>
      </w:pPr>
    </w:p>
    <w:p w:rsidR="00B44C80" w:rsidRPr="000D25FB" w:rsidRDefault="00B44C80" w:rsidP="007B0E08">
      <w:pPr>
        <w:spacing w:line="360" w:lineRule="auto"/>
        <w:jc w:val="both"/>
        <w:rPr>
          <w:rFonts w:ascii="Book Antiqua" w:hAnsi="Book Antiqua" w:cs="宋体"/>
          <w:b/>
          <w:bCs/>
          <w:i/>
          <w:snapToGrid w:val="0"/>
        </w:rPr>
      </w:pPr>
      <w:r w:rsidRPr="000D25FB">
        <w:rPr>
          <w:rFonts w:ascii="Book Antiqua" w:hAnsi="Book Antiqua" w:cs="宋体"/>
          <w:b/>
          <w:bCs/>
          <w:i/>
          <w:snapToGrid w:val="0"/>
        </w:rPr>
        <w:t>Peer review</w:t>
      </w:r>
    </w:p>
    <w:p w:rsidR="00B44C80" w:rsidRPr="000D25FB" w:rsidRDefault="007B0E08" w:rsidP="007B0E08">
      <w:pPr>
        <w:widowControl w:val="0"/>
        <w:snapToGrid w:val="0"/>
        <w:spacing w:line="360" w:lineRule="auto"/>
        <w:jc w:val="both"/>
        <w:rPr>
          <w:rFonts w:ascii="Book Antiqua" w:hAnsi="Book Antiqua" w:cs="宋体"/>
          <w:snapToGrid w:val="0"/>
          <w:color w:val="000000"/>
          <w:lang w:eastAsia="zh-CN"/>
        </w:rPr>
      </w:pPr>
      <w:r w:rsidRPr="000D25FB">
        <w:rPr>
          <w:rFonts w:ascii="Book Antiqua" w:hAnsi="Book Antiqua" w:cs="宋体"/>
          <w:snapToGrid w:val="0"/>
          <w:color w:val="000000"/>
        </w:rPr>
        <w:t>This manuscript presented the case of pancreaticobiliary maljunction complicated with synchronous gallbladder and pancreatic cancer. The present case report will provide useful information for the management of pancreaticobiliary maljunction.</w:t>
      </w:r>
    </w:p>
    <w:p w:rsidR="007B0E08" w:rsidRPr="000D25FB" w:rsidRDefault="007B0E08" w:rsidP="007B0E08">
      <w:pPr>
        <w:widowControl w:val="0"/>
        <w:snapToGrid w:val="0"/>
        <w:spacing w:line="360" w:lineRule="auto"/>
        <w:jc w:val="both"/>
        <w:rPr>
          <w:rFonts w:ascii="Book Antiqua" w:hAnsi="Book Antiqua" w:cs="Arial"/>
          <w:snapToGrid w:val="0"/>
          <w:lang w:eastAsia="zh-CN"/>
        </w:rPr>
      </w:pPr>
    </w:p>
    <w:p w:rsidR="000B3CB0" w:rsidRPr="000D25FB" w:rsidRDefault="002E3900">
      <w:pPr>
        <w:widowControl w:val="0"/>
        <w:snapToGrid w:val="0"/>
        <w:spacing w:line="360" w:lineRule="auto"/>
        <w:jc w:val="both"/>
        <w:rPr>
          <w:rFonts w:ascii="Book Antiqua" w:hAnsi="Book Antiqua" w:cs="Arial"/>
          <w:b/>
          <w:bCs/>
          <w:snapToGrid w:val="0"/>
          <w:lang w:eastAsia="zh-CN"/>
        </w:rPr>
      </w:pPr>
      <w:r w:rsidRPr="000D25FB">
        <w:rPr>
          <w:rFonts w:ascii="Book Antiqua" w:hAnsi="Book Antiqua" w:cs="Arial"/>
          <w:b/>
          <w:bCs/>
          <w:snapToGrid w:val="0"/>
        </w:rPr>
        <w:t>REFERENCES</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t>1 </w:t>
      </w:r>
      <w:r w:rsidRPr="000D25FB">
        <w:rPr>
          <w:rFonts w:ascii="Book Antiqua" w:eastAsia="宋体" w:hAnsi="Book Antiqua" w:cs="宋体" w:hint="eastAsia"/>
          <w:b/>
          <w:bCs/>
          <w:snapToGrid w:val="0"/>
          <w:color w:val="000000"/>
          <w:lang w:eastAsia="zh-CN"/>
        </w:rPr>
        <w:t>Jemal A</w:t>
      </w:r>
      <w:r w:rsidRPr="000D25FB">
        <w:rPr>
          <w:rFonts w:ascii="Book Antiqua" w:eastAsia="宋体" w:hAnsi="Book Antiqua" w:cs="宋体" w:hint="eastAsia"/>
          <w:snapToGrid w:val="0"/>
          <w:color w:val="000000"/>
          <w:lang w:eastAsia="zh-CN"/>
        </w:rPr>
        <w:t>, Siegel R, Ward E, Hao Y, Xu J, Thun MJ. Cancer statistics, 2009. </w:t>
      </w:r>
      <w:r w:rsidRPr="000D25FB">
        <w:rPr>
          <w:rFonts w:ascii="Book Antiqua" w:eastAsia="宋体" w:hAnsi="Book Antiqua" w:cs="宋体" w:hint="eastAsia"/>
          <w:i/>
          <w:iCs/>
          <w:snapToGrid w:val="0"/>
          <w:color w:val="000000"/>
          <w:lang w:eastAsia="zh-CN"/>
        </w:rPr>
        <w:t>CA Cancer J Clin</w:t>
      </w:r>
      <w:r w:rsidRPr="000D25FB">
        <w:rPr>
          <w:rFonts w:ascii="Book Antiqua" w:eastAsia="宋体" w:hAnsi="Book Antiqua" w:cs="宋体" w:hint="eastAsia"/>
          <w:snapToGrid w:val="0"/>
          <w:color w:val="000000"/>
          <w:lang w:eastAsia="zh-CN"/>
        </w:rPr>
        <w:t> </w:t>
      </w:r>
      <w:r w:rsidR="000522A3" w:rsidRPr="000D25FB">
        <w:rPr>
          <w:rFonts w:ascii="Book Antiqua" w:eastAsia="宋体" w:hAnsi="Book Antiqua" w:cs="宋体" w:hint="eastAsia"/>
          <w:snapToGrid w:val="0"/>
          <w:color w:val="000000"/>
          <w:lang w:eastAsia="zh-CN"/>
        </w:rPr>
        <w:t>2009</w:t>
      </w:r>
      <w:r w:rsidRPr="000D25FB">
        <w:rPr>
          <w:rFonts w:ascii="Book Antiqua" w:eastAsia="宋体" w:hAnsi="Book Antiqua" w:cs="宋体" w:hint="eastAsia"/>
          <w:snapToGrid w:val="0"/>
          <w:color w:val="000000"/>
          <w:lang w:eastAsia="zh-CN"/>
        </w:rPr>
        <w:t>; </w:t>
      </w:r>
      <w:r w:rsidRPr="000D25FB">
        <w:rPr>
          <w:rFonts w:ascii="Book Antiqua" w:eastAsia="宋体" w:hAnsi="Book Antiqua" w:cs="宋体" w:hint="eastAsia"/>
          <w:b/>
          <w:bCs/>
          <w:snapToGrid w:val="0"/>
          <w:color w:val="000000"/>
          <w:lang w:eastAsia="zh-CN"/>
        </w:rPr>
        <w:t>59</w:t>
      </w:r>
      <w:r w:rsidRPr="000D25FB">
        <w:rPr>
          <w:rFonts w:ascii="Book Antiqua" w:eastAsia="宋体" w:hAnsi="Book Antiqua" w:cs="宋体" w:hint="eastAsia"/>
          <w:snapToGrid w:val="0"/>
          <w:color w:val="000000"/>
          <w:lang w:eastAsia="zh-CN"/>
        </w:rPr>
        <w:t>: 225-249 [PMID: 19474385 DOI: 10.3322/caac.20006]</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lastRenderedPageBreak/>
        <w:t>2 </w:t>
      </w:r>
      <w:r w:rsidRPr="000D25FB">
        <w:rPr>
          <w:rFonts w:ascii="Book Antiqua" w:eastAsia="宋体" w:hAnsi="Book Antiqua" w:cs="宋体" w:hint="eastAsia"/>
          <w:b/>
          <w:bCs/>
          <w:snapToGrid w:val="0"/>
          <w:color w:val="000000"/>
          <w:lang w:eastAsia="zh-CN"/>
        </w:rPr>
        <w:t>Carriaga MT</w:t>
      </w:r>
      <w:r w:rsidRPr="000D25FB">
        <w:rPr>
          <w:rFonts w:ascii="Book Antiqua" w:eastAsia="宋体" w:hAnsi="Book Antiqua" w:cs="宋体" w:hint="eastAsia"/>
          <w:snapToGrid w:val="0"/>
          <w:color w:val="000000"/>
          <w:lang w:eastAsia="zh-CN"/>
        </w:rPr>
        <w:t>, Henson DE. Liver, gallbladder, extrahepatic bile ducts, and pancreas. </w:t>
      </w:r>
      <w:r w:rsidRPr="000D25FB">
        <w:rPr>
          <w:rFonts w:ascii="Book Antiqua" w:eastAsia="宋体" w:hAnsi="Book Antiqua" w:cs="宋体" w:hint="eastAsia"/>
          <w:i/>
          <w:iCs/>
          <w:snapToGrid w:val="0"/>
          <w:color w:val="000000"/>
          <w:lang w:eastAsia="zh-CN"/>
        </w:rPr>
        <w:t>Cancer</w:t>
      </w:r>
      <w:r w:rsidRPr="000D25FB">
        <w:rPr>
          <w:rFonts w:ascii="Book Antiqua" w:eastAsia="宋体" w:hAnsi="Book Antiqua" w:cs="宋体" w:hint="eastAsia"/>
          <w:snapToGrid w:val="0"/>
          <w:color w:val="000000"/>
          <w:lang w:eastAsia="zh-CN"/>
        </w:rPr>
        <w:t> 1995; </w:t>
      </w:r>
      <w:r w:rsidRPr="000D25FB">
        <w:rPr>
          <w:rFonts w:ascii="Book Antiqua" w:eastAsia="宋体" w:hAnsi="Book Antiqua" w:cs="宋体" w:hint="eastAsia"/>
          <w:b/>
          <w:bCs/>
          <w:snapToGrid w:val="0"/>
          <w:color w:val="000000"/>
          <w:lang w:eastAsia="zh-CN"/>
        </w:rPr>
        <w:t>75</w:t>
      </w:r>
      <w:r w:rsidRPr="000D25FB">
        <w:rPr>
          <w:rFonts w:ascii="Book Antiqua" w:eastAsia="宋体" w:hAnsi="Book Antiqua" w:cs="宋体" w:hint="eastAsia"/>
          <w:snapToGrid w:val="0"/>
          <w:color w:val="000000"/>
          <w:lang w:eastAsia="zh-CN"/>
        </w:rPr>
        <w:t>: 171-190 [PMID: 8000995 DOI: 10.1002/1097-0142(19950101)75: 1]</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t>3 </w:t>
      </w:r>
      <w:r w:rsidRPr="000D25FB">
        <w:rPr>
          <w:rFonts w:ascii="Book Antiqua" w:eastAsia="宋体" w:hAnsi="Book Antiqua" w:cs="宋体" w:hint="eastAsia"/>
          <w:b/>
          <w:bCs/>
          <w:snapToGrid w:val="0"/>
          <w:color w:val="000000"/>
          <w:lang w:eastAsia="zh-CN"/>
        </w:rPr>
        <w:t>Batra Y</w:t>
      </w:r>
      <w:r w:rsidRPr="000D25FB">
        <w:rPr>
          <w:rFonts w:ascii="Book Antiqua" w:eastAsia="宋体" w:hAnsi="Book Antiqua" w:cs="宋体" w:hint="eastAsia"/>
          <w:snapToGrid w:val="0"/>
          <w:color w:val="000000"/>
          <w:lang w:eastAsia="zh-CN"/>
        </w:rPr>
        <w:t>, Pal S, Dutta U, Desai P, Garg PK, Makharia G, Ahuja V, Pande GK, Sahni P, Chattopadhyay TK, Tandon RK. Gallbladder cancer in India: a dismal picture. </w:t>
      </w:r>
      <w:r w:rsidRPr="000D25FB">
        <w:rPr>
          <w:rFonts w:ascii="Book Antiqua" w:eastAsia="宋体" w:hAnsi="Book Antiqua" w:cs="宋体" w:hint="eastAsia"/>
          <w:i/>
          <w:iCs/>
          <w:snapToGrid w:val="0"/>
          <w:color w:val="000000"/>
          <w:lang w:eastAsia="zh-CN"/>
        </w:rPr>
        <w:t>J Gastroenterol Hepatol</w:t>
      </w:r>
      <w:r w:rsidRPr="000D25FB">
        <w:rPr>
          <w:rFonts w:ascii="Book Antiqua" w:eastAsia="宋体" w:hAnsi="Book Antiqua" w:cs="宋体" w:hint="eastAsia"/>
          <w:snapToGrid w:val="0"/>
          <w:color w:val="000000"/>
          <w:lang w:eastAsia="zh-CN"/>
        </w:rPr>
        <w:t> 2005; </w:t>
      </w:r>
      <w:r w:rsidRPr="000D25FB">
        <w:rPr>
          <w:rFonts w:ascii="Book Antiqua" w:eastAsia="宋体" w:hAnsi="Book Antiqua" w:cs="宋体" w:hint="eastAsia"/>
          <w:b/>
          <w:bCs/>
          <w:snapToGrid w:val="0"/>
          <w:color w:val="000000"/>
          <w:lang w:eastAsia="zh-CN"/>
        </w:rPr>
        <w:t>20</w:t>
      </w:r>
      <w:r w:rsidRPr="000D25FB">
        <w:rPr>
          <w:rFonts w:ascii="Book Antiqua" w:eastAsia="宋体" w:hAnsi="Book Antiqua" w:cs="宋体" w:hint="eastAsia"/>
          <w:snapToGrid w:val="0"/>
          <w:color w:val="000000"/>
          <w:lang w:eastAsia="zh-CN"/>
        </w:rPr>
        <w:t>: 309-314 [PMID: 15683437 DOI: 10.1111/j.1440-1746.2005.03576.x]</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t>4 </w:t>
      </w:r>
      <w:r w:rsidRPr="000D25FB">
        <w:rPr>
          <w:rFonts w:ascii="Book Antiqua" w:eastAsia="宋体" w:hAnsi="Book Antiqua" w:cs="宋体" w:hint="eastAsia"/>
          <w:b/>
          <w:bCs/>
          <w:snapToGrid w:val="0"/>
          <w:color w:val="000000"/>
          <w:lang w:eastAsia="zh-CN"/>
        </w:rPr>
        <w:t>Hueman MT</w:t>
      </w:r>
      <w:r w:rsidRPr="000D25FB">
        <w:rPr>
          <w:rFonts w:ascii="Book Antiqua" w:eastAsia="宋体" w:hAnsi="Book Antiqua" w:cs="宋体" w:hint="eastAsia"/>
          <w:snapToGrid w:val="0"/>
          <w:color w:val="000000"/>
          <w:lang w:eastAsia="zh-CN"/>
        </w:rPr>
        <w:t>, Vollmer CM, Pawlik TM. Evolving treatment strategies for gallbladder cancer. </w:t>
      </w:r>
      <w:r w:rsidRPr="000D25FB">
        <w:rPr>
          <w:rFonts w:ascii="Book Antiqua" w:eastAsia="宋体" w:hAnsi="Book Antiqua" w:cs="宋体" w:hint="eastAsia"/>
          <w:i/>
          <w:iCs/>
          <w:snapToGrid w:val="0"/>
          <w:color w:val="000000"/>
          <w:lang w:eastAsia="zh-CN"/>
        </w:rPr>
        <w:t>Ann Surg Oncol</w:t>
      </w:r>
      <w:r w:rsidRPr="000D25FB">
        <w:rPr>
          <w:rFonts w:ascii="Book Antiqua" w:eastAsia="宋体" w:hAnsi="Book Antiqua" w:cs="宋体" w:hint="eastAsia"/>
          <w:snapToGrid w:val="0"/>
          <w:color w:val="000000"/>
          <w:lang w:eastAsia="zh-CN"/>
        </w:rPr>
        <w:t> 2009; </w:t>
      </w:r>
      <w:r w:rsidRPr="000D25FB">
        <w:rPr>
          <w:rFonts w:ascii="Book Antiqua" w:eastAsia="宋体" w:hAnsi="Book Antiqua" w:cs="宋体" w:hint="eastAsia"/>
          <w:b/>
          <w:bCs/>
          <w:snapToGrid w:val="0"/>
          <w:color w:val="000000"/>
          <w:lang w:eastAsia="zh-CN"/>
        </w:rPr>
        <w:t>16</w:t>
      </w:r>
      <w:r w:rsidRPr="000D25FB">
        <w:rPr>
          <w:rFonts w:ascii="Book Antiqua" w:eastAsia="宋体" w:hAnsi="Book Antiqua" w:cs="宋体" w:hint="eastAsia"/>
          <w:snapToGrid w:val="0"/>
          <w:color w:val="000000"/>
          <w:lang w:eastAsia="zh-CN"/>
        </w:rPr>
        <w:t>: 2101-2115 [PMID: 19495882 DOI: 10.1245/s10434-009-0538-x]</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t>5 </w:t>
      </w:r>
      <w:r w:rsidRPr="000D25FB">
        <w:rPr>
          <w:rFonts w:ascii="Book Antiqua" w:eastAsia="宋体" w:hAnsi="Book Antiqua" w:cs="宋体" w:hint="eastAsia"/>
          <w:b/>
          <w:bCs/>
          <w:snapToGrid w:val="0"/>
          <w:color w:val="000000"/>
          <w:lang w:eastAsia="zh-CN"/>
        </w:rPr>
        <w:t>Kamisawa T</w:t>
      </w:r>
      <w:r w:rsidRPr="000D25FB">
        <w:rPr>
          <w:rFonts w:ascii="Book Antiqua" w:eastAsia="宋体" w:hAnsi="Book Antiqua" w:cs="宋体" w:hint="eastAsia"/>
          <w:snapToGrid w:val="0"/>
          <w:color w:val="000000"/>
          <w:lang w:eastAsia="zh-CN"/>
        </w:rPr>
        <w:t>, Ando H, Suyama M, Shimada M, Morine Y, Shimada H. Japanese clinical practice guidelines for pancreaticobiliary maljunction. </w:t>
      </w:r>
      <w:r w:rsidRPr="000D25FB">
        <w:rPr>
          <w:rFonts w:ascii="Book Antiqua" w:eastAsia="宋体" w:hAnsi="Book Antiqua" w:cs="宋体" w:hint="eastAsia"/>
          <w:i/>
          <w:iCs/>
          <w:snapToGrid w:val="0"/>
          <w:color w:val="000000"/>
          <w:lang w:eastAsia="zh-CN"/>
        </w:rPr>
        <w:t>J Gastroenterol</w:t>
      </w:r>
      <w:r w:rsidRPr="000D25FB">
        <w:rPr>
          <w:rFonts w:ascii="Book Antiqua" w:eastAsia="宋体" w:hAnsi="Book Antiqua" w:cs="宋体" w:hint="eastAsia"/>
          <w:snapToGrid w:val="0"/>
          <w:color w:val="000000"/>
          <w:lang w:eastAsia="zh-CN"/>
        </w:rPr>
        <w:t> 2012; </w:t>
      </w:r>
      <w:r w:rsidRPr="000D25FB">
        <w:rPr>
          <w:rFonts w:ascii="Book Antiqua" w:eastAsia="宋体" w:hAnsi="Book Antiqua" w:cs="宋体" w:hint="eastAsia"/>
          <w:b/>
          <w:bCs/>
          <w:snapToGrid w:val="0"/>
          <w:color w:val="000000"/>
          <w:lang w:eastAsia="zh-CN"/>
        </w:rPr>
        <w:t>47</w:t>
      </w:r>
      <w:r w:rsidRPr="000D25FB">
        <w:rPr>
          <w:rFonts w:ascii="Book Antiqua" w:eastAsia="宋体" w:hAnsi="Book Antiqua" w:cs="宋体" w:hint="eastAsia"/>
          <w:snapToGrid w:val="0"/>
          <w:color w:val="000000"/>
          <w:lang w:eastAsia="zh-CN"/>
        </w:rPr>
        <w:t>: 731-759 [PMID: 22722902 DOI: 10.1007/s00535-012-0611-2]</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t>6 </w:t>
      </w:r>
      <w:r w:rsidRPr="000D25FB">
        <w:rPr>
          <w:rFonts w:ascii="Book Antiqua" w:eastAsia="宋体" w:hAnsi="Book Antiqua" w:cs="宋体" w:hint="eastAsia"/>
          <w:b/>
          <w:bCs/>
          <w:snapToGrid w:val="0"/>
          <w:color w:val="000000"/>
          <w:lang w:eastAsia="zh-CN"/>
        </w:rPr>
        <w:t>Kamisawa T</w:t>
      </w:r>
      <w:r w:rsidRPr="000D25FB">
        <w:rPr>
          <w:rFonts w:ascii="Book Antiqua" w:eastAsia="宋体" w:hAnsi="Book Antiqua" w:cs="宋体" w:hint="eastAsia"/>
          <w:snapToGrid w:val="0"/>
          <w:color w:val="000000"/>
          <w:lang w:eastAsia="zh-CN"/>
        </w:rPr>
        <w:t>, Okamoto A. Biliopancreatic and pancreatobiliary refluxes in cases with and without pancreaticobiliary maljunction: diagnosis and clinical implications. </w:t>
      </w:r>
      <w:r w:rsidRPr="000D25FB">
        <w:rPr>
          <w:rFonts w:ascii="Book Antiqua" w:eastAsia="宋体" w:hAnsi="Book Antiqua" w:cs="宋体" w:hint="eastAsia"/>
          <w:i/>
          <w:iCs/>
          <w:snapToGrid w:val="0"/>
          <w:color w:val="000000"/>
          <w:lang w:eastAsia="zh-CN"/>
        </w:rPr>
        <w:t>Digestion</w:t>
      </w:r>
      <w:r w:rsidRPr="000D25FB">
        <w:rPr>
          <w:rFonts w:ascii="Book Antiqua" w:eastAsia="宋体" w:hAnsi="Book Antiqua" w:cs="宋体" w:hint="eastAsia"/>
          <w:snapToGrid w:val="0"/>
          <w:color w:val="000000"/>
          <w:lang w:eastAsia="zh-CN"/>
        </w:rPr>
        <w:t> 2006; </w:t>
      </w:r>
      <w:r w:rsidRPr="000D25FB">
        <w:rPr>
          <w:rFonts w:ascii="Book Antiqua" w:eastAsia="宋体" w:hAnsi="Book Antiqua" w:cs="宋体" w:hint="eastAsia"/>
          <w:b/>
          <w:bCs/>
          <w:snapToGrid w:val="0"/>
          <w:color w:val="000000"/>
          <w:lang w:eastAsia="zh-CN"/>
        </w:rPr>
        <w:t>73</w:t>
      </w:r>
      <w:r w:rsidRPr="000D25FB">
        <w:rPr>
          <w:rFonts w:ascii="Book Antiqua" w:eastAsia="宋体" w:hAnsi="Book Antiqua" w:cs="宋体" w:hint="eastAsia"/>
          <w:snapToGrid w:val="0"/>
          <w:color w:val="000000"/>
          <w:lang w:eastAsia="zh-CN"/>
        </w:rPr>
        <w:t>: 228-236 [PMID: 16940726 DOI: 10.1159/000095424]</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t>7 </w:t>
      </w:r>
      <w:r w:rsidRPr="000D25FB">
        <w:rPr>
          <w:rFonts w:ascii="Book Antiqua" w:eastAsia="宋体" w:hAnsi="Book Antiqua" w:cs="宋体" w:hint="eastAsia"/>
          <w:b/>
          <w:bCs/>
          <w:snapToGrid w:val="0"/>
          <w:color w:val="000000"/>
          <w:lang w:eastAsia="zh-CN"/>
        </w:rPr>
        <w:t>Lahmar A</w:t>
      </w:r>
      <w:r w:rsidRPr="000D25FB">
        <w:rPr>
          <w:rFonts w:ascii="Book Antiqua" w:eastAsia="宋体" w:hAnsi="Book Antiqua" w:cs="宋体" w:hint="eastAsia"/>
          <w:snapToGrid w:val="0"/>
          <w:color w:val="000000"/>
          <w:lang w:eastAsia="zh-CN"/>
        </w:rPr>
        <w:t>, Abid SB, Arfa MN, Bayar R, Khalfallah MT, Mzabi-Regaya S. Metachronous cancer of gallbladder and pancreas with pancreatobiliary maljunction. </w:t>
      </w:r>
      <w:r w:rsidRPr="000D25FB">
        <w:rPr>
          <w:rFonts w:ascii="Book Antiqua" w:eastAsia="宋体" w:hAnsi="Book Antiqua" w:cs="宋体" w:hint="eastAsia"/>
          <w:i/>
          <w:iCs/>
          <w:snapToGrid w:val="0"/>
          <w:color w:val="000000"/>
          <w:lang w:eastAsia="zh-CN"/>
        </w:rPr>
        <w:t>World J Gastrointest Surg</w:t>
      </w:r>
      <w:r w:rsidRPr="000D25FB">
        <w:rPr>
          <w:rFonts w:ascii="Book Antiqua" w:eastAsia="宋体" w:hAnsi="Book Antiqua" w:cs="宋体" w:hint="eastAsia"/>
          <w:snapToGrid w:val="0"/>
          <w:color w:val="000000"/>
          <w:lang w:eastAsia="zh-CN"/>
        </w:rPr>
        <w:t> 2010; </w:t>
      </w:r>
      <w:r w:rsidRPr="000D25FB">
        <w:rPr>
          <w:rFonts w:ascii="Book Antiqua" w:eastAsia="宋体" w:hAnsi="Book Antiqua" w:cs="宋体" w:hint="eastAsia"/>
          <w:b/>
          <w:bCs/>
          <w:snapToGrid w:val="0"/>
          <w:color w:val="000000"/>
          <w:lang w:eastAsia="zh-CN"/>
        </w:rPr>
        <w:t>2</w:t>
      </w:r>
      <w:r w:rsidRPr="000D25FB">
        <w:rPr>
          <w:rFonts w:ascii="Book Antiqua" w:eastAsia="宋体" w:hAnsi="Book Antiqua" w:cs="宋体" w:hint="eastAsia"/>
          <w:snapToGrid w:val="0"/>
          <w:color w:val="000000"/>
          <w:lang w:eastAsia="zh-CN"/>
        </w:rPr>
        <w:t>: 143-146 [PMID: 21160863 DOI: 10.4240/wjgs.v2.i4.143]</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t>8 </w:t>
      </w:r>
      <w:r w:rsidRPr="000D25FB">
        <w:rPr>
          <w:rFonts w:ascii="Book Antiqua" w:eastAsia="宋体" w:hAnsi="Book Antiqua" w:cs="宋体" w:hint="eastAsia"/>
          <w:b/>
          <w:bCs/>
          <w:snapToGrid w:val="0"/>
          <w:color w:val="000000"/>
          <w:lang w:eastAsia="zh-CN"/>
        </w:rPr>
        <w:t>Minami Y</w:t>
      </w:r>
      <w:r w:rsidRPr="000D25FB">
        <w:rPr>
          <w:rFonts w:ascii="Book Antiqua" w:eastAsia="宋体" w:hAnsi="Book Antiqua" w:cs="宋体" w:hint="eastAsia"/>
          <w:snapToGrid w:val="0"/>
          <w:color w:val="000000"/>
          <w:lang w:eastAsia="zh-CN"/>
        </w:rPr>
        <w:t>, Hasuike Y, Takeda Y, Tsujinaka T. Metachronous double cancer of the gallbladder and pancreas associated with pancreaticobiliary maljunction. </w:t>
      </w:r>
      <w:r w:rsidRPr="000D25FB">
        <w:rPr>
          <w:rFonts w:ascii="Book Antiqua" w:eastAsia="宋体" w:hAnsi="Book Antiqua" w:cs="宋体" w:hint="eastAsia"/>
          <w:i/>
          <w:iCs/>
          <w:snapToGrid w:val="0"/>
          <w:color w:val="000000"/>
          <w:lang w:eastAsia="zh-CN"/>
        </w:rPr>
        <w:t>J Hepatobiliary Pancreat Surg</w:t>
      </w:r>
      <w:r w:rsidRPr="000D25FB">
        <w:rPr>
          <w:rFonts w:ascii="Book Antiqua" w:eastAsia="宋体" w:hAnsi="Book Antiqua" w:cs="宋体" w:hint="eastAsia"/>
          <w:snapToGrid w:val="0"/>
          <w:color w:val="000000"/>
          <w:lang w:eastAsia="zh-CN"/>
        </w:rPr>
        <w:t> 2008; </w:t>
      </w:r>
      <w:r w:rsidRPr="000D25FB">
        <w:rPr>
          <w:rFonts w:ascii="Book Antiqua" w:eastAsia="宋体" w:hAnsi="Book Antiqua" w:cs="宋体" w:hint="eastAsia"/>
          <w:b/>
          <w:bCs/>
          <w:snapToGrid w:val="0"/>
          <w:color w:val="000000"/>
          <w:lang w:eastAsia="zh-CN"/>
        </w:rPr>
        <w:t>15</w:t>
      </w:r>
      <w:r w:rsidRPr="000D25FB">
        <w:rPr>
          <w:rFonts w:ascii="Book Antiqua" w:eastAsia="宋体" w:hAnsi="Book Antiqua" w:cs="宋体" w:hint="eastAsia"/>
          <w:snapToGrid w:val="0"/>
          <w:color w:val="000000"/>
          <w:lang w:eastAsia="zh-CN"/>
        </w:rPr>
        <w:t>: 330-333 [PMID: 18535774 DOI: 10.1007/s00534-007-1208-7]</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t>9 </w:t>
      </w:r>
      <w:r w:rsidRPr="000D25FB">
        <w:rPr>
          <w:rFonts w:ascii="Book Antiqua" w:eastAsia="宋体" w:hAnsi="Book Antiqua" w:cs="宋体" w:hint="eastAsia"/>
          <w:b/>
          <w:bCs/>
          <w:snapToGrid w:val="0"/>
          <w:color w:val="000000"/>
          <w:lang w:eastAsia="zh-CN"/>
        </w:rPr>
        <w:t>Roukounakis N</w:t>
      </w:r>
      <w:r w:rsidRPr="000D25FB">
        <w:rPr>
          <w:rFonts w:ascii="Book Antiqua" w:eastAsia="宋体" w:hAnsi="Book Antiqua" w:cs="宋体" w:hint="eastAsia"/>
          <w:snapToGrid w:val="0"/>
          <w:color w:val="000000"/>
          <w:lang w:eastAsia="zh-CN"/>
        </w:rPr>
        <w:t>, Manolakopoulos S, Tzourmakliotis D, Bethanis S, McCarty TM, Cuhn J. Biliary tract malignancy and abnormal pancreaticobiliary junction in a Western population. </w:t>
      </w:r>
      <w:r w:rsidRPr="000D25FB">
        <w:rPr>
          <w:rFonts w:ascii="Book Antiqua" w:eastAsia="宋体" w:hAnsi="Book Antiqua" w:cs="宋体" w:hint="eastAsia"/>
          <w:i/>
          <w:iCs/>
          <w:snapToGrid w:val="0"/>
          <w:color w:val="000000"/>
          <w:lang w:eastAsia="zh-CN"/>
        </w:rPr>
        <w:t>J Gastroenterol Hepatol</w:t>
      </w:r>
      <w:r w:rsidRPr="000D25FB">
        <w:rPr>
          <w:rFonts w:ascii="Book Antiqua" w:eastAsia="宋体" w:hAnsi="Book Antiqua" w:cs="宋体" w:hint="eastAsia"/>
          <w:snapToGrid w:val="0"/>
          <w:color w:val="000000"/>
          <w:lang w:eastAsia="zh-CN"/>
        </w:rPr>
        <w:t> 2007; </w:t>
      </w:r>
      <w:r w:rsidRPr="000D25FB">
        <w:rPr>
          <w:rFonts w:ascii="Book Antiqua" w:eastAsia="宋体" w:hAnsi="Book Antiqua" w:cs="宋体" w:hint="eastAsia"/>
          <w:b/>
          <w:bCs/>
          <w:snapToGrid w:val="0"/>
          <w:color w:val="000000"/>
          <w:lang w:eastAsia="zh-CN"/>
        </w:rPr>
        <w:t>22</w:t>
      </w:r>
      <w:r w:rsidRPr="000D25FB">
        <w:rPr>
          <w:rFonts w:ascii="Book Antiqua" w:eastAsia="宋体" w:hAnsi="Book Antiqua" w:cs="宋体" w:hint="eastAsia"/>
          <w:snapToGrid w:val="0"/>
          <w:color w:val="000000"/>
          <w:lang w:eastAsia="zh-CN"/>
        </w:rPr>
        <w:t>: 1949-1952 [PMID: 17914975 DOI: 10.1111/j.1440-1746.2006.04624.x]</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t>10 </w:t>
      </w:r>
      <w:r w:rsidRPr="000D25FB">
        <w:rPr>
          <w:rFonts w:ascii="Book Antiqua" w:eastAsia="宋体" w:hAnsi="Book Antiqua" w:cs="宋体" w:hint="eastAsia"/>
          <w:b/>
          <w:bCs/>
          <w:snapToGrid w:val="0"/>
          <w:color w:val="000000"/>
          <w:lang w:eastAsia="zh-CN"/>
        </w:rPr>
        <w:t>Morine Y</w:t>
      </w:r>
      <w:r w:rsidRPr="000D25FB">
        <w:rPr>
          <w:rFonts w:ascii="Book Antiqua" w:eastAsia="宋体" w:hAnsi="Book Antiqua" w:cs="宋体" w:hint="eastAsia"/>
          <w:snapToGrid w:val="0"/>
          <w:color w:val="000000"/>
          <w:lang w:eastAsia="zh-CN"/>
        </w:rPr>
        <w:t>, Shimada M, Takamatsu H, Araida T, Endo I, Kubota M, Toki A, Noda T, Matsumura T, Miyakawa S, Ishibashi H, Kamisawa T, Shimada H. Clinical features of pancreaticobiliary maljunction: update analysis of 2nd Japan-nationwide survey. </w:t>
      </w:r>
      <w:r w:rsidRPr="000D25FB">
        <w:rPr>
          <w:rFonts w:ascii="Book Antiqua" w:eastAsia="宋体" w:hAnsi="Book Antiqua" w:cs="宋体" w:hint="eastAsia"/>
          <w:i/>
          <w:iCs/>
          <w:snapToGrid w:val="0"/>
          <w:color w:val="000000"/>
          <w:lang w:eastAsia="zh-CN"/>
        </w:rPr>
        <w:t>J Hepatobiliary Pancreat Sci</w:t>
      </w:r>
      <w:r w:rsidRPr="000D25FB">
        <w:rPr>
          <w:rFonts w:ascii="Book Antiqua" w:eastAsia="宋体" w:hAnsi="Book Antiqua" w:cs="宋体" w:hint="eastAsia"/>
          <w:snapToGrid w:val="0"/>
          <w:color w:val="000000"/>
          <w:lang w:eastAsia="zh-CN"/>
        </w:rPr>
        <w:t> 2013; </w:t>
      </w:r>
      <w:r w:rsidRPr="000D25FB">
        <w:rPr>
          <w:rFonts w:ascii="Book Antiqua" w:eastAsia="宋体" w:hAnsi="Book Antiqua" w:cs="宋体" w:hint="eastAsia"/>
          <w:b/>
          <w:bCs/>
          <w:snapToGrid w:val="0"/>
          <w:color w:val="000000"/>
          <w:lang w:eastAsia="zh-CN"/>
        </w:rPr>
        <w:t>20</w:t>
      </w:r>
      <w:r w:rsidRPr="000D25FB">
        <w:rPr>
          <w:rFonts w:ascii="Book Antiqua" w:eastAsia="宋体" w:hAnsi="Book Antiqua" w:cs="宋体" w:hint="eastAsia"/>
          <w:snapToGrid w:val="0"/>
          <w:color w:val="000000"/>
          <w:lang w:eastAsia="zh-CN"/>
        </w:rPr>
        <w:t>: 472-480 [PMID: 23579999 DOI: 10.1007/s00534-013-0606-2]</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t>11 </w:t>
      </w:r>
      <w:r w:rsidRPr="000D25FB">
        <w:rPr>
          <w:rFonts w:ascii="Book Antiqua" w:eastAsia="宋体" w:hAnsi="Book Antiqua" w:cs="宋体" w:hint="eastAsia"/>
          <w:b/>
          <w:bCs/>
          <w:snapToGrid w:val="0"/>
          <w:color w:val="000000"/>
          <w:lang w:eastAsia="zh-CN"/>
        </w:rPr>
        <w:t>Funabiki T</w:t>
      </w:r>
      <w:r w:rsidRPr="000D25FB">
        <w:rPr>
          <w:rFonts w:ascii="Book Antiqua" w:eastAsia="宋体" w:hAnsi="Book Antiqua" w:cs="宋体" w:hint="eastAsia"/>
          <w:snapToGrid w:val="0"/>
          <w:color w:val="000000"/>
          <w:lang w:eastAsia="zh-CN"/>
        </w:rPr>
        <w:t>, Matsubara T, Miyakawa S, Ishihara S. Pancreaticobiliary maljunction and carcinogenesis to biliary and pancreatic malignancy. </w:t>
      </w:r>
      <w:r w:rsidRPr="000D25FB">
        <w:rPr>
          <w:rFonts w:ascii="Book Antiqua" w:eastAsia="宋体" w:hAnsi="Book Antiqua" w:cs="宋体" w:hint="eastAsia"/>
          <w:i/>
          <w:iCs/>
          <w:snapToGrid w:val="0"/>
          <w:color w:val="000000"/>
          <w:lang w:eastAsia="zh-CN"/>
        </w:rPr>
        <w:t>Langenbecks Arch Surg</w:t>
      </w:r>
      <w:r w:rsidRPr="000D25FB">
        <w:rPr>
          <w:rFonts w:ascii="Book Antiqua" w:eastAsia="宋体" w:hAnsi="Book Antiqua" w:cs="宋体" w:hint="eastAsia"/>
          <w:snapToGrid w:val="0"/>
          <w:color w:val="000000"/>
          <w:lang w:eastAsia="zh-CN"/>
        </w:rPr>
        <w:t> 2009; </w:t>
      </w:r>
      <w:r w:rsidRPr="000D25FB">
        <w:rPr>
          <w:rFonts w:ascii="Book Antiqua" w:eastAsia="宋体" w:hAnsi="Book Antiqua" w:cs="宋体" w:hint="eastAsia"/>
          <w:b/>
          <w:bCs/>
          <w:snapToGrid w:val="0"/>
          <w:color w:val="000000"/>
          <w:lang w:eastAsia="zh-CN"/>
        </w:rPr>
        <w:t>394</w:t>
      </w:r>
      <w:r w:rsidRPr="000D25FB">
        <w:rPr>
          <w:rFonts w:ascii="Book Antiqua" w:eastAsia="宋体" w:hAnsi="Book Antiqua" w:cs="宋体" w:hint="eastAsia"/>
          <w:snapToGrid w:val="0"/>
          <w:color w:val="000000"/>
          <w:lang w:eastAsia="zh-CN"/>
        </w:rPr>
        <w:t>: 159-169 [PMID: 18500533 DOI: 10.1007/s00423-008-0336-0]</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t>12 </w:t>
      </w:r>
      <w:r w:rsidRPr="000D25FB">
        <w:rPr>
          <w:rFonts w:ascii="Book Antiqua" w:eastAsia="宋体" w:hAnsi="Book Antiqua" w:cs="宋体" w:hint="eastAsia"/>
          <w:b/>
          <w:bCs/>
          <w:snapToGrid w:val="0"/>
          <w:color w:val="000000"/>
          <w:lang w:eastAsia="zh-CN"/>
        </w:rPr>
        <w:t>Ueda N</w:t>
      </w:r>
      <w:r w:rsidRPr="000D25FB">
        <w:rPr>
          <w:rFonts w:ascii="Book Antiqua" w:eastAsia="宋体" w:hAnsi="Book Antiqua" w:cs="宋体" w:hint="eastAsia"/>
          <w:snapToGrid w:val="0"/>
          <w:color w:val="000000"/>
          <w:lang w:eastAsia="zh-CN"/>
        </w:rPr>
        <w:t>, Nagakawa T, Ohta T, Kayahara M, Ueno K, Konishi I, Izumi R, Miyazaki I. Synchronous cancer of the biliary tract and pancreas associated with anomalous arrangement of the pancreaticobiliary ductal system. </w:t>
      </w:r>
      <w:r w:rsidRPr="000D25FB">
        <w:rPr>
          <w:rFonts w:ascii="Book Antiqua" w:eastAsia="宋体" w:hAnsi="Book Antiqua" w:cs="宋体" w:hint="eastAsia"/>
          <w:i/>
          <w:iCs/>
          <w:snapToGrid w:val="0"/>
          <w:color w:val="000000"/>
          <w:lang w:eastAsia="zh-CN"/>
        </w:rPr>
        <w:t>J Clin Gastroenterol</w:t>
      </w:r>
      <w:r w:rsidRPr="000D25FB">
        <w:rPr>
          <w:rFonts w:ascii="Book Antiqua" w:eastAsia="宋体" w:hAnsi="Book Antiqua" w:cs="宋体" w:hint="eastAsia"/>
          <w:snapToGrid w:val="0"/>
          <w:color w:val="000000"/>
          <w:lang w:eastAsia="zh-CN"/>
        </w:rPr>
        <w:t> 1992; </w:t>
      </w:r>
      <w:r w:rsidRPr="000D25FB">
        <w:rPr>
          <w:rFonts w:ascii="Book Antiqua" w:eastAsia="宋体" w:hAnsi="Book Antiqua" w:cs="宋体" w:hint="eastAsia"/>
          <w:b/>
          <w:bCs/>
          <w:snapToGrid w:val="0"/>
          <w:color w:val="000000"/>
          <w:lang w:eastAsia="zh-CN"/>
        </w:rPr>
        <w:t>15</w:t>
      </w:r>
      <w:r w:rsidRPr="000D25FB">
        <w:rPr>
          <w:rFonts w:ascii="Book Antiqua" w:eastAsia="宋体" w:hAnsi="Book Antiqua" w:cs="宋体" w:hint="eastAsia"/>
          <w:snapToGrid w:val="0"/>
          <w:color w:val="000000"/>
          <w:lang w:eastAsia="zh-CN"/>
        </w:rPr>
        <w:t>: 136-141 [PMID: 1401825 DOI: 10.1097/00004836-199209000-00011]</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lastRenderedPageBreak/>
        <w:t>13 </w:t>
      </w:r>
      <w:r w:rsidRPr="000D25FB">
        <w:rPr>
          <w:rFonts w:ascii="Book Antiqua" w:eastAsia="宋体" w:hAnsi="Book Antiqua" w:cs="宋体" w:hint="eastAsia"/>
          <w:b/>
          <w:bCs/>
          <w:snapToGrid w:val="0"/>
          <w:color w:val="000000"/>
          <w:lang w:eastAsia="zh-CN"/>
        </w:rPr>
        <w:t>Kamisawa T</w:t>
      </w:r>
      <w:r w:rsidRPr="000D25FB">
        <w:rPr>
          <w:rFonts w:ascii="Book Antiqua" w:eastAsia="宋体" w:hAnsi="Book Antiqua" w:cs="宋体" w:hint="eastAsia"/>
          <w:snapToGrid w:val="0"/>
          <w:color w:val="000000"/>
          <w:lang w:eastAsia="zh-CN"/>
        </w:rPr>
        <w:t>, Honda G, Kurata M, Tokura M, Tsuruta K. Pancreatobiliary disorders associated with pancreaticobiliary maljunction. </w:t>
      </w:r>
      <w:r w:rsidRPr="000D25FB">
        <w:rPr>
          <w:rFonts w:ascii="Book Antiqua" w:eastAsia="宋体" w:hAnsi="Book Antiqua" w:cs="宋体" w:hint="eastAsia"/>
          <w:i/>
          <w:iCs/>
          <w:snapToGrid w:val="0"/>
          <w:color w:val="000000"/>
          <w:lang w:eastAsia="zh-CN"/>
        </w:rPr>
        <w:t>Dig Surg</w:t>
      </w:r>
      <w:r w:rsidRPr="000D25FB">
        <w:rPr>
          <w:rFonts w:ascii="Book Antiqua" w:eastAsia="宋体" w:hAnsi="Book Antiqua" w:cs="宋体" w:hint="eastAsia"/>
          <w:snapToGrid w:val="0"/>
          <w:color w:val="000000"/>
          <w:lang w:eastAsia="zh-CN"/>
        </w:rPr>
        <w:t> 2010; </w:t>
      </w:r>
      <w:r w:rsidRPr="000D25FB">
        <w:rPr>
          <w:rFonts w:ascii="Book Antiqua" w:eastAsia="宋体" w:hAnsi="Book Antiqua" w:cs="宋体" w:hint="eastAsia"/>
          <w:b/>
          <w:bCs/>
          <w:snapToGrid w:val="0"/>
          <w:color w:val="000000"/>
          <w:lang w:eastAsia="zh-CN"/>
        </w:rPr>
        <w:t>27</w:t>
      </w:r>
      <w:r w:rsidRPr="000D25FB">
        <w:rPr>
          <w:rFonts w:ascii="Book Antiqua" w:eastAsia="宋体" w:hAnsi="Book Antiqua" w:cs="宋体" w:hint="eastAsia"/>
          <w:snapToGrid w:val="0"/>
          <w:color w:val="000000"/>
          <w:lang w:eastAsia="zh-CN"/>
        </w:rPr>
        <w:t>: 100-104 [PMID: 20551651 DOI: 10.1159/000286502]</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t>14 </w:t>
      </w:r>
      <w:r w:rsidRPr="000D25FB">
        <w:rPr>
          <w:rFonts w:ascii="Book Antiqua" w:eastAsia="宋体" w:hAnsi="Book Antiqua" w:cs="宋体" w:hint="eastAsia"/>
          <w:b/>
          <w:bCs/>
          <w:snapToGrid w:val="0"/>
          <w:color w:val="000000"/>
          <w:lang w:eastAsia="zh-CN"/>
        </w:rPr>
        <w:t>Hanada K</w:t>
      </w:r>
      <w:r w:rsidRPr="000D25FB">
        <w:rPr>
          <w:rFonts w:ascii="Book Antiqua" w:eastAsia="宋体" w:hAnsi="Book Antiqua" w:cs="宋体" w:hint="eastAsia"/>
          <w:snapToGrid w:val="0"/>
          <w:color w:val="000000"/>
          <w:lang w:eastAsia="zh-CN"/>
        </w:rPr>
        <w:t>, Itoh M, Fujii K, Tsuchida A, Hirata M, Ishimaru S, Iwao T, Eguchi N, Kajiyama G. Pathology and cellular kinetics of gallbladder with an anomalous junction of the pancreaticobiliary duct. </w:t>
      </w:r>
      <w:r w:rsidRPr="000D25FB">
        <w:rPr>
          <w:rFonts w:ascii="Book Antiqua" w:eastAsia="宋体" w:hAnsi="Book Antiqua" w:cs="宋体" w:hint="eastAsia"/>
          <w:i/>
          <w:iCs/>
          <w:snapToGrid w:val="0"/>
          <w:color w:val="000000"/>
          <w:lang w:eastAsia="zh-CN"/>
        </w:rPr>
        <w:t>Am J Gastroenterol</w:t>
      </w:r>
      <w:r w:rsidRPr="000D25FB">
        <w:rPr>
          <w:rFonts w:ascii="Book Antiqua" w:eastAsia="宋体" w:hAnsi="Book Antiqua" w:cs="宋体" w:hint="eastAsia"/>
          <w:snapToGrid w:val="0"/>
          <w:color w:val="000000"/>
          <w:lang w:eastAsia="zh-CN"/>
        </w:rPr>
        <w:t> 1996; </w:t>
      </w:r>
      <w:r w:rsidRPr="000D25FB">
        <w:rPr>
          <w:rFonts w:ascii="Book Antiqua" w:eastAsia="宋体" w:hAnsi="Book Antiqua" w:cs="宋体" w:hint="eastAsia"/>
          <w:b/>
          <w:bCs/>
          <w:snapToGrid w:val="0"/>
          <w:color w:val="000000"/>
          <w:lang w:eastAsia="zh-CN"/>
        </w:rPr>
        <w:t>91</w:t>
      </w:r>
      <w:r w:rsidRPr="000D25FB">
        <w:rPr>
          <w:rFonts w:ascii="Book Antiqua" w:eastAsia="宋体" w:hAnsi="Book Antiqua" w:cs="宋体" w:hint="eastAsia"/>
          <w:snapToGrid w:val="0"/>
          <w:color w:val="000000"/>
          <w:lang w:eastAsia="zh-CN"/>
        </w:rPr>
        <w:t>: 1007-1011 [PMID: 8633539]</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t>15 </w:t>
      </w:r>
      <w:r w:rsidRPr="000D25FB">
        <w:rPr>
          <w:rFonts w:ascii="Book Antiqua" w:eastAsia="宋体" w:hAnsi="Book Antiqua" w:cs="宋体" w:hint="eastAsia"/>
          <w:b/>
          <w:bCs/>
          <w:snapToGrid w:val="0"/>
          <w:color w:val="000000"/>
          <w:lang w:eastAsia="zh-CN"/>
        </w:rPr>
        <w:t>Matsubara T</w:t>
      </w:r>
      <w:r w:rsidRPr="000D25FB">
        <w:rPr>
          <w:rFonts w:ascii="Book Antiqua" w:eastAsia="宋体" w:hAnsi="Book Antiqua" w:cs="宋体" w:hint="eastAsia"/>
          <w:snapToGrid w:val="0"/>
          <w:color w:val="000000"/>
          <w:lang w:eastAsia="zh-CN"/>
        </w:rPr>
        <w:t>, Sakurai Y, Sasayama Y, Hori H, Ochiai M, Funabiki T, Matsumoto K, Hirono I. K-ras point mutations in cancerous and noncancerous biliary epithelium in patients with pancreaticobiliary maljunction. </w:t>
      </w:r>
      <w:r w:rsidRPr="000D25FB">
        <w:rPr>
          <w:rFonts w:ascii="Book Antiqua" w:eastAsia="宋体" w:hAnsi="Book Antiqua" w:cs="宋体" w:hint="eastAsia"/>
          <w:i/>
          <w:iCs/>
          <w:snapToGrid w:val="0"/>
          <w:color w:val="000000"/>
          <w:lang w:eastAsia="zh-CN"/>
        </w:rPr>
        <w:t>Cancer</w:t>
      </w:r>
      <w:r w:rsidRPr="000D25FB">
        <w:rPr>
          <w:rFonts w:ascii="Book Antiqua" w:eastAsia="宋体" w:hAnsi="Book Antiqua" w:cs="宋体" w:hint="eastAsia"/>
          <w:snapToGrid w:val="0"/>
          <w:color w:val="000000"/>
          <w:lang w:eastAsia="zh-CN"/>
        </w:rPr>
        <w:t> 1996; </w:t>
      </w:r>
      <w:r w:rsidRPr="000D25FB">
        <w:rPr>
          <w:rFonts w:ascii="Book Antiqua" w:eastAsia="宋体" w:hAnsi="Book Antiqua" w:cs="宋体" w:hint="eastAsia"/>
          <w:b/>
          <w:bCs/>
          <w:snapToGrid w:val="0"/>
          <w:color w:val="000000"/>
          <w:lang w:eastAsia="zh-CN"/>
        </w:rPr>
        <w:t>77</w:t>
      </w:r>
      <w:r w:rsidRPr="000D25FB">
        <w:rPr>
          <w:rFonts w:ascii="Book Antiqua" w:eastAsia="宋体" w:hAnsi="Book Antiqua" w:cs="宋体"/>
          <w:snapToGrid w:val="0"/>
          <w:color w:val="000000"/>
          <w:lang w:eastAsia="zh-CN"/>
        </w:rPr>
        <w:t>: 1752-1757 [PMID: 8608574</w:t>
      </w:r>
      <w:r w:rsidRPr="000D25FB">
        <w:rPr>
          <w:rFonts w:ascii="Book Antiqua" w:eastAsia="宋体" w:hAnsi="Book Antiqua" w:cs="宋体" w:hint="eastAsia"/>
          <w:snapToGrid w:val="0"/>
          <w:color w:val="000000"/>
          <w:lang w:eastAsia="zh-CN"/>
        </w:rPr>
        <w:t>]</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t>16 </w:t>
      </w:r>
      <w:r w:rsidRPr="000D25FB">
        <w:rPr>
          <w:rFonts w:ascii="Book Antiqua" w:eastAsia="宋体" w:hAnsi="Book Antiqua" w:cs="宋体" w:hint="eastAsia"/>
          <w:b/>
          <w:bCs/>
          <w:snapToGrid w:val="0"/>
          <w:color w:val="000000"/>
          <w:lang w:eastAsia="zh-CN"/>
        </w:rPr>
        <w:t>Noda Y</w:t>
      </w:r>
      <w:r w:rsidRPr="000D25FB">
        <w:rPr>
          <w:rFonts w:ascii="Book Antiqua" w:eastAsia="宋体" w:hAnsi="Book Antiqua" w:cs="宋体" w:hint="eastAsia"/>
          <w:snapToGrid w:val="0"/>
          <w:color w:val="000000"/>
          <w:lang w:eastAsia="zh-CN"/>
        </w:rPr>
        <w:t>, Fujita N, Kobayashi G, Ito K, Horaguchi J, Takasawa O, Obana T, Ishida K, Senoo S, Yonechi M, Suzuki T, Hirasawa D, Sugawara T, Kobari M, Sawai T, Uzuki M, Watanabe M. Histological study of gallbladder and bile duct epithelia in patients with anomalous arrangement of the pancreaticobiliary ductal system: comparison between those with and without a dilated common bile duct. </w:t>
      </w:r>
      <w:r w:rsidRPr="000D25FB">
        <w:rPr>
          <w:rFonts w:ascii="Book Antiqua" w:eastAsia="宋体" w:hAnsi="Book Antiqua" w:cs="宋体" w:hint="eastAsia"/>
          <w:i/>
          <w:iCs/>
          <w:snapToGrid w:val="0"/>
          <w:color w:val="000000"/>
          <w:lang w:eastAsia="zh-CN"/>
        </w:rPr>
        <w:t>J Gastroenterol</w:t>
      </w:r>
      <w:r w:rsidRPr="000D25FB">
        <w:rPr>
          <w:rFonts w:ascii="Book Antiqua" w:eastAsia="宋体" w:hAnsi="Book Antiqua" w:cs="宋体" w:hint="eastAsia"/>
          <w:snapToGrid w:val="0"/>
          <w:color w:val="000000"/>
          <w:lang w:eastAsia="zh-CN"/>
        </w:rPr>
        <w:t> 2007; </w:t>
      </w:r>
      <w:r w:rsidRPr="000D25FB">
        <w:rPr>
          <w:rFonts w:ascii="Book Antiqua" w:eastAsia="宋体" w:hAnsi="Book Antiqua" w:cs="宋体" w:hint="eastAsia"/>
          <w:b/>
          <w:bCs/>
          <w:snapToGrid w:val="0"/>
          <w:color w:val="000000"/>
          <w:lang w:eastAsia="zh-CN"/>
        </w:rPr>
        <w:t>42</w:t>
      </w:r>
      <w:r w:rsidRPr="000D25FB">
        <w:rPr>
          <w:rFonts w:ascii="Book Antiqua" w:eastAsia="宋体" w:hAnsi="Book Antiqua" w:cs="宋体" w:hint="eastAsia"/>
          <w:snapToGrid w:val="0"/>
          <w:color w:val="000000"/>
          <w:lang w:eastAsia="zh-CN"/>
        </w:rPr>
        <w:t>: 211-218 [PMID: 17380279 DOI: 10.1007/s00535-006-1991-y]</w:t>
      </w:r>
    </w:p>
    <w:p w:rsidR="000522A3" w:rsidRPr="000D25FB" w:rsidRDefault="002E3900" w:rsidP="000522A3">
      <w:pPr>
        <w:rPr>
          <w:rFonts w:ascii="Book Antiqua" w:eastAsia="宋体" w:hAnsi="Book Antiqua" w:cs="宋体"/>
          <w:snapToGrid w:val="0"/>
          <w:color w:val="000000"/>
          <w:lang w:eastAsia="zh-CN"/>
        </w:rPr>
      </w:pPr>
      <w:r w:rsidRPr="000D25FB">
        <w:rPr>
          <w:rFonts w:ascii="Book Antiqua" w:eastAsia="宋体" w:hAnsi="Book Antiqua" w:cs="宋体" w:hint="eastAsia"/>
          <w:snapToGrid w:val="0"/>
          <w:color w:val="000000"/>
          <w:lang w:eastAsia="zh-CN"/>
        </w:rPr>
        <w:t>17 </w:t>
      </w:r>
      <w:r w:rsidRPr="000D25FB">
        <w:rPr>
          <w:rFonts w:ascii="Book Antiqua" w:eastAsia="宋体" w:hAnsi="Book Antiqua" w:cs="宋体" w:hint="eastAsia"/>
          <w:b/>
          <w:bCs/>
          <w:snapToGrid w:val="0"/>
          <w:color w:val="000000"/>
          <w:lang w:eastAsia="zh-CN"/>
        </w:rPr>
        <w:t>Takeshita N</w:t>
      </w:r>
      <w:r w:rsidRPr="000D25FB">
        <w:rPr>
          <w:rFonts w:ascii="Book Antiqua" w:eastAsia="宋体" w:hAnsi="Book Antiqua" w:cs="宋体" w:hint="eastAsia"/>
          <w:snapToGrid w:val="0"/>
          <w:color w:val="000000"/>
          <w:lang w:eastAsia="zh-CN"/>
        </w:rPr>
        <w:t>, Ota T, Yamamoto M. Forty-year experience with flow-diversion surgery for patients with congenital choledochal cysts with pancreaticobiliary maljunction at a single institution. </w:t>
      </w:r>
      <w:r w:rsidRPr="000D25FB">
        <w:rPr>
          <w:rFonts w:ascii="Book Antiqua" w:eastAsia="宋体" w:hAnsi="Book Antiqua" w:cs="宋体" w:hint="eastAsia"/>
          <w:i/>
          <w:iCs/>
          <w:snapToGrid w:val="0"/>
          <w:color w:val="000000"/>
          <w:lang w:eastAsia="zh-CN"/>
        </w:rPr>
        <w:t>Ann Surg</w:t>
      </w:r>
      <w:r w:rsidRPr="000D25FB">
        <w:rPr>
          <w:rFonts w:ascii="Book Antiqua" w:eastAsia="宋体" w:hAnsi="Book Antiqua" w:cs="宋体" w:hint="eastAsia"/>
          <w:snapToGrid w:val="0"/>
          <w:color w:val="000000"/>
          <w:lang w:eastAsia="zh-CN"/>
        </w:rPr>
        <w:t> 2011; </w:t>
      </w:r>
      <w:r w:rsidRPr="000D25FB">
        <w:rPr>
          <w:rFonts w:ascii="Book Antiqua" w:eastAsia="宋体" w:hAnsi="Book Antiqua" w:cs="宋体" w:hint="eastAsia"/>
          <w:b/>
          <w:bCs/>
          <w:snapToGrid w:val="0"/>
          <w:color w:val="000000"/>
          <w:lang w:eastAsia="zh-CN"/>
        </w:rPr>
        <w:t>254</w:t>
      </w:r>
      <w:r w:rsidRPr="000D25FB">
        <w:rPr>
          <w:rFonts w:ascii="Book Antiqua" w:eastAsia="宋体" w:hAnsi="Book Antiqua" w:cs="宋体" w:hint="eastAsia"/>
          <w:snapToGrid w:val="0"/>
          <w:color w:val="000000"/>
          <w:lang w:eastAsia="zh-CN"/>
        </w:rPr>
        <w:t>: 1050-1053 [PMID: 21659852 DOI: 10.1097/SLA.0b013e3182243550]</w:t>
      </w:r>
    </w:p>
    <w:p w:rsidR="000B3CB0" w:rsidRPr="000D25FB" w:rsidRDefault="000B3CB0">
      <w:pPr>
        <w:widowControl w:val="0"/>
        <w:snapToGrid w:val="0"/>
        <w:spacing w:line="360" w:lineRule="auto"/>
        <w:jc w:val="both"/>
        <w:rPr>
          <w:rFonts w:ascii="Book Antiqua" w:hAnsi="Book Antiqua" w:cs="Arial"/>
          <w:snapToGrid w:val="0"/>
          <w:lang w:eastAsia="zh-CN"/>
        </w:rPr>
      </w:pPr>
    </w:p>
    <w:p w:rsidR="000B3CB0" w:rsidRPr="000D25FB" w:rsidRDefault="000522A3">
      <w:pPr>
        <w:tabs>
          <w:tab w:val="left" w:pos="180"/>
          <w:tab w:val="left" w:pos="360"/>
        </w:tabs>
        <w:adjustRightInd w:val="0"/>
        <w:snapToGrid w:val="0"/>
        <w:spacing w:line="360" w:lineRule="auto"/>
        <w:jc w:val="right"/>
        <w:rPr>
          <w:rFonts w:ascii="Book Antiqua" w:hAnsi="Book Antiqua" w:cs="Tahoma"/>
          <w:b/>
          <w:snapToGrid w:val="0"/>
          <w:color w:val="000000"/>
        </w:rPr>
      </w:pPr>
      <w:bookmarkStart w:id="315" w:name="OLE_LINK874"/>
      <w:bookmarkStart w:id="316" w:name="OLE_LINK875"/>
      <w:bookmarkStart w:id="317" w:name="OLE_LINK347"/>
      <w:bookmarkStart w:id="318" w:name="OLE_LINK384"/>
      <w:bookmarkStart w:id="319" w:name="OLE_LINK557"/>
      <w:bookmarkStart w:id="320" w:name="OLE_LINK558"/>
      <w:bookmarkStart w:id="321" w:name="OLE_LINK631"/>
      <w:bookmarkStart w:id="322" w:name="OLE_LINK632"/>
      <w:bookmarkStart w:id="323" w:name="OLE_LINK386"/>
      <w:bookmarkStart w:id="324" w:name="OLE_LINK431"/>
      <w:bookmarkStart w:id="325" w:name="OLE_LINK564"/>
      <w:bookmarkStart w:id="326" w:name="OLE_LINK493"/>
      <w:bookmarkStart w:id="327" w:name="OLE_LINK442"/>
      <w:bookmarkStart w:id="328" w:name="OLE_LINK551"/>
      <w:bookmarkStart w:id="329" w:name="OLE_LINK668"/>
      <w:bookmarkStart w:id="330" w:name="OLE_LINK669"/>
      <w:bookmarkStart w:id="331" w:name="OLE_LINK725"/>
      <w:bookmarkStart w:id="332" w:name="OLE_LINK489"/>
      <w:bookmarkStart w:id="333" w:name="OLE_LINK602"/>
      <w:bookmarkStart w:id="334" w:name="OLE_LINK658"/>
      <w:bookmarkStart w:id="335" w:name="OLE_LINK747"/>
      <w:bookmarkStart w:id="336" w:name="OLE_LINK897"/>
      <w:bookmarkStart w:id="337" w:name="OLE_LINK1138"/>
      <w:bookmarkStart w:id="338" w:name="OLE_LINK1139"/>
      <w:bookmarkStart w:id="339" w:name="OLE_LINK882"/>
      <w:bookmarkStart w:id="340" w:name="OLE_LINK1095"/>
      <w:bookmarkStart w:id="341" w:name="OLE_LINK1305"/>
      <w:bookmarkStart w:id="342" w:name="OLE_LINK1390"/>
      <w:bookmarkStart w:id="343" w:name="OLE_LINK964"/>
      <w:bookmarkStart w:id="344" w:name="OLE_LINK1190"/>
      <w:bookmarkStart w:id="345" w:name="OLE_LINK1314"/>
      <w:bookmarkStart w:id="346" w:name="OLE_LINK1031"/>
      <w:bookmarkStart w:id="347" w:name="OLE_LINK1092"/>
      <w:bookmarkStart w:id="348" w:name="OLE_LINK1258"/>
      <w:bookmarkStart w:id="349" w:name="OLE_LINK1259"/>
      <w:bookmarkStart w:id="350" w:name="OLE_LINK1337"/>
      <w:bookmarkStart w:id="351" w:name="OLE_LINK1338"/>
      <w:bookmarkStart w:id="352" w:name="OLE_LINK1363"/>
      <w:bookmarkStart w:id="353" w:name="OLE_LINK1364"/>
      <w:bookmarkStart w:id="354" w:name="OLE_LINK86"/>
      <w:bookmarkStart w:id="355" w:name="OLE_LINK1595"/>
      <w:bookmarkStart w:id="356" w:name="OLE_LINK1613"/>
      <w:bookmarkStart w:id="357" w:name="OLE_LINK1708"/>
      <w:bookmarkStart w:id="358" w:name="OLE_LINK1774"/>
      <w:bookmarkStart w:id="359" w:name="OLE_LINK1872"/>
      <w:bookmarkStart w:id="360" w:name="OLE_LINK1899"/>
      <w:bookmarkStart w:id="361" w:name="OLE_LINK1492"/>
      <w:bookmarkStart w:id="362" w:name="OLE_LINK1497"/>
      <w:bookmarkStart w:id="363" w:name="OLE_LINK1498"/>
      <w:bookmarkStart w:id="364" w:name="OLE_LINK1589"/>
      <w:bookmarkStart w:id="365" w:name="OLE_LINK1666"/>
      <w:bookmarkStart w:id="366" w:name="OLE_LINK1752"/>
      <w:bookmarkStart w:id="367" w:name="OLE_LINK1616"/>
      <w:bookmarkStart w:id="368" w:name="OLE_LINK1696"/>
      <w:bookmarkStart w:id="369" w:name="OLE_LINK1855"/>
      <w:bookmarkStart w:id="370" w:name="OLE_LINK1942"/>
      <w:bookmarkStart w:id="371" w:name="OLE_LINK1943"/>
      <w:bookmarkStart w:id="372" w:name="OLE_LINK1573"/>
      <w:bookmarkStart w:id="373" w:name="OLE_LINK1574"/>
      <w:bookmarkStart w:id="374" w:name="OLE_LINK1575"/>
      <w:bookmarkStart w:id="375" w:name="OLE_LINK1739"/>
      <w:bookmarkStart w:id="376" w:name="OLE_LINK1761"/>
      <w:bookmarkStart w:id="377" w:name="OLE_LINK1743"/>
      <w:bookmarkStart w:id="378" w:name="OLE_LINK1841"/>
      <w:bookmarkStart w:id="379" w:name="OLE_LINK1858"/>
      <w:bookmarkStart w:id="380" w:name="OLE_LINK1890"/>
      <w:bookmarkStart w:id="381" w:name="OLE_LINK1915"/>
      <w:bookmarkStart w:id="382" w:name="OLE_LINK1980"/>
      <w:bookmarkStart w:id="383" w:name="OLE_LINK1883"/>
      <w:bookmarkStart w:id="384" w:name="OLE_LINK1935"/>
      <w:bookmarkStart w:id="385" w:name="OLE_LINK1936"/>
      <w:bookmarkStart w:id="386" w:name="OLE_LINK1952"/>
      <w:bookmarkStart w:id="387" w:name="OLE_LINK1953"/>
      <w:bookmarkStart w:id="388" w:name="OLE_LINK1999"/>
      <w:bookmarkStart w:id="389" w:name="OLE_LINK2050"/>
      <w:bookmarkStart w:id="390" w:name="OLE_LINK1862"/>
      <w:bookmarkStart w:id="391" w:name="OLE_LINK1963"/>
      <w:bookmarkStart w:id="392" w:name="OLE_LINK2052"/>
      <w:bookmarkStart w:id="393" w:name="OLE_LINK1906"/>
      <w:bookmarkStart w:id="394" w:name="OLE_LINK2031"/>
      <w:bookmarkStart w:id="395" w:name="OLE_LINK2032"/>
      <w:bookmarkStart w:id="396" w:name="OLE_LINK1907"/>
      <w:bookmarkStart w:id="397" w:name="OLE_LINK2004"/>
      <w:bookmarkStart w:id="398" w:name="OLE_LINK2238"/>
      <w:bookmarkStart w:id="399" w:name="OLE_LINK2239"/>
      <w:bookmarkStart w:id="400" w:name="OLE_LINK2163"/>
      <w:bookmarkStart w:id="401" w:name="OLE_LINK2207"/>
      <w:bookmarkStart w:id="402" w:name="OLE_LINK2341"/>
      <w:bookmarkStart w:id="403" w:name="OLE_LINK2417"/>
      <w:bookmarkStart w:id="404" w:name="OLE_LINK2509"/>
      <w:bookmarkStart w:id="405" w:name="OLE_LINK2510"/>
      <w:bookmarkStart w:id="406" w:name="OLE_LINK2511"/>
      <w:bookmarkStart w:id="407" w:name="OLE_LINK2512"/>
      <w:bookmarkStart w:id="408" w:name="OLE_LINK2513"/>
      <w:bookmarkStart w:id="409" w:name="OLE_LINK2514"/>
      <w:bookmarkStart w:id="410" w:name="OLE_LINK2515"/>
      <w:bookmarkStart w:id="411" w:name="OLE_LINK2516"/>
      <w:bookmarkStart w:id="412" w:name="OLE_LINK2517"/>
      <w:bookmarkStart w:id="413" w:name="OLE_LINK2518"/>
      <w:bookmarkStart w:id="414" w:name="OLE_LINK2519"/>
      <w:bookmarkStart w:id="415" w:name="OLE_LINK2520"/>
      <w:bookmarkStart w:id="416" w:name="OLE_LINK2521"/>
      <w:bookmarkStart w:id="417" w:name="OLE_LINK2522"/>
      <w:bookmarkStart w:id="418" w:name="OLE_LINK2523"/>
      <w:bookmarkStart w:id="419" w:name="OLE_LINK2524"/>
      <w:bookmarkStart w:id="420" w:name="OLE_LINK2051"/>
      <w:bookmarkStart w:id="421" w:name="OLE_LINK2109"/>
      <w:bookmarkStart w:id="422" w:name="OLE_LINK2165"/>
      <w:bookmarkStart w:id="423" w:name="OLE_LINK2385"/>
      <w:bookmarkStart w:id="424" w:name="OLE_LINK2593"/>
      <w:bookmarkStart w:id="425" w:name="OLE_LINK2332"/>
      <w:bookmarkStart w:id="426" w:name="OLE_LINK2448"/>
      <w:bookmarkStart w:id="427" w:name="OLE_LINK2525"/>
      <w:bookmarkStart w:id="428" w:name="OLE_LINK2506"/>
      <w:bookmarkStart w:id="429" w:name="OLE_LINK2507"/>
      <w:bookmarkStart w:id="430" w:name="OLE_LINK2291"/>
      <w:bookmarkStart w:id="431" w:name="OLE_LINK2294"/>
      <w:bookmarkStart w:id="432" w:name="OLE_LINK2298"/>
      <w:bookmarkStart w:id="433" w:name="OLE_LINK2300"/>
      <w:bookmarkStart w:id="434" w:name="OLE_LINK2301"/>
      <w:bookmarkStart w:id="435" w:name="OLE_LINK2546"/>
      <w:bookmarkStart w:id="436" w:name="OLE_LINK2756"/>
      <w:bookmarkStart w:id="437" w:name="OLE_LINK2757"/>
      <w:bookmarkStart w:id="438" w:name="OLE_LINK2736"/>
      <w:bookmarkStart w:id="439" w:name="OLE_LINK2923"/>
      <w:bookmarkStart w:id="440" w:name="OLE_LINK2974"/>
      <w:bookmarkStart w:id="441" w:name="OLE_LINK3125"/>
      <w:bookmarkStart w:id="442" w:name="OLE_LINK3218"/>
      <w:bookmarkStart w:id="443" w:name="OLE_LINK2575"/>
      <w:bookmarkStart w:id="444" w:name="OLE_LINK2687"/>
      <w:bookmarkStart w:id="445" w:name="OLE_LINK2688"/>
      <w:bookmarkStart w:id="446" w:name="OLE_LINK2700"/>
      <w:bookmarkStart w:id="447" w:name="OLE_LINK2576"/>
      <w:bookmarkStart w:id="448" w:name="OLE_LINK2674"/>
      <w:bookmarkStart w:id="449" w:name="OLE_LINK2738"/>
      <w:bookmarkStart w:id="450" w:name="OLE_LINK2983"/>
      <w:bookmarkStart w:id="451" w:name="OLE_LINK76"/>
      <w:bookmarkStart w:id="452" w:name="OLE_LINK115"/>
      <w:bookmarkStart w:id="453" w:name="OLE_LINK155"/>
      <w:r w:rsidRPr="000D25FB">
        <w:rPr>
          <w:rFonts w:ascii="Book Antiqua" w:hAnsi="Book Antiqua" w:cs="Tahoma"/>
          <w:b/>
          <w:snapToGrid w:val="0"/>
          <w:color w:val="000000"/>
        </w:rPr>
        <w:t>P-Reviewer</w:t>
      </w:r>
      <w:r w:rsidRPr="000D25FB">
        <w:rPr>
          <w:rFonts w:ascii="Book Antiqua" w:hAnsi="Book Antiqua" w:cs="Tahoma" w:hint="eastAsia"/>
          <w:b/>
          <w:snapToGrid w:val="0"/>
          <w:color w:val="000000"/>
        </w:rPr>
        <w:t>:</w:t>
      </w:r>
      <w:r w:rsidRPr="000D25FB">
        <w:rPr>
          <w:rFonts w:ascii="Book Antiqua" w:hAnsi="Book Antiqua" w:cs="Tahoma"/>
          <w:b/>
          <w:snapToGrid w:val="0"/>
          <w:color w:val="000000"/>
        </w:rPr>
        <w:t xml:space="preserve"> </w:t>
      </w:r>
      <w:r w:rsidR="002E3900" w:rsidRPr="000D25FB">
        <w:rPr>
          <w:rFonts w:ascii="Book Antiqua" w:hAnsi="Book Antiqua" w:cs="Tahoma"/>
          <w:snapToGrid w:val="0"/>
          <w:color w:val="000000"/>
        </w:rPr>
        <w:t xml:space="preserve">Kawa S, Symeonidis NG, Triantopoulou C </w:t>
      </w:r>
      <w:r w:rsidR="00F05227" w:rsidRPr="000D25FB">
        <w:rPr>
          <w:rFonts w:ascii="Book Antiqua" w:hAnsi="Book Antiqua" w:cs="Tahoma" w:hint="eastAsia"/>
          <w:snapToGrid w:val="0"/>
          <w:color w:val="000000"/>
          <w:lang w:eastAsia="zh-CN"/>
        </w:rPr>
        <w:t xml:space="preserve"> </w:t>
      </w:r>
      <w:r w:rsidR="002E3900" w:rsidRPr="000D25FB">
        <w:rPr>
          <w:rFonts w:ascii="Book Antiqua" w:hAnsi="Book Antiqua" w:cs="Tahoma"/>
          <w:snapToGrid w:val="0"/>
          <w:color w:val="000000"/>
          <w:lang w:eastAsia="zh-CN"/>
        </w:rPr>
        <w:t xml:space="preserve"> </w:t>
      </w:r>
      <w:r w:rsidRPr="000D25FB">
        <w:rPr>
          <w:rFonts w:ascii="Book Antiqua" w:hAnsi="Book Antiqua" w:cs="Tahoma"/>
          <w:b/>
          <w:snapToGrid w:val="0"/>
          <w:color w:val="000000"/>
        </w:rPr>
        <w:t>S-Editor</w:t>
      </w:r>
      <w:r w:rsidRPr="000D25FB">
        <w:rPr>
          <w:rFonts w:ascii="Book Antiqua" w:hAnsi="Book Antiqua" w:cs="Tahoma" w:hint="eastAsia"/>
          <w:b/>
          <w:snapToGrid w:val="0"/>
          <w:color w:val="000000"/>
        </w:rPr>
        <w:t>:</w:t>
      </w:r>
      <w:r w:rsidRPr="000D25FB">
        <w:rPr>
          <w:rFonts w:ascii="Book Antiqua" w:hAnsi="Book Antiqua" w:cs="Tahoma"/>
          <w:b/>
          <w:snapToGrid w:val="0"/>
          <w:color w:val="000000"/>
        </w:rPr>
        <w:t xml:space="preserve"> </w:t>
      </w:r>
      <w:r w:rsidRPr="000D25FB">
        <w:rPr>
          <w:rFonts w:ascii="Book Antiqua" w:hAnsi="Book Antiqua" w:cs="Tahoma"/>
          <w:snapToGrid w:val="0"/>
          <w:color w:val="000000"/>
        </w:rPr>
        <w:t xml:space="preserve">Gou SX </w:t>
      </w:r>
      <w:r w:rsidRPr="000D25FB">
        <w:rPr>
          <w:rFonts w:ascii="Book Antiqua" w:hAnsi="Book Antiqua" w:cs="Tahoma"/>
          <w:b/>
          <w:snapToGrid w:val="0"/>
          <w:color w:val="000000"/>
        </w:rPr>
        <w:t xml:space="preserve">  L-Editor</w:t>
      </w:r>
      <w:r w:rsidRPr="000D25FB">
        <w:rPr>
          <w:rFonts w:ascii="Book Antiqua" w:hAnsi="Book Antiqua" w:cs="Tahoma" w:hint="eastAsia"/>
          <w:b/>
          <w:snapToGrid w:val="0"/>
          <w:color w:val="000000"/>
        </w:rPr>
        <w:t>:</w:t>
      </w:r>
      <w:r w:rsidRPr="000D25FB">
        <w:rPr>
          <w:rFonts w:ascii="Book Antiqua" w:hAnsi="Book Antiqua" w:cs="Tahoma"/>
          <w:b/>
          <w:snapToGrid w:val="0"/>
          <w:color w:val="000000"/>
        </w:rPr>
        <w:t xml:space="preserve">    E-Edito</w:t>
      </w:r>
      <w:bookmarkEnd w:id="315"/>
      <w:bookmarkEnd w:id="316"/>
      <w:r w:rsidRPr="000D25FB">
        <w:rPr>
          <w:rFonts w:ascii="Book Antiqua" w:hAnsi="Book Antiqua" w:cs="Tahoma"/>
          <w:b/>
          <w:snapToGrid w:val="0"/>
          <w:color w:val="000000"/>
        </w:rPr>
        <w:t>r</w:t>
      </w:r>
      <w:r w:rsidRPr="000D25FB">
        <w:rPr>
          <w:rFonts w:ascii="Book Antiqua" w:hAnsi="Book Antiqua" w:cs="Tahoma" w:hint="eastAsia"/>
          <w:b/>
          <w:snapToGrid w:val="0"/>
          <w:color w:val="000000"/>
        </w:rPr>
        <w:t>:</w:t>
      </w:r>
    </w:p>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rsidR="000B3CB0" w:rsidRPr="000D25FB" w:rsidRDefault="000B3CB0">
      <w:pPr>
        <w:widowControl w:val="0"/>
        <w:snapToGrid w:val="0"/>
        <w:spacing w:line="360" w:lineRule="auto"/>
        <w:jc w:val="both"/>
        <w:rPr>
          <w:rFonts w:ascii="Book Antiqua" w:hAnsi="Book Antiqua" w:cs="Arial"/>
          <w:snapToGrid w:val="0"/>
          <w:lang w:eastAsia="zh-CN"/>
        </w:rPr>
      </w:pPr>
    </w:p>
    <w:p w:rsidR="000B3CB0" w:rsidRPr="000D25FB" w:rsidRDefault="000B3CB0">
      <w:pPr>
        <w:widowControl w:val="0"/>
        <w:snapToGrid w:val="0"/>
        <w:spacing w:line="360" w:lineRule="auto"/>
        <w:ind w:firstLineChars="50" w:firstLine="120"/>
        <w:jc w:val="both"/>
        <w:rPr>
          <w:rFonts w:ascii="Book Antiqua" w:hAnsi="Book Antiqua" w:cs="Arial"/>
          <w:snapToGrid w:val="0"/>
          <w:lang w:eastAsia="zh-CN"/>
        </w:rPr>
      </w:pPr>
    </w:p>
    <w:p w:rsidR="000522A3" w:rsidRPr="000D25FB" w:rsidRDefault="000522A3">
      <w:pPr>
        <w:rPr>
          <w:rFonts w:ascii="Book Antiqua" w:hAnsi="Book Antiqua" w:cs="Arial"/>
          <w:b/>
          <w:snapToGrid w:val="0"/>
        </w:rPr>
      </w:pPr>
      <w:r w:rsidRPr="000D25FB">
        <w:rPr>
          <w:rFonts w:ascii="Book Antiqua" w:hAnsi="Book Antiqua" w:cs="Arial"/>
          <w:b/>
          <w:snapToGrid w:val="0"/>
        </w:rPr>
        <w:br w:type="page"/>
      </w:r>
    </w:p>
    <w:p w:rsidR="000B06E6" w:rsidRPr="000D25FB" w:rsidRDefault="0029417E" w:rsidP="000522A3">
      <w:pPr>
        <w:widowControl w:val="0"/>
        <w:snapToGrid w:val="0"/>
        <w:spacing w:line="360" w:lineRule="auto"/>
        <w:jc w:val="both"/>
        <w:rPr>
          <w:rFonts w:ascii="Book Antiqua" w:hAnsi="Book Antiqua" w:cs="Arial"/>
          <w:b/>
          <w:snapToGrid w:val="0"/>
          <w:lang w:eastAsia="zh-CN"/>
        </w:rPr>
      </w:pPr>
      <w:r w:rsidRPr="000D25FB">
        <w:rPr>
          <w:rFonts w:ascii="Book Antiqua" w:hAnsi="Book Antiqua" w:cs="Arial"/>
          <w:b/>
          <w:noProof/>
          <w:snapToGrid w:val="0"/>
          <w:lang w:eastAsia="zh-CN"/>
        </w:rPr>
        <w:lastRenderedPageBreak/>
        <w:drawing>
          <wp:inline distT="0" distB="0" distL="0" distR="0">
            <wp:extent cx="4581525" cy="2200275"/>
            <wp:effectExtent l="1905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581525" cy="2200275"/>
                    </a:xfrm>
                    <a:prstGeom prst="rect">
                      <a:avLst/>
                    </a:prstGeom>
                    <a:noFill/>
                    <a:ln w="9525">
                      <a:noFill/>
                      <a:miter lim="800000"/>
                      <a:headEnd/>
                      <a:tailEnd/>
                    </a:ln>
                  </pic:spPr>
                </pic:pic>
              </a:graphicData>
            </a:graphic>
          </wp:inline>
        </w:drawing>
      </w:r>
    </w:p>
    <w:p w:rsidR="000522A3" w:rsidRPr="000D25FB" w:rsidRDefault="000522A3" w:rsidP="000522A3">
      <w:pPr>
        <w:widowControl w:val="0"/>
        <w:snapToGrid w:val="0"/>
        <w:spacing w:line="360" w:lineRule="auto"/>
        <w:jc w:val="both"/>
        <w:rPr>
          <w:rFonts w:ascii="Book Antiqua" w:hAnsi="Book Antiqua" w:cs="Arial"/>
          <w:snapToGrid w:val="0"/>
          <w:lang w:eastAsia="zh-CN"/>
        </w:rPr>
      </w:pPr>
      <w:r w:rsidRPr="000D25FB">
        <w:rPr>
          <w:rFonts w:ascii="Book Antiqua" w:hAnsi="Book Antiqua" w:cs="Arial"/>
          <w:b/>
          <w:snapToGrid w:val="0"/>
        </w:rPr>
        <w:t>Figure 1 Ultrasound</w:t>
      </w:r>
      <w:r w:rsidRPr="000D25FB">
        <w:rPr>
          <w:rFonts w:ascii="Book Antiqua" w:hAnsi="Book Antiqua" w:cs="Arial"/>
          <w:b/>
          <w:snapToGrid w:val="0"/>
          <w:lang w:eastAsia="zh-CN"/>
        </w:rPr>
        <w:t>.</w:t>
      </w:r>
      <w:r w:rsidRPr="000D25FB">
        <w:rPr>
          <w:rFonts w:ascii="Book Antiqua" w:hAnsi="Book Antiqua" w:cs="Arial"/>
          <w:snapToGrid w:val="0"/>
          <w:lang w:eastAsia="zh-CN"/>
        </w:rPr>
        <w:t xml:space="preserve"> </w:t>
      </w:r>
      <w:r w:rsidRPr="000D25FB">
        <w:rPr>
          <w:rFonts w:ascii="Book Antiqua" w:hAnsi="Book Antiqua" w:cs="Arial"/>
          <w:snapToGrid w:val="0"/>
        </w:rPr>
        <w:t>A</w:t>
      </w:r>
      <w:r w:rsidRPr="000D25FB">
        <w:rPr>
          <w:rFonts w:ascii="Book Antiqua" w:hAnsi="Book Antiqua" w:cs="Arial"/>
          <w:snapToGrid w:val="0"/>
          <w:lang w:eastAsia="zh-CN"/>
        </w:rPr>
        <w:t>:</w:t>
      </w:r>
      <w:r w:rsidRPr="000D25FB">
        <w:rPr>
          <w:rFonts w:ascii="Book Antiqua" w:hAnsi="Book Antiqua" w:cs="Arial"/>
          <w:snapToGrid w:val="0"/>
        </w:rPr>
        <w:t xml:space="preserve"> Ultrasound showing thick-walled gallbladder and intraluminal mass (arrow)</w:t>
      </w:r>
      <w:r w:rsidRPr="000D25FB">
        <w:rPr>
          <w:rFonts w:ascii="Book Antiqua" w:hAnsi="Book Antiqua" w:cs="Arial"/>
          <w:snapToGrid w:val="0"/>
          <w:lang w:eastAsia="zh-CN"/>
        </w:rPr>
        <w:t xml:space="preserve">; </w:t>
      </w:r>
      <w:r w:rsidRPr="000D25FB">
        <w:rPr>
          <w:rFonts w:ascii="Book Antiqua" w:hAnsi="Book Antiqua" w:cs="Arial"/>
          <w:snapToGrid w:val="0"/>
        </w:rPr>
        <w:t>B</w:t>
      </w:r>
      <w:r w:rsidRPr="000D25FB">
        <w:rPr>
          <w:rFonts w:ascii="Book Antiqua" w:hAnsi="Book Antiqua" w:cs="Arial"/>
          <w:snapToGrid w:val="0"/>
          <w:lang w:eastAsia="zh-CN"/>
        </w:rPr>
        <w:t>:</w:t>
      </w:r>
      <w:r w:rsidRPr="000D25FB">
        <w:rPr>
          <w:rFonts w:ascii="Book Antiqua" w:hAnsi="Book Antiqua" w:cs="Arial"/>
          <w:snapToGrid w:val="0"/>
        </w:rPr>
        <w:t xml:space="preserve"> Ultrasound showing right intrahepatic bile duct dilation</w:t>
      </w:r>
      <w:r w:rsidRPr="000D25FB">
        <w:rPr>
          <w:rFonts w:ascii="Book Antiqua" w:hAnsi="Book Antiqua" w:cs="Arial"/>
          <w:snapToGrid w:val="0"/>
          <w:lang w:eastAsia="zh-CN"/>
        </w:rPr>
        <w:t>.</w:t>
      </w:r>
    </w:p>
    <w:p w:rsidR="000522A3" w:rsidRPr="000D25FB" w:rsidRDefault="0029417E" w:rsidP="000522A3">
      <w:pPr>
        <w:widowControl w:val="0"/>
        <w:snapToGrid w:val="0"/>
        <w:spacing w:line="360" w:lineRule="auto"/>
        <w:jc w:val="both"/>
        <w:rPr>
          <w:rFonts w:ascii="Book Antiqua" w:hAnsi="Book Antiqua" w:cs="Arial"/>
          <w:snapToGrid w:val="0"/>
        </w:rPr>
      </w:pPr>
      <w:r w:rsidRPr="000D25FB">
        <w:rPr>
          <w:rFonts w:ascii="Book Antiqua" w:hAnsi="Book Antiqua" w:cs="Arial"/>
          <w:noProof/>
          <w:snapToGrid w:val="0"/>
          <w:lang w:eastAsia="zh-CN"/>
        </w:rPr>
        <w:drawing>
          <wp:inline distT="0" distB="0" distL="0" distR="0">
            <wp:extent cx="4114800" cy="2343150"/>
            <wp:effectExtent l="1905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114800" cy="2343150"/>
                    </a:xfrm>
                    <a:prstGeom prst="rect">
                      <a:avLst/>
                    </a:prstGeom>
                    <a:noFill/>
                    <a:ln w="9525">
                      <a:noFill/>
                      <a:miter lim="800000"/>
                      <a:headEnd/>
                      <a:tailEnd/>
                    </a:ln>
                  </pic:spPr>
                </pic:pic>
              </a:graphicData>
            </a:graphic>
          </wp:inline>
        </w:drawing>
      </w:r>
      <w:r w:rsidR="000522A3" w:rsidRPr="000D25FB">
        <w:rPr>
          <w:rFonts w:ascii="Book Antiqua" w:hAnsi="Book Antiqua" w:cs="Arial"/>
          <w:snapToGrid w:val="0"/>
        </w:rPr>
        <w:tab/>
      </w:r>
      <w:r w:rsidR="000522A3" w:rsidRPr="000D25FB">
        <w:rPr>
          <w:rFonts w:ascii="Book Antiqua" w:hAnsi="Book Antiqua" w:cs="Arial"/>
          <w:snapToGrid w:val="0"/>
        </w:rPr>
        <w:tab/>
      </w:r>
    </w:p>
    <w:p w:rsidR="000522A3" w:rsidRPr="000D25FB" w:rsidRDefault="000522A3" w:rsidP="000522A3">
      <w:pPr>
        <w:widowControl w:val="0"/>
        <w:adjustRightInd w:val="0"/>
        <w:snapToGrid w:val="0"/>
        <w:spacing w:line="360" w:lineRule="auto"/>
        <w:jc w:val="both"/>
        <w:rPr>
          <w:rFonts w:ascii="Book Antiqua" w:hAnsi="Book Antiqua" w:cs="Arial"/>
          <w:snapToGrid w:val="0"/>
          <w:lang w:eastAsia="zh-CN"/>
        </w:rPr>
      </w:pPr>
      <w:r w:rsidRPr="000D25FB">
        <w:rPr>
          <w:rFonts w:ascii="Book Antiqua" w:hAnsi="Book Antiqua" w:cs="Arial"/>
          <w:b/>
          <w:snapToGrid w:val="0"/>
        </w:rPr>
        <w:t>Figure 2</w:t>
      </w:r>
      <w:r w:rsidRPr="000D25FB">
        <w:rPr>
          <w:rFonts w:ascii="Book Antiqua" w:hAnsi="Book Antiqua" w:cs="Arial"/>
          <w:b/>
          <w:snapToGrid w:val="0"/>
          <w:lang w:eastAsia="zh-CN"/>
        </w:rPr>
        <w:t xml:space="preserve"> Computed tomography scan.</w:t>
      </w:r>
      <w:r w:rsidRPr="000D25FB">
        <w:rPr>
          <w:rFonts w:ascii="Book Antiqua" w:hAnsi="Book Antiqua" w:cs="Arial"/>
          <w:snapToGrid w:val="0"/>
        </w:rPr>
        <w:t xml:space="preserve"> A</w:t>
      </w:r>
      <w:r w:rsidRPr="000D25FB">
        <w:rPr>
          <w:rFonts w:ascii="Book Antiqua" w:hAnsi="Book Antiqua" w:cs="Arial"/>
          <w:snapToGrid w:val="0"/>
          <w:lang w:eastAsia="zh-CN"/>
        </w:rPr>
        <w:t>:</w:t>
      </w:r>
      <w:r w:rsidRPr="000D25FB">
        <w:rPr>
          <w:rFonts w:ascii="Book Antiqua" w:hAnsi="Book Antiqua" w:cs="Arial"/>
          <w:snapToGrid w:val="0"/>
        </w:rPr>
        <w:t xml:space="preserve"> </w:t>
      </w:r>
      <w:r w:rsidRPr="000D25FB">
        <w:rPr>
          <w:rFonts w:ascii="Book Antiqua" w:hAnsi="Book Antiqua" w:cs="Arial"/>
          <w:snapToGrid w:val="0"/>
          <w:lang w:eastAsia="zh-CN"/>
        </w:rPr>
        <w:t>Computed tomography (</w:t>
      </w:r>
      <w:r w:rsidRPr="000D25FB">
        <w:rPr>
          <w:rFonts w:ascii="Book Antiqua" w:hAnsi="Book Antiqua" w:cs="Arial"/>
          <w:snapToGrid w:val="0"/>
        </w:rPr>
        <w:t>CT</w:t>
      </w:r>
      <w:r w:rsidRPr="000D25FB">
        <w:rPr>
          <w:rFonts w:ascii="Book Antiqua" w:hAnsi="Book Antiqua" w:cs="Arial"/>
          <w:snapToGrid w:val="0"/>
          <w:lang w:eastAsia="zh-CN"/>
        </w:rPr>
        <w:t>)</w:t>
      </w:r>
      <w:r w:rsidRPr="000D25FB">
        <w:rPr>
          <w:rFonts w:ascii="Book Antiqua" w:hAnsi="Book Antiqua" w:cs="Arial"/>
          <w:snapToGrid w:val="0"/>
        </w:rPr>
        <w:t xml:space="preserve"> scan showing asymmetrical wall thickening of gallbladder</w:t>
      </w:r>
      <w:r w:rsidRPr="000D25FB">
        <w:rPr>
          <w:rFonts w:ascii="Book Antiqua" w:hAnsi="Book Antiqua" w:cs="Arial"/>
          <w:snapToGrid w:val="0"/>
          <w:lang w:eastAsia="zh-CN"/>
        </w:rPr>
        <w:t>;</w:t>
      </w:r>
      <w:r w:rsidRPr="000D25FB">
        <w:rPr>
          <w:rFonts w:ascii="Book Antiqua" w:hAnsi="Book Antiqua" w:cs="Arial"/>
          <w:snapToGrid w:val="0"/>
        </w:rPr>
        <w:t xml:space="preserve"> B</w:t>
      </w:r>
      <w:r w:rsidRPr="000D25FB">
        <w:rPr>
          <w:rFonts w:ascii="Book Antiqua" w:hAnsi="Book Antiqua" w:cs="Arial"/>
          <w:snapToGrid w:val="0"/>
          <w:lang w:eastAsia="zh-CN"/>
        </w:rPr>
        <w:t>:</w:t>
      </w:r>
      <w:r w:rsidRPr="000D25FB">
        <w:rPr>
          <w:rFonts w:ascii="Book Antiqua" w:hAnsi="Book Antiqua" w:cs="Arial"/>
          <w:snapToGrid w:val="0"/>
        </w:rPr>
        <w:t xml:space="preserve"> CT scan showing right intrahepatic duct dilation and small cyst in right lobe</w:t>
      </w:r>
      <w:r w:rsidRPr="000D25FB">
        <w:rPr>
          <w:rFonts w:ascii="Book Antiqua" w:hAnsi="Book Antiqua" w:cs="Arial"/>
          <w:snapToGrid w:val="0"/>
          <w:lang w:eastAsia="zh-CN"/>
        </w:rPr>
        <w:t>.</w:t>
      </w:r>
    </w:p>
    <w:p w:rsidR="000522A3" w:rsidRPr="000D25FB" w:rsidRDefault="0029417E" w:rsidP="000522A3">
      <w:pPr>
        <w:widowControl w:val="0"/>
        <w:adjustRightInd w:val="0"/>
        <w:snapToGrid w:val="0"/>
        <w:spacing w:line="360" w:lineRule="auto"/>
        <w:jc w:val="both"/>
        <w:rPr>
          <w:rFonts w:ascii="Book Antiqua" w:hAnsi="Book Antiqua" w:cs="Arial"/>
          <w:snapToGrid w:val="0"/>
          <w:lang w:eastAsia="zh-CN"/>
        </w:rPr>
      </w:pPr>
      <w:r w:rsidRPr="000D25FB">
        <w:rPr>
          <w:rFonts w:ascii="Book Antiqua" w:hAnsi="Book Antiqua" w:cs="Arial"/>
          <w:noProof/>
          <w:snapToGrid w:val="0"/>
          <w:lang w:eastAsia="zh-CN"/>
        </w:rPr>
        <w:lastRenderedPageBreak/>
        <w:drawing>
          <wp:inline distT="0" distB="0" distL="0" distR="0">
            <wp:extent cx="2686050" cy="3028950"/>
            <wp:effectExtent l="1905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686050" cy="3028950"/>
                    </a:xfrm>
                    <a:prstGeom prst="rect">
                      <a:avLst/>
                    </a:prstGeom>
                    <a:noFill/>
                    <a:ln w="9525">
                      <a:noFill/>
                      <a:miter lim="800000"/>
                      <a:headEnd/>
                      <a:tailEnd/>
                    </a:ln>
                  </pic:spPr>
                </pic:pic>
              </a:graphicData>
            </a:graphic>
          </wp:inline>
        </w:drawing>
      </w:r>
    </w:p>
    <w:p w:rsidR="000B3CB0" w:rsidRPr="000D25FB" w:rsidRDefault="000522A3">
      <w:pPr>
        <w:widowControl w:val="0"/>
        <w:snapToGrid w:val="0"/>
        <w:spacing w:line="360" w:lineRule="auto"/>
        <w:jc w:val="both"/>
        <w:rPr>
          <w:rFonts w:ascii="Book Antiqua" w:hAnsi="Book Antiqua" w:cs="Arial"/>
          <w:snapToGrid w:val="0"/>
        </w:rPr>
      </w:pPr>
      <w:r w:rsidRPr="000D25FB">
        <w:rPr>
          <w:rFonts w:ascii="Book Antiqua" w:hAnsi="Book Antiqua" w:cs="Arial"/>
          <w:b/>
          <w:snapToGrid w:val="0"/>
        </w:rPr>
        <w:t>Figure 3</w:t>
      </w:r>
      <w:r w:rsidRPr="000D25FB">
        <w:rPr>
          <w:rFonts w:ascii="Book Antiqua" w:hAnsi="Book Antiqua" w:cs="Arial"/>
          <w:b/>
          <w:snapToGrid w:val="0"/>
          <w:lang w:eastAsia="zh-CN"/>
        </w:rPr>
        <w:t xml:space="preserve"> </w:t>
      </w:r>
      <w:r w:rsidRPr="000D25FB">
        <w:rPr>
          <w:rFonts w:ascii="Book Antiqua" w:hAnsi="Book Antiqua" w:cs="Arial"/>
          <w:b/>
          <w:snapToGrid w:val="0"/>
        </w:rPr>
        <w:t xml:space="preserve">Abnormal junction of pancreatic duct and common bile duct (arrow). </w:t>
      </w:r>
      <w:r w:rsidRPr="002F47F3">
        <w:rPr>
          <w:rFonts w:ascii="Book Antiqua" w:hAnsi="Book Antiqua" w:cs="Arial"/>
          <w:snapToGrid w:val="0"/>
        </w:rPr>
        <w:t>Marked dilation of proximal common hepatic duct (large arrow).</w:t>
      </w:r>
    </w:p>
    <w:p w:rsidR="000B3CB0" w:rsidRPr="000D25FB" w:rsidRDefault="000B3CB0">
      <w:pPr>
        <w:widowControl w:val="0"/>
        <w:snapToGrid w:val="0"/>
        <w:spacing w:line="360" w:lineRule="auto"/>
        <w:ind w:firstLine="851"/>
        <w:jc w:val="both"/>
        <w:rPr>
          <w:rFonts w:ascii="Book Antiqua" w:hAnsi="Book Antiqua" w:cs="Arial"/>
          <w:snapToGrid w:val="0"/>
          <w:lang w:eastAsia="zh-CN"/>
        </w:rPr>
      </w:pPr>
    </w:p>
    <w:p w:rsidR="0059634C" w:rsidRPr="000D25FB" w:rsidRDefault="00000EB7" w:rsidP="0059634C">
      <w:pPr>
        <w:widowControl w:val="0"/>
        <w:snapToGrid w:val="0"/>
        <w:spacing w:line="360" w:lineRule="auto"/>
        <w:jc w:val="both"/>
        <w:rPr>
          <w:rFonts w:ascii="Book Antiqua" w:hAnsi="Book Antiqua" w:cs="Arial"/>
          <w:snapToGrid w:val="0"/>
        </w:rPr>
      </w:pPr>
      <w:r>
        <w:rPr>
          <w:rFonts w:ascii="Book Antiqua" w:hAnsi="Book Antiqua" w:cs="Arial"/>
          <w:noProof/>
          <w:lang w:eastAsia="zh-CN"/>
        </w:rPr>
        <mc:AlternateContent>
          <mc:Choice Requires="wps">
            <w:drawing>
              <wp:anchor distT="0" distB="0" distL="114300" distR="114300" simplePos="0" relativeHeight="251662336" behindDoc="0" locked="0" layoutInCell="1" allowOverlap="1">
                <wp:simplePos x="0" y="0"/>
                <wp:positionH relativeFrom="column">
                  <wp:posOffset>2152650</wp:posOffset>
                </wp:positionH>
                <wp:positionV relativeFrom="paragraph">
                  <wp:posOffset>1423035</wp:posOffset>
                </wp:positionV>
                <wp:extent cx="647700" cy="619125"/>
                <wp:effectExtent l="0" t="381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81F" w:rsidRDefault="005C1CB4">
                            <w:pPr>
                              <w:rPr>
                                <w:lang w:eastAsia="zh-CN"/>
                              </w:rPr>
                            </w:pPr>
                            <w:r>
                              <w:rPr>
                                <w:rFonts w:hint="eastAsia"/>
                                <w:lang w:eastAsia="zh-CN"/>
                              </w:rPr>
                              <w:t>A      B</w:t>
                            </w:r>
                          </w:p>
                          <w:p w:rsidR="005C1CB4" w:rsidRDefault="005C1CB4">
                            <w:pPr>
                              <w:rPr>
                                <w:lang w:eastAsia="zh-CN"/>
                              </w:rPr>
                            </w:pPr>
                          </w:p>
                          <w:p w:rsidR="005C1CB4" w:rsidRDefault="005C1CB4">
                            <w:pPr>
                              <w:rPr>
                                <w:lang w:eastAsia="zh-CN"/>
                              </w:rPr>
                            </w:pPr>
                            <w:r>
                              <w:rPr>
                                <w:rFonts w:hint="eastAsia"/>
                                <w:lang w:eastAsia="zh-CN"/>
                              </w:rPr>
                              <w:t>C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69.5pt;margin-top:112.05pt;width:51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E5sgIAALg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" filled="f" stroked="f">
                <v:textbox>
                  <w:txbxContent>
                    <w:p w:rsidR="0083581F" w:rsidRDefault="005C1CB4">
                      <w:pPr>
                        <w:rPr>
                          <w:lang w:eastAsia="zh-CN"/>
                        </w:rPr>
                      </w:pPr>
                      <w:r>
                        <w:rPr>
                          <w:rFonts w:hint="eastAsia"/>
                          <w:lang w:eastAsia="zh-CN"/>
                        </w:rPr>
                        <w:t>A      B</w:t>
                      </w:r>
                    </w:p>
                    <w:p w:rsidR="005C1CB4" w:rsidRDefault="005C1CB4">
                      <w:pPr>
                        <w:rPr>
                          <w:lang w:eastAsia="zh-CN"/>
                        </w:rPr>
                      </w:pPr>
                    </w:p>
                    <w:p w:rsidR="005C1CB4" w:rsidRDefault="005C1CB4">
                      <w:pPr>
                        <w:rPr>
                          <w:lang w:eastAsia="zh-CN"/>
                        </w:rPr>
                      </w:pPr>
                      <w:r>
                        <w:rPr>
                          <w:rFonts w:hint="eastAsia"/>
                          <w:lang w:eastAsia="zh-CN"/>
                        </w:rPr>
                        <w:t>C      D</w:t>
                      </w:r>
                    </w:p>
                  </w:txbxContent>
                </v:textbox>
              </v:shape>
            </w:pict>
          </mc:Fallback>
        </mc:AlternateContent>
      </w:r>
      <w:r w:rsidR="0029417E" w:rsidRPr="000D25FB">
        <w:rPr>
          <w:rFonts w:ascii="Book Antiqua" w:hAnsi="Book Antiqua" w:cs="Arial"/>
          <w:noProof/>
          <w:snapToGrid w:val="0"/>
          <w:lang w:eastAsia="zh-CN"/>
        </w:rPr>
        <w:drawing>
          <wp:inline distT="0" distB="0" distL="0" distR="0">
            <wp:extent cx="4931117" cy="3409950"/>
            <wp:effectExtent l="25400" t="0" r="0" b="0"/>
            <wp:docPr id="9" name="Picture 3" descr="S12-26570-G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26570-GB (1).jpg"/>
                    <pic:cNvPicPr/>
                  </pic:nvPicPr>
                  <pic:blipFill>
                    <a:blip r:embed="rId10"/>
                    <a:stretch>
                      <a:fillRect/>
                    </a:stretch>
                  </pic:blipFill>
                  <pic:spPr>
                    <a:xfrm>
                      <a:off x="0" y="0"/>
                      <a:ext cx="4940976" cy="3416768"/>
                    </a:xfrm>
                    <a:prstGeom prst="rect">
                      <a:avLst/>
                    </a:prstGeom>
                  </pic:spPr>
                </pic:pic>
              </a:graphicData>
            </a:graphic>
          </wp:inline>
        </w:drawing>
      </w:r>
    </w:p>
    <w:p w:rsidR="000B3CB0" w:rsidRPr="000D25FB" w:rsidRDefault="002E3900">
      <w:pPr>
        <w:widowControl w:val="0"/>
        <w:snapToGrid w:val="0"/>
        <w:spacing w:line="360" w:lineRule="auto"/>
        <w:jc w:val="both"/>
        <w:rPr>
          <w:rFonts w:ascii="Book Antiqua" w:hAnsi="Book Antiqua"/>
          <w:snapToGrid w:val="0"/>
          <w:color w:val="222222"/>
          <w:lang w:eastAsia="zh-CN"/>
        </w:rPr>
      </w:pPr>
      <w:r w:rsidRPr="000D25FB">
        <w:rPr>
          <w:rFonts w:ascii="Book Antiqua" w:hAnsi="Book Antiqua" w:cs="Arial"/>
          <w:b/>
          <w:snapToGrid w:val="0"/>
        </w:rPr>
        <w:t>Figure 4</w:t>
      </w:r>
      <w:r w:rsidRPr="000D25FB">
        <w:rPr>
          <w:rFonts w:ascii="Book Antiqua" w:hAnsi="Book Antiqua" w:cs="Arial"/>
          <w:b/>
          <w:snapToGrid w:val="0"/>
          <w:lang w:eastAsia="zh-CN"/>
        </w:rPr>
        <w:t xml:space="preserve"> </w:t>
      </w:r>
      <w:r w:rsidRPr="000D25FB">
        <w:rPr>
          <w:rFonts w:ascii="Book Antiqua" w:hAnsi="Book Antiqua"/>
          <w:b/>
          <w:snapToGrid w:val="0"/>
          <w:color w:val="222222"/>
          <w:shd w:val="clear" w:color="auto" w:fill="FFFFFF"/>
        </w:rPr>
        <w:t>Adenocarcinoma of the gallbladder</w:t>
      </w:r>
      <w:r w:rsidR="0059634C" w:rsidRPr="000D25FB">
        <w:rPr>
          <w:rFonts w:ascii="Book Antiqua" w:hAnsi="Book Antiqua"/>
          <w:snapToGrid w:val="0"/>
          <w:color w:val="222222"/>
          <w:shd w:val="clear" w:color="auto" w:fill="FFFFFF"/>
        </w:rPr>
        <w:t>.</w:t>
      </w:r>
      <w:r w:rsidR="0059634C" w:rsidRPr="000D25FB">
        <w:rPr>
          <w:rFonts w:ascii="Book Antiqua" w:hAnsi="Book Antiqua"/>
          <w:snapToGrid w:val="0"/>
          <w:color w:val="222222"/>
        </w:rPr>
        <w:t> </w:t>
      </w:r>
      <w:r w:rsidR="0083581F" w:rsidRPr="000D25FB">
        <w:rPr>
          <w:rFonts w:ascii="Book Antiqua" w:hAnsi="Book Antiqua"/>
          <w:snapToGrid w:val="0"/>
          <w:color w:val="222222"/>
        </w:rPr>
        <w:t>A: Tumor invades the serosa (HE, × 20); B: Tumor is well differentiated (HE, × 100); C:  Lymphovascular invasions; D: Perineural invasions by the tumor are observed (HE, × 100).</w:t>
      </w:r>
    </w:p>
    <w:p w:rsidR="000B3CB0" w:rsidRPr="000D25FB" w:rsidRDefault="000B3CB0">
      <w:pPr>
        <w:widowControl w:val="0"/>
        <w:snapToGrid w:val="0"/>
        <w:spacing w:line="360" w:lineRule="auto"/>
        <w:jc w:val="both"/>
        <w:rPr>
          <w:rFonts w:ascii="Book Antiqua" w:hAnsi="Book Antiqua"/>
          <w:snapToGrid w:val="0"/>
          <w:color w:val="222222"/>
          <w:lang w:eastAsia="zh-CN"/>
        </w:rPr>
      </w:pPr>
    </w:p>
    <w:p w:rsidR="005C1CB4" w:rsidRPr="000D25FB" w:rsidRDefault="0029417E" w:rsidP="005C1CB4">
      <w:pPr>
        <w:widowControl w:val="0"/>
        <w:snapToGrid w:val="0"/>
        <w:spacing w:line="360" w:lineRule="auto"/>
        <w:jc w:val="both"/>
        <w:rPr>
          <w:rFonts w:ascii="Book Antiqua" w:hAnsi="Book Antiqua" w:cs="Arial"/>
          <w:snapToGrid w:val="0"/>
        </w:rPr>
      </w:pPr>
      <w:r w:rsidRPr="000D25FB">
        <w:rPr>
          <w:rFonts w:ascii="Book Antiqua" w:hAnsi="Book Antiqua" w:cs="Arial"/>
          <w:noProof/>
          <w:snapToGrid w:val="0"/>
          <w:lang w:eastAsia="zh-CN"/>
        </w:rPr>
        <w:lastRenderedPageBreak/>
        <w:drawing>
          <wp:inline distT="0" distB="0" distL="0" distR="0">
            <wp:extent cx="4931117" cy="1974337"/>
            <wp:effectExtent l="25400" t="0" r="0" b="0"/>
            <wp:docPr id="10" name="Picture 5" descr="S12-26570-pancre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26570-pancreas (2).jpg"/>
                    <pic:cNvPicPr/>
                  </pic:nvPicPr>
                  <pic:blipFill>
                    <a:blip r:embed="rId11"/>
                    <a:stretch>
                      <a:fillRect/>
                    </a:stretch>
                  </pic:blipFill>
                  <pic:spPr>
                    <a:xfrm>
                      <a:off x="0" y="0"/>
                      <a:ext cx="4937157" cy="1976755"/>
                    </a:xfrm>
                    <a:prstGeom prst="rect">
                      <a:avLst/>
                    </a:prstGeom>
                  </pic:spPr>
                </pic:pic>
              </a:graphicData>
            </a:graphic>
          </wp:inline>
        </w:drawing>
      </w:r>
    </w:p>
    <w:p w:rsidR="005C1CB4" w:rsidRPr="000D25FB" w:rsidRDefault="005C1CB4" w:rsidP="005C1CB4">
      <w:pPr>
        <w:widowControl w:val="0"/>
        <w:snapToGrid w:val="0"/>
        <w:spacing w:line="360" w:lineRule="auto"/>
        <w:jc w:val="both"/>
        <w:rPr>
          <w:rFonts w:ascii="Book Antiqua" w:hAnsi="Book Antiqua" w:cs="Arial"/>
          <w:snapToGrid w:val="0"/>
          <w:lang w:eastAsia="zh-CN"/>
        </w:rPr>
      </w:pPr>
      <w:r w:rsidRPr="000D25FB">
        <w:rPr>
          <w:rFonts w:ascii="Book Antiqua" w:hAnsi="Book Antiqua" w:cs="Arial" w:hint="eastAsia"/>
          <w:snapToGrid w:val="0"/>
          <w:lang w:eastAsia="zh-CN"/>
        </w:rPr>
        <w:t>A                                                               B</w:t>
      </w:r>
    </w:p>
    <w:p w:rsidR="005C1CB4" w:rsidRPr="000D25FB" w:rsidRDefault="002E3900" w:rsidP="005C1CB4">
      <w:pPr>
        <w:widowControl w:val="0"/>
        <w:snapToGrid w:val="0"/>
        <w:spacing w:line="360" w:lineRule="auto"/>
        <w:jc w:val="both"/>
        <w:rPr>
          <w:rFonts w:ascii="Book Antiqua" w:hAnsi="Book Antiqua"/>
          <w:b/>
          <w:snapToGrid w:val="0"/>
          <w:lang w:eastAsia="zh-CN"/>
        </w:rPr>
      </w:pPr>
      <w:r w:rsidRPr="000D25FB">
        <w:rPr>
          <w:rFonts w:ascii="Book Antiqua" w:hAnsi="Book Antiqua" w:cs="Arial"/>
          <w:b/>
          <w:snapToGrid w:val="0"/>
        </w:rPr>
        <w:t>Figure 5</w:t>
      </w:r>
      <w:r w:rsidR="005C1CB4" w:rsidRPr="000D25FB">
        <w:rPr>
          <w:rFonts w:ascii="Book Antiqua" w:hAnsi="Book Antiqua" w:cs="Arial" w:hint="eastAsia"/>
          <w:b/>
          <w:snapToGrid w:val="0"/>
          <w:lang w:eastAsia="zh-CN"/>
        </w:rPr>
        <w:t xml:space="preserve"> </w:t>
      </w:r>
      <w:r w:rsidRPr="000D25FB">
        <w:rPr>
          <w:rFonts w:ascii="Book Antiqua" w:hAnsi="Book Antiqua"/>
          <w:b/>
          <w:snapToGrid w:val="0"/>
          <w:color w:val="222222"/>
          <w:shd w:val="clear" w:color="auto" w:fill="FFFFFF"/>
        </w:rPr>
        <w:t>Adenocarcinoma of the pancreas</w:t>
      </w:r>
      <w:r w:rsidR="005C1CB4" w:rsidRPr="000D25FB">
        <w:rPr>
          <w:rFonts w:ascii="Book Antiqua" w:hAnsi="Book Antiqua" w:hint="eastAsia"/>
          <w:b/>
          <w:snapToGrid w:val="0"/>
          <w:color w:val="222222"/>
          <w:shd w:val="clear" w:color="auto" w:fill="FFFFFF"/>
          <w:lang w:eastAsia="zh-CN"/>
        </w:rPr>
        <w:t>.</w:t>
      </w:r>
      <w:r w:rsidRPr="000D25FB">
        <w:rPr>
          <w:rFonts w:ascii="Book Antiqua" w:hAnsi="Book Antiqua"/>
          <w:b/>
          <w:snapToGrid w:val="0"/>
          <w:color w:val="222222"/>
          <w:shd w:val="clear" w:color="auto" w:fill="FFFFFF"/>
        </w:rPr>
        <w:t xml:space="preserve"> </w:t>
      </w:r>
      <w:r w:rsidRPr="000D25FB">
        <w:rPr>
          <w:rFonts w:ascii="Book Antiqua" w:hAnsi="Book Antiqua"/>
          <w:snapToGrid w:val="0"/>
          <w:color w:val="222222"/>
          <w:shd w:val="clear" w:color="auto" w:fill="FFFFFF"/>
        </w:rPr>
        <w:t>A: HE, ×</w:t>
      </w:r>
      <w:r w:rsidRPr="000D25FB">
        <w:rPr>
          <w:rFonts w:ascii="Book Antiqua" w:hAnsi="Book Antiqua"/>
          <w:snapToGrid w:val="0"/>
          <w:color w:val="222222"/>
          <w:shd w:val="clear" w:color="auto" w:fill="FFFFFF"/>
          <w:lang w:eastAsia="zh-CN"/>
        </w:rPr>
        <w:t xml:space="preserve"> </w:t>
      </w:r>
      <w:r w:rsidRPr="000D25FB">
        <w:rPr>
          <w:rFonts w:ascii="Book Antiqua" w:hAnsi="Book Antiqua"/>
          <w:snapToGrid w:val="0"/>
          <w:color w:val="222222"/>
          <w:shd w:val="clear" w:color="auto" w:fill="FFFFFF"/>
        </w:rPr>
        <w:t>40;</w:t>
      </w:r>
      <w:r w:rsidRPr="000D25FB">
        <w:rPr>
          <w:rFonts w:ascii="Book Antiqua" w:hAnsi="Book Antiqua"/>
          <w:snapToGrid w:val="0"/>
          <w:color w:val="222222"/>
        </w:rPr>
        <w:t> </w:t>
      </w:r>
      <w:r w:rsidRPr="000D25FB">
        <w:rPr>
          <w:rFonts w:ascii="Book Antiqua" w:hAnsi="Book Antiqua"/>
          <w:snapToGrid w:val="0"/>
          <w:color w:val="222222"/>
          <w:shd w:val="clear" w:color="auto" w:fill="FFFFFF"/>
        </w:rPr>
        <w:t>B: HE, ×100</w:t>
      </w:r>
      <w:r w:rsidRPr="000D25FB">
        <w:rPr>
          <w:rFonts w:ascii="Book Antiqua" w:hAnsi="Book Antiqua"/>
          <w:snapToGrid w:val="0"/>
          <w:color w:val="222222"/>
          <w:shd w:val="clear" w:color="auto" w:fill="FFFFFF"/>
          <w:lang w:eastAsia="zh-CN"/>
        </w:rPr>
        <w:t>.</w:t>
      </w:r>
    </w:p>
    <w:p w:rsidR="000B3CB0" w:rsidRPr="000D25FB" w:rsidRDefault="000B3CB0">
      <w:pPr>
        <w:widowControl w:val="0"/>
        <w:snapToGrid w:val="0"/>
        <w:spacing w:line="360" w:lineRule="auto"/>
        <w:jc w:val="both"/>
        <w:rPr>
          <w:rFonts w:ascii="Book Antiqua" w:hAnsi="Book Antiqua"/>
          <w:snapToGrid w:val="0"/>
          <w:color w:val="222222"/>
          <w:lang w:eastAsia="zh-CN"/>
        </w:rPr>
      </w:pPr>
    </w:p>
    <w:p w:rsidR="000B3CB0" w:rsidRPr="000D25FB" w:rsidRDefault="002E3900" w:rsidP="0059634C">
      <w:pPr>
        <w:widowControl w:val="0"/>
        <w:snapToGrid w:val="0"/>
        <w:spacing w:line="360" w:lineRule="auto"/>
        <w:jc w:val="both"/>
        <w:rPr>
          <w:rFonts w:ascii="Book Antiqua" w:hAnsi="Book Antiqua" w:cs="Arial"/>
          <w:snapToGrid w:val="0"/>
          <w:lang w:eastAsia="zh-CN"/>
        </w:rPr>
        <w:sectPr w:rsidR="000B3CB0" w:rsidRPr="000D25FB">
          <w:pgSz w:w="11900" w:h="16840"/>
          <w:pgMar w:top="1440" w:right="1800" w:bottom="1440" w:left="1800" w:header="708" w:footer="708" w:gutter="0"/>
          <w:cols w:space="708"/>
        </w:sectPr>
      </w:pPr>
      <w:r w:rsidRPr="000D25FB">
        <w:rPr>
          <w:rFonts w:ascii="Book Antiqua" w:hAnsi="Book Antiqua" w:cs="Arial"/>
          <w:snapToGrid w:val="0"/>
          <w:lang w:eastAsia="zh-CN"/>
        </w:rPr>
        <w:t xml:space="preserve"> </w:t>
      </w:r>
    </w:p>
    <w:p w:rsidR="000B3CB0" w:rsidRPr="000D25FB" w:rsidRDefault="002E3900">
      <w:pPr>
        <w:widowControl w:val="0"/>
        <w:snapToGrid w:val="0"/>
        <w:spacing w:line="360" w:lineRule="auto"/>
        <w:jc w:val="both"/>
        <w:rPr>
          <w:rFonts w:ascii="Book Antiqua" w:hAnsi="Book Antiqua" w:cs="Arial"/>
          <w:b/>
          <w:snapToGrid w:val="0"/>
          <w:lang w:eastAsia="zh-CN"/>
        </w:rPr>
      </w:pPr>
      <w:r w:rsidRPr="000D25FB">
        <w:rPr>
          <w:rFonts w:ascii="Book Antiqua" w:hAnsi="Book Antiqua" w:cs="Arial"/>
          <w:b/>
          <w:snapToGrid w:val="0"/>
        </w:rPr>
        <w:lastRenderedPageBreak/>
        <w:t>Table 1 Summary of the reported patients with pancreatobiliary maljunction with double gallbladder and pancreas involvement</w:t>
      </w:r>
    </w:p>
    <w:tbl>
      <w:tblPr>
        <w:tblStyle w:val="a6"/>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559"/>
        <w:gridCol w:w="2268"/>
        <w:gridCol w:w="1701"/>
        <w:gridCol w:w="2977"/>
        <w:gridCol w:w="2126"/>
        <w:gridCol w:w="1452"/>
      </w:tblGrid>
      <w:tr w:rsidR="00530655" w:rsidRPr="000D25FB" w:rsidTr="00464ACE">
        <w:tc>
          <w:tcPr>
            <w:tcW w:w="2093" w:type="dxa"/>
            <w:tcBorders>
              <w:top w:val="single" w:sz="4" w:space="0" w:color="auto"/>
              <w:bottom w:val="single" w:sz="4" w:space="0" w:color="auto"/>
            </w:tcBorders>
          </w:tcPr>
          <w:p w:rsidR="000B3CB0" w:rsidRPr="000D25FB" w:rsidRDefault="002E3900">
            <w:pPr>
              <w:widowControl w:val="0"/>
              <w:snapToGrid w:val="0"/>
              <w:spacing w:line="360" w:lineRule="auto"/>
              <w:rPr>
                <w:rFonts w:ascii="Book Antiqua" w:hAnsi="Book Antiqua" w:cs="Arial"/>
                <w:b/>
                <w:bCs/>
                <w:snapToGrid w:val="0"/>
              </w:rPr>
            </w:pPr>
            <w:r w:rsidRPr="000D25FB">
              <w:rPr>
                <w:rFonts w:ascii="Book Antiqua" w:hAnsi="Book Antiqua" w:cs="Arial"/>
                <w:b/>
                <w:bCs/>
                <w:snapToGrid w:val="0"/>
              </w:rPr>
              <w:t>Author</w:t>
            </w:r>
          </w:p>
        </w:tc>
        <w:tc>
          <w:tcPr>
            <w:tcW w:w="1559" w:type="dxa"/>
            <w:tcBorders>
              <w:top w:val="single" w:sz="4" w:space="0" w:color="auto"/>
              <w:bottom w:val="single" w:sz="4" w:space="0" w:color="auto"/>
            </w:tcBorders>
          </w:tcPr>
          <w:p w:rsidR="000B3CB0" w:rsidRPr="000D25FB" w:rsidRDefault="002E3900">
            <w:pPr>
              <w:widowControl w:val="0"/>
              <w:snapToGrid w:val="0"/>
              <w:spacing w:line="360" w:lineRule="auto"/>
              <w:jc w:val="center"/>
              <w:rPr>
                <w:rFonts w:ascii="Book Antiqua" w:hAnsi="Book Antiqua" w:cs="Arial"/>
                <w:b/>
                <w:bCs/>
                <w:snapToGrid w:val="0"/>
              </w:rPr>
            </w:pPr>
            <w:r w:rsidRPr="000D25FB">
              <w:rPr>
                <w:rFonts w:ascii="Book Antiqua" w:hAnsi="Book Antiqua" w:cs="Arial"/>
                <w:b/>
                <w:bCs/>
                <w:snapToGrid w:val="0"/>
              </w:rPr>
              <w:t>Gender/age</w:t>
            </w:r>
          </w:p>
        </w:tc>
        <w:tc>
          <w:tcPr>
            <w:tcW w:w="2268" w:type="dxa"/>
            <w:tcBorders>
              <w:top w:val="single" w:sz="4" w:space="0" w:color="auto"/>
              <w:bottom w:val="single" w:sz="4" w:space="0" w:color="auto"/>
            </w:tcBorders>
          </w:tcPr>
          <w:p w:rsidR="000B3CB0" w:rsidRPr="000D25FB" w:rsidRDefault="002E3900">
            <w:pPr>
              <w:widowControl w:val="0"/>
              <w:snapToGrid w:val="0"/>
              <w:spacing w:line="360" w:lineRule="auto"/>
              <w:jc w:val="center"/>
              <w:rPr>
                <w:rFonts w:ascii="Book Antiqua" w:hAnsi="Book Antiqua" w:cs="Arial"/>
                <w:b/>
                <w:bCs/>
                <w:snapToGrid w:val="0"/>
              </w:rPr>
            </w:pPr>
            <w:r w:rsidRPr="000D25FB">
              <w:rPr>
                <w:rFonts w:ascii="Book Antiqua" w:hAnsi="Book Antiqua" w:cs="Arial"/>
                <w:b/>
                <w:bCs/>
                <w:snapToGrid w:val="0"/>
              </w:rPr>
              <w:t>Diagnosis</w:t>
            </w:r>
          </w:p>
        </w:tc>
        <w:tc>
          <w:tcPr>
            <w:tcW w:w="1701" w:type="dxa"/>
            <w:tcBorders>
              <w:top w:val="single" w:sz="4" w:space="0" w:color="auto"/>
              <w:bottom w:val="single" w:sz="4" w:space="0" w:color="auto"/>
            </w:tcBorders>
          </w:tcPr>
          <w:p w:rsidR="000B3CB0" w:rsidRPr="000D25FB" w:rsidRDefault="002E3900">
            <w:pPr>
              <w:widowControl w:val="0"/>
              <w:snapToGrid w:val="0"/>
              <w:spacing w:line="360" w:lineRule="auto"/>
              <w:jc w:val="center"/>
              <w:rPr>
                <w:rFonts w:ascii="Book Antiqua" w:hAnsi="Book Antiqua" w:cs="Arial"/>
                <w:b/>
                <w:bCs/>
                <w:snapToGrid w:val="0"/>
              </w:rPr>
            </w:pPr>
            <w:r w:rsidRPr="000D25FB">
              <w:rPr>
                <w:rFonts w:ascii="Book Antiqua" w:hAnsi="Book Antiqua" w:cs="Arial"/>
                <w:b/>
                <w:bCs/>
                <w:snapToGrid w:val="0"/>
              </w:rPr>
              <w:t>Location</w:t>
            </w:r>
          </w:p>
          <w:p w:rsidR="000B3CB0" w:rsidRPr="000D25FB" w:rsidRDefault="002E3900">
            <w:pPr>
              <w:widowControl w:val="0"/>
              <w:snapToGrid w:val="0"/>
              <w:spacing w:line="360" w:lineRule="auto"/>
              <w:jc w:val="center"/>
              <w:rPr>
                <w:rFonts w:ascii="Book Antiqua" w:hAnsi="Book Antiqua" w:cs="Arial"/>
                <w:b/>
                <w:bCs/>
                <w:snapToGrid w:val="0"/>
              </w:rPr>
            </w:pPr>
            <w:r w:rsidRPr="000D25FB">
              <w:rPr>
                <w:rFonts w:ascii="Book Antiqua" w:hAnsi="Book Antiqua" w:cs="Arial"/>
                <w:b/>
                <w:bCs/>
                <w:snapToGrid w:val="0"/>
              </w:rPr>
              <w:t>(pancreas)</w:t>
            </w:r>
          </w:p>
        </w:tc>
        <w:tc>
          <w:tcPr>
            <w:tcW w:w="2977" w:type="dxa"/>
            <w:tcBorders>
              <w:top w:val="single" w:sz="4" w:space="0" w:color="auto"/>
              <w:bottom w:val="single" w:sz="4" w:space="0" w:color="auto"/>
            </w:tcBorders>
          </w:tcPr>
          <w:p w:rsidR="000B3CB0" w:rsidRPr="000D25FB" w:rsidRDefault="002E3900">
            <w:pPr>
              <w:widowControl w:val="0"/>
              <w:snapToGrid w:val="0"/>
              <w:spacing w:line="360" w:lineRule="auto"/>
              <w:jc w:val="center"/>
              <w:rPr>
                <w:rFonts w:ascii="Book Antiqua" w:hAnsi="Book Antiqua" w:cs="Arial"/>
                <w:b/>
                <w:bCs/>
                <w:snapToGrid w:val="0"/>
              </w:rPr>
            </w:pPr>
            <w:r w:rsidRPr="000D25FB">
              <w:rPr>
                <w:rFonts w:ascii="Book Antiqua" w:hAnsi="Book Antiqua" w:cs="Arial"/>
                <w:b/>
                <w:bCs/>
                <w:snapToGrid w:val="0"/>
              </w:rPr>
              <w:t>Operation</w:t>
            </w:r>
          </w:p>
        </w:tc>
        <w:tc>
          <w:tcPr>
            <w:tcW w:w="2126" w:type="dxa"/>
            <w:tcBorders>
              <w:top w:val="single" w:sz="4" w:space="0" w:color="auto"/>
              <w:bottom w:val="single" w:sz="4" w:space="0" w:color="auto"/>
            </w:tcBorders>
          </w:tcPr>
          <w:p w:rsidR="000B3CB0" w:rsidRPr="000D25FB" w:rsidRDefault="002E3900">
            <w:pPr>
              <w:widowControl w:val="0"/>
              <w:snapToGrid w:val="0"/>
              <w:spacing w:line="360" w:lineRule="auto"/>
              <w:jc w:val="center"/>
              <w:rPr>
                <w:rFonts w:ascii="Book Antiqua" w:hAnsi="Book Antiqua" w:cs="Arial"/>
                <w:b/>
                <w:bCs/>
                <w:snapToGrid w:val="0"/>
                <w:lang w:eastAsia="zh-CN"/>
              </w:rPr>
            </w:pPr>
            <w:r w:rsidRPr="000D25FB">
              <w:rPr>
                <w:rFonts w:ascii="Book Antiqua" w:hAnsi="Book Antiqua" w:cs="Arial"/>
                <w:b/>
                <w:bCs/>
                <w:snapToGrid w:val="0"/>
              </w:rPr>
              <w:t>Survival</w:t>
            </w:r>
            <w:r w:rsidRPr="000D25FB">
              <w:rPr>
                <w:rFonts w:ascii="Book Antiqua" w:hAnsi="Book Antiqua" w:cs="Arial"/>
                <w:b/>
                <w:bCs/>
                <w:snapToGrid w:val="0"/>
                <w:lang w:eastAsia="zh-CN"/>
              </w:rPr>
              <w:t xml:space="preserve"> (</w:t>
            </w:r>
            <w:r w:rsidRPr="000D25FB">
              <w:rPr>
                <w:rFonts w:ascii="Book Antiqua" w:hAnsi="Book Antiqua" w:cs="Arial"/>
                <w:b/>
                <w:snapToGrid w:val="0"/>
              </w:rPr>
              <w:t>mo</w:t>
            </w:r>
            <w:r w:rsidRPr="000D25FB">
              <w:rPr>
                <w:rFonts w:ascii="Book Antiqua" w:hAnsi="Book Antiqua" w:cs="Arial"/>
                <w:b/>
                <w:bCs/>
                <w:snapToGrid w:val="0"/>
                <w:lang w:eastAsia="zh-CN"/>
              </w:rPr>
              <w:t>)</w:t>
            </w:r>
          </w:p>
        </w:tc>
        <w:tc>
          <w:tcPr>
            <w:tcW w:w="1452" w:type="dxa"/>
            <w:tcBorders>
              <w:top w:val="single" w:sz="4" w:space="0" w:color="auto"/>
              <w:bottom w:val="single" w:sz="4" w:space="0" w:color="auto"/>
            </w:tcBorders>
          </w:tcPr>
          <w:p w:rsidR="000B3CB0" w:rsidRPr="000D25FB" w:rsidRDefault="002E3900">
            <w:pPr>
              <w:widowControl w:val="0"/>
              <w:snapToGrid w:val="0"/>
              <w:spacing w:line="360" w:lineRule="auto"/>
              <w:jc w:val="center"/>
              <w:rPr>
                <w:rFonts w:ascii="Book Antiqua" w:hAnsi="Book Antiqua" w:cs="Arial"/>
                <w:b/>
                <w:bCs/>
                <w:snapToGrid w:val="0"/>
              </w:rPr>
            </w:pPr>
            <w:r w:rsidRPr="000D25FB">
              <w:rPr>
                <w:rFonts w:ascii="Book Antiqua" w:hAnsi="Book Antiqua" w:cs="Arial"/>
                <w:b/>
                <w:bCs/>
                <w:snapToGrid w:val="0"/>
              </w:rPr>
              <w:t>Bile duct dilation</w:t>
            </w:r>
          </w:p>
        </w:tc>
      </w:tr>
      <w:tr w:rsidR="00530655" w:rsidRPr="000D25FB" w:rsidTr="00464ACE">
        <w:tc>
          <w:tcPr>
            <w:tcW w:w="2093" w:type="dxa"/>
            <w:tcBorders>
              <w:top w:val="single" w:sz="4" w:space="0" w:color="auto"/>
            </w:tcBorders>
          </w:tcPr>
          <w:p w:rsidR="000B3CB0" w:rsidRPr="000D25FB" w:rsidRDefault="002E3900">
            <w:pPr>
              <w:widowControl w:val="0"/>
              <w:snapToGrid w:val="0"/>
              <w:spacing w:line="360" w:lineRule="auto"/>
              <w:rPr>
                <w:rFonts w:ascii="Book Antiqua" w:hAnsi="Book Antiqua" w:cs="Arial"/>
                <w:snapToGrid w:val="0"/>
              </w:rPr>
            </w:pPr>
            <w:r w:rsidRPr="000D25FB">
              <w:rPr>
                <w:rFonts w:ascii="Book Antiqua" w:hAnsi="Book Antiqua" w:cs="Arial"/>
                <w:snapToGrid w:val="0"/>
              </w:rPr>
              <w:t>Ueda</w:t>
            </w:r>
            <w:r w:rsidRPr="000D25FB">
              <w:rPr>
                <w:rFonts w:ascii="Book Antiqua" w:hAnsi="Book Antiqua" w:cs="Arial"/>
                <w:snapToGrid w:val="0"/>
                <w:lang w:eastAsia="zh-CN"/>
              </w:rPr>
              <w:t xml:space="preserve"> </w:t>
            </w:r>
            <w:r w:rsidRPr="000D25FB">
              <w:rPr>
                <w:rFonts w:ascii="Book Antiqua" w:hAnsi="Book Antiqua" w:cs="Arial"/>
                <w:i/>
                <w:snapToGrid w:val="0"/>
                <w:lang w:eastAsia="zh-CN"/>
              </w:rPr>
              <w:t>et al</w:t>
            </w:r>
            <w:r w:rsidRPr="000D25FB">
              <w:rPr>
                <w:rFonts w:ascii="Book Antiqua" w:hAnsi="Book Antiqua" w:cs="Arial"/>
                <w:snapToGrid w:val="0"/>
                <w:vertAlign w:val="superscript"/>
              </w:rPr>
              <w:t>[12]</w:t>
            </w:r>
            <w:r w:rsidRPr="000D25FB">
              <w:rPr>
                <w:rFonts w:ascii="Book Antiqua" w:hAnsi="Book Antiqua" w:cs="Arial"/>
                <w:snapToGrid w:val="0"/>
              </w:rPr>
              <w:t>, 1992</w:t>
            </w:r>
          </w:p>
        </w:tc>
        <w:tc>
          <w:tcPr>
            <w:tcW w:w="1559" w:type="dxa"/>
            <w:tcBorders>
              <w:top w:val="single" w:sz="4" w:space="0" w:color="auto"/>
            </w:tcBorders>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Male/58</w:t>
            </w:r>
          </w:p>
        </w:tc>
        <w:tc>
          <w:tcPr>
            <w:tcW w:w="2268" w:type="dxa"/>
            <w:tcBorders>
              <w:top w:val="single" w:sz="4" w:space="0" w:color="auto"/>
            </w:tcBorders>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Synchronous</w:t>
            </w:r>
          </w:p>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(CBC,</w:t>
            </w:r>
            <w:r w:rsidRPr="000D25FB">
              <w:rPr>
                <w:rFonts w:ascii="Book Antiqua" w:hAnsi="Book Antiqua" w:cs="Arial"/>
                <w:snapToGrid w:val="0"/>
                <w:lang w:eastAsia="zh-CN"/>
              </w:rPr>
              <w:t xml:space="preserve"> </w:t>
            </w:r>
            <w:r w:rsidRPr="000D25FB">
              <w:rPr>
                <w:rFonts w:ascii="Book Antiqua" w:hAnsi="Book Antiqua" w:cs="Arial"/>
                <w:snapToGrid w:val="0"/>
              </w:rPr>
              <w:t>PC,</w:t>
            </w:r>
            <w:r w:rsidRPr="000D25FB">
              <w:rPr>
                <w:rFonts w:ascii="Book Antiqua" w:hAnsi="Book Antiqua" w:cs="Arial"/>
                <w:snapToGrid w:val="0"/>
                <w:lang w:eastAsia="zh-CN"/>
              </w:rPr>
              <w:t xml:space="preserve"> </w:t>
            </w:r>
            <w:r w:rsidRPr="000D25FB">
              <w:rPr>
                <w:rFonts w:ascii="Book Antiqua" w:hAnsi="Book Antiqua" w:cs="Arial"/>
                <w:snapToGrid w:val="0"/>
              </w:rPr>
              <w:t>BDC)</w:t>
            </w:r>
          </w:p>
        </w:tc>
        <w:tc>
          <w:tcPr>
            <w:tcW w:w="1701" w:type="dxa"/>
            <w:tcBorders>
              <w:top w:val="single" w:sz="4" w:space="0" w:color="auto"/>
            </w:tcBorders>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Diffuse</w:t>
            </w:r>
          </w:p>
        </w:tc>
        <w:tc>
          <w:tcPr>
            <w:tcW w:w="2977" w:type="dxa"/>
            <w:tcBorders>
              <w:top w:val="single" w:sz="4" w:space="0" w:color="auto"/>
            </w:tcBorders>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Total pancreatectomy and extended cholecystectomy</w:t>
            </w:r>
          </w:p>
        </w:tc>
        <w:tc>
          <w:tcPr>
            <w:tcW w:w="2126" w:type="dxa"/>
            <w:tcBorders>
              <w:top w:val="single" w:sz="4" w:space="0" w:color="auto"/>
            </w:tcBorders>
          </w:tcPr>
          <w:p w:rsidR="000B3CB0" w:rsidRPr="000D25FB" w:rsidRDefault="002E3900">
            <w:pPr>
              <w:widowControl w:val="0"/>
              <w:snapToGrid w:val="0"/>
              <w:spacing w:line="360" w:lineRule="auto"/>
              <w:jc w:val="center"/>
              <w:rPr>
                <w:rFonts w:ascii="Book Antiqua" w:hAnsi="Book Antiqua" w:cs="Arial"/>
                <w:snapToGrid w:val="0"/>
                <w:lang w:eastAsia="zh-CN"/>
              </w:rPr>
            </w:pPr>
            <w:r w:rsidRPr="000D25FB">
              <w:rPr>
                <w:rFonts w:ascii="Book Antiqua" w:hAnsi="Book Antiqua" w:cs="Arial"/>
                <w:snapToGrid w:val="0"/>
              </w:rPr>
              <w:t xml:space="preserve">Alive 30 </w:t>
            </w:r>
          </w:p>
        </w:tc>
        <w:tc>
          <w:tcPr>
            <w:tcW w:w="1452" w:type="dxa"/>
            <w:tcBorders>
              <w:top w:val="single" w:sz="4" w:space="0" w:color="auto"/>
            </w:tcBorders>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w:t>
            </w:r>
          </w:p>
        </w:tc>
      </w:tr>
      <w:tr w:rsidR="00530655" w:rsidRPr="000D25FB" w:rsidTr="00464ACE">
        <w:tc>
          <w:tcPr>
            <w:tcW w:w="2093" w:type="dxa"/>
          </w:tcPr>
          <w:p w:rsidR="000B3CB0" w:rsidRPr="000D25FB" w:rsidRDefault="002E3900">
            <w:pPr>
              <w:widowControl w:val="0"/>
              <w:snapToGrid w:val="0"/>
              <w:spacing w:line="360" w:lineRule="auto"/>
              <w:rPr>
                <w:rFonts w:ascii="Book Antiqua" w:hAnsi="Book Antiqua" w:cs="Arial"/>
                <w:snapToGrid w:val="0"/>
              </w:rPr>
            </w:pPr>
            <w:r w:rsidRPr="000D25FB">
              <w:rPr>
                <w:rFonts w:ascii="Book Antiqua" w:hAnsi="Book Antiqua" w:cs="Arial"/>
                <w:snapToGrid w:val="0"/>
              </w:rPr>
              <w:t>Minami</w:t>
            </w:r>
            <w:r w:rsidRPr="000D25FB">
              <w:rPr>
                <w:rFonts w:ascii="Book Antiqua" w:hAnsi="Book Antiqua" w:cs="Arial"/>
                <w:i/>
                <w:snapToGrid w:val="0"/>
                <w:lang w:eastAsia="zh-CN"/>
              </w:rPr>
              <w:t xml:space="preserve"> et al</w:t>
            </w:r>
            <w:r w:rsidRPr="000D25FB">
              <w:rPr>
                <w:rFonts w:ascii="Book Antiqua" w:hAnsi="Book Antiqua" w:cs="Arial"/>
                <w:snapToGrid w:val="0"/>
                <w:vertAlign w:val="superscript"/>
              </w:rPr>
              <w:t>[8]</w:t>
            </w:r>
            <w:r w:rsidRPr="000D25FB">
              <w:rPr>
                <w:rFonts w:ascii="Book Antiqua" w:hAnsi="Book Antiqua" w:cs="Arial"/>
                <w:snapToGrid w:val="0"/>
              </w:rPr>
              <w:t>, 2008</w:t>
            </w:r>
          </w:p>
        </w:tc>
        <w:tc>
          <w:tcPr>
            <w:tcW w:w="1559" w:type="dxa"/>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Female/50</w:t>
            </w:r>
          </w:p>
        </w:tc>
        <w:tc>
          <w:tcPr>
            <w:tcW w:w="2268" w:type="dxa"/>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Metachronous</w:t>
            </w:r>
          </w:p>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(GBC then PC)</w:t>
            </w:r>
          </w:p>
        </w:tc>
        <w:tc>
          <w:tcPr>
            <w:tcW w:w="1701" w:type="dxa"/>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Tail</w:t>
            </w:r>
          </w:p>
        </w:tc>
        <w:tc>
          <w:tcPr>
            <w:tcW w:w="2977" w:type="dxa"/>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Distal pancreatectomy</w:t>
            </w:r>
          </w:p>
        </w:tc>
        <w:tc>
          <w:tcPr>
            <w:tcW w:w="2126" w:type="dxa"/>
          </w:tcPr>
          <w:p w:rsidR="000B3CB0" w:rsidRPr="000D25FB" w:rsidRDefault="002E3900">
            <w:pPr>
              <w:widowControl w:val="0"/>
              <w:snapToGrid w:val="0"/>
              <w:spacing w:line="360" w:lineRule="auto"/>
              <w:jc w:val="center"/>
              <w:rPr>
                <w:rFonts w:ascii="Book Antiqua" w:hAnsi="Book Antiqua" w:cs="Arial"/>
                <w:snapToGrid w:val="0"/>
                <w:lang w:eastAsia="zh-CN"/>
              </w:rPr>
            </w:pPr>
            <w:r w:rsidRPr="000D25FB">
              <w:rPr>
                <w:rFonts w:ascii="Book Antiqua" w:hAnsi="Book Antiqua" w:cs="Arial"/>
                <w:snapToGrid w:val="0"/>
              </w:rPr>
              <w:t xml:space="preserve">Alive 78 </w:t>
            </w:r>
          </w:p>
        </w:tc>
        <w:tc>
          <w:tcPr>
            <w:tcW w:w="1452" w:type="dxa"/>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w:t>
            </w:r>
          </w:p>
        </w:tc>
      </w:tr>
      <w:tr w:rsidR="00530655" w:rsidRPr="000D25FB" w:rsidTr="00464ACE">
        <w:tc>
          <w:tcPr>
            <w:tcW w:w="2093" w:type="dxa"/>
          </w:tcPr>
          <w:p w:rsidR="000B3CB0" w:rsidRPr="000D25FB" w:rsidRDefault="002E3900">
            <w:pPr>
              <w:widowControl w:val="0"/>
              <w:snapToGrid w:val="0"/>
              <w:spacing w:line="360" w:lineRule="auto"/>
              <w:rPr>
                <w:rFonts w:ascii="Book Antiqua" w:hAnsi="Book Antiqua" w:cs="Arial"/>
                <w:snapToGrid w:val="0"/>
              </w:rPr>
            </w:pPr>
            <w:r w:rsidRPr="000D25FB">
              <w:rPr>
                <w:rFonts w:ascii="Book Antiqua" w:hAnsi="Book Antiqua" w:cs="Arial"/>
                <w:snapToGrid w:val="0"/>
              </w:rPr>
              <w:t>Lahmar</w:t>
            </w:r>
            <w:r w:rsidRPr="000D25FB">
              <w:rPr>
                <w:rFonts w:ascii="Book Antiqua" w:hAnsi="Book Antiqua" w:cs="Arial"/>
                <w:i/>
                <w:snapToGrid w:val="0"/>
                <w:lang w:eastAsia="zh-CN"/>
              </w:rPr>
              <w:t xml:space="preserve"> et al</w:t>
            </w:r>
            <w:r w:rsidRPr="000D25FB">
              <w:rPr>
                <w:rFonts w:ascii="Book Antiqua" w:hAnsi="Book Antiqua" w:cs="Arial"/>
                <w:snapToGrid w:val="0"/>
                <w:vertAlign w:val="superscript"/>
              </w:rPr>
              <w:t>[7]</w:t>
            </w:r>
            <w:r w:rsidRPr="000D25FB">
              <w:rPr>
                <w:rFonts w:ascii="Book Antiqua" w:hAnsi="Book Antiqua" w:cs="Arial"/>
                <w:snapToGrid w:val="0"/>
              </w:rPr>
              <w:t>,</w:t>
            </w:r>
            <w:r w:rsidRPr="000D25FB">
              <w:rPr>
                <w:rFonts w:ascii="Book Antiqua" w:hAnsi="Book Antiqua" w:cs="Arial"/>
                <w:snapToGrid w:val="0"/>
                <w:lang w:eastAsia="zh-CN"/>
              </w:rPr>
              <w:t xml:space="preserve"> </w:t>
            </w:r>
            <w:r w:rsidRPr="000D25FB">
              <w:rPr>
                <w:rFonts w:ascii="Book Antiqua" w:hAnsi="Book Antiqua" w:cs="Arial"/>
                <w:snapToGrid w:val="0"/>
              </w:rPr>
              <w:t>2010</w:t>
            </w:r>
          </w:p>
        </w:tc>
        <w:tc>
          <w:tcPr>
            <w:tcW w:w="1559" w:type="dxa"/>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Female/68</w:t>
            </w:r>
          </w:p>
        </w:tc>
        <w:tc>
          <w:tcPr>
            <w:tcW w:w="2268" w:type="dxa"/>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Metachronous</w:t>
            </w:r>
          </w:p>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(GBC then PC)</w:t>
            </w:r>
          </w:p>
        </w:tc>
        <w:tc>
          <w:tcPr>
            <w:tcW w:w="1701" w:type="dxa"/>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Head</w:t>
            </w:r>
          </w:p>
        </w:tc>
        <w:tc>
          <w:tcPr>
            <w:tcW w:w="2977" w:type="dxa"/>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Pancreatoduodenectomy</w:t>
            </w:r>
          </w:p>
        </w:tc>
        <w:tc>
          <w:tcPr>
            <w:tcW w:w="2126" w:type="dxa"/>
          </w:tcPr>
          <w:p w:rsidR="000B3CB0" w:rsidRPr="000D25FB" w:rsidRDefault="002E3900">
            <w:pPr>
              <w:widowControl w:val="0"/>
              <w:snapToGrid w:val="0"/>
              <w:spacing w:line="360" w:lineRule="auto"/>
              <w:jc w:val="center"/>
              <w:rPr>
                <w:rFonts w:ascii="Book Antiqua" w:hAnsi="Book Antiqua" w:cs="Arial"/>
                <w:snapToGrid w:val="0"/>
                <w:lang w:eastAsia="zh-CN"/>
              </w:rPr>
            </w:pPr>
            <w:r w:rsidRPr="000D25FB">
              <w:rPr>
                <w:rFonts w:ascii="Book Antiqua" w:hAnsi="Book Antiqua" w:cs="Arial"/>
                <w:snapToGrid w:val="0"/>
              </w:rPr>
              <w:t xml:space="preserve">Alive &gt; 12 </w:t>
            </w:r>
          </w:p>
        </w:tc>
        <w:tc>
          <w:tcPr>
            <w:tcW w:w="1452" w:type="dxa"/>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w:t>
            </w:r>
          </w:p>
        </w:tc>
      </w:tr>
      <w:tr w:rsidR="00530655" w:rsidRPr="000D25FB" w:rsidTr="00464ACE">
        <w:tc>
          <w:tcPr>
            <w:tcW w:w="2093" w:type="dxa"/>
          </w:tcPr>
          <w:p w:rsidR="000B3CB0" w:rsidRPr="000D25FB" w:rsidRDefault="002E3900">
            <w:pPr>
              <w:widowControl w:val="0"/>
              <w:snapToGrid w:val="0"/>
              <w:spacing w:line="360" w:lineRule="auto"/>
              <w:rPr>
                <w:rFonts w:ascii="Book Antiqua" w:hAnsi="Book Antiqua" w:cs="Arial"/>
                <w:snapToGrid w:val="0"/>
              </w:rPr>
            </w:pPr>
            <w:r w:rsidRPr="000D25FB">
              <w:rPr>
                <w:rFonts w:ascii="Book Antiqua" w:hAnsi="Book Antiqua" w:cs="Arial"/>
                <w:snapToGrid w:val="0"/>
              </w:rPr>
              <w:t>Our patient, 2013</w:t>
            </w:r>
          </w:p>
        </w:tc>
        <w:tc>
          <w:tcPr>
            <w:tcW w:w="1559" w:type="dxa"/>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Female/46</w:t>
            </w:r>
          </w:p>
        </w:tc>
        <w:tc>
          <w:tcPr>
            <w:tcW w:w="2268" w:type="dxa"/>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Synchronous</w:t>
            </w:r>
          </w:p>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(GBC,</w:t>
            </w:r>
            <w:r w:rsidRPr="000D25FB">
              <w:rPr>
                <w:rFonts w:ascii="Book Antiqua" w:hAnsi="Book Antiqua" w:cs="Arial"/>
                <w:snapToGrid w:val="0"/>
                <w:lang w:eastAsia="zh-CN"/>
              </w:rPr>
              <w:t xml:space="preserve"> </w:t>
            </w:r>
            <w:r w:rsidRPr="000D25FB">
              <w:rPr>
                <w:rFonts w:ascii="Book Antiqua" w:hAnsi="Book Antiqua" w:cs="Arial"/>
                <w:snapToGrid w:val="0"/>
              </w:rPr>
              <w:t>PC)</w:t>
            </w:r>
          </w:p>
        </w:tc>
        <w:tc>
          <w:tcPr>
            <w:tcW w:w="1701" w:type="dxa"/>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Head</w:t>
            </w:r>
          </w:p>
        </w:tc>
        <w:tc>
          <w:tcPr>
            <w:tcW w:w="2977" w:type="dxa"/>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Pancreatoduodenectomy</w:t>
            </w:r>
          </w:p>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and extended cholecystectomy</w:t>
            </w:r>
          </w:p>
        </w:tc>
        <w:tc>
          <w:tcPr>
            <w:tcW w:w="2126" w:type="dxa"/>
          </w:tcPr>
          <w:p w:rsidR="000B3CB0" w:rsidRPr="000D25FB" w:rsidRDefault="002E3900">
            <w:pPr>
              <w:widowControl w:val="0"/>
              <w:snapToGrid w:val="0"/>
              <w:spacing w:line="360" w:lineRule="auto"/>
              <w:jc w:val="center"/>
              <w:rPr>
                <w:rFonts w:ascii="Book Antiqua" w:hAnsi="Book Antiqua" w:cs="Arial"/>
                <w:snapToGrid w:val="0"/>
                <w:lang w:eastAsia="zh-CN"/>
              </w:rPr>
            </w:pPr>
            <w:r w:rsidRPr="000D25FB">
              <w:rPr>
                <w:rFonts w:ascii="Book Antiqua" w:hAnsi="Book Antiqua" w:cs="Arial"/>
                <w:snapToGrid w:val="0"/>
              </w:rPr>
              <w:t xml:space="preserve">Alive &gt; 12 </w:t>
            </w:r>
          </w:p>
        </w:tc>
        <w:tc>
          <w:tcPr>
            <w:tcW w:w="1452" w:type="dxa"/>
          </w:tcPr>
          <w:p w:rsidR="000B3CB0" w:rsidRPr="000D25FB" w:rsidRDefault="002E3900">
            <w:pPr>
              <w:widowControl w:val="0"/>
              <w:snapToGrid w:val="0"/>
              <w:spacing w:line="360" w:lineRule="auto"/>
              <w:jc w:val="center"/>
              <w:rPr>
                <w:rFonts w:ascii="Book Antiqua" w:hAnsi="Book Antiqua" w:cs="Arial"/>
                <w:snapToGrid w:val="0"/>
              </w:rPr>
            </w:pPr>
            <w:r w:rsidRPr="000D25FB">
              <w:rPr>
                <w:rFonts w:ascii="Book Antiqua" w:hAnsi="Book Antiqua" w:cs="Arial"/>
                <w:snapToGrid w:val="0"/>
              </w:rPr>
              <w:t>+</w:t>
            </w:r>
          </w:p>
        </w:tc>
      </w:tr>
    </w:tbl>
    <w:p w:rsidR="000B3CB0" w:rsidRPr="000D25FB" w:rsidRDefault="002E3900">
      <w:pPr>
        <w:widowControl w:val="0"/>
        <w:snapToGrid w:val="0"/>
        <w:spacing w:line="360" w:lineRule="auto"/>
        <w:jc w:val="both"/>
        <w:rPr>
          <w:rFonts w:ascii="Book Antiqua" w:hAnsi="Book Antiqua" w:cs="Arial"/>
          <w:snapToGrid w:val="0"/>
          <w:lang w:eastAsia="zh-CN"/>
        </w:rPr>
      </w:pPr>
      <w:r w:rsidRPr="000D25FB">
        <w:rPr>
          <w:rFonts w:ascii="Book Antiqua" w:hAnsi="Book Antiqua" w:cs="Arial"/>
          <w:snapToGrid w:val="0"/>
        </w:rPr>
        <w:t>GBC: Gallbladder cancer</w:t>
      </w:r>
      <w:r w:rsidRPr="000D25FB">
        <w:rPr>
          <w:rFonts w:ascii="Book Antiqua" w:hAnsi="Book Antiqua" w:cs="Arial"/>
          <w:snapToGrid w:val="0"/>
          <w:lang w:eastAsia="zh-CN"/>
        </w:rPr>
        <w:t>;</w:t>
      </w:r>
      <w:r w:rsidRPr="000D25FB">
        <w:rPr>
          <w:rFonts w:ascii="Book Antiqua" w:hAnsi="Book Antiqua" w:cs="Arial"/>
          <w:snapToGrid w:val="0"/>
        </w:rPr>
        <w:t xml:space="preserve"> PC: Pancreatic cancer</w:t>
      </w:r>
      <w:r w:rsidRPr="000D25FB">
        <w:rPr>
          <w:rFonts w:ascii="Book Antiqua" w:hAnsi="Book Antiqua" w:cs="Arial"/>
          <w:snapToGrid w:val="0"/>
          <w:lang w:eastAsia="zh-CN"/>
        </w:rPr>
        <w:t>;</w:t>
      </w:r>
      <w:r w:rsidRPr="000D25FB">
        <w:rPr>
          <w:rFonts w:ascii="Book Antiqua" w:hAnsi="Book Antiqua" w:cs="Arial"/>
          <w:snapToGrid w:val="0"/>
        </w:rPr>
        <w:t xml:space="preserve"> BDC: Bile duct cancer</w:t>
      </w:r>
      <w:r w:rsidRPr="000D25FB">
        <w:rPr>
          <w:rFonts w:ascii="Book Antiqua" w:hAnsi="Book Antiqua" w:cs="Arial"/>
          <w:snapToGrid w:val="0"/>
          <w:lang w:eastAsia="zh-CN"/>
        </w:rPr>
        <w:t>.</w:t>
      </w:r>
    </w:p>
    <w:p w:rsidR="000B3CB0" w:rsidRPr="000D25FB" w:rsidRDefault="000B3CB0" w:rsidP="00216338">
      <w:pPr>
        <w:widowControl w:val="0"/>
        <w:snapToGrid w:val="0"/>
        <w:spacing w:line="360" w:lineRule="auto"/>
        <w:jc w:val="both"/>
        <w:rPr>
          <w:rFonts w:ascii="Book Antiqua" w:hAnsi="Book Antiqua" w:cs="Arial"/>
          <w:snapToGrid w:val="0"/>
          <w:lang w:eastAsia="zh-CN"/>
        </w:rPr>
        <w:sectPr w:rsidR="000B3CB0" w:rsidRPr="000D25FB">
          <w:pgSz w:w="16840" w:h="11900" w:orient="landscape"/>
          <w:pgMar w:top="1797" w:right="1440" w:bottom="1797" w:left="1440" w:header="709" w:footer="709" w:gutter="0"/>
          <w:cols w:space="708"/>
        </w:sectPr>
      </w:pPr>
    </w:p>
    <w:p w:rsidR="000B3CB0" w:rsidRPr="004C21C1" w:rsidRDefault="002E3900">
      <w:pPr>
        <w:widowControl w:val="0"/>
        <w:snapToGrid w:val="0"/>
        <w:spacing w:line="360" w:lineRule="auto"/>
        <w:jc w:val="both"/>
        <w:rPr>
          <w:rFonts w:ascii="Book Antiqua" w:hAnsi="Book Antiqua" w:cs="Arial"/>
          <w:b/>
          <w:snapToGrid w:val="0"/>
        </w:rPr>
      </w:pPr>
      <w:r w:rsidRPr="000D25FB">
        <w:rPr>
          <w:rFonts w:ascii="Book Antiqua" w:hAnsi="Book Antiqua" w:cs="Arial"/>
          <w:b/>
          <w:bCs/>
          <w:snapToGrid w:val="0"/>
        </w:rPr>
        <w:lastRenderedPageBreak/>
        <w:br w:type="page"/>
      </w:r>
    </w:p>
    <w:p w:rsidR="000B3CB0" w:rsidRPr="000D25FB" w:rsidRDefault="000B3CB0">
      <w:pPr>
        <w:widowControl w:val="0"/>
        <w:snapToGrid w:val="0"/>
        <w:spacing w:line="360" w:lineRule="auto"/>
        <w:jc w:val="both"/>
        <w:rPr>
          <w:rFonts w:ascii="Book Antiqua" w:hAnsi="Book Antiqua" w:cs="Arial"/>
          <w:snapToGrid w:val="0"/>
        </w:rPr>
      </w:pPr>
    </w:p>
    <w:p w:rsidR="0029417E" w:rsidRPr="000D25FB" w:rsidRDefault="0029417E">
      <w:pPr>
        <w:widowControl w:val="0"/>
        <w:snapToGrid w:val="0"/>
        <w:spacing w:line="360" w:lineRule="auto"/>
        <w:jc w:val="both"/>
        <w:rPr>
          <w:rFonts w:ascii="Book Antiqua" w:hAnsi="Book Antiqua" w:cs="Arial"/>
          <w:snapToGrid w:val="0"/>
        </w:rPr>
      </w:pPr>
    </w:p>
    <w:sectPr w:rsidR="0029417E" w:rsidRPr="000D25FB" w:rsidSect="00AE2713">
      <w:pgSz w:w="11900" w:h="16840"/>
      <w:pgMar w:top="1440" w:right="1797" w:bottom="1440" w:left="1797"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054AC6" w15:done="0"/>
  <w15:commentEx w15:paraId="1C0A5DF5" w15:done="0"/>
  <w15:commentEx w15:paraId="7D8203D7" w15:done="0"/>
  <w15:commentEx w15:paraId="53A36452" w15:done="0"/>
  <w15:commentEx w15:paraId="61A75A7A" w15:done="0"/>
  <w15:commentEx w15:paraId="3A7FF529" w15:done="0"/>
  <w15:commentEx w15:paraId="1D7B875E" w15:done="0"/>
  <w15:commentEx w15:paraId="3E6BD2CE" w15:done="0"/>
  <w15:commentEx w15:paraId="4A1230CF" w15:done="0"/>
  <w15:commentEx w15:paraId="415D2C8A" w15:done="0"/>
  <w15:commentEx w15:paraId="37EDB5F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76B" w:rsidRDefault="004B276B" w:rsidP="00091D17">
      <w:r>
        <w:separator/>
      </w:r>
    </w:p>
  </w:endnote>
  <w:endnote w:type="continuationSeparator" w:id="0">
    <w:p w:rsidR="004B276B" w:rsidRDefault="004B276B" w:rsidP="00091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A numchoke laimuu">
    <w:altName w:val="Tahoma"/>
    <w:charset w:val="00"/>
    <w:family w:val="auto"/>
    <w:pitch w:val="variable"/>
    <w:sig w:usb0="8100002F" w:usb1="1000000A" w:usb2="00000000"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76B" w:rsidRDefault="004B276B" w:rsidP="00091D17">
      <w:r>
        <w:separator/>
      </w:r>
    </w:p>
  </w:footnote>
  <w:footnote w:type="continuationSeparator" w:id="0">
    <w:p w:rsidR="004B276B" w:rsidRDefault="004B276B" w:rsidP="00091D17">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aging Editor">
    <w15:presenceInfo w15:providerId="None" w15:userId="Managing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Br J Med Med Re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zfdsfdx3pfzt4evsd5psd2c5w9550t2rwzv&quot;&gt;My EndNote Library&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record-ids&gt;&lt;/item&gt;&lt;/Libraries&gt;"/>
  </w:docVars>
  <w:rsids>
    <w:rsidRoot w:val="00985560"/>
    <w:rsid w:val="00000EB7"/>
    <w:rsid w:val="00025966"/>
    <w:rsid w:val="00033AC3"/>
    <w:rsid w:val="00042A66"/>
    <w:rsid w:val="000454C6"/>
    <w:rsid w:val="0005099A"/>
    <w:rsid w:val="0005187B"/>
    <w:rsid w:val="000522A3"/>
    <w:rsid w:val="000552AC"/>
    <w:rsid w:val="00064838"/>
    <w:rsid w:val="00091D17"/>
    <w:rsid w:val="000966F0"/>
    <w:rsid w:val="000A6F2A"/>
    <w:rsid w:val="000B06E6"/>
    <w:rsid w:val="000B3CB0"/>
    <w:rsid w:val="000B78C7"/>
    <w:rsid w:val="000C5E9C"/>
    <w:rsid w:val="000D25FB"/>
    <w:rsid w:val="000E35CF"/>
    <w:rsid w:val="001054C9"/>
    <w:rsid w:val="00124466"/>
    <w:rsid w:val="00126FCC"/>
    <w:rsid w:val="001319D3"/>
    <w:rsid w:val="00144D1C"/>
    <w:rsid w:val="00145BDB"/>
    <w:rsid w:val="00163BBB"/>
    <w:rsid w:val="0016515A"/>
    <w:rsid w:val="0016683F"/>
    <w:rsid w:val="001744A7"/>
    <w:rsid w:val="00175F83"/>
    <w:rsid w:val="00176333"/>
    <w:rsid w:val="00184CB8"/>
    <w:rsid w:val="001F3AD4"/>
    <w:rsid w:val="001F5F31"/>
    <w:rsid w:val="0020261F"/>
    <w:rsid w:val="00203909"/>
    <w:rsid w:val="00204577"/>
    <w:rsid w:val="00215329"/>
    <w:rsid w:val="00216338"/>
    <w:rsid w:val="00232A43"/>
    <w:rsid w:val="00250484"/>
    <w:rsid w:val="00260CFB"/>
    <w:rsid w:val="00262EF4"/>
    <w:rsid w:val="00266FD5"/>
    <w:rsid w:val="0028518D"/>
    <w:rsid w:val="00290EEB"/>
    <w:rsid w:val="0029417E"/>
    <w:rsid w:val="0029443F"/>
    <w:rsid w:val="002E30F0"/>
    <w:rsid w:val="002E3900"/>
    <w:rsid w:val="002F47F3"/>
    <w:rsid w:val="00303F8E"/>
    <w:rsid w:val="00304DFB"/>
    <w:rsid w:val="00315CF0"/>
    <w:rsid w:val="00317130"/>
    <w:rsid w:val="00326731"/>
    <w:rsid w:val="00336E0E"/>
    <w:rsid w:val="003623E8"/>
    <w:rsid w:val="00363A12"/>
    <w:rsid w:val="00385B34"/>
    <w:rsid w:val="00393AF5"/>
    <w:rsid w:val="003C23B8"/>
    <w:rsid w:val="00411DCB"/>
    <w:rsid w:val="00435BFE"/>
    <w:rsid w:val="00443B5A"/>
    <w:rsid w:val="00464ACE"/>
    <w:rsid w:val="004652F2"/>
    <w:rsid w:val="0048233B"/>
    <w:rsid w:val="00487FB8"/>
    <w:rsid w:val="00492FC3"/>
    <w:rsid w:val="004A7159"/>
    <w:rsid w:val="004B276B"/>
    <w:rsid w:val="004B3AD4"/>
    <w:rsid w:val="004C1E86"/>
    <w:rsid w:val="004C21C1"/>
    <w:rsid w:val="004F71EC"/>
    <w:rsid w:val="0050254D"/>
    <w:rsid w:val="005264F6"/>
    <w:rsid w:val="00530655"/>
    <w:rsid w:val="00557F2B"/>
    <w:rsid w:val="005610C0"/>
    <w:rsid w:val="00570673"/>
    <w:rsid w:val="00581628"/>
    <w:rsid w:val="005957CC"/>
    <w:rsid w:val="0059634C"/>
    <w:rsid w:val="005A0A08"/>
    <w:rsid w:val="005A7D82"/>
    <w:rsid w:val="005B3AD4"/>
    <w:rsid w:val="005B4CBD"/>
    <w:rsid w:val="005B4D1D"/>
    <w:rsid w:val="005B65DC"/>
    <w:rsid w:val="005C1A74"/>
    <w:rsid w:val="005C1CB4"/>
    <w:rsid w:val="005C3986"/>
    <w:rsid w:val="005C6181"/>
    <w:rsid w:val="00604888"/>
    <w:rsid w:val="00612F95"/>
    <w:rsid w:val="006150D6"/>
    <w:rsid w:val="006204D8"/>
    <w:rsid w:val="00621C5D"/>
    <w:rsid w:val="006359F7"/>
    <w:rsid w:val="00636023"/>
    <w:rsid w:val="006629E2"/>
    <w:rsid w:val="006639A2"/>
    <w:rsid w:val="0067319A"/>
    <w:rsid w:val="00680B91"/>
    <w:rsid w:val="006836AA"/>
    <w:rsid w:val="00686D9D"/>
    <w:rsid w:val="006A04AC"/>
    <w:rsid w:val="006A7062"/>
    <w:rsid w:val="006B5B30"/>
    <w:rsid w:val="00700119"/>
    <w:rsid w:val="0070487C"/>
    <w:rsid w:val="00711A43"/>
    <w:rsid w:val="007149E3"/>
    <w:rsid w:val="007176F5"/>
    <w:rsid w:val="007375F7"/>
    <w:rsid w:val="007545AC"/>
    <w:rsid w:val="00760BC4"/>
    <w:rsid w:val="00760FEA"/>
    <w:rsid w:val="00797F27"/>
    <w:rsid w:val="007A29C9"/>
    <w:rsid w:val="007A3F9A"/>
    <w:rsid w:val="007B0E08"/>
    <w:rsid w:val="007C6691"/>
    <w:rsid w:val="007D1625"/>
    <w:rsid w:val="007D2B98"/>
    <w:rsid w:val="007D5E70"/>
    <w:rsid w:val="008005F8"/>
    <w:rsid w:val="00813988"/>
    <w:rsid w:val="0082607C"/>
    <w:rsid w:val="0083581F"/>
    <w:rsid w:val="008413A3"/>
    <w:rsid w:val="008769FD"/>
    <w:rsid w:val="00880314"/>
    <w:rsid w:val="008A081E"/>
    <w:rsid w:val="008A77D9"/>
    <w:rsid w:val="008B38AD"/>
    <w:rsid w:val="008B5987"/>
    <w:rsid w:val="008C37A3"/>
    <w:rsid w:val="008D6CE0"/>
    <w:rsid w:val="0095088D"/>
    <w:rsid w:val="00960296"/>
    <w:rsid w:val="00972E1F"/>
    <w:rsid w:val="00985560"/>
    <w:rsid w:val="009A1CA3"/>
    <w:rsid w:val="009A396B"/>
    <w:rsid w:val="009B2691"/>
    <w:rsid w:val="009B467C"/>
    <w:rsid w:val="009F397A"/>
    <w:rsid w:val="00A03DD6"/>
    <w:rsid w:val="00A21BFE"/>
    <w:rsid w:val="00A42874"/>
    <w:rsid w:val="00A61E8B"/>
    <w:rsid w:val="00A62C55"/>
    <w:rsid w:val="00A643BF"/>
    <w:rsid w:val="00A83DEC"/>
    <w:rsid w:val="00A85FCB"/>
    <w:rsid w:val="00AA3E74"/>
    <w:rsid w:val="00AC4F50"/>
    <w:rsid w:val="00AC62B9"/>
    <w:rsid w:val="00AC7AE8"/>
    <w:rsid w:val="00AE2713"/>
    <w:rsid w:val="00AE2B54"/>
    <w:rsid w:val="00AE703C"/>
    <w:rsid w:val="00B02CC8"/>
    <w:rsid w:val="00B05B44"/>
    <w:rsid w:val="00B2357E"/>
    <w:rsid w:val="00B44C80"/>
    <w:rsid w:val="00B56E93"/>
    <w:rsid w:val="00B80AC0"/>
    <w:rsid w:val="00B848FE"/>
    <w:rsid w:val="00B97E49"/>
    <w:rsid w:val="00BD72DE"/>
    <w:rsid w:val="00BE619C"/>
    <w:rsid w:val="00C05F99"/>
    <w:rsid w:val="00C3540F"/>
    <w:rsid w:val="00C36D34"/>
    <w:rsid w:val="00C45DC2"/>
    <w:rsid w:val="00C47F08"/>
    <w:rsid w:val="00C53D35"/>
    <w:rsid w:val="00C8238E"/>
    <w:rsid w:val="00CA0675"/>
    <w:rsid w:val="00CA53E1"/>
    <w:rsid w:val="00CA601B"/>
    <w:rsid w:val="00CB0C9E"/>
    <w:rsid w:val="00CC7199"/>
    <w:rsid w:val="00D00BDC"/>
    <w:rsid w:val="00D014EF"/>
    <w:rsid w:val="00D25CD5"/>
    <w:rsid w:val="00D406C6"/>
    <w:rsid w:val="00D418E1"/>
    <w:rsid w:val="00D965F1"/>
    <w:rsid w:val="00DA2DDF"/>
    <w:rsid w:val="00DB4623"/>
    <w:rsid w:val="00DC0476"/>
    <w:rsid w:val="00DC40CF"/>
    <w:rsid w:val="00DD23BA"/>
    <w:rsid w:val="00DD5182"/>
    <w:rsid w:val="00DF4CFF"/>
    <w:rsid w:val="00E0255B"/>
    <w:rsid w:val="00E074D1"/>
    <w:rsid w:val="00E134EE"/>
    <w:rsid w:val="00E14BC1"/>
    <w:rsid w:val="00E17D9D"/>
    <w:rsid w:val="00E615A4"/>
    <w:rsid w:val="00E80AB4"/>
    <w:rsid w:val="00E92A42"/>
    <w:rsid w:val="00E94503"/>
    <w:rsid w:val="00ED062F"/>
    <w:rsid w:val="00EE1F12"/>
    <w:rsid w:val="00EE3000"/>
    <w:rsid w:val="00EE3C38"/>
    <w:rsid w:val="00EF467B"/>
    <w:rsid w:val="00F05227"/>
    <w:rsid w:val="00F31955"/>
    <w:rsid w:val="00F70663"/>
    <w:rsid w:val="00F830ED"/>
    <w:rsid w:val="00F84B61"/>
    <w:rsid w:val="00F92A89"/>
    <w:rsid w:val="00F97DF7"/>
    <w:rsid w:val="00FB431C"/>
    <w:rsid w:val="00FB728E"/>
    <w:rsid w:val="00FD037F"/>
    <w:rsid w:val="00FD6564"/>
    <w:rsid w:val="00FD7928"/>
    <w:rsid w:val="00FE45FD"/>
    <w:rsid w:val="00FF05F2"/>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9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05F99"/>
    <w:pPr>
      <w:spacing w:beforeLines="1" w:afterLines="1"/>
    </w:pPr>
    <w:rPr>
      <w:rFonts w:ascii="Times" w:hAnsi="Times" w:cs="Times New Roman"/>
      <w:sz w:val="20"/>
      <w:szCs w:val="20"/>
    </w:rPr>
  </w:style>
  <w:style w:type="paragraph" w:styleId="a4">
    <w:name w:val="Balloon Text"/>
    <w:basedOn w:val="a"/>
    <w:link w:val="Char"/>
    <w:uiPriority w:val="99"/>
    <w:semiHidden/>
    <w:unhideWhenUsed/>
    <w:rsid w:val="00880314"/>
    <w:rPr>
      <w:rFonts w:ascii="Tahoma" w:hAnsi="Tahoma" w:cs="Tahoma"/>
      <w:sz w:val="16"/>
      <w:szCs w:val="16"/>
    </w:rPr>
  </w:style>
  <w:style w:type="character" w:customStyle="1" w:styleId="Char">
    <w:name w:val="批注框文本 Char"/>
    <w:basedOn w:val="a0"/>
    <w:link w:val="a4"/>
    <w:uiPriority w:val="99"/>
    <w:semiHidden/>
    <w:rsid w:val="00880314"/>
    <w:rPr>
      <w:rFonts w:ascii="Tahoma" w:hAnsi="Tahoma" w:cs="Tahoma"/>
      <w:sz w:val="16"/>
      <w:szCs w:val="16"/>
    </w:rPr>
  </w:style>
  <w:style w:type="character" w:styleId="a5">
    <w:name w:val="Hyperlink"/>
    <w:basedOn w:val="a0"/>
    <w:uiPriority w:val="99"/>
    <w:unhideWhenUsed/>
    <w:rsid w:val="006639A2"/>
    <w:rPr>
      <w:color w:val="0000FF" w:themeColor="hyperlink"/>
      <w:u w:val="single"/>
    </w:rPr>
  </w:style>
  <w:style w:type="table" w:styleId="a6">
    <w:name w:val="Table Grid"/>
    <w:basedOn w:val="a1"/>
    <w:uiPriority w:val="59"/>
    <w:rsid w:val="006A7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D5182"/>
  </w:style>
  <w:style w:type="character" w:styleId="a7">
    <w:name w:val="annotation reference"/>
    <w:basedOn w:val="a0"/>
    <w:uiPriority w:val="99"/>
    <w:semiHidden/>
    <w:unhideWhenUsed/>
    <w:rsid w:val="00AE2B54"/>
    <w:rPr>
      <w:sz w:val="16"/>
      <w:szCs w:val="16"/>
    </w:rPr>
  </w:style>
  <w:style w:type="paragraph" w:styleId="a8">
    <w:name w:val="annotation text"/>
    <w:basedOn w:val="a"/>
    <w:link w:val="Char0"/>
    <w:unhideWhenUsed/>
    <w:rsid w:val="00AE2B54"/>
    <w:rPr>
      <w:sz w:val="20"/>
      <w:szCs w:val="20"/>
    </w:rPr>
  </w:style>
  <w:style w:type="character" w:customStyle="1" w:styleId="Char0">
    <w:name w:val="批注文字 Char"/>
    <w:basedOn w:val="a0"/>
    <w:link w:val="a8"/>
    <w:rsid w:val="00AE2B54"/>
    <w:rPr>
      <w:sz w:val="20"/>
      <w:szCs w:val="20"/>
    </w:rPr>
  </w:style>
  <w:style w:type="paragraph" w:styleId="a9">
    <w:name w:val="annotation subject"/>
    <w:basedOn w:val="a8"/>
    <w:next w:val="a8"/>
    <w:link w:val="Char1"/>
    <w:uiPriority w:val="99"/>
    <w:semiHidden/>
    <w:unhideWhenUsed/>
    <w:rsid w:val="00AE2B54"/>
    <w:rPr>
      <w:b/>
      <w:bCs/>
    </w:rPr>
  </w:style>
  <w:style w:type="character" w:customStyle="1" w:styleId="Char1">
    <w:name w:val="批注主题 Char"/>
    <w:basedOn w:val="Char0"/>
    <w:link w:val="a9"/>
    <w:uiPriority w:val="99"/>
    <w:semiHidden/>
    <w:rsid w:val="00AE2B54"/>
    <w:rPr>
      <w:b/>
      <w:bCs/>
      <w:sz w:val="20"/>
      <w:szCs w:val="20"/>
    </w:rPr>
  </w:style>
  <w:style w:type="paragraph" w:styleId="aa">
    <w:name w:val="Revision"/>
    <w:hidden/>
    <w:uiPriority w:val="99"/>
    <w:semiHidden/>
    <w:rsid w:val="00A85FCB"/>
  </w:style>
  <w:style w:type="paragraph" w:styleId="ab">
    <w:name w:val="header"/>
    <w:basedOn w:val="a"/>
    <w:link w:val="Char2"/>
    <w:uiPriority w:val="99"/>
    <w:unhideWhenUsed/>
    <w:rsid w:val="00091D1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091D17"/>
    <w:rPr>
      <w:sz w:val="18"/>
      <w:szCs w:val="18"/>
    </w:rPr>
  </w:style>
  <w:style w:type="paragraph" w:styleId="ac">
    <w:name w:val="footer"/>
    <w:basedOn w:val="a"/>
    <w:link w:val="Char3"/>
    <w:uiPriority w:val="99"/>
    <w:unhideWhenUsed/>
    <w:rsid w:val="00091D17"/>
    <w:pPr>
      <w:tabs>
        <w:tab w:val="center" w:pos="4153"/>
        <w:tab w:val="right" w:pos="8306"/>
      </w:tabs>
      <w:snapToGrid w:val="0"/>
    </w:pPr>
    <w:rPr>
      <w:sz w:val="18"/>
      <w:szCs w:val="18"/>
    </w:rPr>
  </w:style>
  <w:style w:type="character" w:customStyle="1" w:styleId="Char3">
    <w:name w:val="页脚 Char"/>
    <w:basedOn w:val="a0"/>
    <w:link w:val="ac"/>
    <w:uiPriority w:val="99"/>
    <w:rsid w:val="00091D17"/>
    <w:rPr>
      <w:sz w:val="18"/>
      <w:szCs w:val="18"/>
    </w:rPr>
  </w:style>
  <w:style w:type="paragraph" w:customStyle="1" w:styleId="p0">
    <w:name w:val="p0"/>
    <w:basedOn w:val="a"/>
    <w:rsid w:val="005C1A74"/>
    <w:pPr>
      <w:spacing w:line="240" w:lineRule="atLeast"/>
    </w:pPr>
    <w:rPr>
      <w:rFonts w:ascii="Century" w:eastAsia="宋体" w:hAnsi="Century" w:cs="宋体"/>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9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05F99"/>
    <w:pPr>
      <w:spacing w:beforeLines="1" w:afterLines="1"/>
    </w:pPr>
    <w:rPr>
      <w:rFonts w:ascii="Times" w:hAnsi="Times" w:cs="Times New Roman"/>
      <w:sz w:val="20"/>
      <w:szCs w:val="20"/>
    </w:rPr>
  </w:style>
  <w:style w:type="paragraph" w:styleId="a4">
    <w:name w:val="Balloon Text"/>
    <w:basedOn w:val="a"/>
    <w:link w:val="Char"/>
    <w:uiPriority w:val="99"/>
    <w:semiHidden/>
    <w:unhideWhenUsed/>
    <w:rsid w:val="00880314"/>
    <w:rPr>
      <w:rFonts w:ascii="Tahoma" w:hAnsi="Tahoma" w:cs="Tahoma"/>
      <w:sz w:val="16"/>
      <w:szCs w:val="16"/>
    </w:rPr>
  </w:style>
  <w:style w:type="character" w:customStyle="1" w:styleId="Char">
    <w:name w:val="批注框文本 Char"/>
    <w:basedOn w:val="a0"/>
    <w:link w:val="a4"/>
    <w:uiPriority w:val="99"/>
    <w:semiHidden/>
    <w:rsid w:val="00880314"/>
    <w:rPr>
      <w:rFonts w:ascii="Tahoma" w:hAnsi="Tahoma" w:cs="Tahoma"/>
      <w:sz w:val="16"/>
      <w:szCs w:val="16"/>
    </w:rPr>
  </w:style>
  <w:style w:type="character" w:styleId="a5">
    <w:name w:val="Hyperlink"/>
    <w:basedOn w:val="a0"/>
    <w:uiPriority w:val="99"/>
    <w:unhideWhenUsed/>
    <w:rsid w:val="006639A2"/>
    <w:rPr>
      <w:color w:val="0000FF" w:themeColor="hyperlink"/>
      <w:u w:val="single"/>
    </w:rPr>
  </w:style>
  <w:style w:type="table" w:styleId="a6">
    <w:name w:val="Table Grid"/>
    <w:basedOn w:val="a1"/>
    <w:uiPriority w:val="59"/>
    <w:rsid w:val="006A7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D5182"/>
  </w:style>
  <w:style w:type="character" w:styleId="a7">
    <w:name w:val="annotation reference"/>
    <w:basedOn w:val="a0"/>
    <w:uiPriority w:val="99"/>
    <w:semiHidden/>
    <w:unhideWhenUsed/>
    <w:rsid w:val="00AE2B54"/>
    <w:rPr>
      <w:sz w:val="16"/>
      <w:szCs w:val="16"/>
    </w:rPr>
  </w:style>
  <w:style w:type="paragraph" w:styleId="a8">
    <w:name w:val="annotation text"/>
    <w:basedOn w:val="a"/>
    <w:link w:val="Char0"/>
    <w:unhideWhenUsed/>
    <w:rsid w:val="00AE2B54"/>
    <w:rPr>
      <w:sz w:val="20"/>
      <w:szCs w:val="20"/>
    </w:rPr>
  </w:style>
  <w:style w:type="character" w:customStyle="1" w:styleId="Char0">
    <w:name w:val="批注文字 Char"/>
    <w:basedOn w:val="a0"/>
    <w:link w:val="a8"/>
    <w:rsid w:val="00AE2B54"/>
    <w:rPr>
      <w:sz w:val="20"/>
      <w:szCs w:val="20"/>
    </w:rPr>
  </w:style>
  <w:style w:type="paragraph" w:styleId="a9">
    <w:name w:val="annotation subject"/>
    <w:basedOn w:val="a8"/>
    <w:next w:val="a8"/>
    <w:link w:val="Char1"/>
    <w:uiPriority w:val="99"/>
    <w:semiHidden/>
    <w:unhideWhenUsed/>
    <w:rsid w:val="00AE2B54"/>
    <w:rPr>
      <w:b/>
      <w:bCs/>
    </w:rPr>
  </w:style>
  <w:style w:type="character" w:customStyle="1" w:styleId="Char1">
    <w:name w:val="批注主题 Char"/>
    <w:basedOn w:val="Char0"/>
    <w:link w:val="a9"/>
    <w:uiPriority w:val="99"/>
    <w:semiHidden/>
    <w:rsid w:val="00AE2B54"/>
    <w:rPr>
      <w:b/>
      <w:bCs/>
      <w:sz w:val="20"/>
      <w:szCs w:val="20"/>
    </w:rPr>
  </w:style>
  <w:style w:type="paragraph" w:styleId="aa">
    <w:name w:val="Revision"/>
    <w:hidden/>
    <w:uiPriority w:val="99"/>
    <w:semiHidden/>
    <w:rsid w:val="00A85FCB"/>
  </w:style>
  <w:style w:type="paragraph" w:styleId="ab">
    <w:name w:val="header"/>
    <w:basedOn w:val="a"/>
    <w:link w:val="Char2"/>
    <w:uiPriority w:val="99"/>
    <w:unhideWhenUsed/>
    <w:rsid w:val="00091D1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091D17"/>
    <w:rPr>
      <w:sz w:val="18"/>
      <w:szCs w:val="18"/>
    </w:rPr>
  </w:style>
  <w:style w:type="paragraph" w:styleId="ac">
    <w:name w:val="footer"/>
    <w:basedOn w:val="a"/>
    <w:link w:val="Char3"/>
    <w:uiPriority w:val="99"/>
    <w:unhideWhenUsed/>
    <w:rsid w:val="00091D17"/>
    <w:pPr>
      <w:tabs>
        <w:tab w:val="center" w:pos="4153"/>
        <w:tab w:val="right" w:pos="8306"/>
      </w:tabs>
      <w:snapToGrid w:val="0"/>
    </w:pPr>
    <w:rPr>
      <w:sz w:val="18"/>
      <w:szCs w:val="18"/>
    </w:rPr>
  </w:style>
  <w:style w:type="character" w:customStyle="1" w:styleId="Char3">
    <w:name w:val="页脚 Char"/>
    <w:basedOn w:val="a0"/>
    <w:link w:val="ac"/>
    <w:uiPriority w:val="99"/>
    <w:rsid w:val="00091D17"/>
    <w:rPr>
      <w:sz w:val="18"/>
      <w:szCs w:val="18"/>
    </w:rPr>
  </w:style>
  <w:style w:type="paragraph" w:customStyle="1" w:styleId="p0">
    <w:name w:val="p0"/>
    <w:basedOn w:val="a"/>
    <w:rsid w:val="005C1A74"/>
    <w:pPr>
      <w:spacing w:line="240" w:lineRule="atLeast"/>
    </w:pPr>
    <w:rPr>
      <w:rFonts w:ascii="Century" w:eastAsia="宋体" w:hAnsi="Century" w:cs="宋体"/>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06845">
      <w:bodyDiv w:val="1"/>
      <w:marLeft w:val="0"/>
      <w:marRight w:val="0"/>
      <w:marTop w:val="0"/>
      <w:marBottom w:val="0"/>
      <w:divBdr>
        <w:top w:val="none" w:sz="0" w:space="0" w:color="auto"/>
        <w:left w:val="none" w:sz="0" w:space="0" w:color="auto"/>
        <w:bottom w:val="none" w:sz="0" w:space="0" w:color="auto"/>
        <w:right w:val="none" w:sz="0" w:space="0" w:color="auto"/>
      </w:divBdr>
      <w:divsChild>
        <w:div w:id="1830443953">
          <w:marLeft w:val="0"/>
          <w:marRight w:val="0"/>
          <w:marTop w:val="0"/>
          <w:marBottom w:val="0"/>
          <w:divBdr>
            <w:top w:val="none" w:sz="0" w:space="0" w:color="auto"/>
            <w:left w:val="none" w:sz="0" w:space="0" w:color="auto"/>
            <w:bottom w:val="none" w:sz="0" w:space="0" w:color="auto"/>
            <w:right w:val="none" w:sz="0" w:space="0" w:color="auto"/>
          </w:divBdr>
        </w:div>
        <w:div w:id="960958572">
          <w:marLeft w:val="0"/>
          <w:marRight w:val="0"/>
          <w:marTop w:val="0"/>
          <w:marBottom w:val="0"/>
          <w:divBdr>
            <w:top w:val="none" w:sz="0" w:space="0" w:color="auto"/>
            <w:left w:val="none" w:sz="0" w:space="0" w:color="auto"/>
            <w:bottom w:val="none" w:sz="0" w:space="0" w:color="auto"/>
            <w:right w:val="none" w:sz="0" w:space="0" w:color="auto"/>
          </w:divBdr>
        </w:div>
        <w:div w:id="2059350978">
          <w:marLeft w:val="0"/>
          <w:marRight w:val="0"/>
          <w:marTop w:val="0"/>
          <w:marBottom w:val="0"/>
          <w:divBdr>
            <w:top w:val="none" w:sz="0" w:space="0" w:color="auto"/>
            <w:left w:val="none" w:sz="0" w:space="0" w:color="auto"/>
            <w:bottom w:val="none" w:sz="0" w:space="0" w:color="auto"/>
            <w:right w:val="none" w:sz="0" w:space="0" w:color="auto"/>
          </w:divBdr>
        </w:div>
        <w:div w:id="900556869">
          <w:marLeft w:val="0"/>
          <w:marRight w:val="0"/>
          <w:marTop w:val="0"/>
          <w:marBottom w:val="0"/>
          <w:divBdr>
            <w:top w:val="none" w:sz="0" w:space="0" w:color="auto"/>
            <w:left w:val="none" w:sz="0" w:space="0" w:color="auto"/>
            <w:bottom w:val="none" w:sz="0" w:space="0" w:color="auto"/>
            <w:right w:val="none" w:sz="0" w:space="0" w:color="auto"/>
          </w:divBdr>
        </w:div>
        <w:div w:id="1463308903">
          <w:marLeft w:val="0"/>
          <w:marRight w:val="0"/>
          <w:marTop w:val="0"/>
          <w:marBottom w:val="0"/>
          <w:divBdr>
            <w:top w:val="none" w:sz="0" w:space="0" w:color="auto"/>
            <w:left w:val="none" w:sz="0" w:space="0" w:color="auto"/>
            <w:bottom w:val="none" w:sz="0" w:space="0" w:color="auto"/>
            <w:right w:val="none" w:sz="0" w:space="0" w:color="auto"/>
          </w:divBdr>
        </w:div>
        <w:div w:id="1531606299">
          <w:marLeft w:val="0"/>
          <w:marRight w:val="0"/>
          <w:marTop w:val="0"/>
          <w:marBottom w:val="0"/>
          <w:divBdr>
            <w:top w:val="none" w:sz="0" w:space="0" w:color="auto"/>
            <w:left w:val="none" w:sz="0" w:space="0" w:color="auto"/>
            <w:bottom w:val="none" w:sz="0" w:space="0" w:color="auto"/>
            <w:right w:val="none" w:sz="0" w:space="0" w:color="auto"/>
          </w:divBdr>
        </w:div>
        <w:div w:id="783115700">
          <w:marLeft w:val="0"/>
          <w:marRight w:val="0"/>
          <w:marTop w:val="0"/>
          <w:marBottom w:val="0"/>
          <w:divBdr>
            <w:top w:val="none" w:sz="0" w:space="0" w:color="auto"/>
            <w:left w:val="none" w:sz="0" w:space="0" w:color="auto"/>
            <w:bottom w:val="none" w:sz="0" w:space="0" w:color="auto"/>
            <w:right w:val="none" w:sz="0" w:space="0" w:color="auto"/>
          </w:divBdr>
        </w:div>
        <w:div w:id="1300455455">
          <w:marLeft w:val="0"/>
          <w:marRight w:val="0"/>
          <w:marTop w:val="0"/>
          <w:marBottom w:val="0"/>
          <w:divBdr>
            <w:top w:val="none" w:sz="0" w:space="0" w:color="auto"/>
            <w:left w:val="none" w:sz="0" w:space="0" w:color="auto"/>
            <w:bottom w:val="none" w:sz="0" w:space="0" w:color="auto"/>
            <w:right w:val="none" w:sz="0" w:space="0" w:color="auto"/>
          </w:divBdr>
        </w:div>
        <w:div w:id="651714381">
          <w:marLeft w:val="0"/>
          <w:marRight w:val="0"/>
          <w:marTop w:val="0"/>
          <w:marBottom w:val="0"/>
          <w:divBdr>
            <w:top w:val="none" w:sz="0" w:space="0" w:color="auto"/>
            <w:left w:val="none" w:sz="0" w:space="0" w:color="auto"/>
            <w:bottom w:val="none" w:sz="0" w:space="0" w:color="auto"/>
            <w:right w:val="none" w:sz="0" w:space="0" w:color="auto"/>
          </w:divBdr>
        </w:div>
        <w:div w:id="545214543">
          <w:marLeft w:val="0"/>
          <w:marRight w:val="0"/>
          <w:marTop w:val="0"/>
          <w:marBottom w:val="0"/>
          <w:divBdr>
            <w:top w:val="none" w:sz="0" w:space="0" w:color="auto"/>
            <w:left w:val="none" w:sz="0" w:space="0" w:color="auto"/>
            <w:bottom w:val="none" w:sz="0" w:space="0" w:color="auto"/>
            <w:right w:val="none" w:sz="0" w:space="0" w:color="auto"/>
          </w:divBdr>
        </w:div>
        <w:div w:id="2106338385">
          <w:marLeft w:val="0"/>
          <w:marRight w:val="0"/>
          <w:marTop w:val="0"/>
          <w:marBottom w:val="0"/>
          <w:divBdr>
            <w:top w:val="none" w:sz="0" w:space="0" w:color="auto"/>
            <w:left w:val="none" w:sz="0" w:space="0" w:color="auto"/>
            <w:bottom w:val="none" w:sz="0" w:space="0" w:color="auto"/>
            <w:right w:val="none" w:sz="0" w:space="0" w:color="auto"/>
          </w:divBdr>
        </w:div>
        <w:div w:id="573048396">
          <w:marLeft w:val="0"/>
          <w:marRight w:val="0"/>
          <w:marTop w:val="0"/>
          <w:marBottom w:val="0"/>
          <w:divBdr>
            <w:top w:val="none" w:sz="0" w:space="0" w:color="auto"/>
            <w:left w:val="none" w:sz="0" w:space="0" w:color="auto"/>
            <w:bottom w:val="none" w:sz="0" w:space="0" w:color="auto"/>
            <w:right w:val="none" w:sz="0" w:space="0" w:color="auto"/>
          </w:divBdr>
        </w:div>
        <w:div w:id="149298006">
          <w:marLeft w:val="0"/>
          <w:marRight w:val="0"/>
          <w:marTop w:val="0"/>
          <w:marBottom w:val="0"/>
          <w:divBdr>
            <w:top w:val="none" w:sz="0" w:space="0" w:color="auto"/>
            <w:left w:val="none" w:sz="0" w:space="0" w:color="auto"/>
            <w:bottom w:val="none" w:sz="0" w:space="0" w:color="auto"/>
            <w:right w:val="none" w:sz="0" w:space="0" w:color="auto"/>
          </w:divBdr>
        </w:div>
        <w:div w:id="1056971633">
          <w:marLeft w:val="0"/>
          <w:marRight w:val="0"/>
          <w:marTop w:val="0"/>
          <w:marBottom w:val="0"/>
          <w:divBdr>
            <w:top w:val="none" w:sz="0" w:space="0" w:color="auto"/>
            <w:left w:val="none" w:sz="0" w:space="0" w:color="auto"/>
            <w:bottom w:val="none" w:sz="0" w:space="0" w:color="auto"/>
            <w:right w:val="none" w:sz="0" w:space="0" w:color="auto"/>
          </w:divBdr>
        </w:div>
        <w:div w:id="1145731705">
          <w:marLeft w:val="0"/>
          <w:marRight w:val="0"/>
          <w:marTop w:val="0"/>
          <w:marBottom w:val="0"/>
          <w:divBdr>
            <w:top w:val="none" w:sz="0" w:space="0" w:color="auto"/>
            <w:left w:val="none" w:sz="0" w:space="0" w:color="auto"/>
            <w:bottom w:val="none" w:sz="0" w:space="0" w:color="auto"/>
            <w:right w:val="none" w:sz="0" w:space="0" w:color="auto"/>
          </w:divBdr>
        </w:div>
        <w:div w:id="439571982">
          <w:marLeft w:val="0"/>
          <w:marRight w:val="0"/>
          <w:marTop w:val="0"/>
          <w:marBottom w:val="0"/>
          <w:divBdr>
            <w:top w:val="none" w:sz="0" w:space="0" w:color="auto"/>
            <w:left w:val="none" w:sz="0" w:space="0" w:color="auto"/>
            <w:bottom w:val="none" w:sz="0" w:space="0" w:color="auto"/>
            <w:right w:val="none" w:sz="0" w:space="0" w:color="auto"/>
          </w:divBdr>
        </w:div>
        <w:div w:id="2072773146">
          <w:marLeft w:val="0"/>
          <w:marRight w:val="0"/>
          <w:marTop w:val="0"/>
          <w:marBottom w:val="0"/>
          <w:divBdr>
            <w:top w:val="none" w:sz="0" w:space="0" w:color="auto"/>
            <w:left w:val="none" w:sz="0" w:space="0" w:color="auto"/>
            <w:bottom w:val="none" w:sz="0" w:space="0" w:color="auto"/>
            <w:right w:val="none" w:sz="0" w:space="0" w:color="auto"/>
          </w:divBdr>
        </w:div>
      </w:divsChild>
    </w:div>
    <w:div w:id="958143318">
      <w:bodyDiv w:val="1"/>
      <w:marLeft w:val="0"/>
      <w:marRight w:val="0"/>
      <w:marTop w:val="0"/>
      <w:marBottom w:val="0"/>
      <w:divBdr>
        <w:top w:val="none" w:sz="0" w:space="0" w:color="auto"/>
        <w:left w:val="none" w:sz="0" w:space="0" w:color="auto"/>
        <w:bottom w:val="none" w:sz="0" w:space="0" w:color="auto"/>
        <w:right w:val="none" w:sz="0" w:space="0" w:color="auto"/>
      </w:divBdr>
    </w:div>
    <w:div w:id="970019411">
      <w:bodyDiv w:val="1"/>
      <w:marLeft w:val="0"/>
      <w:marRight w:val="0"/>
      <w:marTop w:val="0"/>
      <w:marBottom w:val="0"/>
      <w:divBdr>
        <w:top w:val="none" w:sz="0" w:space="0" w:color="auto"/>
        <w:left w:val="none" w:sz="0" w:space="0" w:color="auto"/>
        <w:bottom w:val="none" w:sz="0" w:space="0" w:color="auto"/>
        <w:right w:val="none" w:sz="0" w:space="0" w:color="auto"/>
      </w:divBdr>
    </w:div>
    <w:div w:id="14417970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17" Type="http://schemas.microsoft.com/office/2011/relationships/people" Target="people.xml"/><Relationship Id="rId2" Type="http://schemas.microsoft.com/office/2007/relationships/stylesWithEffects" Target="stylesWithEffects.xml"/><Relationship Id="rId16"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2690</Words>
  <Characters>15333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Ramathibodi Hospital</Company>
  <LinksUpToDate>false</LinksUpToDate>
  <CharactersWithSpaces>17988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Narongsak Rungsakulkij</dc:creator>
  <cp:lastModifiedBy>LS Ma</cp:lastModifiedBy>
  <cp:revision>2</cp:revision>
  <cp:lastPrinted>2013-09-25T08:03:00Z</cp:lastPrinted>
  <dcterms:created xsi:type="dcterms:W3CDTF">2014-07-23T17:33:00Z</dcterms:created>
  <dcterms:modified xsi:type="dcterms:W3CDTF">2014-07-23T17:33:00Z</dcterms:modified>
</cp:coreProperties>
</file>