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73274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Cohort Study</w:t>
      </w:r>
    </w:p>
    <w:p>
      <w:pPr>
        <w:spacing w:line="360" w:lineRule="auto"/>
        <w:jc w:val="both"/>
        <w:rPr>
          <w:rFonts w:ascii="Book Antiqua" w:hAnsi="Book Antiqua"/>
        </w:rPr>
      </w:pPr>
      <w:r>
        <w:rPr>
          <w:rFonts w:ascii="Book Antiqua" w:hAnsi="Book Antiqua" w:eastAsia="Book Antiqua" w:cs="Book Antiqua"/>
          <w:b/>
          <w:color w:val="000000"/>
        </w:rPr>
        <w:t>Endoscopic retrograde cholangiopancreatography for bile duct stones in patients with a performance status score of 3 or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Saito H </w:t>
      </w:r>
      <w:r>
        <w:rPr>
          <w:rFonts w:ascii="Book Antiqua" w:hAnsi="Book Antiqua" w:eastAsia="Book Antiqua" w:cs="Book Antiqua"/>
          <w:i/>
          <w:color w:val="000000"/>
        </w:rPr>
        <w:t>et al</w:t>
      </w:r>
      <w:r>
        <w:rPr>
          <w:rFonts w:ascii="Book Antiqua" w:hAnsi="Book Antiqua" w:eastAsia="Book Antiqua" w:cs="Book Antiqua"/>
          <w:color w:val="000000"/>
        </w:rPr>
        <w:t>. ERCP for CBDS with PS3-4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Hirokazu Saito, Yoshihiro Kadono, Takashi Shono, Kentaro Kamikawa, Atsushi Urata, Jiro Nasu, Haruo Imamura, Ikuo Matsushita, Tatsuyuki Kakuma, Shuji Tada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Hirokazu Saito, Shuji Tada, </w:t>
      </w:r>
      <w:r>
        <w:rPr>
          <w:rFonts w:ascii="Book Antiqua" w:hAnsi="Book Antiqua" w:eastAsia="Book Antiqua" w:cs="Book Antiqua"/>
          <w:color w:val="000000"/>
        </w:rPr>
        <w:t>Department of Gastroenterology, Kumamoto City Hospital, Kumamoto City 862-8505,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Yoshihiro Kadono, </w:t>
      </w:r>
      <w:r>
        <w:rPr>
          <w:rFonts w:ascii="Book Antiqua" w:hAnsi="Book Antiqua" w:eastAsia="Book Antiqua" w:cs="Book Antiqua"/>
          <w:color w:val="000000"/>
        </w:rPr>
        <w:t>Department of Gastroenterology, Tsuruta Hospital, Kumamoto City 862-0925,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Takashi Shono, Ikuo Matsushita, </w:t>
      </w:r>
      <w:r>
        <w:rPr>
          <w:rFonts w:ascii="Book Antiqua" w:hAnsi="Book Antiqua" w:eastAsia="Book Antiqua" w:cs="Book Antiqua"/>
          <w:color w:val="000000"/>
        </w:rPr>
        <w:t>Department of Gastroenterology, Kumamoto Chuo Hospital, Kumamoto City 862-0965,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Kentaro Kamikawa, Atsushi Urata, Haruo Imamura, </w:t>
      </w:r>
      <w:r>
        <w:rPr>
          <w:rFonts w:ascii="Book Antiqua" w:hAnsi="Book Antiqua" w:eastAsia="Book Antiqua" w:cs="Book Antiqua"/>
          <w:color w:val="000000"/>
        </w:rPr>
        <w:t>Department of Gastroenterology, Saiseikai Kumamoto Hospital, Kumamoto City 861-4193,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Jiro Nasu, </w:t>
      </w:r>
      <w:r>
        <w:rPr>
          <w:rFonts w:ascii="Book Antiqua" w:hAnsi="Book Antiqua" w:eastAsia="Book Antiqua" w:cs="Book Antiqua"/>
          <w:color w:val="000000"/>
        </w:rPr>
        <w:t>Department of Gastroenterological Surgery, Kumamoto Chuo Hospital, Kumamoto City 862-0965,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Tatsuyuki Kakuma, </w:t>
      </w:r>
      <w:r>
        <w:rPr>
          <w:rFonts w:ascii="Book Antiqua" w:hAnsi="Book Antiqua" w:eastAsia="Book Antiqua" w:cs="Book Antiqua"/>
          <w:color w:val="000000"/>
        </w:rPr>
        <w:t>Department of Biostatics, Kurume University, Kurume City 8300011,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Saito H, Kadono Y, Shono T, Kamikawa K, Urata A, Nasu J, Imamura H, Matsushita I, and Tada S have been equally involved and have read and approved the final manuscript; Saito H, Kadono Y, Shono T, Kamikawa K, Urata A, Nasu J, Imamura H, Matsushita I, and Tada S meet the criteria for authorship established by the International Committee of Medical Journal Editors and verify the validity of the reported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Hirokazu Saito, MD, Doctor, </w:t>
      </w:r>
      <w:r>
        <w:rPr>
          <w:rFonts w:ascii="Book Antiqua" w:hAnsi="Book Antiqua" w:eastAsia="Book Antiqua" w:cs="Book Antiqua"/>
          <w:color w:val="000000"/>
        </w:rPr>
        <w:t>Department of Gastroenterology, Kumamoto City Hospital, 4-1-60, Higashimachi, Higashi-ku, Kumamoto City 862-8505, Japan. arnestwest@yahoo.co.jp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17, 2021</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January 22,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16,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16, 2022</w:t>
      </w:r>
    </w:p>
    <w:p>
      <w:pPr>
        <w:spacing w:line="360" w:lineRule="auto"/>
        <w:jc w:val="both"/>
        <w:rPr>
          <w:rFonts w:ascii="Book Antiqua" w:hAnsi="Book Antiqua"/>
        </w:rPr>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As the aging population grows worldwide, the rates of endoscopic retrograde cholangiopancreatography (ERCP) for common bile duct stones (CBDS) in older patients with a poor performance status (PS) have been increasing. However, the data on the safety and efficacy of ERCP for CBDS in patients with a PS score of 3 or 4 are lacking, with only a few studies having investigated this issue among patients with poor 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examine the safety and efficacy of ERCP for CBDS in patients with a PS score of 3 or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study utilized a retrospective multi-centered design of three institutions in Japan for 8 years to identify a total of 1343 patients with CBDS having native papillae who underwent therapeutic ERCP. As a result, 1113 patients with a PS 0-2 and 230 patients with a PS 3-4 were included. One-to-one propensity-score matching was performed to compare the safety and efficacy of ERCP for CBDS between patients with a PS 0-2 and those with a PS 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The overall ERCP-related complication rates in all patients and propensity score-matched patients with a PS 0-2 and 3-4 were 9.0% (100/1113) and 7.0% (16/230; </w:t>
      </w:r>
      <w:r>
        <w:rPr>
          <w:rFonts w:ascii="Book Antiqua" w:hAnsi="Book Antiqua" w:eastAsia="Book Antiqua" w:cs="Book Antiqua"/>
          <w:i/>
          <w:iCs/>
          <w:color w:val="000000"/>
        </w:rPr>
        <w:t>P</w:t>
      </w:r>
      <w:r>
        <w:rPr>
          <w:rFonts w:ascii="Book Antiqua" w:hAnsi="Book Antiqua" w:eastAsia="Book Antiqua" w:cs="Book Antiqua"/>
          <w:color w:val="000000"/>
        </w:rPr>
        <w:t xml:space="preserve"> = 0.37), and 4.6% (9/196) and 6.6% (13/196; </w:t>
      </w:r>
      <w:r>
        <w:rPr>
          <w:rFonts w:ascii="Book Antiqua" w:hAnsi="Book Antiqua" w:eastAsia="Book Antiqua" w:cs="Book Antiqua"/>
          <w:i/>
          <w:iCs/>
          <w:color w:val="000000"/>
        </w:rPr>
        <w:t>P</w:t>
      </w:r>
      <w:r>
        <w:rPr>
          <w:rFonts w:ascii="Book Antiqua" w:hAnsi="Book Antiqua" w:eastAsia="Book Antiqua" w:cs="Book Antiqua"/>
          <w:color w:val="000000"/>
        </w:rPr>
        <w:t xml:space="preserve"> = 0.51), respectively. In the propensity score-matched patients, complications were significantly more severe in the group with a PS 3-4 than in the group with a PS 0-2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Risk factors for complications were indications of ERCP and absence of antibiotics in the multivariate analysis. Therapeutic success rates, including complete CBDS removal and permanent biliary stent placement, in propensity score-matched patients with a PS 0-2 and 3-4 were 97.4% (191/196) and 97.4% (191/196),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1.0).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ERCP for CBDS can be effectively performed in patients with a PS 3 or 4. Nevertheless, the indication for ERCP in such patients should be carefully considered with prophylactic antibiotics.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Endoscopic retrograde Cholangiopancreatography; Complication; Performance status; Risk factor</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Saito H, Kadono Y, Shono T, Kamikawa K, Urata A, Nasu J, Imamura H, Matsushita I, Kakuma T, Tada S. Endoscopic retrograde cholangiopancreatography for bile duct stones in patients with a performance status score of 3 or 4.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215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225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https://www.wjgnet.com/1948-5190/full/v14/i4/</w:t>
      </w:r>
      <w:r>
        <w:rPr>
          <w:rFonts w:hint="eastAsia" w:ascii="Book Antiqua" w:hAnsi="Book Antiqua" w:eastAsia="宋体" w:cs="Book Antiqua"/>
          <w:color w:val="000000"/>
          <w:lang w:val="en-US" w:eastAsia="zh-CN"/>
        </w:rPr>
        <w:t>215</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https://dx.doi.org/10.4253/wjge.v14.i4.</w:t>
      </w:r>
      <w:r>
        <w:rPr>
          <w:rFonts w:hint="eastAsia" w:ascii="Book Antiqua" w:hAnsi="Book Antiqua" w:eastAsia="宋体" w:cs="Book Antiqua"/>
          <w:color w:val="000000"/>
          <w:lang w:val="en-US" w:eastAsia="zh-CN"/>
        </w:rPr>
        <w:t>215</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196 propensity-matched patients, the overall complications and technical success in patients with a PS 3 or 4 were comparable to those of patients with a PS 0-2. However, complications were more severe in patients with a PS 3 or 4. In the multivariate analysis, indications of ERCP and the absence of antibiotics were significant risk factors for complications. Although ERCP for CBDS can be effectively performed in patients with a PS 3 or 4, the indication for ERCP should be carefully considered, and prophylactic antibiotics should be administered to patients with a PS 3 or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As the aging population grows worldwide, the rates of endoscopic retrograde cholangiopancreatography (ERCP) among the elderly are increasing. In particular, common bile duct stones (CBDS) are the most common indication for ERCP, and endoscopists often perform ERCP for CBDS in the elderly with poor Eastern Cooperative Oncology Group performance status (ECOG-PS) score</w:t>
      </w:r>
      <w:r>
        <w:rPr>
          <w:rFonts w:ascii="Book Antiqua" w:hAnsi="Book Antiqua" w:eastAsia="Book Antiqua" w:cs="Book Antiqua"/>
          <w:color w:val="000000"/>
          <w:vertAlign w:val="superscript"/>
        </w:rPr>
        <w:t>[1]</w:t>
      </w:r>
      <w:r>
        <w:rPr>
          <w:rFonts w:ascii="Book Antiqua" w:hAnsi="Book Antiqua" w:eastAsia="Book Antiqua" w:cs="Book Antiqua"/>
          <w:color w:val="000000"/>
        </w:rPr>
        <w:t>, which is an objective index of activity in daily life, in clinical practice. Although several studies have reported that the safety and efficacy of ERCP for elderly patients aged ≥ 80-90 years were comparable to those in younger patients, the performance status (PS) score varied in the previous studies</w:t>
      </w:r>
      <w:r>
        <w:rPr>
          <w:rFonts w:ascii="Book Antiqua" w:hAnsi="Book Antiqua" w:eastAsia="Book Antiqua" w:cs="Book Antiqua"/>
          <w:color w:val="000000"/>
          <w:vertAlign w:val="superscript"/>
        </w:rPr>
        <w:t>[2-10]</w:t>
      </w:r>
      <w:r>
        <w:rPr>
          <w:rFonts w:ascii="Book Antiqua" w:hAnsi="Book Antiqua" w:eastAsia="Book Antiqua" w:cs="Book Antiqua"/>
          <w:color w:val="000000"/>
        </w:rPr>
        <w:t>.</w:t>
      </w:r>
    </w:p>
    <w:p>
      <w:pPr>
        <w:spacing w:line="360" w:lineRule="auto"/>
        <w:ind w:firstLine="360"/>
        <w:jc w:val="both"/>
        <w:rPr>
          <w:rFonts w:ascii="Book Antiqua" w:hAnsi="Book Antiqua"/>
        </w:rPr>
      </w:pPr>
      <w:r>
        <w:rPr>
          <w:rFonts w:ascii="Book Antiqua" w:hAnsi="Book Antiqua" w:eastAsia="Book Antiqua" w:cs="Book Antiqua"/>
          <w:color w:val="000000"/>
        </w:rPr>
        <w:t>PS is an important tool utilized for the clinical determination of the indications and strategies of ERCP for CBDS in elderly patients. Evidence available from studies evaluating the safety and efficacy of ERCP for biliopancreatic diseases in patients with a poor PS score is limited</w:t>
      </w:r>
      <w:r>
        <w:rPr>
          <w:rFonts w:ascii="Book Antiqua" w:hAnsi="Book Antiqua" w:eastAsia="Book Antiqua" w:cs="Book Antiqua"/>
          <w:color w:val="000000"/>
          <w:vertAlign w:val="superscript"/>
        </w:rPr>
        <w:t>[11,12]</w:t>
      </w:r>
      <w:r>
        <w:rPr>
          <w:rFonts w:ascii="Book Antiqua" w:hAnsi="Book Antiqua" w:eastAsia="Book Antiqua" w:cs="Book Antiqua"/>
          <w:color w:val="000000"/>
        </w:rPr>
        <w:t>. Furthermore, few studies have investigated the safety and efficacy of ERCP for CBDS in patients with a poor PS score. In the present study, we assessed the safety and efficacy of ERCP for CBDS in patients with a PS score of 3 or 4 in comparison with those having a PS score of 0-2.</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 and study design</w:t>
      </w:r>
    </w:p>
    <w:p>
      <w:pPr>
        <w:spacing w:line="360" w:lineRule="auto"/>
        <w:jc w:val="both"/>
        <w:rPr>
          <w:rFonts w:ascii="Book Antiqua" w:hAnsi="Book Antiqua"/>
        </w:rPr>
      </w:pPr>
      <w:r>
        <w:rPr>
          <w:rFonts w:ascii="Book Antiqua" w:hAnsi="Book Antiqua" w:eastAsia="Book Antiqua" w:cs="Book Antiqua"/>
          <w:color w:val="000000"/>
        </w:rPr>
        <w:t>The data of patients with native major duodenal papilla who had undergone therapeutic ERCP for CBDS between April 2012 and February 2020 at Kumamoto Chuo Hospital, Saiseikai Kumamoto Hospital, and Kumamoto City Hospital in Japan were retrospectively reviewed. The exclusion criteria were (1) failure to detect CBDS during ERCP; (2) history of therapeutic ERCP; (3) and a gastrointestinal tract that has already been surgically altered such as by employing Billroth II or Roux-en-Y reconstruction. The institutional review boards of the participating institutions approved this study and opt-out consent was applied. One-to-one propensity score matching analysis was performed to adjust for confounding factors between patients with a PS score of 0–2 and patients with a PS score of 3 or 4, and the safety and efficacy of ERCP for CBDS were compared between these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Outcomes and definitions</w:t>
      </w:r>
    </w:p>
    <w:p>
      <w:pPr>
        <w:spacing w:line="360" w:lineRule="auto"/>
        <w:jc w:val="both"/>
        <w:rPr>
          <w:rFonts w:ascii="Book Antiqua" w:hAnsi="Book Antiqua"/>
        </w:rPr>
      </w:pPr>
      <w:r>
        <w:rPr>
          <w:rFonts w:ascii="Book Antiqua" w:hAnsi="Book Antiqua" w:eastAsia="Book Antiqua" w:cs="Book Antiqua"/>
          <w:color w:val="000000"/>
        </w:rPr>
        <w:t>The primary outcome was the rates of post-ERCP complications and the rate of technical success such as complete stone removal and permanent biliary stent placement.</w:t>
      </w:r>
    </w:p>
    <w:p>
      <w:pPr>
        <w:spacing w:line="360" w:lineRule="auto"/>
        <w:ind w:firstLine="360"/>
        <w:jc w:val="both"/>
        <w:rPr>
          <w:rFonts w:ascii="Book Antiqua" w:hAnsi="Book Antiqua"/>
        </w:rPr>
      </w:pPr>
      <w:r>
        <w:rPr>
          <w:rFonts w:ascii="Book Antiqua" w:hAnsi="Book Antiqua" w:eastAsia="Book Antiqua" w:cs="Book Antiqua"/>
          <w:color w:val="000000"/>
        </w:rPr>
        <w:t>Post-ERCP complications included post-ERCP pancreatitis (PEP), bleeding, cholangitis, perforation, and aspiration pneumonia. These complications and their severity were diagnosed based on a lexicon for endoscopic complications</w:t>
      </w:r>
      <w:r>
        <w:rPr>
          <w:rFonts w:ascii="Book Antiqua" w:hAnsi="Book Antiqua" w:eastAsia="Book Antiqua" w:cs="Book Antiqua"/>
          <w:color w:val="000000"/>
          <w:vertAlign w:val="superscript"/>
        </w:rPr>
        <w:t>[13]</w:t>
      </w:r>
      <w:r>
        <w:rPr>
          <w:rFonts w:ascii="Book Antiqua" w:hAnsi="Book Antiqua" w:eastAsia="Book Antiqua" w:cs="Book Antiqua"/>
          <w:color w:val="000000"/>
        </w:rPr>
        <w:t>. When several complications were noted in the same patient, the most severe complication was selected for analysis.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Successful cases of complete stone removal or permanent biliary stent placement were considered a therapeutic success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Procedure</w:t>
      </w:r>
    </w:p>
    <w:p>
      <w:pPr>
        <w:spacing w:line="360" w:lineRule="auto"/>
        <w:jc w:val="both"/>
        <w:rPr>
          <w:rFonts w:ascii="Book Antiqua" w:hAnsi="Book Antiqua"/>
        </w:rPr>
      </w:pPr>
      <w:r>
        <w:rPr>
          <w:rFonts w:ascii="Book Antiqua" w:hAnsi="Book Antiqua" w:eastAsia="Book Antiqua" w:cs="Book Antiqua"/>
          <w:color w:val="000000"/>
        </w:rPr>
        <w:t>ERCP was performed in the prone or semi-prone position using side-viewing duodenoscopes (Olympus JF-260, TJF-260V; Olympus Medical Systems, Tokyo, Japan). Midazolam with pethidine hydrochloride was used for the purpose of sedation by the endoscopist. We determined the doses of midazolam and pethidine hydrochloride based on our sedation protocol using the data pertaining to the age and weight of patients. In patients aged 75-89 years and weighing &lt; 70 kg, the dose of pethidine hydrochloride and midazolam was 17.5 mg-35 mg and 1 mg, respectively. In patients aged 75-89 years and weighing ≥ 70 kg, the dose of pethidine hydrochloride and midazolam was 17.5 mg-35 mg and 2 mg, respectively. In patients aged ≥ 90 years, the dose of pethidine hydrochloride and midazolam was 17.5 mg and/or 1 mg, respectively, regardless of the weight of the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a trainee with experience of &lt; 200 ERCP procedures performed ERCP, an experienced endoscopist supervised them. After biliary cannulation using a standard ERCP catheter and a 0.025-inch guidewire, biliary stent placement or stone removal after endoscopic sphincterotomy (EST), endoscopic papillary balloon dilation (EPBD), or endoscopic papillary large balloon dilation (EPLBD) was performed. The treatment strategy for complete stone removal or permanent biliary stent placement was decided upon by the endoscopist.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Chi-squared test or Fisher’s exact test was used for categorical variables, and Welch’s </w:t>
      </w:r>
      <w:r>
        <w:rPr>
          <w:rFonts w:ascii="Book Antiqua" w:hAnsi="Book Antiqua" w:eastAsia="Book Antiqua" w:cs="Book Antiqua"/>
          <w:i/>
          <w:color w:val="000000"/>
        </w:rPr>
        <w:t>t</w:t>
      </w:r>
      <w:r>
        <w:rPr>
          <w:rFonts w:ascii="Book Antiqua" w:hAnsi="Book Antiqua" w:eastAsia="Book Antiqua" w:cs="Book Antiqua"/>
          <w:color w:val="000000"/>
        </w:rPr>
        <w:t xml:space="preserve">-test was used for continuous variables. A multivariate logistic regression model employed variables with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0.20 in the univariate analyses to identify the predictive factors for post-ERCP complications.</w:t>
      </w:r>
    </w:p>
    <w:p>
      <w:pPr>
        <w:spacing w:line="360" w:lineRule="auto"/>
        <w:ind w:firstLine="360"/>
        <w:jc w:val="both"/>
        <w:rPr>
          <w:rFonts w:ascii="Book Antiqua" w:hAnsi="Book Antiqua"/>
        </w:rPr>
      </w:pPr>
      <w:r>
        <w:rPr>
          <w:rFonts w:ascii="Book Antiqua" w:hAnsi="Book Antiqua" w:eastAsia="Book Antiqua" w:cs="Book Antiqua"/>
          <w:color w:val="000000"/>
        </w:rPr>
        <w:t>One-to-one propensity score matching with a caliper of 0.2 was performed to adjust for confounding factors associated with post-ERCP complications between patients with a PS score of 0-2 and patients with a PS score of 3 or 4. Factors presented in Table 1 were used to construct propensity scores using the logistics regression model.</w:t>
      </w:r>
    </w:p>
    <w:p>
      <w:pPr>
        <w:spacing w:line="360" w:lineRule="auto"/>
        <w:ind w:firstLine="360"/>
        <w:jc w:val="both"/>
        <w:rPr>
          <w:rFonts w:ascii="Book Antiqua" w:hAnsi="Book Antiqua"/>
        </w:rPr>
      </w:pPr>
      <w:r>
        <w:rPr>
          <w:rFonts w:ascii="Book Antiqua" w:hAnsi="Book Antiqua" w:eastAsia="Book Antiqua" w:cs="Book Antiqua"/>
          <w:color w:val="000000"/>
        </w:rPr>
        <w:t>All statistical analyses were performed using EZR version 1.53 (Saitama Medical Center, Jichi Medical University, Saitama, Japan), a graphical user interface for R software (The R Foundation for Statistical Computing, Vienna, Austria, version 4.1.0)</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Two-sided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0.05 were considered statistically significant.</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A total of 1343 patients met the inclusion criteria for this study. Altogether, 1113 and 230 patients were included in the groups with a PS score of 0-2 and 3-4, respectively. Details of patients’ characteristics are presented in Table 1. Significant differences were noted in age, sex, indications of ERCP for CBDS, a history of cerebrovascular diseases, a history of multiple underlying diseases, antithrombotic treatment, non-dilated common bile duct (CBD), antibiotics, trainee involvement, difficult cannulation, EST, EPBD, EPLBD, use of balloon catheter, large stones, protease inhibitor, and rectal non-steroidal anti-inflammatory drugs. No significant differences were noted in patients’ characteristics between the two groups after propensity score matching.</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Endoscopic retrograde cholangiopancreatography</w:t>
      </w:r>
      <w:r>
        <w:rPr>
          <w:rFonts w:ascii="Book Antiqua" w:hAnsi="Book Antiqua" w:eastAsia="MS Mincho" w:cs="MS Mincho"/>
          <w:b/>
          <w:bCs/>
          <w:i/>
          <w:color w:val="000000"/>
          <w:lang w:eastAsia="ja-JP"/>
        </w:rPr>
        <w:t xml:space="preserve">-related </w:t>
      </w:r>
      <w:r>
        <w:rPr>
          <w:rFonts w:ascii="Book Antiqua" w:hAnsi="Book Antiqua" w:eastAsia="Book Antiqua" w:cs="Book Antiqua"/>
          <w:b/>
          <w:bCs/>
          <w:i/>
          <w:color w:val="000000"/>
        </w:rPr>
        <w:t>complications</w:t>
      </w:r>
    </w:p>
    <w:p>
      <w:pPr>
        <w:spacing w:line="360" w:lineRule="auto"/>
        <w:jc w:val="both"/>
        <w:rPr>
          <w:rFonts w:ascii="Book Antiqua" w:hAnsi="Book Antiqua"/>
        </w:rPr>
      </w:pPr>
      <w:r>
        <w:rPr>
          <w:rFonts w:ascii="Book Antiqua" w:hAnsi="Book Antiqua" w:eastAsia="Book Antiqua" w:cs="Book Antiqua"/>
          <w:color w:val="000000"/>
        </w:rPr>
        <w:t xml:space="preserve">ERCP-related complications in all patients and propensity score-matched patients are presented in Table 2. The overall ERCP-related complication rates in all patients and propensity score-matched patients in the groups with a PS score of 0-2 and 3-4 were 9.0% (100/1113) and 7.0% (16/230; </w:t>
      </w:r>
      <w:r>
        <w:rPr>
          <w:rFonts w:ascii="Book Antiqua" w:hAnsi="Book Antiqua" w:eastAsia="Book Antiqua" w:cs="Book Antiqua"/>
          <w:i/>
          <w:iCs/>
          <w:color w:val="000000"/>
        </w:rPr>
        <w:t>P</w:t>
      </w:r>
      <w:r>
        <w:rPr>
          <w:rFonts w:ascii="Book Antiqua" w:hAnsi="Book Antiqua" w:eastAsia="Book Antiqua" w:cs="Book Antiqua"/>
          <w:color w:val="000000"/>
        </w:rPr>
        <w:t xml:space="preserve"> = 0.37) and 4.6% (9/196) and 6.6% (13/196; </w:t>
      </w:r>
      <w:r>
        <w:rPr>
          <w:rFonts w:ascii="Book Antiqua" w:hAnsi="Book Antiqua" w:eastAsia="Book Antiqua" w:cs="Book Antiqua"/>
          <w:i/>
          <w:iCs/>
          <w:color w:val="000000"/>
        </w:rPr>
        <w:t>P</w:t>
      </w:r>
      <w:r>
        <w:rPr>
          <w:rFonts w:ascii="Book Antiqua" w:hAnsi="Book Antiqua" w:eastAsia="Book Antiqua" w:cs="Book Antiqua"/>
          <w:color w:val="000000"/>
        </w:rPr>
        <w:t xml:space="preserve"> = 0.51), respectively. In all patients, complications were more severe in the group with a PS score of 3-4 than in the group with a PS score of 0-2 (</w:t>
      </w:r>
      <w:r>
        <w:rPr>
          <w:rFonts w:ascii="Book Antiqua" w:hAnsi="Book Antiqua" w:eastAsia="Book Antiqua" w:cs="Book Antiqua"/>
          <w:i/>
          <w:iCs/>
          <w:color w:val="000000"/>
        </w:rPr>
        <w:t>P</w:t>
      </w:r>
      <w:r>
        <w:rPr>
          <w:rFonts w:ascii="Book Antiqua" w:hAnsi="Book Antiqua" w:eastAsia="Book Antiqua" w:cs="Book Antiqua"/>
          <w:color w:val="000000"/>
        </w:rPr>
        <w:t xml:space="preserve"> = 0.063), although this finding was not statistically significant. In the propensity score-matched patients, complications were significantly more severe in the group with a PS score of 3 or 4 than in the group with a PS score of 0-2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The incidence rate of each complication, including PEP, bleeding, cholangitis, perforation, and aspiration pneumonia, was not significantly different between the two groups in all patients and propensity score-matched patients. Among all patients, the severity of PEP was significantly higher in patients with a PS score of 3 or 4 than in those with a PS score of 0-2 (</w:t>
      </w:r>
      <w:r>
        <w:rPr>
          <w:rFonts w:ascii="Book Antiqua" w:hAnsi="Book Antiqua" w:eastAsia="Book Antiqua" w:cs="Book Antiqua"/>
          <w:i/>
          <w:iCs/>
          <w:color w:val="000000"/>
        </w:rPr>
        <w:t>P</w:t>
      </w:r>
      <w:r>
        <w:rPr>
          <w:rFonts w:ascii="Book Antiqua" w:hAnsi="Book Antiqua" w:eastAsia="Book Antiqua" w:cs="Book Antiqua"/>
          <w:color w:val="000000"/>
        </w:rPr>
        <w:t xml:space="preserve"> = 0.034), and the severity of other complications was not significantly different between the two groups. Among the propensity score-matched patients, the severity of each complication was not significantly different between the two groups.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Therapeutic success rates of ERCP and mean procedure time</w:t>
      </w:r>
    </w:p>
    <w:p>
      <w:pPr>
        <w:spacing w:line="360" w:lineRule="auto"/>
        <w:jc w:val="both"/>
        <w:rPr>
          <w:rFonts w:ascii="Book Antiqua" w:hAnsi="Book Antiqua"/>
        </w:rPr>
      </w:pPr>
      <w:r>
        <w:rPr>
          <w:rFonts w:ascii="Book Antiqua" w:hAnsi="Book Antiqua" w:eastAsia="Book Antiqua" w:cs="Book Antiqua"/>
          <w:color w:val="000000"/>
        </w:rPr>
        <w:t xml:space="preserve">Therapeutic success rates of ERCP and mean procedure time are presented in Table 3. Therapeutic success rates, including successful complete stone removal and permanent biliary stent placement, in all patients and propensity score-matched patients were 98.5% (1096/1113) and 97.4% (224/230; </w:t>
      </w:r>
      <w:r>
        <w:rPr>
          <w:rFonts w:ascii="Book Antiqua" w:hAnsi="Book Antiqua" w:eastAsia="Book Antiqua" w:cs="Book Antiqua"/>
          <w:i/>
          <w:iCs/>
          <w:color w:val="000000"/>
        </w:rPr>
        <w:t>P</w:t>
      </w:r>
      <w:r>
        <w:rPr>
          <w:rFonts w:ascii="Book Antiqua" w:hAnsi="Book Antiqua" w:eastAsia="Book Antiqua" w:cs="Book Antiqua"/>
          <w:color w:val="000000"/>
        </w:rPr>
        <w:t xml:space="preserve"> = 0.26) and 97.4% (191/196) and 97.4% (191/196; </w:t>
      </w:r>
      <w:r>
        <w:rPr>
          <w:rFonts w:ascii="Book Antiqua" w:hAnsi="Book Antiqua" w:eastAsia="Book Antiqua" w:cs="Book Antiqua"/>
          <w:i/>
          <w:iCs/>
          <w:color w:val="000000"/>
        </w:rPr>
        <w:t>P</w:t>
      </w:r>
      <w:r>
        <w:rPr>
          <w:rFonts w:ascii="Book Antiqua" w:hAnsi="Book Antiqua" w:eastAsia="Book Antiqua" w:cs="Book Antiqua"/>
          <w:color w:val="000000"/>
        </w:rPr>
        <w:t xml:space="preserve"> = 1.0), respectively. The rates of successful complete stone removal in all patients and propensity score-matched patients between patients with a PS score of 0-2 and 3 or 4 were 1064/1113 (95.6%) and 200/230 (87.0%;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92.3% (181/196) and 87.8% (172/196; </w:t>
      </w:r>
      <w:r>
        <w:rPr>
          <w:rFonts w:ascii="Book Antiqua" w:hAnsi="Book Antiqua" w:eastAsia="Book Antiqua" w:cs="Book Antiqua"/>
          <w:i/>
          <w:iCs/>
          <w:color w:val="000000"/>
        </w:rPr>
        <w:t>P</w:t>
      </w:r>
      <w:r>
        <w:rPr>
          <w:rFonts w:ascii="Book Antiqua" w:hAnsi="Book Antiqua" w:eastAsia="Book Antiqua" w:cs="Book Antiqua"/>
          <w:color w:val="000000"/>
        </w:rPr>
        <w:t xml:space="preserve"> = 0.18), respectively. The rates of successful permanent biliary stent placement in all patients and propensity score-matched patients between the group with a PS score of 0-2 and 3 or 4 were 2.9% (32/1113) and 10.4% (24/230;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5.1% (10/196) and 9.7% (19/196; </w:t>
      </w:r>
      <w:r>
        <w:rPr>
          <w:rFonts w:ascii="Book Antiqua" w:hAnsi="Book Antiqua" w:eastAsia="Book Antiqua" w:cs="Book Antiqua"/>
          <w:i/>
          <w:iCs/>
          <w:color w:val="000000"/>
        </w:rPr>
        <w:t>P</w:t>
      </w:r>
      <w:r>
        <w:rPr>
          <w:rFonts w:ascii="Book Antiqua" w:hAnsi="Book Antiqua" w:eastAsia="Book Antiqua" w:cs="Book Antiqua"/>
          <w:color w:val="000000"/>
        </w:rPr>
        <w:t xml:space="preserve"> = 0.12), respectively. Mean procedure times were not significantly different in all patients and propensity score-matched patients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0.42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0.77, respectively).</w:t>
      </w:r>
    </w:p>
    <w:p>
      <w:pPr>
        <w:spacing w:line="360" w:lineRule="auto"/>
        <w:jc w:val="both"/>
        <w:rPr>
          <w:rFonts w:ascii="Book Antiqua" w:hAnsi="Book Antiqua"/>
        </w:rPr>
      </w:pPr>
    </w:p>
    <w:p>
      <w:pPr>
        <w:spacing w:line="360" w:lineRule="auto"/>
        <w:jc w:val="both"/>
        <w:rPr>
          <w:rFonts w:ascii="Book Antiqua" w:hAnsi="Book Antiqua" w:eastAsia="Book Antiqua" w:cs="Book Antiqua"/>
          <w:i/>
          <w:color w:val="000000"/>
        </w:rPr>
      </w:pPr>
      <w:r>
        <w:rPr>
          <w:rFonts w:ascii="Book Antiqua" w:hAnsi="Book Antiqua" w:eastAsia="Book Antiqua" w:cs="Book Antiqua"/>
          <w:b/>
          <w:bCs/>
          <w:i/>
          <w:color w:val="000000"/>
        </w:rPr>
        <w:t>Predictive factors for ERCP-related complications after ERCP for CBDS</w:t>
      </w:r>
      <w:r>
        <w:rPr>
          <w:rFonts w:ascii="Book Antiqua" w:hAnsi="Book Antiqua" w:eastAsia="Book Antiqua" w:cs="Book Antiqua"/>
          <w:i/>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The results of univariate and multivariate analyses for risk factors of ERCP-related complications for CBDS are presented in Table 4. In univariate analysis, there was a significant difference in indications of ERCP for CBDS, absence of antibiotics, prolonged procedure, difficult biliary cannulation, pancreatic injection, contrast-assisted cannulation, prophylactic pancreatic stent placement, normal serum bilirubin level, and pancreatic guidewire-assisted cannulation. In multivariate analysis, indications of ERCP for CBDS and absence of antibiotics were significant risk factors for ERCP-related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Several studies reported that ERCP can be performed for biliopancreatic diseases even in elderly patients aged over 80 years</w:t>
      </w:r>
      <w:r>
        <w:rPr>
          <w:rFonts w:ascii="Book Antiqua" w:hAnsi="Book Antiqua" w:eastAsia="Book Antiqua" w:cs="Book Antiqua"/>
          <w:color w:val="000000"/>
          <w:vertAlign w:val="superscript"/>
        </w:rPr>
        <w:t>[2-10]</w:t>
      </w:r>
      <w:r>
        <w:rPr>
          <w:rFonts w:ascii="Book Antiqua" w:hAnsi="Book Antiqua" w:eastAsia="Book Antiqua" w:cs="Book Antiqua"/>
          <w:color w:val="000000"/>
        </w:rPr>
        <w:t>. However, PS is an important factor in deciding the therapeutic strategy in elderly patients with CBDS. Although conservative therapy or therapeutic ERCP can be selected for CBDS in patients with a PS score of 3 or 4, therapeutic ERCP is better because ERCP can resolve CBD obstruction caused by CBDS if ERCP can be performed safely and effectively even in elderly patients with a PS score of 3 or 4.</w:t>
      </w:r>
    </w:p>
    <w:p>
      <w:pPr>
        <w:spacing w:line="360" w:lineRule="auto"/>
        <w:ind w:firstLine="360"/>
        <w:jc w:val="both"/>
        <w:rPr>
          <w:rFonts w:ascii="Book Antiqua" w:hAnsi="Book Antiqua"/>
        </w:rPr>
      </w:pPr>
      <w:r>
        <w:rPr>
          <w:rFonts w:ascii="Book Antiqua" w:hAnsi="Book Antiqua" w:eastAsia="Book Antiqua" w:cs="Book Antiqua"/>
          <w:color w:val="000000"/>
        </w:rPr>
        <w:t>Only a few studies are available on the association between poor PS and ERCP-related complications. Previous studies reported that the rate of overall ERCP-related complications was not different between patients with a PS score of 0-2 and 3 or 4 having biliopancreatic diseases,</w:t>
      </w:r>
      <w:r>
        <w:rPr>
          <w:rFonts w:ascii="Book Antiqua" w:hAnsi="Book Antiqua" w:eastAsia="Book Antiqua" w:cs="Book Antiqua"/>
          <w:color w:val="000000"/>
          <w:vertAlign w:val="superscript"/>
        </w:rPr>
        <w:t>[12,15]</w:t>
      </w:r>
      <w:r>
        <w:rPr>
          <w:rFonts w:ascii="Book Antiqua" w:hAnsi="Book Antiqua" w:eastAsia="Book Antiqua" w:cs="Book Antiqua"/>
          <w:color w:val="000000"/>
        </w:rPr>
        <w:t xml:space="preserve"> but the rates of aspiration pneumonia and heart failure were higher in patients with a PS score of 3 or 4 than in patients with a PS score of 0-2</w:t>
      </w:r>
      <w:r>
        <w:rPr>
          <w:rFonts w:ascii="Book Antiqua" w:hAnsi="Book Antiqua" w:eastAsia="Book Antiqua" w:cs="Book Antiqua"/>
          <w:color w:val="000000"/>
          <w:vertAlign w:val="superscript"/>
        </w:rPr>
        <w:t>[12]</w:t>
      </w:r>
      <w:r>
        <w:rPr>
          <w:rFonts w:ascii="Book Antiqua" w:hAnsi="Book Antiqua" w:eastAsia="Book Antiqua" w:cs="Book Antiqua"/>
          <w:color w:val="000000"/>
        </w:rPr>
        <w:t>. Another retrospective study reported that the risk of pulmonary and severe complications was high, although ERCP could be performed effectively in patients with a PS score of 4</w:t>
      </w:r>
      <w:r>
        <w:rPr>
          <w:rFonts w:ascii="Book Antiqua" w:hAnsi="Book Antiqua" w:eastAsia="Book Antiqua" w:cs="Book Antiqua"/>
          <w:color w:val="000000"/>
          <w:vertAlign w:val="superscript"/>
        </w:rPr>
        <w:t>[11]</w:t>
      </w:r>
      <w:r>
        <w:rPr>
          <w:rFonts w:ascii="Book Antiqua" w:hAnsi="Book Antiqua" w:eastAsia="Book Antiqua" w:cs="Book Antiqua"/>
          <w:color w:val="000000"/>
        </w:rPr>
        <w:t>. These studies included not only patients with CBDS but also patients with various biliopancreatic diseases.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we examined the outcomes of ERCP in patients with CBDS, which is the most common indication for ERCP. The rates of therapeutic success, including complete stone removal and permanent biliary stent placement, were comparable between patients with a PS score of 0-2 and those with a PS score of 3 or 4. Although the rates of overall and each ERCP-related complication were not different between the two groups, complications were generally observed to be more severe in patients with a PS score of 3 or 4. Therefore, ERCP for CBDS can be performed effectively in patients with a PS score of 3 or 4. However, endoscopists should try their best to reduce the occurrence of ERCP-related complications because these complications can be more severe in patients with a PS score of 3 or 4.</w:t>
      </w:r>
    </w:p>
    <w:p>
      <w:pPr>
        <w:spacing w:line="360" w:lineRule="auto"/>
        <w:ind w:firstLine="360"/>
        <w:jc w:val="both"/>
        <w:rPr>
          <w:rFonts w:ascii="Book Antiqua" w:hAnsi="Book Antiqua"/>
        </w:rPr>
      </w:pPr>
      <w:r>
        <w:rPr>
          <w:rFonts w:ascii="Book Antiqua" w:hAnsi="Book Antiqua" w:eastAsia="Book Antiqua" w:cs="Book Antiqua"/>
          <w:color w:val="000000"/>
        </w:rPr>
        <w:t>In this study, indications of ERCP for CBDS and absence of antibiotics were significant risk factors for ERCP-related complications in the multivariate analysis. While the patients with acute cholangitis and biliary pancreatitis had a low risk for ERCP-related complications, those with obstructive jaundice without cholangitis and asymptomatic CBDS had a high risk for ERCP-related complications. Therefore, we emphasize that the indication of ERCP for CBDS should be carefully considered in patients with a PS score of 3 or 4. Although patients with acute cholangitis and biliary pancreatitis should be endoscopically treated, conservative treatment or follow-up strategy might be considered as an appropriate alternative in patients without acute cholangitis, especially those with asymptomatic CBDS. Regarding the use of antibiotics, the European Society of Gastrointestinal Endoscopy guidelines suggested the use of antibiotic prophylaxis in selected patients such as immunocompromised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Antibiotic prophylaxis before ERCP to prevent ERCP-related cholangitis and aspiration pneumonia may be administered in patients with a PS score of 3 or 4 because such patients can be immunocompromised.</w:t>
      </w:r>
    </w:p>
    <w:p>
      <w:pPr>
        <w:spacing w:line="360" w:lineRule="auto"/>
        <w:ind w:firstLine="360"/>
        <w:jc w:val="both"/>
        <w:rPr>
          <w:rFonts w:ascii="Book Antiqua" w:hAnsi="Book Antiqua"/>
        </w:rPr>
      </w:pPr>
      <w:r>
        <w:rPr>
          <w:rFonts w:ascii="Book Antiqua" w:hAnsi="Book Antiqua" w:eastAsia="Book Antiqua" w:cs="Book Antiqua"/>
          <w:color w:val="000000"/>
        </w:rPr>
        <w:t>A previous study revealed that long procedure time was a significant risk factor for ERCP-related complications in patients with a PS score of 4</w:t>
      </w:r>
      <w:r>
        <w:rPr>
          <w:rFonts w:ascii="Book Antiqua" w:hAnsi="Book Antiqua" w:eastAsia="Book Antiqua" w:cs="Book Antiqua"/>
          <w:color w:val="000000"/>
          <w:vertAlign w:val="superscript"/>
        </w:rPr>
        <w:t>[11]</w:t>
      </w:r>
      <w:r>
        <w:rPr>
          <w:rFonts w:ascii="Book Antiqua" w:hAnsi="Book Antiqua" w:eastAsia="Book Antiqua" w:cs="Book Antiqua"/>
          <w:color w:val="000000"/>
        </w:rPr>
        <w:t>. Although not statistically significant, a prolonged ERCP procedure tended to increase ERCP-related complications in this study. Permanent biliary stent placement without CBDS removal is a therapeutic option to shorten the procedure time. However, a randomized control trial demonstrated that</w:t>
      </w:r>
      <w:r>
        <w:rPr>
          <w:rFonts w:ascii="Book Antiqua" w:hAnsi="Book Antiqua" w:eastAsia="Book Antiqua" w:cs="Book Antiqua"/>
          <w:color w:val="000000"/>
          <w:shd w:val="clear" w:color="auto" w:fill="FFFFFF"/>
        </w:rPr>
        <w:t xml:space="preserve"> long-term biliary complications at a median follow-up duration of 20 mo were significantly higher in the permanent biliary stent placement group (complication rate: 36%) than in the complete CBDS removal group (complication rate: 14%)</w:t>
      </w:r>
      <w:r>
        <w:rPr>
          <w:rFonts w:ascii="Book Antiqua" w:hAnsi="Book Antiqua" w:eastAsia="Book Antiqua" w:cs="Book Antiqua"/>
          <w:color w:val="000000"/>
          <w:vertAlign w:val="superscript"/>
        </w:rPr>
        <w:t>[17]</w:t>
      </w:r>
      <w:r>
        <w:rPr>
          <w:rFonts w:ascii="Book Antiqua" w:hAnsi="Book Antiqua" w:eastAsia="Book Antiqua" w:cs="Book Antiqua"/>
          <w:color w:val="000000"/>
          <w:shd w:val="clear" w:color="auto" w:fill="FFFFFF"/>
        </w:rPr>
        <w:t>. Another retrospective study at a median follow-up duration of 623 d showed similar results</w:t>
      </w:r>
      <w:r>
        <w:rPr>
          <w:rFonts w:ascii="Book Antiqua" w:hAnsi="Book Antiqua" w:eastAsia="Book Antiqua" w:cs="Book Antiqua"/>
          <w:color w:val="000000"/>
          <w:vertAlign w:val="superscript"/>
        </w:rPr>
        <w:t>[18]</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Therefore, complete CBDS removal should be considered at first, and permanent biliary stent placement can be an option in patients with a PS score of 3 or 4 for whom a short prognosis is predicted, who have an underlying disease that is severe, and who are expected to receive prolonged ERCP procedures such as for large and multiple CBDS.</w:t>
      </w:r>
    </w:p>
    <w:p>
      <w:pPr>
        <w:spacing w:line="360" w:lineRule="auto"/>
        <w:ind w:firstLine="360"/>
        <w:jc w:val="both"/>
        <w:rPr>
          <w:rFonts w:ascii="Book Antiqua" w:hAnsi="Book Antiqua"/>
        </w:rPr>
      </w:pPr>
      <w:r>
        <w:rPr>
          <w:rFonts w:ascii="Book Antiqua" w:hAnsi="Book Antiqua" w:eastAsia="Book Antiqua" w:cs="Book Antiqua"/>
          <w:color w:val="000000"/>
        </w:rPr>
        <w:t>Unlike the results of previous reports</w:t>
      </w:r>
      <w:r>
        <w:rPr>
          <w:rFonts w:ascii="Book Antiqua" w:hAnsi="Book Antiqua" w:eastAsia="Book Antiqua" w:cs="Book Antiqua"/>
          <w:color w:val="000000"/>
          <w:vertAlign w:val="superscript"/>
        </w:rPr>
        <w:t>[11,12]</w:t>
      </w:r>
      <w:r>
        <w:rPr>
          <w:rFonts w:ascii="Book Antiqua" w:hAnsi="Book Antiqua" w:eastAsia="Book Antiqua" w:cs="Book Antiqua"/>
          <w:color w:val="000000"/>
        </w:rPr>
        <w:t>, the rates of aspiration pneumonia were not different between the two groups, and there were no cardiovascular complications in this study. Our sedation protocol using the data pertaining to the age and weight of patients may be attributed to a low incidence of aspiration pneumonia in patients with a PS score of 3 or 4 in this study. Furthermore, careful vital sign monitoring was performed during ERCP, particularly in patients with poor PS.</w:t>
      </w:r>
    </w:p>
    <w:p>
      <w:pPr>
        <w:spacing w:line="360" w:lineRule="auto"/>
        <w:ind w:firstLine="360"/>
        <w:jc w:val="both"/>
        <w:rPr>
          <w:rFonts w:ascii="Book Antiqua" w:hAnsi="Book Antiqua"/>
        </w:rPr>
      </w:pPr>
      <w:r>
        <w:rPr>
          <w:rFonts w:ascii="Book Antiqua" w:hAnsi="Book Antiqua" w:eastAsia="Book Antiqua" w:cs="Book Antiqua"/>
          <w:color w:val="000000"/>
        </w:rPr>
        <w:t>There are several limitations of this study. First, this was a retrospective study that included specialized centers in Japan. Second, although we balanced patients’ characteristics using one-to-one propensity score matching, some unmeasured confounding factors may exist. Therefore, some selection bias may not be excluded. Third, long-term outcomes of ERCP were not examined in this study. Future multicenter studies including large patient cohorts from institutions with different ERCP experiences are warranted to confirm the safety and efficacy of ERCP for CBDS in patients with a PS score of 3 or 4.</w:t>
      </w:r>
    </w:p>
    <w:p>
      <w:pPr>
        <w:spacing w:line="360" w:lineRule="auto"/>
        <w:ind w:firstLine="360"/>
        <w:jc w:val="both"/>
        <w:rPr>
          <w:rFonts w:ascii="Book Antiqua" w:hAnsi="Book Antiqua"/>
        </w:rPr>
      </w:pPr>
      <w:r>
        <w:rPr>
          <w:rFonts w:ascii="Book Antiqua" w:hAnsi="Book Antiqua" w:eastAsia="Book Antiqua" w:cs="Book Antiqua"/>
          <w:color w:val="000000"/>
        </w:rPr>
        <w:t>In conclusion, ERCP for CBDS in patients with a PS score of 3 or 4 can be performed effectively. Thus, endoscopists should not be reluctant to perform ERCP for CBDS in patients with a PS score 3 or 4. Nevertheless, the indication of ERCP for CBDS, particularly in patients with asymptomatic CBDS, requires careful consideration, and antibiotics should be used before ERCP in patients with a PS score of 3 or 4.</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ERCP for CBDS in patients with a PS score of 3 or 4 can be performed effectively. Thus, endoscopists should not be reluctant to perform ERCP for CBDS in patients with a PS score 3 or 4. Nevertheless, the indication of ERCP for CBDS, particularly in patients with asymptomatic CBDS, requires careful consideration, and antibiotics should be used before ERCP in patients with a PS score of 3 or 4.</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In parallel with the growing aging population worldwide, endoscopic retrograde cholangiopancreatography (ERCP) is being increasingly used in the treatment of common bile duct stones (CBDS) in patients with a poor performance status (PS). Therefore, determining the safety and efficacy of ERCP for CBDS in patients with a PS score of 3 or 4 is essential.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PS is an important tool to elucidate the indications and strategies of ERCP for CBDS in elderly patients. However, few studies examined the safety and efficacy of ERCP for CBDS in patients with a poor 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examine the safety and efficacy of ERCP for CBDS in patients with poor PS, which is defined as a PS score of 3 or 4.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reviewed the medical records of three institutions in Japan from April 2012 to February 2020. The exclusion criteria were (1) failure to detect CBDS during ERCP; (2) history of therapeutic ERCP; (3) and an already surgically altered gastrointestinal tract including Billroth II or Roux-en-Y reconstruction. Finally, we identified 1343 patients with choledocholithiasis who met the inclusion criteria for the study, and 1113 and 230 patients had PS scores of 0-2 and 3 or 4, respectively. One-to-one propensity score matching was performed to compare the safety and efficacy of ERCP for CBDS between patients with PS scores of 0-2 and 3 or 4.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overall ERCP-related complication rates in all patients with PS scores of 0-2 and 3 or 4 were 9.0% (100/1113) and 7.0% (16/230; </w:t>
      </w:r>
      <w:r>
        <w:rPr>
          <w:rFonts w:ascii="Book Antiqua" w:hAnsi="Book Antiqua" w:eastAsia="Book Antiqua" w:cs="Book Antiqua"/>
          <w:i/>
          <w:iCs/>
          <w:color w:val="000000"/>
        </w:rPr>
        <w:t>P</w:t>
      </w:r>
      <w:r>
        <w:rPr>
          <w:rFonts w:ascii="Book Antiqua" w:hAnsi="Book Antiqua" w:eastAsia="Book Antiqua" w:cs="Book Antiqua"/>
          <w:color w:val="000000"/>
        </w:rPr>
        <w:t xml:space="preserve"> = 0.37), respectively. In the propensity score-matched group, the overall ERCP-related complication rates were 4.6% (9/196) and 6.6% (13/196; </w:t>
      </w:r>
      <w:r>
        <w:rPr>
          <w:rFonts w:ascii="Book Antiqua" w:hAnsi="Book Antiqua" w:eastAsia="Book Antiqua" w:cs="Book Antiqua"/>
          <w:i/>
          <w:iCs/>
          <w:color w:val="000000"/>
        </w:rPr>
        <w:t>P</w:t>
      </w:r>
      <w:r>
        <w:rPr>
          <w:rFonts w:ascii="Book Antiqua" w:hAnsi="Book Antiqua" w:eastAsia="Book Antiqua" w:cs="Book Antiqua"/>
          <w:color w:val="000000"/>
        </w:rPr>
        <w:t xml:space="preserve"> = 0.51) among patients with PS scores of 0-2 and PS 3-4, respectively, and complications were significantly more severe in the group with a PS score of 3-4 than in the groups with a PS score of 0-2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In multivariate analysis, risk factors for ERCP-related complications were indication of ERCP and absence of antibiotics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0.034, respectively). Particularly, absence of acute cholangitis including asymptomatic CBDS, was associated with increased risk of ERCP-related complications. Therapeutic success rates, including complete CBDS removal and permanent biliary stent placement, in propensity score-matched patients with PS scores of 0-2 and 3 or 4 were 97.4% (191/196) and 97.4% (191/196),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1.0).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ERCP for CBDS can be performed effectively in patients with a PS score of 3 or 4. The rates of ERCP-related complications were similar between the patients with PS scores of 0-2 and 3 or 4; however, their severity was higher in the group with a PS score of 3 or 4 than in the group with a PS score of 0-2. The indication of ERCP for CBDS, particularly in patients with asymptomatic CBDS, requires careful consideration, and antibiotics should be administrated before ERCP in patients with a PS score of 3 or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retrospective study design that included specialized centers in Japan was an important limitation of this study. Future multicenter studies including large patient cohorts from institutions with different ERCP experiences are warranted to confirm our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thank the staff involved in</w:t>
      </w:r>
      <w:r>
        <w:rPr>
          <w:rFonts w:ascii="Book Antiqua" w:hAnsi="Book Antiqua" w:eastAsia="Book Antiqua" w:cs="Book Antiqua"/>
          <w:b/>
          <w:bCs/>
          <w:color w:val="000000"/>
        </w:rPr>
        <w:t xml:space="preserve"> </w:t>
      </w:r>
      <w:r>
        <w:rPr>
          <w:rFonts w:ascii="Book Antiqua" w:hAnsi="Book Antiqua" w:eastAsia="Book Antiqua" w:cs="Book Antiqua"/>
          <w:color w:val="000000"/>
        </w:rPr>
        <w:t>ERCP at the participating institutions, including Drs. Atsushi Fujimoto, Kana Oomoto, and Yoshitaka Kadowaki at Kumamoto City Hospital; and Yuki Iwagoi, Hajime Iwasaki, and Hibiki Ootani at Kumamoto Chuo Hospital; Satoshi Yamabe at Saiseikai Kumamoto Hospital.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Oken MM</w:t>
      </w:r>
      <w:r>
        <w:rPr>
          <w:rFonts w:ascii="Book Antiqua" w:hAnsi="Book Antiqua" w:eastAsia="Book Antiqua" w:cs="Book Antiqua"/>
          <w:color w:val="000000"/>
        </w:rPr>
        <w:t xml:space="preserve">, Creech RH, Tormey DC, Horton J, Davis TE, McFadden ET, Carbone PP. Toxicity and response criteria of the Eastern Cooperative Oncology Group. </w:t>
      </w:r>
      <w:r>
        <w:rPr>
          <w:rFonts w:ascii="Book Antiqua" w:hAnsi="Book Antiqua" w:eastAsia="Book Antiqua" w:cs="Book Antiqua"/>
          <w:i/>
          <w:iCs/>
          <w:color w:val="000000"/>
        </w:rPr>
        <w:t>Am J Clin Oncol</w:t>
      </w:r>
      <w:r>
        <w:rPr>
          <w:rFonts w:ascii="Book Antiqua" w:hAnsi="Book Antiqua" w:eastAsia="Book Antiqua" w:cs="Book Antiqua"/>
          <w:color w:val="000000"/>
        </w:rPr>
        <w:t xml:space="preserve"> 1982; </w:t>
      </w:r>
      <w:r>
        <w:rPr>
          <w:rFonts w:ascii="Book Antiqua" w:hAnsi="Book Antiqua" w:eastAsia="Book Antiqua" w:cs="Book Antiqua"/>
          <w:b/>
          <w:bCs/>
          <w:color w:val="000000"/>
        </w:rPr>
        <w:t>5</w:t>
      </w:r>
      <w:r>
        <w:rPr>
          <w:rFonts w:ascii="Book Antiqua" w:hAnsi="Book Antiqua" w:eastAsia="Book Antiqua" w:cs="Book Antiqua"/>
          <w:color w:val="000000"/>
        </w:rPr>
        <w:t>: 649-655 [PMID: 7165009]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Katsinelos P</w:t>
      </w:r>
      <w:r>
        <w:rPr>
          <w:rFonts w:ascii="Book Antiqua" w:hAnsi="Book Antiqua" w:eastAsia="Book Antiqua" w:cs="Book Antiqua"/>
          <w:color w:val="000000"/>
        </w:rPr>
        <w:t xml:space="preserve">, Paroutoglou G, Kountouras J, Zavos C, Beltsis A, Tzovaras G. Efficacy and safety of therapeutic ERCP in patients 90 years of age and older.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2006; </w:t>
      </w:r>
      <w:r>
        <w:rPr>
          <w:rFonts w:ascii="Book Antiqua" w:hAnsi="Book Antiqua" w:eastAsia="Book Antiqua" w:cs="Book Antiqua"/>
          <w:b/>
          <w:bCs/>
          <w:color w:val="000000"/>
        </w:rPr>
        <w:t>63</w:t>
      </w:r>
      <w:r>
        <w:rPr>
          <w:rFonts w:ascii="Book Antiqua" w:hAnsi="Book Antiqua" w:eastAsia="Book Antiqua" w:cs="Book Antiqua"/>
          <w:color w:val="000000"/>
        </w:rPr>
        <w:t>: 417-423 [PMID: 16500389 DOI: 10.1016/j.gie.2005.09.051]</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Fritz E</w:t>
      </w:r>
      <w:r>
        <w:rPr>
          <w:rFonts w:ascii="Book Antiqua" w:hAnsi="Book Antiqua" w:eastAsia="Book Antiqua" w:cs="Book Antiqua"/>
          <w:color w:val="000000"/>
        </w:rPr>
        <w:t xml:space="preserve">, Kirchgatterer A, Hubner D, Aschl G, Hinterreiter M, Stadler B, Knoflach P. ERCP is safe and effective in patients 80 years of age and older compared with younger patients.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2006; </w:t>
      </w:r>
      <w:r>
        <w:rPr>
          <w:rFonts w:ascii="Book Antiqua" w:hAnsi="Book Antiqua" w:eastAsia="Book Antiqua" w:cs="Book Antiqua"/>
          <w:b/>
          <w:bCs/>
          <w:color w:val="000000"/>
        </w:rPr>
        <w:t>64</w:t>
      </w:r>
      <w:r>
        <w:rPr>
          <w:rFonts w:ascii="Book Antiqua" w:hAnsi="Book Antiqua" w:eastAsia="Book Antiqua" w:cs="Book Antiqua"/>
          <w:color w:val="000000"/>
        </w:rPr>
        <w:t>: 899-905 [PMID: 17140895 DOI: 10.1016/j.gie.2006.05.010]</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Yun DY</w:t>
      </w:r>
      <w:r>
        <w:rPr>
          <w:rFonts w:ascii="Book Antiqua" w:hAnsi="Book Antiqua" w:eastAsia="Book Antiqua" w:cs="Book Antiqua"/>
          <w:color w:val="000000"/>
        </w:rPr>
        <w:t xml:space="preserve">, Han J, Oh JS, Park KW, Shin IH, Kim HG. Is endoscopic retrograde cholangiopancreatography safe in patients 90 years of age and older? </w:t>
      </w:r>
      <w:r>
        <w:rPr>
          <w:rFonts w:ascii="Book Antiqua" w:hAnsi="Book Antiqua" w:eastAsia="Book Antiqua" w:cs="Book Antiqua"/>
          <w:i/>
          <w:iCs/>
          <w:color w:val="000000"/>
        </w:rPr>
        <w:t>Gut Liver</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552-556 [PMID: 25228977 DOI: 10.5009/gnl13310]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Han SJ</w:t>
      </w:r>
      <w:r>
        <w:rPr>
          <w:rFonts w:ascii="Book Antiqua" w:hAnsi="Book Antiqua" w:eastAsia="Book Antiqua" w:cs="Book Antiqua"/>
          <w:color w:val="000000"/>
        </w:rPr>
        <w:t xml:space="preserve">, Lee TH, Kang BI, Choi HJ, Lee YN, Cha SW, Moon JH, Cho YD, Park SH, Kim SJ. Efficacy and Safety of Therapeutic Endoscopic Retrograde Cholangiopancreatography in the Elderly Over 80 Years.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61</w:t>
      </w:r>
      <w:r>
        <w:rPr>
          <w:rFonts w:ascii="Book Antiqua" w:hAnsi="Book Antiqua" w:eastAsia="Book Antiqua" w:cs="Book Antiqua"/>
          <w:color w:val="000000"/>
        </w:rPr>
        <w:t>: 2094-2101 [PMID: 26873537 DOI: 10.1007/s10620-016-4064-y]</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Saito H</w:t>
      </w:r>
      <w:r>
        <w:rPr>
          <w:rFonts w:ascii="Book Antiqua" w:hAnsi="Book Antiqua" w:eastAsia="Book Antiqua" w:cs="Book Antiqua"/>
          <w:color w:val="000000"/>
        </w:rPr>
        <w:t xml:space="preserve">, Koga T, Sakaguchi M, Kadono Y, Kamikawa K, Urata A, Imamura H, Tada S, Kakuma T, Matsushita I. Safety and Efficacy of Endoscopic Removal of Common Bile Duct Stones in Elderly Patients ≥90 Years of Age.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2125-2132 [PMID: 30996182 DOI: 10.2169/internalmedicine.2546-18]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Tohda G</w:t>
      </w:r>
      <w:r>
        <w:rPr>
          <w:rFonts w:ascii="Book Antiqua" w:hAnsi="Book Antiqua" w:eastAsia="Book Antiqua" w:cs="Book Antiqua"/>
          <w:color w:val="000000"/>
        </w:rPr>
        <w:t xml:space="preserve">, Ohtani M, Dochin M. Efficacy and safety of emergency endoscopic retrograde cholangiopancreatography for acute cholangitis in the elderly.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8382-8388 [PMID: 27729744 DOI: 10.3748/wjg.v22.i37.8382]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Obana T</w:t>
      </w:r>
      <w:r>
        <w:rPr>
          <w:rFonts w:ascii="Book Antiqua" w:hAnsi="Book Antiqua" w:eastAsia="Book Antiqua" w:cs="Book Antiqua"/>
          <w:color w:val="000000"/>
        </w:rPr>
        <w:t xml:space="preserve">, Fujita N, Noda Y, Kobayashi G, Ito K, Horaguchi J, Koshita S, Kanno Y, Yamashita Y, Kato Y, Ogawa T. Efficacy and safety of therapeutic ERCP for the elderly with choledocholithiasis: comparison with younger patients.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49</w:t>
      </w:r>
      <w:r>
        <w:rPr>
          <w:rFonts w:ascii="Book Antiqua" w:hAnsi="Book Antiqua" w:eastAsia="Book Antiqua" w:cs="Book Antiqua"/>
          <w:color w:val="000000"/>
        </w:rPr>
        <w:t>: 1935-1941 [PMID: 20847495 DOI: 10.2169/internalmedicine.49.3660]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Iida T</w:t>
      </w:r>
      <w:r>
        <w:rPr>
          <w:rFonts w:ascii="Book Antiqua" w:hAnsi="Book Antiqua" w:eastAsia="Book Antiqua" w:cs="Book Antiqua"/>
          <w:color w:val="000000"/>
        </w:rPr>
        <w:t xml:space="preserve">, Kaneto H, Wagatsuma K, Sasaki H, Naganawa Y, Nakagaki S, Satoh S, Shimizu H, Nakase H. Efficacy and safety of endoscopic procedures for common bile duct stones in patients aged 85 years or older: A retrospective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e0190665 [PMID: 29298346 DOI: 10.1371/journal.pone.0190665]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Kanamori A</w:t>
      </w:r>
      <w:r>
        <w:rPr>
          <w:rFonts w:ascii="Book Antiqua" w:hAnsi="Book Antiqua" w:eastAsia="Book Antiqua" w:cs="Book Antiqua"/>
          <w:color w:val="000000"/>
        </w:rPr>
        <w:t xml:space="preserve">, Kiriyama S, Tanikawa M, Hisanaga Y, Toyoda H, Tada T, Kitabatake S, Kaneoka Y, Maeda A, Kumada T. Long- and short-term outcomes of ERCP for bile duct stones in patients over 80 years old compared to younger patients: a propensity score analysis.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E83-E90 [PMID: 26793790 DOI: 10.1055/s-0041-108194]</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Kitano R</w:t>
      </w:r>
      <w:r>
        <w:rPr>
          <w:rFonts w:ascii="Book Antiqua" w:hAnsi="Book Antiqua" w:eastAsia="Book Antiqua" w:cs="Book Antiqua"/>
          <w:color w:val="000000"/>
        </w:rPr>
        <w:t xml:space="preserve">, Inoue T, Ibusuki M, Kobayashi Y, Ohashi T, Sumida Y, Nakade Y, Ito K, Yoneda M. Safety and Efficacy of Endoscopic Retrograde Cholangiopancreatography in Patients with Performance Status 4.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66</w:t>
      </w:r>
      <w:r>
        <w:rPr>
          <w:rFonts w:ascii="Book Antiqua" w:hAnsi="Book Antiqua" w:eastAsia="Book Antiqua" w:cs="Book Antiqua"/>
          <w:color w:val="000000"/>
        </w:rPr>
        <w:t>: 1291-1296 [PMID: 32440744 DOI: 10.1007/s10620-020-06339-7]</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Takahashi K</w:t>
      </w:r>
      <w:r>
        <w:rPr>
          <w:rFonts w:ascii="Book Antiqua" w:hAnsi="Book Antiqua" w:eastAsia="Book Antiqua" w:cs="Book Antiqua"/>
          <w:color w:val="000000"/>
        </w:rPr>
        <w:t xml:space="preserve">, Nihei T, Aoki Y, Nakagawa M, Konno N, Munakata A, Okawara K, Kashimura H. Efficacy and safety of therapeutic endoscopic retrograde cholangiopancreatography in patients with native papillae with a performance status score of 3 or 4: A single-center retrospective study. </w:t>
      </w:r>
      <w:r>
        <w:rPr>
          <w:rFonts w:ascii="Book Antiqua" w:hAnsi="Book Antiqua" w:eastAsia="Book Antiqua" w:cs="Book Antiqua"/>
          <w:i/>
          <w:iCs/>
          <w:color w:val="000000"/>
        </w:rPr>
        <w:t>J Rural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226-230 [PMID: 31788147 DOI: 10.2185/jrm.19-3007]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Cotton PB</w:t>
      </w:r>
      <w:r>
        <w:rPr>
          <w:rFonts w:ascii="Book Antiqua" w:hAnsi="Book Antiqua" w:eastAsia="Book Antiqua" w:cs="Book Antiqua"/>
          <w:color w:val="000000"/>
        </w:rPr>
        <w:t xml:space="preserve">, Eisen GM, Aabakken L, Baron TH, Hutter MM, Jacobson BC, Mergener K, Nemcek A Jr, Petersen BT, Petrini JL, Pike IM, Rabeneck L, Romagnuolo J, Vargo JJ. A lexicon for endoscopic adverse events: report of an ASGE workshop.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71</w:t>
      </w:r>
      <w:r>
        <w:rPr>
          <w:rFonts w:ascii="Book Antiqua" w:hAnsi="Book Antiqua" w:eastAsia="Book Antiqua" w:cs="Book Antiqua"/>
          <w:color w:val="000000"/>
        </w:rPr>
        <w:t>: 446-454 [PMID: 20189503 DOI: 10.1016/j.gie.2009.10.027]</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Kanda Y</w:t>
      </w:r>
      <w:r>
        <w:rPr>
          <w:rFonts w:ascii="Book Antiqua" w:hAnsi="Book Antiqua" w:eastAsia="Book Antiqua" w:cs="Book Antiqua"/>
          <w:color w:val="000000"/>
        </w:rPr>
        <w:t xml:space="preserve">. Investigation of the freely available easy-to-use software 'EZR' for medical statistics. </w:t>
      </w:r>
      <w:r>
        <w:rPr>
          <w:rFonts w:ascii="Book Antiqua" w:hAnsi="Book Antiqua" w:eastAsia="Book Antiqua" w:cs="Book Antiqua"/>
          <w:i/>
          <w:iCs/>
          <w:color w:val="000000"/>
        </w:rPr>
        <w:t>Bone Marrow Transplant</w:t>
      </w:r>
      <w:r>
        <w:rPr>
          <w:rFonts w:ascii="Book Antiqua" w:hAnsi="Book Antiqua" w:eastAsia="Book Antiqua" w:cs="Book Antiqua"/>
          <w:color w:val="000000"/>
        </w:rPr>
        <w:t xml:space="preserve"> 2013; </w:t>
      </w:r>
      <w:r>
        <w:rPr>
          <w:rFonts w:ascii="Book Antiqua" w:hAnsi="Book Antiqua" w:eastAsia="Book Antiqua" w:cs="Book Antiqua"/>
          <w:b/>
          <w:bCs/>
          <w:color w:val="000000"/>
        </w:rPr>
        <w:t>48</w:t>
      </w:r>
      <w:r>
        <w:rPr>
          <w:rFonts w:ascii="Book Antiqua" w:hAnsi="Book Antiqua" w:eastAsia="Book Antiqua" w:cs="Book Antiqua"/>
          <w:color w:val="000000"/>
        </w:rPr>
        <w:t>: 452-458 [PMID: 23208313 DOI: 10.1038/bmt.2012.244]</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Park TY</w:t>
      </w:r>
      <w:r>
        <w:rPr>
          <w:rFonts w:ascii="Book Antiqua" w:hAnsi="Book Antiqua" w:eastAsia="Book Antiqua" w:cs="Book Antiqua"/>
          <w:color w:val="000000"/>
        </w:rPr>
        <w:t xml:space="preserve">, Choi JS, Oh HC, Kim JW, Do JH, Jung YH. Assessment of safety of non-anesthesiologist-assisted endoscopic retrograde cholangiopancreatography based on performance status in elderly patients.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1943-1948 [PMID: 24730577 DOI: 10.1111/jgh.12608]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Dumonceau JM</w:t>
      </w:r>
      <w:r>
        <w:rPr>
          <w:rFonts w:ascii="Book Antiqua" w:hAnsi="Book Antiqua" w:eastAsia="Book Antiqua" w:cs="Book Antiqua"/>
          <w:color w:val="000000"/>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127-149 [PMID: 31863440 DOI: 10.1055/a-1075-4080]</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Chopra KB</w:t>
      </w:r>
      <w:r>
        <w:rPr>
          <w:rFonts w:ascii="Book Antiqua" w:hAnsi="Book Antiqua" w:eastAsia="Book Antiqua" w:cs="Book Antiqua"/>
          <w:color w:val="000000"/>
        </w:rPr>
        <w:t xml:space="preserve">, Peters RA, O'Toole PA, Williams SG, Gimson AE, Lombard MG, Westaby D. Randomised study of endoscopic biliary endoprosthesis </w:t>
      </w:r>
      <w:r>
        <w:rPr>
          <w:rFonts w:ascii="Book Antiqua" w:hAnsi="Book Antiqua" w:eastAsia="Book Antiqua" w:cs="Book Antiqua"/>
          <w:i/>
          <w:iCs/>
          <w:color w:val="000000"/>
        </w:rPr>
        <w:t>vs</w:t>
      </w:r>
      <w:r>
        <w:rPr>
          <w:rFonts w:ascii="Book Antiqua" w:hAnsi="Book Antiqua" w:eastAsia="Book Antiqua" w:cs="Book Antiqua"/>
          <w:color w:val="000000"/>
        </w:rPr>
        <w:t xml:space="preserve"> duct clearance for bileduct stones in high-risk patients.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1996; </w:t>
      </w:r>
      <w:r>
        <w:rPr>
          <w:rFonts w:ascii="Book Antiqua" w:hAnsi="Book Antiqua" w:eastAsia="Book Antiqua" w:cs="Book Antiqua"/>
          <w:b/>
          <w:bCs/>
          <w:color w:val="000000"/>
        </w:rPr>
        <w:t>348</w:t>
      </w:r>
      <w:r>
        <w:rPr>
          <w:rFonts w:ascii="Book Antiqua" w:hAnsi="Book Antiqua" w:eastAsia="Book Antiqua" w:cs="Book Antiqua"/>
          <w:color w:val="000000"/>
        </w:rPr>
        <w:t>: 791-793 [PMID: 8813987 DOI: 10.1016/S0140-6736(96)06316-7]</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Akazawa Y</w:t>
      </w:r>
      <w:r>
        <w:rPr>
          <w:rFonts w:ascii="Book Antiqua" w:hAnsi="Book Antiqua" w:eastAsia="Book Antiqua" w:cs="Book Antiqua"/>
          <w:color w:val="000000"/>
        </w:rPr>
        <w:t xml:space="preserve">, Ohtani M, Nosaka T, Saito Y, Takahashi K, Naito T, Ofuji K, Matsuda H, Hiramatsu K, Nemoto T, Nakamoto Y. Long-term prognosis after biliary stenting for common bile duct stones in high-risk elderly patients.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626-634 [PMID: 30117280 DOI: 10.1111/1751-2980.12656]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institutional review boards of the participating institutions approved this study.</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b/>
          <w:color w:val="000000"/>
        </w:rPr>
        <w:t>Informed consent statement</w:t>
      </w:r>
      <w:r>
        <w:rPr>
          <w:rFonts w:hint="eastAsia" w:ascii="Book Antiqua" w:hAnsi="Book Antiqua"/>
          <w:b/>
          <w:bCs/>
          <w:iCs/>
          <w:color w:val="000000"/>
          <w:lang w:eastAsia="zh-CN"/>
        </w:rPr>
        <w:t>:</w:t>
      </w:r>
      <w:r>
        <w:rPr>
          <w:rFonts w:ascii="Book Antiqua" w:hAnsi="Book Antiqua"/>
          <w:bCs/>
          <w:iCs/>
          <w:color w:val="000000"/>
          <w:lang w:eastAsia="zh-CN"/>
        </w:rPr>
        <w:t xml:space="preserve"> All study participants or their legal guardian provided informed written consent about personal and medical data collection prior to study enrolment.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are no conflicts of interest in relation to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eastAsia="宋体"/>
          <w:b/>
          <w:bCs/>
          <w:lang w:eastAsia="zh-CN"/>
        </w:rPr>
      </w:pPr>
      <w:r>
        <w:rPr>
          <w:rStyle w:val="10"/>
          <w:rFonts w:ascii="Book Antiqua" w:hAnsi="Book Antiqua"/>
        </w:rPr>
        <w:t>STROBE statement</w:t>
      </w:r>
      <w:r>
        <w:rPr>
          <w:rStyle w:val="10"/>
          <w:rFonts w:hint="eastAsia" w:ascii="Book Antiqua" w:hAnsi="Book Antiqua" w:eastAsia="宋体"/>
          <w:lang w:eastAsia="zh-CN"/>
        </w:rPr>
        <w:t>:</w:t>
      </w:r>
      <w:r>
        <w:t xml:space="preserve"> </w:t>
      </w:r>
      <w:r>
        <w:rPr>
          <w:rStyle w:val="10"/>
          <w:rFonts w:ascii="Book Antiqua" w:hAnsi="Book Antiqua" w:eastAsia="宋体"/>
          <w:b w:val="0"/>
          <w:lang w:eastAsia="zh-CN"/>
        </w:rPr>
        <w:t>All 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Brown J, United States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Hauser G, Croatia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Liu JH</w:t>
      </w:r>
    </w:p>
    <w:p>
      <w:pPr>
        <w:spacing w:line="360" w:lineRule="auto"/>
        <w:jc w:val="both"/>
        <w:rPr>
          <w:rFonts w:ascii="Book Antiqua" w:hAnsi="Book Antiqua" w:eastAsia="Yu Gothic"/>
          <w:b/>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bookmarkStart w:id="0" w:name="_Hlk88046706"/>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Table 1 Baseline characteristics of the patients</w:t>
      </w:r>
    </w:p>
    <w:tbl>
      <w:tblPr>
        <w:tblStyle w:val="8"/>
        <w:tblW w:w="1384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99" w:type="dxa"/>
          <w:bottom w:w="0" w:type="dxa"/>
          <w:right w:w="99" w:type="dxa"/>
        </w:tblCellMar>
      </w:tblPr>
      <w:tblGrid>
        <w:gridCol w:w="5236"/>
        <w:gridCol w:w="1667"/>
        <w:gridCol w:w="1701"/>
        <w:gridCol w:w="993"/>
        <w:gridCol w:w="1701"/>
        <w:gridCol w:w="1701"/>
        <w:gridCol w:w="8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900" w:hRule="atLeast"/>
        </w:trPr>
        <w:tc>
          <w:tcPr>
            <w:tcW w:w="5236" w:type="dxa"/>
            <w:vMerge w:val="restart"/>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3368"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All patients</w:t>
            </w:r>
          </w:p>
        </w:tc>
        <w:tc>
          <w:tcPr>
            <w:tcW w:w="993" w:type="dxa"/>
            <w:vMerge w:val="restart"/>
            <w:tcBorders>
              <w:top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i/>
                <w:color w:val="000000" w:themeColor="text1"/>
                <w14:textFill>
                  <w14:solidFill>
                    <w14:schemeClr w14:val="tx1"/>
                  </w14:solidFill>
                </w14:textFill>
              </w:rPr>
              <w:t>P</w:t>
            </w:r>
            <w:r>
              <w:rPr>
                <w:rFonts w:ascii="Book Antiqua" w:hAnsi="Book Antiqua" w:eastAsia="Yu Gothic"/>
                <w:b/>
                <w:color w:val="000000" w:themeColor="text1"/>
                <w14:textFill>
                  <w14:solidFill>
                    <w14:schemeClr w14:val="tx1"/>
                  </w14:solidFill>
                </w14:textFill>
              </w:rPr>
              <w:t xml:space="preserve"> value</w:t>
            </w:r>
          </w:p>
        </w:tc>
        <w:tc>
          <w:tcPr>
            <w:tcW w:w="3402" w:type="dxa"/>
            <w:gridSpan w:val="2"/>
            <w:tcBorders>
              <w:top w:val="single" w:color="auto" w:sz="4" w:space="0"/>
              <w:bottom w:val="single" w:color="auto" w:sz="4" w:space="0"/>
            </w:tcBorders>
            <w:shd w:val="clear" w:color="auto" w:fill="auto"/>
            <w:noWrap/>
            <w:vAlign w:val="center"/>
          </w:tcPr>
          <w:p>
            <w:pPr>
              <w:spacing w:line="360" w:lineRule="auto"/>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Propensity score-matched patients</w:t>
            </w:r>
          </w:p>
        </w:tc>
        <w:tc>
          <w:tcPr>
            <w:tcW w:w="850" w:type="dxa"/>
            <w:vMerge w:val="restart"/>
            <w:tcBorders>
              <w:top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i/>
                <w:color w:val="000000" w:themeColor="text1"/>
                <w14:textFill>
                  <w14:solidFill>
                    <w14:schemeClr w14:val="tx1"/>
                  </w14:solidFill>
                </w14:textFill>
              </w:rPr>
              <w:t>P</w:t>
            </w:r>
            <w:r>
              <w:rPr>
                <w:rFonts w:ascii="Book Antiqua" w:hAnsi="Book Antiqua" w:eastAsia="Yu Gothic"/>
                <w:b/>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1095" w:hRule="atLeast"/>
        </w:trPr>
        <w:tc>
          <w:tcPr>
            <w:tcW w:w="5236" w:type="dxa"/>
            <w:vMerge w:val="continue"/>
            <w:tcBorders>
              <w:bottom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667" w:type="dxa"/>
            <w:tcBorders>
              <w:top w:val="single" w:color="auto" w:sz="4" w:space="0"/>
              <w:bottom w:val="single" w:color="auto" w:sz="4" w:space="0"/>
            </w:tcBorders>
            <w:shd w:val="clear" w:color="auto" w:fill="auto"/>
            <w:vAlign w:val="center"/>
          </w:tcPr>
          <w:p>
            <w:pPr>
              <w:spacing w:line="360" w:lineRule="auto"/>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0-2 </w:t>
            </w:r>
          </w:p>
          <w:p>
            <w:pPr>
              <w:spacing w:line="360" w:lineRule="auto"/>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1113)</w:t>
            </w:r>
          </w:p>
        </w:tc>
        <w:tc>
          <w:tcPr>
            <w:tcW w:w="170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3 or 4 </w:t>
            </w:r>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230)</w:t>
            </w:r>
          </w:p>
        </w:tc>
        <w:tc>
          <w:tcPr>
            <w:tcW w:w="993" w:type="dxa"/>
            <w:vMerge w:val="continue"/>
            <w:tcBorders>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p>
        </w:tc>
        <w:tc>
          <w:tcPr>
            <w:tcW w:w="1701" w:type="dxa"/>
            <w:tcBorders>
              <w:top w:val="single" w:color="auto" w:sz="4" w:space="0"/>
              <w:bottom w:val="single" w:color="auto" w:sz="4" w:space="0"/>
            </w:tcBorders>
            <w:shd w:val="clear" w:color="auto" w:fill="auto"/>
            <w:vAlign w:val="center"/>
          </w:tcPr>
          <w:p>
            <w:pPr>
              <w:spacing w:line="360" w:lineRule="auto"/>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PS 0-2</w:t>
            </w:r>
          </w:p>
          <w:p>
            <w:pPr>
              <w:spacing w:line="360" w:lineRule="auto"/>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 xml:space="preserve"> (</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196)</w:t>
            </w:r>
          </w:p>
        </w:tc>
        <w:tc>
          <w:tcPr>
            <w:tcW w:w="170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3 or 4 </w:t>
            </w:r>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196)</w:t>
            </w:r>
          </w:p>
        </w:tc>
        <w:tc>
          <w:tcPr>
            <w:tcW w:w="850" w:type="dxa"/>
            <w:vMerge w:val="continue"/>
            <w:tcBorders>
              <w:bottom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Age [mean (SD)]</w:t>
            </w:r>
          </w:p>
        </w:tc>
        <w:tc>
          <w:tcPr>
            <w:tcW w:w="1667"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72.9 (14.0)</w:t>
            </w:r>
          </w:p>
        </w:tc>
        <w:tc>
          <w:tcPr>
            <w:tcW w:w="170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84.4 (9.1)</w:t>
            </w:r>
          </w:p>
        </w:tc>
        <w:tc>
          <w:tcPr>
            <w:tcW w:w="993"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83.6 (8.2)</w:t>
            </w:r>
          </w:p>
        </w:tc>
        <w:tc>
          <w:tcPr>
            <w:tcW w:w="170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83.4 (9.2)</w:t>
            </w:r>
          </w:p>
        </w:tc>
        <w:tc>
          <w:tcPr>
            <w:tcW w:w="850"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Female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498 (44.7)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146 (63.5)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113 (57.7)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117 (59.7)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Indications of ERCP for CBDS</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Acute cholangitis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607 (54.5)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194 (84.3)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160 (81.6)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160 (81.6)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Biliary pancreatitis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59 (5.3) </w:t>
            </w: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 (2.2) </w:t>
            </w:r>
          </w:p>
        </w:tc>
        <w:tc>
          <w:tcPr>
            <w:tcW w:w="99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0.041</w:t>
            </w: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 (2.6) </w:t>
            </w: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 (2.6) </w:t>
            </w:r>
          </w:p>
        </w:tc>
        <w:tc>
          <w:tcPr>
            <w:tcW w:w="850"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Obstructive jaundice without cholangitis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263 (23.6)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 (8.7)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21 (10.7)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 (10.2)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Asymptomatic CBDS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184 (16.5)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 (4.8)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 (5.1)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 (5.6)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Underlying diseases</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Diabetes Mellitus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78 (7.0)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 (5.2)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0.39</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 (7.1)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 (6.1)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Cardiovascular diseases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152 (13.7) </w:t>
            </w: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42 (18.3) </w:t>
            </w:r>
          </w:p>
        </w:tc>
        <w:tc>
          <w:tcPr>
            <w:tcW w:w="99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0.080</w:t>
            </w: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40 (20.4) </w:t>
            </w: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39 (19.9) </w:t>
            </w:r>
          </w:p>
        </w:tc>
        <w:tc>
          <w:tcPr>
            <w:tcW w:w="850"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Cerebrovascular diseases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55 (4.9)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53 (23.0)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31 (15.8)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31 (15.8)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Dialysis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35 (3.1)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 (3.5)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 (3.6)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 (4.1)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Liver cirrhosis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 (1.3)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0.089</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 (0)</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 (0)</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Multiple underlying diseases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99 (8.9)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37 (16.1)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0.002</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33 (16.8)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30 (15.3)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Antithrombotic treatment</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280 (25.2)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94 (40.9)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80 (40.8)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73 (37.2)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Billroth-1 reconstruction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28 (2.5)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 (2.6)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 (4.1)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 (3.1)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Post-cholecystectomy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124 (11.1)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 (8.3)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 (9.7)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 (9.2)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Presence of gallstones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715 (64.2)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147 (63.9)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123 (62.8)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121 (61.7)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Normal serum bilirubin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540 (48.5)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104 (45.2)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0.39</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94 (48.0)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87 (44.4)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Platelet counts [mean (SD)] (×10</w:t>
            </w:r>
            <w:r>
              <w:rPr>
                <w:rFonts w:ascii="Book Antiqua" w:hAnsi="Book Antiqua" w:eastAsia="Yu Gothic"/>
                <w:color w:val="000000" w:themeColor="text1"/>
                <w:vertAlign w:val="superscript"/>
                <w14:textFill>
                  <w14:solidFill>
                    <w14:schemeClr w14:val="tx1"/>
                  </w14:solidFill>
                </w14:textFill>
              </w:rPr>
              <w:t>6</w:t>
            </w:r>
            <w:r>
              <w:rPr>
                <w:rFonts w:ascii="Book Antiqua" w:hAnsi="Book Antiqua" w:eastAsia="Yu Gothic"/>
                <w:color w:val="000000" w:themeColor="text1"/>
                <w14:textFill>
                  <w14:solidFill>
                    <w14:schemeClr w14:val="tx1"/>
                  </w14:solidFill>
                </w14:textFill>
              </w:rPr>
              <w:t xml:space="preserve">/L)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19.1 (7.1)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19.5 (9.9)</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18.7 (7.7)</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18.6 (7.9)</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PT-INR [mean (SD)]</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1.2 (0.91)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1.2 (0.42)</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0.29</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1.3 (1.8)</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1.2 (0.42)</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Non-dilated CBD (&lt; 10 mm)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454 (40.8)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70 (30.4)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0.004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53 (27.0)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bookmarkStart w:id="1" w:name="_GoBack"/>
            <w:bookmarkEnd w:id="1"/>
            <w:r>
              <w:rPr>
                <w:rFonts w:ascii="Book Antiqua" w:hAnsi="Book Antiqua" w:eastAsia="Yu Gothic"/>
                <w:color w:val="000000" w:themeColor="text1"/>
                <w14:textFill>
                  <w14:solidFill>
                    <w14:schemeClr w14:val="tx1"/>
                  </w14:solidFill>
                </w14:textFill>
              </w:rPr>
              <w:t xml:space="preserve">60 (30.6)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Periampullary diverticulum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341 (30.6)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60 (26.1)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0.18</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62 (31.6)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56 (28.6)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Antibiotics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881 (79.2)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216 (93.9)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178 (90.8)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182 (92.9)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Trainees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199 (17.9)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27 (11.7)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0.026</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25 (12.8)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24 (12.2)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Successful biliary cannulation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1099 (98.7)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225 (97.8)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0.35</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192 (98.0)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192 (98.0)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Difficult biliary cannulation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309 (27.8)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48 (20.9)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0.033</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46 (23.5)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42 (21.4)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Contrast-assisted cannulation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772 (69.4)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168 (73.0)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0.30</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135 (68.9)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143 (73.0)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Wire-guided cannulation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120 (10.8)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23 (10.0)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0.82</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21 (10.7)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 (10.2)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PGW-assisted cannulation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156 (14.0)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30 (13.0)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0.75</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28 (14.3)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26 (13.3)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Precut sphincterotomy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63 (5.7)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 (3.9)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 (6.1)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 (3.6)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Pancreatic injection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513 (46.1)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93 (40.4)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0.13</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87 (44.4)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81 (41.3)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EST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973 (87.4)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186 (80.9)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0.011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154 (78.6)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160 (81.6)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EPBD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125 (11.2)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38 (16.5)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0.034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38 (19.4)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31 (15.8)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EPLBD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158 (14.2)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60 (26.1)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53 (27.0)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50 (25.5)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Use of balloon catheter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896 (80.5)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167 (72.6)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0.010</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139 (70.9)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144 (73.5)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Use of basket catheter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504 (45.3)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105 (45.7)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102 (52.0)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94 (48.0)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Mechanical lithotripsy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189 (17.0)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33 (14.3)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0.38</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35 (17.9)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32 (16.3)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Biliary stent placement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945 (84.9)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192 (83.5)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0.62</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157 (80.1)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164 (83.7)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Number of CBD stones [mean (SD)]</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2.2 (2.7)</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2.5 (2.8)</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0.052</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2.6 (3.4)</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2.6 (3.0)</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Large stones (&gt; 10 mm)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195 (17.5)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61 (26.5)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0.002</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57 (29.1)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52 (26.5)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Prophylactic pancreatic stent placement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169 (15.2)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32 (13.9)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0.69</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34 (17.3)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30 (15.3)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Protease inhibitor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453 (40.7)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65 (28.3)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57 (29.1)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60 (30.6)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5236"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Rectal NSAIDs (%)</w:t>
            </w:r>
          </w:p>
        </w:tc>
        <w:tc>
          <w:tcPr>
            <w:tcW w:w="166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117 (10.5)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 (4.3) </w:t>
            </w:r>
          </w:p>
        </w:tc>
        <w:tc>
          <w:tcPr>
            <w:tcW w:w="99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0.003</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 (5.6)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 (4.6) </w:t>
            </w:r>
          </w:p>
        </w:tc>
        <w:tc>
          <w:tcPr>
            <w:tcW w:w="85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0.82</w:t>
            </w:r>
          </w:p>
        </w:tc>
      </w:tr>
    </w:tbl>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CBD: Common bile duct; CBDS: Common bile duct stones; ERCP: Endoscopic retrograde cholangiopancreatography; EST: Endoscopic sphincterotomy; EPBD: Endoscopic papillary balloon dilation; EPLBD: Endoscopic papillary large balloon dilation; PS: Performance status;</w:t>
      </w:r>
      <w:r>
        <w:rPr>
          <w:rFonts w:ascii="Book Antiqua" w:hAnsi="Book Antiqua" w:eastAsia="Yu Gothic"/>
          <w:color w:val="000000" w:themeColor="text1"/>
          <w14:textFill>
            <w14:solidFill>
              <w14:schemeClr w14:val="tx1"/>
            </w14:solidFill>
          </w14:textFill>
        </w:rPr>
        <w:t xml:space="preserve"> PGW: Pancreatic guidewire</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br w:type="page"/>
      </w:r>
      <w:r>
        <w:rPr>
          <w:rFonts w:ascii="Book Antiqua" w:hAnsi="Book Antiqua" w:eastAsia="Yu Gothic"/>
          <w:b/>
          <w:color w:val="000000" w:themeColor="text1"/>
          <w14:textFill>
            <w14:solidFill>
              <w14:schemeClr w14:val="tx1"/>
            </w14:solidFill>
          </w14:textFill>
        </w:rPr>
        <w:t>Table 2 Comparison of endoscopic retrograde cholangiopancreatography-related complications between patients with a performance status score of 0-2 and 3-4</w:t>
      </w:r>
    </w:p>
    <w:tbl>
      <w:tblPr>
        <w:tblStyle w:val="8"/>
        <w:tblW w:w="1259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99" w:type="dxa"/>
          <w:bottom w:w="0" w:type="dxa"/>
          <w:right w:w="99" w:type="dxa"/>
        </w:tblCellMar>
      </w:tblPr>
      <w:tblGrid>
        <w:gridCol w:w="4180"/>
        <w:gridCol w:w="1731"/>
        <w:gridCol w:w="1701"/>
        <w:gridCol w:w="798"/>
        <w:gridCol w:w="1705"/>
        <w:gridCol w:w="1701"/>
        <w:gridCol w:w="8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900" w:hRule="atLeast"/>
        </w:trPr>
        <w:tc>
          <w:tcPr>
            <w:tcW w:w="4180" w:type="dxa"/>
            <w:vMerge w:val="restart"/>
            <w:tcBorders>
              <w:top w:val="single" w:color="auto" w:sz="4" w:space="0"/>
              <w:bottom w:val="nil"/>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p>
        </w:tc>
        <w:tc>
          <w:tcPr>
            <w:tcW w:w="3432"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All patients</w:t>
            </w:r>
          </w:p>
        </w:tc>
        <w:tc>
          <w:tcPr>
            <w:tcW w:w="699" w:type="dxa"/>
            <w:vMerge w:val="restart"/>
            <w:tcBorders>
              <w:top w:val="single" w:color="auto" w:sz="4" w:space="0"/>
              <w:bottom w:val="nil"/>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i/>
                <w:color w:val="000000" w:themeColor="text1"/>
                <w14:textFill>
                  <w14:solidFill>
                    <w14:schemeClr w14:val="tx1"/>
                  </w14:solidFill>
                </w14:textFill>
              </w:rPr>
              <w:t>P</w:t>
            </w:r>
            <w:r>
              <w:rPr>
                <w:rFonts w:ascii="Book Antiqua" w:hAnsi="Book Antiqua" w:eastAsia="Yu Gothic"/>
                <w:b/>
                <w:color w:val="000000" w:themeColor="text1"/>
                <w14:textFill>
                  <w14:solidFill>
                    <w14:schemeClr w14:val="tx1"/>
                  </w14:solidFill>
                </w14:textFill>
              </w:rPr>
              <w:t xml:space="preserve"> value</w:t>
            </w:r>
          </w:p>
        </w:tc>
        <w:tc>
          <w:tcPr>
            <w:tcW w:w="3406" w:type="dxa"/>
            <w:gridSpan w:val="2"/>
            <w:tcBorders>
              <w:top w:val="single" w:color="auto" w:sz="4" w:space="0"/>
              <w:bottom w:val="single" w:color="auto" w:sz="4" w:space="0"/>
            </w:tcBorders>
            <w:shd w:val="clear" w:color="auto" w:fill="auto"/>
            <w:noWrap/>
            <w:vAlign w:val="center"/>
          </w:tcPr>
          <w:p>
            <w:pPr>
              <w:spacing w:line="360" w:lineRule="auto"/>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Propensity score-matched patients</w:t>
            </w:r>
          </w:p>
        </w:tc>
        <w:tc>
          <w:tcPr>
            <w:tcW w:w="877" w:type="dxa"/>
            <w:vMerge w:val="restart"/>
            <w:tcBorders>
              <w:top w:val="single" w:color="auto" w:sz="4" w:space="0"/>
              <w:bottom w:val="nil"/>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b/>
                <w:i/>
                <w:color w:val="000000" w:themeColor="text1"/>
                <w14:textFill>
                  <w14:solidFill>
                    <w14:schemeClr w14:val="tx1"/>
                  </w14:solidFill>
                </w14:textFill>
              </w:rPr>
              <w:t>P</w:t>
            </w:r>
            <w:r>
              <w:rPr>
                <w:rFonts w:ascii="Book Antiqua" w:hAnsi="Book Antiqua" w:eastAsia="Yu Gothic"/>
                <w:b/>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1095" w:hRule="atLeast"/>
        </w:trPr>
        <w:tc>
          <w:tcPr>
            <w:tcW w:w="4180" w:type="dxa"/>
            <w:vMerge w:val="continue"/>
            <w:tcBorders>
              <w:top w:val="nil"/>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p>
        </w:tc>
        <w:tc>
          <w:tcPr>
            <w:tcW w:w="173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0-2 </w:t>
            </w:r>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1113)</w:t>
            </w:r>
          </w:p>
        </w:tc>
        <w:tc>
          <w:tcPr>
            <w:tcW w:w="170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3 or 4 </w:t>
            </w:r>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230)</w:t>
            </w:r>
          </w:p>
        </w:tc>
        <w:tc>
          <w:tcPr>
            <w:tcW w:w="699" w:type="dxa"/>
            <w:vMerge w:val="continue"/>
            <w:tcBorders>
              <w:top w:val="nil"/>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p>
        </w:tc>
        <w:tc>
          <w:tcPr>
            <w:tcW w:w="1705"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0-2 </w:t>
            </w:r>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196)</w:t>
            </w:r>
          </w:p>
        </w:tc>
        <w:tc>
          <w:tcPr>
            <w:tcW w:w="170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Patients with a</w:t>
            </w:r>
            <w:r>
              <w:rPr>
                <w:rFonts w:ascii="Book Antiqua" w:hAnsi="Book Antiqua" w:eastAsia="Yu Gothic"/>
                <w:b/>
              </w:rPr>
              <w:t xml:space="preserve"> </w:t>
            </w:r>
            <w:r>
              <w:rPr>
                <w:rFonts w:ascii="Book Antiqua" w:hAnsi="Book Antiqua" w:eastAsia="Yu Gothic"/>
                <w:b/>
                <w:color w:val="000000" w:themeColor="text1"/>
                <w14:textFill>
                  <w14:solidFill>
                    <w14:schemeClr w14:val="tx1"/>
                  </w14:solidFill>
                </w14:textFill>
              </w:rPr>
              <w:t xml:space="preserve">PS 3 or 4 </w:t>
            </w:r>
          </w:p>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196)</w:t>
            </w:r>
          </w:p>
        </w:tc>
        <w:tc>
          <w:tcPr>
            <w:tcW w:w="877" w:type="dxa"/>
            <w:vMerge w:val="continue"/>
            <w:tcBorders>
              <w:top w:val="nil"/>
              <w:bottom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Overall complications, </w:t>
            </w:r>
            <w:r>
              <w:rPr>
                <w:rFonts w:ascii="Book Antiqua" w:hAnsi="Book Antiqua" w:eastAsia="Yu Gothic"/>
                <w:i/>
                <w:color w:val="000000" w:themeColor="text1"/>
                <w14:textFill>
                  <w14:solidFill>
                    <w14:schemeClr w14:val="tx1"/>
                  </w14:solidFill>
                </w14:textFill>
              </w:rPr>
              <w:t>n</w:t>
            </w:r>
            <w:r>
              <w:rPr>
                <w:rFonts w:ascii="Book Antiqua" w:hAnsi="Book Antiqua" w:eastAsia="Yu Gothic"/>
                <w:color w:val="000000" w:themeColor="text1"/>
                <w14:textFill>
                  <w14:solidFill>
                    <w14:schemeClr w14:val="tx1"/>
                  </w14:solidFill>
                </w14:textFill>
              </w:rPr>
              <w:t xml:space="preserve"> (%)</w:t>
            </w:r>
          </w:p>
        </w:tc>
        <w:tc>
          <w:tcPr>
            <w:tcW w:w="173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100 (9.0) </w:t>
            </w:r>
          </w:p>
        </w:tc>
        <w:tc>
          <w:tcPr>
            <w:tcW w:w="170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 (7.0) </w:t>
            </w:r>
          </w:p>
        </w:tc>
        <w:tc>
          <w:tcPr>
            <w:tcW w:w="699"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0.37</w:t>
            </w:r>
          </w:p>
        </w:tc>
        <w:tc>
          <w:tcPr>
            <w:tcW w:w="1705"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 (4.6) </w:t>
            </w:r>
          </w:p>
        </w:tc>
        <w:tc>
          <w:tcPr>
            <w:tcW w:w="170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13 (6.6) </w:t>
            </w:r>
          </w:p>
        </w:tc>
        <w:tc>
          <w:tcPr>
            <w:tcW w:w="877"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Severity of overall complications</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0.063</w:t>
            </w:r>
          </w:p>
        </w:tc>
        <w:tc>
          <w:tcPr>
            <w:tcW w:w="1705"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Mild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65 (65.0)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 (37.5)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 (77.8)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(23.1)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Moderate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29 (29.0)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 (50.0)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(22.2)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 (61.5)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Severe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 (6.0)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(12.5)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(15.4)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PEP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50 (4.5)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 (2.2)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0.14</w:t>
            </w: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(1.0)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Severity of PEP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0.034</w:t>
            </w:r>
          </w:p>
        </w:tc>
        <w:tc>
          <w:tcPr>
            <w:tcW w:w="1705"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Mild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34 (68.0)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(60.0)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(100.0)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Moderate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 (28.0)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Severe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(4.0)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(40.0)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(100.0)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Bleeding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 (1.6)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(1.7)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0.78</w:t>
            </w: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(0.5)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(2.0)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Severity of bleeding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0.12</w:t>
            </w:r>
          </w:p>
        </w:tc>
        <w:tc>
          <w:tcPr>
            <w:tcW w:w="1705"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Mild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 (66.7)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(25.0)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(100.0)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(25.0)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Moderate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(16.7)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(75.0)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(75.0)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Severe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(16.7)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Cholangitis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 (1.6)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(1.7)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0.78</w:t>
            </w: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(2.0)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Severity of cholangitis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0.077</w:t>
            </w:r>
          </w:p>
        </w:tc>
        <w:tc>
          <w:tcPr>
            <w:tcW w:w="1705"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Mild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 (77.8)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(25.0)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(66.7)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(25.0)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Moderate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(22.2)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(75.0)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(33.3)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(75.0)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Perforation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 (0.9)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0.23</w:t>
            </w: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(0.5)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Severity of perforation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1705"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Mild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(40.0)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Moderate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 (50.0)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(100.0)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Severe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(10.0)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Pneumonia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 (0.4)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(1.3)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0.10</w:t>
            </w: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(0.5)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(1.5)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Severity of aspiration pneumonia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1705"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701"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Mild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(25.0)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(33.3)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(100.0)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(33.3)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5" w:hRule="atLeast"/>
        </w:trPr>
        <w:tc>
          <w:tcPr>
            <w:tcW w:w="4180"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  Moderate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(75.0)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(66.7) </w:t>
            </w:r>
          </w:p>
        </w:tc>
        <w:tc>
          <w:tcPr>
            <w:tcW w:w="699"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705"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0 (0.0) </w:t>
            </w:r>
          </w:p>
        </w:tc>
        <w:tc>
          <w:tcPr>
            <w:tcW w:w="170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 (66.7) </w:t>
            </w:r>
          </w:p>
        </w:tc>
        <w:tc>
          <w:tcPr>
            <w:tcW w:w="87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PEP: Post-endoscopic retrograde cholangiopancreatography pancreatitis;</w:t>
      </w:r>
      <w:r>
        <w:t xml:space="preserve"> </w:t>
      </w:r>
      <w:r>
        <w:rPr>
          <w:rFonts w:ascii="Book Antiqua" w:hAnsi="Book Antiqua" w:eastAsia="Book Antiqua" w:cs="Book Antiqua"/>
          <w:color w:val="000000"/>
        </w:rPr>
        <w:t xml:space="preserve">PS: Performance status; </w:t>
      </w:r>
      <w:r>
        <w:rPr>
          <w:rFonts w:ascii="Book Antiqua" w:hAnsi="Book Antiqua" w:eastAsia="Yu Gothic"/>
          <w:color w:val="000000" w:themeColor="text1"/>
          <w14:textFill>
            <w14:solidFill>
              <w14:schemeClr w14:val="tx1"/>
            </w14:solidFill>
          </w14:textFill>
        </w:rPr>
        <w:t>NA</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Not available</w:t>
      </w:r>
      <w:r>
        <w:rPr>
          <w:rFonts w:ascii="Book Antiqua" w:hAnsi="Book Antiqua" w:eastAsia="Book Antiqua" w:cs="Book Antiqua"/>
          <w:color w:val="000000"/>
        </w:rPr>
        <w:t xml:space="preserve">. </w:t>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br w:type="page"/>
      </w:r>
      <w:r>
        <w:rPr>
          <w:rFonts w:ascii="Book Antiqua" w:hAnsi="Book Antiqua" w:eastAsia="Yu Gothic"/>
          <w:b/>
          <w:color w:val="000000" w:themeColor="text1"/>
          <w14:textFill>
            <w14:solidFill>
              <w14:schemeClr w14:val="tx1"/>
            </w14:solidFill>
          </w14:textFill>
        </w:rPr>
        <w:t>Table 3 Comparison of outcomes of endoscopic retrograde cholangiopancreatography between patients with a performance status score of 0-2 and performance status 3-4</w:t>
      </w:r>
    </w:p>
    <w:tbl>
      <w:tblPr>
        <w:tblStyle w:val="8"/>
        <w:tblW w:w="10348"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2"/>
        <w:gridCol w:w="1769"/>
        <w:gridCol w:w="1701"/>
        <w:gridCol w:w="992"/>
        <w:gridCol w:w="1744"/>
        <w:gridCol w:w="1800"/>
        <w:gridCol w:w="8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492" w:type="dxa"/>
            <w:vMerge w:val="restart"/>
            <w:tcBorders>
              <w:top w:val="single" w:color="auto" w:sz="4" w:space="0"/>
              <w:bottom w:val="nil"/>
            </w:tcBorders>
            <w:shd w:val="clear" w:color="auto" w:fill="auto"/>
            <w:noWrap/>
            <w:vAlign w:val="center"/>
          </w:tcPr>
          <w:p>
            <w:pPr>
              <w:rPr>
                <w:rFonts w:eastAsia="等线"/>
                <w:b/>
                <w:color w:val="000000"/>
                <w:sz w:val="20"/>
                <w:szCs w:val="20"/>
                <w:lang w:eastAsia="zh-CN"/>
              </w:rPr>
            </w:pPr>
          </w:p>
        </w:tc>
        <w:tc>
          <w:tcPr>
            <w:tcW w:w="3470" w:type="dxa"/>
            <w:gridSpan w:val="2"/>
            <w:tcBorders>
              <w:top w:val="single" w:color="auto" w:sz="4" w:space="0"/>
              <w:bottom w:val="single" w:color="auto" w:sz="4" w:space="0"/>
            </w:tcBorders>
            <w:shd w:val="clear" w:color="auto" w:fill="auto"/>
            <w:noWrap/>
            <w:vAlign w:val="center"/>
          </w:tcPr>
          <w:p>
            <w:pPr>
              <w:jc w:val="both"/>
              <w:rPr>
                <w:rFonts w:ascii="Book Antiqua" w:hAnsi="Book Antiqua" w:eastAsia="等线" w:cs="宋体"/>
                <w:b/>
                <w:color w:val="000000"/>
                <w:lang w:eastAsia="zh-CN"/>
              </w:rPr>
            </w:pPr>
            <w:r>
              <w:rPr>
                <w:rFonts w:ascii="Book Antiqua" w:hAnsi="Book Antiqua" w:eastAsia="等线" w:cs="宋体"/>
                <w:b/>
                <w:color w:val="000000"/>
                <w:lang w:eastAsia="zh-CN"/>
              </w:rPr>
              <w:t>All patients</w:t>
            </w:r>
          </w:p>
        </w:tc>
        <w:tc>
          <w:tcPr>
            <w:tcW w:w="992" w:type="dxa"/>
            <w:vMerge w:val="restart"/>
            <w:tcBorders>
              <w:top w:val="single" w:color="auto" w:sz="4" w:space="0"/>
              <w:bottom w:val="nil"/>
            </w:tcBorders>
            <w:shd w:val="clear" w:color="auto" w:fill="auto"/>
            <w:noWrap/>
            <w:vAlign w:val="center"/>
          </w:tcPr>
          <w:p>
            <w:pPr>
              <w:jc w:val="both"/>
              <w:rPr>
                <w:rFonts w:eastAsia="等线"/>
                <w:b/>
                <w:color w:val="000000"/>
                <w:sz w:val="20"/>
                <w:szCs w:val="20"/>
                <w:lang w:eastAsia="zh-CN"/>
              </w:rPr>
            </w:pPr>
            <w:r>
              <w:rPr>
                <w:rFonts w:ascii="Book Antiqua" w:hAnsi="Book Antiqua" w:eastAsia="等线" w:cs="宋体"/>
                <w:b/>
                <w:i/>
                <w:color w:val="000000"/>
                <w:lang w:eastAsia="zh-CN"/>
              </w:rPr>
              <w:t xml:space="preserve">P </w:t>
            </w:r>
            <w:r>
              <w:rPr>
                <w:rFonts w:ascii="Book Antiqua" w:hAnsi="Book Antiqua" w:eastAsia="等线" w:cs="宋体"/>
                <w:b/>
                <w:color w:val="000000"/>
                <w:lang w:eastAsia="zh-CN"/>
              </w:rPr>
              <w:t>value</w:t>
            </w:r>
          </w:p>
        </w:tc>
        <w:tc>
          <w:tcPr>
            <w:tcW w:w="3544" w:type="dxa"/>
            <w:gridSpan w:val="2"/>
            <w:tcBorders>
              <w:top w:val="single" w:color="auto" w:sz="4" w:space="0"/>
              <w:bottom w:val="single" w:color="auto" w:sz="4" w:space="0"/>
            </w:tcBorders>
            <w:shd w:val="clear" w:color="auto" w:fill="auto"/>
            <w:noWrap/>
            <w:vAlign w:val="center"/>
          </w:tcPr>
          <w:p>
            <w:pPr>
              <w:rPr>
                <w:rFonts w:ascii="Book Antiqua" w:hAnsi="Book Antiqua" w:eastAsia="等线" w:cs="宋体"/>
                <w:b/>
                <w:color w:val="000000"/>
                <w:lang w:eastAsia="zh-CN"/>
              </w:rPr>
            </w:pPr>
            <w:r>
              <w:rPr>
                <w:rFonts w:ascii="Book Antiqua" w:hAnsi="Book Antiqua" w:eastAsia="等线" w:cs="宋体"/>
                <w:b/>
                <w:color w:val="000000"/>
                <w:lang w:eastAsia="zh-CN"/>
              </w:rPr>
              <w:t>Propensity score-matched patients</w:t>
            </w:r>
          </w:p>
        </w:tc>
        <w:tc>
          <w:tcPr>
            <w:tcW w:w="850" w:type="dxa"/>
            <w:vMerge w:val="restart"/>
            <w:tcBorders>
              <w:top w:val="single" w:color="auto" w:sz="4" w:space="0"/>
              <w:bottom w:val="nil"/>
            </w:tcBorders>
            <w:shd w:val="clear" w:color="auto" w:fill="auto"/>
            <w:noWrap/>
            <w:vAlign w:val="center"/>
          </w:tcPr>
          <w:p>
            <w:pPr>
              <w:jc w:val="both"/>
              <w:rPr>
                <w:rFonts w:ascii="Yu Gothic" w:hAnsi="Yu Gothic" w:cs="宋体"/>
                <w:b/>
                <w:color w:val="000000"/>
                <w:lang w:eastAsia="zh-CN"/>
              </w:rPr>
            </w:pPr>
            <w:r>
              <w:rPr>
                <w:rFonts w:ascii="Book Antiqua" w:hAnsi="Book Antiqua" w:eastAsia="等线" w:cs="宋体"/>
                <w:b/>
                <w:i/>
                <w:color w:val="000000"/>
                <w:lang w:eastAsia="zh-CN"/>
              </w:rPr>
              <w:t xml:space="preserve">P </w:t>
            </w:r>
            <w:r>
              <w:rPr>
                <w:rFonts w:ascii="Book Antiqua" w:hAnsi="Book Antiqua" w:eastAsia="等线" w:cs="宋体"/>
                <w:b/>
                <w:color w:val="000000"/>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2" w:hRule="atLeast"/>
        </w:trPr>
        <w:tc>
          <w:tcPr>
            <w:tcW w:w="1492" w:type="dxa"/>
            <w:vMerge w:val="continue"/>
            <w:tcBorders>
              <w:top w:val="nil"/>
              <w:bottom w:val="single" w:color="auto" w:sz="4" w:space="0"/>
            </w:tcBorders>
            <w:shd w:val="clear" w:color="auto" w:fill="auto"/>
            <w:noWrap/>
            <w:vAlign w:val="center"/>
          </w:tcPr>
          <w:p>
            <w:pPr>
              <w:rPr>
                <w:rFonts w:eastAsia="等线"/>
                <w:b/>
                <w:color w:val="000000"/>
                <w:sz w:val="20"/>
                <w:szCs w:val="20"/>
                <w:lang w:eastAsia="zh-CN"/>
              </w:rPr>
            </w:pPr>
          </w:p>
        </w:tc>
        <w:tc>
          <w:tcPr>
            <w:tcW w:w="1769" w:type="dxa"/>
            <w:tcBorders>
              <w:top w:val="single" w:color="auto" w:sz="4" w:space="0"/>
              <w:bottom w:val="single" w:color="auto" w:sz="4" w:space="0"/>
            </w:tcBorders>
            <w:shd w:val="clear" w:color="auto" w:fill="auto"/>
            <w:vAlign w:val="center"/>
          </w:tcPr>
          <w:p>
            <w:pPr>
              <w:jc w:val="both"/>
              <w:rPr>
                <w:rFonts w:ascii="Book Antiqua" w:hAnsi="Book Antiqua" w:eastAsia="等线" w:cs="宋体"/>
                <w:b/>
                <w:color w:val="000000"/>
                <w:lang w:eastAsia="zh-CN"/>
              </w:rPr>
            </w:pPr>
            <w:r>
              <w:rPr>
                <w:rFonts w:ascii="Book Antiqua" w:hAnsi="Book Antiqua" w:eastAsia="等线" w:cs="宋体"/>
                <w:b/>
                <w:color w:val="000000"/>
                <w:lang w:eastAsia="zh-CN"/>
              </w:rPr>
              <w:t xml:space="preserve">Patients with a PS 0-2 </w:t>
            </w:r>
          </w:p>
          <w:p>
            <w:pPr>
              <w:jc w:val="both"/>
              <w:rPr>
                <w:rFonts w:ascii="Book Antiqua" w:hAnsi="Book Antiqua" w:eastAsia="等线" w:cs="宋体"/>
                <w:b/>
                <w:color w:val="000000"/>
                <w:lang w:eastAsia="zh-CN"/>
              </w:rPr>
            </w:pPr>
            <w:r>
              <w:rPr>
                <w:rFonts w:ascii="Book Antiqua" w:hAnsi="Book Antiqua" w:eastAsia="等线" w:cs="宋体"/>
                <w:b/>
                <w:color w:val="000000"/>
                <w:lang w:eastAsia="zh-CN"/>
              </w:rPr>
              <w:t>(</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1113)</w:t>
            </w:r>
          </w:p>
        </w:tc>
        <w:tc>
          <w:tcPr>
            <w:tcW w:w="1701" w:type="dxa"/>
            <w:tcBorders>
              <w:top w:val="single" w:color="auto" w:sz="4" w:space="0"/>
              <w:bottom w:val="single" w:color="auto" w:sz="4" w:space="0"/>
            </w:tcBorders>
            <w:shd w:val="clear" w:color="auto" w:fill="auto"/>
            <w:vAlign w:val="center"/>
          </w:tcPr>
          <w:p>
            <w:pPr>
              <w:rPr>
                <w:rFonts w:ascii="Book Antiqua" w:hAnsi="Book Antiqua" w:eastAsia="等线" w:cs="宋体"/>
                <w:b/>
                <w:color w:val="000000"/>
                <w:lang w:eastAsia="zh-CN"/>
              </w:rPr>
            </w:pPr>
            <w:r>
              <w:rPr>
                <w:rFonts w:ascii="Book Antiqua" w:hAnsi="Book Antiqua" w:eastAsia="等线" w:cs="宋体"/>
                <w:b/>
                <w:color w:val="000000"/>
                <w:lang w:eastAsia="zh-CN"/>
              </w:rPr>
              <w:t>Patients with a PS 3 or 4</w:t>
            </w:r>
            <w:r>
              <w:rPr>
                <w:rFonts w:hint="eastAsia" w:ascii="Book Antiqua" w:hAnsi="Book Antiqua" w:eastAsia="等线" w:cs="宋体"/>
                <w:b/>
                <w:color w:val="000000"/>
                <w:lang w:eastAsia="zh-CN"/>
              </w:rPr>
              <w:t xml:space="preserve"> </w:t>
            </w:r>
          </w:p>
          <w:p>
            <w:pPr>
              <w:rPr>
                <w:rFonts w:ascii="Book Antiqua" w:hAnsi="Book Antiqua" w:eastAsia="等线" w:cs="宋体"/>
                <w:b/>
                <w:color w:val="000000"/>
                <w:lang w:eastAsia="zh-CN"/>
              </w:rPr>
            </w:pPr>
            <w:r>
              <w:rPr>
                <w:rFonts w:ascii="Book Antiqua" w:hAnsi="Book Antiqua" w:eastAsia="等线" w:cs="宋体"/>
                <w:b/>
                <w:color w:val="000000"/>
                <w:lang w:eastAsia="zh-CN"/>
              </w:rPr>
              <w:t>(</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230)</w:t>
            </w:r>
          </w:p>
        </w:tc>
        <w:tc>
          <w:tcPr>
            <w:tcW w:w="992" w:type="dxa"/>
            <w:vMerge w:val="continue"/>
            <w:tcBorders>
              <w:top w:val="nil"/>
              <w:bottom w:val="single" w:color="auto" w:sz="4" w:space="0"/>
            </w:tcBorders>
            <w:shd w:val="clear" w:color="auto" w:fill="auto"/>
            <w:noWrap/>
            <w:vAlign w:val="center"/>
          </w:tcPr>
          <w:p>
            <w:pPr>
              <w:jc w:val="both"/>
              <w:rPr>
                <w:rFonts w:ascii="Book Antiqua" w:hAnsi="Book Antiqua" w:eastAsia="等线" w:cs="宋体"/>
                <w:b/>
                <w:color w:val="000000"/>
                <w:lang w:eastAsia="zh-CN"/>
              </w:rPr>
            </w:pPr>
          </w:p>
        </w:tc>
        <w:tc>
          <w:tcPr>
            <w:tcW w:w="1744" w:type="dxa"/>
            <w:tcBorders>
              <w:top w:val="single" w:color="auto" w:sz="4" w:space="0"/>
              <w:bottom w:val="single" w:color="auto" w:sz="4" w:space="0"/>
            </w:tcBorders>
            <w:shd w:val="clear" w:color="auto" w:fill="auto"/>
            <w:vAlign w:val="center"/>
          </w:tcPr>
          <w:p>
            <w:pPr>
              <w:jc w:val="both"/>
              <w:rPr>
                <w:rFonts w:ascii="Book Antiqua" w:hAnsi="Book Antiqua" w:eastAsia="等线" w:cs="宋体"/>
                <w:b/>
                <w:color w:val="000000"/>
                <w:lang w:eastAsia="zh-CN"/>
              </w:rPr>
            </w:pPr>
            <w:r>
              <w:rPr>
                <w:rFonts w:ascii="Book Antiqua" w:hAnsi="Book Antiqua" w:eastAsia="等线" w:cs="宋体"/>
                <w:b/>
                <w:color w:val="000000"/>
                <w:lang w:eastAsia="zh-CN"/>
              </w:rPr>
              <w:t>Patients with a PS 0-2</w:t>
            </w:r>
            <w:r>
              <w:rPr>
                <w:rFonts w:hint="eastAsia" w:ascii="Book Antiqua" w:hAnsi="Book Antiqua" w:eastAsia="等线" w:cs="宋体"/>
                <w:b/>
                <w:color w:val="000000"/>
                <w:lang w:eastAsia="zh-CN"/>
              </w:rPr>
              <w:t xml:space="preserve"> </w:t>
            </w:r>
          </w:p>
          <w:p>
            <w:pPr>
              <w:jc w:val="both"/>
              <w:rPr>
                <w:rFonts w:ascii="Book Antiqua" w:hAnsi="Book Antiqua" w:eastAsia="等线" w:cs="宋体"/>
                <w:b/>
                <w:color w:val="000000"/>
                <w:lang w:eastAsia="zh-CN"/>
              </w:rPr>
            </w:pPr>
            <w:r>
              <w:rPr>
                <w:rFonts w:ascii="Book Antiqua" w:hAnsi="Book Antiqua" w:eastAsia="等线" w:cs="宋体"/>
                <w:b/>
                <w:color w:val="000000"/>
                <w:lang w:eastAsia="zh-CN"/>
              </w:rPr>
              <w:t>(</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196)</w:t>
            </w:r>
          </w:p>
        </w:tc>
        <w:tc>
          <w:tcPr>
            <w:tcW w:w="1800" w:type="dxa"/>
            <w:tcBorders>
              <w:top w:val="single" w:color="auto" w:sz="4" w:space="0"/>
              <w:bottom w:val="single" w:color="auto" w:sz="4" w:space="0"/>
            </w:tcBorders>
            <w:shd w:val="clear" w:color="auto" w:fill="auto"/>
            <w:vAlign w:val="center"/>
          </w:tcPr>
          <w:p>
            <w:pPr>
              <w:rPr>
                <w:rFonts w:ascii="Book Antiqua" w:hAnsi="Book Antiqua" w:eastAsia="等线" w:cs="宋体"/>
                <w:b/>
                <w:color w:val="000000"/>
                <w:lang w:eastAsia="zh-CN"/>
              </w:rPr>
            </w:pPr>
            <w:r>
              <w:rPr>
                <w:rFonts w:ascii="Book Antiqua" w:hAnsi="Book Antiqua" w:eastAsia="等线" w:cs="宋体"/>
                <w:b/>
                <w:color w:val="000000"/>
                <w:lang w:eastAsia="zh-CN"/>
              </w:rPr>
              <w:t>Patients with a PS 3 or 4</w:t>
            </w:r>
          </w:p>
          <w:p>
            <w:pPr>
              <w:rPr>
                <w:rFonts w:ascii="Book Antiqua" w:hAnsi="Book Antiqua" w:eastAsia="等线" w:cs="宋体"/>
                <w:b/>
                <w:color w:val="000000"/>
                <w:lang w:eastAsia="zh-CN"/>
              </w:rPr>
            </w:pPr>
            <w:r>
              <w:rPr>
                <w:rFonts w:ascii="Book Antiqua" w:hAnsi="Book Antiqua" w:eastAsia="等线" w:cs="宋体"/>
                <w:b/>
                <w:color w:val="000000"/>
                <w:lang w:eastAsia="zh-CN"/>
              </w:rPr>
              <w:t xml:space="preserve">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196)</w:t>
            </w:r>
          </w:p>
        </w:tc>
        <w:tc>
          <w:tcPr>
            <w:tcW w:w="850" w:type="dxa"/>
            <w:vMerge w:val="continue"/>
            <w:tcBorders>
              <w:top w:val="nil"/>
              <w:bottom w:val="single" w:color="auto" w:sz="4" w:space="0"/>
            </w:tcBorders>
            <w:shd w:val="clear" w:color="auto" w:fill="auto"/>
            <w:noWrap/>
            <w:vAlign w:val="center"/>
          </w:tcPr>
          <w:p>
            <w:pPr>
              <w:jc w:val="both"/>
              <w:rPr>
                <w:rFonts w:ascii="Book Antiqua" w:hAnsi="Book Antiqua" w:eastAsia="等线" w:cs="宋体"/>
                <w:b/>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1492" w:type="dxa"/>
            <w:tcBorders>
              <w:top w:val="single" w:color="auto" w:sz="4" w:space="0"/>
            </w:tcBorders>
            <w:shd w:val="clear" w:color="auto" w:fill="auto"/>
            <w:noWrap/>
            <w:vAlign w:val="center"/>
          </w:tcPr>
          <w:p>
            <w:pPr>
              <w:rPr>
                <w:rFonts w:ascii="Book Antiqua" w:hAnsi="Book Antiqua" w:eastAsia="等线" w:cs="宋体"/>
                <w:color w:val="000000"/>
                <w:lang w:eastAsia="zh-CN"/>
              </w:rPr>
            </w:pPr>
            <w:r>
              <w:rPr>
                <w:rFonts w:ascii="Book Antiqua" w:hAnsi="Book Antiqua" w:eastAsia="等线" w:cs="宋体"/>
                <w:color w:val="000000"/>
                <w:lang w:eastAsia="zh-CN"/>
              </w:rPr>
              <w:t xml:space="preserve">Therapeutic success, </w:t>
            </w:r>
            <w:r>
              <w:rPr>
                <w:rFonts w:ascii="Book Antiqua" w:hAnsi="Book Antiqua" w:eastAsia="等线" w:cs="宋体"/>
                <w:i/>
                <w:color w:val="000000"/>
                <w:lang w:eastAsia="zh-CN"/>
              </w:rPr>
              <w:t>n</w:t>
            </w:r>
            <w:r>
              <w:rPr>
                <w:rFonts w:ascii="Book Antiqua" w:hAnsi="Book Antiqua" w:eastAsia="等线" w:cs="宋体"/>
                <w:color w:val="000000"/>
                <w:lang w:eastAsia="zh-CN"/>
              </w:rPr>
              <w:t xml:space="preserve"> (%)</w:t>
            </w:r>
          </w:p>
        </w:tc>
        <w:tc>
          <w:tcPr>
            <w:tcW w:w="1769" w:type="dxa"/>
            <w:tcBorders>
              <w:top w:val="single" w:color="auto" w:sz="4" w:space="0"/>
            </w:tcBorders>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1096 (98.5) </w:t>
            </w:r>
          </w:p>
        </w:tc>
        <w:tc>
          <w:tcPr>
            <w:tcW w:w="1701" w:type="dxa"/>
            <w:tcBorders>
              <w:top w:val="single" w:color="auto" w:sz="4" w:space="0"/>
            </w:tcBorders>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224 (97.4) </w:t>
            </w:r>
          </w:p>
        </w:tc>
        <w:tc>
          <w:tcPr>
            <w:tcW w:w="992" w:type="dxa"/>
            <w:tcBorders>
              <w:top w:val="single" w:color="auto" w:sz="4" w:space="0"/>
            </w:tcBorders>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0.26</w:t>
            </w:r>
          </w:p>
        </w:tc>
        <w:tc>
          <w:tcPr>
            <w:tcW w:w="1744" w:type="dxa"/>
            <w:tcBorders>
              <w:top w:val="single" w:color="auto" w:sz="4" w:space="0"/>
            </w:tcBorders>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191 (97.4) </w:t>
            </w:r>
          </w:p>
        </w:tc>
        <w:tc>
          <w:tcPr>
            <w:tcW w:w="1800" w:type="dxa"/>
            <w:tcBorders>
              <w:top w:val="single" w:color="auto" w:sz="4" w:space="0"/>
            </w:tcBorders>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191 (97.4) </w:t>
            </w:r>
          </w:p>
        </w:tc>
        <w:tc>
          <w:tcPr>
            <w:tcW w:w="850" w:type="dxa"/>
            <w:tcBorders>
              <w:top w:val="single" w:color="auto" w:sz="4" w:space="0"/>
            </w:tcBorders>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trPr>
        <w:tc>
          <w:tcPr>
            <w:tcW w:w="1492" w:type="dxa"/>
            <w:shd w:val="clear" w:color="auto" w:fill="auto"/>
            <w:noWrap/>
            <w:vAlign w:val="center"/>
          </w:tcPr>
          <w:p>
            <w:pPr>
              <w:rPr>
                <w:rFonts w:ascii="Book Antiqua" w:hAnsi="Book Antiqua" w:eastAsia="等线" w:cs="宋体"/>
                <w:color w:val="000000"/>
                <w:lang w:eastAsia="zh-CN"/>
              </w:rPr>
            </w:pPr>
            <w:r>
              <w:rPr>
                <w:rFonts w:ascii="Book Antiqua" w:hAnsi="Book Antiqua" w:eastAsia="等线" w:cs="宋体"/>
                <w:color w:val="000000"/>
                <w:lang w:eastAsia="zh-CN"/>
              </w:rPr>
              <w:t>Successful complete stone removal (%)</w:t>
            </w:r>
          </w:p>
        </w:tc>
        <w:tc>
          <w:tcPr>
            <w:tcW w:w="1769"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1064 (95.6) </w:t>
            </w:r>
          </w:p>
        </w:tc>
        <w:tc>
          <w:tcPr>
            <w:tcW w:w="1701"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200 (87.0) </w:t>
            </w:r>
          </w:p>
        </w:tc>
        <w:tc>
          <w:tcPr>
            <w:tcW w:w="992"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1744"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181 (92.3) </w:t>
            </w:r>
          </w:p>
        </w:tc>
        <w:tc>
          <w:tcPr>
            <w:tcW w:w="1800"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172 (87.8) </w:t>
            </w:r>
          </w:p>
        </w:tc>
        <w:tc>
          <w:tcPr>
            <w:tcW w:w="850"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trPr>
        <w:tc>
          <w:tcPr>
            <w:tcW w:w="1492" w:type="dxa"/>
            <w:shd w:val="clear" w:color="auto" w:fill="auto"/>
            <w:noWrap/>
            <w:vAlign w:val="center"/>
          </w:tcPr>
          <w:p>
            <w:pPr>
              <w:rPr>
                <w:rFonts w:ascii="Book Antiqua" w:hAnsi="Book Antiqua" w:eastAsia="等线" w:cs="宋体"/>
                <w:color w:val="000000"/>
                <w:lang w:eastAsia="zh-CN"/>
              </w:rPr>
            </w:pPr>
            <w:r>
              <w:rPr>
                <w:rFonts w:ascii="Book Antiqua" w:hAnsi="Book Antiqua" w:eastAsia="等线" w:cs="宋体"/>
                <w:color w:val="000000"/>
                <w:lang w:eastAsia="zh-CN"/>
              </w:rPr>
              <w:t>Permanent biliary stent placement (%)</w:t>
            </w:r>
          </w:p>
        </w:tc>
        <w:tc>
          <w:tcPr>
            <w:tcW w:w="1769"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32 (2.9) </w:t>
            </w:r>
          </w:p>
        </w:tc>
        <w:tc>
          <w:tcPr>
            <w:tcW w:w="1701"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24 (10.4) </w:t>
            </w:r>
          </w:p>
        </w:tc>
        <w:tc>
          <w:tcPr>
            <w:tcW w:w="992"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1744"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10 (5.1) </w:t>
            </w:r>
          </w:p>
        </w:tc>
        <w:tc>
          <w:tcPr>
            <w:tcW w:w="1800"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19 (9.7) </w:t>
            </w:r>
          </w:p>
        </w:tc>
        <w:tc>
          <w:tcPr>
            <w:tcW w:w="850"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4" w:hRule="atLeast"/>
        </w:trPr>
        <w:tc>
          <w:tcPr>
            <w:tcW w:w="1492" w:type="dxa"/>
            <w:shd w:val="clear" w:color="auto" w:fill="auto"/>
            <w:noWrap/>
            <w:vAlign w:val="center"/>
          </w:tcPr>
          <w:p>
            <w:pPr>
              <w:rPr>
                <w:rFonts w:ascii="Book Antiqua" w:hAnsi="Book Antiqua" w:eastAsia="等线" w:cs="宋体"/>
                <w:color w:val="000000"/>
                <w:lang w:eastAsia="zh-CN"/>
              </w:rPr>
            </w:pPr>
            <w:r>
              <w:rPr>
                <w:rFonts w:ascii="Book Antiqua" w:hAnsi="Book Antiqua" w:eastAsia="等线" w:cs="宋体"/>
                <w:color w:val="000000"/>
                <w:lang w:eastAsia="zh-CN"/>
              </w:rPr>
              <w:t>Mean procedure time, min (SD)</w:t>
            </w:r>
          </w:p>
        </w:tc>
        <w:tc>
          <w:tcPr>
            <w:tcW w:w="1769"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27.5 (15.7)</w:t>
            </w:r>
          </w:p>
        </w:tc>
        <w:tc>
          <w:tcPr>
            <w:tcW w:w="1701"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26.5 (15.9)</w:t>
            </w:r>
          </w:p>
        </w:tc>
        <w:tc>
          <w:tcPr>
            <w:tcW w:w="992"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0.42</w:t>
            </w:r>
          </w:p>
        </w:tc>
        <w:tc>
          <w:tcPr>
            <w:tcW w:w="1744"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26.9 (15.7)</w:t>
            </w:r>
          </w:p>
        </w:tc>
        <w:tc>
          <w:tcPr>
            <w:tcW w:w="1800"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27.3 (16.6)</w:t>
            </w:r>
          </w:p>
        </w:tc>
        <w:tc>
          <w:tcPr>
            <w:tcW w:w="850" w:type="dxa"/>
            <w:shd w:val="clear" w:color="auto" w:fill="auto"/>
            <w:noWrap/>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0.77</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等线" w:cs="宋体"/>
          <w:color w:val="000000"/>
          <w:lang w:eastAsia="zh-CN"/>
        </w:rPr>
        <w:t>PS: Performance status.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autoSpaceDE w:val="0"/>
        <w:autoSpaceDN w:val="0"/>
        <w:adjustRightInd w:val="0"/>
        <w:spacing w:line="360" w:lineRule="auto"/>
        <w:jc w:val="both"/>
        <w:rPr>
          <w:rFonts w:ascii="Book Antiqua" w:hAnsi="Book Antiqua" w:eastAsia="MS Mincho"/>
        </w:rPr>
      </w:pPr>
    </w:p>
    <w:bookmarkEnd w:id="0"/>
    <w:p>
      <w:pPr>
        <w:spacing w:line="360" w:lineRule="auto"/>
        <w:jc w:val="both"/>
        <w:rPr>
          <w:rFonts w:ascii="Book Antiqua" w:hAnsi="Book Antiqua"/>
        </w:rPr>
      </w:pP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eastAsia="Yu Gothic"/>
          <w:b/>
          <w:color w:val="000000" w:themeColor="text1"/>
          <w14:textFill>
            <w14:solidFill>
              <w14:schemeClr w14:val="tx1"/>
            </w14:solidFill>
          </w14:textFill>
        </w:rPr>
        <w:t>Table 4 Predictive factors for endoscopic retrograde cholangiopancreatography (ERCP)-related complications after ERCP for common bile duct stones</w:t>
      </w:r>
    </w:p>
    <w:tbl>
      <w:tblPr>
        <w:tblStyle w:val="8"/>
        <w:tblW w:w="1314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99" w:type="dxa"/>
          <w:bottom w:w="0" w:type="dxa"/>
          <w:right w:w="99" w:type="dxa"/>
        </w:tblCellMar>
      </w:tblPr>
      <w:tblGrid>
        <w:gridCol w:w="5349"/>
        <w:gridCol w:w="1720"/>
        <w:gridCol w:w="1720"/>
        <w:gridCol w:w="1127"/>
        <w:gridCol w:w="948"/>
        <w:gridCol w:w="1196"/>
        <w:gridCol w:w="109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35" w:hRule="atLeast"/>
        </w:trPr>
        <w:tc>
          <w:tcPr>
            <w:tcW w:w="5387" w:type="dxa"/>
            <w:vMerge w:val="restart"/>
            <w:tcBorders>
              <w:top w:val="single" w:color="auto" w:sz="4" w:space="0"/>
              <w:bottom w:val="nil"/>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p>
        </w:tc>
        <w:tc>
          <w:tcPr>
            <w:tcW w:w="4493" w:type="dxa"/>
            <w:gridSpan w:val="3"/>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Univariate analysis</w:t>
            </w:r>
          </w:p>
        </w:tc>
        <w:tc>
          <w:tcPr>
            <w:tcW w:w="3260" w:type="dxa"/>
            <w:gridSpan w:val="3"/>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945" w:hRule="atLeast"/>
        </w:trPr>
        <w:tc>
          <w:tcPr>
            <w:tcW w:w="5387" w:type="dxa"/>
            <w:vMerge w:val="continue"/>
            <w:tcBorders>
              <w:top w:val="nil"/>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p>
        </w:tc>
        <w:tc>
          <w:tcPr>
            <w:tcW w:w="173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With complications (</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116)</w:t>
            </w:r>
          </w:p>
        </w:tc>
        <w:tc>
          <w:tcPr>
            <w:tcW w:w="1628"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Without complications (</w:t>
            </w:r>
            <w:r>
              <w:rPr>
                <w:rFonts w:ascii="Book Antiqua" w:hAnsi="Book Antiqua" w:eastAsia="Yu Gothic"/>
                <w:b/>
                <w:i/>
                <w:color w:val="000000" w:themeColor="text1"/>
                <w14:textFill>
                  <w14:solidFill>
                    <w14:schemeClr w14:val="tx1"/>
                  </w14:solidFill>
                </w14:textFill>
              </w:rPr>
              <w:t>n</w:t>
            </w:r>
            <w:r>
              <w:rPr>
                <w:rFonts w:ascii="Book Antiqua" w:hAnsi="Book Antiqua" w:eastAsia="Yu Gothic"/>
                <w:b/>
                <w:color w:val="000000" w:themeColor="text1"/>
                <w14:textFill>
                  <w14:solidFill>
                    <w14:schemeClr w14:val="tx1"/>
                  </w14:solidFill>
                </w14:textFill>
              </w:rPr>
              <w:t xml:space="preserve"> = 1227)</w:t>
            </w:r>
          </w:p>
        </w:tc>
        <w:tc>
          <w:tcPr>
            <w:tcW w:w="1134"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i/>
                <w:color w:val="000000" w:themeColor="text1"/>
                <w14:textFill>
                  <w14:solidFill>
                    <w14:schemeClr w14:val="tx1"/>
                  </w14:solidFill>
                </w14:textFill>
              </w:rPr>
              <w:t>P</w:t>
            </w:r>
            <w:r>
              <w:rPr>
                <w:rFonts w:ascii="Book Antiqua" w:hAnsi="Book Antiqua" w:eastAsia="Yu Gothic"/>
                <w:b/>
                <w:color w:val="000000" w:themeColor="text1"/>
                <w14:textFill>
                  <w14:solidFill>
                    <w14:schemeClr w14:val="tx1"/>
                  </w14:solidFill>
                </w14:textFill>
              </w:rPr>
              <w:t xml:space="preserve"> value</w:t>
            </w:r>
          </w:p>
        </w:tc>
        <w:tc>
          <w:tcPr>
            <w:tcW w:w="95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Odds ratio</w:t>
            </w:r>
          </w:p>
        </w:tc>
        <w:tc>
          <w:tcPr>
            <w:tcW w:w="120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color w:val="000000" w:themeColor="text1"/>
                <w14:textFill>
                  <w14:solidFill>
                    <w14:schemeClr w14:val="tx1"/>
                  </w14:solidFill>
                </w14:textFill>
              </w:rPr>
              <w:t>95%CI</w:t>
            </w:r>
          </w:p>
        </w:tc>
        <w:tc>
          <w:tcPr>
            <w:tcW w:w="1104"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Yu Gothic"/>
                <w:b/>
                <w:color w:val="000000" w:themeColor="text1"/>
                <w14:textFill>
                  <w14:solidFill>
                    <w14:schemeClr w14:val="tx1"/>
                  </w14:solidFill>
                </w14:textFill>
              </w:rPr>
            </w:pPr>
            <w:r>
              <w:rPr>
                <w:rFonts w:ascii="Book Antiqua" w:hAnsi="Book Antiqua" w:eastAsia="Yu Gothic"/>
                <w:b/>
                <w:i/>
                <w:color w:val="000000" w:themeColor="text1"/>
                <w14:textFill>
                  <w14:solidFill>
                    <w14:schemeClr w14:val="tx1"/>
                  </w14:solidFill>
                </w14:textFill>
              </w:rPr>
              <w:t>P</w:t>
            </w:r>
            <w:r>
              <w:rPr>
                <w:rFonts w:ascii="Book Antiqua" w:hAnsi="Book Antiqua" w:eastAsia="Yu Gothic"/>
                <w:b/>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Indications of ERCP for CBDS</w:t>
            </w:r>
          </w:p>
        </w:tc>
        <w:tc>
          <w:tcPr>
            <w:tcW w:w="1731"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628" w:type="dxa"/>
            <w:tcBorders>
              <w:top w:val="single" w:color="auto" w:sz="4" w:space="0"/>
            </w:tcBorders>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34"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c>
          <w:tcPr>
            <w:tcW w:w="953"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1.1</w:t>
            </w:r>
          </w:p>
        </w:tc>
        <w:tc>
          <w:tcPr>
            <w:tcW w:w="1203"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1.05-1.2</w:t>
            </w:r>
          </w:p>
        </w:tc>
        <w:tc>
          <w:tcPr>
            <w:tcW w:w="1104" w:type="dxa"/>
            <w:tcBorders>
              <w:top w:val="single" w:color="auto" w:sz="4" w:space="0"/>
            </w:tcBorders>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Acute cholangitis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44 (37.9)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757 (61.7)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Biliary pancreatitis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 (0.9)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63 (5.1)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Obstructive jaundice without cholangitis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35 (30.2)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248 (20.2)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Asymptomatic CBDS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36 (31.0)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159 (13.0)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Absence of antibiotics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41 (35.3)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205 (16.7)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w:t>
            </w:r>
            <w:r>
              <w:rPr>
                <w:rFonts w:hint="eastAsia" w:ascii="Book Antiqua" w:hAnsi="Book Antiqua" w:eastAsia="宋体"/>
                <w:color w:val="000000" w:themeColor="text1"/>
                <w:lang w:val="en-US" w:eastAsia="zh-CN"/>
                <w14:textFill>
                  <w14:solidFill>
                    <w14:schemeClr w14:val="tx1"/>
                  </w14:solidFill>
                </w14:textFill>
              </w:rPr>
              <w:t xml:space="preserve"> </w:t>
            </w:r>
            <w:r>
              <w:rPr>
                <w:rFonts w:ascii="Book Antiqua" w:hAnsi="Book Antiqua" w:eastAsia="Yu Gothic"/>
                <w:color w:val="000000" w:themeColor="text1"/>
                <w14:textFill>
                  <w14:solidFill>
                    <w14:schemeClr w14:val="tx1"/>
                  </w14:solidFill>
                </w14:textFill>
              </w:rPr>
              <w:t>0.001</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1.7</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1.04-2.7</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Mean procedure time, min [mean (SD)]</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33.4 (17.3)</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26.7 (15.5)</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w:t>
            </w:r>
            <w:r>
              <w:rPr>
                <w:rFonts w:hint="eastAsia" w:ascii="Book Antiqua" w:hAnsi="Book Antiqua" w:eastAsia="宋体"/>
                <w:color w:val="000000" w:themeColor="text1"/>
                <w:lang w:val="en-US" w:eastAsia="zh-CN"/>
                <w14:textFill>
                  <w14:solidFill>
                    <w14:schemeClr w14:val="tx1"/>
                  </w14:solidFill>
                </w14:textFill>
              </w:rPr>
              <w:t xml:space="preserve"> </w:t>
            </w:r>
            <w:r>
              <w:rPr>
                <w:rFonts w:ascii="Book Antiqua" w:hAnsi="Book Antiqua" w:eastAsia="Yu Gothic"/>
                <w:color w:val="000000" w:themeColor="text1"/>
                <w14:textFill>
                  <w14:solidFill>
                    <w14:schemeClr w14:val="tx1"/>
                  </w14:solidFill>
                </w14:textFill>
              </w:rPr>
              <w:t>0.001</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1.01</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1.00-1.02</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Difficult biliary cannulation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50 (43.1)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307 (25.0)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&lt;</w:t>
            </w:r>
            <w:r>
              <w:rPr>
                <w:rFonts w:hint="eastAsia" w:ascii="Book Antiqua" w:hAnsi="Book Antiqua" w:eastAsia="宋体"/>
                <w:color w:val="000000" w:themeColor="text1"/>
                <w:lang w:val="en-US" w:eastAsia="zh-CN"/>
                <w14:textFill>
                  <w14:solidFill>
                    <w14:schemeClr w14:val="tx1"/>
                  </w14:solidFill>
                </w14:textFill>
              </w:rPr>
              <w:t xml:space="preserve"> </w:t>
            </w:r>
            <w:r>
              <w:rPr>
                <w:rFonts w:ascii="Book Antiqua" w:hAnsi="Book Antiqua" w:eastAsia="Yu Gothic"/>
                <w:color w:val="000000" w:themeColor="text1"/>
                <w14:textFill>
                  <w14:solidFill>
                    <w14:schemeClr w14:val="tx1"/>
                  </w14:solidFill>
                </w14:textFill>
              </w:rPr>
              <w:t>0.001</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1.3</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0.74-2.3</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Pancreatic injection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69 (59.5)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537 (43.8)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0.001</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1.4</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0.85-2.1</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Contrast-assisted cannulation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68 (58.6)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872 (71.1)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0.008</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0.90</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0.47-1.7</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Prophylactic pancreatic stent placement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27 (23.3)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174 (14.2)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0.014</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0.77</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0.45-1.3</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Normal serum bilirubin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68 (58.6)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576 (46.9)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0.019</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0.86</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0.53-1.4</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PGW-assisted cannulation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24 (20.7)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162 (13.2)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0.034</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0.77-1.3</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Precut sphincterotomy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 (9.5)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61 (5.0)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0.050</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0.96</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0.76-1.2</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Age [mean (SD)]</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72.5 (14.8)</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75.1 (13.9)</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0.051</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0.98-1.01</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Non-dilated CBD (&lt; 10 mm)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55 (47.4)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469 (38.2)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0.058</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1.3</w:t>
            </w: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0.82-1.9</w:t>
            </w: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Protease inhibitor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51 (44.0)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467 (38.1)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0.23</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EPBD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18 (15.5)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145 (11.8)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0.24</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Trainees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24 (20.7)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202 (16.5)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0.24</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Use of basket catheter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47 (40.5)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562 (45.8)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0.29</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EPLBD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15 (12.9)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203 (16.5)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0.36</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Platelet counts [mean (SD)] (×10</w:t>
            </w:r>
            <w:r>
              <w:rPr>
                <w:rFonts w:ascii="Book Antiqua" w:hAnsi="Book Antiqua" w:eastAsia="Yu Gothic"/>
                <w:color w:val="000000" w:themeColor="text1"/>
                <w:vertAlign w:val="superscript"/>
                <w14:textFill>
                  <w14:solidFill>
                    <w14:schemeClr w14:val="tx1"/>
                  </w14:solidFill>
                </w14:textFill>
              </w:rPr>
              <w:t>6</w:t>
            </w:r>
            <w:r>
              <w:rPr>
                <w:rFonts w:ascii="Book Antiqua" w:hAnsi="Book Antiqua" w:eastAsia="Yu Gothic"/>
                <w:color w:val="000000" w:themeColor="text1"/>
                <w14:textFill>
                  <w14:solidFill>
                    <w14:schemeClr w14:val="tx1"/>
                  </w14:solidFill>
                </w14:textFill>
              </w:rPr>
              <w:t xml:space="preserve">/L)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19.8 (9.8)</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19.1 (7.4)</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0.39</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EST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97 (83.6)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1062 (86.6)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0.40</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Rectal NSAIDs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8 (6.9)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119 (9.7)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0.41</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Biliary stent placement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95 (81.9)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1042 (84.9)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0.42</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Number of CBD stones [mean (SD)]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2.1 (3.0)</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2.2 (2.7)</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0.52</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Post-cholecystectomy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 (8.6)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133 (10.8)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0.53</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Complete stone removal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108 (93.1)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1156 (94.2)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0.54</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Mechanical lithotripsy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21 (18.1)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201 (16.4)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0.60</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Use of balloon catheter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94 (81.0)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969 (79.0)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0.72</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Wire-guided cannulation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13 (11.2)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130 (10.6)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0.88</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Female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55 (47.4)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589 (48.0)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0.92</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PT-INR [mean (SD)]</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1.2 (0.90)</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1.2 (0.85)</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0.93</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Antithrombotic treatment</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32 (27.6)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342 (27.9)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Billroth-1 reconstruction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 (2.6)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31 (2.5)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Presence of gallstones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75 (64.7)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787 (64.1)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Successful biliary cannulation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115 (99.1)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1209 (98.5)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95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75" w:hRule="atLeast"/>
        </w:trPr>
        <w:tc>
          <w:tcPr>
            <w:tcW w:w="5387"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Large stones (&gt; 10 mm) (%)</w:t>
            </w:r>
          </w:p>
        </w:tc>
        <w:tc>
          <w:tcPr>
            <w:tcW w:w="1731"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22 (19.0) </w:t>
            </w:r>
          </w:p>
        </w:tc>
        <w:tc>
          <w:tcPr>
            <w:tcW w:w="1628"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 xml:space="preserve">234 (19.1) </w:t>
            </w:r>
          </w:p>
        </w:tc>
        <w:tc>
          <w:tcPr>
            <w:tcW w:w="113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r>
              <w:rPr>
                <w:rFonts w:ascii="Book Antiqua" w:hAnsi="Book Antiqua" w:eastAsia="Yu Gothic"/>
                <w:color w:val="000000" w:themeColor="text1"/>
                <w14:textFill>
                  <w14:solidFill>
                    <w14:schemeClr w14:val="tx1"/>
                  </w14:solidFill>
                </w14:textFill>
              </w:rPr>
              <w:t>1.0</w:t>
            </w:r>
          </w:p>
        </w:tc>
        <w:tc>
          <w:tcPr>
            <w:tcW w:w="95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203"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c>
          <w:tcPr>
            <w:tcW w:w="1104" w:type="dxa"/>
            <w:shd w:val="clear" w:color="auto" w:fill="auto"/>
            <w:noWrap/>
            <w:vAlign w:val="center"/>
          </w:tcPr>
          <w:p>
            <w:pPr>
              <w:spacing w:line="360" w:lineRule="auto"/>
              <w:jc w:val="both"/>
              <w:rPr>
                <w:rFonts w:ascii="Book Antiqua" w:hAnsi="Book Antiqua" w:eastAsia="Yu Gothic"/>
                <w:color w:val="000000" w:themeColor="text1"/>
                <w14:textFill>
                  <w14:solidFill>
                    <w14:schemeClr w14:val="tx1"/>
                  </w14:solidFill>
                </w14:textFill>
              </w:rPr>
            </w:pPr>
          </w:p>
        </w:tc>
      </w:tr>
    </w:tbl>
    <w:p>
      <w:pPr>
        <w:spacing w:line="360" w:lineRule="auto"/>
        <w:jc w:val="both"/>
        <w:rPr>
          <w:rFonts w:ascii="Book Antiqua" w:hAnsi="Book Antiqua"/>
        </w:rPr>
      </w:pPr>
      <w:r>
        <w:rPr>
          <w:rFonts w:ascii="Book Antiqua" w:hAnsi="Book Antiqua" w:eastAsia="Yu Gothic"/>
          <w:color w:val="000000" w:themeColor="text1"/>
          <w14:textFill>
            <w14:solidFill>
              <w14:schemeClr w14:val="tx1"/>
            </w14:solidFill>
          </w14:textFill>
        </w:rPr>
        <w:t>CBDS: Common bile duct stones; CBD: Common bile duct; ERCP: Endoscopic retrograde cholangiopancreatography; PT- EST: Endoscopic sphincterotomy; EPBD: Endoscopic papillary balloon dilation; EPLBD: Endoscopic papillary large balloon dilation; PGW: Pancreatic guidewire; NSAIDs: Nonsteroidal anti-inflammatory drugs; INR: Prothrombin time-international normalized ratio.</w:t>
      </w:r>
    </w:p>
    <w:p>
      <w:pPr>
        <w:spacing w:line="360" w:lineRule="auto"/>
        <w:jc w:val="both"/>
        <w:rPr>
          <w:rFonts w:ascii="Book Antiqua" w:hAnsi="Book Antiqua"/>
        </w:rPr>
      </w:pP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roman"/>
    <w:pitch w:val="default"/>
    <w:sig w:usb0="00000000" w:usb1="00000000" w:usb2="00000010" w:usb3="00000000" w:csb0="00020000" w:csb1="00000000"/>
  </w:font>
  <w:font w:name="Samurai">
    <w:panose1 w:val="02000609000000000000"/>
    <w:charset w:val="80"/>
    <w:family w:val="auto"/>
    <w:pitch w:val="default"/>
    <w:sig w:usb0="A00002BF" w:usb1="68C7FCFB" w:usb2="00000010" w:usb3="00000000" w:csb0="4002009F" w:csb1="DFD70000"/>
  </w:font>
  <w:font w:name="Yu Gothic">
    <w:panose1 w:val="020B0400000000000000"/>
    <w:charset w:val="80"/>
    <w:family w:val="swiss"/>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733050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AC4"/>
    <w:rsid w:val="00045896"/>
    <w:rsid w:val="0005112F"/>
    <w:rsid w:val="00052511"/>
    <w:rsid w:val="00055A76"/>
    <w:rsid w:val="000679E9"/>
    <w:rsid w:val="00072823"/>
    <w:rsid w:val="0008148F"/>
    <w:rsid w:val="00083D31"/>
    <w:rsid w:val="00097CB0"/>
    <w:rsid w:val="000C2167"/>
    <w:rsid w:val="00104BE6"/>
    <w:rsid w:val="00124C69"/>
    <w:rsid w:val="0013207A"/>
    <w:rsid w:val="00166177"/>
    <w:rsid w:val="001C0570"/>
    <w:rsid w:val="001D6CC2"/>
    <w:rsid w:val="001E1EE2"/>
    <w:rsid w:val="001F630C"/>
    <w:rsid w:val="002019AD"/>
    <w:rsid w:val="00224511"/>
    <w:rsid w:val="002433D0"/>
    <w:rsid w:val="00251F84"/>
    <w:rsid w:val="002651B0"/>
    <w:rsid w:val="0027717E"/>
    <w:rsid w:val="00285505"/>
    <w:rsid w:val="002A6440"/>
    <w:rsid w:val="002B2030"/>
    <w:rsid w:val="002C1922"/>
    <w:rsid w:val="002C62AC"/>
    <w:rsid w:val="002E1EDA"/>
    <w:rsid w:val="002E7116"/>
    <w:rsid w:val="00317CC8"/>
    <w:rsid w:val="0034523D"/>
    <w:rsid w:val="00363D1A"/>
    <w:rsid w:val="00371E75"/>
    <w:rsid w:val="003818B5"/>
    <w:rsid w:val="003E02B2"/>
    <w:rsid w:val="004054D8"/>
    <w:rsid w:val="00426102"/>
    <w:rsid w:val="00435894"/>
    <w:rsid w:val="0043630B"/>
    <w:rsid w:val="00437E66"/>
    <w:rsid w:val="00447BA6"/>
    <w:rsid w:val="00472C00"/>
    <w:rsid w:val="00477EDB"/>
    <w:rsid w:val="004800FF"/>
    <w:rsid w:val="004808D3"/>
    <w:rsid w:val="00484AD2"/>
    <w:rsid w:val="00486684"/>
    <w:rsid w:val="004B6E35"/>
    <w:rsid w:val="004C0579"/>
    <w:rsid w:val="004E6BAE"/>
    <w:rsid w:val="004E6F96"/>
    <w:rsid w:val="00513A08"/>
    <w:rsid w:val="00524CFB"/>
    <w:rsid w:val="00527815"/>
    <w:rsid w:val="005605D3"/>
    <w:rsid w:val="0056540C"/>
    <w:rsid w:val="00571152"/>
    <w:rsid w:val="0058171B"/>
    <w:rsid w:val="005966A7"/>
    <w:rsid w:val="005A69A8"/>
    <w:rsid w:val="00605708"/>
    <w:rsid w:val="00644D78"/>
    <w:rsid w:val="00647B39"/>
    <w:rsid w:val="0065012B"/>
    <w:rsid w:val="006532AC"/>
    <w:rsid w:val="00674357"/>
    <w:rsid w:val="00690625"/>
    <w:rsid w:val="00693742"/>
    <w:rsid w:val="006A0A18"/>
    <w:rsid w:val="006A3D06"/>
    <w:rsid w:val="006B0779"/>
    <w:rsid w:val="006B7B8F"/>
    <w:rsid w:val="006D29B6"/>
    <w:rsid w:val="006D2FF0"/>
    <w:rsid w:val="006F2BDD"/>
    <w:rsid w:val="00770BA3"/>
    <w:rsid w:val="0078074A"/>
    <w:rsid w:val="007829C3"/>
    <w:rsid w:val="007852F0"/>
    <w:rsid w:val="0079361D"/>
    <w:rsid w:val="007B0D3E"/>
    <w:rsid w:val="007D0526"/>
    <w:rsid w:val="007F4AC2"/>
    <w:rsid w:val="00803A5C"/>
    <w:rsid w:val="00815FAD"/>
    <w:rsid w:val="0082382B"/>
    <w:rsid w:val="008247DE"/>
    <w:rsid w:val="0083064C"/>
    <w:rsid w:val="008424D7"/>
    <w:rsid w:val="008556D7"/>
    <w:rsid w:val="0088082C"/>
    <w:rsid w:val="008822FC"/>
    <w:rsid w:val="008942D2"/>
    <w:rsid w:val="008C67DC"/>
    <w:rsid w:val="008F367C"/>
    <w:rsid w:val="008F441B"/>
    <w:rsid w:val="00926758"/>
    <w:rsid w:val="009403E2"/>
    <w:rsid w:val="0096019E"/>
    <w:rsid w:val="00962182"/>
    <w:rsid w:val="0098044A"/>
    <w:rsid w:val="00982FCB"/>
    <w:rsid w:val="009A1FE3"/>
    <w:rsid w:val="009B615D"/>
    <w:rsid w:val="009B7791"/>
    <w:rsid w:val="009D0EBF"/>
    <w:rsid w:val="009E1EC7"/>
    <w:rsid w:val="009F4AC4"/>
    <w:rsid w:val="009F60E6"/>
    <w:rsid w:val="00A21927"/>
    <w:rsid w:val="00A44BC1"/>
    <w:rsid w:val="00A77B3E"/>
    <w:rsid w:val="00A83495"/>
    <w:rsid w:val="00A835A7"/>
    <w:rsid w:val="00A95B14"/>
    <w:rsid w:val="00AA216E"/>
    <w:rsid w:val="00AA6FA3"/>
    <w:rsid w:val="00AC2B13"/>
    <w:rsid w:val="00AD7816"/>
    <w:rsid w:val="00AE4ECB"/>
    <w:rsid w:val="00B0130F"/>
    <w:rsid w:val="00B042A2"/>
    <w:rsid w:val="00B23ED1"/>
    <w:rsid w:val="00B24A2F"/>
    <w:rsid w:val="00B32D24"/>
    <w:rsid w:val="00B408C3"/>
    <w:rsid w:val="00B74721"/>
    <w:rsid w:val="00B905F9"/>
    <w:rsid w:val="00BB3E2C"/>
    <w:rsid w:val="00C1725F"/>
    <w:rsid w:val="00C2460C"/>
    <w:rsid w:val="00C25B3F"/>
    <w:rsid w:val="00C32D05"/>
    <w:rsid w:val="00C33E95"/>
    <w:rsid w:val="00C63206"/>
    <w:rsid w:val="00CA2A55"/>
    <w:rsid w:val="00CB4649"/>
    <w:rsid w:val="00CD2DEF"/>
    <w:rsid w:val="00CD3AD2"/>
    <w:rsid w:val="00CE08F0"/>
    <w:rsid w:val="00D0052C"/>
    <w:rsid w:val="00D00CA5"/>
    <w:rsid w:val="00D157C8"/>
    <w:rsid w:val="00D22879"/>
    <w:rsid w:val="00D47BCA"/>
    <w:rsid w:val="00D52454"/>
    <w:rsid w:val="00D54AFB"/>
    <w:rsid w:val="00D93F6C"/>
    <w:rsid w:val="00DB7C4A"/>
    <w:rsid w:val="00DD0602"/>
    <w:rsid w:val="00DF5A04"/>
    <w:rsid w:val="00E028EA"/>
    <w:rsid w:val="00E27EB3"/>
    <w:rsid w:val="00E30EFD"/>
    <w:rsid w:val="00E31CAB"/>
    <w:rsid w:val="00E334A9"/>
    <w:rsid w:val="00E36B33"/>
    <w:rsid w:val="00E70A12"/>
    <w:rsid w:val="00E77263"/>
    <w:rsid w:val="00E84755"/>
    <w:rsid w:val="00E93CDF"/>
    <w:rsid w:val="00EA55C0"/>
    <w:rsid w:val="00EA6E47"/>
    <w:rsid w:val="00EB146C"/>
    <w:rsid w:val="00EE4F5D"/>
    <w:rsid w:val="00EF362B"/>
    <w:rsid w:val="00F02F0D"/>
    <w:rsid w:val="00F171F0"/>
    <w:rsid w:val="00F17844"/>
    <w:rsid w:val="00F232EF"/>
    <w:rsid w:val="00F407DF"/>
    <w:rsid w:val="00F4704D"/>
    <w:rsid w:val="00F643FF"/>
    <w:rsid w:val="00F72BF8"/>
    <w:rsid w:val="00F744B9"/>
    <w:rsid w:val="00F90968"/>
    <w:rsid w:val="00FA2D4F"/>
    <w:rsid w:val="00FB6519"/>
    <w:rsid w:val="00FC5113"/>
    <w:rsid w:val="07D86383"/>
    <w:rsid w:val="1FC14D21"/>
    <w:rsid w:val="20115ACA"/>
    <w:rsid w:val="26C233DE"/>
    <w:rsid w:val="3D050AB7"/>
    <w:rsid w:val="3D1A168F"/>
    <w:rsid w:val="5071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6"/>
    <w:qFormat/>
    <w:uiPriority w:val="9"/>
    <w:pPr>
      <w:spacing w:before="100" w:beforeAutospacing="1" w:after="100" w:afterAutospacing="1"/>
      <w:outlineLvl w:val="0"/>
    </w:pPr>
    <w:rPr>
      <w:rFonts w:ascii="MS PGothic" w:hAnsi="MS PGothic" w:eastAsia="MS PGothic" w:cs="MS PGothic"/>
      <w:b/>
      <w:bCs/>
      <w:kern w:val="36"/>
      <w:sz w:val="48"/>
      <w:szCs w:val="48"/>
      <w:lang w:eastAsia="ja-JP"/>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0"/>
    <w:semiHidden/>
    <w:unhideWhenUsed/>
    <w:qFormat/>
    <w:uiPriority w:val="99"/>
    <w:pPr>
      <w:widowControl w:val="0"/>
      <w:jc w:val="both"/>
    </w:pPr>
    <w:rPr>
      <w:rFonts w:asciiTheme="minorHAnsi" w:hAnsiTheme="minorHAnsi" w:cstheme="minorBidi"/>
      <w:kern w:val="2"/>
      <w:sz w:val="20"/>
      <w:szCs w:val="20"/>
      <w:lang w:eastAsia="ja-JP"/>
    </w:rPr>
  </w:style>
  <w:style w:type="paragraph" w:styleId="4">
    <w:name w:val="Balloon Text"/>
    <w:basedOn w:val="1"/>
    <w:link w:val="32"/>
    <w:semiHidden/>
    <w:unhideWhenUsed/>
    <w:qFormat/>
    <w:uiPriority w:val="99"/>
    <w:pPr>
      <w:widowControl w:val="0"/>
      <w:jc w:val="both"/>
    </w:pPr>
    <w:rPr>
      <w:rFonts w:ascii="Tahoma" w:hAnsi="Tahoma" w:cs="Tahoma"/>
      <w:kern w:val="2"/>
      <w:sz w:val="16"/>
      <w:szCs w:val="16"/>
      <w:lang w:eastAsia="ja-JP"/>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31"/>
    <w:semiHidden/>
    <w:unhideWhenUsed/>
    <w:qFormat/>
    <w:uiPriority w:val="99"/>
    <w:rPr>
      <w:b/>
      <w:bCs/>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character" w:styleId="13">
    <w:name w:val="annotation reference"/>
    <w:basedOn w:val="9"/>
    <w:semiHidden/>
    <w:unhideWhenUsed/>
    <w:qFormat/>
    <w:uiPriority w:val="99"/>
    <w:rPr>
      <w:sz w:val="16"/>
      <w:szCs w:val="16"/>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标题 1 字符"/>
    <w:basedOn w:val="9"/>
    <w:link w:val="2"/>
    <w:qFormat/>
    <w:uiPriority w:val="9"/>
    <w:rPr>
      <w:rFonts w:ascii="MS PGothic" w:hAnsi="MS PGothic" w:eastAsia="MS PGothic" w:cs="MS PGothic"/>
      <w:b/>
      <w:bCs/>
      <w:kern w:val="36"/>
      <w:sz w:val="48"/>
      <w:szCs w:val="48"/>
      <w:lang w:eastAsia="ja-JP"/>
    </w:rPr>
  </w:style>
  <w:style w:type="character" w:customStyle="1" w:styleId="17">
    <w:name w:val="orcid-id-https2"/>
    <w:basedOn w:val="9"/>
    <w:qFormat/>
    <w:uiPriority w:val="0"/>
    <w:rPr>
      <w:sz w:val="18"/>
      <w:szCs w:val="18"/>
    </w:rPr>
  </w:style>
  <w:style w:type="paragraph" w:customStyle="1" w:styleId="18">
    <w:name w:val="skip-numbering"/>
    <w:basedOn w:val="1"/>
    <w:qFormat/>
    <w:uiPriority w:val="0"/>
    <w:pPr>
      <w:spacing w:before="100" w:beforeAutospacing="1" w:after="100" w:afterAutospacing="1"/>
    </w:pPr>
    <w:rPr>
      <w:rFonts w:ascii="MS PGothic" w:hAnsi="MS PGothic" w:eastAsia="MS PGothic" w:cs="MS PGothic"/>
      <w:lang w:eastAsia="ja-JP"/>
    </w:rPr>
  </w:style>
  <w:style w:type="character" w:customStyle="1" w:styleId="19">
    <w:name w:val="docsum-authors"/>
    <w:basedOn w:val="9"/>
    <w:qFormat/>
    <w:uiPriority w:val="0"/>
  </w:style>
  <w:style w:type="character" w:customStyle="1" w:styleId="20">
    <w:name w:val="docsum-journal-citation"/>
    <w:basedOn w:val="9"/>
    <w:qFormat/>
    <w:uiPriority w:val="0"/>
  </w:style>
  <w:style w:type="character" w:customStyle="1" w:styleId="21">
    <w:name w:val="citation-part"/>
    <w:basedOn w:val="9"/>
    <w:qFormat/>
    <w:uiPriority w:val="0"/>
  </w:style>
  <w:style w:type="character" w:customStyle="1" w:styleId="22">
    <w:name w:val="docsum-pmid"/>
    <w:basedOn w:val="9"/>
    <w:qFormat/>
    <w:uiPriority w:val="0"/>
  </w:style>
  <w:style w:type="paragraph" w:styleId="23">
    <w:name w:val="List Paragraph"/>
    <w:basedOn w:val="1"/>
    <w:qFormat/>
    <w:uiPriority w:val="34"/>
    <w:pPr>
      <w:widowControl w:val="0"/>
      <w:ind w:left="840" w:leftChars="400"/>
      <w:jc w:val="both"/>
    </w:pPr>
    <w:rPr>
      <w:rFonts w:asciiTheme="minorHAnsi" w:hAnsiTheme="minorHAnsi" w:cstheme="minorBidi"/>
      <w:kern w:val="2"/>
      <w:sz w:val="21"/>
      <w:szCs w:val="22"/>
      <w:lang w:eastAsia="ja-JP"/>
    </w:rPr>
  </w:style>
  <w:style w:type="character" w:customStyle="1" w:styleId="24">
    <w:name w:val="jrnl"/>
    <w:basedOn w:val="9"/>
    <w:qFormat/>
    <w:uiPriority w:val="0"/>
  </w:style>
  <w:style w:type="character" w:customStyle="1" w:styleId="25">
    <w:name w:val="period"/>
    <w:basedOn w:val="9"/>
    <w:qFormat/>
    <w:uiPriority w:val="0"/>
  </w:style>
  <w:style w:type="character" w:customStyle="1" w:styleId="26">
    <w:name w:val="cit"/>
    <w:basedOn w:val="9"/>
    <w:qFormat/>
    <w:uiPriority w:val="0"/>
  </w:style>
  <w:style w:type="character" w:customStyle="1" w:styleId="27">
    <w:name w:val="authors-list-item"/>
    <w:basedOn w:val="9"/>
    <w:qFormat/>
    <w:uiPriority w:val="0"/>
  </w:style>
  <w:style w:type="character" w:customStyle="1" w:styleId="28">
    <w:name w:val="comma"/>
    <w:basedOn w:val="9"/>
    <w:qFormat/>
    <w:uiPriority w:val="0"/>
  </w:style>
  <w:style w:type="character" w:customStyle="1" w:styleId="29">
    <w:name w:val="id-label"/>
    <w:basedOn w:val="9"/>
    <w:qFormat/>
    <w:uiPriority w:val="0"/>
  </w:style>
  <w:style w:type="character" w:customStyle="1" w:styleId="30">
    <w:name w:val="批注文字 字符"/>
    <w:basedOn w:val="9"/>
    <w:link w:val="3"/>
    <w:semiHidden/>
    <w:qFormat/>
    <w:uiPriority w:val="99"/>
    <w:rPr>
      <w:rFonts w:asciiTheme="minorHAnsi" w:hAnsiTheme="minorHAnsi" w:cstheme="minorBidi"/>
      <w:kern w:val="2"/>
      <w:lang w:eastAsia="ja-JP"/>
    </w:rPr>
  </w:style>
  <w:style w:type="character" w:customStyle="1" w:styleId="31">
    <w:name w:val="批注主题 字符"/>
    <w:basedOn w:val="30"/>
    <w:link w:val="7"/>
    <w:semiHidden/>
    <w:qFormat/>
    <w:uiPriority w:val="99"/>
    <w:rPr>
      <w:rFonts w:asciiTheme="minorHAnsi" w:hAnsiTheme="minorHAnsi" w:cstheme="minorBidi"/>
      <w:b/>
      <w:bCs/>
      <w:kern w:val="2"/>
      <w:lang w:eastAsia="ja-JP"/>
    </w:rPr>
  </w:style>
  <w:style w:type="character" w:customStyle="1" w:styleId="32">
    <w:name w:val="批注框文本 字符"/>
    <w:basedOn w:val="9"/>
    <w:link w:val="4"/>
    <w:semiHidden/>
    <w:qFormat/>
    <w:uiPriority w:val="99"/>
    <w:rPr>
      <w:rFonts w:ascii="Tahoma" w:hAnsi="Tahoma" w:cs="Tahoma"/>
      <w:kern w:val="2"/>
      <w:sz w:val="16"/>
      <w:szCs w:val="16"/>
      <w:lang w:eastAsia="ja-JP"/>
    </w:rPr>
  </w:style>
  <w:style w:type="paragraph" w:customStyle="1" w:styleId="33">
    <w:name w:val="Revision"/>
    <w:hidden/>
    <w:semiHidden/>
    <w:qFormat/>
    <w:uiPriority w:val="99"/>
    <w:rPr>
      <w:rFonts w:asciiTheme="minorHAnsi" w:hAnsiTheme="minorHAnsi" w:eastAsiaTheme="minorEastAsia" w:cstheme="minorBidi"/>
      <w:kern w:val="2"/>
      <w:sz w:val="21"/>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FC8FE-90F7-47D2-BF77-F289A09F58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6325</Words>
  <Characters>34113</Characters>
  <Lines>287</Lines>
  <Paragraphs>81</Paragraphs>
  <TotalTime>2</TotalTime>
  <ScaleCrop>false</ScaleCrop>
  <LinksUpToDate>false</LinksUpToDate>
  <CharactersWithSpaces>39956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2022-03-15T19:33:00Z</dcterms:created>
  <dc:creator>HP</dc:creator>
  <cp:lastModifiedBy>超级喜欢粉红色</cp:lastModifiedBy>
  <cp:lastPrinted>2022-03-05T03:10:00Z</cp:lastPrinted>
  <dcterms:modified xsi:type="dcterms:W3CDTF">2022-04-08T03:43:09Z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BC4EE9337EFB4E639B6B420A90225D19</vt:lpwstr>
  </property>
</Properties>
</file>