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Gastroenterology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73384</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REVIEW</w:t>
      </w:r>
    </w:p>
    <w:p>
      <w:pPr>
        <w:spacing w:line="360" w:lineRule="auto"/>
        <w:jc w:val="both"/>
      </w:pPr>
    </w:p>
    <w:p>
      <w:pPr>
        <w:spacing w:line="360" w:lineRule="auto"/>
        <w:jc w:val="both"/>
      </w:pPr>
      <w:bookmarkStart w:id="0" w:name="OLE_LINK3265"/>
      <w:bookmarkStart w:id="1" w:name="OLE_LINK4273"/>
      <w:bookmarkStart w:id="2" w:name="OLE_LINK3244"/>
      <w:bookmarkStart w:id="3" w:name="OLE_LINK4274"/>
      <w:r>
        <w:rPr>
          <w:rFonts w:ascii="Book Antiqua" w:hAnsi="Book Antiqua" w:eastAsia="Book Antiqua" w:cs="Book Antiqua"/>
          <w:b/>
          <w:color w:val="000000"/>
        </w:rPr>
        <w:t>Autoimmune liver diseases in systemic rheumatic diseases</w:t>
      </w:r>
    </w:p>
    <w:bookmarkEnd w:id="0"/>
    <w:bookmarkEnd w:id="1"/>
    <w:bookmarkEnd w:id="2"/>
    <w:bookmarkEnd w:id="3"/>
    <w:p>
      <w:pPr>
        <w:spacing w:line="360" w:lineRule="auto"/>
        <w:jc w:val="both"/>
      </w:pPr>
    </w:p>
    <w:p>
      <w:pPr>
        <w:spacing w:line="360" w:lineRule="auto"/>
        <w:jc w:val="both"/>
      </w:pPr>
      <w:r>
        <w:rPr>
          <w:rFonts w:ascii="Book Antiqua" w:hAnsi="Book Antiqua" w:eastAsia="Book Antiqua" w:cs="Book Antiqua"/>
          <w:color w:val="000000"/>
        </w:rPr>
        <w:t xml:space="preserve">Wang CR </w:t>
      </w:r>
      <w:r>
        <w:rPr>
          <w:rFonts w:hint="eastAsia" w:ascii="Book Antiqua" w:hAnsi="Book Antiqua" w:eastAsia="Book Antiqua" w:cs="Book Antiqua"/>
          <w:i/>
          <w:iCs/>
          <w:color w:val="000000"/>
          <w:lang w:eastAsia="zh-CN"/>
        </w:rPr>
        <w:t>et</w:t>
      </w:r>
      <w:r>
        <w:rPr>
          <w:rFonts w:ascii="Book Antiqua" w:hAnsi="Book Antiqua" w:eastAsia="Book Antiqua" w:cs="Book Antiqua"/>
          <w:i/>
          <w:iCs/>
          <w:color w:val="000000"/>
          <w:lang w:eastAsia="zh-CN"/>
        </w:rPr>
        <w:t xml:space="preserve"> al</w:t>
      </w:r>
      <w:r>
        <w:rPr>
          <w:rFonts w:ascii="Book Antiqua" w:hAnsi="Book Antiqua" w:eastAsia="Book Antiqua" w:cs="Book Antiqua"/>
          <w:color w:val="000000"/>
          <w:lang w:eastAsia="zh-CN"/>
        </w:rPr>
        <w:t xml:space="preserve">. </w:t>
      </w:r>
      <w:bookmarkStart w:id="4" w:name="OLE_LINK3245"/>
      <w:bookmarkStart w:id="5" w:name="OLE_LINK4276"/>
      <w:bookmarkStart w:id="6" w:name="OLE_LINK3266"/>
      <w:bookmarkStart w:id="7" w:name="OLE_LINK4275"/>
      <w:r>
        <w:rPr>
          <w:rFonts w:ascii="Book Antiqua" w:hAnsi="Book Antiqua" w:eastAsia="Book Antiqua" w:cs="Book Antiqua"/>
          <w:color w:val="000000"/>
        </w:rPr>
        <w:t>Autoimmune liver diseases in SRDs</w:t>
      </w:r>
      <w:bookmarkEnd w:id="4"/>
      <w:bookmarkEnd w:id="5"/>
      <w:bookmarkEnd w:id="6"/>
      <w:bookmarkEnd w:id="7"/>
    </w:p>
    <w:p>
      <w:pPr>
        <w:spacing w:line="360" w:lineRule="auto"/>
        <w:jc w:val="both"/>
      </w:pPr>
    </w:p>
    <w:p>
      <w:pPr>
        <w:spacing w:line="360" w:lineRule="auto"/>
        <w:jc w:val="both"/>
      </w:pPr>
      <w:r>
        <w:rPr>
          <w:rFonts w:ascii="Book Antiqua" w:hAnsi="Book Antiqua" w:eastAsia="Book Antiqua" w:cs="Book Antiqua"/>
          <w:color w:val="000000"/>
        </w:rPr>
        <w:t>Chrong-Reen Wang, Hung-Wen Tsai</w:t>
      </w:r>
    </w:p>
    <w:p>
      <w:pPr>
        <w:spacing w:line="360" w:lineRule="auto"/>
        <w:jc w:val="both"/>
      </w:pPr>
    </w:p>
    <w:p>
      <w:pPr>
        <w:spacing w:line="360" w:lineRule="auto"/>
        <w:jc w:val="both"/>
      </w:pPr>
      <w:r>
        <w:rPr>
          <w:rFonts w:ascii="Book Antiqua" w:hAnsi="Book Antiqua" w:eastAsia="Book Antiqua" w:cs="Book Antiqua"/>
          <w:b/>
          <w:bCs/>
          <w:color w:val="000000"/>
        </w:rPr>
        <w:t xml:space="preserve">Chrong-Reen Wang, </w:t>
      </w:r>
      <w:bookmarkStart w:id="8" w:name="OLE_LINK3190"/>
      <w:bookmarkStart w:id="9" w:name="OLE_LINK3239"/>
      <w:bookmarkStart w:id="10" w:name="OLE_LINK3166"/>
      <w:bookmarkStart w:id="11" w:name="OLE_LINK3167"/>
      <w:r>
        <w:rPr>
          <w:rFonts w:ascii="Book Antiqua" w:hAnsi="Book Antiqua" w:eastAsia="Book Antiqua" w:cs="Book Antiqua"/>
          <w:color w:val="000000"/>
        </w:rPr>
        <w:t>D</w:t>
      </w:r>
      <w:r>
        <w:rPr>
          <w:rFonts w:hint="eastAsia" w:ascii="Book Antiqua" w:hAnsi="Book Antiqua" w:eastAsia="Book Antiqua" w:cs="Book Antiqua"/>
          <w:color w:val="000000"/>
          <w:lang w:eastAsia="zh-CN"/>
        </w:rPr>
        <w:t>e</w:t>
      </w:r>
      <w:r>
        <w:rPr>
          <w:rFonts w:ascii="Book Antiqua" w:hAnsi="Book Antiqua" w:eastAsia="Book Antiqua" w:cs="Book Antiqua"/>
          <w:color w:val="000000"/>
          <w:lang w:eastAsia="zh-CN"/>
        </w:rPr>
        <w:t xml:space="preserve">partment of </w:t>
      </w:r>
      <w:r>
        <w:rPr>
          <w:rFonts w:ascii="Book Antiqua" w:hAnsi="Book Antiqua" w:eastAsia="Book Antiqua" w:cs="Book Antiqua"/>
          <w:color w:val="000000"/>
        </w:rPr>
        <w:t>Internal Medicine</w:t>
      </w:r>
      <w:bookmarkEnd w:id="8"/>
      <w:bookmarkEnd w:id="9"/>
      <w:r>
        <w:rPr>
          <w:rFonts w:ascii="Book Antiqua" w:hAnsi="Book Antiqua" w:eastAsia="Book Antiqua" w:cs="Book Antiqua"/>
          <w:color w:val="000000"/>
        </w:rPr>
        <w:t>, National Cheng Kung University Hospital, Tainan 70403, Taiwan</w:t>
      </w:r>
    </w:p>
    <w:bookmarkEnd w:id="10"/>
    <w:bookmarkEnd w:id="11"/>
    <w:p>
      <w:pPr>
        <w:spacing w:line="360" w:lineRule="auto"/>
        <w:jc w:val="both"/>
      </w:pPr>
    </w:p>
    <w:p>
      <w:pPr>
        <w:spacing w:line="360" w:lineRule="auto"/>
        <w:jc w:val="both"/>
      </w:pPr>
      <w:r>
        <w:rPr>
          <w:rFonts w:ascii="Book Antiqua" w:hAnsi="Book Antiqua" w:eastAsia="Book Antiqua" w:cs="Book Antiqua"/>
          <w:b/>
          <w:bCs/>
          <w:color w:val="000000"/>
        </w:rPr>
        <w:t xml:space="preserve">Hung-Wen Tsai, </w:t>
      </w:r>
      <w:bookmarkStart w:id="12" w:name="OLE_LINK3164"/>
      <w:bookmarkStart w:id="13" w:name="OLE_LINK3165"/>
      <w:r>
        <w:rPr>
          <w:rFonts w:ascii="Book Antiqua" w:hAnsi="Book Antiqua" w:eastAsia="Book Antiqua" w:cs="Book Antiqua"/>
          <w:color w:val="000000"/>
        </w:rPr>
        <w:t>D</w:t>
      </w:r>
      <w:r>
        <w:rPr>
          <w:rFonts w:hint="eastAsia" w:ascii="Book Antiqua" w:hAnsi="Book Antiqua" w:eastAsia="Book Antiqua" w:cs="Book Antiqua"/>
          <w:color w:val="000000"/>
          <w:lang w:eastAsia="zh-CN"/>
        </w:rPr>
        <w:t>e</w:t>
      </w:r>
      <w:r>
        <w:rPr>
          <w:rFonts w:ascii="Book Antiqua" w:hAnsi="Book Antiqua" w:eastAsia="Book Antiqua" w:cs="Book Antiqua"/>
          <w:color w:val="000000"/>
          <w:lang w:eastAsia="zh-CN"/>
        </w:rPr>
        <w:t xml:space="preserve">partment of </w:t>
      </w:r>
      <w:bookmarkEnd w:id="12"/>
      <w:bookmarkEnd w:id="13"/>
      <w:r>
        <w:rPr>
          <w:rFonts w:ascii="Book Antiqua" w:hAnsi="Book Antiqua" w:eastAsia="Book Antiqua" w:cs="Book Antiqua"/>
          <w:color w:val="000000"/>
        </w:rPr>
        <w:t>Pathology, National Cheng Kung University Hospital, Tainan 70403, Taiwan</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bookmarkStart w:id="14" w:name="OLE_LINK3248"/>
      <w:bookmarkStart w:id="15" w:name="OLE_LINK3249"/>
      <w:r>
        <w:rPr>
          <w:rFonts w:ascii="Book Antiqua" w:hAnsi="Book Antiqua" w:eastAsia="Book Antiqua" w:cs="Book Antiqua"/>
          <w:color w:val="000000"/>
        </w:rPr>
        <w:t>Wang CR designed the report; Wang CR and Tsai HW wrote the paper, collected the clinical data and analyzed the pathological specimens.</w:t>
      </w:r>
      <w:bookmarkEnd w:id="14"/>
      <w:bookmarkEnd w:id="15"/>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Chrong-Reen Wang, MD, PhD, Full Professor, </w:t>
      </w:r>
      <w:r>
        <w:rPr>
          <w:rFonts w:ascii="Book Antiqua" w:hAnsi="Book Antiqua" w:eastAsia="Book Antiqua" w:cs="Book Antiqua"/>
          <w:color w:val="000000"/>
        </w:rPr>
        <w:t>D</w:t>
      </w:r>
      <w:r>
        <w:rPr>
          <w:rFonts w:hint="eastAsia" w:ascii="Book Antiqua" w:hAnsi="Book Antiqua" w:eastAsia="Book Antiqua" w:cs="Book Antiqua"/>
          <w:color w:val="000000"/>
          <w:lang w:eastAsia="zh-CN"/>
        </w:rPr>
        <w:t>e</w:t>
      </w:r>
      <w:r>
        <w:rPr>
          <w:rFonts w:ascii="Book Antiqua" w:hAnsi="Book Antiqua" w:eastAsia="Book Antiqua" w:cs="Book Antiqua"/>
          <w:color w:val="000000"/>
          <w:lang w:eastAsia="zh-CN"/>
        </w:rPr>
        <w:t>partment of</w:t>
      </w:r>
      <w:r>
        <w:rPr>
          <w:rFonts w:ascii="Book Antiqua" w:hAnsi="Book Antiqua" w:eastAsia="Book Antiqua" w:cs="Book Antiqua"/>
          <w:b/>
          <w:bCs/>
          <w:color w:val="000000"/>
          <w:lang w:eastAsia="zh-CN"/>
        </w:rPr>
        <w:t xml:space="preserve"> </w:t>
      </w:r>
      <w:r>
        <w:rPr>
          <w:rFonts w:ascii="Book Antiqua" w:hAnsi="Book Antiqua" w:eastAsia="Book Antiqua" w:cs="Book Antiqua"/>
          <w:color w:val="000000"/>
        </w:rPr>
        <w:t xml:space="preserve">Internal Medicine, National Cheng Kung University Hospital, </w:t>
      </w:r>
      <w:bookmarkStart w:id="16" w:name="OLE_LINK3240"/>
      <w:bookmarkStart w:id="17" w:name="OLE_LINK3241"/>
      <w:r>
        <w:rPr>
          <w:rFonts w:ascii="Book Antiqua" w:hAnsi="Book Antiqua" w:eastAsia="Book Antiqua" w:cs="Book Antiqua"/>
          <w:color w:val="000000"/>
        </w:rPr>
        <w:t>N</w:t>
      </w:r>
      <w:r>
        <w:rPr>
          <w:rFonts w:hint="eastAsia" w:ascii="Book Antiqua" w:hAnsi="Book Antiqua" w:eastAsia="Book Antiqua" w:cs="Book Antiqua"/>
          <w:color w:val="000000"/>
          <w:lang w:eastAsia="zh-CN"/>
        </w:rPr>
        <w:t>o</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138 Sheng-Li Road</w:t>
      </w:r>
      <w:bookmarkEnd w:id="16"/>
      <w:bookmarkEnd w:id="17"/>
      <w:r>
        <w:rPr>
          <w:rFonts w:ascii="Book Antiqua" w:hAnsi="Book Antiqua" w:eastAsia="Book Antiqua" w:cs="Book Antiqua"/>
          <w:color w:val="000000"/>
        </w:rPr>
        <w:t>, Tainan 70403, Taiwan.</w:t>
      </w:r>
      <w:r>
        <w:rPr>
          <w:rFonts w:hint="eastAsia"/>
        </w:rPr>
        <w:t xml:space="preserve"> </w:t>
      </w:r>
      <w:r>
        <w:rPr>
          <w:rFonts w:ascii="Book Antiqua" w:hAnsi="Book Antiqua" w:eastAsia="Book Antiqua" w:cs="Book Antiqua"/>
          <w:color w:val="000000"/>
        </w:rPr>
        <w:t>wangcr@mail.ncku.edu.tw</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10,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March 11, 2022</w:t>
      </w:r>
    </w:p>
    <w:p>
      <w:pPr>
        <w:spacing w:line="360" w:lineRule="auto"/>
        <w:jc w:val="both"/>
      </w:pPr>
      <w:r>
        <w:rPr>
          <w:rFonts w:ascii="Book Antiqua" w:hAnsi="Book Antiqua" w:eastAsia="Book Antiqua" w:cs="Book Antiqua"/>
          <w:b/>
          <w:bCs/>
          <w:color w:val="000000"/>
        </w:rPr>
        <w:t>Accepted:</w:t>
      </w:r>
      <w:r>
        <w:rPr>
          <w:rFonts w:ascii="Book Antiqua" w:hAnsi="Book Antiqua" w:eastAsia="Book Antiqua" w:cs="Book Antiqua"/>
          <w:b w:val="0"/>
          <w:bCs w:val="0"/>
          <w:color w:val="000000"/>
        </w:rPr>
        <w:t xml:space="preserve"> May 13, 2022</w:t>
      </w:r>
    </w:p>
    <w:p>
      <w:pPr>
        <w:spacing w:line="360" w:lineRule="auto"/>
        <w:jc w:val="both"/>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hint="eastAsia" w:ascii="Book Antiqua" w:hAnsi="Book Antiqua" w:eastAsia="宋体" w:cs="Book Antiqua"/>
          <w:b w:val="0"/>
          <w:bCs w:val="0"/>
          <w:color w:val="000000"/>
          <w:lang w:val="en-US" w:eastAsia="zh-CN"/>
        </w:rPr>
        <w:t>June 21, 2022</w:t>
      </w:r>
      <w:r>
        <w:rPr>
          <w:rFonts w:ascii="Book Antiqua" w:hAnsi="Book Antiqua" w:eastAsia="Book Antiqua" w:cs="Book Antiqua"/>
          <w:b/>
          <w:bCs/>
          <w:color w:val="000000"/>
        </w:rPr>
        <w:t xml:space="preserve"> </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S</w:t>
      </w:r>
      <w:bookmarkStart w:id="18" w:name="OLE_LINK3170"/>
      <w:bookmarkStart w:id="19" w:name="OLE_LINK3171"/>
      <w:r>
        <w:rPr>
          <w:rFonts w:ascii="Book Antiqua" w:hAnsi="Book Antiqua" w:eastAsia="Book Antiqua" w:cs="Book Antiqua"/>
          <w:color w:val="000000"/>
        </w:rPr>
        <w:t>ystemic rheumatic disease</w:t>
      </w:r>
      <w:bookmarkEnd w:id="18"/>
      <w:bookmarkEnd w:id="19"/>
      <w:r>
        <w:rPr>
          <w:rFonts w:ascii="Book Antiqua" w:hAnsi="Book Antiqua" w:eastAsia="Book Antiqua" w:cs="Book Antiqua"/>
          <w:color w:val="000000"/>
        </w:rPr>
        <w:t xml:space="preserve">s (SRDs) are chronic, inflammatory, autoimmune disorders with the presence of autoantibodies that may affect any organ or system. Liver dysfunction in SRDs can be associated with prescribed drugs, viral hepatitis, alternative hepatic comorbidities and coexisting </w:t>
      </w:r>
      <w:bookmarkStart w:id="20" w:name="OLE_LINK3172"/>
      <w:bookmarkStart w:id="21" w:name="OLE_LINK3173"/>
      <w:r>
        <w:rPr>
          <w:rFonts w:ascii="Book Antiqua" w:hAnsi="Book Antiqua" w:eastAsia="Book Antiqua" w:cs="Book Antiqua"/>
          <w:color w:val="000000"/>
        </w:rPr>
        <w:t>autoimmune liver disease</w:t>
      </w:r>
      <w:bookmarkEnd w:id="20"/>
      <w:bookmarkEnd w:id="21"/>
      <w:r>
        <w:rPr>
          <w:rFonts w:ascii="Book Antiqua" w:hAnsi="Book Antiqua" w:eastAsia="Book Antiqua" w:cs="Book Antiqua"/>
          <w:color w:val="000000"/>
        </w:rPr>
        <w:t xml:space="preserve">s (AILDs), requiring an exclusion of secondary conditions before considering liver involvement. The patterns of overlap diseases depend predominantly on genetic determinants with common susceptible loci widely distributing in both disorders. In AILDs, it is important to identify the overlapping SRDs at an early stage since such a coexistence may influence the disease course and prognosis. Commonly co-occurring SRDs in AILDs are </w:t>
      </w:r>
      <w:bookmarkStart w:id="22" w:name="OLE_LINK3174"/>
      <w:bookmarkStart w:id="23" w:name="OLE_LINK3175"/>
      <w:r>
        <w:rPr>
          <w:rFonts w:ascii="Book Antiqua" w:hAnsi="Book Antiqua" w:eastAsia="Book Antiqua" w:cs="Book Antiqua"/>
          <w:color w:val="000000"/>
        </w:rPr>
        <w:t>Sjögren syndrome</w:t>
      </w:r>
      <w:bookmarkEnd w:id="22"/>
      <w:bookmarkEnd w:id="23"/>
      <w:r>
        <w:rPr>
          <w:rFonts w:ascii="Book Antiqua" w:hAnsi="Book Antiqua" w:eastAsia="Book Antiqua" w:cs="Book Antiqua"/>
          <w:color w:val="000000"/>
        </w:rPr>
        <w:t xml:space="preserve"> (SS), </w:t>
      </w:r>
      <w:bookmarkStart w:id="24" w:name="OLE_LINK3177"/>
      <w:bookmarkStart w:id="25" w:name="OLE_LINK3176"/>
      <w:r>
        <w:rPr>
          <w:rFonts w:ascii="Book Antiqua" w:hAnsi="Book Antiqua" w:eastAsia="Book Antiqua" w:cs="Book Antiqua"/>
          <w:color w:val="000000"/>
        </w:rPr>
        <w:t>rheumatoid arthritis</w:t>
      </w:r>
      <w:bookmarkEnd w:id="24"/>
      <w:bookmarkEnd w:id="25"/>
      <w:r>
        <w:rPr>
          <w:rFonts w:ascii="Book Antiqua" w:hAnsi="Book Antiqua" w:eastAsia="Book Antiqua" w:cs="Book Antiqua"/>
          <w:color w:val="000000"/>
        </w:rPr>
        <w:t xml:space="preserve"> (RA) or </w:t>
      </w:r>
      <w:bookmarkStart w:id="26" w:name="OLE_LINK3179"/>
      <w:bookmarkStart w:id="27" w:name="OLE_LINK3178"/>
      <w:r>
        <w:rPr>
          <w:rFonts w:ascii="Book Antiqua" w:hAnsi="Book Antiqua" w:eastAsia="Book Antiqua" w:cs="Book Antiqua"/>
          <w:color w:val="000000"/>
        </w:rPr>
        <w:t>systemic lupus erythematosus</w:t>
      </w:r>
      <w:bookmarkEnd w:id="26"/>
      <w:bookmarkEnd w:id="27"/>
      <w:r>
        <w:rPr>
          <w:rFonts w:ascii="Book Antiqua" w:hAnsi="Book Antiqua" w:eastAsia="Book Antiqua" w:cs="Book Antiqua"/>
          <w:color w:val="000000"/>
        </w:rPr>
        <w:t xml:space="preserve"> (SLE) in </w:t>
      </w:r>
      <w:bookmarkStart w:id="28" w:name="OLE_LINK3252"/>
      <w:bookmarkStart w:id="29" w:name="OLE_LINK3181"/>
      <w:bookmarkStart w:id="30" w:name="OLE_LINK3180"/>
      <w:r>
        <w:rPr>
          <w:rFonts w:ascii="Book Antiqua" w:hAnsi="Book Antiqua" w:eastAsia="Book Antiqua" w:cs="Book Antiqua"/>
          <w:color w:val="000000"/>
        </w:rPr>
        <w:t>autoimmune hepatitis</w:t>
      </w:r>
      <w:bookmarkEnd w:id="28"/>
      <w:bookmarkEnd w:id="29"/>
      <w:bookmarkEnd w:id="30"/>
      <w:r>
        <w:rPr>
          <w:rFonts w:ascii="Book Antiqua" w:hAnsi="Book Antiqua" w:eastAsia="Book Antiqua" w:cs="Book Antiqua"/>
          <w:color w:val="000000"/>
        </w:rPr>
        <w:t xml:space="preserve"> (AIH), and SS, RA or systemic sclerosis in primary biliary cholangitis. Owing to different disease complications and therapies, it is imperative to differentiate between SLE liver involvement and SLE-AIH overlap disease. Therapeutic options can be personalized to control coexisting conditions of liver autoimmunity and rheumatic manifestations in AILD-SRD overlap diseases. The collaboration between hepatologists and rheumatologists can lead to significant advances in managing such a complex scenario. In this review, we provide a comprehensive overview on coexisting AILDs in different SRDs and the therapeutic approach in managing these overlap diseases.</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bookmarkStart w:id="31" w:name="OLE_LINK3256"/>
      <w:bookmarkStart w:id="32" w:name="OLE_LINK3267"/>
      <w:bookmarkStart w:id="33" w:name="OLE_LINK3255"/>
      <w:r>
        <w:rPr>
          <w:rFonts w:ascii="Book Antiqua" w:hAnsi="Book Antiqua" w:eastAsia="Book Antiqua" w:cs="Book Antiqua"/>
          <w:color w:val="000000"/>
        </w:rPr>
        <w:t>Autoimmune liver disease; Systemic rheumatic disease; Overlap disease; Liver function test; Drug-induced liver injury; Viral hepatitis</w:t>
      </w:r>
      <w:bookmarkEnd w:id="31"/>
      <w:bookmarkEnd w:id="32"/>
      <w:bookmarkEnd w:id="33"/>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Book Antiqua" w:cs="Book Antiqua"/>
          <w:color w:val="000000"/>
        </w:rPr>
      </w:pPr>
      <w:bookmarkStart w:id="34" w:name="OLE_LINK3269"/>
      <w:bookmarkStart w:id="35" w:name="OLE_LINK3268"/>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color w:val="000000"/>
        </w:rPr>
        <w:t xml:space="preserve">Wang CR, Tsai HW. Autoimmune liver diseases in systemic rheumatic diseases.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2527-2545</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https://www.wjgnet.com/1007-9327/full/v2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2527</w:t>
      </w:r>
      <w:r>
        <w:rPr>
          <w:rFonts w:hint="eastAsia" w:ascii="Book Antiqua" w:hAnsi="Book Antiqua" w:eastAsia="Book Antiqua" w:cs="Book Antiqua"/>
          <w:color w:val="000000"/>
        </w:rPr>
        <w:t xml:space="preserve">.htm  </w:t>
      </w:r>
    </w:p>
    <w:p>
      <w:pPr>
        <w:spacing w:line="360" w:lineRule="auto"/>
        <w:jc w:val="both"/>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https://dx.doi.org/10.3748/wjg.v2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2527</w:t>
      </w:r>
    </w:p>
    <w:bookmarkEnd w:id="34"/>
    <w:bookmarkEnd w:id="35"/>
    <w:p>
      <w:pPr>
        <w:spacing w:line="360" w:lineRule="auto"/>
        <w:jc w:val="both"/>
      </w:pPr>
    </w:p>
    <w:p>
      <w:pPr>
        <w:spacing w:line="360" w:lineRule="auto"/>
        <w:jc w:val="both"/>
      </w:pPr>
      <w:r>
        <w:rPr>
          <w:rFonts w:ascii="Book Antiqua" w:hAnsi="Book Antiqua" w:eastAsia="Book Antiqua" w:cs="Book Antiqua"/>
          <w:b/>
          <w:bCs/>
          <w:color w:val="000000"/>
        </w:rPr>
        <w:t xml:space="preserve">Core Tip: </w:t>
      </w:r>
      <w:bookmarkStart w:id="36" w:name="OLE_LINK3257"/>
      <w:bookmarkStart w:id="37" w:name="OLE_LINK3258"/>
      <w:bookmarkStart w:id="38" w:name="OLE_LINK3270"/>
      <w:r>
        <w:rPr>
          <w:rFonts w:ascii="Book Antiqua" w:hAnsi="Book Antiqua" w:eastAsia="Book Antiqua" w:cs="Book Antiqua"/>
          <w:color w:val="000000"/>
        </w:rPr>
        <w:t>Liver dysfunction in systemic rheumatic diseases (SRDs) can be associated with prescribed drugs, viral hepatitis, alternative hepatic comorbidities and coexisting autoimmune liver diseases (AILDs), requiring an exclusion of secondary conditions before considering liver involvement. In AILDs, it is imperative to identify the overlapping SRDs at an early stage since such a coexistence may influence the disease course and prognosis. Commonly co-occurring SRDs in AILDs are Sjögren syndrome (SS), rheumatoid arthritis (RA) or systemic lupus erythematosus in autoimmune hepatitis, and SS, RA or systemic sclerosis in primary biliary cholangitis. Therapeutic options can be personalized to control coexisting conditions of liver autoimmunity and rheumatic manifestations in AILD-SRD overlap diseases.</w:t>
      </w:r>
    </w:p>
    <w:bookmarkEnd w:id="36"/>
    <w:bookmarkEnd w:id="37"/>
    <w:bookmarkEnd w:id="38"/>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 xml:space="preserve">Systemic rheumatic diseases (SRDs) are chronic, inflammatory, autoimmune disorders with the presence of autoantibodies that may affect any organ or system; they include systemic lupus erythematosus (SLE), Sjögren syndrome (SS), </w:t>
      </w:r>
      <w:bookmarkStart w:id="39" w:name="OLE_LINK3185"/>
      <w:bookmarkStart w:id="40" w:name="OLE_LINK3182"/>
      <w:r>
        <w:rPr>
          <w:rFonts w:ascii="Book Antiqua" w:hAnsi="Book Antiqua" w:eastAsia="Book Antiqua" w:cs="Book Antiqua"/>
          <w:color w:val="000000"/>
        </w:rPr>
        <w:t>systemic sclerosis</w:t>
      </w:r>
      <w:bookmarkEnd w:id="39"/>
      <w:bookmarkEnd w:id="40"/>
      <w:r>
        <w:rPr>
          <w:rFonts w:ascii="Book Antiqua" w:hAnsi="Book Antiqua" w:eastAsia="Book Antiqua" w:cs="Book Antiqua"/>
          <w:color w:val="000000"/>
        </w:rPr>
        <w:t xml:space="preserve"> (SSc), rheumatoid arthritis (RA), idiopathic inflammatory myopathies (IIM), </w:t>
      </w:r>
      <w:bookmarkStart w:id="41" w:name="OLE_LINK3186"/>
      <w:bookmarkStart w:id="42" w:name="OLE_LINK3187"/>
      <w:r>
        <w:rPr>
          <w:rFonts w:ascii="Book Antiqua" w:hAnsi="Book Antiqua" w:eastAsia="Book Antiqua" w:cs="Book Antiqua"/>
          <w:color w:val="000000"/>
        </w:rPr>
        <w:t>mixed connective tissue disease</w:t>
      </w:r>
      <w:bookmarkEnd w:id="41"/>
      <w:bookmarkEnd w:id="42"/>
      <w:r>
        <w:rPr>
          <w:rFonts w:ascii="Book Antiqua" w:hAnsi="Book Antiqua" w:eastAsia="Book Antiqua" w:cs="Book Antiqua"/>
          <w:color w:val="000000"/>
        </w:rPr>
        <w:t xml:space="preserve"> (MCTD), </w:t>
      </w:r>
      <w:bookmarkStart w:id="43" w:name="OLE_LINK3188"/>
      <w:bookmarkStart w:id="44" w:name="OLE_LINK3189"/>
      <w:r>
        <w:rPr>
          <w:rFonts w:ascii="Book Antiqua" w:hAnsi="Book Antiqua" w:eastAsia="Book Antiqua" w:cs="Book Antiqua"/>
          <w:color w:val="000000"/>
        </w:rPr>
        <w:t>systemic vasculitis</w:t>
      </w:r>
      <w:bookmarkEnd w:id="43"/>
      <w:bookmarkEnd w:id="44"/>
      <w:r>
        <w:rPr>
          <w:rFonts w:ascii="Book Antiqua" w:hAnsi="Book Antiqua" w:eastAsia="Book Antiqua" w:cs="Book Antiqua"/>
          <w:color w:val="000000"/>
        </w:rPr>
        <w:t xml:space="preserve"> (SV), </w:t>
      </w:r>
      <w:r>
        <w:rPr>
          <w:rFonts w:ascii="Book Antiqua" w:hAnsi="Book Antiqua" w:eastAsia="Book Antiqua" w:cs="Book Antiqua"/>
          <w:i/>
          <w:iCs/>
          <w:color w:val="000000"/>
        </w:rPr>
        <w:t>etc</w:t>
      </w:r>
      <w:r>
        <w:rPr>
          <w:rFonts w:ascii="Book Antiqua" w:hAnsi="Book Antiqua" w:eastAsia="Book Antiqua" w:cs="Book Antiqua"/>
          <w:color w:val="000000"/>
        </w:rPr>
        <w:t>.</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Although SRDs can have liver involvement, most patients only have abnormal liver enzymes without significant changes in histopathology</w:t>
      </w:r>
      <w:r>
        <w:rPr>
          <w:rFonts w:ascii="Book Antiqua" w:hAnsi="Book Antiqua" w:eastAsia="Book Antiqua" w:cs="Book Antiqua"/>
          <w:color w:val="000000"/>
          <w:szCs w:val="30"/>
          <w:vertAlign w:val="superscript"/>
        </w:rPr>
        <w:t>[2,3]</w:t>
      </w:r>
      <w:r>
        <w:rPr>
          <w:rFonts w:ascii="Book Antiqua" w:hAnsi="Book Antiqua" w:eastAsia="Book Antiqua" w:cs="Book Antiqua"/>
          <w:color w:val="000000"/>
        </w:rPr>
        <w:t xml:space="preserve">. Hepatic dysfunction can be a secondary phenomenon, associated with prescribed drugs, viral hepatitis (VH), alternative liver comorbidities, and coexisting autoimmune liver diseases (AILDs). </w:t>
      </w:r>
    </w:p>
    <w:p>
      <w:pPr>
        <w:spacing w:line="360" w:lineRule="auto"/>
        <w:ind w:firstLine="240" w:firstLineChars="100"/>
        <w:jc w:val="both"/>
      </w:pPr>
      <w:r>
        <w:rPr>
          <w:rFonts w:ascii="Book Antiqua" w:hAnsi="Book Antiqua" w:eastAsia="Book Antiqua" w:cs="Book Antiqua"/>
          <w:color w:val="000000"/>
        </w:rPr>
        <w:t xml:space="preserve">The major cause of abnormal liver function test (LFT) in patients with SRDs is associated with medications, </w:t>
      </w:r>
      <w:r>
        <w:rPr>
          <w:rFonts w:ascii="Book Antiqua" w:hAnsi="Book Antiqua" w:eastAsia="Book Antiqua" w:cs="Book Antiqua"/>
          <w:i/>
          <w:iCs/>
          <w:color w:val="000000"/>
        </w:rPr>
        <w:t>i.e</w:t>
      </w:r>
      <w:r>
        <w:rPr>
          <w:rFonts w:ascii="Book Antiqua" w:hAnsi="Book Antiqua" w:eastAsia="Book Antiqua" w:cs="Book Antiqua"/>
          <w:color w:val="000000"/>
        </w:rPr>
        <w:t>. drug-induced liver injury (DILI)</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Given that a variety of medications are used in the management of SRDs, it is frequently encountered in clinical practice. High occurrences of DILI in SRDs are due to the chronic or high-dose prescription of medications, the existence of susceptible factors that makes patients prone to hepatotoxicity, and/or the use of herbal or ayurvedic compounds</w:t>
      </w:r>
      <w:r>
        <w:rPr>
          <w:rFonts w:ascii="Book Antiqua" w:hAnsi="Book Antiqua" w:eastAsia="Book Antiqua" w:cs="Book Antiqua"/>
          <w:color w:val="000000"/>
          <w:szCs w:val="30"/>
          <w:vertAlign w:val="superscript"/>
        </w:rPr>
        <w:t>[2,3]</w:t>
      </w:r>
      <w:r>
        <w:rPr>
          <w:rFonts w:ascii="Book Antiqua" w:hAnsi="Book Antiqua" w:eastAsia="Book Antiqua" w:cs="Book Antiqua"/>
          <w:color w:val="000000"/>
        </w:rPr>
        <w:t>. Elevated liver enzymes with predominant cholestatic or hepatocellular damage pattern can be observed in SRDs treated with non-steroidal anti-inflammatory drugs (NSAIDs), synthetic disease modifying anti-rheumatic drugs (SDMARDs), corticosteroids (CS), immunosuppressants, biologic agents or oral small molecules</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Most medications only cause a mild elevation in liver enzymes, which reverses with drug cessation. On rare occasions, severely irreversible hepatic damage may occur and progress into chronic liver disease or fulminant hepatic failure. Despite the relative safety with a low-dose prescription, methotrexate, a SDMARD frequently used in SRD-related arthritis, has been reported to cause acute liver dysfunction with confounding factors like concomitant NSAIDs use, and progressive liver fibrosis and cirrhosis can occur when used chronically</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It usually occurs after a prolong use for no less than 2 years and with a total accumulated dose of 1.5 g</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Notably, there is a risk of hepatitis B virus (HBV) reactivation depending on the dose and duration of CS use and the status of hepatitis B surface antigen and hepatitis B core antibody in SRDs</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Furthermore, acute or progressing liver dysfunction can be related to coexisting VH, requiring screen tests for HBV and hepatitis C virus (HCV) infection to provide early antiviral treatment and avoid reactivating or worsening VH after immunosuppressive therapy</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Table 1 summaries the hepatic abnormalities associated with the common medications used in SRDs</w:t>
      </w:r>
      <w:r>
        <w:rPr>
          <w:rFonts w:ascii="Book Antiqua" w:hAnsi="Book Antiqua" w:eastAsia="Book Antiqua" w:cs="Book Antiqua"/>
          <w:color w:val="000000"/>
          <w:szCs w:val="30"/>
          <w:vertAlign w:val="superscript"/>
        </w:rPr>
        <w:t>[2,7,8]</w:t>
      </w:r>
      <w:r>
        <w:rPr>
          <w:rFonts w:ascii="Book Antiqua" w:hAnsi="Book Antiqua" w:eastAsia="Book Antiqua" w:cs="Book Antiqua"/>
          <w:color w:val="000000"/>
        </w:rPr>
        <w:t>. Although immune checkpoint inhibitors have altered the therapeutic paradigm in oncological patients, there is undesirable off-target autoimmune reaction causing adverse effects like musculoskeletal manifestations and immune hepatitis, a pan-lobular active hepatitis resembling AIH</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Although the liver is the largest lymphoid organ involved in the immune response against invading pathogens and in the maintenance of tolerance to self-molecules, it can also be a target of autoimmune diseases</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AILDs are attributed to a complex interplay of socioeconomic, environmental and genetic factors, all of which may participate in their pathogenesis</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Most common AILDs are autoimmune hepatitis (AIH), primary biliary cholangitis (PBC) and primary sclerosing cholangitis (PSC), which may occur individually or in combination</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These disorders are characterized by hepatic lymphocyte infiltration, elevated liver enzymes, generation of autoantibodies, and associated HLA loci. Coexisting extra-hepatic autoimmune diseases such as SRDs, have been well described in the literature</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AIH often goes into disease remission with first-line therapy, including CS alone or plus AZA</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PBC has a normal life expectancy if treated early with ursodeoxycholic acid (UDCA) in responsive patients, while no effective therapy has been found to alter the natural course of PSC, except liver transplantation (LT)</w:t>
      </w:r>
      <w:r>
        <w:rPr>
          <w:rFonts w:ascii="Book Antiqua" w:hAnsi="Book Antiqua" w:eastAsia="Book Antiqua" w:cs="Book Antiqua"/>
          <w:color w:val="000000"/>
          <w:szCs w:val="30"/>
          <w:vertAlign w:val="superscript"/>
        </w:rPr>
        <w:t>[15,16]</w:t>
      </w:r>
      <w:r>
        <w:rPr>
          <w:rFonts w:ascii="Book Antiqua" w:hAnsi="Book Antiqua" w:eastAsia="Book Antiqua" w:cs="Book Antiqua"/>
          <w:color w:val="000000"/>
        </w:rPr>
        <w:t>. Some patients with AILDs may eventually progress into end-stage liver disease requiring LT, and with an increased risk of recurrent activities and acute or chronic rejection</w:t>
      </w:r>
      <w:r>
        <w:rPr>
          <w:rFonts w:ascii="Book Antiqua" w:hAnsi="Book Antiqua" w:eastAsia="Book Antiqua" w:cs="Book Antiqua"/>
          <w:color w:val="000000"/>
          <w:szCs w:val="30"/>
          <w:vertAlign w:val="superscript"/>
        </w:rPr>
        <w:t>[17,18]</w:t>
      </w:r>
      <w:r>
        <w:rPr>
          <w:rFonts w:ascii="Book Antiqua" w:hAnsi="Book Antiqua" w:eastAsia="Book Antiqua" w:cs="Book Antiqua"/>
          <w:color w:val="000000"/>
        </w:rPr>
        <w:t>. Currently, AILD research has focused on obtaining a better understanding of the pathogenetic process for identification of new therapeutic targets to reduce morbidity and improve survival</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Table 2 demonstrates the demographic, clinical, laboratory, pathological, therapeutic and prognostic characteristics of three common AILDs</w:t>
      </w:r>
      <w:r>
        <w:rPr>
          <w:rFonts w:ascii="Book Antiqua" w:hAnsi="Book Antiqua" w:eastAsia="Book Antiqua" w:cs="Book Antiqua"/>
          <w:color w:val="000000"/>
          <w:szCs w:val="30"/>
          <w:vertAlign w:val="superscript"/>
        </w:rPr>
        <w:t>[11-20]</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In AILDs, it is imperative to identify the co-occurring SRDs at an early stage by using autoantibody screening, since such a coexistence may influence their natural course and disease prognosis</w:t>
      </w:r>
      <w:r>
        <w:rPr>
          <w:rFonts w:ascii="Book Antiqua" w:hAnsi="Book Antiqua" w:eastAsia="Book Antiqua" w:cs="Book Antiqua"/>
          <w:color w:val="000000"/>
          <w:szCs w:val="30"/>
          <w:vertAlign w:val="superscript"/>
        </w:rPr>
        <w:t>[21]</w:t>
      </w:r>
      <w:r>
        <w:rPr>
          <w:rFonts w:ascii="Book Antiqua" w:hAnsi="Book Antiqua" w:eastAsia="Book Antiqua" w:cs="Book Antiqua"/>
          <w:color w:val="000000"/>
        </w:rPr>
        <w:t>. The patterns of overlap diseases depend predominantly on genetic determinants, with common susceptible loci widely distributing in both disorders</w:t>
      </w:r>
      <w:r>
        <w:rPr>
          <w:rFonts w:ascii="Book Antiqua" w:hAnsi="Book Antiqua" w:eastAsia="Book Antiqua" w:cs="Book Antiqua"/>
          <w:color w:val="000000"/>
          <w:szCs w:val="30"/>
          <w:vertAlign w:val="superscript"/>
        </w:rPr>
        <w:t>[20]</w:t>
      </w:r>
      <w:r>
        <w:rPr>
          <w:rFonts w:ascii="Book Antiqua" w:hAnsi="Book Antiqua" w:eastAsia="Book Antiqua" w:cs="Book Antiqua"/>
          <w:color w:val="000000"/>
        </w:rPr>
        <w:t xml:space="preserve">. The similar epidemiological links between AILDs and SRDs are further reflected in their shared pathogenesis, best exemplified by the concept of autoimmune epithelitis, </w:t>
      </w:r>
      <w:r>
        <w:rPr>
          <w:rFonts w:ascii="Book Antiqua" w:hAnsi="Book Antiqua" w:eastAsia="Book Antiqua" w:cs="Book Antiqua"/>
          <w:i/>
          <w:iCs/>
          <w:color w:val="000000"/>
        </w:rPr>
        <w:t>i.e.,</w:t>
      </w:r>
      <w:r>
        <w:rPr>
          <w:rFonts w:ascii="Book Antiqua" w:hAnsi="Book Antiqua" w:eastAsia="Book Antiqua" w:cs="Book Antiqua"/>
          <w:color w:val="000000"/>
        </w:rPr>
        <w:t xml:space="preserve"> concomitant PBC and SS</w:t>
      </w:r>
      <w:r>
        <w:rPr>
          <w:rFonts w:ascii="Book Antiqua" w:hAnsi="Book Antiqua" w:eastAsia="Book Antiqua" w:cs="Book Antiqua"/>
          <w:color w:val="000000"/>
          <w:szCs w:val="30"/>
          <w:vertAlign w:val="superscript"/>
        </w:rPr>
        <w:t>[22,23]</w:t>
      </w:r>
      <w:r>
        <w:rPr>
          <w:rFonts w:ascii="Book Antiqua" w:hAnsi="Book Antiqua" w:eastAsia="Book Antiqua" w:cs="Book Antiqua"/>
          <w:color w:val="000000"/>
        </w:rPr>
        <w:t>. Furthermore, AILDs and SRDs have common serologic profiles with the presence of particular autoantibodies and hyper-gammaglobulinemia</w:t>
      </w:r>
      <w:r>
        <w:rPr>
          <w:rFonts w:ascii="Book Antiqua" w:hAnsi="Book Antiqua" w:eastAsia="Book Antiqua" w:cs="Book Antiqua"/>
          <w:color w:val="000000"/>
          <w:szCs w:val="30"/>
          <w:vertAlign w:val="superscript"/>
        </w:rPr>
        <w:t>[21,24]</w:t>
      </w:r>
      <w:r>
        <w:rPr>
          <w:rFonts w:ascii="Book Antiqua" w:hAnsi="Book Antiqua" w:eastAsia="Book Antiqua" w:cs="Book Antiqua"/>
          <w:color w:val="000000"/>
        </w:rPr>
        <w:t>. Progressive liver damage can be identified in overlap diseases despite rare complications with liver cirrhosis and hepatic failure</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xml:space="preserve">. Table 3 shows the reported prevalence of coexisting AILDs in different SRDs. </w:t>
      </w:r>
    </w:p>
    <w:p>
      <w:pPr>
        <w:spacing w:line="360" w:lineRule="auto"/>
        <w:ind w:firstLine="240" w:firstLineChars="100"/>
        <w:jc w:val="both"/>
      </w:pPr>
      <w:r>
        <w:rPr>
          <w:rFonts w:ascii="Book Antiqua" w:hAnsi="Book Antiqua" w:eastAsia="Book Antiqua" w:cs="Book Antiqua"/>
          <w:color w:val="000000"/>
        </w:rPr>
        <w:t>The therapeutic strategies in AILDs and SRDs are also overlapping, with CS as first-line treatment in most cases, followed by administration of immunosuppressants, and potential application of targeted therapy</w:t>
      </w:r>
      <w:r>
        <w:rPr>
          <w:rFonts w:ascii="Book Antiqua" w:hAnsi="Book Antiqua" w:eastAsia="Book Antiqua" w:cs="Book Antiqua"/>
          <w:color w:val="000000"/>
          <w:szCs w:val="30"/>
          <w:vertAlign w:val="superscript"/>
        </w:rPr>
        <w:t>[21]</w:t>
      </w:r>
      <w:r>
        <w:rPr>
          <w:rFonts w:ascii="Book Antiqua" w:hAnsi="Book Antiqua" w:eastAsia="Book Antiqua" w:cs="Book Antiqua"/>
          <w:color w:val="000000"/>
        </w:rPr>
        <w:t>. Nevertheless, therapeutic options can be personalized to control coexisting conditions of liver autoimmunity and rheumatic manifestations</w:t>
      </w:r>
      <w:r>
        <w:rPr>
          <w:rFonts w:ascii="Book Antiqua" w:hAnsi="Book Antiqua" w:eastAsia="Book Antiqua" w:cs="Book Antiqua"/>
          <w:color w:val="000000"/>
          <w:szCs w:val="30"/>
          <w:vertAlign w:val="superscript"/>
        </w:rPr>
        <w:t>[24]</w:t>
      </w:r>
      <w:r>
        <w:rPr>
          <w:rFonts w:ascii="Book Antiqua" w:hAnsi="Book Antiqua" w:eastAsia="Book Antiqua" w:cs="Book Antiqua"/>
          <w:color w:val="000000"/>
        </w:rPr>
        <w:t xml:space="preserve">. A collaboration between hepatologists and rheumatologists in clinical practice can lead to significant advances in managing such a complex scenario. Herein, we provide a comprehensive overview on coexisting AILDs in different SRDs and the therapeutic approach in managing these overlap diseases. </w:t>
      </w:r>
    </w:p>
    <w:p>
      <w:pPr>
        <w:spacing w:line="360" w:lineRule="auto"/>
        <w:jc w:val="both"/>
      </w:pPr>
    </w:p>
    <w:p>
      <w:pPr>
        <w:spacing w:line="360" w:lineRule="auto"/>
        <w:jc w:val="both"/>
      </w:pPr>
      <w:r>
        <w:rPr>
          <w:rFonts w:ascii="Book Antiqua" w:hAnsi="Book Antiqua" w:eastAsia="Book Antiqua" w:cs="Book Antiqua"/>
          <w:b/>
          <w:bCs/>
          <w:caps/>
          <w:color w:val="000000"/>
          <w:u w:val="single"/>
        </w:rPr>
        <w:t>SLE</w:t>
      </w:r>
    </w:p>
    <w:p>
      <w:pPr>
        <w:spacing w:line="360" w:lineRule="auto"/>
        <w:jc w:val="both"/>
      </w:pPr>
      <w:r>
        <w:rPr>
          <w:rFonts w:ascii="Book Antiqua" w:hAnsi="Book Antiqua" w:eastAsia="Book Antiqua" w:cs="Book Antiqua"/>
          <w:color w:val="000000"/>
        </w:rPr>
        <w:t>SLE is a less common SRD, occurring mostly in women of childbearing age and having heterogenous clinical manifestations affecting any organ or system as well as presenting antinuclear antibody (ANA) and a variety of autoantibodies</w:t>
      </w:r>
      <w:r>
        <w:rPr>
          <w:rFonts w:ascii="Book Antiqua" w:hAnsi="Book Antiqua" w:eastAsia="Book Antiqua" w:cs="Book Antiqua"/>
          <w:color w:val="000000"/>
          <w:szCs w:val="30"/>
          <w:vertAlign w:val="superscript"/>
        </w:rPr>
        <w:t>[25]</w:t>
      </w:r>
      <w:r>
        <w:rPr>
          <w:rFonts w:ascii="Book Antiqua" w:hAnsi="Book Antiqua" w:eastAsia="Book Antiqua" w:cs="Book Antiqua"/>
          <w:color w:val="000000"/>
        </w:rPr>
        <w:t>. The liver is generally not a target organ in SLE and hepatic involvement is not included in the classification or diagnostic criteria. Abnormal LFT is common in SLE, usually with subtle changes, in up to 60% of cases during the disease course, while elevated liver enzymes occur during disease flares in less than 20% of patients</w:t>
      </w:r>
      <w:r>
        <w:rPr>
          <w:rFonts w:ascii="Book Antiqua" w:hAnsi="Book Antiqua" w:eastAsia="Book Antiqua" w:cs="Book Antiqua"/>
          <w:color w:val="000000"/>
          <w:szCs w:val="30"/>
          <w:vertAlign w:val="superscript"/>
        </w:rPr>
        <w:t>[3,26,27]</w:t>
      </w:r>
      <w:r>
        <w:rPr>
          <w:rFonts w:ascii="Book Antiqua" w:hAnsi="Book Antiqua" w:eastAsia="Book Antiqua" w:cs="Book Antiqua"/>
          <w:color w:val="000000"/>
        </w:rPr>
        <w:t>. Hepatic dysfunction in SLE can be classified into primary form due to disease itself or secondary form including DILI, VH, vascular disorders, alternative liver comorbidities and coexisting AILDs</w:t>
      </w:r>
      <w:r>
        <w:rPr>
          <w:rFonts w:ascii="Book Antiqua" w:hAnsi="Book Antiqua" w:eastAsia="Book Antiqua" w:cs="Book Antiqua"/>
          <w:color w:val="000000"/>
          <w:szCs w:val="30"/>
          <w:vertAlign w:val="superscript"/>
        </w:rPr>
        <w:t>[28]</w:t>
      </w:r>
      <w:r>
        <w:rPr>
          <w:rFonts w:ascii="Book Antiqua" w:hAnsi="Book Antiqua" w:eastAsia="Book Antiqua" w:cs="Book Antiqua"/>
          <w:color w:val="000000"/>
        </w:rPr>
        <w:t>. Before considering the liver involvement in SLE, it is necessary to exclude other secondary conditions.</w:t>
      </w:r>
    </w:p>
    <w:p>
      <w:pPr>
        <w:spacing w:line="360" w:lineRule="auto"/>
        <w:ind w:firstLine="240" w:firstLineChars="100"/>
        <w:jc w:val="both"/>
      </w:pPr>
      <w:r>
        <w:rPr>
          <w:rFonts w:ascii="Book Antiqua" w:hAnsi="Book Antiqua" w:eastAsia="Book Antiqua" w:cs="Book Antiqua"/>
          <w:color w:val="000000"/>
        </w:rPr>
        <w:t>Lupus hepatitis (LH) is reactive liver damage caused by immune-complex deposition, in contrast to lupoid hepatitis, a term used in the 1950s to define what was later known as AIH</w:t>
      </w:r>
      <w:r>
        <w:rPr>
          <w:rFonts w:ascii="Book Antiqua" w:hAnsi="Book Antiqua" w:eastAsia="Book Antiqua" w:cs="Book Antiqua"/>
          <w:color w:val="000000"/>
          <w:szCs w:val="30"/>
          <w:vertAlign w:val="superscript"/>
        </w:rPr>
        <w:t>[29,30]</w:t>
      </w:r>
      <w:r>
        <w:rPr>
          <w:rFonts w:ascii="Book Antiqua" w:hAnsi="Book Antiqua" w:eastAsia="Book Antiqua" w:cs="Book Antiqua"/>
          <w:color w:val="000000"/>
        </w:rPr>
        <w:t>. This manifestation is usually synchronous with disease activity and affects less than 10% of patients</w:t>
      </w:r>
      <w:r>
        <w:rPr>
          <w:rFonts w:ascii="Book Antiqua" w:hAnsi="Book Antiqua" w:eastAsia="Book Antiqua" w:cs="Book Antiqua"/>
          <w:color w:val="000000"/>
          <w:szCs w:val="30"/>
          <w:vertAlign w:val="superscript"/>
        </w:rPr>
        <w:t>[31-33]</w:t>
      </w:r>
      <w:r>
        <w:rPr>
          <w:rFonts w:ascii="Book Antiqua" w:hAnsi="Book Antiqua" w:eastAsia="Book Antiqua" w:cs="Book Antiqua"/>
          <w:color w:val="000000"/>
        </w:rPr>
        <w:t>. It is characterized by asymptomatic transaminasemia with the presence of anti-ribosomal P antibody (commonly known as ARPA) and non-specific histopathological changes. Although CS may help to improve impaired LFT, there is a risk of flare up upon cessation of its use</w:t>
      </w:r>
      <w:r>
        <w:rPr>
          <w:rFonts w:ascii="Book Antiqua" w:hAnsi="Book Antiqua" w:eastAsia="Book Antiqua" w:cs="Book Antiqua"/>
          <w:color w:val="000000"/>
          <w:szCs w:val="30"/>
          <w:vertAlign w:val="superscript"/>
        </w:rPr>
        <w:t>[34]</w:t>
      </w:r>
      <w:r>
        <w:rPr>
          <w:rFonts w:ascii="Book Antiqua" w:hAnsi="Book Antiqua" w:eastAsia="Book Antiqua" w:cs="Book Antiqua"/>
          <w:color w:val="000000"/>
        </w:rPr>
        <w:t>. Figure 1 shows the liver biopsy finding from a patient with LH demonstrating non-specific histopathological changes.</w:t>
      </w:r>
    </w:p>
    <w:p>
      <w:pPr>
        <w:spacing w:line="360" w:lineRule="auto"/>
        <w:ind w:firstLine="240" w:firstLineChars="100"/>
        <w:jc w:val="both"/>
      </w:pPr>
      <w:r>
        <w:rPr>
          <w:rFonts w:ascii="Book Antiqua" w:hAnsi="Book Antiqua" w:eastAsia="Book Antiqua" w:cs="Book Antiqua"/>
          <w:color w:val="000000"/>
        </w:rPr>
        <w:t>The main cause of liver dysfunction in SLE was salicylate toxicity in the 1950s</w:t>
      </w:r>
      <w:r>
        <w:rPr>
          <w:rFonts w:ascii="Book Antiqua" w:hAnsi="Book Antiqua" w:eastAsia="Book Antiqua" w:cs="Book Antiqua"/>
          <w:color w:val="000000"/>
          <w:szCs w:val="30"/>
          <w:vertAlign w:val="superscript"/>
        </w:rPr>
        <w:t>[35]</w:t>
      </w:r>
      <w:r>
        <w:rPr>
          <w:rFonts w:ascii="Book Antiqua" w:hAnsi="Book Antiqua" w:eastAsia="Book Antiqua" w:cs="Book Antiqua"/>
          <w:color w:val="000000"/>
        </w:rPr>
        <w:t>. Later on, owing to a rare prescription, another common finding of liver biopsy was steatohepatitis, an alternative liver comorbidity. Nowadays, the known risk factors for development of non-alcoholic fatty liver disease (NAFLD) include obesity, physical inactivity and sedentary lifestyle</w:t>
      </w:r>
      <w:r>
        <w:rPr>
          <w:rFonts w:ascii="Book Antiqua" w:hAnsi="Book Antiqua" w:eastAsia="Book Antiqua" w:cs="Book Antiqua"/>
          <w:color w:val="000000"/>
          <w:szCs w:val="30"/>
          <w:vertAlign w:val="superscript"/>
        </w:rPr>
        <w:t>[36]</w:t>
      </w:r>
      <w:r>
        <w:rPr>
          <w:rFonts w:ascii="Book Antiqua" w:hAnsi="Book Antiqua" w:eastAsia="Book Antiqua" w:cs="Book Antiqua"/>
          <w:color w:val="000000"/>
        </w:rPr>
        <w:t>, which are also shared by SLE. Furthermore, patients with SLE have been shown to have higher incidences of metabolic syndrome and insulin resistance</w:t>
      </w:r>
      <w:r>
        <w:rPr>
          <w:rFonts w:ascii="Book Antiqua" w:hAnsi="Book Antiqua" w:eastAsia="Book Antiqua" w:cs="Book Antiqua"/>
          <w:color w:val="000000"/>
          <w:szCs w:val="30"/>
          <w:vertAlign w:val="superscript"/>
        </w:rPr>
        <w:t>[37]</w:t>
      </w:r>
      <w:r>
        <w:rPr>
          <w:rFonts w:ascii="Book Antiqua" w:hAnsi="Book Antiqua" w:eastAsia="Book Antiqua" w:cs="Book Antiqua"/>
          <w:color w:val="000000"/>
        </w:rPr>
        <w:t>, especially with the use of CS</w:t>
      </w:r>
      <w:r>
        <w:rPr>
          <w:rFonts w:ascii="Book Antiqua" w:hAnsi="Book Antiqua" w:eastAsia="Book Antiqua" w:cs="Book Antiqua"/>
          <w:color w:val="000000"/>
          <w:szCs w:val="30"/>
          <w:vertAlign w:val="superscript"/>
        </w:rPr>
        <w:t>[38]</w:t>
      </w:r>
      <w:r>
        <w:rPr>
          <w:rFonts w:ascii="Book Antiqua" w:hAnsi="Book Antiqua" w:eastAsia="Book Antiqua" w:cs="Book Antiqua"/>
          <w:color w:val="000000"/>
        </w:rPr>
        <w:t>. Increased frequencies of NAFLD have been found in liver biopsy specimens from patients with SLE</w:t>
      </w:r>
      <w:r>
        <w:rPr>
          <w:rFonts w:ascii="Book Antiqua" w:hAnsi="Book Antiqua" w:eastAsia="Book Antiqua" w:cs="Book Antiqua"/>
          <w:color w:val="000000"/>
          <w:szCs w:val="30"/>
          <w:vertAlign w:val="superscript"/>
        </w:rPr>
        <w:t>[39]</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The presence of antiphospholipid antibody (aPL) in SLE underlies an increased probability of thrombophilia, leading to antiphospholipid syndrome (APS) with vascular thrombosis</w:t>
      </w:r>
      <w:r>
        <w:rPr>
          <w:rFonts w:ascii="Book Antiqua" w:hAnsi="Book Antiqua" w:eastAsia="Book Antiqua" w:cs="Book Antiqua"/>
          <w:color w:val="000000"/>
          <w:szCs w:val="30"/>
          <w:vertAlign w:val="superscript"/>
        </w:rPr>
        <w:t>[40]</w:t>
      </w:r>
      <w:r>
        <w:rPr>
          <w:rFonts w:ascii="Book Antiqua" w:hAnsi="Book Antiqua" w:eastAsia="Book Antiqua" w:cs="Book Antiqua"/>
          <w:color w:val="000000"/>
        </w:rPr>
        <w:t>. APS can affect the hepatic circulation, causing hepatic arterial thrombosis, portal vein thrombosis and Budd-Chiari syndrome (BCS) as well as the rarely-observed liver infarction and hepatic veno-occlusive disease</w:t>
      </w:r>
      <w:r>
        <w:rPr>
          <w:rFonts w:ascii="Book Antiqua" w:hAnsi="Book Antiqua" w:eastAsia="Book Antiqua" w:cs="Book Antiqua"/>
          <w:color w:val="000000"/>
          <w:szCs w:val="30"/>
          <w:vertAlign w:val="superscript"/>
        </w:rPr>
        <w:t>[40-42]</w:t>
      </w:r>
      <w:r>
        <w:rPr>
          <w:rFonts w:ascii="Book Antiqua" w:hAnsi="Book Antiqua" w:eastAsia="Book Antiqua" w:cs="Book Antiqua"/>
          <w:color w:val="000000"/>
        </w:rPr>
        <w:t>. Notably, BCS resulting from the obstruction of hepatic venous outflow</w:t>
      </w:r>
      <w:r>
        <w:rPr>
          <w:rFonts w:ascii="Book Antiqua" w:hAnsi="Book Antiqua" w:eastAsia="Book Antiqua" w:cs="Book Antiqua"/>
          <w:color w:val="000000"/>
          <w:szCs w:val="30"/>
          <w:vertAlign w:val="superscript"/>
        </w:rPr>
        <w:t>[43]</w:t>
      </w:r>
      <w:r>
        <w:rPr>
          <w:rFonts w:ascii="Book Antiqua" w:hAnsi="Book Antiqua" w:eastAsia="Book Antiqua" w:cs="Book Antiqua"/>
          <w:color w:val="000000"/>
        </w:rPr>
        <w:t xml:space="preserve"> can be an initial manifestation of patients with SLE-associated APS</w:t>
      </w:r>
      <w:r>
        <w:rPr>
          <w:rFonts w:ascii="Book Antiqua" w:hAnsi="Book Antiqua" w:eastAsia="Book Antiqua" w:cs="Book Antiqua"/>
          <w:color w:val="000000"/>
          <w:szCs w:val="30"/>
          <w:vertAlign w:val="superscript"/>
        </w:rPr>
        <w:t>[44]</w:t>
      </w:r>
      <w:r>
        <w:rPr>
          <w:rFonts w:ascii="Book Antiqua" w:hAnsi="Book Antiqua" w:eastAsia="Book Antiqua" w:cs="Book Antiqua"/>
          <w:color w:val="000000"/>
        </w:rPr>
        <w:t>. In particular, aPL has been reported to be involved in the pathogenesis of hepatic nodular regenerative hyperplasia (referred to herein as NRH), small-nodule transformation of hyperplastic hepatocytes with a later development of non-cirrhotic portal hypertension</w:t>
      </w:r>
      <w:r>
        <w:rPr>
          <w:rFonts w:ascii="Book Antiqua" w:hAnsi="Book Antiqua" w:eastAsia="Book Antiqua" w:cs="Book Antiqua"/>
          <w:color w:val="000000"/>
          <w:szCs w:val="30"/>
          <w:vertAlign w:val="superscript"/>
        </w:rPr>
        <w:t>[3,45]</w:t>
      </w:r>
      <w:r>
        <w:rPr>
          <w:rFonts w:ascii="Book Antiqua" w:hAnsi="Book Antiqua" w:eastAsia="Book Antiqua" w:cs="Book Antiqua"/>
          <w:color w:val="000000"/>
        </w:rPr>
        <w:t>. Although higher frequencies of aPL could be detected in AILDs, there was no definite clinical or histological correlation with their presence in such patients</w:t>
      </w:r>
      <w:r>
        <w:rPr>
          <w:rFonts w:ascii="Book Antiqua" w:hAnsi="Book Antiqua" w:eastAsia="Book Antiqua" w:cs="Book Antiqua"/>
          <w:color w:val="000000"/>
          <w:szCs w:val="30"/>
          <w:vertAlign w:val="superscript"/>
        </w:rPr>
        <w:t>[3,46]</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Autoimmune gastrointestinal diseases have been linked to SLE with shared pathogenic mechanisms responsible for the development of both disorders</w:t>
      </w:r>
      <w:r>
        <w:rPr>
          <w:rFonts w:ascii="Book Antiqua" w:hAnsi="Book Antiqua" w:eastAsia="Book Antiqua" w:cs="Book Antiqua"/>
          <w:color w:val="000000"/>
          <w:szCs w:val="30"/>
          <w:vertAlign w:val="superscript"/>
        </w:rPr>
        <w:t>[47]</w:t>
      </w:r>
      <w:r>
        <w:rPr>
          <w:rFonts w:ascii="Book Antiqua" w:hAnsi="Book Antiqua" w:eastAsia="Book Antiqua" w:cs="Book Antiqua"/>
          <w:color w:val="000000"/>
        </w:rPr>
        <w:t>. Although AIH and PBC are rare AILDs, the coexistence with either of these diseases is not uncommon among SLE patients with liver enzyme abnormalities, suggesting a causal relationship between their overlap</w:t>
      </w:r>
      <w:r>
        <w:rPr>
          <w:rFonts w:ascii="Book Antiqua" w:hAnsi="Book Antiqua" w:eastAsia="Book Antiqua" w:cs="Book Antiqua"/>
          <w:color w:val="000000"/>
          <w:szCs w:val="30"/>
          <w:vertAlign w:val="superscript"/>
        </w:rPr>
        <w:t>[28,48,49]</w:t>
      </w:r>
      <w:r>
        <w:rPr>
          <w:rFonts w:ascii="Book Antiqua" w:hAnsi="Book Antiqua" w:eastAsia="Book Antiqua" w:cs="Book Antiqua"/>
          <w:color w:val="000000"/>
        </w:rPr>
        <w:t>. Since SLE-PSC overlap disease rarely occurs (but has been described in case reports</w:t>
      </w:r>
      <w:r>
        <w:rPr>
          <w:rFonts w:ascii="Book Antiqua" w:hAnsi="Book Antiqua" w:eastAsia="Book Antiqua" w:cs="Book Antiqua"/>
          <w:color w:val="000000"/>
          <w:szCs w:val="30"/>
          <w:vertAlign w:val="superscript"/>
        </w:rPr>
        <w:t>[28,48]</w:t>
      </w:r>
      <w:r>
        <w:rPr>
          <w:rFonts w:ascii="Book Antiqua" w:hAnsi="Book Antiqua" w:eastAsia="Book Antiqua" w:cs="Book Antiqua"/>
          <w:color w:val="000000"/>
        </w:rPr>
        <w:t xml:space="preserve">), it remains to be ascertained whether they are casual associations. A review on individual AILD coexisting with SLE is depicted as follows. </w:t>
      </w:r>
    </w:p>
    <w:p>
      <w:pPr>
        <w:spacing w:line="360" w:lineRule="auto"/>
        <w:ind w:firstLine="240" w:firstLineChars="100"/>
        <w:jc w:val="both"/>
      </w:pPr>
      <w:r>
        <w:rPr>
          <w:rFonts w:ascii="Book Antiqua" w:hAnsi="Book Antiqua" w:eastAsia="Book Antiqua" w:cs="Book Antiqua"/>
          <w:color w:val="000000"/>
        </w:rPr>
        <w:t>AIH is a rare AILD characterized by interface hepatitis as the most specific histological change, and the presence of autoantibodies including anti-liver kidney microsomal-1 (LKM-1)/liver cytosol-1 (LC-1) in type II, a rare subgroup affecting female pediatric patients, and ANA/anti-smooth muscle antibody (ASMA) in type I</w:t>
      </w:r>
      <w:r>
        <w:rPr>
          <w:rFonts w:ascii="Book Antiqua" w:hAnsi="Book Antiqua" w:eastAsia="Book Antiqua" w:cs="Book Antiqua"/>
          <w:color w:val="000000"/>
          <w:szCs w:val="30"/>
          <w:vertAlign w:val="superscript"/>
        </w:rPr>
        <w:t>[50]</w:t>
      </w:r>
      <w:r>
        <w:rPr>
          <w:rFonts w:ascii="Book Antiqua" w:hAnsi="Book Antiqua" w:eastAsia="Book Antiqua" w:cs="Book Antiqua"/>
          <w:color w:val="000000"/>
        </w:rPr>
        <w:t>. Clinical manifestations vary from asymptomatic to nonspecific symptoms of varying severity, including fatigue, malaise, nausea, anorexia and abdominal pain. The criteria established by the International Autoimmune Hepatitis Group (commonly known as the IAHG) are usually used for the diagnosis of AIH</w:t>
      </w:r>
      <w:r>
        <w:rPr>
          <w:rFonts w:ascii="Book Antiqua" w:hAnsi="Book Antiqua" w:eastAsia="Book Antiqua" w:cs="Book Antiqua"/>
          <w:color w:val="000000"/>
          <w:szCs w:val="30"/>
          <w:vertAlign w:val="superscript"/>
        </w:rPr>
        <w:t>[51]</w:t>
      </w:r>
      <w:r>
        <w:rPr>
          <w:rFonts w:ascii="Book Antiqua" w:hAnsi="Book Antiqua" w:eastAsia="Book Antiqua" w:cs="Book Antiqua"/>
          <w:color w:val="000000"/>
        </w:rPr>
        <w:t>. Due to different disease complications and therapeutic regimens between AIH and LH, it is imperative to differentiate between two disease entities</w:t>
      </w:r>
      <w:r>
        <w:rPr>
          <w:rFonts w:ascii="Book Antiqua" w:hAnsi="Book Antiqua" w:eastAsia="Book Antiqua" w:cs="Book Antiqua"/>
          <w:color w:val="000000"/>
          <w:szCs w:val="30"/>
          <w:vertAlign w:val="superscript"/>
        </w:rPr>
        <w:t>[28,34]</w:t>
      </w:r>
      <w:r>
        <w:rPr>
          <w:rFonts w:ascii="Book Antiqua" w:hAnsi="Book Antiqua" w:eastAsia="Book Antiqua" w:cs="Book Antiqua"/>
          <w:color w:val="000000"/>
        </w:rPr>
        <w:t>. AIH may lead to end stage liver disease, and its immunosuppressive therapy needs to be continued for at least 2 years of hepatic biochemical remission before attempting withdrawal</w:t>
      </w:r>
      <w:r>
        <w:rPr>
          <w:rFonts w:ascii="Book Antiqua" w:hAnsi="Book Antiqua" w:eastAsia="Book Antiqua" w:cs="Book Antiqua"/>
          <w:color w:val="000000"/>
          <w:szCs w:val="30"/>
          <w:vertAlign w:val="superscript"/>
        </w:rPr>
        <w:t>[50]</w:t>
      </w:r>
      <w:r>
        <w:rPr>
          <w:rFonts w:ascii="Book Antiqua" w:hAnsi="Book Antiqua" w:eastAsia="Book Antiqua" w:cs="Book Antiqua"/>
          <w:color w:val="000000"/>
        </w:rPr>
        <w:t>. Liver biopsy is highly recommended for their distinguishment</w:t>
      </w:r>
      <w:r>
        <w:rPr>
          <w:rFonts w:ascii="Book Antiqua" w:hAnsi="Book Antiqua" w:eastAsia="Book Antiqua" w:cs="Book Antiqua"/>
          <w:color w:val="000000"/>
          <w:szCs w:val="30"/>
          <w:vertAlign w:val="superscript"/>
        </w:rPr>
        <w:t>[28,34]</w:t>
      </w:r>
      <w:r>
        <w:rPr>
          <w:rFonts w:ascii="Book Antiqua" w:hAnsi="Book Antiqua" w:eastAsia="Book Antiqua" w:cs="Book Antiqua"/>
          <w:color w:val="000000"/>
        </w:rPr>
        <w:t>. LH usually demonstrates lobular infiltrates or occasionally mild periportal infiltrates, whereas AIH is characterized by portal mononuclear infiltrates invading nearby lobules to induce interface hepatitis and form hepatocyte rosettes, followed by confluent lytic necrosis and finally cirrhosis</w:t>
      </w:r>
      <w:r>
        <w:rPr>
          <w:rFonts w:ascii="Book Antiqua" w:hAnsi="Book Antiqua" w:eastAsia="Book Antiqua" w:cs="Book Antiqua"/>
          <w:color w:val="000000"/>
          <w:szCs w:val="30"/>
          <w:vertAlign w:val="superscript"/>
        </w:rPr>
        <w:t>[30]</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SLE-AIH overlap disease is defined by fulfilling American College of Rheumatology (commonly known as the ACR) criteria for the classification of SLE in patients who also meet IAIHG criteria for the diagnosis of AIH</w:t>
      </w:r>
      <w:r>
        <w:rPr>
          <w:rFonts w:ascii="Book Antiqua" w:hAnsi="Book Antiqua" w:eastAsia="Book Antiqua" w:cs="Book Antiqua"/>
          <w:color w:val="000000"/>
          <w:szCs w:val="30"/>
          <w:vertAlign w:val="superscript"/>
        </w:rPr>
        <w:t>[34,51,52]</w:t>
      </w:r>
      <w:r>
        <w:rPr>
          <w:rFonts w:ascii="Book Antiqua" w:hAnsi="Book Antiqua" w:eastAsia="Book Antiqua" w:cs="Book Antiqua"/>
          <w:color w:val="000000"/>
        </w:rPr>
        <w:t>. The prevalence of AIH in SLE ranges from 1.6% to 15%, lower in general cohorts and higher in patients with abnormal LFT</w:t>
      </w:r>
      <w:r>
        <w:rPr>
          <w:rFonts w:ascii="Book Antiqua" w:hAnsi="Book Antiqua" w:eastAsia="Book Antiqua" w:cs="Book Antiqua"/>
          <w:color w:val="000000"/>
          <w:szCs w:val="30"/>
          <w:vertAlign w:val="superscript"/>
        </w:rPr>
        <w:t>[39,53-58]</w:t>
      </w:r>
      <w:r>
        <w:rPr>
          <w:rFonts w:ascii="Book Antiqua" w:hAnsi="Book Antiqua" w:eastAsia="Book Antiqua" w:cs="Book Antiqua"/>
          <w:color w:val="000000"/>
        </w:rPr>
        <w:t>. Immunosuppressive treatment for AIH is also effective for SLE, and has been demonstrated to successfully apply to their overlap cases</w:t>
      </w:r>
      <w:r>
        <w:rPr>
          <w:rFonts w:ascii="Book Antiqua" w:hAnsi="Book Antiqua" w:eastAsia="Book Antiqua" w:cs="Book Antiqua"/>
          <w:color w:val="000000"/>
          <w:szCs w:val="30"/>
          <w:vertAlign w:val="superscript"/>
        </w:rPr>
        <w:t>[28]</w:t>
      </w:r>
      <w:r>
        <w:rPr>
          <w:rFonts w:ascii="Book Antiqua" w:hAnsi="Book Antiqua" w:eastAsia="Book Antiqua" w:cs="Book Antiqua"/>
          <w:color w:val="000000"/>
        </w:rPr>
        <w:t>. Most cases with coexisting SLE and AIH responded well to CS or plus immunosuppressants</w:t>
      </w:r>
      <w:r>
        <w:rPr>
          <w:rFonts w:ascii="Book Antiqua" w:hAnsi="Book Antiqua" w:eastAsia="Book Antiqua" w:cs="Book Antiqua"/>
          <w:color w:val="000000"/>
          <w:szCs w:val="30"/>
          <w:vertAlign w:val="superscript"/>
        </w:rPr>
        <w:t>[48]</w:t>
      </w:r>
      <w:r>
        <w:rPr>
          <w:rFonts w:ascii="Book Antiqua" w:hAnsi="Book Antiqua" w:eastAsia="Book Antiqua" w:cs="Book Antiqua"/>
          <w:color w:val="000000"/>
        </w:rPr>
        <w:t>. The long-term outcome for SLE-AIH overlap disease has been observed to be better than AIH alone</w:t>
      </w:r>
      <w:r>
        <w:rPr>
          <w:rFonts w:ascii="Book Antiqua" w:hAnsi="Book Antiqua" w:eastAsia="Book Antiqua" w:cs="Book Antiqua"/>
          <w:color w:val="000000"/>
          <w:szCs w:val="30"/>
          <w:vertAlign w:val="superscript"/>
        </w:rPr>
        <w:t>[34]</w:t>
      </w:r>
      <w:r>
        <w:rPr>
          <w:rFonts w:ascii="Book Antiqua" w:hAnsi="Book Antiqua" w:eastAsia="Book Antiqua" w:cs="Book Antiqua"/>
          <w:color w:val="000000"/>
        </w:rPr>
        <w:t>. Nevertheless, there are sporadic cases of acute liver failure or end-stage liver disease requiring LT</w:t>
      </w:r>
      <w:r>
        <w:rPr>
          <w:rFonts w:ascii="Book Antiqua" w:hAnsi="Book Antiqua" w:eastAsia="Book Antiqua" w:cs="Book Antiqua"/>
          <w:color w:val="000000"/>
          <w:szCs w:val="30"/>
          <w:vertAlign w:val="superscript"/>
        </w:rPr>
        <w:t>[59,60]</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PBC is the most common AILD affecting women predominantly. It is characterized by destructive lymphocytic cholangitis involving small bile ducts, and leading to progressive ductopenia, hepatic cholestasis and biliary fibrosis</w:t>
      </w:r>
      <w:r>
        <w:rPr>
          <w:rFonts w:ascii="Book Antiqua" w:hAnsi="Book Antiqua" w:eastAsia="Book Antiqua" w:cs="Book Antiqua"/>
          <w:color w:val="000000"/>
          <w:szCs w:val="30"/>
          <w:vertAlign w:val="superscript"/>
        </w:rPr>
        <w:t>[61]</w:t>
      </w:r>
      <w:r>
        <w:rPr>
          <w:rFonts w:ascii="Book Antiqua" w:hAnsi="Book Antiqua" w:eastAsia="Book Antiqua" w:cs="Book Antiqua"/>
          <w:color w:val="000000"/>
        </w:rPr>
        <w:t>. Clinical manifestations vary from asymptomatic to non-specific symptoms with jaundice and pruritus. According to the guidance from American Association for the Study of Liver Diseases (commonly known as the AASLD), the diagnosis of PBC is established when two of three items are met, including biochemical cholestasis based on alkaline phosphatase (ALP) elevation, presence of antimitochondrial autoantibody (AMA), and histological evidences of nonsuppurative destructive cholangitis and interlobular bile ducts destruction</w:t>
      </w:r>
      <w:r>
        <w:rPr>
          <w:rFonts w:ascii="Book Antiqua" w:hAnsi="Book Antiqua" w:eastAsia="Book Antiqua" w:cs="Book Antiqua"/>
          <w:color w:val="000000"/>
          <w:szCs w:val="30"/>
          <w:vertAlign w:val="superscript"/>
        </w:rPr>
        <w:t>[62]</w:t>
      </w:r>
      <w:r>
        <w:rPr>
          <w:rFonts w:ascii="Book Antiqua" w:hAnsi="Book Antiqua" w:eastAsia="Book Antiqua" w:cs="Book Antiqua"/>
          <w:color w:val="000000"/>
        </w:rPr>
        <w:t>. The nomenclature of PBC has already shifted from cirrhosis to cholangitis, reflecting the dramatically improved prognosis upon first-line UDCA therapy without the development of cirrhosis</w:t>
      </w:r>
      <w:r>
        <w:rPr>
          <w:rFonts w:ascii="Book Antiqua" w:hAnsi="Book Antiqua" w:eastAsia="Book Antiqua" w:cs="Book Antiqua"/>
          <w:color w:val="000000"/>
          <w:szCs w:val="30"/>
          <w:vertAlign w:val="superscript"/>
        </w:rPr>
        <w:t>[63,64]</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SLE-PBC overlap is defined by fulfilling the diagnostic criteria for both diseases</w:t>
      </w:r>
      <w:r>
        <w:rPr>
          <w:rFonts w:ascii="Book Antiqua" w:hAnsi="Book Antiqua" w:eastAsia="Book Antiqua" w:cs="Book Antiqua"/>
          <w:color w:val="000000"/>
          <w:szCs w:val="30"/>
          <w:vertAlign w:val="superscript"/>
        </w:rPr>
        <w:t>[34,52,62]</w:t>
      </w:r>
      <w:r>
        <w:rPr>
          <w:rFonts w:ascii="Book Antiqua" w:hAnsi="Book Antiqua" w:eastAsia="Book Antiqua" w:cs="Book Antiqua"/>
          <w:color w:val="000000"/>
        </w:rPr>
        <w:t>. SLE usually affects younger females of childbearing age, whereas PBC is more common in middle-aged women. By genome-wide studies, both diseases have been reported to share the IRF5-TNPO3 gene-spanning haplotype loci</w:t>
      </w:r>
      <w:r>
        <w:rPr>
          <w:rFonts w:ascii="Book Antiqua" w:hAnsi="Book Antiqua" w:eastAsia="Book Antiqua" w:cs="Book Antiqua"/>
          <w:color w:val="000000"/>
          <w:szCs w:val="30"/>
          <w:vertAlign w:val="superscript"/>
        </w:rPr>
        <w:t>[65]</w:t>
      </w:r>
      <w:r>
        <w:rPr>
          <w:rFonts w:ascii="Book Antiqua" w:hAnsi="Book Antiqua" w:eastAsia="Book Antiqua" w:cs="Book Antiqua"/>
          <w:color w:val="000000"/>
        </w:rPr>
        <w:t>. The prevalence of PBC in SLE patients with liver dysfunction ranges from 2.2% to 7.5%, usually lower than that of AIH</w:t>
      </w:r>
      <w:r>
        <w:rPr>
          <w:rFonts w:ascii="Book Antiqua" w:hAnsi="Book Antiqua" w:eastAsia="Book Antiqua" w:cs="Book Antiqua"/>
          <w:color w:val="000000"/>
          <w:szCs w:val="30"/>
          <w:vertAlign w:val="superscript"/>
        </w:rPr>
        <w:t>[39,53-55,57]</w:t>
      </w:r>
      <w:r>
        <w:rPr>
          <w:rFonts w:ascii="Book Antiqua" w:hAnsi="Book Antiqua" w:eastAsia="Book Antiqua" w:cs="Book Antiqua"/>
          <w:color w:val="000000"/>
        </w:rPr>
        <w:t>. In a review of SLE overlapping with PBC, 69% were diagnosed first by PBC, 24% had coexisting SS, and 2 deaths were due to PBC-related hepatic failure</w:t>
      </w:r>
      <w:r>
        <w:rPr>
          <w:rFonts w:ascii="Book Antiqua" w:hAnsi="Book Antiqua" w:eastAsia="Book Antiqua" w:cs="Book Antiqua"/>
          <w:color w:val="000000"/>
          <w:szCs w:val="30"/>
          <w:vertAlign w:val="superscript"/>
        </w:rPr>
        <w:t>[66]</w:t>
      </w:r>
      <w:r>
        <w:rPr>
          <w:rFonts w:ascii="Book Antiqua" w:hAnsi="Book Antiqua" w:eastAsia="Book Antiqua" w:cs="Book Antiqua"/>
          <w:color w:val="000000"/>
        </w:rPr>
        <w:t>. For patients with concomitant SLE and PBC, regardless of the SLE treatment, UDCA is effective first-line therapy for PBC</w:t>
      </w:r>
      <w:r>
        <w:rPr>
          <w:rFonts w:ascii="Book Antiqua" w:hAnsi="Book Antiqua" w:eastAsia="Book Antiqua" w:cs="Book Antiqua"/>
          <w:color w:val="000000"/>
          <w:szCs w:val="30"/>
          <w:vertAlign w:val="superscript"/>
        </w:rPr>
        <w:t>[49]</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The diagnosis of PBC-AIH overlap is established with coexisting features of both diseases</w:t>
      </w:r>
      <w:r>
        <w:rPr>
          <w:rFonts w:ascii="Book Antiqua" w:hAnsi="Book Antiqua" w:eastAsia="Book Antiqua" w:cs="Book Antiqua"/>
          <w:color w:val="000000"/>
          <w:szCs w:val="30"/>
          <w:vertAlign w:val="superscript"/>
        </w:rPr>
        <w:t>[67]</w:t>
      </w:r>
      <w:r>
        <w:rPr>
          <w:rFonts w:ascii="Book Antiqua" w:hAnsi="Book Antiqua" w:eastAsia="Book Antiqua" w:cs="Book Antiqua"/>
          <w:color w:val="000000"/>
        </w:rPr>
        <w:t>. Two commonly used criteria for the diagnosis of PBC-AIH overlap syndrome are the IAIHG and Paris criteria</w:t>
      </w:r>
      <w:r>
        <w:rPr>
          <w:rFonts w:ascii="Book Antiqua" w:hAnsi="Book Antiqua" w:eastAsia="Book Antiqua" w:cs="Book Antiqua"/>
          <w:color w:val="000000"/>
          <w:szCs w:val="30"/>
          <w:vertAlign w:val="superscript"/>
        </w:rPr>
        <w:t>[51,68]</w:t>
      </w:r>
      <w:r>
        <w:rPr>
          <w:rFonts w:ascii="Book Antiqua" w:hAnsi="Book Antiqua" w:eastAsia="Book Antiqua" w:cs="Book Antiqua"/>
          <w:color w:val="000000"/>
        </w:rPr>
        <w:t>. Patients with overlapping PBC and AIH have been described to exhibit significantly higher rates of LC, portal hypertension and mortality as compared with those with AIH or PBC alone</w:t>
      </w:r>
      <w:r>
        <w:rPr>
          <w:rFonts w:ascii="Book Antiqua" w:hAnsi="Book Antiqua" w:eastAsia="Book Antiqua" w:cs="Book Antiqua"/>
          <w:color w:val="000000"/>
          <w:szCs w:val="30"/>
          <w:vertAlign w:val="superscript"/>
        </w:rPr>
        <w:t>[69]</w:t>
      </w:r>
      <w:r>
        <w:rPr>
          <w:rFonts w:ascii="Book Antiqua" w:hAnsi="Book Antiqua" w:eastAsia="Book Antiqua" w:cs="Book Antiqua"/>
          <w:color w:val="000000"/>
        </w:rPr>
        <w:t>. PBC with features of AIH should be considered for immunosuppressive therapy</w:t>
      </w:r>
      <w:r>
        <w:rPr>
          <w:rFonts w:ascii="Book Antiqua" w:hAnsi="Book Antiqua" w:eastAsia="Book Antiqua" w:cs="Book Antiqua"/>
          <w:color w:val="000000"/>
          <w:szCs w:val="30"/>
          <w:vertAlign w:val="superscript"/>
        </w:rPr>
        <w:t>[49]</w:t>
      </w:r>
      <w:r>
        <w:rPr>
          <w:rFonts w:ascii="Book Antiqua" w:hAnsi="Book Antiqua" w:eastAsia="Book Antiqua" w:cs="Book Antiqua"/>
          <w:color w:val="000000"/>
        </w:rPr>
        <w:t>, while PBC-AIH overlap disease can benefit from combination treatment with UDCA and CS or plus AZA</w:t>
      </w:r>
      <w:r>
        <w:rPr>
          <w:rFonts w:ascii="Book Antiqua" w:hAnsi="Book Antiqua" w:eastAsia="Book Antiqua" w:cs="Book Antiqua"/>
          <w:color w:val="000000"/>
          <w:szCs w:val="30"/>
          <w:vertAlign w:val="superscript"/>
        </w:rPr>
        <w:t>[69]</w:t>
      </w:r>
      <w:r>
        <w:rPr>
          <w:rFonts w:ascii="Book Antiqua" w:hAnsi="Book Antiqua" w:eastAsia="Book Antiqua" w:cs="Book Antiqua"/>
          <w:color w:val="000000"/>
        </w:rPr>
        <w:t>. There is a rare association between SLE and PBC-AIH overlap disease</w:t>
      </w:r>
      <w:r>
        <w:rPr>
          <w:rFonts w:ascii="Book Antiqua" w:hAnsi="Book Antiqua" w:eastAsia="Book Antiqua" w:cs="Book Antiqua"/>
          <w:color w:val="000000"/>
          <w:szCs w:val="30"/>
          <w:vertAlign w:val="superscript"/>
        </w:rPr>
        <w:t>[70]</w:t>
      </w:r>
      <w:r>
        <w:rPr>
          <w:rFonts w:ascii="Book Antiqua" w:hAnsi="Book Antiqua" w:eastAsia="Book Antiqua" w:cs="Book Antiqua"/>
          <w:color w:val="000000"/>
        </w:rPr>
        <w:t>. In a large case series with 71 overlap patients, EHAIDs were identified in 31 (44%), while only 2 (3%) had concurrent SLE</w:t>
      </w:r>
      <w:r>
        <w:rPr>
          <w:rFonts w:ascii="Book Antiqua" w:hAnsi="Book Antiqua" w:eastAsia="Book Antiqua" w:cs="Book Antiqua"/>
          <w:color w:val="000000"/>
          <w:szCs w:val="30"/>
          <w:vertAlign w:val="superscript"/>
        </w:rPr>
        <w:t>[71]</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In contrast to western countries, AIH had been considered a rare etiology in the Asia-Pacific region, where VH is a major diagnosis in patients with chronic liver diseases</w:t>
      </w:r>
      <w:r>
        <w:rPr>
          <w:rFonts w:ascii="Book Antiqua" w:hAnsi="Book Antiqua" w:eastAsia="Book Antiqua" w:cs="Book Antiqua"/>
          <w:color w:val="000000"/>
          <w:szCs w:val="30"/>
          <w:vertAlign w:val="superscript"/>
        </w:rPr>
        <w:t>[72]</w:t>
      </w:r>
      <w:r>
        <w:rPr>
          <w:rFonts w:ascii="Book Antiqua" w:hAnsi="Book Antiqua" w:eastAsia="Book Antiqua" w:cs="Book Antiqua"/>
          <w:color w:val="000000"/>
        </w:rPr>
        <w:t>. A very low prevalence of AIH was found in Taiwan in earlier years, raising concerns about under-recognition in an area with a high prevalence of HBV infection and associated liver cirrhosis and hepatocellular carcinoma complications</w:t>
      </w:r>
      <w:r>
        <w:rPr>
          <w:rFonts w:ascii="Book Antiqua" w:hAnsi="Book Antiqua" w:eastAsia="Book Antiqua" w:cs="Book Antiqua"/>
          <w:color w:val="000000"/>
          <w:szCs w:val="30"/>
          <w:vertAlign w:val="superscript"/>
        </w:rPr>
        <w:t>[73]</w:t>
      </w:r>
      <w:r>
        <w:rPr>
          <w:rFonts w:ascii="Book Antiqua" w:hAnsi="Book Antiqua" w:eastAsia="Book Antiqua" w:cs="Book Antiqua"/>
          <w:color w:val="000000"/>
        </w:rPr>
        <w:t>, where clinicians would have been more familiar with VH and might have tended to overlook AIH</w:t>
      </w:r>
      <w:r>
        <w:rPr>
          <w:rFonts w:ascii="Book Antiqua" w:hAnsi="Book Antiqua" w:eastAsia="Book Antiqua" w:cs="Book Antiqua"/>
          <w:color w:val="000000"/>
          <w:szCs w:val="30"/>
          <w:vertAlign w:val="superscript"/>
        </w:rPr>
        <w:t>[74]</w:t>
      </w:r>
      <w:r>
        <w:rPr>
          <w:rFonts w:ascii="Book Antiqua" w:hAnsi="Book Antiqua" w:eastAsia="Book Antiqua" w:cs="Book Antiqua"/>
          <w:color w:val="000000"/>
        </w:rPr>
        <w:t>. Recent findings, however, have shown increasing annual incidences of AIH, indicating improved recognition of AIH in this region</w:t>
      </w:r>
      <w:r>
        <w:rPr>
          <w:rFonts w:ascii="Book Antiqua" w:hAnsi="Book Antiqua" w:eastAsia="Book Antiqua" w:cs="Book Antiqua"/>
          <w:color w:val="000000"/>
          <w:szCs w:val="30"/>
          <w:vertAlign w:val="superscript"/>
        </w:rPr>
        <w:t>[72]</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The clinical, laboratory, therapeutic and outcome profiles in 3 patients with SLE-AIH overlap disease diagnosed by ourselves are shown in Table 4. All met IAIHG diagnostic criteria for AIH</w:t>
      </w:r>
      <w:r>
        <w:rPr>
          <w:rFonts w:ascii="Book Antiqua" w:hAnsi="Book Antiqua" w:eastAsia="Book Antiqua" w:cs="Book Antiqua"/>
          <w:color w:val="000000"/>
          <w:szCs w:val="30"/>
          <w:vertAlign w:val="superscript"/>
        </w:rPr>
        <w:t>[51]</w:t>
      </w:r>
      <w:r>
        <w:rPr>
          <w:rFonts w:ascii="Book Antiqua" w:hAnsi="Book Antiqua" w:eastAsia="Book Antiqua" w:cs="Book Antiqua"/>
          <w:color w:val="000000"/>
        </w:rPr>
        <w:t>, and case 2 also fulfilled AASLD diagnostic criteria for PBC</w:t>
      </w:r>
      <w:r>
        <w:rPr>
          <w:rFonts w:ascii="Book Antiqua" w:hAnsi="Book Antiqua" w:eastAsia="Book Antiqua" w:cs="Book Antiqua"/>
          <w:color w:val="000000"/>
          <w:szCs w:val="30"/>
          <w:vertAlign w:val="superscript"/>
        </w:rPr>
        <w:t>[62]</w:t>
      </w:r>
      <w:r>
        <w:rPr>
          <w:rFonts w:ascii="Book Antiqua" w:hAnsi="Book Antiqua" w:eastAsia="Book Antiqua" w:cs="Book Antiqua"/>
          <w:color w:val="000000"/>
        </w:rPr>
        <w:t xml:space="preserve">. Despite CS plus AZA therapy, case 1 progressed into advanced LC, and received LDLT with stabilized LFTs and low SLE activity. Case 2 had the initial diagnosis of AIH with transaminasemia, followed by the development of hepatic cholestasis and sicca symptoms, and finally full-blown manifestations of SLE. Under the diagnosis of coexistent AIH, PBC, SLE and SS, in addition to CS/AZA and UDCA, the patient received B-cell depleting therapy with anti-CD20 monoclonal antibody, with low-dose CS for maintenance, resulting in normalized LFT and low SLE activity. Figure 2 demonstrates histopathological findings in liver biopsy specimens from cases 1 and 2. </w:t>
      </w:r>
    </w:p>
    <w:p>
      <w:pPr>
        <w:spacing w:line="360" w:lineRule="auto"/>
        <w:ind w:firstLine="240" w:firstLineChars="100"/>
        <w:jc w:val="both"/>
      </w:pPr>
      <w:r>
        <w:rPr>
          <w:rFonts w:ascii="Book Antiqua" w:hAnsi="Book Antiqua" w:eastAsia="Book Antiqua" w:cs="Book Antiqua"/>
          <w:color w:val="000000"/>
        </w:rPr>
        <w:t>PSC is a rare cholestatic AILD characterized by persistent, progressive inflammation, fibrosis and stricture of the intrahepatic and extrahepatic bile ducts, leading to cirrhosis</w:t>
      </w:r>
      <w:r>
        <w:rPr>
          <w:rFonts w:ascii="Book Antiqua" w:hAnsi="Book Antiqua" w:eastAsia="Book Antiqua" w:cs="Book Antiqua"/>
          <w:color w:val="000000"/>
          <w:szCs w:val="30"/>
          <w:vertAlign w:val="superscript"/>
        </w:rPr>
        <w:t>[75]</w:t>
      </w:r>
      <w:r>
        <w:rPr>
          <w:rFonts w:ascii="Book Antiqua" w:hAnsi="Book Antiqua" w:eastAsia="Book Antiqua" w:cs="Book Antiqua"/>
          <w:color w:val="000000"/>
        </w:rPr>
        <w:t>. About half of the patients are asymptomatic. The diagnosis is made by cholestasis with ALP elevation and imaging of bile duct strictures, excluding secondary causes. Liver biopsy is indicated only when suspecting overlapping with other AILDs or small-duct PSC, a variant with normal cholangiogram. UDCA is the subject of debate with conflicting data to support its use in PSC</w:t>
      </w:r>
      <w:r>
        <w:rPr>
          <w:rFonts w:ascii="Book Antiqua" w:hAnsi="Book Antiqua" w:eastAsia="Book Antiqua" w:cs="Book Antiqua"/>
          <w:color w:val="000000"/>
          <w:szCs w:val="30"/>
          <w:vertAlign w:val="superscript"/>
        </w:rPr>
        <w:t>[49]</w:t>
      </w:r>
      <w:r>
        <w:rPr>
          <w:rFonts w:ascii="Book Antiqua" w:hAnsi="Book Antiqua" w:eastAsia="Book Antiqua" w:cs="Book Antiqua"/>
          <w:color w:val="000000"/>
        </w:rPr>
        <w:t>, and end-stage liver disease requiring LT may develop in affected patients.</w:t>
      </w:r>
    </w:p>
    <w:p>
      <w:pPr>
        <w:spacing w:line="360" w:lineRule="auto"/>
        <w:ind w:firstLine="240" w:firstLineChars="100"/>
        <w:jc w:val="both"/>
      </w:pPr>
      <w:r>
        <w:rPr>
          <w:rFonts w:ascii="Book Antiqua" w:hAnsi="Book Antiqua" w:eastAsia="Book Antiqua" w:cs="Book Antiqua"/>
          <w:color w:val="000000"/>
        </w:rPr>
        <w:t>Although the association of SLE with PSC is considered to be extremely unusual</w:t>
      </w:r>
      <w:r>
        <w:rPr>
          <w:rFonts w:ascii="Book Antiqua" w:hAnsi="Book Antiqua" w:eastAsia="Book Antiqua" w:cs="Book Antiqua"/>
          <w:color w:val="000000"/>
          <w:szCs w:val="30"/>
          <w:vertAlign w:val="superscript"/>
        </w:rPr>
        <w:t>[34,48]</w:t>
      </w:r>
      <w:r>
        <w:rPr>
          <w:rFonts w:ascii="Book Antiqua" w:hAnsi="Book Antiqua" w:eastAsia="Book Antiqua" w:cs="Book Antiqua"/>
          <w:color w:val="000000"/>
        </w:rPr>
        <w:t>, there are several published cases with SLE-PSC overlap disease</w:t>
      </w:r>
      <w:r>
        <w:rPr>
          <w:rFonts w:ascii="Book Antiqua" w:hAnsi="Book Antiqua" w:eastAsia="Book Antiqua" w:cs="Book Antiqua"/>
          <w:color w:val="000000"/>
          <w:szCs w:val="30"/>
          <w:vertAlign w:val="superscript"/>
        </w:rPr>
        <w:t>[76-80]</w:t>
      </w:r>
      <w:r>
        <w:rPr>
          <w:rFonts w:ascii="Book Antiqua" w:hAnsi="Book Antiqua" w:eastAsia="Book Antiqua" w:cs="Book Antiqua"/>
          <w:color w:val="000000"/>
        </w:rPr>
        <w:t>. Furthermore, a 1.7% occurrence of SLE was observed in a Swedish PSC cohort</w:t>
      </w:r>
      <w:r>
        <w:rPr>
          <w:rFonts w:ascii="Book Antiqua" w:hAnsi="Book Antiqua" w:eastAsia="Book Antiqua" w:cs="Book Antiqua"/>
          <w:color w:val="000000"/>
          <w:szCs w:val="30"/>
          <w:vertAlign w:val="superscript"/>
        </w:rPr>
        <w:t>[81]</w:t>
      </w:r>
      <w:r>
        <w:rPr>
          <w:rFonts w:ascii="Book Antiqua" w:hAnsi="Book Antiqua" w:eastAsia="Book Antiqua" w:cs="Book Antiqua"/>
          <w:color w:val="000000"/>
        </w:rPr>
        <w:t xml:space="preserve">. Whether such a coexistence indicates that both diseases might share common pathogenic pathways remains to be elucidated. </w:t>
      </w:r>
    </w:p>
    <w:p>
      <w:pPr>
        <w:spacing w:line="360" w:lineRule="auto"/>
        <w:jc w:val="both"/>
      </w:pPr>
    </w:p>
    <w:p>
      <w:pPr>
        <w:spacing w:line="360" w:lineRule="auto"/>
        <w:jc w:val="both"/>
      </w:pPr>
      <w:r>
        <w:rPr>
          <w:rFonts w:ascii="Book Antiqua" w:hAnsi="Book Antiqua" w:eastAsia="Book Antiqua" w:cs="Book Antiqua"/>
          <w:b/>
          <w:bCs/>
          <w:caps/>
          <w:color w:val="000000"/>
          <w:u w:val="single"/>
        </w:rPr>
        <w:t>SS</w:t>
      </w:r>
    </w:p>
    <w:p>
      <w:pPr>
        <w:spacing w:line="360" w:lineRule="auto"/>
        <w:jc w:val="both"/>
      </w:pPr>
      <w:r>
        <w:rPr>
          <w:rFonts w:ascii="Book Antiqua" w:hAnsi="Book Antiqua" w:eastAsia="Book Antiqua" w:cs="Book Antiqua"/>
          <w:color w:val="000000"/>
        </w:rPr>
        <w:t>SS is a common SRD affecting the exocrine glands with typical symptoms of dryness of eyes and mouth, histological evidence of focal lymphocytic sialadenitis and the presence of anti-Ro and -La antibodies</w:t>
      </w:r>
      <w:r>
        <w:rPr>
          <w:rFonts w:ascii="Book Antiqua" w:hAnsi="Book Antiqua" w:eastAsia="Book Antiqua" w:cs="Book Antiqua"/>
          <w:color w:val="000000"/>
          <w:szCs w:val="30"/>
          <w:vertAlign w:val="superscript"/>
        </w:rPr>
        <w:t>[82]</w:t>
      </w:r>
      <w:r>
        <w:rPr>
          <w:rFonts w:ascii="Book Antiqua" w:hAnsi="Book Antiqua" w:eastAsia="Book Antiqua" w:cs="Book Antiqua"/>
          <w:color w:val="000000"/>
        </w:rPr>
        <w:t>. The treatment of SS-related dry eyes and mouth is symptomatic with the use of artificial tear and saliva preparation. LFT abnormalities can be identified in nearly half of patients, either persistent or intermittent, and usually mild with cholestatic or hepatocellular pattern</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Liver involvement is considered as the most common extra-glandular feature, correlating with the disease activities of SS involving other organs</w:t>
      </w:r>
      <w:r>
        <w:rPr>
          <w:rFonts w:ascii="Book Antiqua" w:hAnsi="Book Antiqua" w:eastAsia="Book Antiqua" w:cs="Book Antiqua"/>
          <w:color w:val="000000"/>
          <w:szCs w:val="30"/>
          <w:vertAlign w:val="superscript"/>
        </w:rPr>
        <w:t>[83]</w:t>
      </w:r>
      <w:r>
        <w:rPr>
          <w:rFonts w:ascii="Book Antiqua" w:hAnsi="Book Antiqua" w:eastAsia="Book Antiqua" w:cs="Book Antiqua"/>
          <w:color w:val="000000"/>
        </w:rPr>
        <w:t>. In a large-scale investigation of 475 cases, after excluding DILI and alternative hepatic comorbidities, the main causes of liver dysfunction were VH in 50% and AILDs in around 20% of patients</w:t>
      </w:r>
      <w:r>
        <w:rPr>
          <w:rFonts w:ascii="Book Antiqua" w:hAnsi="Book Antiqua" w:eastAsia="Book Antiqua" w:cs="Book Antiqua"/>
          <w:color w:val="000000"/>
          <w:szCs w:val="30"/>
          <w:vertAlign w:val="superscript"/>
        </w:rPr>
        <w:t>[84]</w:t>
      </w:r>
      <w:r>
        <w:rPr>
          <w:rFonts w:ascii="Book Antiqua" w:hAnsi="Book Antiqua" w:eastAsia="Book Antiqua" w:cs="Book Antiqua"/>
          <w:color w:val="000000"/>
        </w:rPr>
        <w:t>. Several studies have confirmed a higher prevalence of AILDs among SS, mainly PBC (3.4% to 8.9%), followed by AIH (0.4% to 4.4%)</w:t>
      </w:r>
      <w:r>
        <w:rPr>
          <w:rFonts w:ascii="Book Antiqua" w:hAnsi="Book Antiqua" w:eastAsia="Book Antiqua" w:cs="Book Antiqua"/>
          <w:color w:val="000000"/>
          <w:szCs w:val="30"/>
          <w:vertAlign w:val="superscript"/>
        </w:rPr>
        <w:t>[84-87]</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The most frequently associated SRDs in PBC is SS with a prevalence ranging from 3.5% to 38%</w:t>
      </w:r>
      <w:r>
        <w:rPr>
          <w:rFonts w:ascii="Book Antiqua" w:hAnsi="Book Antiqua" w:eastAsia="Book Antiqua" w:cs="Book Antiqua"/>
          <w:color w:val="000000"/>
          <w:szCs w:val="30"/>
          <w:vertAlign w:val="superscript"/>
        </w:rPr>
        <w:t>[88-94]</w:t>
      </w:r>
      <w:r>
        <w:rPr>
          <w:rFonts w:ascii="Book Antiqua" w:hAnsi="Book Antiqua" w:eastAsia="Book Antiqua" w:cs="Book Antiqua"/>
          <w:color w:val="000000"/>
        </w:rPr>
        <w:t>. PBC can be considered a SS of the liver, whereas SS has been equally regarded as a PBC of the exocrine glands</w:t>
      </w:r>
      <w:r>
        <w:rPr>
          <w:rFonts w:ascii="Book Antiqua" w:hAnsi="Book Antiqua" w:eastAsia="Book Antiqua" w:cs="Book Antiqua"/>
          <w:color w:val="000000"/>
          <w:szCs w:val="30"/>
          <w:vertAlign w:val="superscript"/>
        </w:rPr>
        <w:t>[21]</w:t>
      </w:r>
      <w:r>
        <w:rPr>
          <w:rFonts w:ascii="Book Antiqua" w:hAnsi="Book Antiqua" w:eastAsia="Book Antiqua" w:cs="Book Antiqua"/>
          <w:color w:val="000000"/>
        </w:rPr>
        <w:t>. In addition to frequent clinical coexistence and comparable epidemiological features, SS and PBC have similar pathogenic mechanisms and genetic susceptibility backgrounds</w:t>
      </w:r>
      <w:r>
        <w:rPr>
          <w:rFonts w:ascii="Book Antiqua" w:hAnsi="Book Antiqua" w:eastAsia="Book Antiqua" w:cs="Book Antiqua"/>
          <w:color w:val="000000"/>
          <w:szCs w:val="30"/>
          <w:vertAlign w:val="superscript"/>
        </w:rPr>
        <w:t>[95]</w:t>
      </w:r>
      <w:r>
        <w:rPr>
          <w:rFonts w:ascii="Book Antiqua" w:hAnsi="Book Antiqua" w:eastAsia="Book Antiqua" w:cs="Book Antiqua"/>
          <w:color w:val="000000"/>
        </w:rPr>
        <w:t>. Pyruvate dehydrogenase complex E2 subunit, a PBC autoantigen, is also present on the surface of salivary epithelial cells in SS, while HLA-DR2 and -DR3 have been reported as the common susceptibility genes in both disorders</w:t>
      </w:r>
      <w:r>
        <w:rPr>
          <w:rFonts w:ascii="Book Antiqua" w:hAnsi="Book Antiqua" w:eastAsia="Book Antiqua" w:cs="Book Antiqua"/>
          <w:color w:val="000000"/>
          <w:szCs w:val="30"/>
          <w:vertAlign w:val="superscript"/>
        </w:rPr>
        <w:t>[20]</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Despite a higher frequency of ASMA than AMA in SS</w:t>
      </w:r>
      <w:r>
        <w:rPr>
          <w:rFonts w:ascii="Book Antiqua" w:hAnsi="Book Antiqua" w:eastAsia="Book Antiqua" w:cs="Book Antiqua"/>
          <w:color w:val="000000"/>
          <w:szCs w:val="30"/>
          <w:vertAlign w:val="superscript"/>
        </w:rPr>
        <w:t>[96]</w:t>
      </w:r>
      <w:r>
        <w:rPr>
          <w:rFonts w:ascii="Book Antiqua" w:hAnsi="Book Antiqua" w:eastAsia="Book Antiqua" w:cs="Book Antiqua"/>
          <w:color w:val="000000"/>
        </w:rPr>
        <w:t>, the prevalence of coexisting AIH is lower than PBC</w:t>
      </w:r>
      <w:r>
        <w:rPr>
          <w:rFonts w:ascii="Book Antiqua" w:hAnsi="Book Antiqua" w:eastAsia="Book Antiqua" w:cs="Book Antiqua"/>
          <w:color w:val="000000"/>
          <w:szCs w:val="30"/>
          <w:vertAlign w:val="superscript"/>
        </w:rPr>
        <w:t>[84,85,97]</w:t>
      </w:r>
      <w:r>
        <w:rPr>
          <w:rFonts w:ascii="Book Antiqua" w:hAnsi="Book Antiqua" w:eastAsia="Book Antiqua" w:cs="Book Antiqua"/>
          <w:color w:val="000000"/>
        </w:rPr>
        <w:t>. Owing to a much higher prevalence of SS than SLE in the general population, the occurrence of concomitant SLE and SS in patients with AIH are 0.7% to 2.8% and 0.8% to 7.2%, respectively, lower in SLE than in SS</w:t>
      </w:r>
      <w:r>
        <w:rPr>
          <w:rFonts w:ascii="Book Antiqua" w:hAnsi="Book Antiqua" w:eastAsia="Book Antiqua" w:cs="Book Antiqua"/>
          <w:color w:val="000000"/>
          <w:szCs w:val="30"/>
          <w:vertAlign w:val="superscript"/>
        </w:rPr>
        <w:t>[98-102]</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There are published cases and case series describing SS-PSC overlap disease as well as a higher prevalence in small-scale PSC studies</w:t>
      </w:r>
      <w:r>
        <w:rPr>
          <w:rFonts w:ascii="Book Antiqua" w:hAnsi="Book Antiqua" w:eastAsia="Book Antiqua" w:cs="Book Antiqua"/>
          <w:color w:val="000000"/>
          <w:szCs w:val="30"/>
          <w:vertAlign w:val="superscript"/>
        </w:rPr>
        <w:t>[84,103,104]</w:t>
      </w:r>
      <w:r>
        <w:rPr>
          <w:rFonts w:ascii="Book Antiqua" w:hAnsi="Book Antiqua" w:eastAsia="Book Antiqua" w:cs="Book Antiqua"/>
          <w:color w:val="000000"/>
        </w:rPr>
        <w:t>, implicating a causative association rather than sporadic occurrence. Notably, almost all reported patients with overlapping SS and PSC have chronic pancreatitis, demonstrating a triad syndrome complex</w:t>
      </w:r>
      <w:r>
        <w:rPr>
          <w:rFonts w:ascii="Book Antiqua" w:hAnsi="Book Antiqua" w:eastAsia="Book Antiqua" w:cs="Book Antiqua"/>
          <w:color w:val="000000"/>
          <w:szCs w:val="30"/>
          <w:vertAlign w:val="superscript"/>
        </w:rPr>
        <w:t>[103]</w:t>
      </w:r>
      <w:r>
        <w:rPr>
          <w:rFonts w:ascii="Book Antiqua" w:hAnsi="Book Antiqua" w:eastAsia="Book Antiqua" w:cs="Book Antiqua"/>
          <w:color w:val="000000"/>
        </w:rPr>
        <w:t>. A possibility of co-occurring IgG4-related disease (IgG4-RD) should be considered in SS-PSC overlap disease with the presentation of autoimmune pancreatitis (AIP)</w:t>
      </w:r>
      <w:r>
        <w:rPr>
          <w:rFonts w:ascii="Book Antiqua" w:hAnsi="Book Antiqua" w:eastAsia="Book Antiqua" w:cs="Book Antiqua"/>
          <w:color w:val="000000"/>
          <w:szCs w:val="30"/>
          <w:vertAlign w:val="superscript"/>
        </w:rPr>
        <w:t>[104]</w:t>
      </w:r>
      <w:r>
        <w:rPr>
          <w:rFonts w:ascii="Book Antiqua" w:hAnsi="Book Antiqua" w:eastAsia="Book Antiqua" w:cs="Book Antiqua"/>
          <w:color w:val="000000"/>
        </w:rPr>
        <w:t xml:space="preserve">. </w:t>
      </w:r>
    </w:p>
    <w:p>
      <w:pPr>
        <w:spacing w:line="360" w:lineRule="auto"/>
        <w:jc w:val="both"/>
      </w:pPr>
    </w:p>
    <w:p>
      <w:pPr>
        <w:spacing w:line="360" w:lineRule="auto"/>
        <w:jc w:val="both"/>
      </w:pPr>
      <w:r>
        <w:rPr>
          <w:rFonts w:ascii="Book Antiqua" w:hAnsi="Book Antiqua" w:eastAsia="Book Antiqua" w:cs="Book Antiqua"/>
          <w:b/>
          <w:bCs/>
          <w:caps/>
          <w:color w:val="000000"/>
          <w:u w:val="single"/>
        </w:rPr>
        <w:t>SSc</w:t>
      </w:r>
    </w:p>
    <w:p>
      <w:pPr>
        <w:spacing w:line="360" w:lineRule="auto"/>
        <w:jc w:val="both"/>
      </w:pPr>
      <w:r>
        <w:rPr>
          <w:rFonts w:ascii="Book Antiqua" w:hAnsi="Book Antiqua" w:eastAsia="Book Antiqua" w:cs="Book Antiqua"/>
          <w:color w:val="000000"/>
        </w:rPr>
        <w:t>SSc is an uncommon SRD characterized by vasculopathy and fibrosis of the skin and internal organs, with the presence of anti-topoisomerase I and anti-centromere antibodies (ACA) in diffuse and limited cutaneous subsets, respectively</w:t>
      </w:r>
      <w:r>
        <w:rPr>
          <w:rFonts w:ascii="Book Antiqua" w:hAnsi="Book Antiqua" w:eastAsia="Book Antiqua" w:cs="Book Antiqua"/>
          <w:color w:val="000000"/>
          <w:szCs w:val="30"/>
          <w:vertAlign w:val="superscript"/>
        </w:rPr>
        <w:t>[105]</w:t>
      </w:r>
      <w:r>
        <w:rPr>
          <w:rFonts w:ascii="Book Antiqua" w:hAnsi="Book Antiqua" w:eastAsia="Book Antiqua" w:cs="Book Antiqua"/>
          <w:color w:val="000000"/>
        </w:rPr>
        <w:t>. It has a higher mortality rate than other SRDs. The gastrointestinal tract is affected in up to 90% of patients</w:t>
      </w:r>
      <w:r>
        <w:rPr>
          <w:rFonts w:ascii="Book Antiqua" w:hAnsi="Book Antiqua" w:eastAsia="Book Antiqua" w:cs="Book Antiqua"/>
          <w:color w:val="000000"/>
          <w:szCs w:val="30"/>
          <w:vertAlign w:val="superscript"/>
        </w:rPr>
        <w:t>[106]</w:t>
      </w:r>
      <w:r>
        <w:rPr>
          <w:rFonts w:ascii="Book Antiqua" w:hAnsi="Book Antiqua" w:eastAsia="Book Antiqua" w:cs="Book Antiqua"/>
          <w:color w:val="000000"/>
        </w:rPr>
        <w:t>, and hepatic fibrosis has been identified at autopsy</w:t>
      </w:r>
      <w:r>
        <w:rPr>
          <w:rFonts w:ascii="Book Antiqua" w:hAnsi="Book Antiqua" w:eastAsia="Book Antiqua" w:cs="Book Antiqua"/>
          <w:color w:val="000000"/>
          <w:szCs w:val="30"/>
          <w:vertAlign w:val="superscript"/>
        </w:rPr>
        <w:t>[107]</w:t>
      </w:r>
      <w:r>
        <w:rPr>
          <w:rFonts w:ascii="Book Antiqua" w:hAnsi="Book Antiqua" w:eastAsia="Book Antiqua" w:cs="Book Antiqua"/>
          <w:color w:val="000000"/>
        </w:rPr>
        <w:t>. Since liver involvement is rarely observed</w:t>
      </w:r>
      <w:r>
        <w:rPr>
          <w:rFonts w:ascii="Book Antiqua" w:hAnsi="Book Antiqua" w:eastAsia="Book Antiqua" w:cs="Book Antiqua"/>
          <w:color w:val="000000"/>
          <w:szCs w:val="30"/>
          <w:vertAlign w:val="superscript"/>
        </w:rPr>
        <w:t xml:space="preserve"> </w:t>
      </w:r>
      <w:r>
        <w:rPr>
          <w:rFonts w:ascii="Book Antiqua" w:hAnsi="Book Antiqua" w:eastAsia="Book Antiqua" w:cs="Book Antiqua"/>
          <w:color w:val="000000"/>
        </w:rPr>
        <w:t>in SSc</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w:t>
      </w:r>
      <w:r>
        <w:rPr>
          <w:rFonts w:ascii="Book Antiqua" w:hAnsi="Book Antiqua" w:eastAsia="Book Antiqua" w:cs="Book Antiqua"/>
          <w:color w:val="000000"/>
          <w:szCs w:val="30"/>
          <w:vertAlign w:val="superscript"/>
        </w:rPr>
        <w:t xml:space="preserve"> </w:t>
      </w:r>
      <w:r>
        <w:rPr>
          <w:rFonts w:ascii="Book Antiqua" w:hAnsi="Book Antiqua" w:eastAsia="Book Antiqua" w:cs="Book Antiqua"/>
          <w:color w:val="000000"/>
        </w:rPr>
        <w:t xml:space="preserve">abnormal LFT should exclude other possibilities first before considering disease </w:t>
      </w:r>
      <w:r>
        <w:rPr>
          <w:rFonts w:ascii="Book Antiqua" w:hAnsi="Book Antiqua" w:eastAsia="Book Antiqua" w:cs="Book Antiqua"/>
          <w:i/>
          <w:iCs/>
          <w:color w:val="000000"/>
        </w:rPr>
        <w:t>per se</w:t>
      </w:r>
      <w:r>
        <w:rPr>
          <w:rFonts w:ascii="Book Antiqua" w:hAnsi="Book Antiqua" w:eastAsia="Book Antiqua" w:cs="Book Antiqua"/>
          <w:color w:val="000000"/>
        </w:rPr>
        <w:t>. There are diverse autoimmune diseases like AILDs co-occurring within SSc patients and their family members</w:t>
      </w:r>
      <w:r>
        <w:rPr>
          <w:rFonts w:ascii="Book Antiqua" w:hAnsi="Book Antiqua" w:eastAsia="Book Antiqua" w:cs="Book Antiqua"/>
          <w:color w:val="000000"/>
          <w:szCs w:val="30"/>
          <w:vertAlign w:val="superscript"/>
        </w:rPr>
        <w:t>[108]</w:t>
      </w:r>
      <w:r>
        <w:rPr>
          <w:rFonts w:ascii="Book Antiqua" w:hAnsi="Book Antiqua" w:eastAsia="Book Antiqua" w:cs="Book Antiqua"/>
          <w:color w:val="000000"/>
        </w:rPr>
        <w:t xml:space="preserve">, suggesting common pathophysiological mechanisms between these disorders. </w:t>
      </w:r>
    </w:p>
    <w:p>
      <w:pPr>
        <w:spacing w:line="360" w:lineRule="auto"/>
        <w:ind w:firstLine="240" w:firstLineChars="100"/>
        <w:jc w:val="both"/>
      </w:pPr>
      <w:r>
        <w:rPr>
          <w:rFonts w:ascii="Book Antiqua" w:hAnsi="Book Antiqua" w:eastAsia="Book Antiqua" w:cs="Book Antiqua"/>
          <w:color w:val="000000"/>
        </w:rPr>
        <w:t>Increased prevalence of PBC has been observed in SSc, varying from 0.8% to 3.3%</w:t>
      </w:r>
      <w:r>
        <w:rPr>
          <w:rFonts w:ascii="Book Antiqua" w:hAnsi="Book Antiqua" w:eastAsia="Book Antiqua" w:cs="Book Antiqua"/>
          <w:color w:val="000000"/>
          <w:szCs w:val="30"/>
          <w:vertAlign w:val="superscript"/>
        </w:rPr>
        <w:t>[108-112]</w:t>
      </w:r>
      <w:r>
        <w:rPr>
          <w:rFonts w:ascii="Book Antiqua" w:hAnsi="Book Antiqua" w:eastAsia="Book Antiqua" w:cs="Book Antiqua"/>
          <w:color w:val="000000"/>
        </w:rPr>
        <w:t>, and there is a 2.3% to 12.4% occurrence of SSc in PBC</w:t>
      </w:r>
      <w:r>
        <w:rPr>
          <w:rFonts w:ascii="Book Antiqua" w:hAnsi="Book Antiqua" w:eastAsia="Book Antiqua" w:cs="Book Antiqua"/>
          <w:color w:val="000000"/>
          <w:szCs w:val="30"/>
          <w:vertAlign w:val="superscript"/>
        </w:rPr>
        <w:t>[90-94,111]</w:t>
      </w:r>
      <w:r>
        <w:rPr>
          <w:rFonts w:ascii="Book Antiqua" w:hAnsi="Book Antiqua" w:eastAsia="Book Antiqua" w:cs="Book Antiqua"/>
          <w:color w:val="000000"/>
        </w:rPr>
        <w:t>. SSc-PBC overlap disease has the presence of both ACA and AMA</w:t>
      </w:r>
      <w:r>
        <w:rPr>
          <w:rFonts w:ascii="Book Antiqua" w:hAnsi="Book Antiqua" w:eastAsia="Book Antiqua" w:cs="Book Antiqua"/>
          <w:color w:val="000000"/>
          <w:szCs w:val="30"/>
          <w:vertAlign w:val="superscript"/>
        </w:rPr>
        <w:t>[113]</w:t>
      </w:r>
      <w:r>
        <w:rPr>
          <w:rFonts w:ascii="Book Antiqua" w:hAnsi="Book Antiqua" w:eastAsia="Book Antiqua" w:cs="Book Antiqua"/>
          <w:color w:val="000000"/>
        </w:rPr>
        <w:t>, and tends to occur in older females with the limited cutaneous subset</w:t>
      </w:r>
      <w:r>
        <w:rPr>
          <w:rFonts w:ascii="Book Antiqua" w:hAnsi="Book Antiqua" w:eastAsia="Book Antiqua" w:cs="Book Antiqua"/>
          <w:color w:val="000000"/>
          <w:szCs w:val="30"/>
          <w:vertAlign w:val="superscript"/>
        </w:rPr>
        <w:t>[114]</w:t>
      </w:r>
      <w:r>
        <w:rPr>
          <w:rFonts w:ascii="Book Antiqua" w:hAnsi="Book Antiqua" w:eastAsia="Book Antiqua" w:cs="Book Antiqua"/>
          <w:color w:val="000000"/>
        </w:rPr>
        <w:t>. This overlap disorder has a slower disease progression in comparison with PBC alone; however, survival is similar due to an increase in SSc-related non-liver death. The use of UDCA has been observed to reduce skin lesions</w:t>
      </w:r>
      <w:r>
        <w:rPr>
          <w:rFonts w:ascii="Book Antiqua" w:hAnsi="Book Antiqua" w:eastAsia="Book Antiqua" w:cs="Book Antiqua"/>
          <w:color w:val="000000"/>
          <w:szCs w:val="30"/>
          <w:vertAlign w:val="superscript"/>
        </w:rPr>
        <w:t xml:space="preserve"> </w:t>
      </w:r>
      <w:r>
        <w:rPr>
          <w:rFonts w:ascii="Book Antiqua" w:hAnsi="Book Antiqua" w:eastAsia="Book Antiqua" w:cs="Book Antiqua"/>
          <w:color w:val="000000"/>
        </w:rPr>
        <w:t>in addition to</w:t>
      </w:r>
      <w:r>
        <w:rPr>
          <w:rFonts w:ascii="Book Antiqua" w:hAnsi="Book Antiqua" w:eastAsia="Book Antiqua" w:cs="Book Antiqua"/>
          <w:color w:val="000000"/>
          <w:szCs w:val="30"/>
          <w:vertAlign w:val="superscript"/>
        </w:rPr>
        <w:t xml:space="preserve"> </w:t>
      </w:r>
      <w:r>
        <w:rPr>
          <w:rFonts w:ascii="Book Antiqua" w:hAnsi="Book Antiqua" w:eastAsia="Book Antiqua" w:cs="Book Antiqua"/>
          <w:color w:val="000000"/>
        </w:rPr>
        <w:t>improved hepatic cholestasis in overlap patients</w:t>
      </w:r>
      <w:r>
        <w:rPr>
          <w:rFonts w:ascii="Book Antiqua" w:hAnsi="Book Antiqua" w:eastAsia="Book Antiqua" w:cs="Book Antiqua"/>
          <w:color w:val="000000"/>
          <w:szCs w:val="30"/>
          <w:vertAlign w:val="superscript"/>
        </w:rPr>
        <w:t>[115]</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A 0.8% prevalence of SSc has been reported from a AIH cohort</w:t>
      </w:r>
      <w:r>
        <w:rPr>
          <w:rFonts w:ascii="Book Antiqua" w:hAnsi="Book Antiqua" w:eastAsia="Book Antiqua" w:cs="Book Antiqua"/>
          <w:color w:val="000000"/>
          <w:szCs w:val="30"/>
          <w:vertAlign w:val="superscript"/>
        </w:rPr>
        <w:t>[98]</w:t>
      </w:r>
      <w:r>
        <w:rPr>
          <w:rFonts w:ascii="Book Antiqua" w:hAnsi="Book Antiqua" w:eastAsia="Book Antiqua" w:cs="Book Antiqua"/>
          <w:color w:val="000000"/>
        </w:rPr>
        <w:t>, and patients with SSc-AIH overlap disease can be found in the literature</w:t>
      </w:r>
      <w:r>
        <w:rPr>
          <w:rFonts w:ascii="Book Antiqua" w:hAnsi="Book Antiqua" w:eastAsia="Book Antiqua" w:cs="Book Antiqua"/>
          <w:color w:val="000000"/>
          <w:szCs w:val="30"/>
          <w:vertAlign w:val="superscript"/>
        </w:rPr>
        <w:t>[116,117]</w:t>
      </w:r>
      <w:r>
        <w:rPr>
          <w:rFonts w:ascii="Book Antiqua" w:hAnsi="Book Antiqua" w:eastAsia="Book Antiqua" w:cs="Book Antiqua"/>
          <w:color w:val="000000"/>
        </w:rPr>
        <w:t>. In a review with 11 cases</w:t>
      </w:r>
      <w:r>
        <w:rPr>
          <w:rFonts w:ascii="Book Antiqua" w:hAnsi="Book Antiqua" w:eastAsia="Book Antiqua" w:cs="Book Antiqua"/>
          <w:color w:val="000000"/>
          <w:szCs w:val="30"/>
          <w:vertAlign w:val="superscript"/>
        </w:rPr>
        <w:t>[117]</w:t>
      </w:r>
      <w:r>
        <w:rPr>
          <w:rFonts w:ascii="Book Antiqua" w:hAnsi="Book Antiqua" w:eastAsia="Book Antiqua" w:cs="Book Antiqua"/>
          <w:color w:val="000000"/>
        </w:rPr>
        <w:t>, all had positive ACA and a later presentation of AIH, 9 with limited cutaneous subtype and 3 with AIH-PBC overlap. Despite a risk of scleroderma renal crisis under the higher dosages of CS use, there were normalized or improved LFT without the occurrence of scleroderma renal crisis in overlap patients receiving such a treatment</w:t>
      </w:r>
      <w:r>
        <w:rPr>
          <w:rFonts w:ascii="Book Antiqua" w:hAnsi="Book Antiqua" w:eastAsia="Book Antiqua" w:cs="Book Antiqua"/>
          <w:color w:val="000000"/>
          <w:szCs w:val="30"/>
          <w:vertAlign w:val="superscript"/>
        </w:rPr>
        <w:t>[116]</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Overlap condition with large- or small-duct PSC has been observed in patients with SSc</w:t>
      </w:r>
      <w:r>
        <w:rPr>
          <w:rFonts w:ascii="Book Antiqua" w:hAnsi="Book Antiqua" w:eastAsia="Book Antiqua" w:cs="Book Antiqua"/>
          <w:color w:val="000000"/>
          <w:szCs w:val="30"/>
          <w:vertAlign w:val="superscript"/>
        </w:rPr>
        <w:t>[118,119]</w:t>
      </w:r>
      <w:r>
        <w:rPr>
          <w:rFonts w:ascii="Book Antiqua" w:hAnsi="Book Antiqua" w:eastAsia="Book Antiqua" w:cs="Book Antiqua"/>
          <w:color w:val="000000"/>
        </w:rPr>
        <w:t>, suggesting that the extensive disturbance of connective tissues in SSc can lead to abnormal collagen deposition in the bile duct epithelium of PSC</w:t>
      </w:r>
      <w:r>
        <w:rPr>
          <w:rFonts w:ascii="Book Antiqua" w:hAnsi="Book Antiqua" w:eastAsia="Book Antiqua" w:cs="Book Antiqua"/>
          <w:color w:val="000000"/>
          <w:szCs w:val="30"/>
          <w:vertAlign w:val="superscript"/>
        </w:rPr>
        <w:t>[120]</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bCs/>
          <w:caps/>
          <w:color w:val="000000"/>
          <w:u w:val="single"/>
        </w:rPr>
        <w:t>RA</w:t>
      </w:r>
    </w:p>
    <w:p>
      <w:pPr>
        <w:spacing w:line="360" w:lineRule="auto"/>
        <w:jc w:val="both"/>
      </w:pPr>
      <w:r>
        <w:rPr>
          <w:rFonts w:ascii="Book Antiqua" w:hAnsi="Book Antiqua" w:eastAsia="Book Antiqua" w:cs="Book Antiqua"/>
          <w:color w:val="000000"/>
        </w:rPr>
        <w:t>RA is a common SRD primarily affecting the joints and causing cartilage and bone damage, with extra-articular presentations and the presence of rheumatoid factor (commonly referred to as RF) and anti-cyclic citrullinated peptide (commonly referred to as CCP) autoantibodies</w:t>
      </w:r>
      <w:r>
        <w:rPr>
          <w:rFonts w:ascii="Book Antiqua" w:hAnsi="Book Antiqua" w:eastAsia="Book Antiqua" w:cs="Book Antiqua"/>
          <w:color w:val="000000"/>
          <w:szCs w:val="30"/>
          <w:vertAlign w:val="superscript"/>
        </w:rPr>
        <w:t>[121]</w:t>
      </w:r>
      <w:r>
        <w:rPr>
          <w:rFonts w:ascii="Book Antiqua" w:hAnsi="Book Antiqua" w:eastAsia="Book Antiqua" w:cs="Book Antiqua"/>
          <w:color w:val="000000"/>
        </w:rPr>
        <w:t>. Among patients with chronic inflammatory joint diseases, liver involvement has been recognized in RA, despite not showing a significant extra-articular manifestation</w:t>
      </w:r>
      <w:r>
        <w:rPr>
          <w:rFonts w:ascii="Book Antiqua" w:hAnsi="Book Antiqua" w:eastAsia="Book Antiqua" w:cs="Book Antiqua"/>
          <w:color w:val="000000"/>
          <w:szCs w:val="30"/>
          <w:vertAlign w:val="superscript"/>
        </w:rPr>
        <w:t>[122]</w:t>
      </w:r>
      <w:r>
        <w:rPr>
          <w:rFonts w:ascii="Book Antiqua" w:hAnsi="Book Antiqua" w:eastAsia="Book Antiqua" w:cs="Book Antiqua"/>
          <w:color w:val="000000"/>
        </w:rPr>
        <w:t>. Elevated liver enzymes have been identified in up to 50% of patients with RA</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DILI is not uncommonly observed in RA, especially under the treatment of NSAIDs and SDMARDs including leflunomide, methotrexate, penicillamine and sulfasalazine, all with potential hepatotoxicity</w:t>
      </w:r>
      <w:r>
        <w:rPr>
          <w:rFonts w:ascii="Book Antiqua" w:hAnsi="Book Antiqua" w:eastAsia="Book Antiqua" w:cs="Book Antiqua"/>
          <w:color w:val="000000"/>
          <w:szCs w:val="30"/>
          <w:vertAlign w:val="superscript"/>
        </w:rPr>
        <w:t>[2,7,123]</w:t>
      </w:r>
      <w:r>
        <w:rPr>
          <w:rFonts w:ascii="Book Antiqua" w:hAnsi="Book Antiqua" w:eastAsia="Book Antiqua" w:cs="Book Antiqua"/>
          <w:color w:val="000000"/>
        </w:rPr>
        <w:t>. Patients are at the hazard of developing NAFLD with the risk factors of chronic inflammation and CS use</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Prior to the widespread use of methotrexate in RA, the hepatic histopathological findings at autopsy were most commonly mild portal tract inflammation, rarely diffuse fibrosis of advanced grades</w:t>
      </w:r>
      <w:r>
        <w:rPr>
          <w:rFonts w:ascii="Book Antiqua" w:hAnsi="Book Antiqua" w:eastAsia="Book Antiqua" w:cs="Book Antiqua"/>
          <w:color w:val="000000"/>
          <w:szCs w:val="30"/>
          <w:vertAlign w:val="superscript"/>
        </w:rPr>
        <w:t>[124]</w:t>
      </w:r>
      <w:r>
        <w:rPr>
          <w:rFonts w:ascii="Book Antiqua" w:hAnsi="Book Antiqua" w:eastAsia="Book Antiqua" w:cs="Book Antiqua"/>
          <w:color w:val="000000"/>
        </w:rPr>
        <w:t>. Two rare extra-articular manifestations, rheumatoid vasculitis and Felty syndrome, have been reported to cause necrotizing hepatic arteritis with liver rupture and NRH with portal hypertension, respectively</w:t>
      </w:r>
      <w:r>
        <w:rPr>
          <w:rFonts w:ascii="Book Antiqua" w:hAnsi="Book Antiqua" w:eastAsia="Book Antiqua" w:cs="Book Antiqua"/>
          <w:color w:val="000000"/>
          <w:szCs w:val="30"/>
          <w:vertAlign w:val="superscript"/>
        </w:rPr>
        <w:t>[125,126]</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There were no differences in the prevalence of HBV and HCV infection in RA as compared with the general population</w:t>
      </w:r>
      <w:r>
        <w:rPr>
          <w:rFonts w:ascii="Book Antiqua" w:hAnsi="Book Antiqua" w:eastAsia="Book Antiqua" w:cs="Book Antiqua"/>
          <w:color w:val="000000"/>
          <w:szCs w:val="30"/>
          <w:vertAlign w:val="superscript"/>
        </w:rPr>
        <w:t>[127]</w:t>
      </w:r>
      <w:r>
        <w:rPr>
          <w:rFonts w:ascii="Book Antiqua" w:hAnsi="Book Antiqua" w:eastAsia="Book Antiqua" w:cs="Book Antiqua"/>
          <w:color w:val="000000"/>
        </w:rPr>
        <w:t>. Nevertheless, immunosuppressive therapy for RA may significantly worsen underlying VH, and further affect the clinical course and disease prognosis, requiring the survey of viral markers and their antibodies before its initiation</w:t>
      </w:r>
      <w:r>
        <w:rPr>
          <w:rFonts w:ascii="Book Antiqua" w:hAnsi="Book Antiqua" w:eastAsia="Book Antiqua" w:cs="Book Antiqua"/>
          <w:color w:val="000000"/>
          <w:szCs w:val="30"/>
          <w:vertAlign w:val="superscript"/>
        </w:rPr>
        <w:t>[123]</w:t>
      </w:r>
      <w:r>
        <w:rPr>
          <w:rFonts w:ascii="Book Antiqua" w:hAnsi="Book Antiqua" w:eastAsia="Book Antiqua" w:cs="Book Antiqua"/>
          <w:color w:val="000000"/>
        </w:rPr>
        <w:t>. Since the use of tumor necrosis factor (TNF) blockades in RA can cause inactive HBV reactivation</w:t>
      </w:r>
      <w:r>
        <w:rPr>
          <w:rFonts w:ascii="Book Antiqua" w:hAnsi="Book Antiqua" w:eastAsia="Book Antiqua" w:cs="Book Antiqua"/>
          <w:color w:val="000000"/>
          <w:szCs w:val="30"/>
          <w:vertAlign w:val="superscript"/>
        </w:rPr>
        <w:t>[7,128]</w:t>
      </w:r>
      <w:r>
        <w:rPr>
          <w:rFonts w:ascii="Book Antiqua" w:hAnsi="Book Antiqua" w:eastAsia="Book Antiqua" w:cs="Book Antiqua"/>
          <w:color w:val="000000"/>
        </w:rPr>
        <w:t>, HBsAg-positive individuals should receive anti-viral prophylactic treatment</w:t>
      </w:r>
      <w:r>
        <w:rPr>
          <w:rFonts w:ascii="Book Antiqua" w:hAnsi="Book Antiqua" w:eastAsia="Book Antiqua" w:cs="Book Antiqua"/>
          <w:color w:val="000000"/>
          <w:szCs w:val="30"/>
          <w:vertAlign w:val="superscript"/>
        </w:rPr>
        <w:t>[129]</w:t>
      </w:r>
      <w:r>
        <w:rPr>
          <w:rFonts w:ascii="Book Antiqua" w:hAnsi="Book Antiqua" w:eastAsia="Book Antiqua" w:cs="Book Antiqua"/>
          <w:color w:val="000000"/>
        </w:rPr>
        <w:t>. Although the TNF pathway is involved in perpetuation of hepatic inflammation and fibrosis progression in HCV infection</w:t>
      </w:r>
      <w:r>
        <w:rPr>
          <w:rFonts w:ascii="Book Antiqua" w:hAnsi="Book Antiqua" w:eastAsia="Book Antiqua" w:cs="Book Antiqua"/>
          <w:color w:val="000000"/>
          <w:szCs w:val="30"/>
          <w:vertAlign w:val="superscript"/>
        </w:rPr>
        <w:t>[130]</w:t>
      </w:r>
      <w:r>
        <w:rPr>
          <w:rFonts w:ascii="Book Antiqua" w:hAnsi="Book Antiqua" w:eastAsia="Book Antiqua" w:cs="Book Antiqua"/>
          <w:color w:val="000000"/>
        </w:rPr>
        <w:t>, further studies are needed to verify the safety of anti-TNF therapy in HCV-infected patients</w:t>
      </w:r>
      <w:r>
        <w:rPr>
          <w:rFonts w:ascii="Book Antiqua" w:hAnsi="Book Antiqua" w:eastAsia="Book Antiqua" w:cs="Book Antiqua"/>
          <w:color w:val="000000"/>
          <w:szCs w:val="30"/>
          <w:vertAlign w:val="superscript"/>
        </w:rPr>
        <w:t>[131]</w:t>
      </w:r>
      <w:r>
        <w:rPr>
          <w:rFonts w:ascii="Book Antiqua" w:hAnsi="Book Antiqua" w:eastAsia="Book Antiqua" w:cs="Book Antiqua"/>
          <w:color w:val="000000"/>
        </w:rPr>
        <w:t>. Notably, the use of TNF antagonists has been reported to be associated with the development of AIH in RA</w:t>
      </w:r>
      <w:r>
        <w:rPr>
          <w:rFonts w:ascii="Book Antiqua" w:hAnsi="Book Antiqua" w:eastAsia="Book Antiqua" w:cs="Book Antiqua"/>
          <w:color w:val="000000"/>
          <w:szCs w:val="30"/>
          <w:vertAlign w:val="superscript"/>
        </w:rPr>
        <w:t>[7,132]</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The most common coexisting AILDs in RA is PBC with a prevalence of 3.8% to 6.3%</w:t>
      </w:r>
      <w:r>
        <w:rPr>
          <w:rFonts w:ascii="Book Antiqua" w:hAnsi="Book Antiqua" w:eastAsia="Book Antiqua" w:cs="Book Antiqua"/>
          <w:color w:val="000000"/>
          <w:szCs w:val="30"/>
          <w:vertAlign w:val="superscript"/>
        </w:rPr>
        <w:t>[53,97,123]</w:t>
      </w:r>
      <w:r>
        <w:rPr>
          <w:rFonts w:ascii="Book Antiqua" w:hAnsi="Book Antiqua" w:eastAsia="Book Antiqua" w:cs="Book Antiqua"/>
          <w:color w:val="000000"/>
        </w:rPr>
        <w:t>, while the occurrence of RA in PBC has been reported to be 1.8% to 13%</w:t>
      </w:r>
      <w:r>
        <w:rPr>
          <w:rFonts w:ascii="Book Antiqua" w:hAnsi="Book Antiqua" w:eastAsia="Book Antiqua" w:cs="Book Antiqua"/>
          <w:color w:val="000000"/>
          <w:szCs w:val="30"/>
          <w:vertAlign w:val="superscript"/>
        </w:rPr>
        <w:t>[90-94]</w:t>
      </w:r>
      <w:r>
        <w:rPr>
          <w:rFonts w:ascii="Book Antiqua" w:hAnsi="Book Antiqua" w:eastAsia="Book Antiqua" w:cs="Book Antiqua"/>
          <w:color w:val="000000"/>
        </w:rPr>
        <w:t>. Around 50% of patients with PBC were shown to be positive for RF</w:t>
      </w:r>
      <w:r>
        <w:rPr>
          <w:rFonts w:ascii="Book Antiqua" w:hAnsi="Book Antiqua" w:eastAsia="Book Antiqua" w:cs="Book Antiqua"/>
          <w:color w:val="000000"/>
          <w:szCs w:val="30"/>
          <w:vertAlign w:val="superscript"/>
        </w:rPr>
        <w:t>[133]</w:t>
      </w:r>
      <w:r>
        <w:rPr>
          <w:rFonts w:ascii="Book Antiqua" w:hAnsi="Book Antiqua" w:eastAsia="Book Antiqua" w:cs="Book Antiqua"/>
          <w:color w:val="000000"/>
        </w:rPr>
        <w:t>. Since RA is usually diagnosed before PBC in patients with the overlap disease, AMA should be screened in RA with elevated cholestatic liver enzymes</w:t>
      </w:r>
      <w:r>
        <w:rPr>
          <w:rFonts w:ascii="Book Antiqua" w:hAnsi="Book Antiqua" w:eastAsia="Book Antiqua" w:cs="Book Antiqua"/>
          <w:color w:val="000000"/>
          <w:szCs w:val="30"/>
          <w:vertAlign w:val="superscript"/>
        </w:rPr>
        <w:t>[134]</w:t>
      </w:r>
      <w:r>
        <w:rPr>
          <w:rFonts w:ascii="Book Antiqua" w:hAnsi="Book Antiqua" w:eastAsia="Book Antiqua" w:cs="Book Antiqua"/>
          <w:color w:val="000000"/>
        </w:rPr>
        <w:t>. Genetic studies have shown that RA has HLA-DQB1, STAT4, IRF5, MMEL1 and CTLA4 genes in common with PBC, predisposing to develop PBC in RA with the overlapping genetic trait</w:t>
      </w:r>
      <w:r>
        <w:rPr>
          <w:rFonts w:ascii="Book Antiqua" w:hAnsi="Book Antiqua" w:eastAsia="Book Antiqua" w:cs="Book Antiqua"/>
          <w:color w:val="000000"/>
          <w:szCs w:val="30"/>
          <w:vertAlign w:val="superscript"/>
        </w:rPr>
        <w:t>[135]</w:t>
      </w:r>
      <w:r>
        <w:rPr>
          <w:rFonts w:ascii="Book Antiqua" w:hAnsi="Book Antiqua" w:eastAsia="Book Antiqua" w:cs="Book Antiqua"/>
          <w:color w:val="000000"/>
        </w:rPr>
        <w:t>. Potentially hepatotoxic drugs used in RA can be avoided in patients with RA-PBC overlap disease</w:t>
      </w:r>
      <w:r>
        <w:rPr>
          <w:rFonts w:ascii="Book Antiqua" w:hAnsi="Book Antiqua" w:eastAsia="Book Antiqua" w:cs="Book Antiqua"/>
          <w:color w:val="000000"/>
          <w:szCs w:val="30"/>
          <w:vertAlign w:val="superscript"/>
        </w:rPr>
        <w:t>[123]</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AIH is rarely observed in RA with a 1.3% prevalence reported from patients with liver dysfunction</w:t>
      </w:r>
      <w:r>
        <w:rPr>
          <w:rFonts w:ascii="Book Antiqua" w:hAnsi="Book Antiqua" w:eastAsia="Book Antiqua" w:cs="Book Antiqua"/>
          <w:color w:val="000000"/>
          <w:szCs w:val="30"/>
          <w:vertAlign w:val="superscript"/>
        </w:rPr>
        <w:t>[97]</w:t>
      </w:r>
      <w:r>
        <w:rPr>
          <w:rFonts w:ascii="Book Antiqua" w:hAnsi="Book Antiqua" w:eastAsia="Book Antiqua" w:cs="Book Antiqua"/>
          <w:color w:val="000000"/>
        </w:rPr>
        <w:t>. Furthermore, in patients with AIH, there is a 1.6% to 5.4% prevalence of RA</w:t>
      </w:r>
      <w:r>
        <w:rPr>
          <w:rFonts w:ascii="Book Antiqua" w:hAnsi="Book Antiqua" w:eastAsia="Book Antiqua" w:cs="Book Antiqua"/>
          <w:color w:val="000000"/>
          <w:szCs w:val="30"/>
          <w:vertAlign w:val="superscript"/>
        </w:rPr>
        <w:t>[98,100-102]</w:t>
      </w:r>
      <w:r>
        <w:rPr>
          <w:rFonts w:ascii="Book Antiqua" w:hAnsi="Book Antiqua" w:eastAsia="Book Antiqua" w:cs="Book Antiqua"/>
          <w:color w:val="000000"/>
        </w:rPr>
        <w:t>. AIH can be diagnosed during the RA progression as acute or chronic hepatitis, but rarely fulminant hepatic failure</w:t>
      </w:r>
      <w:r>
        <w:rPr>
          <w:rFonts w:ascii="Book Antiqua" w:hAnsi="Book Antiqua" w:eastAsia="Book Antiqua" w:cs="Book Antiqua"/>
          <w:color w:val="000000"/>
          <w:szCs w:val="30"/>
          <w:vertAlign w:val="superscript"/>
        </w:rPr>
        <w:t>[123]</w:t>
      </w:r>
      <w:r>
        <w:rPr>
          <w:rFonts w:ascii="Book Antiqua" w:hAnsi="Book Antiqua" w:eastAsia="Book Antiqua" w:cs="Book Antiqua"/>
          <w:color w:val="000000"/>
        </w:rPr>
        <w:t>. In addition, in patients with AIH-PBC overlap disease, RA is accounting for an occurrence of 4.2%</w:t>
      </w:r>
      <w:r>
        <w:rPr>
          <w:rFonts w:ascii="Book Antiqua" w:hAnsi="Book Antiqua" w:eastAsia="Book Antiqua" w:cs="Book Antiqua"/>
          <w:color w:val="000000"/>
          <w:szCs w:val="30"/>
          <w:vertAlign w:val="superscript"/>
        </w:rPr>
        <w:t>[71]</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High circulating levels of TNF were found in AIH, while a TNF antagonist etanercept has been demonstrated to improve the AIH histological lesions in RA</w:t>
      </w:r>
      <w:r>
        <w:rPr>
          <w:rFonts w:ascii="Book Antiqua" w:hAnsi="Book Antiqua" w:eastAsia="Book Antiqua" w:cs="Book Antiqua"/>
          <w:color w:val="000000"/>
          <w:szCs w:val="30"/>
          <w:vertAlign w:val="superscript"/>
        </w:rPr>
        <w:t>[136]</w:t>
      </w:r>
      <w:r>
        <w:rPr>
          <w:rFonts w:ascii="Book Antiqua" w:hAnsi="Book Antiqua" w:eastAsia="Book Antiqua" w:cs="Book Antiqua"/>
          <w:color w:val="000000"/>
        </w:rPr>
        <w:t>. Nevertheless, anti-TNF therapy can induce the production of autoantibodies, including ANA and ASMA, leading to the development of distinct autoimmune diseases</w:t>
      </w:r>
      <w:r>
        <w:rPr>
          <w:rFonts w:ascii="Book Antiqua" w:hAnsi="Book Antiqua" w:eastAsia="Book Antiqua" w:cs="Book Antiqua"/>
          <w:color w:val="000000"/>
          <w:szCs w:val="30"/>
          <w:vertAlign w:val="superscript"/>
        </w:rPr>
        <w:t>[137]</w:t>
      </w:r>
      <w:r>
        <w:rPr>
          <w:rFonts w:ascii="Book Antiqua" w:hAnsi="Book Antiqua" w:eastAsia="Book Antiqua" w:cs="Book Antiqua"/>
          <w:color w:val="000000"/>
        </w:rPr>
        <w:t>. Notably, anti-TNF-inhibitor-associated AIH (also known as ATIAIH), a serious idiosyncratic DILI, has been well documented in a large-scale analysis of 389 cases</w:t>
      </w:r>
      <w:r>
        <w:rPr>
          <w:rFonts w:ascii="Book Antiqua" w:hAnsi="Book Antiqua" w:eastAsia="Book Antiqua" w:cs="Book Antiqua"/>
          <w:color w:val="000000"/>
          <w:szCs w:val="30"/>
          <w:vertAlign w:val="superscript"/>
        </w:rPr>
        <w:t>[138]</w:t>
      </w:r>
      <w:r>
        <w:rPr>
          <w:rFonts w:ascii="Book Antiqua" w:hAnsi="Book Antiqua" w:eastAsia="Book Antiqua" w:cs="Book Antiqua"/>
          <w:color w:val="000000"/>
        </w:rPr>
        <w:t xml:space="preserve">. ATIAIH has a female predominance, a period of 3-14 mo between starting therapy and AIH occurrence, and improvement upon medication stoppage and CS use. Infliximab is the most frequently administrated medication, and RA is the most commonly reported indication. </w:t>
      </w:r>
    </w:p>
    <w:p>
      <w:pPr>
        <w:spacing w:line="360" w:lineRule="auto"/>
        <w:ind w:firstLine="240" w:firstLineChars="100"/>
        <w:jc w:val="both"/>
      </w:pPr>
      <w:r>
        <w:rPr>
          <w:rFonts w:ascii="Book Antiqua" w:hAnsi="Book Antiqua" w:eastAsia="Book Antiqua" w:cs="Book Antiqua"/>
          <w:color w:val="000000"/>
        </w:rPr>
        <w:t>There was a 1.2% and a 3.4% prevalence of RA in two large-scale PSC cohorts</w:t>
      </w:r>
      <w:r>
        <w:rPr>
          <w:rFonts w:ascii="Book Antiqua" w:hAnsi="Book Antiqua" w:eastAsia="Book Antiqua" w:cs="Book Antiqua"/>
          <w:color w:val="000000"/>
          <w:szCs w:val="30"/>
          <w:vertAlign w:val="superscript"/>
        </w:rPr>
        <w:t>[81,139]</w:t>
      </w:r>
      <w:r>
        <w:rPr>
          <w:rFonts w:ascii="Book Antiqua" w:hAnsi="Book Antiqua" w:eastAsia="Book Antiqua" w:cs="Book Antiqua"/>
          <w:color w:val="000000"/>
        </w:rPr>
        <w:t>. In patients with RA-PSC overlap disease, the presence of HLA-DR4 has been reported to have unusual progression to cirrhosis, 14-48 mo after the diagnosis of PSC</w:t>
      </w:r>
      <w:r>
        <w:rPr>
          <w:rFonts w:ascii="Book Antiqua" w:hAnsi="Book Antiqua" w:eastAsia="Book Antiqua" w:cs="Book Antiqua"/>
          <w:color w:val="000000"/>
          <w:szCs w:val="30"/>
          <w:vertAlign w:val="superscript"/>
        </w:rPr>
        <w:t>[140]</w:t>
      </w:r>
      <w:r>
        <w:rPr>
          <w:rFonts w:ascii="Book Antiqua" w:hAnsi="Book Antiqua" w:eastAsia="Book Antiqua" w:cs="Book Antiqua"/>
          <w:color w:val="000000"/>
        </w:rPr>
        <w:t xml:space="preserve">, implicating a clinical marker at a high risk of cirrhosis development. </w:t>
      </w:r>
    </w:p>
    <w:p>
      <w:pPr>
        <w:spacing w:line="360" w:lineRule="auto"/>
        <w:ind w:firstLine="240" w:firstLineChars="100"/>
        <w:jc w:val="both"/>
      </w:pPr>
      <w:r>
        <w:rPr>
          <w:rFonts w:ascii="Book Antiqua" w:hAnsi="Book Antiqua" w:eastAsia="Book Antiqua" w:cs="Book Antiqua"/>
          <w:color w:val="000000"/>
        </w:rPr>
        <w:t>Psoriatic arthritis (PsA) is a less common SRD with psoriasis (PsO) and inflammatory arthritis, associating with extra-articular manifestations which have an impact on their therapeutic regimens</w:t>
      </w:r>
      <w:r>
        <w:rPr>
          <w:rFonts w:ascii="Book Antiqua" w:hAnsi="Book Antiqua" w:eastAsia="Book Antiqua" w:cs="Book Antiqua"/>
          <w:color w:val="000000"/>
          <w:szCs w:val="30"/>
          <w:vertAlign w:val="superscript"/>
        </w:rPr>
        <w:t>[141]</w:t>
      </w:r>
      <w:r>
        <w:rPr>
          <w:rFonts w:ascii="Book Antiqua" w:hAnsi="Book Antiqua" w:eastAsia="Book Antiqua" w:cs="Book Antiqua"/>
          <w:color w:val="000000"/>
        </w:rPr>
        <w:t>. Similar to RA, liver enzyme abnormalities in PsA and PsO can be caused by comorbid NAFLD and used medications including NSAIDs and conventional or biologic/targeted SDMARDs. Despite an increased association of AIH in PsA and PsO</w:t>
      </w:r>
      <w:r>
        <w:rPr>
          <w:rFonts w:ascii="Book Antiqua" w:hAnsi="Book Antiqua" w:eastAsia="Book Antiqua" w:cs="Book Antiqua"/>
          <w:color w:val="000000"/>
          <w:szCs w:val="30"/>
          <w:vertAlign w:val="superscript"/>
        </w:rPr>
        <w:t>[142]</w:t>
      </w:r>
      <w:r>
        <w:rPr>
          <w:rFonts w:ascii="Book Antiqua" w:hAnsi="Book Antiqua" w:eastAsia="Book Antiqua" w:cs="Book Antiqua"/>
          <w:color w:val="000000"/>
        </w:rPr>
        <w:t>, these patients might be under anti-TNF therapy, and both diseases are commonly observed complications in ATIAIH</w:t>
      </w:r>
      <w:r>
        <w:rPr>
          <w:rFonts w:ascii="Book Antiqua" w:hAnsi="Book Antiqua" w:eastAsia="Book Antiqua" w:cs="Book Antiqua"/>
          <w:color w:val="000000"/>
          <w:szCs w:val="30"/>
          <w:vertAlign w:val="superscript"/>
        </w:rPr>
        <w:t>[138]</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bCs/>
          <w:caps/>
          <w:color w:val="000000"/>
          <w:u w:val="single"/>
        </w:rPr>
        <w:t>IIM</w:t>
      </w:r>
    </w:p>
    <w:p>
      <w:pPr>
        <w:spacing w:line="360" w:lineRule="auto"/>
        <w:jc w:val="both"/>
      </w:pPr>
      <w:r>
        <w:rPr>
          <w:rFonts w:ascii="Book Antiqua" w:hAnsi="Book Antiqua" w:eastAsia="Book Antiqua" w:cs="Book Antiqua"/>
          <w:color w:val="000000"/>
        </w:rPr>
        <w:t>IIM including polymyositis (PM) and dermatomyositis (DM), an uncommon group of SRDs with the presence of myositis-specific/associated antibodies, have weakness due to skeletal muscle inflammation and extra-muscular involvement</w:t>
      </w:r>
      <w:r>
        <w:rPr>
          <w:rFonts w:ascii="Book Antiqua" w:hAnsi="Book Antiqua" w:eastAsia="Book Antiqua" w:cs="Book Antiqua"/>
          <w:color w:val="000000"/>
          <w:szCs w:val="30"/>
          <w:vertAlign w:val="superscript"/>
        </w:rPr>
        <w:t>[143]</w:t>
      </w:r>
      <w:r>
        <w:rPr>
          <w:rFonts w:ascii="Book Antiqua" w:hAnsi="Book Antiqua" w:eastAsia="Book Antiqua" w:cs="Book Antiqua"/>
          <w:color w:val="000000"/>
        </w:rPr>
        <w:t>. Since transaminases are also muscle-derived enzymes with increased levels during IIM disease activity, an increase of aspartate aminotransferase and alanine aminotransferase more than creatine kinase or an alteration of cholestatic enzymes should consider a possibility of hepatic dysfunction</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During the first 3 years to 5 years after the onset of DM, the risk of cancer is increased, rarely hepatocellular carcinoma. Since DM can be associated with malignancy as a paraneoplastic syndrome</w:t>
      </w:r>
      <w:r>
        <w:rPr>
          <w:rFonts w:ascii="Book Antiqua" w:hAnsi="Book Antiqua" w:eastAsia="Book Antiqua" w:cs="Book Antiqua"/>
          <w:color w:val="000000"/>
          <w:szCs w:val="30"/>
          <w:vertAlign w:val="superscript"/>
        </w:rPr>
        <w:t>[144]</w:t>
      </w:r>
      <w:r>
        <w:rPr>
          <w:rFonts w:ascii="Book Antiqua" w:hAnsi="Book Antiqua" w:eastAsia="Book Antiqua" w:cs="Book Antiqua"/>
          <w:color w:val="000000"/>
        </w:rPr>
        <w:t>, sporadic cases had HBV-associated hepatocellular carcinoma with a concurrent or later diagnosis of DM</w:t>
      </w:r>
      <w:r>
        <w:rPr>
          <w:rFonts w:ascii="Book Antiqua" w:hAnsi="Book Antiqua" w:eastAsia="Book Antiqua" w:cs="Book Antiqua"/>
          <w:color w:val="000000"/>
          <w:szCs w:val="30"/>
          <w:vertAlign w:val="superscript"/>
        </w:rPr>
        <w:t>[145,146]</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Although IIM usually occur alone, these SRDs may associate with other extra-muscular autoimmune diseases including AILDs, more frequently in patients with PM than DM</w:t>
      </w:r>
      <w:r>
        <w:rPr>
          <w:rFonts w:ascii="Book Antiqua" w:hAnsi="Book Antiqua" w:eastAsia="Book Antiqua" w:cs="Book Antiqua"/>
          <w:color w:val="000000"/>
          <w:szCs w:val="30"/>
          <w:vertAlign w:val="superscript"/>
        </w:rPr>
        <w:t>[147]</w:t>
      </w:r>
      <w:r>
        <w:rPr>
          <w:rFonts w:ascii="Book Antiqua" w:hAnsi="Book Antiqua" w:eastAsia="Book Antiqua" w:cs="Book Antiqua"/>
          <w:color w:val="000000"/>
        </w:rPr>
        <w:t>. Positive AMA could be identified in 2.5% of patients with IIM</w:t>
      </w:r>
      <w:r>
        <w:rPr>
          <w:rFonts w:ascii="Book Antiqua" w:hAnsi="Book Antiqua" w:eastAsia="Book Antiqua" w:cs="Book Antiqua"/>
          <w:color w:val="000000"/>
          <w:szCs w:val="30"/>
          <w:vertAlign w:val="superscript"/>
        </w:rPr>
        <w:t>[148]</w:t>
      </w:r>
      <w:r>
        <w:rPr>
          <w:rFonts w:ascii="Book Antiqua" w:hAnsi="Book Antiqua" w:eastAsia="Book Antiqua" w:cs="Book Antiqua"/>
          <w:color w:val="000000"/>
        </w:rPr>
        <w:t>, and there were sibling cases of familial clustering with PBC-PM overlap disease</w:t>
      </w:r>
      <w:r>
        <w:rPr>
          <w:rFonts w:ascii="Book Antiqua" w:hAnsi="Book Antiqua" w:eastAsia="Book Antiqua" w:cs="Book Antiqua"/>
          <w:color w:val="000000"/>
          <w:szCs w:val="30"/>
          <w:vertAlign w:val="superscript"/>
        </w:rPr>
        <w:t>[149]</w:t>
      </w:r>
      <w:r>
        <w:rPr>
          <w:rFonts w:ascii="Book Antiqua" w:hAnsi="Book Antiqua" w:eastAsia="Book Antiqua" w:cs="Book Antiqua"/>
          <w:color w:val="000000"/>
        </w:rPr>
        <w:t>. PBC can be identified in IIM with a prevalence of 0.7%</w:t>
      </w:r>
      <w:r>
        <w:rPr>
          <w:rFonts w:ascii="Book Antiqua" w:hAnsi="Book Antiqua" w:eastAsia="Book Antiqua" w:cs="Book Antiqua"/>
          <w:color w:val="000000"/>
          <w:szCs w:val="30"/>
          <w:vertAlign w:val="superscript"/>
        </w:rPr>
        <w:t>[148]</w:t>
      </w:r>
      <w:r>
        <w:rPr>
          <w:rFonts w:ascii="Book Antiqua" w:hAnsi="Book Antiqua" w:eastAsia="Book Antiqua" w:cs="Book Antiqua"/>
          <w:color w:val="000000"/>
        </w:rPr>
        <w:t>, while the occurrence of PM in PBC ranges from 0.6% to 3.1%</w:t>
      </w:r>
      <w:r>
        <w:rPr>
          <w:rFonts w:ascii="Book Antiqua" w:hAnsi="Book Antiqua" w:eastAsia="Book Antiqua" w:cs="Book Antiqua"/>
          <w:color w:val="000000"/>
          <w:szCs w:val="30"/>
          <w:vertAlign w:val="superscript"/>
        </w:rPr>
        <w:t>[90,92,93]</w:t>
      </w:r>
      <w:r>
        <w:rPr>
          <w:rFonts w:ascii="Book Antiqua" w:hAnsi="Book Antiqua" w:eastAsia="Book Antiqua" w:cs="Book Antiqua"/>
          <w:color w:val="000000"/>
        </w:rPr>
        <w:t>. There are sporadic cases with PM coexisting with AIH, AIH-PBC overlap disease or PSC</w:t>
      </w:r>
      <w:r>
        <w:rPr>
          <w:rFonts w:ascii="Book Antiqua" w:hAnsi="Book Antiqua" w:eastAsia="Book Antiqua" w:cs="Book Antiqua"/>
          <w:color w:val="000000"/>
          <w:szCs w:val="30"/>
          <w:vertAlign w:val="superscript"/>
        </w:rPr>
        <w:t>[150-152]</w:t>
      </w:r>
      <w:r>
        <w:rPr>
          <w:rFonts w:ascii="Book Antiqua" w:hAnsi="Book Antiqua" w:eastAsia="Book Antiqua" w:cs="Book Antiqua"/>
          <w:color w:val="000000"/>
        </w:rPr>
        <w:t xml:space="preserve">. </w:t>
      </w:r>
    </w:p>
    <w:p>
      <w:pPr>
        <w:spacing w:line="360" w:lineRule="auto"/>
        <w:jc w:val="both"/>
      </w:pPr>
    </w:p>
    <w:p>
      <w:pPr>
        <w:spacing w:line="360" w:lineRule="auto"/>
        <w:jc w:val="both"/>
      </w:pPr>
      <w:r>
        <w:rPr>
          <w:rFonts w:ascii="Book Antiqua" w:hAnsi="Book Antiqua" w:eastAsia="Book Antiqua" w:cs="Book Antiqua"/>
          <w:b/>
          <w:bCs/>
          <w:caps/>
          <w:color w:val="000000"/>
          <w:u w:val="single"/>
        </w:rPr>
        <w:t>MCTD</w:t>
      </w:r>
    </w:p>
    <w:p>
      <w:pPr>
        <w:spacing w:line="360" w:lineRule="auto"/>
        <w:jc w:val="both"/>
      </w:pPr>
      <w:r>
        <w:rPr>
          <w:rFonts w:ascii="Book Antiqua" w:hAnsi="Book Antiqua" w:eastAsia="Book Antiqua" w:cs="Book Antiqua"/>
          <w:color w:val="000000"/>
        </w:rPr>
        <w:t>In addition to the presence of anti-U1 small nuclear ribonucleoprotein (known as snRNP) antibody in high titers, MCTD has distinct features including Raynaud's phenomenon and puffy hands as well as mixed findings from PM, SLE and SSc</w:t>
      </w:r>
      <w:r>
        <w:rPr>
          <w:rFonts w:ascii="Book Antiqua" w:hAnsi="Book Antiqua" w:eastAsia="Book Antiqua" w:cs="Book Antiqua"/>
          <w:color w:val="000000"/>
          <w:szCs w:val="30"/>
          <w:vertAlign w:val="superscript"/>
        </w:rPr>
        <w:t>[153]</w:t>
      </w:r>
      <w:r>
        <w:rPr>
          <w:rFonts w:ascii="Book Antiqua" w:hAnsi="Book Antiqua" w:eastAsia="Book Antiqua" w:cs="Book Antiqua"/>
          <w:color w:val="000000"/>
        </w:rPr>
        <w:t>. It is a rare SRD with a strong HLA linkage, distinctly differing from ethnically matched healthy controls and other SRDs. Hepatic dysfunction occurs in MCTD usually caused by DILI and pulmonary hypertension-related liver congestion</w:t>
      </w:r>
      <w:r>
        <w:rPr>
          <w:rFonts w:ascii="Book Antiqua" w:hAnsi="Book Antiqua" w:eastAsia="Book Antiqua" w:cs="Book Antiqua"/>
          <w:color w:val="000000"/>
          <w:szCs w:val="30"/>
          <w:vertAlign w:val="superscript"/>
        </w:rPr>
        <w:t>[97,153]</w:t>
      </w:r>
      <w:r>
        <w:rPr>
          <w:rFonts w:ascii="Book Antiqua" w:hAnsi="Book Antiqua" w:eastAsia="Book Antiqua" w:cs="Book Antiqua"/>
          <w:color w:val="000000"/>
        </w:rPr>
        <w:t>. Coexistent AILDs are rarely observed in patients with MCTD</w:t>
      </w:r>
      <w:r>
        <w:rPr>
          <w:rFonts w:ascii="Book Antiqua" w:hAnsi="Book Antiqua" w:eastAsia="Book Antiqua" w:cs="Book Antiqua"/>
          <w:color w:val="000000"/>
          <w:szCs w:val="30"/>
          <w:vertAlign w:val="superscript"/>
        </w:rPr>
        <w:t>[153]</w:t>
      </w:r>
      <w:r>
        <w:rPr>
          <w:rFonts w:ascii="Book Antiqua" w:hAnsi="Book Antiqua" w:eastAsia="Book Antiqua" w:cs="Book Antiqua"/>
          <w:color w:val="000000"/>
        </w:rPr>
        <w:t>. In addition to published case reports, a 1.6% prevalence of AIH was found in MCTD</w:t>
      </w:r>
      <w:r>
        <w:rPr>
          <w:rFonts w:ascii="Book Antiqua" w:hAnsi="Book Antiqua" w:eastAsia="Book Antiqua" w:cs="Book Antiqua"/>
          <w:color w:val="000000"/>
          <w:szCs w:val="30"/>
          <w:vertAlign w:val="superscript"/>
        </w:rPr>
        <w:t>[154]</w:t>
      </w:r>
      <w:r>
        <w:rPr>
          <w:rFonts w:ascii="Book Antiqua" w:hAnsi="Book Antiqua" w:eastAsia="Book Antiqua" w:cs="Book Antiqua"/>
          <w:color w:val="000000"/>
        </w:rPr>
        <w:t>, while a 0.6% prevalence of MCTD could be identified in PBC</w:t>
      </w:r>
      <w:r>
        <w:rPr>
          <w:rFonts w:ascii="Book Antiqua" w:hAnsi="Book Antiqua" w:eastAsia="Book Antiqua" w:cs="Book Antiqua"/>
          <w:color w:val="000000"/>
          <w:szCs w:val="30"/>
          <w:vertAlign w:val="superscript"/>
        </w:rPr>
        <w:t>[90]</w:t>
      </w:r>
      <w:r>
        <w:rPr>
          <w:rFonts w:ascii="Book Antiqua" w:hAnsi="Book Antiqua" w:eastAsia="Book Antiqua" w:cs="Book Antiqua"/>
          <w:color w:val="000000"/>
        </w:rPr>
        <w:t>. There was no observed association with MCTD in two PSC case series</w:t>
      </w:r>
      <w:r>
        <w:rPr>
          <w:rFonts w:ascii="Book Antiqua" w:hAnsi="Book Antiqua" w:eastAsia="Book Antiqua" w:cs="Book Antiqua"/>
          <w:color w:val="000000"/>
          <w:szCs w:val="30"/>
          <w:vertAlign w:val="superscript"/>
        </w:rPr>
        <w:t>[81,141]</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bCs/>
          <w:caps/>
          <w:color w:val="000000"/>
          <w:u w:val="single"/>
        </w:rPr>
        <w:t>SV</w:t>
      </w:r>
    </w:p>
    <w:p>
      <w:pPr>
        <w:spacing w:line="360" w:lineRule="auto"/>
        <w:jc w:val="both"/>
      </w:pPr>
      <w:r>
        <w:rPr>
          <w:rFonts w:ascii="Book Antiqua" w:hAnsi="Book Antiqua" w:eastAsia="Book Antiqua" w:cs="Book Antiqua"/>
          <w:color w:val="000000"/>
        </w:rPr>
        <w:t>SV is a rare SRD characterized by inflammation of vascular walls, resulting in a broad spectrum of clinical manifestations dependent on the site, type, and size of involved vessels</w:t>
      </w:r>
      <w:r>
        <w:rPr>
          <w:rFonts w:ascii="Book Antiqua" w:hAnsi="Book Antiqua" w:eastAsia="Book Antiqua" w:cs="Book Antiqua"/>
          <w:color w:val="000000"/>
          <w:szCs w:val="30"/>
          <w:vertAlign w:val="superscript"/>
        </w:rPr>
        <w:t>[155]</w:t>
      </w:r>
      <w:r>
        <w:rPr>
          <w:rFonts w:ascii="Book Antiqua" w:hAnsi="Book Antiqua" w:eastAsia="Book Antiqua" w:cs="Book Antiqua"/>
          <w:color w:val="000000"/>
        </w:rPr>
        <w:t>. Although the diagnosis relies on clinical presentations confirmed by histopathological findings, large/medium and small vessel involvement can be supported by angiographical examinations and laboratory tests (</w:t>
      </w:r>
      <w:r>
        <w:rPr>
          <w:rFonts w:ascii="Book Antiqua" w:hAnsi="Book Antiqua" w:eastAsia="Book Antiqua" w:cs="Book Antiqua"/>
          <w:i/>
          <w:iCs/>
          <w:color w:val="000000"/>
        </w:rPr>
        <w:t>e.g</w:t>
      </w:r>
      <w:r>
        <w:rPr>
          <w:rFonts w:ascii="Book Antiqua" w:hAnsi="Book Antiqua" w:eastAsia="Book Antiqua" w:cs="Book Antiqua"/>
          <w:color w:val="000000"/>
        </w:rPr>
        <w:t>., ANCA), respectively</w:t>
      </w:r>
      <w:r>
        <w:rPr>
          <w:rFonts w:ascii="Book Antiqua" w:hAnsi="Book Antiqua" w:eastAsia="Book Antiqua" w:cs="Book Antiqua"/>
          <w:color w:val="000000"/>
          <w:szCs w:val="30"/>
          <w:vertAlign w:val="superscript"/>
        </w:rPr>
        <w:t>[155,156]</w:t>
      </w:r>
      <w:r>
        <w:rPr>
          <w:rFonts w:ascii="Book Antiqua" w:hAnsi="Book Antiqua" w:eastAsia="Book Antiqua" w:cs="Book Antiqua"/>
          <w:color w:val="000000"/>
        </w:rPr>
        <w:t>. Owing to hepatic vascular involvement</w:t>
      </w:r>
      <w:r>
        <w:rPr>
          <w:rFonts w:ascii="Book Antiqua" w:hAnsi="Book Antiqua" w:eastAsia="Book Antiqua" w:cs="Book Antiqua"/>
          <w:color w:val="000000"/>
          <w:szCs w:val="30"/>
          <w:vertAlign w:val="superscript"/>
        </w:rPr>
        <w:t>[2,53]</w:t>
      </w:r>
      <w:r>
        <w:rPr>
          <w:rFonts w:ascii="Book Antiqua" w:hAnsi="Book Antiqua" w:eastAsia="Book Antiqua" w:cs="Book Antiqua"/>
          <w:color w:val="000000"/>
        </w:rPr>
        <w:t>, polyarteritis nodosa (referred to herein as PAN), a medium-vessel SV associated with HBV infection</w:t>
      </w:r>
      <w:r>
        <w:rPr>
          <w:rFonts w:ascii="Book Antiqua" w:hAnsi="Book Antiqua" w:eastAsia="Book Antiqua" w:cs="Book Antiqua"/>
          <w:color w:val="000000"/>
          <w:szCs w:val="30"/>
          <w:vertAlign w:val="superscript"/>
        </w:rPr>
        <w:t>[157]</w:t>
      </w:r>
      <w:r>
        <w:rPr>
          <w:rFonts w:ascii="Book Antiqua" w:hAnsi="Book Antiqua" w:eastAsia="Book Antiqua" w:cs="Book Antiqua"/>
          <w:color w:val="000000"/>
        </w:rPr>
        <w:t>, may have elevated liver enzymes. A 2.2% prevalence of SV has been reported from a large-scale PBC series with 361 cases</w:t>
      </w:r>
      <w:r>
        <w:rPr>
          <w:rFonts w:ascii="Book Antiqua" w:hAnsi="Book Antiqua" w:eastAsia="Book Antiqua" w:cs="Book Antiqua"/>
          <w:color w:val="000000"/>
          <w:szCs w:val="30"/>
          <w:vertAlign w:val="superscript"/>
        </w:rPr>
        <w:t>[94]</w:t>
      </w:r>
      <w:r>
        <w:rPr>
          <w:rFonts w:ascii="Book Antiqua" w:hAnsi="Book Antiqua" w:eastAsia="Book Antiqua" w:cs="Book Antiqua"/>
          <w:color w:val="000000"/>
        </w:rPr>
        <w:t>, while a 1.6% occurrence of SV was identified in a 122-patient AIH series</w:t>
      </w:r>
      <w:r>
        <w:rPr>
          <w:rFonts w:ascii="Book Antiqua" w:hAnsi="Book Antiqua" w:eastAsia="Book Antiqua" w:cs="Book Antiqua"/>
          <w:color w:val="000000"/>
          <w:szCs w:val="30"/>
          <w:vertAlign w:val="superscript"/>
        </w:rPr>
        <w:t>[98]</w:t>
      </w:r>
      <w:r>
        <w:rPr>
          <w:rFonts w:ascii="Book Antiqua" w:hAnsi="Book Antiqua" w:eastAsia="Book Antiqua" w:cs="Book Antiqua"/>
          <w:color w:val="000000"/>
        </w:rPr>
        <w:t>. There were sporadic cases of AIH coexisting with PAN</w:t>
      </w:r>
      <w:r>
        <w:rPr>
          <w:rFonts w:ascii="Book Antiqua" w:hAnsi="Book Antiqua" w:eastAsia="Book Antiqua" w:cs="Book Antiqua"/>
          <w:color w:val="000000"/>
          <w:szCs w:val="30"/>
          <w:vertAlign w:val="superscript"/>
        </w:rPr>
        <w:t>[158]</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Testing for ANCA can support the diagnosis of ANCA-associated vasculitis including eosinophilic granulomatosis with polyangiitis (also referred to as EGPA), granulomatosis with polyangiitis and microscopic polyangiitis (also referred to as MPA) in spite of seropositivity in only one-third of EGPA cases</w:t>
      </w:r>
      <w:r>
        <w:rPr>
          <w:rFonts w:ascii="Book Antiqua" w:hAnsi="Book Antiqua" w:eastAsia="Book Antiqua" w:cs="Book Antiqua"/>
          <w:color w:val="000000"/>
          <w:szCs w:val="30"/>
          <w:vertAlign w:val="superscript"/>
        </w:rPr>
        <w:t>[159]</w:t>
      </w:r>
      <w:r>
        <w:rPr>
          <w:rFonts w:ascii="Book Antiqua" w:hAnsi="Book Antiqua" w:eastAsia="Book Antiqua" w:cs="Book Antiqua"/>
          <w:color w:val="000000"/>
        </w:rPr>
        <w:t>. Notably, ANCA has a diagnostic relevance beyond SV, justifying its occurrence in suspected type I AIH which is lacking conventional autoantibodies</w:t>
      </w:r>
      <w:r>
        <w:rPr>
          <w:rFonts w:ascii="Book Antiqua" w:hAnsi="Book Antiqua" w:eastAsia="Book Antiqua" w:cs="Book Antiqua"/>
          <w:color w:val="000000"/>
          <w:szCs w:val="30"/>
          <w:vertAlign w:val="superscript"/>
        </w:rPr>
        <w:t>[160]</w:t>
      </w:r>
      <w:r>
        <w:rPr>
          <w:rFonts w:ascii="Book Antiqua" w:hAnsi="Book Antiqua" w:eastAsia="Book Antiqua" w:cs="Book Antiqua"/>
          <w:color w:val="000000"/>
        </w:rPr>
        <w:t>. AILDs usually develop atypical perinuclear-ANCA not targeting the classical myeloperoxidase with the positive frequencies highest in patients with PSC</w:t>
      </w:r>
      <w:r>
        <w:rPr>
          <w:rFonts w:ascii="Book Antiqua" w:hAnsi="Book Antiqua" w:eastAsia="Book Antiqua" w:cs="Book Antiqua"/>
          <w:color w:val="000000"/>
          <w:szCs w:val="30"/>
          <w:vertAlign w:val="superscript"/>
        </w:rPr>
        <w:t>[21,156]</w:t>
      </w:r>
      <w:r>
        <w:rPr>
          <w:rFonts w:ascii="Book Antiqua" w:hAnsi="Book Antiqua" w:eastAsia="Book Antiqua" w:cs="Book Antiqua"/>
          <w:color w:val="000000"/>
        </w:rPr>
        <w:t>. There is no clinical nor prognostic value of ANCA testing in patients with AILDs. This atypical autoantibody, referred to as peripheral anti-nuclear neutrophil antibody, can react with beta-tubulin isotype 5 and shares structural homology with the intestinal bacterial protein FtsZ</w:t>
      </w:r>
      <w:r>
        <w:rPr>
          <w:rFonts w:ascii="Book Antiqua" w:hAnsi="Book Antiqua" w:eastAsia="Book Antiqua" w:cs="Book Antiqua"/>
          <w:color w:val="000000"/>
          <w:szCs w:val="30"/>
          <w:vertAlign w:val="superscript"/>
        </w:rPr>
        <w:t>[161]</w:t>
      </w:r>
      <w:r>
        <w:rPr>
          <w:rFonts w:ascii="Book Antiqua" w:hAnsi="Book Antiqua" w:eastAsia="Book Antiqua" w:cs="Book Antiqua"/>
          <w:color w:val="000000"/>
        </w:rPr>
        <w:t>. Nevertheless, it is not specific for AILDs, and it is also present in VH and alcoholic liver disease</w:t>
      </w:r>
      <w:r>
        <w:rPr>
          <w:rFonts w:ascii="Book Antiqua" w:hAnsi="Book Antiqua" w:eastAsia="Book Antiqua" w:cs="Book Antiqua"/>
          <w:color w:val="000000"/>
          <w:szCs w:val="30"/>
          <w:vertAlign w:val="superscript"/>
        </w:rPr>
        <w:t>[162]</w:t>
      </w:r>
      <w:r>
        <w:rPr>
          <w:rFonts w:ascii="Book Antiqua" w:hAnsi="Book Antiqua" w:eastAsia="Book Antiqua" w:cs="Book Antiqua"/>
          <w:color w:val="000000"/>
        </w:rPr>
        <w:t>. Interestingly, ANCA was detected in the bile of PSC patients and correlated with the severity of bile duct stricture</w:t>
      </w:r>
      <w:r>
        <w:rPr>
          <w:rFonts w:ascii="Book Antiqua" w:hAnsi="Book Antiqua" w:eastAsia="Book Antiqua" w:cs="Book Antiqua"/>
          <w:color w:val="000000"/>
          <w:szCs w:val="30"/>
          <w:vertAlign w:val="superscript"/>
        </w:rPr>
        <w:t>[163]</w:t>
      </w:r>
      <w:r>
        <w:rPr>
          <w:rFonts w:ascii="Book Antiqua" w:hAnsi="Book Antiqua" w:eastAsia="Book Antiqua" w:cs="Book Antiqua"/>
          <w:color w:val="000000"/>
        </w:rPr>
        <w:t>. Sixteen cases of ANCA-associated vasculitis-AILD overlap disease have been reported, with twelve involving women, PBC in eleven, and MPA in eight</w:t>
      </w:r>
      <w:r>
        <w:rPr>
          <w:rFonts w:ascii="Book Antiqua" w:hAnsi="Book Antiqua" w:eastAsia="Book Antiqua" w:cs="Book Antiqua"/>
          <w:color w:val="000000"/>
          <w:szCs w:val="30"/>
          <w:vertAlign w:val="superscript"/>
        </w:rPr>
        <w:t>[164-166]</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bCs/>
          <w:caps/>
          <w:color w:val="000000"/>
          <w:u w:val="single"/>
        </w:rPr>
        <w:t>OTHER SRDs</w:t>
      </w:r>
    </w:p>
    <w:p>
      <w:pPr>
        <w:spacing w:line="360" w:lineRule="auto"/>
        <w:jc w:val="both"/>
      </w:pPr>
      <w:r>
        <w:rPr>
          <w:rFonts w:ascii="Book Antiqua" w:hAnsi="Book Antiqua" w:eastAsia="Book Antiqua" w:cs="Book Antiqua"/>
          <w:color w:val="000000"/>
        </w:rPr>
        <w:t>Adult-onset Still’s disease (AOSD) is a rare SRD usually affecting young adults, with spiking fever, polyarthritis, evanescent rash and marked hyperferritinemia as well as uncommon life-threatening macrophage activation syndrome</w:t>
      </w:r>
      <w:r>
        <w:rPr>
          <w:rFonts w:ascii="Book Antiqua" w:hAnsi="Book Antiqua" w:eastAsia="Book Antiqua" w:cs="Book Antiqua"/>
          <w:color w:val="000000"/>
          <w:szCs w:val="30"/>
          <w:vertAlign w:val="superscript"/>
        </w:rPr>
        <w:t>[167]</w:t>
      </w:r>
      <w:r>
        <w:rPr>
          <w:rFonts w:ascii="Book Antiqua" w:hAnsi="Book Antiqua" w:eastAsia="Book Antiqua" w:cs="Book Antiqua"/>
          <w:color w:val="000000"/>
        </w:rPr>
        <w:t>. In medical practice, hyperferritinemia is a non-specific finding related to iron overload in only 10% of cases such as hereditary hemochromatosis, while underlying causes attributing to a reactive increase in the rest 90% patients such as AOSD</w:t>
      </w:r>
      <w:r>
        <w:rPr>
          <w:rFonts w:ascii="Book Antiqua" w:hAnsi="Book Antiqua" w:eastAsia="Book Antiqua" w:cs="Book Antiqua"/>
          <w:color w:val="000000"/>
          <w:szCs w:val="30"/>
          <w:vertAlign w:val="superscript"/>
        </w:rPr>
        <w:t>[168]</w:t>
      </w:r>
      <w:r>
        <w:rPr>
          <w:rFonts w:ascii="Book Antiqua" w:hAnsi="Book Antiqua" w:eastAsia="Book Antiqua" w:cs="Book Antiqua"/>
          <w:color w:val="000000"/>
        </w:rPr>
        <w:t>. Hepatic dysfunction is commonly observed in AOSD, mostly due to the disease itself and without any specific histological finding</w:t>
      </w:r>
      <w:r>
        <w:rPr>
          <w:rFonts w:ascii="Book Antiqua" w:hAnsi="Book Antiqua" w:eastAsia="Book Antiqua" w:cs="Book Antiqua"/>
          <w:color w:val="000000"/>
          <w:szCs w:val="30"/>
          <w:vertAlign w:val="superscript"/>
        </w:rPr>
        <w:t>[97,167]</w:t>
      </w:r>
      <w:r>
        <w:rPr>
          <w:rFonts w:ascii="Book Antiqua" w:hAnsi="Book Antiqua" w:eastAsia="Book Antiqua" w:cs="Book Antiqua"/>
          <w:color w:val="000000"/>
        </w:rPr>
        <w:t>. Coexisting AILDs have rarely been observed, and there are sporadic cases of AIH-AOSD overlap disease</w:t>
      </w:r>
      <w:r>
        <w:rPr>
          <w:rFonts w:ascii="Book Antiqua" w:hAnsi="Book Antiqua" w:eastAsia="Book Antiqua" w:cs="Book Antiqua"/>
          <w:color w:val="000000"/>
          <w:szCs w:val="30"/>
          <w:vertAlign w:val="superscript"/>
        </w:rPr>
        <w:t>[169]</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Behçet’s disease (BD) is a SRD with a variable worldwide prevalence, characterized by vasculitis affecting the small/Large venous and arterial vessels, and presenting with orogenital ulcers, ocular lesions and systemic involvement</w:t>
      </w:r>
      <w:r>
        <w:rPr>
          <w:rFonts w:ascii="Book Antiqua" w:hAnsi="Book Antiqua" w:eastAsia="Book Antiqua" w:cs="Book Antiqua"/>
          <w:color w:val="000000"/>
          <w:szCs w:val="30"/>
          <w:vertAlign w:val="superscript"/>
        </w:rPr>
        <w:t>[170]</w:t>
      </w:r>
      <w:r>
        <w:rPr>
          <w:rFonts w:ascii="Book Antiqua" w:hAnsi="Book Antiqua" w:eastAsia="Book Antiqua" w:cs="Book Antiqua"/>
          <w:color w:val="000000"/>
        </w:rPr>
        <w:t>. The liver is rarely involved, and the commonest hepatic complication is BCS with thrombosis of the inferior vena cava and hepatic vein</w:t>
      </w:r>
      <w:r>
        <w:rPr>
          <w:rFonts w:ascii="Book Antiqua" w:hAnsi="Book Antiqua" w:eastAsia="Book Antiqua" w:cs="Book Antiqua"/>
          <w:color w:val="000000"/>
          <w:szCs w:val="30"/>
          <w:vertAlign w:val="superscript"/>
        </w:rPr>
        <w:t>[171]</w:t>
      </w:r>
      <w:r>
        <w:rPr>
          <w:rFonts w:ascii="Book Antiqua" w:hAnsi="Book Antiqua" w:eastAsia="Book Antiqua" w:cs="Book Antiqua"/>
          <w:color w:val="000000"/>
        </w:rPr>
        <w:t>. Elevated ALP levels of liver origin has been reported in 10% of patients, with a correlation to disease activity</w:t>
      </w:r>
      <w:r>
        <w:rPr>
          <w:rFonts w:ascii="Book Antiqua" w:hAnsi="Book Antiqua" w:eastAsia="Book Antiqua" w:cs="Book Antiqua"/>
          <w:color w:val="000000"/>
          <w:szCs w:val="30"/>
          <w:vertAlign w:val="superscript"/>
        </w:rPr>
        <w:t>[172]</w:t>
      </w:r>
      <w:r>
        <w:rPr>
          <w:rFonts w:ascii="Book Antiqua" w:hAnsi="Book Antiqua" w:eastAsia="Book Antiqua" w:cs="Book Antiqua"/>
          <w:color w:val="000000"/>
        </w:rPr>
        <w:t>. Case reports of Behçet’s disease concomitant with AIH or PBC can be found in the literature</w:t>
      </w:r>
      <w:r>
        <w:rPr>
          <w:rFonts w:ascii="Book Antiqua" w:hAnsi="Book Antiqua" w:eastAsia="Book Antiqua" w:cs="Book Antiqua"/>
          <w:color w:val="000000"/>
          <w:szCs w:val="30"/>
          <w:vertAlign w:val="superscript"/>
        </w:rPr>
        <w:t>[173,174]</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IgG4-RD is a rare SRD, characterized by elevated serum IgG4 concentrations and fibroinflammation in the affected tissues, with dense lymphoplasmacytic infiltrates rich in IgG4-positive plasma cells and storiform fibrosis</w:t>
      </w:r>
      <w:r>
        <w:rPr>
          <w:rFonts w:ascii="Book Antiqua" w:hAnsi="Book Antiqua" w:eastAsia="Book Antiqua" w:cs="Book Antiqua"/>
          <w:color w:val="000000"/>
          <w:szCs w:val="30"/>
          <w:vertAlign w:val="superscript"/>
        </w:rPr>
        <w:t>[175]</w:t>
      </w:r>
      <w:r>
        <w:rPr>
          <w:rFonts w:ascii="Book Antiqua" w:hAnsi="Book Antiqua" w:eastAsia="Book Antiqua" w:cs="Book Antiqua"/>
          <w:color w:val="000000"/>
        </w:rPr>
        <w:t>. Cases of type I AIP and IgG4-related sclerosing cholangitis (commonly referred to as IgG4-SC), two common forms of IgG4-RD usually occurring in combination, have painless jaundice and cholestatic LFT abnormalities due to liver involvement</w:t>
      </w:r>
      <w:r>
        <w:rPr>
          <w:rFonts w:ascii="Book Antiqua" w:hAnsi="Book Antiqua" w:eastAsia="Book Antiqua" w:cs="Book Antiqua"/>
          <w:color w:val="000000"/>
          <w:szCs w:val="30"/>
          <w:vertAlign w:val="superscript"/>
        </w:rPr>
        <w:t>[176,177]</w:t>
      </w:r>
      <w:r>
        <w:rPr>
          <w:rFonts w:ascii="Book Antiqua" w:hAnsi="Book Antiqua" w:eastAsia="Book Antiqua" w:cs="Book Antiqua"/>
          <w:color w:val="000000"/>
        </w:rPr>
        <w:t>. Although CS has favorable therapeutic efficacy</w:t>
      </w:r>
      <w:r>
        <w:rPr>
          <w:rFonts w:ascii="Book Antiqua" w:hAnsi="Book Antiqua" w:eastAsia="Book Antiqua" w:cs="Book Antiqua"/>
          <w:color w:val="000000"/>
          <w:szCs w:val="30"/>
          <w:vertAlign w:val="superscript"/>
        </w:rPr>
        <w:t>[49]</w:t>
      </w:r>
      <w:r>
        <w:rPr>
          <w:rFonts w:ascii="Book Antiqua" w:hAnsi="Book Antiqua" w:eastAsia="Book Antiqua" w:cs="Book Antiqua"/>
          <w:color w:val="000000"/>
        </w:rPr>
        <w:t>, AIP and IgG4-SC are associated with significant morbidity and mortality due to extra-pancreatic organ failure and malignancy</w:t>
      </w:r>
      <w:r>
        <w:rPr>
          <w:rFonts w:ascii="Book Antiqua" w:hAnsi="Book Antiqua" w:eastAsia="Book Antiqua" w:cs="Book Antiqua"/>
          <w:color w:val="000000"/>
          <w:szCs w:val="30"/>
          <w:vertAlign w:val="superscript"/>
        </w:rPr>
        <w:t>[176]</w:t>
      </w:r>
      <w:r>
        <w:rPr>
          <w:rFonts w:ascii="Book Antiqua" w:hAnsi="Book Antiqua" w:eastAsia="Book Antiqua" w:cs="Book Antiqua"/>
          <w:color w:val="000000"/>
        </w:rPr>
        <w:t>. AIP has been reported to be associated with PBC and PSC</w:t>
      </w:r>
      <w:r>
        <w:rPr>
          <w:rFonts w:ascii="Book Antiqua" w:hAnsi="Book Antiqua" w:eastAsia="Book Antiqua" w:cs="Book Antiqua"/>
          <w:color w:val="000000"/>
          <w:szCs w:val="30"/>
          <w:vertAlign w:val="superscript"/>
        </w:rPr>
        <w:t>[178,179]</w:t>
      </w:r>
      <w:r>
        <w:rPr>
          <w:rFonts w:ascii="Book Antiqua" w:hAnsi="Book Antiqua" w:eastAsia="Book Antiqua" w:cs="Book Antiqua"/>
          <w:color w:val="000000"/>
        </w:rPr>
        <w:t>. Infiltrating IgG4-positive plasma cells can be observed in the AIH liver, suggesting involvement of IgG4 in its pathogenesis</w:t>
      </w:r>
      <w:r>
        <w:rPr>
          <w:rFonts w:ascii="Book Antiqua" w:hAnsi="Book Antiqua" w:eastAsia="Book Antiqua" w:cs="Book Antiqua"/>
          <w:color w:val="000000"/>
          <w:szCs w:val="30"/>
          <w:vertAlign w:val="superscript"/>
        </w:rPr>
        <w:t>[180]</w:t>
      </w:r>
      <w:r>
        <w:rPr>
          <w:rFonts w:ascii="Book Antiqua" w:hAnsi="Book Antiqua" w:eastAsia="Book Antiqua" w:cs="Book Antiqua"/>
          <w:color w:val="000000"/>
        </w:rPr>
        <w:t>. Nevertheless, the disease concept of IgG4</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AIH remains to be established</w:t>
      </w:r>
      <w:r>
        <w:rPr>
          <w:rFonts w:ascii="Book Antiqua" w:hAnsi="Book Antiqua" w:eastAsia="Book Antiqua" w:cs="Book Antiqua"/>
          <w:color w:val="000000"/>
          <w:szCs w:val="30"/>
          <w:vertAlign w:val="superscript"/>
        </w:rPr>
        <w:t>[181]</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Sarcoidosis is an uncommon SRD, characterized by the formation of noncaseating granulomas in various organs, predominantly the lungs, lymphatic system, skin, and eyes, or a different combination of these sites</w:t>
      </w:r>
      <w:r>
        <w:rPr>
          <w:rFonts w:ascii="Book Antiqua" w:hAnsi="Book Antiqua" w:eastAsia="Book Antiqua" w:cs="Book Antiqua"/>
          <w:color w:val="000000"/>
          <w:szCs w:val="30"/>
          <w:vertAlign w:val="superscript"/>
        </w:rPr>
        <w:t>[182]</w:t>
      </w:r>
      <w:r>
        <w:rPr>
          <w:rFonts w:ascii="Book Antiqua" w:hAnsi="Book Antiqua" w:eastAsia="Book Antiqua" w:cs="Book Antiqua"/>
          <w:color w:val="000000"/>
        </w:rPr>
        <w:t>. Abnormal LFT has been observed in one-fourth of patients with chronic sarcoidosis; among which, 15% are suspected of having liver involvement with cholestatic pattern of injury</w:t>
      </w:r>
      <w:r>
        <w:rPr>
          <w:rFonts w:ascii="Book Antiqua" w:hAnsi="Book Antiqua" w:eastAsia="Book Antiqua" w:cs="Book Antiqua"/>
          <w:color w:val="000000"/>
          <w:szCs w:val="30"/>
          <w:vertAlign w:val="superscript"/>
        </w:rPr>
        <w:t>[183]</w:t>
      </w:r>
      <w:r>
        <w:rPr>
          <w:rFonts w:ascii="Book Antiqua" w:hAnsi="Book Antiqua" w:eastAsia="Book Antiqua" w:cs="Book Antiqua"/>
          <w:color w:val="000000"/>
        </w:rPr>
        <w:t>. Although hepatic sarcoidosis is mainly asymptomatic, it can progress to LC, while such cases are rare</w:t>
      </w:r>
      <w:r>
        <w:rPr>
          <w:rFonts w:ascii="Book Antiqua" w:hAnsi="Book Antiqua" w:eastAsia="Book Antiqua" w:cs="Book Antiqua"/>
          <w:color w:val="000000"/>
          <w:szCs w:val="30"/>
          <w:vertAlign w:val="superscript"/>
        </w:rPr>
        <w:t>[184]</w:t>
      </w:r>
      <w:r>
        <w:rPr>
          <w:rFonts w:ascii="Book Antiqua" w:hAnsi="Book Antiqua" w:eastAsia="Book Antiqua" w:cs="Book Antiqua"/>
          <w:color w:val="000000"/>
        </w:rPr>
        <w:t>. AILDs coexisting with sarcoidosis have been reported, having a prevalence of 0.6% in AIH and 0.8% in PSC</w:t>
      </w:r>
      <w:r>
        <w:rPr>
          <w:rFonts w:ascii="Book Antiqua" w:hAnsi="Book Antiqua" w:eastAsia="Book Antiqua" w:cs="Book Antiqua"/>
          <w:color w:val="000000"/>
          <w:szCs w:val="30"/>
          <w:vertAlign w:val="superscript"/>
        </w:rPr>
        <w:t>[81,99]</w:t>
      </w:r>
      <w:r>
        <w:rPr>
          <w:rFonts w:ascii="Book Antiqua" w:hAnsi="Book Antiqua" w:eastAsia="Book Antiqua" w:cs="Book Antiqua"/>
          <w:color w:val="000000"/>
        </w:rPr>
        <w:t>. Several case reports have described the association of sarcoidosis with PBC</w:t>
      </w:r>
      <w:r>
        <w:rPr>
          <w:rFonts w:ascii="Book Antiqua" w:hAnsi="Book Antiqua" w:eastAsia="Book Antiqua" w:cs="Book Antiqua"/>
          <w:color w:val="000000"/>
          <w:szCs w:val="30"/>
          <w:vertAlign w:val="superscript"/>
        </w:rPr>
        <w:t>[88]</w:t>
      </w:r>
      <w:r>
        <w:rPr>
          <w:rFonts w:ascii="Book Antiqua" w:hAnsi="Book Antiqua" w:eastAsia="Book Antiqua" w:cs="Book Antiqua"/>
          <w:color w:val="000000"/>
        </w:rPr>
        <w:t>. A 2.7% prevalence of sarcoidosis was found in a PBC cohort from Greece</w:t>
      </w:r>
      <w:r>
        <w:rPr>
          <w:rFonts w:ascii="Book Antiqua" w:hAnsi="Book Antiqua" w:eastAsia="Book Antiqua" w:cs="Book Antiqua"/>
          <w:color w:val="000000"/>
          <w:szCs w:val="30"/>
          <w:vertAlign w:val="superscript"/>
        </w:rPr>
        <w:t>[185]</w:t>
      </w:r>
      <w:r>
        <w:rPr>
          <w:rFonts w:ascii="Book Antiqua" w:hAnsi="Book Antiqua" w:eastAsia="Book Antiqua" w:cs="Book Antiqua"/>
          <w:color w:val="000000"/>
        </w:rPr>
        <w:t>, whereas an epidemiological study with 1510 patients from the United Kingdom failed to show an association between the two disorders</w:t>
      </w:r>
      <w:r>
        <w:rPr>
          <w:rFonts w:ascii="Book Antiqua" w:hAnsi="Book Antiqua" w:eastAsia="Book Antiqua" w:cs="Book Antiqua"/>
          <w:color w:val="000000"/>
          <w:szCs w:val="30"/>
          <w:vertAlign w:val="superscript"/>
        </w:rPr>
        <w:t>[186]</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Relapsing polychondritis is a rare SRD, characterized by cartilaginous inflammation throughout the body, especially involving the hyaline cartilage of the ears, nose and joints, and the respiratory tract</w:t>
      </w:r>
      <w:r>
        <w:rPr>
          <w:rFonts w:ascii="Book Antiqua" w:hAnsi="Book Antiqua" w:eastAsia="Book Antiqua" w:cs="Book Antiqua"/>
          <w:color w:val="000000"/>
          <w:szCs w:val="30"/>
          <w:vertAlign w:val="superscript"/>
        </w:rPr>
        <w:t>[187]</w:t>
      </w:r>
      <w:r>
        <w:rPr>
          <w:rFonts w:ascii="Book Antiqua" w:hAnsi="Book Antiqua" w:eastAsia="Book Antiqua" w:cs="Book Antiqua"/>
          <w:color w:val="000000"/>
        </w:rPr>
        <w:t>. Liver involvement with cholestatic hepatic dysfunction has been observed scarcely in such patients</w:t>
      </w:r>
      <w:r>
        <w:rPr>
          <w:rFonts w:ascii="Book Antiqua" w:hAnsi="Book Antiqua" w:eastAsia="Book Antiqua" w:cs="Book Antiqua"/>
          <w:color w:val="000000"/>
          <w:szCs w:val="30"/>
          <w:vertAlign w:val="superscript"/>
        </w:rPr>
        <w:t>[188]</w:t>
      </w:r>
      <w:r>
        <w:rPr>
          <w:rFonts w:ascii="Book Antiqua" w:hAnsi="Book Antiqua" w:eastAsia="Book Antiqua" w:cs="Book Antiqua"/>
          <w:color w:val="000000"/>
        </w:rPr>
        <w:t>. The association of relapsing polychondritis with AILDs has been reported with PBC or PSC overlap diseases</w:t>
      </w:r>
      <w:r>
        <w:rPr>
          <w:rFonts w:ascii="Book Antiqua" w:hAnsi="Book Antiqua" w:eastAsia="Book Antiqua" w:cs="Book Antiqua"/>
          <w:color w:val="000000"/>
          <w:szCs w:val="30"/>
          <w:vertAlign w:val="superscript"/>
        </w:rPr>
        <w:t>[189,190]</w:t>
      </w:r>
      <w:r>
        <w:rPr>
          <w:rFonts w:ascii="Book Antiqua" w:hAnsi="Book Antiqua" w:eastAsia="Book Antiqua" w:cs="Book Antiqua"/>
          <w:color w:val="000000"/>
        </w:rPr>
        <w:t>.</w:t>
      </w:r>
    </w:p>
    <w:p>
      <w:pPr>
        <w:spacing w:line="360" w:lineRule="auto"/>
        <w:jc w:val="both"/>
      </w:pPr>
    </w:p>
    <w:p>
      <w:pPr>
        <w:spacing w:line="360" w:lineRule="auto"/>
        <w:jc w:val="both"/>
        <w:rPr>
          <w:lang w:eastAsia="zh-CN"/>
        </w:rPr>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SRDs are chronic, inflammatory, autoimmune disorders with the presence of autoantibodies that may affect any organ or system. Liver dysfunction in SRDs can be associated with prescribed drugs, VH, alternative hepatic comorbidities and coexisting AILDs, requiring an exclusion of secondary conditions before considering liver involvement. The patterns of overlap diseases depend predominantly on genetic determinants with common susceptible loci widely distributed in both disorders. In AILDs, it is important to identify the overlapping SRDs at an early stage, since such a coexistence may influence the disease course and prognosis. Commonly co-occurring SRDs in AILDs are SS, RA or SLE in AIH, and SS, RA or SSc in PBC. Owing to different disease complications and therapies, it is imperative to differentiate between SLE liver involvement and SLE-AIH overlap disease. Therapeutic options can be personalized to control coexisting conditions of liver autoimmunity and rheumatic manifestations in AILD-SRD overlap diseases. The collaboration between hepatologists and rheumatologists in clinical practice can lead to significant advances in managing such a complex scenario.</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bookmarkStart w:id="45" w:name="OLE_LINK3259"/>
      <w:bookmarkStart w:id="46" w:name="OLE_LINK3260"/>
      <w:r>
        <w:rPr>
          <w:rFonts w:ascii="Book Antiqua" w:hAnsi="Book Antiqua" w:eastAsia="Book Antiqua" w:cs="Book Antiqua"/>
          <w:color w:val="000000"/>
        </w:rPr>
        <w:t xml:space="preserve">The authors are indebted to Dr. IC Wu (Division of Gastroenterology and Hepatology) for his valuable comments and to other doctors at the National Cheng Kung University Hospital involved in the diagnosis and management of reported patients. </w:t>
      </w:r>
    </w:p>
    <w:bookmarkEnd w:id="45"/>
    <w:bookmarkEnd w:id="46"/>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REFERENCES</w:t>
      </w:r>
    </w:p>
    <w:p>
      <w:pPr>
        <w:spacing w:line="360" w:lineRule="auto"/>
        <w:jc w:val="both"/>
      </w:pPr>
      <w:bookmarkStart w:id="47" w:name="OLE_LINK3235"/>
      <w:bookmarkStart w:id="48" w:name="OLE_LINK3184"/>
      <w:bookmarkStart w:id="49" w:name="OLE_LINK3238"/>
      <w:bookmarkStart w:id="50" w:name="OLE_LINK3183"/>
      <w:r>
        <w:rPr>
          <w:rFonts w:ascii="Book Antiqua" w:hAnsi="Book Antiqua" w:eastAsia="Book Antiqua" w:cs="Book Antiqua"/>
          <w:color w:val="000000"/>
        </w:rPr>
        <w:t xml:space="preserve">1 </w:t>
      </w:r>
      <w:r>
        <w:rPr>
          <w:rFonts w:ascii="Book Antiqua" w:hAnsi="Book Antiqua" w:eastAsia="Book Antiqua" w:cs="Book Antiqua"/>
          <w:b/>
          <w:bCs/>
          <w:color w:val="000000"/>
        </w:rPr>
        <w:t>Bossuyt X</w:t>
      </w:r>
      <w:r>
        <w:rPr>
          <w:rFonts w:ascii="Book Antiqua" w:hAnsi="Book Antiqua" w:eastAsia="Book Antiqua" w:cs="Book Antiqua"/>
          <w:color w:val="000000"/>
        </w:rPr>
        <w:t xml:space="preserve">, De Langhe E, Borghi MO, Meroni PL. Understanding and interpreting antinuclear antibody tests in systemic rheumatic diseases. </w:t>
      </w:r>
      <w:r>
        <w:rPr>
          <w:rFonts w:ascii="Book Antiqua" w:hAnsi="Book Antiqua" w:eastAsia="Book Antiqua" w:cs="Book Antiqua"/>
          <w:i/>
          <w:iCs/>
          <w:color w:val="000000"/>
        </w:rPr>
        <w:t>Nat Rev Rheumatol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16</w:t>
      </w:r>
      <w:r>
        <w:rPr>
          <w:rFonts w:ascii="Book Antiqua" w:hAnsi="Book Antiqua" w:eastAsia="Book Antiqua" w:cs="Book Antiqua"/>
          <w:color w:val="000000"/>
        </w:rPr>
        <w:t>: 715-726 [PMID: 33154583 DOI: 10.1038/s41584-020-00522-w]</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Gebreselassie A</w:t>
      </w:r>
      <w:r>
        <w:rPr>
          <w:rFonts w:ascii="Book Antiqua" w:hAnsi="Book Antiqua" w:eastAsia="Book Antiqua" w:cs="Book Antiqua"/>
          <w:color w:val="000000"/>
        </w:rPr>
        <w:t xml:space="preserve">, Aduli F, Howell CD. Rheumatologic Diseases and the Liver. </w:t>
      </w:r>
      <w:r>
        <w:rPr>
          <w:rFonts w:ascii="Book Antiqua" w:hAnsi="Book Antiqua" w:eastAsia="Book Antiqua" w:cs="Book Antiqua"/>
          <w:i/>
          <w:iCs/>
          <w:color w:val="000000"/>
        </w:rPr>
        <w:t>Clin Liver Dis</w:t>
      </w:r>
      <w:r>
        <w:rPr>
          <w:rFonts w:ascii="Book Antiqua" w:hAnsi="Book Antiqua" w:eastAsia="Book Antiqua" w:cs="Book Antiqua"/>
          <w:color w:val="000000"/>
        </w:rPr>
        <w:t xml:space="preserve"> 2019; </w:t>
      </w:r>
      <w:r>
        <w:rPr>
          <w:rFonts w:ascii="Book Antiqua" w:hAnsi="Book Antiqua" w:eastAsia="Book Antiqua" w:cs="Book Antiqua"/>
          <w:b/>
          <w:bCs/>
          <w:color w:val="000000"/>
        </w:rPr>
        <w:t>23</w:t>
      </w:r>
      <w:r>
        <w:rPr>
          <w:rFonts w:ascii="Book Antiqua" w:hAnsi="Book Antiqua" w:eastAsia="Book Antiqua" w:cs="Book Antiqua"/>
          <w:color w:val="000000"/>
        </w:rPr>
        <w:t>: 247-261 [PMID: 30947875 DOI: 10.1016/j.cld.2018.12.007]</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De Santis M</w:t>
      </w:r>
      <w:r>
        <w:rPr>
          <w:rFonts w:ascii="Book Antiqua" w:hAnsi="Book Antiqua" w:eastAsia="Book Antiqua" w:cs="Book Antiqua"/>
          <w:color w:val="000000"/>
        </w:rPr>
        <w:t xml:space="preserve">, Crotti C, Selmi C. Liver abnormalities in connective tissue diseases. </w:t>
      </w:r>
      <w:r>
        <w:rPr>
          <w:rFonts w:ascii="Book Antiqua" w:hAnsi="Book Antiqua" w:eastAsia="Book Antiqua" w:cs="Book Antiqua"/>
          <w:i/>
          <w:iCs/>
          <w:color w:val="000000"/>
        </w:rPr>
        <w:t>Best Pract Res Clin Gastroenterol</w:t>
      </w:r>
      <w:r>
        <w:rPr>
          <w:rFonts w:ascii="Book Antiqua" w:hAnsi="Book Antiqua" w:eastAsia="Book Antiqua" w:cs="Book Antiqua"/>
          <w:color w:val="000000"/>
        </w:rPr>
        <w:t xml:space="preserve"> 2013; </w:t>
      </w:r>
      <w:r>
        <w:rPr>
          <w:rFonts w:ascii="Book Antiqua" w:hAnsi="Book Antiqua" w:eastAsia="Book Antiqua" w:cs="Book Antiqua"/>
          <w:b/>
          <w:bCs/>
          <w:color w:val="000000"/>
        </w:rPr>
        <w:t>27</w:t>
      </w:r>
      <w:r>
        <w:rPr>
          <w:rFonts w:ascii="Book Antiqua" w:hAnsi="Book Antiqua" w:eastAsia="Book Antiqua" w:cs="Book Antiqua"/>
          <w:color w:val="000000"/>
        </w:rPr>
        <w:t>: 543-551 [PMID: 24090941 DOI: 10.1016/j.bpg.2013.06.016]</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Visser K</w:t>
      </w:r>
      <w:r>
        <w:rPr>
          <w:rFonts w:ascii="Book Antiqua" w:hAnsi="Book Antiqua" w:eastAsia="Book Antiqua" w:cs="Book Antiqua"/>
          <w:color w:val="000000"/>
        </w:rPr>
        <w:t xml:space="preserve">, Katchamart W, Loza E, Martinez-Lopez JA, Salliot C, Trudeau J, Bombardier C, Carmona L, van der Heijde D, Bijlsma JW, Boumpas DT, Canhao H, Edwards CJ, Hamuryudan V, Kvien TK, Leeb BF, Martín-Mola EM, Mielants H, Müller-Ladner U, Murphy G, Østergaard M, Pereira IA, Ramos-Remus C, Valentini G, Zochling J, Dougados M. Multinational evidence-based recommendations for the use of methotrexate in rheumatic disorders with a focus on rheumatoid arthritis: integrating systematic literature research and expert opinion of a broad international panel of rheumatologists in the 3E Initiative. </w:t>
      </w:r>
      <w:r>
        <w:rPr>
          <w:rFonts w:ascii="Book Antiqua" w:hAnsi="Book Antiqua" w:eastAsia="Book Antiqua" w:cs="Book Antiqua"/>
          <w:i/>
          <w:iCs/>
          <w:color w:val="000000"/>
        </w:rPr>
        <w:t>Ann Rheum Dis</w:t>
      </w:r>
      <w:r>
        <w:rPr>
          <w:rFonts w:ascii="Book Antiqua" w:hAnsi="Book Antiqua" w:eastAsia="Book Antiqua" w:cs="Book Antiqua"/>
          <w:color w:val="000000"/>
        </w:rPr>
        <w:t xml:space="preserve"> 2009; </w:t>
      </w:r>
      <w:r>
        <w:rPr>
          <w:rFonts w:ascii="Book Antiqua" w:hAnsi="Book Antiqua" w:eastAsia="Book Antiqua" w:cs="Book Antiqua"/>
          <w:b/>
          <w:bCs/>
          <w:color w:val="000000"/>
        </w:rPr>
        <w:t>68</w:t>
      </w:r>
      <w:r>
        <w:rPr>
          <w:rFonts w:ascii="Book Antiqua" w:hAnsi="Book Antiqua" w:eastAsia="Book Antiqua" w:cs="Book Antiqua"/>
          <w:color w:val="000000"/>
        </w:rPr>
        <w:t>: 1086-1093 [PMID: 19033291 DOI: 10.1136/ard.2008.094474]</w:t>
      </w:r>
    </w:p>
    <w:p>
      <w:pPr>
        <w:spacing w:line="360" w:lineRule="auto"/>
        <w:jc w:val="both"/>
        <w:rPr>
          <w:lang w:eastAsia="zh-CN"/>
        </w:rPr>
      </w:pPr>
      <w:r>
        <w:rPr>
          <w:rFonts w:ascii="Book Antiqua" w:hAnsi="Book Antiqua" w:eastAsia="Book Antiqua" w:cs="Book Antiqua"/>
          <w:color w:val="000000"/>
        </w:rPr>
        <w:t xml:space="preserve">5 </w:t>
      </w:r>
      <w:r>
        <w:rPr>
          <w:rFonts w:ascii="Book Antiqua" w:hAnsi="Book Antiqua" w:eastAsia="Book Antiqua" w:cs="Book Antiqua"/>
          <w:b/>
          <w:bCs/>
          <w:color w:val="000000"/>
        </w:rPr>
        <w:t>Conway R</w:t>
      </w:r>
      <w:r>
        <w:rPr>
          <w:rFonts w:ascii="Book Antiqua" w:hAnsi="Book Antiqua" w:eastAsia="Book Antiqua" w:cs="Book Antiqua"/>
          <w:color w:val="000000"/>
        </w:rPr>
        <w:t xml:space="preserve">, Carey JJ. Risk of liver disease in methotrexate treated patients.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2017; </w:t>
      </w:r>
      <w:r>
        <w:rPr>
          <w:rFonts w:ascii="Book Antiqua" w:hAnsi="Book Antiqua" w:eastAsia="Book Antiqua" w:cs="Book Antiqua"/>
          <w:b/>
          <w:bCs/>
          <w:color w:val="000000"/>
        </w:rPr>
        <w:t>9</w:t>
      </w:r>
      <w:r>
        <w:rPr>
          <w:rFonts w:ascii="Book Antiqua" w:hAnsi="Book Antiqua" w:eastAsia="Book Antiqua" w:cs="Book Antiqua"/>
          <w:color w:val="000000"/>
        </w:rPr>
        <w:t xml:space="preserve">: 1092-1100 [PMID: </w:t>
      </w:r>
      <w:bookmarkStart w:id="51" w:name="OLE_LINK3191"/>
      <w:bookmarkStart w:id="52" w:name="OLE_LINK3192"/>
      <w:r>
        <w:rPr>
          <w:rFonts w:ascii="Book Antiqua" w:hAnsi="Book Antiqua" w:eastAsia="Book Antiqua" w:cs="Book Antiqua"/>
          <w:color w:val="000000"/>
        </w:rPr>
        <w:t>28989565</w:t>
      </w:r>
      <w:bookmarkEnd w:id="51"/>
      <w:bookmarkEnd w:id="52"/>
      <w:r>
        <w:rPr>
          <w:rFonts w:ascii="Book Antiqua" w:hAnsi="Book Antiqua" w:eastAsia="Book Antiqua" w:cs="Book Antiqua"/>
          <w:color w:val="000000"/>
        </w:rPr>
        <w:t xml:space="preserve"> DOI: 10.4254/wjh.v9.i26.1092]</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Perrillo RP</w:t>
      </w:r>
      <w:r>
        <w:rPr>
          <w:rFonts w:ascii="Book Antiqua" w:hAnsi="Book Antiqua" w:eastAsia="Book Antiqua" w:cs="Book Antiqua"/>
          <w:color w:val="000000"/>
        </w:rPr>
        <w:t xml:space="preserve">, Gish R, Falck-Ytter YT. American Gastroenterological Association Institute technical review on prevention and treatment of hepatitis B virus reactivation during immunosuppressive drug therapy.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2015; </w:t>
      </w:r>
      <w:r>
        <w:rPr>
          <w:rFonts w:ascii="Book Antiqua" w:hAnsi="Book Antiqua" w:eastAsia="Book Antiqua" w:cs="Book Antiqua"/>
          <w:b/>
          <w:bCs/>
          <w:color w:val="000000"/>
        </w:rPr>
        <w:t>148</w:t>
      </w:r>
      <w:r>
        <w:rPr>
          <w:rFonts w:ascii="Book Antiqua" w:hAnsi="Book Antiqua" w:eastAsia="Book Antiqua" w:cs="Book Antiqua"/>
          <w:color w:val="000000"/>
        </w:rPr>
        <w:t>: 221-244.e3 [PMID: 25447852 DOI: 10.1053/j.gastro.2014.10.038]</w:t>
      </w:r>
    </w:p>
    <w:p>
      <w:pPr>
        <w:spacing w:line="360" w:lineRule="auto"/>
        <w:jc w:val="both"/>
      </w:pPr>
      <w:r>
        <w:rPr>
          <w:rFonts w:ascii="Book Antiqua" w:hAnsi="Book Antiqua" w:eastAsia="Book Antiqua" w:cs="Book Antiqua"/>
          <w:color w:val="000000"/>
        </w:rPr>
        <w:t>7 LiverTox: Clinical and Research Information on Drug-Induced Liver Injury [Internet]. Bethesda (MD): National Institute of Diabetes and Digestive and Kidney Diseases; 2012– [PMID: 31643176]</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Hayashi PH</w:t>
      </w:r>
      <w:r>
        <w:rPr>
          <w:rFonts w:ascii="Book Antiqua" w:hAnsi="Book Antiqua" w:eastAsia="Book Antiqua" w:cs="Book Antiqua"/>
          <w:color w:val="000000"/>
        </w:rPr>
        <w:t xml:space="preserve">. Drug-Induced Liver Injury Network Causality Assessment: Criteria and Experience in the United States. </w:t>
      </w:r>
      <w:r>
        <w:rPr>
          <w:rFonts w:ascii="Book Antiqua" w:hAnsi="Book Antiqua" w:eastAsia="Book Antiqua" w:cs="Book Antiqua"/>
          <w:i/>
          <w:iCs/>
          <w:color w:val="000000"/>
        </w:rPr>
        <w:t>Int J Mol Sci</w:t>
      </w:r>
      <w:r>
        <w:rPr>
          <w:rFonts w:ascii="Book Antiqua" w:hAnsi="Book Antiqua" w:eastAsia="Book Antiqua" w:cs="Book Antiqua"/>
          <w:color w:val="000000"/>
        </w:rPr>
        <w:t xml:space="preserve"> 2016; </w:t>
      </w:r>
      <w:r>
        <w:rPr>
          <w:rFonts w:ascii="Book Antiqua" w:hAnsi="Book Antiqua" w:eastAsia="Book Antiqua" w:cs="Book Antiqua"/>
          <w:b/>
          <w:bCs/>
          <w:color w:val="000000"/>
        </w:rPr>
        <w:t>17</w:t>
      </w:r>
      <w:r>
        <w:rPr>
          <w:rFonts w:ascii="Book Antiqua" w:hAnsi="Book Antiqua" w:eastAsia="Book Antiqua" w:cs="Book Antiqua"/>
          <w:color w:val="000000"/>
        </w:rPr>
        <w:t>: 201 [PMID: 26861284 DOI: 10.3390/ijms17020201]</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Sanjeevaiah A</w:t>
      </w:r>
      <w:r>
        <w:rPr>
          <w:rFonts w:ascii="Book Antiqua" w:hAnsi="Book Antiqua" w:eastAsia="Book Antiqua" w:cs="Book Antiqua"/>
          <w:color w:val="000000"/>
        </w:rPr>
        <w:t xml:space="preserve">, Kerr T, Beg MS. Approach and management of checkpoint inhibitor-related immune hepatitis. </w:t>
      </w:r>
      <w:r>
        <w:rPr>
          <w:rFonts w:ascii="Book Antiqua" w:hAnsi="Book Antiqua" w:eastAsia="Book Antiqua" w:cs="Book Antiqua"/>
          <w:i/>
          <w:iCs/>
          <w:color w:val="000000"/>
        </w:rPr>
        <w:t>J Gastrointest Oncol</w:t>
      </w:r>
      <w:r>
        <w:rPr>
          <w:rFonts w:ascii="Book Antiqua" w:hAnsi="Book Antiqua" w:eastAsia="Book Antiqua" w:cs="Book Antiqua"/>
          <w:color w:val="000000"/>
        </w:rPr>
        <w:t xml:space="preserve"> 2018; </w:t>
      </w:r>
      <w:r>
        <w:rPr>
          <w:rFonts w:ascii="Book Antiqua" w:hAnsi="Book Antiqua" w:eastAsia="Book Antiqua" w:cs="Book Antiqua"/>
          <w:b/>
          <w:bCs/>
          <w:color w:val="000000"/>
        </w:rPr>
        <w:t>9</w:t>
      </w:r>
      <w:r>
        <w:rPr>
          <w:rFonts w:ascii="Book Antiqua" w:hAnsi="Book Antiqua" w:eastAsia="Book Antiqua" w:cs="Book Antiqua"/>
          <w:color w:val="000000"/>
        </w:rPr>
        <w:t>: 220-224 [PMID: 29564187 DOI: 10.21037/jgo.2017.08.14]</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Gao B</w:t>
      </w:r>
      <w:r>
        <w:rPr>
          <w:rFonts w:ascii="Book Antiqua" w:hAnsi="Book Antiqua" w:eastAsia="Book Antiqua" w:cs="Book Antiqua"/>
          <w:color w:val="000000"/>
        </w:rPr>
        <w:t xml:space="preserve">. Basic liver immunology. </w:t>
      </w:r>
      <w:r>
        <w:rPr>
          <w:rFonts w:ascii="Book Antiqua" w:hAnsi="Book Antiqua" w:eastAsia="Book Antiqua" w:cs="Book Antiqua"/>
          <w:i/>
          <w:iCs/>
          <w:color w:val="000000"/>
        </w:rPr>
        <w:t>Cell Mol Immunol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13</w:t>
      </w:r>
      <w:r>
        <w:rPr>
          <w:rFonts w:ascii="Book Antiqua" w:hAnsi="Book Antiqua" w:eastAsia="Book Antiqua" w:cs="Book Antiqua"/>
          <w:color w:val="000000"/>
        </w:rPr>
        <w:t>: 265-266 [PMID: 27041634 DOI: 10.1038/cmi.2016.09]</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Lee BT</w:t>
      </w:r>
      <w:r>
        <w:rPr>
          <w:rFonts w:ascii="Book Antiqua" w:hAnsi="Book Antiqua" w:eastAsia="Book Antiqua" w:cs="Book Antiqua"/>
          <w:color w:val="000000"/>
        </w:rPr>
        <w:t xml:space="preserve">, Tana MM, Kahn JA, Dara L. We Are Not Immune: Racial and Ethnic Disparities in Autoimmune Liver Diseases.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2021; </w:t>
      </w:r>
      <w:r>
        <w:rPr>
          <w:rFonts w:ascii="Book Antiqua" w:hAnsi="Book Antiqua" w:eastAsia="Book Antiqua" w:cs="Book Antiqua"/>
          <w:b/>
          <w:bCs/>
          <w:color w:val="000000"/>
        </w:rPr>
        <w:t>74</w:t>
      </w:r>
      <w:r>
        <w:rPr>
          <w:rFonts w:ascii="Book Antiqua" w:hAnsi="Book Antiqua" w:eastAsia="Book Antiqua" w:cs="Book Antiqua"/>
          <w:color w:val="000000"/>
        </w:rPr>
        <w:t>: 2876-2887 [PMID: 34056734 DOI: 10.1002/hep.31985]</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Washington MK</w:t>
      </w:r>
      <w:r>
        <w:rPr>
          <w:rFonts w:ascii="Book Antiqua" w:hAnsi="Book Antiqua" w:eastAsia="Book Antiqua" w:cs="Book Antiqua"/>
          <w:color w:val="000000"/>
        </w:rPr>
        <w:t xml:space="preserve">. Autoimmune liver disease: overlap and outliers. </w:t>
      </w:r>
      <w:r>
        <w:rPr>
          <w:rFonts w:ascii="Book Antiqua" w:hAnsi="Book Antiqua" w:eastAsia="Book Antiqua" w:cs="Book Antiqua"/>
          <w:i/>
          <w:iCs/>
          <w:color w:val="000000"/>
        </w:rPr>
        <w:t>Mod Pathol</w:t>
      </w:r>
      <w:r>
        <w:rPr>
          <w:rFonts w:ascii="Book Antiqua" w:hAnsi="Book Antiqua" w:eastAsia="Book Antiqua" w:cs="Book Antiqua"/>
          <w:color w:val="000000"/>
        </w:rPr>
        <w:t xml:space="preserve"> 2007; </w:t>
      </w:r>
      <w:r>
        <w:rPr>
          <w:rFonts w:ascii="Book Antiqua" w:hAnsi="Book Antiqua" w:eastAsia="Book Antiqua" w:cs="Book Antiqua"/>
          <w:b/>
          <w:bCs/>
          <w:color w:val="000000"/>
        </w:rPr>
        <w:t xml:space="preserve">20 </w:t>
      </w:r>
      <w:r>
        <w:rPr>
          <w:rFonts w:ascii="Book Antiqua" w:hAnsi="Book Antiqua" w:eastAsia="Book Antiqua" w:cs="Book Antiqua"/>
          <w:color w:val="000000"/>
        </w:rPr>
        <w:t>Suppl 1: S15-S30 [PMID: 17486048 DOI: 10.1038/modpathol.3800684]</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Wong GW</w:t>
      </w:r>
      <w:r>
        <w:rPr>
          <w:rFonts w:ascii="Book Antiqua" w:hAnsi="Book Antiqua" w:eastAsia="Book Antiqua" w:cs="Book Antiqua"/>
          <w:color w:val="000000"/>
        </w:rPr>
        <w:t xml:space="preserve">, Heneghan MA. Association of Extrahepatic Manifestations with Autoimmune Hepatitis. </w:t>
      </w:r>
      <w:r>
        <w:rPr>
          <w:rFonts w:ascii="Book Antiqua" w:hAnsi="Book Antiqua" w:eastAsia="Book Antiqua" w:cs="Book Antiqua"/>
          <w:i/>
          <w:iCs/>
          <w:color w:val="000000"/>
        </w:rPr>
        <w:t>Dig Dis</w:t>
      </w:r>
      <w:r>
        <w:rPr>
          <w:rFonts w:ascii="Book Antiqua" w:hAnsi="Book Antiqua" w:eastAsia="Book Antiqua" w:cs="Book Antiqua"/>
          <w:color w:val="000000"/>
        </w:rPr>
        <w:t xml:space="preserve"> 2015; </w:t>
      </w:r>
      <w:r>
        <w:rPr>
          <w:rFonts w:ascii="Book Antiqua" w:hAnsi="Book Antiqua" w:eastAsia="Book Antiqua" w:cs="Book Antiqua"/>
          <w:b/>
          <w:bCs/>
          <w:color w:val="000000"/>
        </w:rPr>
        <w:t xml:space="preserve">33 </w:t>
      </w:r>
      <w:r>
        <w:rPr>
          <w:rFonts w:ascii="Book Antiqua" w:hAnsi="Book Antiqua" w:eastAsia="Book Antiqua" w:cs="Book Antiqua"/>
          <w:color w:val="000000"/>
        </w:rPr>
        <w:t>Suppl 2: 25-35 [PMID: 26641498 DOI: 10.1159/000440707]</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Terziroli Beretta-Piccoli B</w:t>
      </w:r>
      <w:r>
        <w:rPr>
          <w:rFonts w:ascii="Book Antiqua" w:hAnsi="Book Antiqua" w:eastAsia="Book Antiqua" w:cs="Book Antiqua"/>
          <w:color w:val="000000"/>
        </w:rPr>
        <w:t xml:space="preserve">, Mieli-Vergani G, Vergani D. Autoimmune hepatitis: Standard treatment and systematic review of alternative treatments.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23</w:t>
      </w:r>
      <w:r>
        <w:rPr>
          <w:rFonts w:ascii="Book Antiqua" w:hAnsi="Book Antiqua" w:eastAsia="Book Antiqua" w:cs="Book Antiqua"/>
          <w:color w:val="000000"/>
        </w:rPr>
        <w:t>: 6030-6048 [PMID: 28970719 DOI: 10.3748/wjg.v23.i33.6030]</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Tanaka A</w:t>
      </w:r>
      <w:r>
        <w:rPr>
          <w:rFonts w:ascii="Book Antiqua" w:hAnsi="Book Antiqua" w:eastAsia="Book Antiqua" w:cs="Book Antiqua"/>
          <w:color w:val="000000"/>
        </w:rPr>
        <w:t xml:space="preserve">. Emerging novel treatments for autoimmune liver diseases. </w:t>
      </w:r>
      <w:r>
        <w:rPr>
          <w:rFonts w:ascii="Book Antiqua" w:hAnsi="Book Antiqua" w:eastAsia="Book Antiqua" w:cs="Book Antiqua"/>
          <w:i/>
          <w:iCs/>
          <w:color w:val="000000"/>
        </w:rPr>
        <w:t>Hepatol Res</w:t>
      </w:r>
      <w:r>
        <w:rPr>
          <w:rFonts w:ascii="Book Antiqua" w:hAnsi="Book Antiqua" w:eastAsia="Book Antiqua" w:cs="Book Antiqua"/>
          <w:color w:val="000000"/>
        </w:rPr>
        <w:t xml:space="preserve"> 2019; </w:t>
      </w:r>
      <w:r>
        <w:rPr>
          <w:rFonts w:ascii="Book Antiqua" w:hAnsi="Book Antiqua" w:eastAsia="Book Antiqua" w:cs="Book Antiqua"/>
          <w:b/>
          <w:bCs/>
          <w:color w:val="000000"/>
        </w:rPr>
        <w:t>49</w:t>
      </w:r>
      <w:r>
        <w:rPr>
          <w:rFonts w:ascii="Book Antiqua" w:hAnsi="Book Antiqua" w:eastAsia="Book Antiqua" w:cs="Book Antiqua"/>
          <w:color w:val="000000"/>
        </w:rPr>
        <w:t>: 489-499 [PMID: 30969002 DOI: 10.1111/hepr.13347]</w:t>
      </w:r>
    </w:p>
    <w:p>
      <w:pPr>
        <w:spacing w:line="360" w:lineRule="auto"/>
        <w:jc w:val="both"/>
        <w:rPr>
          <w:lang w:eastAsia="zh-CN"/>
        </w:rPr>
      </w:pPr>
      <w:r>
        <w:rPr>
          <w:rFonts w:ascii="Book Antiqua" w:hAnsi="Book Antiqua" w:eastAsia="Book Antiqua" w:cs="Book Antiqua"/>
          <w:color w:val="000000"/>
        </w:rPr>
        <w:t xml:space="preserve">16 </w:t>
      </w:r>
      <w:r>
        <w:rPr>
          <w:rFonts w:ascii="Book Antiqua" w:hAnsi="Book Antiqua" w:eastAsia="Book Antiqua" w:cs="Book Antiqua"/>
          <w:b/>
          <w:bCs/>
          <w:color w:val="000000"/>
        </w:rPr>
        <w:t>Engel B</w:t>
      </w:r>
      <w:r>
        <w:rPr>
          <w:rFonts w:ascii="Book Antiqua" w:hAnsi="Book Antiqua" w:eastAsia="Book Antiqua" w:cs="Book Antiqua"/>
          <w:color w:val="000000"/>
        </w:rPr>
        <w:t xml:space="preserve">, Taubert R, Jaeckel E, Manns MP. The future of autoimmune liver diseases - Understanding pathogenesis and improving morbidity and mortality. </w:t>
      </w:r>
      <w:r>
        <w:rPr>
          <w:rFonts w:ascii="Book Antiqua" w:hAnsi="Book Antiqua" w:eastAsia="Book Antiqua" w:cs="Book Antiqua"/>
          <w:i/>
          <w:iCs/>
          <w:color w:val="000000"/>
        </w:rPr>
        <w:t>Liver Int</w:t>
      </w:r>
      <w:r>
        <w:rPr>
          <w:rFonts w:ascii="Book Antiqua" w:hAnsi="Book Antiqua" w:eastAsia="Book Antiqua" w:cs="Book Antiqua"/>
          <w:color w:val="000000"/>
        </w:rPr>
        <w:t xml:space="preserve"> 2020; </w:t>
      </w:r>
      <w:r>
        <w:rPr>
          <w:rFonts w:ascii="Book Antiqua" w:hAnsi="Book Antiqua" w:eastAsia="Book Antiqua" w:cs="Book Antiqua"/>
          <w:b/>
          <w:bCs/>
          <w:color w:val="000000"/>
        </w:rPr>
        <w:t xml:space="preserve">40 </w:t>
      </w:r>
      <w:r>
        <w:rPr>
          <w:rFonts w:ascii="Book Antiqua" w:hAnsi="Book Antiqua" w:eastAsia="Book Antiqua" w:cs="Book Antiqua"/>
          <w:color w:val="000000"/>
        </w:rPr>
        <w:t xml:space="preserve">Suppl 1: 149-153 [PMID: </w:t>
      </w:r>
      <w:bookmarkStart w:id="53" w:name="OLE_LINK3194"/>
      <w:bookmarkStart w:id="54" w:name="OLE_LINK3193"/>
      <w:r>
        <w:rPr>
          <w:rFonts w:ascii="Book Antiqua" w:hAnsi="Book Antiqua" w:eastAsia="Book Antiqua" w:cs="Book Antiqua"/>
          <w:color w:val="000000"/>
        </w:rPr>
        <w:t>32077605</w:t>
      </w:r>
      <w:bookmarkEnd w:id="53"/>
      <w:bookmarkEnd w:id="54"/>
      <w:r>
        <w:rPr>
          <w:rFonts w:ascii="Book Antiqua" w:hAnsi="Book Antiqua" w:eastAsia="Book Antiqua" w:cs="Book Antiqua"/>
          <w:color w:val="000000"/>
        </w:rPr>
        <w:t xml:space="preserve"> DOI: 10.1111/liv.14378]</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Chen C</w:t>
      </w:r>
      <w:r>
        <w:rPr>
          <w:rFonts w:ascii="Book Antiqua" w:hAnsi="Book Antiqua" w:eastAsia="Book Antiqua" w:cs="Book Antiqua"/>
          <w:color w:val="000000"/>
        </w:rPr>
        <w:t xml:space="preserve">, Ke R, Yang F, Cai Q, Liu J, Huang X, Chen J, Xu F, Jiang Y. Risk factors for recurrent autoimmune liver diseases after liver transplantation: A meta-analysis.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2020; </w:t>
      </w:r>
      <w:r>
        <w:rPr>
          <w:rFonts w:ascii="Book Antiqua" w:hAnsi="Book Antiqua" w:eastAsia="Book Antiqua" w:cs="Book Antiqua"/>
          <w:b/>
          <w:bCs/>
          <w:color w:val="000000"/>
        </w:rPr>
        <w:t>99</w:t>
      </w:r>
      <w:r>
        <w:rPr>
          <w:rFonts w:ascii="Book Antiqua" w:hAnsi="Book Antiqua" w:eastAsia="Book Antiqua" w:cs="Book Antiqua"/>
          <w:color w:val="000000"/>
        </w:rPr>
        <w:t>: e20205 [PMID: 32443344 DOI: 10.1097/MD.0000000000020205]</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Heinemann M</w:t>
      </w:r>
      <w:r>
        <w:rPr>
          <w:rFonts w:ascii="Book Antiqua" w:hAnsi="Book Antiqua" w:eastAsia="Book Antiqua" w:cs="Book Antiqua"/>
          <w:color w:val="000000"/>
        </w:rPr>
        <w:t xml:space="preserve">, Liwinski T, Adam R, Berenguer M, Mirza D, Malek-Hosseini SA, Heneghan MA, Lodge P, Pratschke J, Boudjema K, Paul A, Zieniewicz K, Fronek J, Mehrabi A, Acarli K, Tokat Y, Coker A, Yilmaz S, Karam V, Duvoux C, Lohse AW, Schramm C; all the other contributing centers (www.eltr.org) and the European Liver and Intestine Transplant Association (ELITA). Long-term outcome after living donor liver transplantation compared to donation after brain death in autoimmune liver diseases: Experience from the European Liver Transplant Registry.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2022; </w:t>
      </w:r>
      <w:r>
        <w:rPr>
          <w:rFonts w:ascii="Book Antiqua" w:hAnsi="Book Antiqua" w:eastAsia="Book Antiqua" w:cs="Book Antiqua"/>
          <w:b/>
          <w:bCs/>
          <w:color w:val="000000"/>
        </w:rPr>
        <w:t>22</w:t>
      </w:r>
      <w:r>
        <w:rPr>
          <w:rFonts w:ascii="Book Antiqua" w:hAnsi="Book Antiqua" w:eastAsia="Book Antiqua" w:cs="Book Antiqua"/>
          <w:color w:val="000000"/>
        </w:rPr>
        <w:t>: 626-633 [PMID: 34605157 DOI: 10.1111/ajt.16864]</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Trivedi PJ</w:t>
      </w:r>
      <w:r>
        <w:rPr>
          <w:rFonts w:ascii="Book Antiqua" w:hAnsi="Book Antiqua" w:eastAsia="Book Antiqua" w:cs="Book Antiqua"/>
          <w:color w:val="000000"/>
        </w:rPr>
        <w:t xml:space="preserve">, Hirschfield GM. Recent advances in clinical practice: epidemiology of autoimmune liver diseases. </w:t>
      </w:r>
      <w:r>
        <w:rPr>
          <w:rFonts w:ascii="Book Antiqua" w:hAnsi="Book Antiqua" w:eastAsia="Book Antiqua" w:cs="Book Antiqua"/>
          <w:i/>
          <w:iCs/>
          <w:color w:val="000000"/>
        </w:rPr>
        <w:t>Gut</w:t>
      </w:r>
      <w:r>
        <w:rPr>
          <w:rFonts w:ascii="Book Antiqua" w:hAnsi="Book Antiqua" w:eastAsia="Book Antiqua" w:cs="Book Antiqua"/>
          <w:color w:val="000000"/>
        </w:rPr>
        <w:t xml:space="preserve"> 2021; </w:t>
      </w:r>
      <w:r>
        <w:rPr>
          <w:rFonts w:ascii="Book Antiqua" w:hAnsi="Book Antiqua" w:eastAsia="Book Antiqua" w:cs="Book Antiqua"/>
          <w:b/>
          <w:bCs/>
          <w:color w:val="000000"/>
        </w:rPr>
        <w:t>70</w:t>
      </w:r>
      <w:r>
        <w:rPr>
          <w:rFonts w:ascii="Book Antiqua" w:hAnsi="Book Antiqua" w:eastAsia="Book Antiqua" w:cs="Book Antiqua"/>
          <w:color w:val="000000"/>
        </w:rPr>
        <w:t>: 1989-2003 [PMID: 34266966 DOI: 10.1136/gutjnl-2020-322362]</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Guo L</w:t>
      </w:r>
      <w:r>
        <w:rPr>
          <w:rFonts w:ascii="Book Antiqua" w:hAnsi="Book Antiqua" w:eastAsia="Book Antiqua" w:cs="Book Antiqua"/>
          <w:color w:val="000000"/>
        </w:rPr>
        <w:t xml:space="preserve">, Zhou L, Zhang N, Deng B, Wang B. Extrahepatic Autoimmune Diseases in Patients with Autoimmune Liver Diseases: A Phenomenon Neglected by Gastroenterologists. </w:t>
      </w:r>
      <w:r>
        <w:rPr>
          <w:rFonts w:ascii="Book Antiqua" w:hAnsi="Book Antiqua" w:eastAsia="Book Antiqua" w:cs="Book Antiqua"/>
          <w:i/>
          <w:iCs/>
          <w:color w:val="000000"/>
        </w:rPr>
        <w:t>Gastroenterol Res Pract</w:t>
      </w:r>
      <w:r>
        <w:rPr>
          <w:rFonts w:ascii="Book Antiqua" w:hAnsi="Book Antiqua" w:eastAsia="Book Antiqua" w:cs="Book Antiqua"/>
          <w:color w:val="000000"/>
        </w:rPr>
        <w:t xml:space="preserve"> 2017; </w:t>
      </w:r>
      <w:r>
        <w:rPr>
          <w:rFonts w:ascii="Book Antiqua" w:hAnsi="Book Antiqua" w:eastAsia="Book Antiqua" w:cs="Book Antiqua"/>
          <w:b/>
          <w:bCs/>
          <w:color w:val="000000"/>
        </w:rPr>
        <w:t>2017</w:t>
      </w:r>
      <w:r>
        <w:rPr>
          <w:rFonts w:ascii="Book Antiqua" w:hAnsi="Book Antiqua" w:eastAsia="Book Antiqua" w:cs="Book Antiqua"/>
          <w:color w:val="000000"/>
        </w:rPr>
        <w:t>: 2376231 [PMID: 28191014 DOI: 10.1155/2017/2376231]</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Selmi C</w:t>
      </w:r>
      <w:r>
        <w:rPr>
          <w:rFonts w:ascii="Book Antiqua" w:hAnsi="Book Antiqua" w:eastAsia="Book Antiqua" w:cs="Book Antiqua"/>
          <w:color w:val="000000"/>
        </w:rPr>
        <w:t xml:space="preserve">, Generali E, Gershwin ME. Rheumatic Manifestations in Autoimmune Liver Disease. </w:t>
      </w:r>
      <w:r>
        <w:rPr>
          <w:rFonts w:ascii="Book Antiqua" w:hAnsi="Book Antiqua" w:eastAsia="Book Antiqua" w:cs="Book Antiqua"/>
          <w:i/>
          <w:iCs/>
          <w:color w:val="000000"/>
        </w:rPr>
        <w:t>Rheum Dis Clin North Am</w:t>
      </w:r>
      <w:r>
        <w:rPr>
          <w:rFonts w:ascii="Book Antiqua" w:hAnsi="Book Antiqua" w:eastAsia="Book Antiqua" w:cs="Book Antiqua"/>
          <w:color w:val="000000"/>
        </w:rPr>
        <w:t xml:space="preserve"> 2018; </w:t>
      </w:r>
      <w:r>
        <w:rPr>
          <w:rFonts w:ascii="Book Antiqua" w:hAnsi="Book Antiqua" w:eastAsia="Book Antiqua" w:cs="Book Antiqua"/>
          <w:b/>
          <w:bCs/>
          <w:color w:val="000000"/>
        </w:rPr>
        <w:t>44</w:t>
      </w:r>
      <w:r>
        <w:rPr>
          <w:rFonts w:ascii="Book Antiqua" w:hAnsi="Book Antiqua" w:eastAsia="Book Antiqua" w:cs="Book Antiqua"/>
          <w:color w:val="000000"/>
        </w:rPr>
        <w:t>: 65-87 [PMID: 29149928 DOI: 10.1016/j.rdc.2017.09.008]</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Selmi C</w:t>
      </w:r>
      <w:r>
        <w:rPr>
          <w:rFonts w:ascii="Book Antiqua" w:hAnsi="Book Antiqua" w:eastAsia="Book Antiqua" w:cs="Book Antiqua"/>
          <w:color w:val="000000"/>
        </w:rPr>
        <w:t xml:space="preserve">, Meroni PL, Gershwin ME. Primary biliary cirrhosis and Sjögren's syndrome: autoimmune epithelitis. </w:t>
      </w:r>
      <w:r>
        <w:rPr>
          <w:rFonts w:ascii="Book Antiqua" w:hAnsi="Book Antiqua" w:eastAsia="Book Antiqua" w:cs="Book Antiqua"/>
          <w:i/>
          <w:iCs/>
          <w:color w:val="000000"/>
        </w:rPr>
        <w:t>J Autoimmun</w:t>
      </w:r>
      <w:r>
        <w:rPr>
          <w:rFonts w:ascii="Book Antiqua" w:hAnsi="Book Antiqua" w:eastAsia="Book Antiqua" w:cs="Book Antiqua"/>
          <w:color w:val="000000"/>
        </w:rPr>
        <w:t xml:space="preserve"> 2012; </w:t>
      </w:r>
      <w:r>
        <w:rPr>
          <w:rFonts w:ascii="Book Antiqua" w:hAnsi="Book Antiqua" w:eastAsia="Book Antiqua" w:cs="Book Antiqua"/>
          <w:b/>
          <w:bCs/>
          <w:color w:val="000000"/>
        </w:rPr>
        <w:t>39</w:t>
      </w:r>
      <w:r>
        <w:rPr>
          <w:rFonts w:ascii="Book Antiqua" w:hAnsi="Book Antiqua" w:eastAsia="Book Antiqua" w:cs="Book Antiqua"/>
          <w:color w:val="000000"/>
        </w:rPr>
        <w:t>: 34-42 [PMID: 22178199 DOI: 10.1016/j.jaut.2011.11.005]</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Parisis D</w:t>
      </w:r>
      <w:r>
        <w:rPr>
          <w:rFonts w:ascii="Book Antiqua" w:hAnsi="Book Antiqua" w:eastAsia="Book Antiqua" w:cs="Book Antiqua"/>
          <w:color w:val="000000"/>
        </w:rPr>
        <w:t xml:space="preserve">, Chivasso C, Perret J, Soyfoo MS, Delporte C. Current State of Knowledge on Primary Sjögren's Syndrome, an Autoimmune Exocrinopathy.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32698400 DOI: 10.3390/jcm9072299]</w:t>
      </w:r>
    </w:p>
    <w:p>
      <w:pPr>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Sirotti S</w:t>
      </w:r>
      <w:r>
        <w:rPr>
          <w:rFonts w:ascii="Book Antiqua" w:hAnsi="Book Antiqua" w:eastAsia="Book Antiqua" w:cs="Book Antiqua"/>
          <w:color w:val="000000"/>
        </w:rPr>
        <w:t xml:space="preserve">, Generali E, Ceribelli A, Isailovic N, De Santis M, Selmi C. Personalized medicine in rheumatology: the paradigm of serum autoantibodies. </w:t>
      </w:r>
      <w:r>
        <w:rPr>
          <w:rFonts w:ascii="Book Antiqua" w:hAnsi="Book Antiqua" w:eastAsia="Book Antiqua" w:cs="Book Antiqua"/>
          <w:i/>
          <w:iCs/>
          <w:color w:val="000000"/>
        </w:rPr>
        <w:t>Auto Immun Highlights</w:t>
      </w:r>
      <w:r>
        <w:rPr>
          <w:rFonts w:ascii="Book Antiqua" w:hAnsi="Book Antiqua" w:eastAsia="Book Antiqua" w:cs="Book Antiqua"/>
          <w:color w:val="000000"/>
        </w:rPr>
        <w:t xml:space="preserve"> 2017; </w:t>
      </w:r>
      <w:r>
        <w:rPr>
          <w:rFonts w:ascii="Book Antiqua" w:hAnsi="Book Antiqua" w:eastAsia="Book Antiqua" w:cs="Book Antiqua"/>
          <w:b/>
          <w:bCs/>
          <w:color w:val="000000"/>
        </w:rPr>
        <w:t>8</w:t>
      </w:r>
      <w:r>
        <w:rPr>
          <w:rFonts w:ascii="Book Antiqua" w:hAnsi="Book Antiqua" w:eastAsia="Book Antiqua" w:cs="Book Antiqua"/>
          <w:color w:val="000000"/>
        </w:rPr>
        <w:t>: 10 [PMID: 28702930 DOI: 10.1007/s13317-017-0098-1]</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Tsokos GC</w:t>
      </w:r>
      <w:r>
        <w:rPr>
          <w:rFonts w:ascii="Book Antiqua" w:hAnsi="Book Antiqua" w:eastAsia="Book Antiqua" w:cs="Book Antiqua"/>
          <w:color w:val="000000"/>
        </w:rPr>
        <w:t xml:space="preserve">. Systemic lupus erythematosus.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2011; </w:t>
      </w:r>
      <w:r>
        <w:rPr>
          <w:rFonts w:ascii="Book Antiqua" w:hAnsi="Book Antiqua" w:eastAsia="Book Antiqua" w:cs="Book Antiqua"/>
          <w:b/>
          <w:bCs/>
          <w:color w:val="000000"/>
        </w:rPr>
        <w:t>365</w:t>
      </w:r>
      <w:r>
        <w:rPr>
          <w:rFonts w:ascii="Book Antiqua" w:hAnsi="Book Antiqua" w:eastAsia="Book Antiqua" w:cs="Book Antiqua"/>
          <w:color w:val="000000"/>
        </w:rPr>
        <w:t>: 2110-2121 [PMID: 22129255 DOI: 10.1056/NEJMra1100359]</w:t>
      </w:r>
    </w:p>
    <w:p>
      <w:pPr>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Runyon BA</w:t>
      </w:r>
      <w:r>
        <w:rPr>
          <w:rFonts w:ascii="Book Antiqua" w:hAnsi="Book Antiqua" w:eastAsia="Book Antiqua" w:cs="Book Antiqua"/>
          <w:color w:val="000000"/>
        </w:rPr>
        <w:t xml:space="preserve">, LaBrecque DR, Anuras S. The spectrum of liver disease in systemic lupus erythematosus. Report of 33 histologically-proved cases and review of the literature. </w:t>
      </w:r>
      <w:r>
        <w:rPr>
          <w:rFonts w:ascii="Book Antiqua" w:hAnsi="Book Antiqua" w:eastAsia="Book Antiqua" w:cs="Book Antiqua"/>
          <w:i/>
          <w:iCs/>
          <w:color w:val="000000"/>
        </w:rPr>
        <w:t>Am J Med</w:t>
      </w:r>
      <w:r>
        <w:rPr>
          <w:rFonts w:ascii="Book Antiqua" w:hAnsi="Book Antiqua" w:eastAsia="Book Antiqua" w:cs="Book Antiqua"/>
          <w:color w:val="000000"/>
        </w:rPr>
        <w:t xml:space="preserve"> 1980; </w:t>
      </w:r>
      <w:r>
        <w:rPr>
          <w:rFonts w:ascii="Book Antiqua" w:hAnsi="Book Antiqua" w:eastAsia="Book Antiqua" w:cs="Book Antiqua"/>
          <w:b/>
          <w:bCs/>
          <w:color w:val="000000"/>
        </w:rPr>
        <w:t>69</w:t>
      </w:r>
      <w:r>
        <w:rPr>
          <w:rFonts w:ascii="Book Antiqua" w:hAnsi="Book Antiqua" w:eastAsia="Book Antiqua" w:cs="Book Antiqua"/>
          <w:color w:val="000000"/>
        </w:rPr>
        <w:t>: 187-194 [PMID: 7405944 DOI: 10.1016/0002-9343(80)90378-2]</w:t>
      </w:r>
    </w:p>
    <w:p>
      <w:pPr>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Ebert EC</w:t>
      </w:r>
      <w:r>
        <w:rPr>
          <w:rFonts w:ascii="Book Antiqua" w:hAnsi="Book Antiqua" w:eastAsia="Book Antiqua" w:cs="Book Antiqua"/>
          <w:color w:val="000000"/>
        </w:rPr>
        <w:t xml:space="preserve">, Hagspiel KD. Gastrointestinal and hepatic manifestations of systemic lupus erythematosus. </w:t>
      </w:r>
      <w:r>
        <w:rPr>
          <w:rFonts w:ascii="Book Antiqua" w:hAnsi="Book Antiqua" w:eastAsia="Book Antiqua" w:cs="Book Antiqua"/>
          <w:i/>
          <w:iCs/>
          <w:color w:val="000000"/>
        </w:rPr>
        <w:t>J Clin Gastroenterol</w:t>
      </w:r>
      <w:r>
        <w:rPr>
          <w:rFonts w:ascii="Book Antiqua" w:hAnsi="Book Antiqua" w:eastAsia="Book Antiqua" w:cs="Book Antiqua"/>
          <w:color w:val="000000"/>
        </w:rPr>
        <w:t xml:space="preserve"> 2011; </w:t>
      </w:r>
      <w:r>
        <w:rPr>
          <w:rFonts w:ascii="Book Antiqua" w:hAnsi="Book Antiqua" w:eastAsia="Book Antiqua" w:cs="Book Antiqua"/>
          <w:b/>
          <w:bCs/>
          <w:color w:val="000000"/>
        </w:rPr>
        <w:t>45</w:t>
      </w:r>
      <w:r>
        <w:rPr>
          <w:rFonts w:ascii="Book Antiqua" w:hAnsi="Book Antiqua" w:eastAsia="Book Antiqua" w:cs="Book Antiqua"/>
          <w:color w:val="000000"/>
        </w:rPr>
        <w:t>: 436-441 [PMID: 21422947 DOI: 10.1097/MCG.0b013e31820f81b8]</w:t>
      </w:r>
    </w:p>
    <w:p>
      <w:pPr>
        <w:spacing w:line="360" w:lineRule="auto"/>
        <w:jc w:val="both"/>
      </w:pPr>
      <w:r>
        <w:rPr>
          <w:rFonts w:ascii="Book Antiqua" w:hAnsi="Book Antiqua" w:eastAsia="Book Antiqua" w:cs="Book Antiqua"/>
          <w:color w:val="000000"/>
        </w:rPr>
        <w:t xml:space="preserve">28 </w:t>
      </w:r>
      <w:r>
        <w:rPr>
          <w:rFonts w:ascii="Book Antiqua" w:hAnsi="Book Antiqua" w:eastAsia="Book Antiqua" w:cs="Book Antiqua"/>
          <w:b/>
          <w:bCs/>
          <w:color w:val="000000"/>
        </w:rPr>
        <w:t>González-Regueiro JA</w:t>
      </w:r>
      <w:r>
        <w:rPr>
          <w:rFonts w:ascii="Book Antiqua" w:hAnsi="Book Antiqua" w:eastAsia="Book Antiqua" w:cs="Book Antiqua"/>
          <w:color w:val="000000"/>
        </w:rPr>
        <w:t xml:space="preserve">, Cruz-Contreras M, Merayo-Chalico J, Barrera-Vargas A, Ruiz-Margáin A, Campos-Murguía A, Espin-Nasser M, Martínez-Benítez B, Méndez-Cano VH, Macías-Rodríguez RU. Hepatic manifestations in systemic lupus erythematosus. </w:t>
      </w:r>
      <w:r>
        <w:rPr>
          <w:rFonts w:ascii="Book Antiqua" w:hAnsi="Book Antiqua" w:eastAsia="Book Antiqua" w:cs="Book Antiqua"/>
          <w:i/>
          <w:iCs/>
          <w:color w:val="000000"/>
        </w:rPr>
        <w:t>Lupus</w:t>
      </w:r>
      <w:r>
        <w:rPr>
          <w:rFonts w:ascii="Book Antiqua" w:hAnsi="Book Antiqua" w:eastAsia="Book Antiqua" w:cs="Book Antiqua"/>
          <w:color w:val="000000"/>
        </w:rPr>
        <w:t xml:space="preserve"> 2020; </w:t>
      </w:r>
      <w:r>
        <w:rPr>
          <w:rFonts w:ascii="Book Antiqua" w:hAnsi="Book Antiqua" w:eastAsia="Book Antiqua" w:cs="Book Antiqua"/>
          <w:b/>
          <w:bCs/>
          <w:color w:val="000000"/>
        </w:rPr>
        <w:t>29</w:t>
      </w:r>
      <w:r>
        <w:rPr>
          <w:rFonts w:ascii="Book Antiqua" w:hAnsi="Book Antiqua" w:eastAsia="Book Antiqua" w:cs="Book Antiqua"/>
          <w:color w:val="000000"/>
        </w:rPr>
        <w:t>: 813-824 [PMID: 32390496 DOI: 10.1177/0961203320923398]</w:t>
      </w:r>
    </w:p>
    <w:p>
      <w:pPr>
        <w:spacing w:line="360" w:lineRule="auto"/>
        <w:jc w:val="both"/>
      </w:pPr>
      <w:r>
        <w:rPr>
          <w:rFonts w:ascii="Book Antiqua" w:hAnsi="Book Antiqua" w:eastAsia="Book Antiqua" w:cs="Book Antiqua"/>
          <w:color w:val="000000"/>
        </w:rPr>
        <w:t xml:space="preserve">29 </w:t>
      </w:r>
      <w:r>
        <w:rPr>
          <w:rFonts w:ascii="Book Antiqua" w:hAnsi="Book Antiqua" w:eastAsia="Book Antiqua" w:cs="Book Antiqua"/>
          <w:b/>
          <w:bCs/>
          <w:color w:val="000000"/>
        </w:rPr>
        <w:t>M</w:t>
      </w:r>
      <w:r>
        <w:rPr>
          <w:rFonts w:hint="eastAsia" w:ascii="Book Antiqua" w:hAnsi="Book Antiqua" w:eastAsia="宋体" w:cs="Book Antiqua"/>
          <w:b/>
          <w:bCs/>
          <w:color w:val="000000"/>
          <w:lang w:val="en-US" w:eastAsia="zh-CN"/>
        </w:rPr>
        <w:t>ackay</w:t>
      </w:r>
      <w:r>
        <w:rPr>
          <w:rFonts w:ascii="Book Antiqua" w:hAnsi="Book Antiqua" w:eastAsia="Book Antiqua" w:cs="Book Antiqua"/>
          <w:b/>
          <w:bCs/>
          <w:color w:val="000000"/>
        </w:rPr>
        <w:t xml:space="preserve"> IR</w:t>
      </w:r>
      <w:r>
        <w:rPr>
          <w:rFonts w:ascii="Book Antiqua" w:hAnsi="Book Antiqua" w:eastAsia="Book Antiqua" w:cs="Book Antiqua"/>
          <w:color w:val="000000"/>
        </w:rPr>
        <w:t>, T</w:t>
      </w:r>
      <w:r>
        <w:rPr>
          <w:rFonts w:hint="eastAsia" w:ascii="Book Antiqua" w:hAnsi="Book Antiqua" w:eastAsia="宋体" w:cs="Book Antiqua"/>
          <w:color w:val="000000"/>
          <w:lang w:val="en-US" w:eastAsia="zh-CN"/>
        </w:rPr>
        <w:t>aft</w:t>
      </w:r>
      <w:r>
        <w:rPr>
          <w:rFonts w:ascii="Book Antiqua" w:hAnsi="Book Antiqua" w:eastAsia="Book Antiqua" w:cs="Book Antiqua"/>
          <w:color w:val="000000"/>
        </w:rPr>
        <w:t xml:space="preserve"> LI, C</w:t>
      </w:r>
      <w:r>
        <w:rPr>
          <w:rFonts w:hint="eastAsia" w:ascii="Book Antiqua" w:hAnsi="Book Antiqua" w:eastAsia="宋体" w:cs="Book Antiqua"/>
          <w:color w:val="000000"/>
          <w:lang w:val="en-US" w:eastAsia="zh-CN"/>
        </w:rPr>
        <w:t>owling</w:t>
      </w:r>
      <w:r>
        <w:rPr>
          <w:rFonts w:ascii="Book Antiqua" w:hAnsi="Book Antiqua" w:eastAsia="Book Antiqua" w:cs="Book Antiqua"/>
          <w:color w:val="000000"/>
        </w:rPr>
        <w:t xml:space="preserve"> DC. Lupoid hepatitis and the hepatic lesions of systemic lupus erythematosus. </w:t>
      </w:r>
      <w:r>
        <w:rPr>
          <w:rFonts w:ascii="Book Antiqua" w:hAnsi="Book Antiqua" w:eastAsia="Book Antiqua" w:cs="Book Antiqua"/>
          <w:i/>
          <w:iCs/>
          <w:color w:val="000000"/>
        </w:rPr>
        <w:t>Lancet</w:t>
      </w:r>
      <w:r>
        <w:rPr>
          <w:rFonts w:ascii="Book Antiqua" w:hAnsi="Book Antiqua" w:eastAsia="Book Antiqua" w:cs="Book Antiqua"/>
          <w:color w:val="000000"/>
        </w:rPr>
        <w:t xml:space="preserve"> 1959; </w:t>
      </w:r>
      <w:r>
        <w:rPr>
          <w:rFonts w:ascii="Book Antiqua" w:hAnsi="Book Antiqua" w:eastAsia="Book Antiqua" w:cs="Book Antiqua"/>
          <w:b/>
          <w:bCs/>
          <w:color w:val="000000"/>
        </w:rPr>
        <w:t>1</w:t>
      </w:r>
      <w:r>
        <w:rPr>
          <w:rFonts w:ascii="Book Antiqua" w:hAnsi="Book Antiqua" w:eastAsia="Book Antiqua" w:cs="Book Antiqua"/>
          <w:color w:val="000000"/>
        </w:rPr>
        <w:t>: 65-69 [PMID: 13621639 DOI: 10.1016/s0140-6736(59)91136-5]</w:t>
      </w:r>
    </w:p>
    <w:p>
      <w:pPr>
        <w:spacing w:line="360" w:lineRule="auto"/>
        <w:jc w:val="both"/>
      </w:pPr>
      <w:r>
        <w:rPr>
          <w:rFonts w:ascii="Book Antiqua" w:hAnsi="Book Antiqua" w:eastAsia="Book Antiqua" w:cs="Book Antiqua"/>
          <w:color w:val="000000"/>
        </w:rPr>
        <w:t xml:space="preserve">30 </w:t>
      </w:r>
      <w:r>
        <w:rPr>
          <w:rFonts w:ascii="Book Antiqua" w:hAnsi="Book Antiqua" w:eastAsia="Book Antiqua" w:cs="Book Antiqua"/>
          <w:b/>
          <w:bCs/>
          <w:color w:val="000000"/>
        </w:rPr>
        <w:t>Adiga A</w:t>
      </w:r>
      <w:r>
        <w:rPr>
          <w:rFonts w:ascii="Book Antiqua" w:hAnsi="Book Antiqua" w:eastAsia="Book Antiqua" w:cs="Book Antiqua"/>
          <w:color w:val="000000"/>
        </w:rPr>
        <w:t xml:space="preserve">, Nugent K. Lupus Hepatitis and Autoimmune Hepatitis (Lupoid Hepatitis). </w:t>
      </w:r>
      <w:r>
        <w:rPr>
          <w:rFonts w:ascii="Book Antiqua" w:hAnsi="Book Antiqua" w:eastAsia="Book Antiqua" w:cs="Book Antiqua"/>
          <w:i/>
          <w:iCs/>
          <w:color w:val="000000"/>
        </w:rPr>
        <w:t>Am J Med Sci</w:t>
      </w:r>
      <w:r>
        <w:rPr>
          <w:rFonts w:ascii="Book Antiqua" w:hAnsi="Book Antiqua" w:eastAsia="Book Antiqua" w:cs="Book Antiqua"/>
          <w:color w:val="000000"/>
        </w:rPr>
        <w:t xml:space="preserve"> 2017; </w:t>
      </w:r>
      <w:r>
        <w:rPr>
          <w:rFonts w:ascii="Book Antiqua" w:hAnsi="Book Antiqua" w:eastAsia="Book Antiqua" w:cs="Book Antiqua"/>
          <w:b/>
          <w:bCs/>
          <w:color w:val="000000"/>
        </w:rPr>
        <w:t>353</w:t>
      </w:r>
      <w:r>
        <w:rPr>
          <w:rFonts w:ascii="Book Antiqua" w:hAnsi="Book Antiqua" w:eastAsia="Book Antiqua" w:cs="Book Antiqua"/>
          <w:color w:val="000000"/>
        </w:rPr>
        <w:t>: 329-335 [PMID: 28317620 DOI: 10.1016/j.amjms.2016.10.014]</w:t>
      </w:r>
    </w:p>
    <w:p>
      <w:pPr>
        <w:spacing w:line="360" w:lineRule="auto"/>
        <w:jc w:val="both"/>
      </w:pPr>
      <w:r>
        <w:rPr>
          <w:rFonts w:ascii="Book Antiqua" w:hAnsi="Book Antiqua" w:eastAsia="Book Antiqua" w:cs="Book Antiqua"/>
          <w:color w:val="000000"/>
        </w:rPr>
        <w:t xml:space="preserve">31 </w:t>
      </w:r>
      <w:r>
        <w:rPr>
          <w:rFonts w:ascii="Book Antiqua" w:hAnsi="Book Antiqua" w:eastAsia="Book Antiqua" w:cs="Book Antiqua"/>
          <w:b/>
          <w:bCs/>
          <w:color w:val="000000"/>
        </w:rPr>
        <w:t>Piga M</w:t>
      </w:r>
      <w:r>
        <w:rPr>
          <w:rFonts w:ascii="Book Antiqua" w:hAnsi="Book Antiqua" w:eastAsia="Book Antiqua" w:cs="Book Antiqua"/>
          <w:color w:val="000000"/>
        </w:rPr>
        <w:t xml:space="preserve">, Vacca A, Porru G, Cauli A, Mathieu A. </w:t>
      </w:r>
      <w:bookmarkStart w:id="55" w:name="OLE_LINK3203"/>
      <w:bookmarkStart w:id="56" w:name="OLE_LINK3204"/>
      <w:r>
        <w:rPr>
          <w:rFonts w:ascii="Book Antiqua" w:hAnsi="Book Antiqua" w:eastAsia="Book Antiqua" w:cs="Book Antiqua"/>
          <w:color w:val="000000"/>
        </w:rPr>
        <w:t>Liver involvement in systemic lupus erythematosus: incidence, clinical course and outcome of lupus hepatitis</w:t>
      </w:r>
      <w:bookmarkEnd w:id="55"/>
      <w:bookmarkEnd w:id="56"/>
      <w:r>
        <w:rPr>
          <w:rFonts w:ascii="Book Antiqua" w:hAnsi="Book Antiqua" w:eastAsia="Book Antiqua" w:cs="Book Antiqua"/>
          <w:color w:val="000000"/>
        </w:rPr>
        <w:t xml:space="preserve">. </w:t>
      </w:r>
      <w:r>
        <w:rPr>
          <w:rFonts w:ascii="Book Antiqua" w:hAnsi="Book Antiqua" w:eastAsia="Book Antiqua" w:cs="Book Antiqua"/>
          <w:i/>
          <w:iCs/>
          <w:color w:val="000000"/>
        </w:rPr>
        <w:t>Clin Exp Rheumatol</w:t>
      </w:r>
      <w:r>
        <w:rPr>
          <w:rFonts w:ascii="Book Antiqua" w:hAnsi="Book Antiqua" w:eastAsia="Book Antiqua" w:cs="Book Antiqua"/>
          <w:color w:val="000000"/>
        </w:rPr>
        <w:t xml:space="preserve"> 2010; </w:t>
      </w:r>
      <w:r>
        <w:rPr>
          <w:rFonts w:ascii="Book Antiqua" w:hAnsi="Book Antiqua" w:eastAsia="Book Antiqua" w:cs="Book Antiqua"/>
          <w:b/>
          <w:bCs/>
          <w:color w:val="000000"/>
        </w:rPr>
        <w:t>28</w:t>
      </w:r>
      <w:r>
        <w:rPr>
          <w:rFonts w:ascii="Book Antiqua" w:hAnsi="Book Antiqua" w:eastAsia="Book Antiqua" w:cs="Book Antiqua"/>
          <w:color w:val="000000"/>
        </w:rPr>
        <w:t>: 504-510 [PMID: 20609296 DOI: 10.1186/1471-2474-11-143]</w:t>
      </w:r>
    </w:p>
    <w:p>
      <w:pPr>
        <w:spacing w:line="360" w:lineRule="auto"/>
        <w:jc w:val="both"/>
      </w:pPr>
      <w:r>
        <w:rPr>
          <w:rFonts w:ascii="Book Antiqua" w:hAnsi="Book Antiqua" w:eastAsia="Book Antiqua" w:cs="Book Antiqua"/>
          <w:color w:val="000000"/>
        </w:rPr>
        <w:t xml:space="preserve">32 </w:t>
      </w:r>
      <w:r>
        <w:rPr>
          <w:rFonts w:ascii="Book Antiqua" w:hAnsi="Book Antiqua" w:eastAsia="Book Antiqua" w:cs="Book Antiqua"/>
          <w:b/>
          <w:bCs/>
          <w:color w:val="000000"/>
        </w:rPr>
        <w:t>Zheng RH</w:t>
      </w:r>
      <w:r>
        <w:rPr>
          <w:rFonts w:ascii="Book Antiqua" w:hAnsi="Book Antiqua" w:eastAsia="Book Antiqua" w:cs="Book Antiqua"/>
          <w:color w:val="000000"/>
        </w:rPr>
        <w:t xml:space="preserve">, Wang JH, Wang SB, Chen J, Guan WM, Chen MH. </w:t>
      </w:r>
      <w:bookmarkStart w:id="57" w:name="OLE_LINK3206"/>
      <w:bookmarkStart w:id="58" w:name="OLE_LINK3205"/>
      <w:r>
        <w:rPr>
          <w:rFonts w:ascii="Book Antiqua" w:hAnsi="Book Antiqua" w:eastAsia="Book Antiqua" w:cs="Book Antiqua"/>
          <w:color w:val="000000"/>
        </w:rPr>
        <w:t>Clinical and immunopathological features of patients with lupus hepatitis</w:t>
      </w:r>
      <w:bookmarkEnd w:id="57"/>
      <w:bookmarkEnd w:id="58"/>
      <w:r>
        <w:rPr>
          <w:rFonts w:ascii="Book Antiqua" w:hAnsi="Book Antiqua" w:eastAsia="Book Antiqua" w:cs="Book Antiqua"/>
          <w:color w:val="000000"/>
        </w:rPr>
        <w:t xml:space="preserve">. </w:t>
      </w:r>
      <w:r>
        <w:rPr>
          <w:rFonts w:ascii="Book Antiqua" w:hAnsi="Book Antiqua" w:eastAsia="Book Antiqua" w:cs="Book Antiqua"/>
          <w:i/>
          <w:iCs/>
          <w:color w:val="000000"/>
        </w:rPr>
        <w:t>Chin Med J (Engl)</w:t>
      </w:r>
      <w:r>
        <w:rPr>
          <w:rFonts w:ascii="Book Antiqua" w:hAnsi="Book Antiqua" w:eastAsia="Book Antiqua" w:cs="Book Antiqua"/>
          <w:color w:val="000000"/>
        </w:rPr>
        <w:t xml:space="preserve"> 2013; </w:t>
      </w:r>
      <w:r>
        <w:rPr>
          <w:rFonts w:ascii="Book Antiqua" w:hAnsi="Book Antiqua" w:eastAsia="Book Antiqua" w:cs="Book Antiqua"/>
          <w:b/>
          <w:bCs/>
          <w:color w:val="000000"/>
        </w:rPr>
        <w:t>126</w:t>
      </w:r>
      <w:r>
        <w:rPr>
          <w:rFonts w:ascii="Book Antiqua" w:hAnsi="Book Antiqua" w:eastAsia="Book Antiqua" w:cs="Book Antiqua"/>
          <w:color w:val="000000"/>
        </w:rPr>
        <w:t>: 260-266 [PMID: 23324274]</w:t>
      </w:r>
    </w:p>
    <w:p>
      <w:pPr>
        <w:spacing w:line="360" w:lineRule="auto"/>
        <w:jc w:val="both"/>
      </w:pPr>
      <w:r>
        <w:rPr>
          <w:rFonts w:ascii="Book Antiqua" w:hAnsi="Book Antiqua" w:eastAsia="Book Antiqua" w:cs="Book Antiqua"/>
          <w:color w:val="000000"/>
        </w:rPr>
        <w:t xml:space="preserve">33 </w:t>
      </w:r>
      <w:r>
        <w:rPr>
          <w:rFonts w:ascii="Book Antiqua" w:hAnsi="Book Antiqua" w:eastAsia="Book Antiqua" w:cs="Book Antiqua"/>
          <w:b/>
          <w:bCs/>
          <w:color w:val="000000"/>
        </w:rPr>
        <w:t>Ohira H</w:t>
      </w:r>
      <w:r>
        <w:rPr>
          <w:rFonts w:ascii="Book Antiqua" w:hAnsi="Book Antiqua" w:eastAsia="Book Antiqua" w:cs="Book Antiqua"/>
          <w:color w:val="000000"/>
        </w:rPr>
        <w:t xml:space="preserve">, Takiguchi J, Rai T, Abe K, Yokokawa J, Sato Y, Takeda I, Kanno T. High frequency of anti-ribosomal P antibody in patients with systemic lupus erythematosus-associated hepatitis. </w:t>
      </w:r>
      <w:r>
        <w:rPr>
          <w:rFonts w:ascii="Book Antiqua" w:hAnsi="Book Antiqua" w:eastAsia="Book Antiqua" w:cs="Book Antiqua"/>
          <w:i/>
          <w:iCs/>
          <w:color w:val="000000"/>
        </w:rPr>
        <w:t>Hepatol Res</w:t>
      </w:r>
      <w:r>
        <w:rPr>
          <w:rFonts w:ascii="Book Antiqua" w:hAnsi="Book Antiqua" w:eastAsia="Book Antiqua" w:cs="Book Antiqua"/>
          <w:color w:val="000000"/>
        </w:rPr>
        <w:t xml:space="preserve"> 2004; </w:t>
      </w:r>
      <w:r>
        <w:rPr>
          <w:rFonts w:ascii="Book Antiqua" w:hAnsi="Book Antiqua" w:eastAsia="Book Antiqua" w:cs="Book Antiqua"/>
          <w:b/>
          <w:bCs/>
          <w:color w:val="000000"/>
        </w:rPr>
        <w:t>28</w:t>
      </w:r>
      <w:r>
        <w:rPr>
          <w:rFonts w:ascii="Book Antiqua" w:hAnsi="Book Antiqua" w:eastAsia="Book Antiqua" w:cs="Book Antiqua"/>
          <w:color w:val="000000"/>
        </w:rPr>
        <w:t>: 137-139 [PMID: 15036069 DOI: 10.1016/j.hepres.2003.11.008]</w:t>
      </w:r>
    </w:p>
    <w:p>
      <w:pPr>
        <w:spacing w:line="360" w:lineRule="auto"/>
        <w:jc w:val="both"/>
      </w:pPr>
      <w:r>
        <w:rPr>
          <w:rFonts w:ascii="Book Antiqua" w:hAnsi="Book Antiqua" w:eastAsia="Book Antiqua" w:cs="Book Antiqua"/>
          <w:color w:val="000000"/>
        </w:rPr>
        <w:t xml:space="preserve">34 </w:t>
      </w:r>
      <w:r>
        <w:rPr>
          <w:rFonts w:ascii="Book Antiqua" w:hAnsi="Book Antiqua" w:eastAsia="Book Antiqua" w:cs="Book Antiqua"/>
          <w:b/>
          <w:bCs/>
          <w:color w:val="000000"/>
        </w:rPr>
        <w:t>Afzal W</w:t>
      </w:r>
      <w:r>
        <w:rPr>
          <w:rFonts w:ascii="Book Antiqua" w:hAnsi="Book Antiqua" w:eastAsia="Book Antiqua" w:cs="Book Antiqua"/>
          <w:color w:val="000000"/>
        </w:rPr>
        <w:t xml:space="preserve">, Haghi M, Hasni SA, Newman KA. Lupus hepatitis, more than just elevated liver enzymes. </w:t>
      </w:r>
      <w:r>
        <w:rPr>
          <w:rFonts w:ascii="Book Antiqua" w:hAnsi="Book Antiqua" w:eastAsia="Book Antiqua" w:cs="Book Antiqua"/>
          <w:i/>
          <w:iCs/>
          <w:color w:val="000000"/>
        </w:rPr>
        <w:t>Scand J Rheumatol</w:t>
      </w:r>
      <w:r>
        <w:rPr>
          <w:rFonts w:ascii="Book Antiqua" w:hAnsi="Book Antiqua" w:eastAsia="Book Antiqua" w:cs="Book Antiqua"/>
          <w:color w:val="000000"/>
        </w:rPr>
        <w:t xml:space="preserve"> 2020; </w:t>
      </w:r>
      <w:r>
        <w:rPr>
          <w:rFonts w:ascii="Book Antiqua" w:hAnsi="Book Antiqua" w:eastAsia="Book Antiqua" w:cs="Book Antiqua"/>
          <w:b/>
          <w:bCs/>
          <w:color w:val="000000"/>
        </w:rPr>
        <w:t>49</w:t>
      </w:r>
      <w:r>
        <w:rPr>
          <w:rFonts w:ascii="Book Antiqua" w:hAnsi="Book Antiqua" w:eastAsia="Book Antiqua" w:cs="Book Antiqua"/>
          <w:color w:val="000000"/>
        </w:rPr>
        <w:t>: 427-433 [PMID: 32942921 DOI: 10.1080/03009742.2020.1744712]</w:t>
      </w:r>
    </w:p>
    <w:p>
      <w:pPr>
        <w:spacing w:line="360" w:lineRule="auto"/>
        <w:jc w:val="both"/>
      </w:pPr>
      <w:r>
        <w:rPr>
          <w:rFonts w:ascii="Book Antiqua" w:hAnsi="Book Antiqua" w:eastAsia="Book Antiqua" w:cs="Book Antiqua"/>
          <w:color w:val="000000"/>
        </w:rPr>
        <w:t xml:space="preserve">35 </w:t>
      </w:r>
      <w:r>
        <w:rPr>
          <w:rFonts w:ascii="Book Antiqua" w:hAnsi="Book Antiqua" w:eastAsia="Book Antiqua" w:cs="Book Antiqua"/>
          <w:b/>
          <w:bCs/>
          <w:color w:val="000000"/>
        </w:rPr>
        <w:t>Horizon AA</w:t>
      </w:r>
      <w:r>
        <w:rPr>
          <w:rFonts w:ascii="Book Antiqua" w:hAnsi="Book Antiqua" w:eastAsia="Book Antiqua" w:cs="Book Antiqua"/>
          <w:color w:val="000000"/>
        </w:rPr>
        <w:t xml:space="preserve">, Wallace DJ. Risk:benefit ratio of nonsteroidal anti-inflammatory drugs in systemic lupus erythematosus. </w:t>
      </w:r>
      <w:r>
        <w:rPr>
          <w:rFonts w:ascii="Book Antiqua" w:hAnsi="Book Antiqua" w:eastAsia="Book Antiqua" w:cs="Book Antiqua"/>
          <w:i/>
          <w:iCs/>
          <w:color w:val="000000"/>
        </w:rPr>
        <w:t>Expert Opin Drug Saf</w:t>
      </w:r>
      <w:r>
        <w:rPr>
          <w:rFonts w:ascii="Book Antiqua" w:hAnsi="Book Antiqua" w:eastAsia="Book Antiqua" w:cs="Book Antiqua"/>
          <w:color w:val="000000"/>
        </w:rPr>
        <w:t xml:space="preserve"> 2004; </w:t>
      </w:r>
      <w:r>
        <w:rPr>
          <w:rFonts w:ascii="Book Antiqua" w:hAnsi="Book Antiqua" w:eastAsia="Book Antiqua" w:cs="Book Antiqua"/>
          <w:b/>
          <w:bCs/>
          <w:color w:val="000000"/>
        </w:rPr>
        <w:t>3</w:t>
      </w:r>
      <w:r>
        <w:rPr>
          <w:rFonts w:ascii="Book Antiqua" w:hAnsi="Book Antiqua" w:eastAsia="Book Antiqua" w:cs="Book Antiqua"/>
          <w:color w:val="000000"/>
        </w:rPr>
        <w:t>: 273-278 [PMID: 15268645 DOI: 10.1517/14740338.3.4.273]</w:t>
      </w:r>
    </w:p>
    <w:p>
      <w:pPr>
        <w:spacing w:line="360" w:lineRule="auto"/>
        <w:jc w:val="both"/>
      </w:pPr>
      <w:r>
        <w:rPr>
          <w:rFonts w:ascii="Book Antiqua" w:hAnsi="Book Antiqua" w:eastAsia="Book Antiqua" w:cs="Book Antiqua"/>
          <w:color w:val="000000"/>
        </w:rPr>
        <w:t xml:space="preserve">36 </w:t>
      </w:r>
      <w:r>
        <w:rPr>
          <w:rFonts w:ascii="Book Antiqua" w:hAnsi="Book Antiqua" w:eastAsia="Book Antiqua" w:cs="Book Antiqua"/>
          <w:b/>
          <w:bCs/>
          <w:color w:val="000000"/>
        </w:rPr>
        <w:t>Tanaka N</w:t>
      </w:r>
      <w:r>
        <w:rPr>
          <w:rFonts w:ascii="Book Antiqua" w:hAnsi="Book Antiqua" w:eastAsia="Book Antiqua" w:cs="Book Antiqua"/>
          <w:color w:val="000000"/>
        </w:rPr>
        <w:t xml:space="preserve">, Kimura T, Fujimori N, Nagaya T, Komatsu M, Tanaka E. Current status, problems, and perspectives of non-alcoholic fatty liver disease research.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25</w:t>
      </w:r>
      <w:r>
        <w:rPr>
          <w:rFonts w:ascii="Book Antiqua" w:hAnsi="Book Antiqua" w:eastAsia="Book Antiqua" w:cs="Book Antiqua"/>
          <w:color w:val="000000"/>
        </w:rPr>
        <w:t>: 163-177 [PMID: 30670907 DOI: 10.3748/wjg.v25.i2.163]</w:t>
      </w:r>
    </w:p>
    <w:p>
      <w:pPr>
        <w:spacing w:line="360" w:lineRule="auto"/>
        <w:jc w:val="both"/>
      </w:pPr>
      <w:r>
        <w:rPr>
          <w:rFonts w:ascii="Book Antiqua" w:hAnsi="Book Antiqua" w:eastAsia="Book Antiqua" w:cs="Book Antiqua"/>
          <w:color w:val="000000"/>
        </w:rPr>
        <w:t xml:space="preserve">37 </w:t>
      </w:r>
      <w:r>
        <w:rPr>
          <w:rFonts w:ascii="Book Antiqua" w:hAnsi="Book Antiqua" w:eastAsia="Book Antiqua" w:cs="Book Antiqua"/>
          <w:b/>
          <w:bCs/>
          <w:color w:val="000000"/>
        </w:rPr>
        <w:t>Chung CP</w:t>
      </w:r>
      <w:r>
        <w:rPr>
          <w:rFonts w:ascii="Book Antiqua" w:hAnsi="Book Antiqua" w:eastAsia="Book Antiqua" w:cs="Book Antiqua"/>
          <w:color w:val="000000"/>
        </w:rPr>
        <w:t xml:space="preserve">, Avalos I, Oeser A, Gebretsadik T, Shintani A, Raggi P, Stein CM. High prevalence of the metabolic syndrome in patients with systemic lupus erythematosus: association with disease characteristics and cardiovascular risk factors. </w:t>
      </w:r>
      <w:r>
        <w:rPr>
          <w:rFonts w:ascii="Book Antiqua" w:hAnsi="Book Antiqua" w:eastAsia="Book Antiqua" w:cs="Book Antiqua"/>
          <w:i/>
          <w:iCs/>
          <w:color w:val="000000"/>
        </w:rPr>
        <w:t>Ann Rheum Dis</w:t>
      </w:r>
      <w:r>
        <w:rPr>
          <w:rFonts w:ascii="Book Antiqua" w:hAnsi="Book Antiqua" w:eastAsia="Book Antiqua" w:cs="Book Antiqua"/>
          <w:color w:val="000000"/>
        </w:rPr>
        <w:t xml:space="preserve"> 2007; </w:t>
      </w:r>
      <w:r>
        <w:rPr>
          <w:rFonts w:ascii="Book Antiqua" w:hAnsi="Book Antiqua" w:eastAsia="Book Antiqua" w:cs="Book Antiqua"/>
          <w:b/>
          <w:bCs/>
          <w:color w:val="000000"/>
        </w:rPr>
        <w:t>66</w:t>
      </w:r>
      <w:r>
        <w:rPr>
          <w:rFonts w:ascii="Book Antiqua" w:hAnsi="Book Antiqua" w:eastAsia="Book Antiqua" w:cs="Book Antiqua"/>
          <w:color w:val="000000"/>
        </w:rPr>
        <w:t>: 208-214 [PMID: 16901956 DOI: 10.1136/ard.2006.054973]</w:t>
      </w:r>
    </w:p>
    <w:p>
      <w:pPr>
        <w:spacing w:line="360" w:lineRule="auto"/>
        <w:jc w:val="both"/>
      </w:pPr>
      <w:r>
        <w:rPr>
          <w:rFonts w:ascii="Book Antiqua" w:hAnsi="Book Antiqua" w:eastAsia="Book Antiqua" w:cs="Book Antiqua"/>
          <w:color w:val="000000"/>
        </w:rPr>
        <w:t xml:space="preserve">38 </w:t>
      </w:r>
      <w:r>
        <w:rPr>
          <w:rFonts w:ascii="Book Antiqua" w:hAnsi="Book Antiqua" w:eastAsia="Book Antiqua" w:cs="Book Antiqua"/>
          <w:b/>
          <w:bCs/>
          <w:color w:val="000000"/>
        </w:rPr>
        <w:t>Wang CR</w:t>
      </w:r>
      <w:r>
        <w:rPr>
          <w:rFonts w:ascii="Book Antiqua" w:hAnsi="Book Antiqua" w:eastAsia="Book Antiqua" w:cs="Book Antiqua"/>
          <w:color w:val="000000"/>
        </w:rPr>
        <w:t xml:space="preserve">, Tsai HW. Anti- and non-tumor necrosis factor-α-targeted therapies effects on insulin resistance in rheumatoid arthritis, psoriatic arthritis and ankylosing spondylitis. </w:t>
      </w:r>
      <w:r>
        <w:rPr>
          <w:rFonts w:ascii="Book Antiqua" w:hAnsi="Book Antiqua" w:eastAsia="Book Antiqua" w:cs="Book Antiqua"/>
          <w:i/>
          <w:iCs/>
          <w:color w:val="000000"/>
        </w:rPr>
        <w:t>World J Diabetes</w:t>
      </w:r>
      <w:r>
        <w:rPr>
          <w:rFonts w:ascii="Book Antiqua" w:hAnsi="Book Antiqua" w:eastAsia="Book Antiqua" w:cs="Book Antiqua"/>
          <w:color w:val="000000"/>
        </w:rPr>
        <w:t xml:space="preserve"> 2021; </w:t>
      </w:r>
      <w:r>
        <w:rPr>
          <w:rFonts w:ascii="Book Antiqua" w:hAnsi="Book Antiqua" w:eastAsia="Book Antiqua" w:cs="Book Antiqua"/>
          <w:b/>
          <w:bCs/>
          <w:color w:val="000000"/>
        </w:rPr>
        <w:t>12</w:t>
      </w:r>
      <w:r>
        <w:rPr>
          <w:rFonts w:ascii="Book Antiqua" w:hAnsi="Book Antiqua" w:eastAsia="Book Antiqua" w:cs="Book Antiqua"/>
          <w:color w:val="000000"/>
        </w:rPr>
        <w:t>: 238-260 [PMID: 33758645 DOI: 10.4239/wjd.v12.i3.238]</w:t>
      </w:r>
    </w:p>
    <w:p>
      <w:pPr>
        <w:spacing w:line="360" w:lineRule="auto"/>
        <w:jc w:val="both"/>
      </w:pPr>
      <w:r>
        <w:rPr>
          <w:rFonts w:ascii="Book Antiqua" w:hAnsi="Book Antiqua" w:eastAsia="Book Antiqua" w:cs="Book Antiqua"/>
          <w:color w:val="000000"/>
        </w:rPr>
        <w:t xml:space="preserve">39 </w:t>
      </w:r>
      <w:r>
        <w:rPr>
          <w:rFonts w:ascii="Book Antiqua" w:hAnsi="Book Antiqua" w:eastAsia="Book Antiqua" w:cs="Book Antiqua"/>
          <w:b/>
          <w:bCs/>
          <w:color w:val="000000"/>
        </w:rPr>
        <w:t>Chowdhary VR</w:t>
      </w:r>
      <w:r>
        <w:rPr>
          <w:rFonts w:ascii="Book Antiqua" w:hAnsi="Book Antiqua" w:eastAsia="Book Antiqua" w:cs="Book Antiqua"/>
          <w:color w:val="000000"/>
        </w:rPr>
        <w:t xml:space="preserve">, Crowson CS, Poterucha JJ, Moder KG. Liver involvement in systemic lupus erythematosus: case review of 40 patients. </w:t>
      </w:r>
      <w:r>
        <w:rPr>
          <w:rFonts w:ascii="Book Antiqua" w:hAnsi="Book Antiqua" w:eastAsia="Book Antiqua" w:cs="Book Antiqua"/>
          <w:i/>
          <w:iCs/>
          <w:color w:val="000000"/>
        </w:rPr>
        <w:t>J Rheumatol</w:t>
      </w:r>
      <w:r>
        <w:rPr>
          <w:rFonts w:ascii="Book Antiqua" w:hAnsi="Book Antiqua" w:eastAsia="Book Antiqua" w:cs="Book Antiqua"/>
          <w:color w:val="000000"/>
        </w:rPr>
        <w:t xml:space="preserve"> 2008; </w:t>
      </w:r>
      <w:r>
        <w:rPr>
          <w:rFonts w:ascii="Book Antiqua" w:hAnsi="Book Antiqua" w:eastAsia="Book Antiqua" w:cs="Book Antiqua"/>
          <w:b/>
          <w:bCs/>
          <w:color w:val="000000"/>
        </w:rPr>
        <w:t>35</w:t>
      </w:r>
      <w:r>
        <w:rPr>
          <w:rFonts w:ascii="Book Antiqua" w:hAnsi="Book Antiqua" w:eastAsia="Book Antiqua" w:cs="Book Antiqua"/>
          <w:color w:val="000000"/>
        </w:rPr>
        <w:t>: 2159-2164 [PMID: 18793002 DOI: 10.3899/jrheum.080336]</w:t>
      </w:r>
    </w:p>
    <w:p>
      <w:pPr>
        <w:spacing w:line="360" w:lineRule="auto"/>
        <w:jc w:val="both"/>
      </w:pPr>
      <w:r>
        <w:rPr>
          <w:rFonts w:ascii="Book Antiqua" w:hAnsi="Book Antiqua" w:eastAsia="Book Antiqua" w:cs="Book Antiqua"/>
          <w:color w:val="000000"/>
        </w:rPr>
        <w:t xml:space="preserve">40 </w:t>
      </w:r>
      <w:r>
        <w:rPr>
          <w:rFonts w:ascii="Book Antiqua" w:hAnsi="Book Antiqua" w:eastAsia="Book Antiqua" w:cs="Book Antiqua"/>
          <w:b/>
          <w:bCs/>
          <w:color w:val="000000"/>
        </w:rPr>
        <w:t>Ruiz-Irastorza G</w:t>
      </w:r>
      <w:r>
        <w:rPr>
          <w:rFonts w:ascii="Book Antiqua" w:hAnsi="Book Antiqua" w:eastAsia="Book Antiqua" w:cs="Book Antiqua"/>
          <w:color w:val="000000"/>
        </w:rPr>
        <w:t xml:space="preserve">, Crowther M, Branch W, Khamashta MA. Antiphospholipid syndrome.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2010; </w:t>
      </w:r>
      <w:r>
        <w:rPr>
          <w:rFonts w:ascii="Book Antiqua" w:hAnsi="Book Antiqua" w:eastAsia="Book Antiqua" w:cs="Book Antiqua"/>
          <w:b/>
          <w:bCs/>
          <w:color w:val="000000"/>
        </w:rPr>
        <w:t>376</w:t>
      </w:r>
      <w:r>
        <w:rPr>
          <w:rFonts w:ascii="Book Antiqua" w:hAnsi="Book Antiqua" w:eastAsia="Book Antiqua" w:cs="Book Antiqua"/>
          <w:color w:val="000000"/>
        </w:rPr>
        <w:t>: 1498-1509 [PMID: 20822807 DOI: 10.1016/S0140-6736(10)60709-X]</w:t>
      </w:r>
    </w:p>
    <w:p>
      <w:pPr>
        <w:spacing w:line="360" w:lineRule="auto"/>
        <w:jc w:val="both"/>
      </w:pPr>
      <w:r>
        <w:rPr>
          <w:rFonts w:ascii="Book Antiqua" w:hAnsi="Book Antiqua" w:eastAsia="Book Antiqua" w:cs="Book Antiqua"/>
          <w:color w:val="000000"/>
        </w:rPr>
        <w:t xml:space="preserve">41 </w:t>
      </w:r>
      <w:r>
        <w:rPr>
          <w:rFonts w:ascii="Book Antiqua" w:hAnsi="Book Antiqua" w:eastAsia="Book Antiqua" w:cs="Book Antiqua"/>
          <w:b/>
          <w:bCs/>
          <w:color w:val="000000"/>
        </w:rPr>
        <w:t>Uthman I</w:t>
      </w:r>
      <w:r>
        <w:rPr>
          <w:rFonts w:ascii="Book Antiqua" w:hAnsi="Book Antiqua" w:eastAsia="Book Antiqua" w:cs="Book Antiqua"/>
          <w:color w:val="000000"/>
        </w:rPr>
        <w:t xml:space="preserve">, Khamashta M. The abdominal manifestations of the antiphospholipid syndrome. </w:t>
      </w:r>
      <w:r>
        <w:rPr>
          <w:rFonts w:ascii="Book Antiqua" w:hAnsi="Book Antiqua" w:eastAsia="Book Antiqua" w:cs="Book Antiqua"/>
          <w:i/>
          <w:iCs/>
          <w:color w:val="000000"/>
        </w:rPr>
        <w:t>Rheumatology (Oxford)</w:t>
      </w:r>
      <w:r>
        <w:rPr>
          <w:rFonts w:ascii="Book Antiqua" w:hAnsi="Book Antiqua" w:eastAsia="Book Antiqua" w:cs="Book Antiqua"/>
          <w:color w:val="000000"/>
        </w:rPr>
        <w:t xml:space="preserve"> 2007; </w:t>
      </w:r>
      <w:r>
        <w:rPr>
          <w:rFonts w:ascii="Book Antiqua" w:hAnsi="Book Antiqua" w:eastAsia="Book Antiqua" w:cs="Book Antiqua"/>
          <w:b/>
          <w:bCs/>
          <w:color w:val="000000"/>
        </w:rPr>
        <w:t>46</w:t>
      </w:r>
      <w:r>
        <w:rPr>
          <w:rFonts w:ascii="Book Antiqua" w:hAnsi="Book Antiqua" w:eastAsia="Book Antiqua" w:cs="Book Antiqua"/>
          <w:color w:val="000000"/>
        </w:rPr>
        <w:t>: 1641-1647 [PMID: 17636180 DOI: 10.1093/rheumatology/kem158]</w:t>
      </w:r>
    </w:p>
    <w:p>
      <w:pPr>
        <w:spacing w:line="360" w:lineRule="auto"/>
        <w:jc w:val="both"/>
      </w:pPr>
      <w:r>
        <w:rPr>
          <w:rFonts w:ascii="Book Antiqua" w:hAnsi="Book Antiqua" w:eastAsia="Book Antiqua" w:cs="Book Antiqua"/>
          <w:color w:val="000000"/>
        </w:rPr>
        <w:t xml:space="preserve">42 </w:t>
      </w:r>
      <w:r>
        <w:rPr>
          <w:rFonts w:ascii="Book Antiqua" w:hAnsi="Book Antiqua" w:eastAsia="Book Antiqua" w:cs="Book Antiqua"/>
          <w:b/>
          <w:bCs/>
          <w:color w:val="000000"/>
        </w:rPr>
        <w:t>Guiu B</w:t>
      </w:r>
      <w:r>
        <w:rPr>
          <w:rFonts w:ascii="Book Antiqua" w:hAnsi="Book Antiqua" w:eastAsia="Book Antiqua" w:cs="Book Antiqua"/>
          <w:color w:val="000000"/>
        </w:rPr>
        <w:t xml:space="preserve">, Loffroy R, Cercueil JP, Sagot P, Krausé D, Tixier H. MRI diagnosis and follow-up of hepatic infarction in a patient with antiphospholipid syndrome in early pregnancy. </w:t>
      </w:r>
      <w:r>
        <w:rPr>
          <w:rFonts w:ascii="Book Antiqua" w:hAnsi="Book Antiqua" w:eastAsia="Book Antiqua" w:cs="Book Antiqua"/>
          <w:i/>
          <w:iCs/>
          <w:color w:val="000000"/>
        </w:rPr>
        <w:t>Arch Gynecol Obstet</w:t>
      </w:r>
      <w:r>
        <w:rPr>
          <w:rFonts w:ascii="Book Antiqua" w:hAnsi="Book Antiqua" w:eastAsia="Book Antiqua" w:cs="Book Antiqua"/>
          <w:color w:val="000000"/>
        </w:rPr>
        <w:t xml:space="preserve"> 2011; </w:t>
      </w:r>
      <w:r>
        <w:rPr>
          <w:rFonts w:ascii="Book Antiqua" w:hAnsi="Book Antiqua" w:eastAsia="Book Antiqua" w:cs="Book Antiqua"/>
          <w:b/>
          <w:bCs/>
          <w:color w:val="000000"/>
        </w:rPr>
        <w:t>283</w:t>
      </w:r>
      <w:r>
        <w:rPr>
          <w:rFonts w:ascii="Book Antiqua" w:hAnsi="Book Antiqua" w:eastAsia="Book Antiqua" w:cs="Book Antiqua"/>
          <w:color w:val="000000"/>
        </w:rPr>
        <w:t xml:space="preserve">: 659-662 [PMID: </w:t>
      </w:r>
      <w:bookmarkStart w:id="59" w:name="OLE_LINK3195"/>
      <w:bookmarkStart w:id="60" w:name="OLE_LINK3196"/>
      <w:r>
        <w:rPr>
          <w:rFonts w:ascii="Book Antiqua" w:hAnsi="Book Antiqua" w:eastAsia="Book Antiqua" w:cs="Book Antiqua"/>
          <w:color w:val="000000"/>
        </w:rPr>
        <w:t>20411270</w:t>
      </w:r>
      <w:bookmarkEnd w:id="59"/>
      <w:bookmarkEnd w:id="60"/>
      <w:r>
        <w:rPr>
          <w:rFonts w:ascii="Book Antiqua" w:hAnsi="Book Antiqua" w:eastAsia="Book Antiqua" w:cs="Book Antiqua"/>
          <w:color w:val="000000"/>
        </w:rPr>
        <w:t xml:space="preserve"> DOI: 10.1007/s00404-010-1467-4]</w:t>
      </w:r>
    </w:p>
    <w:p>
      <w:pPr>
        <w:spacing w:line="360" w:lineRule="auto"/>
        <w:jc w:val="both"/>
        <w:rPr>
          <w:lang w:eastAsia="zh-CN"/>
        </w:rPr>
      </w:pPr>
      <w:r>
        <w:rPr>
          <w:rFonts w:ascii="Book Antiqua" w:hAnsi="Book Antiqua" w:eastAsia="Book Antiqua" w:cs="Book Antiqua"/>
          <w:color w:val="000000"/>
        </w:rPr>
        <w:t xml:space="preserve">43 </w:t>
      </w:r>
      <w:r>
        <w:rPr>
          <w:rFonts w:ascii="Book Antiqua" w:hAnsi="Book Antiqua" w:eastAsia="Book Antiqua" w:cs="Book Antiqua"/>
          <w:b/>
          <w:bCs/>
          <w:color w:val="000000"/>
        </w:rPr>
        <w:t>Aydinli M</w:t>
      </w:r>
      <w:r>
        <w:rPr>
          <w:rFonts w:ascii="Book Antiqua" w:hAnsi="Book Antiqua" w:eastAsia="Book Antiqua" w:cs="Book Antiqua"/>
          <w:color w:val="000000"/>
        </w:rPr>
        <w:t xml:space="preserve">, Bayraktar Y. Budd-Chiari syndrome: etiology, pathogenesis and diagnosis.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2007; </w:t>
      </w:r>
      <w:r>
        <w:rPr>
          <w:rFonts w:ascii="Book Antiqua" w:hAnsi="Book Antiqua" w:eastAsia="Book Antiqua" w:cs="Book Antiqua"/>
          <w:b/>
          <w:bCs/>
          <w:color w:val="000000"/>
        </w:rPr>
        <w:t>13</w:t>
      </w:r>
      <w:r>
        <w:rPr>
          <w:rFonts w:ascii="Book Antiqua" w:hAnsi="Book Antiqua" w:eastAsia="Book Antiqua" w:cs="Book Antiqua"/>
          <w:color w:val="000000"/>
        </w:rPr>
        <w:t>: 2693-2696 [PMID: 17569137 DOI: 10.3748/wjg.v13.i19.2693]</w:t>
      </w:r>
    </w:p>
    <w:p>
      <w:pPr>
        <w:spacing w:line="360" w:lineRule="auto"/>
        <w:jc w:val="both"/>
      </w:pPr>
      <w:r>
        <w:rPr>
          <w:rFonts w:ascii="Book Antiqua" w:hAnsi="Book Antiqua" w:eastAsia="Book Antiqua" w:cs="Book Antiqua"/>
          <w:color w:val="000000"/>
        </w:rPr>
        <w:t xml:space="preserve">44 </w:t>
      </w:r>
      <w:r>
        <w:rPr>
          <w:rFonts w:ascii="Book Antiqua" w:hAnsi="Book Antiqua" w:eastAsia="Book Antiqua" w:cs="Book Antiqua"/>
          <w:b/>
          <w:bCs/>
          <w:color w:val="000000"/>
        </w:rPr>
        <w:t>Pandiaraja J</w:t>
      </w:r>
      <w:r>
        <w:rPr>
          <w:rFonts w:ascii="Book Antiqua" w:hAnsi="Book Antiqua" w:eastAsia="Book Antiqua" w:cs="Book Antiqua"/>
          <w:color w:val="000000"/>
        </w:rPr>
        <w:t xml:space="preserve">, Sathyaseelan A. Budd- Chiari Syndrome as an Initial Manifestation of Systemic Lupus Erythematosus. </w:t>
      </w:r>
      <w:r>
        <w:rPr>
          <w:rFonts w:ascii="Book Antiqua" w:hAnsi="Book Antiqua" w:eastAsia="Book Antiqua" w:cs="Book Antiqua"/>
          <w:i/>
          <w:iCs/>
          <w:color w:val="000000"/>
        </w:rPr>
        <w:t>J Clin Diagn Res</w:t>
      </w:r>
      <w:r>
        <w:rPr>
          <w:rFonts w:ascii="Book Antiqua" w:hAnsi="Book Antiqua" w:eastAsia="Book Antiqua" w:cs="Book Antiqua"/>
          <w:color w:val="000000"/>
        </w:rPr>
        <w:t xml:space="preserve"> 2016; </w:t>
      </w:r>
      <w:r>
        <w:rPr>
          <w:rFonts w:ascii="Book Antiqua" w:hAnsi="Book Antiqua" w:eastAsia="Book Antiqua" w:cs="Book Antiqua"/>
          <w:b/>
          <w:bCs/>
          <w:color w:val="000000"/>
        </w:rPr>
        <w:t>10</w:t>
      </w:r>
      <w:r>
        <w:rPr>
          <w:rFonts w:ascii="Book Antiqua" w:hAnsi="Book Antiqua" w:eastAsia="Book Antiqua" w:cs="Book Antiqua"/>
          <w:color w:val="000000"/>
        </w:rPr>
        <w:t>: OD01-OD02 [PMID: 27190864 DOI: 10.7860/JCDR/2016/16623.7532]</w:t>
      </w:r>
    </w:p>
    <w:p>
      <w:pPr>
        <w:spacing w:line="360" w:lineRule="auto"/>
        <w:jc w:val="both"/>
      </w:pPr>
      <w:r>
        <w:rPr>
          <w:rFonts w:ascii="Book Antiqua" w:hAnsi="Book Antiqua" w:eastAsia="Book Antiqua" w:cs="Book Antiqua"/>
          <w:color w:val="000000"/>
        </w:rPr>
        <w:t xml:space="preserve">45 </w:t>
      </w:r>
      <w:r>
        <w:rPr>
          <w:rFonts w:ascii="Book Antiqua" w:hAnsi="Book Antiqua" w:eastAsia="Book Antiqua" w:cs="Book Antiqua"/>
          <w:b/>
          <w:bCs/>
          <w:color w:val="000000"/>
        </w:rPr>
        <w:t>Hartleb M</w:t>
      </w:r>
      <w:r>
        <w:rPr>
          <w:rFonts w:ascii="Book Antiqua" w:hAnsi="Book Antiqua" w:eastAsia="Book Antiqua" w:cs="Book Antiqua"/>
          <w:color w:val="000000"/>
        </w:rPr>
        <w:t xml:space="preserve">, Gutkowski K, Milkiewicz P. Nodular regenerative hyperplasia: evolving concepts on underdiagnosed cause of portal hypertension.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2011; </w:t>
      </w:r>
      <w:r>
        <w:rPr>
          <w:rFonts w:ascii="Book Antiqua" w:hAnsi="Book Antiqua" w:eastAsia="Book Antiqua" w:cs="Book Antiqua"/>
          <w:b/>
          <w:bCs/>
          <w:color w:val="000000"/>
        </w:rPr>
        <w:t>17</w:t>
      </w:r>
      <w:r>
        <w:rPr>
          <w:rFonts w:ascii="Book Antiqua" w:hAnsi="Book Antiqua" w:eastAsia="Book Antiqua" w:cs="Book Antiqua"/>
          <w:color w:val="000000"/>
        </w:rPr>
        <w:t>: 1400-1409 [PMID: 21472097 DOI: 10.3748/wjg.v17.i11.1400]</w:t>
      </w:r>
    </w:p>
    <w:p>
      <w:pPr>
        <w:spacing w:line="360" w:lineRule="auto"/>
        <w:jc w:val="both"/>
      </w:pPr>
      <w:r>
        <w:rPr>
          <w:rFonts w:ascii="Book Antiqua" w:hAnsi="Book Antiqua" w:eastAsia="Book Antiqua" w:cs="Book Antiqua"/>
          <w:color w:val="000000"/>
        </w:rPr>
        <w:t xml:space="preserve">46 </w:t>
      </w:r>
      <w:r>
        <w:rPr>
          <w:rFonts w:ascii="Book Antiqua" w:hAnsi="Book Antiqua" w:eastAsia="Book Antiqua" w:cs="Book Antiqua"/>
          <w:b/>
          <w:bCs/>
          <w:color w:val="000000"/>
        </w:rPr>
        <w:t>Branger S</w:t>
      </w:r>
      <w:r>
        <w:rPr>
          <w:rFonts w:ascii="Book Antiqua" w:hAnsi="Book Antiqua" w:eastAsia="Book Antiqua" w:cs="Book Antiqua"/>
          <w:color w:val="000000"/>
        </w:rPr>
        <w:t xml:space="preserve">, Schleinitz N, Veit V, Martaresche C, Bourlière M, Roblin X, Garcia S, San Marco M, Camoin L, Durand JM, Harlé JR. [Auto-immune hepatitis and antiphospholipids]. </w:t>
      </w:r>
      <w:r>
        <w:rPr>
          <w:rFonts w:ascii="Book Antiqua" w:hAnsi="Book Antiqua" w:eastAsia="Book Antiqua" w:cs="Book Antiqua"/>
          <w:i/>
          <w:iCs/>
          <w:color w:val="000000"/>
        </w:rPr>
        <w:t>Rev Med Interne</w:t>
      </w:r>
      <w:r>
        <w:rPr>
          <w:rFonts w:ascii="Book Antiqua" w:hAnsi="Book Antiqua" w:eastAsia="Book Antiqua" w:cs="Book Antiqua"/>
          <w:color w:val="000000"/>
        </w:rPr>
        <w:t xml:space="preserve"> 2007; </w:t>
      </w:r>
      <w:r>
        <w:rPr>
          <w:rFonts w:ascii="Book Antiqua" w:hAnsi="Book Antiqua" w:eastAsia="Book Antiqua" w:cs="Book Antiqua"/>
          <w:b/>
          <w:bCs/>
          <w:color w:val="000000"/>
        </w:rPr>
        <w:t>28</w:t>
      </w:r>
      <w:r>
        <w:rPr>
          <w:rFonts w:ascii="Book Antiqua" w:hAnsi="Book Antiqua" w:eastAsia="Book Antiqua" w:cs="Book Antiqua"/>
          <w:color w:val="000000"/>
        </w:rPr>
        <w:t>: 218-224 [PMID: 17331625 DOI: 10.1016/j.revmed.2006.12.005]</w:t>
      </w:r>
    </w:p>
    <w:p>
      <w:pPr>
        <w:spacing w:line="360" w:lineRule="auto"/>
        <w:jc w:val="both"/>
      </w:pPr>
      <w:r>
        <w:rPr>
          <w:rFonts w:ascii="Book Antiqua" w:hAnsi="Book Antiqua" w:eastAsia="Book Antiqua" w:cs="Book Antiqua"/>
          <w:color w:val="000000"/>
        </w:rPr>
        <w:t xml:space="preserve">47 </w:t>
      </w:r>
      <w:r>
        <w:rPr>
          <w:rFonts w:ascii="Book Antiqua" w:hAnsi="Book Antiqua" w:eastAsia="Book Antiqua" w:cs="Book Antiqua"/>
          <w:b/>
          <w:bCs/>
          <w:color w:val="000000"/>
        </w:rPr>
        <w:t>Alves SC</w:t>
      </w:r>
      <w:r>
        <w:rPr>
          <w:rFonts w:ascii="Book Antiqua" w:hAnsi="Book Antiqua" w:eastAsia="Book Antiqua" w:cs="Book Antiqua"/>
          <w:color w:val="000000"/>
        </w:rPr>
        <w:t xml:space="preserve">, Fasano S, Isenberg DA. Autoimmune gastrointestinal complications in patients with systemic lupus erythematosus: case series and literature review. </w:t>
      </w:r>
      <w:r>
        <w:rPr>
          <w:rFonts w:ascii="Book Antiqua" w:hAnsi="Book Antiqua" w:eastAsia="Book Antiqua" w:cs="Book Antiqua"/>
          <w:i/>
          <w:iCs/>
          <w:color w:val="000000"/>
        </w:rPr>
        <w:t>Lupus</w:t>
      </w:r>
      <w:r>
        <w:rPr>
          <w:rFonts w:ascii="Book Antiqua" w:hAnsi="Book Antiqua" w:eastAsia="Book Antiqua" w:cs="Book Antiqua"/>
          <w:color w:val="000000"/>
        </w:rPr>
        <w:t xml:space="preserve"> 2016; </w:t>
      </w:r>
      <w:r>
        <w:rPr>
          <w:rFonts w:ascii="Book Antiqua" w:hAnsi="Book Antiqua" w:eastAsia="Book Antiqua" w:cs="Book Antiqua"/>
          <w:b/>
          <w:bCs/>
          <w:color w:val="000000"/>
        </w:rPr>
        <w:t>25</w:t>
      </w:r>
      <w:r>
        <w:rPr>
          <w:rFonts w:ascii="Book Antiqua" w:hAnsi="Book Antiqua" w:eastAsia="Book Antiqua" w:cs="Book Antiqua"/>
          <w:color w:val="000000"/>
        </w:rPr>
        <w:t>: 1509-1519 [PMID: 27329649 DOI: 10.1177/0961203316655210]</w:t>
      </w:r>
    </w:p>
    <w:p>
      <w:pPr>
        <w:spacing w:line="360" w:lineRule="auto"/>
        <w:jc w:val="both"/>
      </w:pPr>
      <w:r>
        <w:rPr>
          <w:rFonts w:ascii="Book Antiqua" w:hAnsi="Book Antiqua" w:eastAsia="Book Antiqua" w:cs="Book Antiqua"/>
          <w:color w:val="000000"/>
        </w:rPr>
        <w:t xml:space="preserve">48 </w:t>
      </w:r>
      <w:r>
        <w:rPr>
          <w:rFonts w:ascii="Book Antiqua" w:hAnsi="Book Antiqua" w:eastAsia="Book Antiqua" w:cs="Book Antiqua"/>
          <w:b/>
          <w:bCs/>
          <w:color w:val="000000"/>
        </w:rPr>
        <w:t>Bessone F</w:t>
      </w:r>
      <w:r>
        <w:rPr>
          <w:rFonts w:ascii="Book Antiqua" w:hAnsi="Book Antiqua" w:eastAsia="Book Antiqua" w:cs="Book Antiqua"/>
          <w:color w:val="000000"/>
        </w:rPr>
        <w:t xml:space="preserve">, Poles N, Roma MG. Challenge of liver disease in systemic lupus erythematosus: Clues for diagnosis and hints for pathogenesis.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2014; </w:t>
      </w:r>
      <w:r>
        <w:rPr>
          <w:rFonts w:ascii="Book Antiqua" w:hAnsi="Book Antiqua" w:eastAsia="Book Antiqua" w:cs="Book Antiqua"/>
          <w:b/>
          <w:bCs/>
          <w:color w:val="000000"/>
        </w:rPr>
        <w:t>6</w:t>
      </w:r>
      <w:r>
        <w:rPr>
          <w:rFonts w:ascii="Book Antiqua" w:hAnsi="Book Antiqua" w:eastAsia="Book Antiqua" w:cs="Book Antiqua"/>
          <w:color w:val="000000"/>
        </w:rPr>
        <w:t>: 394-409 [PMID: 25018850 DOI: 10.4254/wjh.v6.i6.394]</w:t>
      </w:r>
    </w:p>
    <w:p>
      <w:pPr>
        <w:spacing w:line="360" w:lineRule="auto"/>
        <w:jc w:val="both"/>
      </w:pPr>
      <w:r>
        <w:rPr>
          <w:rFonts w:ascii="Book Antiqua" w:hAnsi="Book Antiqua" w:eastAsia="Book Antiqua" w:cs="Book Antiqua"/>
          <w:color w:val="000000"/>
        </w:rPr>
        <w:t xml:space="preserve">49 </w:t>
      </w:r>
      <w:r>
        <w:rPr>
          <w:rFonts w:ascii="Book Antiqua" w:hAnsi="Book Antiqua" w:eastAsia="Book Antiqua" w:cs="Book Antiqua"/>
          <w:b/>
          <w:bCs/>
          <w:color w:val="000000"/>
        </w:rPr>
        <w:t>Ali AH</w:t>
      </w:r>
      <w:r>
        <w:rPr>
          <w:rFonts w:ascii="Book Antiqua" w:hAnsi="Book Antiqua" w:eastAsia="Book Antiqua" w:cs="Book Antiqua"/>
          <w:color w:val="000000"/>
        </w:rPr>
        <w:t xml:space="preserve">, Carey EJ, Lindor KD. The management of autoimmunity in patients with cholestatic liver diseases. </w:t>
      </w:r>
      <w:r>
        <w:rPr>
          <w:rFonts w:ascii="Book Antiqua" w:hAnsi="Book Antiqua" w:eastAsia="Book Antiqua" w:cs="Book Antiqua"/>
          <w:i/>
          <w:iCs/>
          <w:color w:val="000000"/>
        </w:rPr>
        <w:t>Expert Rev Gastroenterol Hepatol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10</w:t>
      </w:r>
      <w:r>
        <w:rPr>
          <w:rFonts w:ascii="Book Antiqua" w:hAnsi="Book Antiqua" w:eastAsia="Book Antiqua" w:cs="Book Antiqua"/>
          <w:color w:val="000000"/>
        </w:rPr>
        <w:t>: 73-91 [PMID: 26523975 DOI: 10.1586/17474124.2016.1095088]</w:t>
      </w:r>
    </w:p>
    <w:p>
      <w:pPr>
        <w:spacing w:line="360" w:lineRule="auto"/>
        <w:jc w:val="both"/>
      </w:pPr>
      <w:r>
        <w:rPr>
          <w:rFonts w:ascii="Book Antiqua" w:hAnsi="Book Antiqua" w:eastAsia="Book Antiqua" w:cs="Book Antiqua"/>
          <w:color w:val="000000"/>
        </w:rPr>
        <w:t xml:space="preserve">50 </w:t>
      </w:r>
      <w:r>
        <w:rPr>
          <w:rFonts w:ascii="Book Antiqua" w:hAnsi="Book Antiqua" w:eastAsia="Book Antiqua" w:cs="Book Antiqua"/>
          <w:b/>
          <w:bCs/>
          <w:color w:val="000000"/>
        </w:rPr>
        <w:t>Heneghan MA</w:t>
      </w:r>
      <w:r>
        <w:rPr>
          <w:rFonts w:ascii="Book Antiqua" w:hAnsi="Book Antiqua" w:eastAsia="Book Antiqua" w:cs="Book Antiqua"/>
          <w:color w:val="000000"/>
        </w:rPr>
        <w:t xml:space="preserve">, Yeoman AD, Verma S, Smith AD, Longhi MS. Autoimmune hepatitis.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2013; </w:t>
      </w:r>
      <w:r>
        <w:rPr>
          <w:rFonts w:ascii="Book Antiqua" w:hAnsi="Book Antiqua" w:eastAsia="Book Antiqua" w:cs="Book Antiqua"/>
          <w:b/>
          <w:bCs/>
          <w:color w:val="000000"/>
        </w:rPr>
        <w:t>382</w:t>
      </w:r>
      <w:r>
        <w:rPr>
          <w:rFonts w:ascii="Book Antiqua" w:hAnsi="Book Antiqua" w:eastAsia="Book Antiqua" w:cs="Book Antiqua"/>
          <w:color w:val="000000"/>
        </w:rPr>
        <w:t>: 1433-1444 [PMID: 23768844 DOI: 10.1016/S0140-6736(12)62163-1]</w:t>
      </w:r>
    </w:p>
    <w:p>
      <w:pPr>
        <w:spacing w:line="360" w:lineRule="auto"/>
        <w:jc w:val="both"/>
      </w:pPr>
      <w:r>
        <w:rPr>
          <w:rFonts w:ascii="Book Antiqua" w:hAnsi="Book Antiqua" w:eastAsia="Book Antiqua" w:cs="Book Antiqua"/>
          <w:color w:val="000000"/>
        </w:rPr>
        <w:t xml:space="preserve">51 </w:t>
      </w:r>
      <w:r>
        <w:rPr>
          <w:rFonts w:ascii="Book Antiqua" w:hAnsi="Book Antiqua" w:eastAsia="Book Antiqua" w:cs="Book Antiqua"/>
          <w:b/>
          <w:bCs/>
          <w:color w:val="000000"/>
        </w:rPr>
        <w:t>Wiegard C</w:t>
      </w:r>
      <w:r>
        <w:rPr>
          <w:rFonts w:ascii="Book Antiqua" w:hAnsi="Book Antiqua" w:eastAsia="Book Antiqua" w:cs="Book Antiqua"/>
          <w:color w:val="000000"/>
        </w:rPr>
        <w:t xml:space="preserve">, Schramm C, Lohse AW. Scoring systems for the diagnosis of autoimmune hepatitis: past, present, and future. </w:t>
      </w:r>
      <w:r>
        <w:rPr>
          <w:rFonts w:ascii="Book Antiqua" w:hAnsi="Book Antiqua" w:eastAsia="Book Antiqua" w:cs="Book Antiqua"/>
          <w:i/>
          <w:iCs/>
          <w:color w:val="000000"/>
        </w:rPr>
        <w:t>Semin Liver Dis</w:t>
      </w:r>
      <w:r>
        <w:rPr>
          <w:rFonts w:ascii="Book Antiqua" w:hAnsi="Book Antiqua" w:eastAsia="Book Antiqua" w:cs="Book Antiqua"/>
          <w:color w:val="000000"/>
        </w:rPr>
        <w:t xml:space="preserve"> 2009; </w:t>
      </w:r>
      <w:r>
        <w:rPr>
          <w:rFonts w:ascii="Book Antiqua" w:hAnsi="Book Antiqua" w:eastAsia="Book Antiqua" w:cs="Book Antiqua"/>
          <w:b/>
          <w:bCs/>
          <w:color w:val="000000"/>
        </w:rPr>
        <w:t>29</w:t>
      </w:r>
      <w:r>
        <w:rPr>
          <w:rFonts w:ascii="Book Antiqua" w:hAnsi="Book Antiqua" w:eastAsia="Book Antiqua" w:cs="Book Antiqua"/>
          <w:color w:val="000000"/>
        </w:rPr>
        <w:t>: 254-261 [PMID: 19675998 DOI: 10.1055/s-0029-1233532]</w:t>
      </w:r>
    </w:p>
    <w:p>
      <w:pPr>
        <w:spacing w:line="360" w:lineRule="auto"/>
        <w:jc w:val="both"/>
      </w:pPr>
      <w:r>
        <w:rPr>
          <w:rFonts w:ascii="Book Antiqua" w:hAnsi="Book Antiqua" w:eastAsia="Book Antiqua" w:cs="Book Antiqua"/>
          <w:color w:val="000000"/>
        </w:rPr>
        <w:t xml:space="preserve">52 </w:t>
      </w:r>
      <w:r>
        <w:rPr>
          <w:rFonts w:ascii="Book Antiqua" w:hAnsi="Book Antiqua" w:eastAsia="Book Antiqua" w:cs="Book Antiqua"/>
          <w:b/>
          <w:bCs/>
          <w:color w:val="000000"/>
        </w:rPr>
        <w:t>Hochberg MC</w:t>
      </w:r>
      <w:r>
        <w:rPr>
          <w:rFonts w:ascii="Book Antiqua" w:hAnsi="Book Antiqua" w:eastAsia="Book Antiqua" w:cs="Book Antiqua"/>
          <w:color w:val="000000"/>
        </w:rPr>
        <w:t xml:space="preserve">. Updating the American College of Rheumatology revised criteria for the classification of systemic lupus erythematosus. </w:t>
      </w:r>
      <w:r>
        <w:rPr>
          <w:rFonts w:ascii="Book Antiqua" w:hAnsi="Book Antiqua" w:eastAsia="Book Antiqua" w:cs="Book Antiqua"/>
          <w:i/>
          <w:iCs/>
          <w:color w:val="000000"/>
        </w:rPr>
        <w:t>Arthritis Rheum</w:t>
      </w:r>
      <w:r>
        <w:rPr>
          <w:rFonts w:ascii="Book Antiqua" w:hAnsi="Book Antiqua" w:eastAsia="Book Antiqua" w:cs="Book Antiqua"/>
          <w:color w:val="000000"/>
        </w:rPr>
        <w:t xml:space="preserve"> 1997; </w:t>
      </w:r>
      <w:r>
        <w:rPr>
          <w:rFonts w:ascii="Book Antiqua" w:hAnsi="Book Antiqua" w:eastAsia="Book Antiqua" w:cs="Book Antiqua"/>
          <w:b/>
          <w:bCs/>
          <w:color w:val="000000"/>
        </w:rPr>
        <w:t>40</w:t>
      </w:r>
      <w:r>
        <w:rPr>
          <w:rFonts w:ascii="Book Antiqua" w:hAnsi="Book Antiqua" w:eastAsia="Book Antiqua" w:cs="Book Antiqua"/>
          <w:color w:val="000000"/>
        </w:rPr>
        <w:t>: 1725 [PMID: 9324032 DOI: 10.1002/art.1780400928]</w:t>
      </w:r>
    </w:p>
    <w:p>
      <w:pPr>
        <w:spacing w:line="360" w:lineRule="auto"/>
        <w:jc w:val="both"/>
      </w:pPr>
      <w:r>
        <w:rPr>
          <w:rFonts w:ascii="Book Antiqua" w:hAnsi="Book Antiqua" w:eastAsia="Book Antiqua" w:cs="Book Antiqua"/>
          <w:color w:val="000000"/>
        </w:rPr>
        <w:t xml:space="preserve">53 </w:t>
      </w:r>
      <w:r>
        <w:rPr>
          <w:rFonts w:ascii="Book Antiqua" w:hAnsi="Book Antiqua" w:eastAsia="Book Antiqua" w:cs="Book Antiqua"/>
          <w:b/>
          <w:bCs/>
          <w:color w:val="000000"/>
        </w:rPr>
        <w:t>Matsumoto T</w:t>
      </w:r>
      <w:r>
        <w:rPr>
          <w:rFonts w:ascii="Book Antiqua" w:hAnsi="Book Antiqua" w:eastAsia="Book Antiqua" w:cs="Book Antiqua"/>
          <w:color w:val="000000"/>
        </w:rPr>
        <w:t xml:space="preserve">, Kobayashi S, Shimizu H, Nakajima M, Watanabe S, Kitami N, Sato N, Abe H, Aoki Y, Hoshi T, Hashimoto H. The liver in collagen diseases: pathologic study of 160 cases with particular reference to hepatic arteritis, primary biliary cirrhosis, autoimmune hepatitis and nodular regenerative hyperplasia of the liver. </w:t>
      </w:r>
      <w:r>
        <w:rPr>
          <w:rFonts w:ascii="Book Antiqua" w:hAnsi="Book Antiqua" w:eastAsia="Book Antiqua" w:cs="Book Antiqua"/>
          <w:i/>
          <w:iCs/>
          <w:color w:val="000000"/>
        </w:rPr>
        <w:t>Liver</w:t>
      </w:r>
      <w:r>
        <w:rPr>
          <w:rFonts w:ascii="Book Antiqua" w:hAnsi="Book Antiqua" w:eastAsia="Book Antiqua" w:cs="Book Antiqua"/>
          <w:color w:val="000000"/>
        </w:rPr>
        <w:t xml:space="preserve"> 2000; </w:t>
      </w:r>
      <w:r>
        <w:rPr>
          <w:rFonts w:ascii="Book Antiqua" w:hAnsi="Book Antiqua" w:eastAsia="Book Antiqua" w:cs="Book Antiqua"/>
          <w:b/>
          <w:bCs/>
          <w:color w:val="000000"/>
        </w:rPr>
        <w:t>20</w:t>
      </w:r>
      <w:r>
        <w:rPr>
          <w:rFonts w:ascii="Book Antiqua" w:hAnsi="Book Antiqua" w:eastAsia="Book Antiqua" w:cs="Book Antiqua"/>
          <w:color w:val="000000"/>
        </w:rPr>
        <w:t>: 366-373 [PMID: 11092254 DOI: 10.1034/j.1600-0676.2000.020005366.x]</w:t>
      </w:r>
    </w:p>
    <w:p>
      <w:pPr>
        <w:spacing w:line="360" w:lineRule="auto"/>
        <w:jc w:val="both"/>
      </w:pPr>
      <w:r>
        <w:rPr>
          <w:rFonts w:ascii="Book Antiqua" w:hAnsi="Book Antiqua" w:eastAsia="Book Antiqua" w:cs="Book Antiqua"/>
          <w:color w:val="000000"/>
        </w:rPr>
        <w:t xml:space="preserve">54 </w:t>
      </w:r>
      <w:r>
        <w:rPr>
          <w:rFonts w:ascii="Book Antiqua" w:hAnsi="Book Antiqua" w:eastAsia="Book Antiqua" w:cs="Book Antiqua"/>
          <w:b/>
          <w:bCs/>
          <w:color w:val="000000"/>
        </w:rPr>
        <w:t>Efe C</w:t>
      </w:r>
      <w:r>
        <w:rPr>
          <w:rFonts w:ascii="Book Antiqua" w:hAnsi="Book Antiqua" w:eastAsia="Book Antiqua" w:cs="Book Antiqua"/>
          <w:color w:val="000000"/>
        </w:rPr>
        <w:t xml:space="preserve">, Purnak T, Ozaslan E, Ozbalkan Z, Karaaslan Y, Altiparmak E, Muratori P, Wahlin S. Autoimmune liver disease in patients with systemic lupus erythematosus: a retrospective analysis of 147 cases. </w:t>
      </w:r>
      <w:r>
        <w:rPr>
          <w:rFonts w:ascii="Book Antiqua" w:hAnsi="Book Antiqua" w:eastAsia="Book Antiqua" w:cs="Book Antiqua"/>
          <w:i/>
          <w:iCs/>
          <w:color w:val="000000"/>
        </w:rPr>
        <w:t>Scand J Gastroenterol</w:t>
      </w:r>
      <w:r>
        <w:rPr>
          <w:rFonts w:ascii="Book Antiqua" w:hAnsi="Book Antiqua" w:eastAsia="Book Antiqua" w:cs="Book Antiqua"/>
          <w:color w:val="000000"/>
        </w:rPr>
        <w:t xml:space="preserve"> 2011; </w:t>
      </w:r>
      <w:r>
        <w:rPr>
          <w:rFonts w:ascii="Book Antiqua" w:hAnsi="Book Antiqua" w:eastAsia="Book Antiqua" w:cs="Book Antiqua"/>
          <w:b/>
          <w:bCs/>
          <w:color w:val="000000"/>
        </w:rPr>
        <w:t>46</w:t>
      </w:r>
      <w:r>
        <w:rPr>
          <w:rFonts w:ascii="Book Antiqua" w:hAnsi="Book Antiqua" w:eastAsia="Book Antiqua" w:cs="Book Antiqua"/>
          <w:color w:val="000000"/>
        </w:rPr>
        <w:t>: 732-737 [PMID: 21348808 DOI: 10.3109/00365521.2011.558114]</w:t>
      </w:r>
    </w:p>
    <w:p>
      <w:pPr>
        <w:spacing w:line="360" w:lineRule="auto"/>
        <w:jc w:val="both"/>
      </w:pPr>
      <w:r>
        <w:rPr>
          <w:rFonts w:ascii="Book Antiqua" w:hAnsi="Book Antiqua" w:eastAsia="Book Antiqua" w:cs="Book Antiqua"/>
          <w:color w:val="000000"/>
        </w:rPr>
        <w:t xml:space="preserve">55 </w:t>
      </w:r>
      <w:r>
        <w:rPr>
          <w:rFonts w:ascii="Book Antiqua" w:hAnsi="Book Antiqua" w:eastAsia="Book Antiqua" w:cs="Book Antiqua"/>
          <w:b/>
          <w:bCs/>
          <w:color w:val="000000"/>
        </w:rPr>
        <w:t>Takahashi A</w:t>
      </w:r>
      <w:r>
        <w:rPr>
          <w:rFonts w:ascii="Book Antiqua" w:hAnsi="Book Antiqua" w:eastAsia="Book Antiqua" w:cs="Book Antiqua"/>
          <w:color w:val="000000"/>
        </w:rPr>
        <w:t xml:space="preserve">, Abe K, Saito R, Iwadate H, Okai K, Katsushima F, Monoe K, Kanno Y, Saito H, Kobayashi H, Watanabe H, Ohira H. Liver dysfunction in patients with systemic lupus erythematosus. </w:t>
      </w:r>
      <w:r>
        <w:rPr>
          <w:rFonts w:ascii="Book Antiqua" w:hAnsi="Book Antiqua" w:eastAsia="Book Antiqua" w:cs="Book Antiqua"/>
          <w:i/>
          <w:iCs/>
          <w:color w:val="000000"/>
        </w:rPr>
        <w:t>Intern Med</w:t>
      </w:r>
      <w:r>
        <w:rPr>
          <w:rFonts w:ascii="Book Antiqua" w:hAnsi="Book Antiqua" w:eastAsia="Book Antiqua" w:cs="Book Antiqua"/>
          <w:color w:val="000000"/>
        </w:rPr>
        <w:t xml:space="preserve"> 2013; </w:t>
      </w:r>
      <w:r>
        <w:rPr>
          <w:rFonts w:ascii="Book Antiqua" w:hAnsi="Book Antiqua" w:eastAsia="Book Antiqua" w:cs="Book Antiqua"/>
          <w:b/>
          <w:bCs/>
          <w:color w:val="000000"/>
        </w:rPr>
        <w:t>52</w:t>
      </w:r>
      <w:r>
        <w:rPr>
          <w:rFonts w:ascii="Book Antiqua" w:hAnsi="Book Antiqua" w:eastAsia="Book Antiqua" w:cs="Book Antiqua"/>
          <w:color w:val="000000"/>
        </w:rPr>
        <w:t>: 1461-1465 [PMID: 23812192 DOI: 10.2169/internalmedicine.52.9458]</w:t>
      </w:r>
    </w:p>
    <w:p>
      <w:pPr>
        <w:spacing w:line="360" w:lineRule="auto"/>
        <w:jc w:val="both"/>
      </w:pPr>
      <w:r>
        <w:rPr>
          <w:rFonts w:ascii="Book Antiqua" w:hAnsi="Book Antiqua" w:eastAsia="Book Antiqua" w:cs="Book Antiqua"/>
          <w:color w:val="000000"/>
        </w:rPr>
        <w:t xml:space="preserve">56 </w:t>
      </w:r>
      <w:r>
        <w:rPr>
          <w:rFonts w:ascii="Book Antiqua" w:hAnsi="Book Antiqua" w:eastAsia="Book Antiqua" w:cs="Book Antiqua"/>
          <w:b/>
          <w:bCs/>
          <w:color w:val="000000"/>
        </w:rPr>
        <w:t>Oka H</w:t>
      </w:r>
      <w:r>
        <w:rPr>
          <w:rFonts w:ascii="Book Antiqua" w:hAnsi="Book Antiqua" w:eastAsia="Book Antiqua" w:cs="Book Antiqua"/>
          <w:color w:val="000000"/>
        </w:rPr>
        <w:t>. The survey of autoimmune hepatitis in Japan. In: Annual Report of the Study Group on Severe Hepatitis. Tokyo: Japanese Ministry of Health and Welfare, 1988: 235-241</w:t>
      </w:r>
    </w:p>
    <w:p>
      <w:pPr>
        <w:spacing w:line="360" w:lineRule="auto"/>
        <w:jc w:val="both"/>
      </w:pPr>
      <w:r>
        <w:rPr>
          <w:rFonts w:ascii="Book Antiqua" w:hAnsi="Book Antiqua" w:eastAsia="Book Antiqua" w:cs="Book Antiqua"/>
          <w:color w:val="000000"/>
        </w:rPr>
        <w:t xml:space="preserve">57 </w:t>
      </w:r>
      <w:r>
        <w:rPr>
          <w:rFonts w:ascii="Book Antiqua" w:hAnsi="Book Antiqua" w:eastAsia="Book Antiqua" w:cs="Book Antiqua"/>
          <w:b/>
          <w:bCs/>
          <w:color w:val="000000"/>
        </w:rPr>
        <w:t>Heijke R</w:t>
      </w:r>
      <w:r>
        <w:rPr>
          <w:rFonts w:ascii="Book Antiqua" w:hAnsi="Book Antiqua" w:eastAsia="Book Antiqua" w:cs="Book Antiqua"/>
          <w:color w:val="000000"/>
        </w:rPr>
        <w:t xml:space="preserve">, Ahmad A, Frodlund M, Wirestam L, Dahlström Ö, Dahle C, Kechagias S, Sjöwall C. Usefulness of Clinical and Laboratory Criteria for Diagnosing Autoimmune Liver Disease among Patients with Systemic Lupus Erythematosus: An Observational Study.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10</w:t>
      </w:r>
      <w:r>
        <w:rPr>
          <w:rFonts w:ascii="Book Antiqua" w:hAnsi="Book Antiqua" w:eastAsia="Book Antiqua" w:cs="Book Antiqua"/>
          <w:color w:val="000000"/>
        </w:rPr>
        <w:t xml:space="preserve"> [PMID: 34501268 DOI: 10.3390/jcm10173820]</w:t>
      </w:r>
    </w:p>
    <w:p>
      <w:pPr>
        <w:spacing w:line="360" w:lineRule="auto"/>
        <w:jc w:val="both"/>
      </w:pPr>
      <w:r>
        <w:rPr>
          <w:rFonts w:ascii="Book Antiqua" w:hAnsi="Book Antiqua" w:eastAsia="Book Antiqua" w:cs="Book Antiqua"/>
          <w:color w:val="000000"/>
        </w:rPr>
        <w:t xml:space="preserve">58 </w:t>
      </w:r>
      <w:r>
        <w:rPr>
          <w:rFonts w:ascii="Book Antiqua" w:hAnsi="Book Antiqua" w:eastAsia="Book Antiqua" w:cs="Book Antiqua"/>
          <w:b/>
          <w:bCs/>
          <w:color w:val="000000"/>
        </w:rPr>
        <w:t>Tamai Y</w:t>
      </w:r>
      <w:r>
        <w:rPr>
          <w:rFonts w:ascii="Book Antiqua" w:hAnsi="Book Antiqua" w:eastAsia="Book Antiqua" w:cs="Book Antiqua"/>
          <w:color w:val="000000"/>
        </w:rPr>
        <w:t xml:space="preserve">, Ito K, Kin F, Fukase M. </w:t>
      </w:r>
      <w:bookmarkStart w:id="61" w:name="OLE_LINK3207"/>
      <w:bookmarkStart w:id="62" w:name="OLE_LINK3208"/>
      <w:r>
        <w:rPr>
          <w:rFonts w:ascii="Book Antiqua" w:hAnsi="Book Antiqua" w:eastAsia="Book Antiqua" w:cs="Book Antiqua"/>
          <w:color w:val="000000"/>
        </w:rPr>
        <w:t>American rheumatism association (ARA) preliminary criteria for the classification of systemic lupus erythematosus and autoimmune hepatitis</w:t>
      </w:r>
      <w:bookmarkEnd w:id="61"/>
      <w:bookmarkEnd w:id="62"/>
      <w:r>
        <w:rPr>
          <w:rFonts w:ascii="Book Antiqua" w:hAnsi="Book Antiqua" w:eastAsia="Book Antiqua" w:cs="Book Antiqua"/>
          <w:color w:val="000000"/>
        </w:rPr>
        <w:t xml:space="preserve">. </w:t>
      </w:r>
      <w:r>
        <w:rPr>
          <w:rFonts w:ascii="Book Antiqua" w:hAnsi="Book Antiqua" w:eastAsia="Book Antiqua" w:cs="Book Antiqua"/>
          <w:i/>
          <w:iCs/>
          <w:color w:val="000000"/>
        </w:rPr>
        <w:t xml:space="preserve">Rheumachi </w:t>
      </w:r>
      <w:r>
        <w:rPr>
          <w:rFonts w:ascii="Book Antiqua" w:hAnsi="Book Antiqua" w:eastAsia="Book Antiqua" w:cs="Book Antiqua"/>
          <w:color w:val="000000"/>
        </w:rPr>
        <w:t xml:space="preserve">1974; </w:t>
      </w:r>
      <w:r>
        <w:rPr>
          <w:rFonts w:ascii="Book Antiqua" w:hAnsi="Book Antiqua" w:eastAsia="Book Antiqua" w:cs="Book Antiqua"/>
          <w:b/>
          <w:bCs/>
          <w:color w:val="000000"/>
        </w:rPr>
        <w:t>14</w:t>
      </w:r>
      <w:r>
        <w:rPr>
          <w:rFonts w:ascii="Book Antiqua" w:hAnsi="Book Antiqua" w:eastAsia="Book Antiqua" w:cs="Book Antiqua"/>
          <w:color w:val="000000"/>
        </w:rPr>
        <w:t>: 88-94</w:t>
      </w:r>
    </w:p>
    <w:p>
      <w:pPr>
        <w:spacing w:line="360" w:lineRule="auto"/>
        <w:jc w:val="both"/>
      </w:pPr>
      <w:r>
        <w:rPr>
          <w:rFonts w:ascii="Book Antiqua" w:hAnsi="Book Antiqua" w:eastAsia="Book Antiqua" w:cs="Book Antiqua"/>
          <w:color w:val="000000"/>
        </w:rPr>
        <w:t xml:space="preserve">59 </w:t>
      </w:r>
      <w:r>
        <w:rPr>
          <w:rFonts w:ascii="Book Antiqua" w:hAnsi="Book Antiqua" w:eastAsia="Book Antiqua" w:cs="Book Antiqua"/>
          <w:b/>
          <w:bCs/>
          <w:color w:val="000000"/>
        </w:rPr>
        <w:t>Barthel HR</w:t>
      </w:r>
      <w:r>
        <w:rPr>
          <w:rFonts w:ascii="Book Antiqua" w:hAnsi="Book Antiqua" w:eastAsia="Book Antiqua" w:cs="Book Antiqua"/>
          <w:color w:val="000000"/>
        </w:rPr>
        <w:t xml:space="preserve">, Wallace DJ, Klinenberg JR. Liver transplantation in patients with systemic lupus erythematosus. </w:t>
      </w:r>
      <w:r>
        <w:rPr>
          <w:rFonts w:ascii="Book Antiqua" w:hAnsi="Book Antiqua" w:eastAsia="Book Antiqua" w:cs="Book Antiqua"/>
          <w:i/>
          <w:iCs/>
          <w:color w:val="000000"/>
        </w:rPr>
        <w:t>Lupus</w:t>
      </w:r>
      <w:r>
        <w:rPr>
          <w:rFonts w:ascii="Book Antiqua" w:hAnsi="Book Antiqua" w:eastAsia="Book Antiqua" w:cs="Book Antiqua"/>
          <w:color w:val="000000"/>
        </w:rPr>
        <w:t xml:space="preserve"> 1995; </w:t>
      </w:r>
      <w:r>
        <w:rPr>
          <w:rFonts w:ascii="Book Antiqua" w:hAnsi="Book Antiqua" w:eastAsia="Book Antiqua" w:cs="Book Antiqua"/>
          <w:b/>
          <w:bCs/>
          <w:color w:val="000000"/>
        </w:rPr>
        <w:t>4</w:t>
      </w:r>
      <w:r>
        <w:rPr>
          <w:rFonts w:ascii="Book Antiqua" w:hAnsi="Book Antiqua" w:eastAsia="Book Antiqua" w:cs="Book Antiqua"/>
          <w:color w:val="000000"/>
        </w:rPr>
        <w:t>: 15-17 [PMID: 7767333 DOI: 10.1177/096120339500400104]</w:t>
      </w:r>
    </w:p>
    <w:p>
      <w:pPr>
        <w:spacing w:line="360" w:lineRule="auto"/>
        <w:jc w:val="both"/>
      </w:pPr>
      <w:r>
        <w:rPr>
          <w:rFonts w:ascii="Book Antiqua" w:hAnsi="Book Antiqua" w:eastAsia="Book Antiqua" w:cs="Book Antiqua"/>
          <w:color w:val="000000"/>
        </w:rPr>
        <w:t xml:space="preserve">60 </w:t>
      </w:r>
      <w:r>
        <w:rPr>
          <w:rFonts w:ascii="Book Antiqua" w:hAnsi="Book Antiqua" w:eastAsia="Book Antiqua" w:cs="Book Antiqua"/>
          <w:b/>
          <w:bCs/>
          <w:color w:val="000000"/>
        </w:rPr>
        <w:t>Wang CR</w:t>
      </w:r>
      <w:r>
        <w:rPr>
          <w:rFonts w:ascii="Book Antiqua" w:hAnsi="Book Antiqua" w:eastAsia="Book Antiqua" w:cs="Book Antiqua"/>
          <w:color w:val="000000"/>
        </w:rPr>
        <w:t xml:space="preserve">, Wu IC, Tsai HW. An overlap syndrome involving systemic lupus erythematosus and autoimmune hepatitis in a patient receiving a living-donor liver transplantation. </w:t>
      </w:r>
      <w:r>
        <w:rPr>
          <w:rFonts w:ascii="Book Antiqua" w:hAnsi="Book Antiqua" w:eastAsia="Book Antiqua" w:cs="Book Antiqua"/>
          <w:i/>
          <w:iCs/>
          <w:color w:val="000000"/>
        </w:rPr>
        <w:t>Lupus</w:t>
      </w:r>
      <w:r>
        <w:rPr>
          <w:rFonts w:ascii="Book Antiqua" w:hAnsi="Book Antiqua" w:eastAsia="Book Antiqua" w:cs="Book Antiqua"/>
          <w:color w:val="000000"/>
        </w:rPr>
        <w:t xml:space="preserve"> 2020; </w:t>
      </w:r>
      <w:r>
        <w:rPr>
          <w:rFonts w:ascii="Book Antiqua" w:hAnsi="Book Antiqua" w:eastAsia="Book Antiqua" w:cs="Book Antiqua"/>
          <w:b/>
          <w:bCs/>
          <w:color w:val="000000"/>
        </w:rPr>
        <w:t>29</w:t>
      </w:r>
      <w:r>
        <w:rPr>
          <w:rFonts w:ascii="Book Antiqua" w:hAnsi="Book Antiqua" w:eastAsia="Book Antiqua" w:cs="Book Antiqua"/>
          <w:color w:val="000000"/>
        </w:rPr>
        <w:t>: 96-97 [PMID: 31830423 DOI: 10.1177/0961203319894381]</w:t>
      </w:r>
    </w:p>
    <w:p>
      <w:pPr>
        <w:spacing w:line="360" w:lineRule="auto"/>
        <w:jc w:val="both"/>
      </w:pPr>
      <w:r>
        <w:rPr>
          <w:rFonts w:ascii="Book Antiqua" w:hAnsi="Book Antiqua" w:eastAsia="Book Antiqua" w:cs="Book Antiqua"/>
          <w:color w:val="000000"/>
        </w:rPr>
        <w:t xml:space="preserve">61 </w:t>
      </w:r>
      <w:r>
        <w:rPr>
          <w:rFonts w:ascii="Book Antiqua" w:hAnsi="Book Antiqua" w:eastAsia="Book Antiqua" w:cs="Book Antiqua"/>
          <w:b/>
          <w:bCs/>
          <w:color w:val="000000"/>
        </w:rPr>
        <w:t>Lleo A</w:t>
      </w:r>
      <w:r>
        <w:rPr>
          <w:rFonts w:ascii="Book Antiqua" w:hAnsi="Book Antiqua" w:eastAsia="Book Antiqua" w:cs="Book Antiqua"/>
          <w:color w:val="000000"/>
        </w:rPr>
        <w:t xml:space="preserve">, Wang GQ, Gershwin ME, Hirschfield GM. Primary biliary cholangitis.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2020; </w:t>
      </w:r>
      <w:r>
        <w:rPr>
          <w:rFonts w:ascii="Book Antiqua" w:hAnsi="Book Antiqua" w:eastAsia="Book Antiqua" w:cs="Book Antiqua"/>
          <w:b/>
          <w:bCs/>
          <w:color w:val="000000"/>
        </w:rPr>
        <w:t>396</w:t>
      </w:r>
      <w:r>
        <w:rPr>
          <w:rFonts w:ascii="Book Antiqua" w:hAnsi="Book Antiqua" w:eastAsia="Book Antiqua" w:cs="Book Antiqua"/>
          <w:color w:val="000000"/>
        </w:rPr>
        <w:t>: 1915-1926 [PMID: 33308474 DOI: 10.1016/S0140-6736(20)31607-X]</w:t>
      </w:r>
    </w:p>
    <w:p>
      <w:pPr>
        <w:spacing w:line="360" w:lineRule="auto"/>
        <w:jc w:val="both"/>
      </w:pPr>
      <w:r>
        <w:rPr>
          <w:rFonts w:ascii="Book Antiqua" w:hAnsi="Book Antiqua" w:eastAsia="Book Antiqua" w:cs="Book Antiqua"/>
          <w:color w:val="000000"/>
        </w:rPr>
        <w:t xml:space="preserve">62 </w:t>
      </w:r>
      <w:r>
        <w:rPr>
          <w:rFonts w:ascii="Book Antiqua" w:hAnsi="Book Antiqua" w:eastAsia="Book Antiqua" w:cs="Book Antiqua"/>
          <w:b/>
          <w:bCs/>
          <w:color w:val="000000"/>
        </w:rPr>
        <w:t>Lindor KD</w:t>
      </w:r>
      <w:r>
        <w:rPr>
          <w:rFonts w:ascii="Book Antiqua" w:hAnsi="Book Antiqua" w:eastAsia="Book Antiqua" w:cs="Book Antiqua"/>
          <w:color w:val="000000"/>
        </w:rPr>
        <w:t xml:space="preserve">, Bowlus CL, Boyer J, Levy C, Mayo M. Primary Biliary Cholangitis: 2018 Practice Guidance from the American Association for the Study of Liver Diseases.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2019; </w:t>
      </w:r>
      <w:r>
        <w:rPr>
          <w:rFonts w:ascii="Book Antiqua" w:hAnsi="Book Antiqua" w:eastAsia="Book Antiqua" w:cs="Book Antiqua"/>
          <w:b/>
          <w:bCs/>
          <w:color w:val="000000"/>
        </w:rPr>
        <w:t>69</w:t>
      </w:r>
      <w:r>
        <w:rPr>
          <w:rFonts w:ascii="Book Antiqua" w:hAnsi="Book Antiqua" w:eastAsia="Book Antiqua" w:cs="Book Antiqua"/>
          <w:color w:val="000000"/>
        </w:rPr>
        <w:t>: 394-419 [PMID: 30070375 DOI: 10.1002/hep.30145]</w:t>
      </w:r>
    </w:p>
    <w:p>
      <w:pPr>
        <w:spacing w:line="360" w:lineRule="auto"/>
        <w:jc w:val="both"/>
      </w:pPr>
      <w:r>
        <w:rPr>
          <w:rFonts w:ascii="Book Antiqua" w:hAnsi="Book Antiqua" w:eastAsia="Book Antiqua" w:cs="Book Antiqua"/>
          <w:color w:val="000000"/>
        </w:rPr>
        <w:t xml:space="preserve">63 </w:t>
      </w:r>
      <w:r>
        <w:rPr>
          <w:rFonts w:ascii="Book Antiqua" w:hAnsi="Book Antiqua" w:eastAsia="Book Antiqua" w:cs="Book Antiqua"/>
          <w:b/>
          <w:bCs/>
          <w:color w:val="000000"/>
        </w:rPr>
        <w:t>Beuers U</w:t>
      </w:r>
      <w:r>
        <w:rPr>
          <w:rFonts w:ascii="Book Antiqua" w:hAnsi="Book Antiqua" w:eastAsia="Book Antiqua" w:cs="Book Antiqua"/>
          <w:color w:val="000000"/>
        </w:rPr>
        <w:t xml:space="preserve">, Gershwin ME, Gish RG, Invernizzi P, Jones DE, Lindor K, Ma X, Mackay IR, Parés A, Tanaka A, Vierling JM, Poupon R. Changing nomenclature for PBC: From 'cirrhosis' to 'cholangitis'.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2015; </w:t>
      </w:r>
      <w:r>
        <w:rPr>
          <w:rFonts w:ascii="Book Antiqua" w:hAnsi="Book Antiqua" w:eastAsia="Book Antiqua" w:cs="Book Antiqua"/>
          <w:b/>
          <w:bCs/>
          <w:color w:val="000000"/>
        </w:rPr>
        <w:t>63</w:t>
      </w:r>
      <w:r>
        <w:rPr>
          <w:rFonts w:ascii="Book Antiqua" w:hAnsi="Book Antiqua" w:eastAsia="Book Antiqua" w:cs="Book Antiqua"/>
          <w:color w:val="000000"/>
        </w:rPr>
        <w:t>: 1285-1287 [PMID: 26385765 DOI: 10.1016/j.jhep.2015.06.031]</w:t>
      </w:r>
    </w:p>
    <w:p>
      <w:pPr>
        <w:spacing w:line="360" w:lineRule="auto"/>
        <w:jc w:val="both"/>
      </w:pPr>
      <w:r>
        <w:rPr>
          <w:rFonts w:ascii="Book Antiqua" w:hAnsi="Book Antiqua" w:eastAsia="Book Antiqua" w:cs="Book Antiqua"/>
          <w:color w:val="000000"/>
        </w:rPr>
        <w:t xml:space="preserve">64 </w:t>
      </w:r>
      <w:r>
        <w:rPr>
          <w:rFonts w:ascii="Book Antiqua" w:hAnsi="Book Antiqua" w:eastAsia="Book Antiqua" w:cs="Book Antiqua"/>
          <w:b/>
          <w:bCs/>
          <w:color w:val="000000"/>
        </w:rPr>
        <w:t>Floreani A</w:t>
      </w:r>
      <w:r>
        <w:rPr>
          <w:rFonts w:ascii="Book Antiqua" w:hAnsi="Book Antiqua" w:eastAsia="Book Antiqua" w:cs="Book Antiqua"/>
          <w:color w:val="000000"/>
        </w:rPr>
        <w:t xml:space="preserve">, Tanaka A, Bowlus C, Gershwin ME. Geoepidemiology and changing mortality in primary biliary cholangitis. </w:t>
      </w:r>
      <w:r>
        <w:rPr>
          <w:rFonts w:ascii="Book Antiqua" w:hAnsi="Book Antiqua" w:eastAsia="Book Antiqua" w:cs="Book Antiqua"/>
          <w:i/>
          <w:iCs/>
          <w:color w:val="000000"/>
        </w:rPr>
        <w:t>J Gastroenterol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52</w:t>
      </w:r>
      <w:r>
        <w:rPr>
          <w:rFonts w:ascii="Book Antiqua" w:hAnsi="Book Antiqua" w:eastAsia="Book Antiqua" w:cs="Book Antiqua"/>
          <w:color w:val="000000"/>
        </w:rPr>
        <w:t>: 655-662 [PMID: 28365879 DOI: 10.1007/s00535-017-1333-2]</w:t>
      </w:r>
    </w:p>
    <w:p>
      <w:pPr>
        <w:spacing w:line="360" w:lineRule="auto"/>
        <w:jc w:val="both"/>
      </w:pPr>
      <w:r>
        <w:rPr>
          <w:rFonts w:ascii="Book Antiqua" w:hAnsi="Book Antiqua" w:eastAsia="Book Antiqua" w:cs="Book Antiqua"/>
          <w:color w:val="000000"/>
        </w:rPr>
        <w:t xml:space="preserve">65 </w:t>
      </w:r>
      <w:r>
        <w:rPr>
          <w:rFonts w:ascii="Book Antiqua" w:hAnsi="Book Antiqua" w:eastAsia="Book Antiqua" w:cs="Book Antiqua"/>
          <w:b/>
          <w:bCs/>
          <w:color w:val="000000"/>
        </w:rPr>
        <w:t>Kottyan LC</w:t>
      </w:r>
      <w:r>
        <w:rPr>
          <w:rFonts w:ascii="Book Antiqua" w:hAnsi="Book Antiqua" w:eastAsia="Book Antiqua" w:cs="Book Antiqua"/>
          <w:color w:val="000000"/>
        </w:rPr>
        <w:t xml:space="preserve">, Zoller EE, Bene J, Lu X, Kelly JA, Rupert AM, Lessard CJ, Vaughn SE, Marion M, Weirauch MT, Namjou B, Adler A, Rasmussen A, Glenn S, Montgomery CG, Hirschfield GM, Xie G, Coltescu C, Amos C, Li H, Ice JA, Nath SK, Mariette X, Bowman S; UK Primary Sjögren's Syndrome Registry, Rischmueller M, Lester S, Brun JG, Gøransson LG, Harboe E, Omdal R, Cunninghame-Graham DS, Vyse T, Miceli-Richard C, Brennan MT, Lessard JA, Wahren-Herlenius M, Kvarnström M, Illei GG, Witte T, Jonsson R, Eriksson P, Nordmark G, Ng WF; UK Primary Sjögren's Syndrome Registry, Anaya JM, Rhodus NL, Segal BM, Merrill JT, James JA, Guthridge JM, Scofield RH, Alarcon-Riquelme M, Bae SC, Boackle SA, Criswell LA, Gilkeson G, Kamen DL, Jacob CO, Kimberly R, Brown E, Edberg J, Alarcón GS, Reveille JD, Vilá LM, Petri M, Ramsey-Goldman R, Freedman BI, Niewold T, Stevens AM, Tsao BP, Ying J, Mayes MD, Gorlova OY, Wakeland W, Radstake T, Martin E, Martin J, Siminovitch K, Moser Sivils KL, Gaffney PM, Langefeld CD, Harley JB, Kaufman KM. The IRF5-TNPO3 association with systemic lupus erythematosus has two components that other autoimmune disorders variably share. </w:t>
      </w:r>
      <w:r>
        <w:rPr>
          <w:rFonts w:ascii="Book Antiqua" w:hAnsi="Book Antiqua" w:eastAsia="Book Antiqua" w:cs="Book Antiqua"/>
          <w:i/>
          <w:iCs/>
          <w:color w:val="000000"/>
        </w:rPr>
        <w:t>Hum Mol Genet</w:t>
      </w:r>
      <w:r>
        <w:rPr>
          <w:rFonts w:ascii="Book Antiqua" w:hAnsi="Book Antiqua" w:eastAsia="Book Antiqua" w:cs="Book Antiqua"/>
          <w:color w:val="000000"/>
        </w:rPr>
        <w:t xml:space="preserve"> 2015; </w:t>
      </w:r>
      <w:r>
        <w:rPr>
          <w:rFonts w:ascii="Book Antiqua" w:hAnsi="Book Antiqua" w:eastAsia="Book Antiqua" w:cs="Book Antiqua"/>
          <w:b/>
          <w:bCs/>
          <w:color w:val="000000"/>
        </w:rPr>
        <w:t>24</w:t>
      </w:r>
      <w:r>
        <w:rPr>
          <w:rFonts w:ascii="Book Antiqua" w:hAnsi="Book Antiqua" w:eastAsia="Book Antiqua" w:cs="Book Antiqua"/>
          <w:color w:val="000000"/>
        </w:rPr>
        <w:t>: 582-596 [PMID: 25205108 DOI: 10.1093/hmg/ddu455]</w:t>
      </w:r>
    </w:p>
    <w:p>
      <w:pPr>
        <w:spacing w:line="360" w:lineRule="auto"/>
        <w:jc w:val="both"/>
      </w:pPr>
      <w:r>
        <w:rPr>
          <w:rFonts w:ascii="Book Antiqua" w:hAnsi="Book Antiqua" w:eastAsia="Book Antiqua" w:cs="Book Antiqua"/>
          <w:color w:val="000000"/>
        </w:rPr>
        <w:t xml:space="preserve">66 </w:t>
      </w:r>
      <w:r>
        <w:rPr>
          <w:rFonts w:ascii="Book Antiqua" w:hAnsi="Book Antiqua" w:eastAsia="Book Antiqua" w:cs="Book Antiqua"/>
          <w:b/>
          <w:bCs/>
          <w:color w:val="000000"/>
        </w:rPr>
        <w:t>Shizuma T</w:t>
      </w:r>
      <w:r>
        <w:rPr>
          <w:rFonts w:ascii="Book Antiqua" w:hAnsi="Book Antiqua" w:eastAsia="Book Antiqua" w:cs="Book Antiqua"/>
          <w:color w:val="000000"/>
        </w:rPr>
        <w:t xml:space="preserve">. Clinical Characteristics of Concomitant Systemic Lupus Erythematosus and Primary Biliary Cirrhosis: A Literature Review. </w:t>
      </w:r>
      <w:r>
        <w:rPr>
          <w:rFonts w:ascii="Book Antiqua" w:hAnsi="Book Antiqua" w:eastAsia="Book Antiqua" w:cs="Book Antiqua"/>
          <w:i/>
          <w:iCs/>
          <w:color w:val="000000"/>
        </w:rPr>
        <w:t>J Immunol Res</w:t>
      </w:r>
      <w:r>
        <w:rPr>
          <w:rFonts w:ascii="Book Antiqua" w:hAnsi="Book Antiqua" w:eastAsia="Book Antiqua" w:cs="Book Antiqua"/>
          <w:color w:val="000000"/>
        </w:rPr>
        <w:t xml:space="preserve"> 2015; </w:t>
      </w:r>
      <w:r>
        <w:rPr>
          <w:rFonts w:ascii="Book Antiqua" w:hAnsi="Book Antiqua" w:eastAsia="Book Antiqua" w:cs="Book Antiqua"/>
          <w:b/>
          <w:bCs/>
          <w:color w:val="000000"/>
        </w:rPr>
        <w:t>2015</w:t>
      </w:r>
      <w:r>
        <w:rPr>
          <w:rFonts w:ascii="Book Antiqua" w:hAnsi="Book Antiqua" w:eastAsia="Book Antiqua" w:cs="Book Antiqua"/>
          <w:color w:val="000000"/>
        </w:rPr>
        <w:t>: 713728 [PMID: 26090497 DOI: 10.1155/2015/713728]</w:t>
      </w:r>
    </w:p>
    <w:p>
      <w:pPr>
        <w:spacing w:line="360" w:lineRule="auto"/>
        <w:jc w:val="both"/>
      </w:pPr>
      <w:r>
        <w:rPr>
          <w:rFonts w:ascii="Book Antiqua" w:hAnsi="Book Antiqua" w:eastAsia="Book Antiqua" w:cs="Book Antiqua"/>
          <w:color w:val="000000"/>
        </w:rPr>
        <w:t xml:space="preserve">67 </w:t>
      </w:r>
      <w:r>
        <w:rPr>
          <w:rFonts w:ascii="Book Antiqua" w:hAnsi="Book Antiqua" w:eastAsia="Book Antiqua" w:cs="Book Antiqua"/>
          <w:b/>
          <w:bCs/>
          <w:color w:val="000000"/>
        </w:rPr>
        <w:t>Boberg KM</w:t>
      </w:r>
      <w:r>
        <w:rPr>
          <w:rFonts w:ascii="Book Antiqua" w:hAnsi="Book Antiqua" w:eastAsia="Book Antiqua" w:cs="Book Antiqua"/>
          <w:color w:val="000000"/>
        </w:rPr>
        <w:t xml:space="preserve">, Chapman RW, Hirschfield GM, Lohse AW, Manns MP, Schrumpf E; International Autoimmune Hepatitis Group. Overlap syndromes: the International Autoimmune Hepatitis Group (IAIHG) position statement on a controversial issue.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2011; </w:t>
      </w:r>
      <w:r>
        <w:rPr>
          <w:rFonts w:ascii="Book Antiqua" w:hAnsi="Book Antiqua" w:eastAsia="Book Antiqua" w:cs="Book Antiqua"/>
          <w:b/>
          <w:bCs/>
          <w:color w:val="000000"/>
        </w:rPr>
        <w:t>54</w:t>
      </w:r>
      <w:r>
        <w:rPr>
          <w:rFonts w:ascii="Book Antiqua" w:hAnsi="Book Antiqua" w:eastAsia="Book Antiqua" w:cs="Book Antiqua"/>
          <w:color w:val="000000"/>
        </w:rPr>
        <w:t>: 374-385 [PMID: 21067838 DOI: 10.1016/j.jhep.2010.09.002]</w:t>
      </w:r>
    </w:p>
    <w:p>
      <w:pPr>
        <w:spacing w:line="360" w:lineRule="auto"/>
        <w:jc w:val="both"/>
      </w:pPr>
      <w:r>
        <w:rPr>
          <w:rFonts w:ascii="Book Antiqua" w:hAnsi="Book Antiqua" w:eastAsia="Book Antiqua" w:cs="Book Antiqua"/>
          <w:color w:val="000000"/>
        </w:rPr>
        <w:t xml:space="preserve">68 </w:t>
      </w:r>
      <w:r>
        <w:rPr>
          <w:rFonts w:ascii="Book Antiqua" w:hAnsi="Book Antiqua" w:eastAsia="Book Antiqua" w:cs="Book Antiqua"/>
          <w:b/>
          <w:bCs/>
          <w:color w:val="000000"/>
        </w:rPr>
        <w:t>Chazouillères O</w:t>
      </w:r>
      <w:r>
        <w:rPr>
          <w:rFonts w:ascii="Book Antiqua" w:hAnsi="Book Antiqua" w:eastAsia="Book Antiqua" w:cs="Book Antiqua"/>
          <w:color w:val="000000"/>
        </w:rPr>
        <w:t xml:space="preserve">, Wendum D, Serfaty L, Montembault S, Rosmorduc O, Poupon R. Primary biliary cirrhosis-autoimmune hepatitis overlap syndrome: clinical features and response to therapy.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1998; </w:t>
      </w:r>
      <w:r>
        <w:rPr>
          <w:rFonts w:ascii="Book Antiqua" w:hAnsi="Book Antiqua" w:eastAsia="Book Antiqua" w:cs="Book Antiqua"/>
          <w:b/>
          <w:bCs/>
          <w:color w:val="000000"/>
        </w:rPr>
        <w:t>28</w:t>
      </w:r>
      <w:r>
        <w:rPr>
          <w:rFonts w:ascii="Book Antiqua" w:hAnsi="Book Antiqua" w:eastAsia="Book Antiqua" w:cs="Book Antiqua"/>
          <w:color w:val="000000"/>
        </w:rPr>
        <w:t>: 296-301 [PMID: 9695990 DOI: 10.1002/hep.510280203]</w:t>
      </w:r>
    </w:p>
    <w:p>
      <w:pPr>
        <w:spacing w:line="360" w:lineRule="auto"/>
        <w:jc w:val="both"/>
      </w:pPr>
      <w:r>
        <w:rPr>
          <w:rFonts w:ascii="Book Antiqua" w:hAnsi="Book Antiqua" w:eastAsia="Book Antiqua" w:cs="Book Antiqua"/>
          <w:color w:val="000000"/>
        </w:rPr>
        <w:t xml:space="preserve">69 </w:t>
      </w:r>
      <w:r>
        <w:rPr>
          <w:rFonts w:ascii="Book Antiqua" w:hAnsi="Book Antiqua" w:eastAsia="Book Antiqua" w:cs="Book Antiqua"/>
          <w:b/>
          <w:bCs/>
          <w:color w:val="000000"/>
        </w:rPr>
        <w:t>To U</w:t>
      </w:r>
      <w:r>
        <w:rPr>
          <w:rFonts w:ascii="Book Antiqua" w:hAnsi="Book Antiqua" w:eastAsia="Book Antiqua" w:cs="Book Antiqua"/>
          <w:color w:val="000000"/>
        </w:rPr>
        <w:t xml:space="preserve">, Silveira M. Overlap Syndrome of Autoimmune Hepatitis and Primary Biliary Cholangitis. </w:t>
      </w:r>
      <w:r>
        <w:rPr>
          <w:rFonts w:ascii="Book Antiqua" w:hAnsi="Book Antiqua" w:eastAsia="Book Antiqua" w:cs="Book Antiqua"/>
          <w:i/>
          <w:iCs/>
          <w:color w:val="000000"/>
        </w:rPr>
        <w:t>Clin Liver Dis</w:t>
      </w:r>
      <w:r>
        <w:rPr>
          <w:rFonts w:ascii="Book Antiqua" w:hAnsi="Book Antiqua" w:eastAsia="Book Antiqua" w:cs="Book Antiqua"/>
          <w:color w:val="000000"/>
        </w:rPr>
        <w:t xml:space="preserve"> 2018; </w:t>
      </w:r>
      <w:r>
        <w:rPr>
          <w:rFonts w:ascii="Book Antiqua" w:hAnsi="Book Antiqua" w:eastAsia="Book Antiqua" w:cs="Book Antiqua"/>
          <w:b/>
          <w:bCs/>
          <w:color w:val="000000"/>
        </w:rPr>
        <w:t>22</w:t>
      </w:r>
      <w:r>
        <w:rPr>
          <w:rFonts w:ascii="Book Antiqua" w:hAnsi="Book Antiqua" w:eastAsia="Book Antiqua" w:cs="Book Antiqua"/>
          <w:color w:val="000000"/>
        </w:rPr>
        <w:t>: 603-611 [PMID: 30259856 DOI: 10.1016/j.cld.2018.03.010]</w:t>
      </w:r>
    </w:p>
    <w:p>
      <w:pPr>
        <w:spacing w:line="360" w:lineRule="auto"/>
        <w:jc w:val="both"/>
      </w:pPr>
      <w:r>
        <w:rPr>
          <w:rFonts w:ascii="Book Antiqua" w:hAnsi="Book Antiqua" w:eastAsia="Book Antiqua" w:cs="Book Antiqua"/>
          <w:color w:val="000000"/>
        </w:rPr>
        <w:t xml:space="preserve">70 </w:t>
      </w:r>
      <w:r>
        <w:rPr>
          <w:rFonts w:ascii="Book Antiqua" w:hAnsi="Book Antiqua" w:eastAsia="Book Antiqua" w:cs="Book Antiqua"/>
          <w:b/>
          <w:bCs/>
          <w:color w:val="000000"/>
        </w:rPr>
        <w:t>González LA</w:t>
      </w:r>
      <w:r>
        <w:rPr>
          <w:rFonts w:ascii="Book Antiqua" w:hAnsi="Book Antiqua" w:eastAsia="Book Antiqua" w:cs="Book Antiqua"/>
          <w:color w:val="000000"/>
        </w:rPr>
        <w:t xml:space="preserve">, Orrego M, Ramírez LA, Vásquez G. Primary biliary cirrhosis/autoimmune hepatitis overlap syndrome developing in a patient with systemic lupus erythematosus: a case report and review of the literature. </w:t>
      </w:r>
      <w:r>
        <w:rPr>
          <w:rFonts w:ascii="Book Antiqua" w:hAnsi="Book Antiqua" w:eastAsia="Book Antiqua" w:cs="Book Antiqua"/>
          <w:i/>
          <w:iCs/>
          <w:color w:val="000000"/>
        </w:rPr>
        <w:t>Lupus</w:t>
      </w:r>
      <w:r>
        <w:rPr>
          <w:rFonts w:ascii="Book Antiqua" w:hAnsi="Book Antiqua" w:eastAsia="Book Antiqua" w:cs="Book Antiqua"/>
          <w:color w:val="000000"/>
        </w:rPr>
        <w:t xml:space="preserve"> 2011; </w:t>
      </w:r>
      <w:r>
        <w:rPr>
          <w:rFonts w:ascii="Book Antiqua" w:hAnsi="Book Antiqua" w:eastAsia="Book Antiqua" w:cs="Book Antiqua"/>
          <w:b/>
          <w:bCs/>
          <w:color w:val="000000"/>
        </w:rPr>
        <w:t>20</w:t>
      </w:r>
      <w:r>
        <w:rPr>
          <w:rFonts w:ascii="Book Antiqua" w:hAnsi="Book Antiqua" w:eastAsia="Book Antiqua" w:cs="Book Antiqua"/>
          <w:color w:val="000000"/>
        </w:rPr>
        <w:t>: 108-111 [PMID: 20724352 DOI: 10.1177/0961203310378673]</w:t>
      </w:r>
    </w:p>
    <w:p>
      <w:pPr>
        <w:spacing w:line="360" w:lineRule="auto"/>
        <w:jc w:val="both"/>
      </w:pPr>
      <w:r>
        <w:rPr>
          <w:rFonts w:ascii="Book Antiqua" w:hAnsi="Book Antiqua" w:eastAsia="Book Antiqua" w:cs="Book Antiqua"/>
          <w:color w:val="000000"/>
        </w:rPr>
        <w:t xml:space="preserve">71 </w:t>
      </w:r>
      <w:r>
        <w:rPr>
          <w:rFonts w:ascii="Book Antiqua" w:hAnsi="Book Antiqua" w:eastAsia="Book Antiqua" w:cs="Book Antiqua"/>
          <w:b/>
          <w:bCs/>
          <w:color w:val="000000"/>
        </w:rPr>
        <w:t>Efe C</w:t>
      </w:r>
      <w:r>
        <w:rPr>
          <w:rFonts w:ascii="Book Antiqua" w:hAnsi="Book Antiqua" w:eastAsia="Book Antiqua" w:cs="Book Antiqua"/>
          <w:color w:val="000000"/>
        </w:rPr>
        <w:t xml:space="preserve">, Wahlin S, Ozaslan E, Berlot AH, Purnak T, Muratori L, Quarneti C, Yüksel O, Thiéfin G, Muratori P. Autoimmune hepatitis/primary biliary cirrhosis overlap syndrome and associated extrahepatic autoimmune diseases. </w:t>
      </w:r>
      <w:r>
        <w:rPr>
          <w:rFonts w:ascii="Book Antiqua" w:hAnsi="Book Antiqua" w:eastAsia="Book Antiqua" w:cs="Book Antiqua"/>
          <w:i/>
          <w:iCs/>
          <w:color w:val="000000"/>
        </w:rPr>
        <w:t>Eur J Gastroenterol Hepatol</w:t>
      </w:r>
      <w:r>
        <w:rPr>
          <w:rFonts w:ascii="Book Antiqua" w:hAnsi="Book Antiqua" w:eastAsia="Book Antiqua" w:cs="Book Antiqua"/>
          <w:color w:val="000000"/>
        </w:rPr>
        <w:t xml:space="preserve"> 2012; </w:t>
      </w:r>
      <w:r>
        <w:rPr>
          <w:rFonts w:ascii="Book Antiqua" w:hAnsi="Book Antiqua" w:eastAsia="Book Antiqua" w:cs="Book Antiqua"/>
          <w:b/>
          <w:bCs/>
          <w:color w:val="000000"/>
        </w:rPr>
        <w:t>24</w:t>
      </w:r>
      <w:r>
        <w:rPr>
          <w:rFonts w:ascii="Book Antiqua" w:hAnsi="Book Antiqua" w:eastAsia="Book Antiqua" w:cs="Book Antiqua"/>
          <w:color w:val="000000"/>
        </w:rPr>
        <w:t>: 531-534 [PMID: 22465972 DOI: 10.1097/MEG.0b013e328350f95b]</w:t>
      </w:r>
    </w:p>
    <w:p>
      <w:pPr>
        <w:spacing w:line="360" w:lineRule="auto"/>
        <w:jc w:val="both"/>
      </w:pPr>
      <w:r>
        <w:rPr>
          <w:rFonts w:ascii="Book Antiqua" w:hAnsi="Book Antiqua" w:eastAsia="Book Antiqua" w:cs="Book Antiqua"/>
          <w:color w:val="000000"/>
        </w:rPr>
        <w:t xml:space="preserve">72 </w:t>
      </w:r>
      <w:r>
        <w:rPr>
          <w:rFonts w:ascii="Book Antiqua" w:hAnsi="Book Antiqua" w:eastAsia="Book Antiqua" w:cs="Book Antiqua"/>
          <w:b/>
          <w:bCs/>
          <w:color w:val="000000"/>
        </w:rPr>
        <w:t>Tanaka A</w:t>
      </w:r>
      <w:r>
        <w:rPr>
          <w:rFonts w:ascii="Book Antiqua" w:hAnsi="Book Antiqua" w:eastAsia="Book Antiqua" w:cs="Book Antiqua"/>
          <w:color w:val="000000"/>
        </w:rPr>
        <w:t xml:space="preserve">, Ma X, Yokosuka O, Weltman M, You H, Amarapurkar DN, Kim YJ, Abbas Z, Payawal DA, Chang ML, Efe C, Ozaslan E, Abe M, Mitchell-Thain R, Zeniya M, Han KH, Vierling JM, Takikawa H. Autoimmune liver diseases in the Asia-Pacific region: Proceedings of APASL symposium on AIH and PBC 2016. </w:t>
      </w:r>
      <w:r>
        <w:rPr>
          <w:rFonts w:ascii="Book Antiqua" w:hAnsi="Book Antiqua" w:eastAsia="Book Antiqua" w:cs="Book Antiqua"/>
          <w:i/>
          <w:iCs/>
          <w:color w:val="000000"/>
        </w:rPr>
        <w:t>Hepatol Int</w:t>
      </w:r>
      <w:r>
        <w:rPr>
          <w:rFonts w:ascii="Book Antiqua" w:hAnsi="Book Antiqua" w:eastAsia="Book Antiqua" w:cs="Book Antiqua"/>
          <w:color w:val="000000"/>
        </w:rPr>
        <w:t xml:space="preserve"> 2016; </w:t>
      </w:r>
      <w:r>
        <w:rPr>
          <w:rFonts w:ascii="Book Antiqua" w:hAnsi="Book Antiqua" w:eastAsia="Book Antiqua" w:cs="Book Antiqua"/>
          <w:b/>
          <w:bCs/>
          <w:color w:val="000000"/>
        </w:rPr>
        <w:t>10</w:t>
      </w:r>
      <w:r>
        <w:rPr>
          <w:rFonts w:ascii="Book Antiqua" w:hAnsi="Book Antiqua" w:eastAsia="Book Antiqua" w:cs="Book Antiqua"/>
          <w:color w:val="000000"/>
        </w:rPr>
        <w:t>: 909-915 [PMID: 27649967 DOI: 10.1007/s12072-016-9767-9]</w:t>
      </w:r>
    </w:p>
    <w:p>
      <w:pPr>
        <w:spacing w:line="360" w:lineRule="auto"/>
        <w:jc w:val="both"/>
      </w:pPr>
      <w:r>
        <w:rPr>
          <w:rFonts w:ascii="Book Antiqua" w:hAnsi="Book Antiqua" w:eastAsia="Book Antiqua" w:cs="Book Antiqua"/>
          <w:color w:val="000000"/>
        </w:rPr>
        <w:t xml:space="preserve">73 </w:t>
      </w:r>
      <w:r>
        <w:rPr>
          <w:rFonts w:ascii="Book Antiqua" w:hAnsi="Book Antiqua" w:eastAsia="Book Antiqua" w:cs="Book Antiqua"/>
          <w:b/>
          <w:bCs/>
          <w:color w:val="000000"/>
        </w:rPr>
        <w:t>Lin CL</w:t>
      </w:r>
      <w:r>
        <w:rPr>
          <w:rFonts w:ascii="Book Antiqua" w:hAnsi="Book Antiqua" w:eastAsia="Book Antiqua" w:cs="Book Antiqua"/>
          <w:color w:val="000000"/>
        </w:rPr>
        <w:t xml:space="preserve">, Kao JH. Perspectives and control of hepatitis B virus infection in Taiwan. </w:t>
      </w:r>
      <w:r>
        <w:rPr>
          <w:rFonts w:ascii="Book Antiqua" w:hAnsi="Book Antiqua" w:eastAsia="Book Antiqua" w:cs="Book Antiqua"/>
          <w:i/>
          <w:iCs/>
          <w:color w:val="000000"/>
        </w:rPr>
        <w:t>J Formos Med Assoc</w:t>
      </w:r>
      <w:r>
        <w:rPr>
          <w:rFonts w:ascii="Book Antiqua" w:hAnsi="Book Antiqua" w:eastAsia="Book Antiqua" w:cs="Book Antiqua"/>
          <w:color w:val="000000"/>
        </w:rPr>
        <w:t xml:space="preserve"> 2015; </w:t>
      </w:r>
      <w:r>
        <w:rPr>
          <w:rFonts w:ascii="Book Antiqua" w:hAnsi="Book Antiqua" w:eastAsia="Book Antiqua" w:cs="Book Antiqua"/>
          <w:b/>
          <w:bCs/>
          <w:color w:val="000000"/>
        </w:rPr>
        <w:t>114</w:t>
      </w:r>
      <w:r>
        <w:rPr>
          <w:rFonts w:ascii="Book Antiqua" w:hAnsi="Book Antiqua" w:eastAsia="Book Antiqua" w:cs="Book Antiqua"/>
          <w:color w:val="000000"/>
        </w:rPr>
        <w:t>: 901-909 [PMID: 26184565 DOI: 10.1016/j.jfma.2015.06.003]</w:t>
      </w:r>
    </w:p>
    <w:p>
      <w:pPr>
        <w:spacing w:line="360" w:lineRule="auto"/>
        <w:jc w:val="both"/>
      </w:pPr>
      <w:r>
        <w:rPr>
          <w:rFonts w:ascii="Book Antiqua" w:hAnsi="Book Antiqua" w:eastAsia="Book Antiqua" w:cs="Book Antiqua"/>
          <w:color w:val="000000"/>
        </w:rPr>
        <w:t xml:space="preserve">74 </w:t>
      </w:r>
      <w:r>
        <w:rPr>
          <w:rFonts w:ascii="Book Antiqua" w:hAnsi="Book Antiqua" w:eastAsia="Book Antiqua" w:cs="Book Antiqua"/>
          <w:b/>
          <w:bCs/>
          <w:color w:val="000000"/>
        </w:rPr>
        <w:t>Koay LB</w:t>
      </w:r>
      <w:r>
        <w:rPr>
          <w:rFonts w:ascii="Book Antiqua" w:hAnsi="Book Antiqua" w:eastAsia="Book Antiqua" w:cs="Book Antiqua"/>
          <w:color w:val="000000"/>
        </w:rPr>
        <w:t xml:space="preserve">, Lin CY, Tsai SL, Lee C, Lin CN, Sheu MJ, Kuo HT, Sun CS. Type 1 autoimmune hepatitis in Taiwan: diagnosis using the revised criteria of the International Autoimmune Hepatitis Group.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2006; </w:t>
      </w:r>
      <w:r>
        <w:rPr>
          <w:rFonts w:ascii="Book Antiqua" w:hAnsi="Book Antiqua" w:eastAsia="Book Antiqua" w:cs="Book Antiqua"/>
          <w:b/>
          <w:bCs/>
          <w:color w:val="000000"/>
        </w:rPr>
        <w:t>51</w:t>
      </w:r>
      <w:r>
        <w:rPr>
          <w:rFonts w:ascii="Book Antiqua" w:hAnsi="Book Antiqua" w:eastAsia="Book Antiqua" w:cs="Book Antiqua"/>
          <w:color w:val="000000"/>
        </w:rPr>
        <w:t>: 1978-1984 [PMID: 17053960 DOI: 10.1007/s10620-005-9068-y]</w:t>
      </w:r>
    </w:p>
    <w:p>
      <w:pPr>
        <w:spacing w:line="360" w:lineRule="auto"/>
        <w:jc w:val="both"/>
      </w:pPr>
      <w:r>
        <w:rPr>
          <w:rFonts w:ascii="Book Antiqua" w:hAnsi="Book Antiqua" w:eastAsia="Book Antiqua" w:cs="Book Antiqua"/>
          <w:color w:val="000000"/>
        </w:rPr>
        <w:t xml:space="preserve">75 </w:t>
      </w:r>
      <w:r>
        <w:rPr>
          <w:rFonts w:ascii="Book Antiqua" w:hAnsi="Book Antiqua" w:eastAsia="Book Antiqua" w:cs="Book Antiqua"/>
          <w:b/>
          <w:bCs/>
          <w:color w:val="000000"/>
        </w:rPr>
        <w:t>Lazaridis KN</w:t>
      </w:r>
      <w:r>
        <w:rPr>
          <w:rFonts w:ascii="Book Antiqua" w:hAnsi="Book Antiqua" w:eastAsia="Book Antiqua" w:cs="Book Antiqua"/>
          <w:color w:val="000000"/>
        </w:rPr>
        <w:t xml:space="preserve">, LaRusso NF. Primary Sclerosing Cholangitis.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2016; </w:t>
      </w:r>
      <w:r>
        <w:rPr>
          <w:rFonts w:ascii="Book Antiqua" w:hAnsi="Book Antiqua" w:eastAsia="Book Antiqua" w:cs="Book Antiqua"/>
          <w:b/>
          <w:bCs/>
          <w:color w:val="000000"/>
        </w:rPr>
        <w:t>375</w:t>
      </w:r>
      <w:r>
        <w:rPr>
          <w:rFonts w:ascii="Book Antiqua" w:hAnsi="Book Antiqua" w:eastAsia="Book Antiqua" w:cs="Book Antiqua"/>
          <w:color w:val="000000"/>
        </w:rPr>
        <w:t>: 1161-1170 [PMID: 27653566 DOI: 10.1056/NEJMra1506330]</w:t>
      </w:r>
    </w:p>
    <w:p>
      <w:pPr>
        <w:spacing w:line="360" w:lineRule="auto"/>
        <w:jc w:val="both"/>
      </w:pPr>
      <w:r>
        <w:rPr>
          <w:rFonts w:ascii="Book Antiqua" w:hAnsi="Book Antiqua" w:eastAsia="Book Antiqua" w:cs="Book Antiqua"/>
          <w:color w:val="000000"/>
        </w:rPr>
        <w:t xml:space="preserve">76 </w:t>
      </w:r>
      <w:r>
        <w:rPr>
          <w:rFonts w:ascii="Book Antiqua" w:hAnsi="Book Antiqua" w:eastAsia="Book Antiqua" w:cs="Book Antiqua"/>
          <w:b/>
          <w:bCs/>
          <w:color w:val="000000"/>
        </w:rPr>
        <w:t>Alberti-Flor JJ</w:t>
      </w:r>
      <w:r>
        <w:rPr>
          <w:rFonts w:ascii="Book Antiqua" w:hAnsi="Book Antiqua" w:eastAsia="Book Antiqua" w:cs="Book Antiqua"/>
          <w:color w:val="000000"/>
        </w:rPr>
        <w:t xml:space="preserve">, Jeffers L, Schiff ER. </w:t>
      </w:r>
      <w:bookmarkStart w:id="63" w:name="OLE_LINK3210"/>
      <w:bookmarkStart w:id="64" w:name="OLE_LINK3209"/>
      <w:r>
        <w:rPr>
          <w:rFonts w:ascii="Book Antiqua" w:hAnsi="Book Antiqua" w:eastAsia="Book Antiqua" w:cs="Book Antiqua"/>
          <w:color w:val="000000"/>
        </w:rPr>
        <w:t>Primary sclerosing cholangitis occurring in a patient with systemic lupus erythematosus and diabetes mellitus</w:t>
      </w:r>
      <w:bookmarkEnd w:id="63"/>
      <w:bookmarkEnd w:id="64"/>
      <w:r>
        <w:rPr>
          <w:rFonts w:ascii="Book Antiqua" w:hAnsi="Book Antiqua" w:eastAsia="Book Antiqua" w:cs="Book Antiqua"/>
          <w:color w:val="000000"/>
        </w:rPr>
        <w:t xml:space="preserve">.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1984; </w:t>
      </w:r>
      <w:r>
        <w:rPr>
          <w:rFonts w:ascii="Book Antiqua" w:hAnsi="Book Antiqua" w:eastAsia="Book Antiqua" w:cs="Book Antiqua"/>
          <w:b/>
          <w:bCs/>
          <w:color w:val="000000"/>
        </w:rPr>
        <w:t>79</w:t>
      </w:r>
      <w:r>
        <w:rPr>
          <w:rFonts w:ascii="Book Antiqua" w:hAnsi="Book Antiqua" w:eastAsia="Book Antiqua" w:cs="Book Antiqua"/>
          <w:color w:val="000000"/>
        </w:rPr>
        <w:t>: 889-891 [PMID: 6507412]</w:t>
      </w:r>
    </w:p>
    <w:p>
      <w:pPr>
        <w:spacing w:line="360" w:lineRule="auto"/>
        <w:jc w:val="both"/>
      </w:pPr>
      <w:r>
        <w:rPr>
          <w:rFonts w:ascii="Book Antiqua" w:hAnsi="Book Antiqua" w:eastAsia="Book Antiqua" w:cs="Book Antiqua"/>
          <w:color w:val="000000"/>
        </w:rPr>
        <w:t xml:space="preserve">77 </w:t>
      </w:r>
      <w:r>
        <w:rPr>
          <w:rFonts w:ascii="Book Antiqua" w:hAnsi="Book Antiqua" w:eastAsia="Book Antiqua" w:cs="Book Antiqua"/>
          <w:b/>
          <w:bCs/>
          <w:color w:val="000000"/>
        </w:rPr>
        <w:t>Lamy P</w:t>
      </w:r>
      <w:r>
        <w:rPr>
          <w:rFonts w:ascii="Book Antiqua" w:hAnsi="Book Antiqua" w:eastAsia="Book Antiqua" w:cs="Book Antiqua"/>
          <w:color w:val="000000"/>
        </w:rPr>
        <w:t xml:space="preserve">, Valla D, Bourgeois P, Rueff B, Benhamou JP. [Primary sclerosing cholangitis and systemic lupus erythematosus]. </w:t>
      </w:r>
      <w:r>
        <w:rPr>
          <w:rFonts w:ascii="Book Antiqua" w:hAnsi="Book Antiqua" w:eastAsia="Book Antiqua" w:cs="Book Antiqua"/>
          <w:i/>
          <w:iCs/>
          <w:color w:val="000000"/>
        </w:rPr>
        <w:t>Gastroenterol Clin Biol</w:t>
      </w:r>
      <w:r>
        <w:rPr>
          <w:rFonts w:ascii="Book Antiqua" w:hAnsi="Book Antiqua" w:eastAsia="Book Antiqua" w:cs="Book Antiqua"/>
          <w:color w:val="000000"/>
        </w:rPr>
        <w:t xml:space="preserve"> 1988; </w:t>
      </w:r>
      <w:r>
        <w:rPr>
          <w:rFonts w:ascii="Book Antiqua" w:hAnsi="Book Antiqua" w:eastAsia="Book Antiqua" w:cs="Book Antiqua"/>
          <w:b/>
          <w:bCs/>
          <w:color w:val="000000"/>
        </w:rPr>
        <w:t>12</w:t>
      </w:r>
      <w:r>
        <w:rPr>
          <w:rFonts w:ascii="Book Antiqua" w:hAnsi="Book Antiqua" w:eastAsia="Book Antiqua" w:cs="Book Antiqua"/>
          <w:color w:val="000000"/>
        </w:rPr>
        <w:t>: 962-964 [PMID: 3069553]</w:t>
      </w:r>
    </w:p>
    <w:p>
      <w:pPr>
        <w:spacing w:line="360" w:lineRule="auto"/>
        <w:jc w:val="both"/>
      </w:pPr>
      <w:r>
        <w:rPr>
          <w:rFonts w:ascii="Book Antiqua" w:hAnsi="Book Antiqua" w:eastAsia="Book Antiqua" w:cs="Book Antiqua"/>
          <w:color w:val="000000"/>
        </w:rPr>
        <w:t xml:space="preserve">78 </w:t>
      </w:r>
      <w:r>
        <w:rPr>
          <w:rFonts w:ascii="Book Antiqua" w:hAnsi="Book Antiqua" w:eastAsia="Book Antiqua" w:cs="Book Antiqua"/>
          <w:b/>
          <w:bCs/>
          <w:color w:val="000000"/>
        </w:rPr>
        <w:t>Audan A</w:t>
      </w:r>
      <w:r>
        <w:rPr>
          <w:rFonts w:ascii="Book Antiqua" w:hAnsi="Book Antiqua" w:eastAsia="Book Antiqua" w:cs="Book Antiqua"/>
          <w:color w:val="000000"/>
        </w:rPr>
        <w:t xml:space="preserve">, Bruley Des Varannes S, Georgelin T, Sagan C, Cloarec D, Serraz H, Le Bodic L. [Primary sclerosing cholangitis and systemic lupus erythematosus]. </w:t>
      </w:r>
      <w:r>
        <w:rPr>
          <w:rFonts w:ascii="Book Antiqua" w:hAnsi="Book Antiqua" w:eastAsia="Book Antiqua" w:cs="Book Antiqua"/>
          <w:i/>
          <w:iCs/>
          <w:color w:val="000000"/>
        </w:rPr>
        <w:t>Gastroenterol Clin Biol</w:t>
      </w:r>
      <w:r>
        <w:rPr>
          <w:rFonts w:ascii="Book Antiqua" w:hAnsi="Book Antiqua" w:eastAsia="Book Antiqua" w:cs="Book Antiqua"/>
          <w:color w:val="000000"/>
        </w:rPr>
        <w:t xml:space="preserve"> 1995; </w:t>
      </w:r>
      <w:r>
        <w:rPr>
          <w:rFonts w:ascii="Book Antiqua" w:hAnsi="Book Antiqua" w:eastAsia="Book Antiqua" w:cs="Book Antiqua"/>
          <w:b/>
          <w:bCs/>
          <w:color w:val="000000"/>
        </w:rPr>
        <w:t>19</w:t>
      </w:r>
      <w:r>
        <w:rPr>
          <w:rFonts w:ascii="Book Antiqua" w:hAnsi="Book Antiqua" w:eastAsia="Book Antiqua" w:cs="Book Antiqua"/>
          <w:color w:val="000000"/>
        </w:rPr>
        <w:t>: 123-126 [PMID: 7720973]</w:t>
      </w:r>
    </w:p>
    <w:p>
      <w:pPr>
        <w:spacing w:line="360" w:lineRule="auto"/>
        <w:jc w:val="both"/>
      </w:pPr>
      <w:r>
        <w:rPr>
          <w:rFonts w:ascii="Book Antiqua" w:hAnsi="Book Antiqua" w:eastAsia="Book Antiqua" w:cs="Book Antiqua"/>
          <w:color w:val="000000"/>
        </w:rPr>
        <w:t xml:space="preserve">79 </w:t>
      </w:r>
      <w:r>
        <w:rPr>
          <w:rFonts w:ascii="Book Antiqua" w:hAnsi="Book Antiqua" w:eastAsia="Book Antiqua" w:cs="Book Antiqua"/>
          <w:b/>
          <w:bCs/>
          <w:color w:val="000000"/>
        </w:rPr>
        <w:t>Kadokawa Y</w:t>
      </w:r>
      <w:r>
        <w:rPr>
          <w:rFonts w:ascii="Book Antiqua" w:hAnsi="Book Antiqua" w:eastAsia="Book Antiqua" w:cs="Book Antiqua"/>
          <w:color w:val="000000"/>
        </w:rPr>
        <w:t xml:space="preserve">, Omagari K, Matsuo I, Otsu Y, Yamamoto U, Nishino T, Ohba K, Miyazaki M, Harada T, Taguchi T, Kohno S. Primary sclerosing cholangitis associated with lupus nephritis: a rare association.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2003; </w:t>
      </w:r>
      <w:r>
        <w:rPr>
          <w:rFonts w:ascii="Book Antiqua" w:hAnsi="Book Antiqua" w:eastAsia="Book Antiqua" w:cs="Book Antiqua"/>
          <w:b/>
          <w:bCs/>
          <w:color w:val="000000"/>
        </w:rPr>
        <w:t>48</w:t>
      </w:r>
      <w:r>
        <w:rPr>
          <w:rFonts w:ascii="Book Antiqua" w:hAnsi="Book Antiqua" w:eastAsia="Book Antiqua" w:cs="Book Antiqua"/>
          <w:color w:val="000000"/>
        </w:rPr>
        <w:t>: 911-914 [PMID: 12772788 DOI: 10.1023/A:1023095428321]</w:t>
      </w:r>
    </w:p>
    <w:p>
      <w:pPr>
        <w:spacing w:line="360" w:lineRule="auto"/>
        <w:jc w:val="both"/>
      </w:pPr>
      <w:r>
        <w:rPr>
          <w:rFonts w:ascii="Book Antiqua" w:hAnsi="Book Antiqua" w:eastAsia="Book Antiqua" w:cs="Book Antiqua"/>
          <w:color w:val="000000"/>
        </w:rPr>
        <w:t xml:space="preserve">80 </w:t>
      </w:r>
      <w:r>
        <w:rPr>
          <w:rFonts w:ascii="Book Antiqua" w:hAnsi="Book Antiqua" w:eastAsia="Book Antiqua" w:cs="Book Antiqua"/>
          <w:b/>
          <w:bCs/>
          <w:color w:val="000000"/>
        </w:rPr>
        <w:t>Oh DC</w:t>
      </w:r>
      <w:r>
        <w:rPr>
          <w:rFonts w:ascii="Book Antiqua" w:hAnsi="Book Antiqua" w:eastAsia="Book Antiqua" w:cs="Book Antiqua"/>
          <w:color w:val="000000"/>
        </w:rPr>
        <w:t xml:space="preserve">, Ng TM, Ho J, Leong KP. Systemic lupus erythematosus with concurrent protein-losing enteropathy and primary sclerosing cholangitis: a unique association. </w:t>
      </w:r>
      <w:r>
        <w:rPr>
          <w:rFonts w:ascii="Book Antiqua" w:hAnsi="Book Antiqua" w:eastAsia="Book Antiqua" w:cs="Book Antiqua"/>
          <w:i/>
          <w:iCs/>
          <w:color w:val="000000"/>
        </w:rPr>
        <w:t>Lupus</w:t>
      </w:r>
      <w:r>
        <w:rPr>
          <w:rFonts w:ascii="Book Antiqua" w:hAnsi="Book Antiqua" w:eastAsia="Book Antiqua" w:cs="Book Antiqua"/>
          <w:color w:val="000000"/>
        </w:rPr>
        <w:t xml:space="preserve"> 2006; </w:t>
      </w:r>
      <w:r>
        <w:rPr>
          <w:rFonts w:ascii="Book Antiqua" w:hAnsi="Book Antiqua" w:eastAsia="Book Antiqua" w:cs="Book Antiqua"/>
          <w:b/>
          <w:bCs/>
          <w:color w:val="000000"/>
        </w:rPr>
        <w:t>15</w:t>
      </w:r>
      <w:r>
        <w:rPr>
          <w:rFonts w:ascii="Book Antiqua" w:hAnsi="Book Antiqua" w:eastAsia="Book Antiqua" w:cs="Book Antiqua"/>
          <w:color w:val="000000"/>
        </w:rPr>
        <w:t xml:space="preserve">: 102-104 [PMID: </w:t>
      </w:r>
      <w:bookmarkStart w:id="65" w:name="OLE_LINK3197"/>
      <w:bookmarkStart w:id="66" w:name="OLE_LINK3198"/>
      <w:r>
        <w:rPr>
          <w:rFonts w:ascii="Book Antiqua" w:hAnsi="Book Antiqua" w:eastAsia="Book Antiqua" w:cs="Book Antiqua"/>
          <w:color w:val="000000"/>
        </w:rPr>
        <w:t>16539281</w:t>
      </w:r>
      <w:bookmarkEnd w:id="65"/>
      <w:bookmarkEnd w:id="66"/>
      <w:r>
        <w:rPr>
          <w:rFonts w:ascii="Book Antiqua" w:hAnsi="Book Antiqua" w:eastAsia="Book Antiqua" w:cs="Book Antiqua"/>
          <w:color w:val="000000"/>
        </w:rPr>
        <w:t xml:space="preserve"> DOI: 10.1191/0961203306lu2251cr]</w:t>
      </w:r>
    </w:p>
    <w:p>
      <w:pPr>
        <w:spacing w:line="360" w:lineRule="auto"/>
        <w:jc w:val="both"/>
      </w:pPr>
      <w:r>
        <w:rPr>
          <w:rFonts w:ascii="Book Antiqua" w:hAnsi="Book Antiqua" w:eastAsia="Book Antiqua" w:cs="Book Antiqua"/>
          <w:color w:val="000000"/>
        </w:rPr>
        <w:t xml:space="preserve">81 </w:t>
      </w:r>
      <w:r>
        <w:rPr>
          <w:rFonts w:ascii="Book Antiqua" w:hAnsi="Book Antiqua" w:eastAsia="Book Antiqua" w:cs="Book Antiqua"/>
          <w:b/>
          <w:bCs/>
          <w:color w:val="000000"/>
        </w:rPr>
        <w:t>Saarinen S</w:t>
      </w:r>
      <w:r>
        <w:rPr>
          <w:rFonts w:ascii="Book Antiqua" w:hAnsi="Book Antiqua" w:eastAsia="Book Antiqua" w:cs="Book Antiqua"/>
          <w:color w:val="000000"/>
        </w:rPr>
        <w:t xml:space="preserve">, Olerup O, Broomé U. Increased frequency of autoimmune diseases in patients with primary sclerosing cholangitis.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2000; </w:t>
      </w:r>
      <w:r>
        <w:rPr>
          <w:rFonts w:ascii="Book Antiqua" w:hAnsi="Book Antiqua" w:eastAsia="Book Antiqua" w:cs="Book Antiqua"/>
          <w:b/>
          <w:bCs/>
          <w:color w:val="000000"/>
        </w:rPr>
        <w:t>95</w:t>
      </w:r>
      <w:r>
        <w:rPr>
          <w:rFonts w:ascii="Book Antiqua" w:hAnsi="Book Antiqua" w:eastAsia="Book Antiqua" w:cs="Book Antiqua"/>
          <w:color w:val="000000"/>
        </w:rPr>
        <w:t>: 3195-3199 [PMID: 11095341 DOI: 10.1111/j.1572-0241.2000.03292.x]</w:t>
      </w:r>
    </w:p>
    <w:p>
      <w:pPr>
        <w:spacing w:line="360" w:lineRule="auto"/>
        <w:jc w:val="both"/>
      </w:pPr>
      <w:r>
        <w:rPr>
          <w:rFonts w:ascii="Book Antiqua" w:hAnsi="Book Antiqua" w:eastAsia="Book Antiqua" w:cs="Book Antiqua"/>
          <w:color w:val="000000"/>
        </w:rPr>
        <w:t xml:space="preserve">82 </w:t>
      </w:r>
      <w:r>
        <w:rPr>
          <w:rFonts w:ascii="Book Antiqua" w:hAnsi="Book Antiqua" w:eastAsia="Book Antiqua" w:cs="Book Antiqua"/>
          <w:b/>
          <w:bCs/>
          <w:color w:val="000000"/>
        </w:rPr>
        <w:t>Mariette X</w:t>
      </w:r>
      <w:r>
        <w:rPr>
          <w:rFonts w:ascii="Book Antiqua" w:hAnsi="Book Antiqua" w:eastAsia="Book Antiqua" w:cs="Book Antiqua"/>
          <w:color w:val="000000"/>
        </w:rPr>
        <w:t xml:space="preserve">, Criswell LA. Primary Sjögren's Syndrome.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2018; </w:t>
      </w:r>
      <w:r>
        <w:rPr>
          <w:rFonts w:ascii="Book Antiqua" w:hAnsi="Book Antiqua" w:eastAsia="Book Antiqua" w:cs="Book Antiqua"/>
          <w:b/>
          <w:bCs/>
          <w:color w:val="000000"/>
        </w:rPr>
        <w:t>378</w:t>
      </w:r>
      <w:r>
        <w:rPr>
          <w:rFonts w:ascii="Book Antiqua" w:hAnsi="Book Antiqua" w:eastAsia="Book Antiqua" w:cs="Book Antiqua"/>
          <w:color w:val="000000"/>
        </w:rPr>
        <w:t>: 931-939 [PMID: 29514034 DOI: 10.1056/NEJMcp1702514]</w:t>
      </w:r>
    </w:p>
    <w:p>
      <w:pPr>
        <w:spacing w:line="360" w:lineRule="auto"/>
        <w:jc w:val="both"/>
      </w:pPr>
      <w:r>
        <w:rPr>
          <w:rFonts w:ascii="Book Antiqua" w:hAnsi="Book Antiqua" w:eastAsia="Book Antiqua" w:cs="Book Antiqua"/>
          <w:color w:val="000000"/>
        </w:rPr>
        <w:t xml:space="preserve">83 </w:t>
      </w:r>
      <w:r>
        <w:rPr>
          <w:rFonts w:ascii="Book Antiqua" w:hAnsi="Book Antiqua" w:eastAsia="Book Antiqua" w:cs="Book Antiqua"/>
          <w:b/>
          <w:bCs/>
          <w:color w:val="000000"/>
        </w:rPr>
        <w:t>Kaplan MJ</w:t>
      </w:r>
      <w:r>
        <w:rPr>
          <w:rFonts w:ascii="Book Antiqua" w:hAnsi="Book Antiqua" w:eastAsia="Book Antiqua" w:cs="Book Antiqua"/>
          <w:color w:val="000000"/>
        </w:rPr>
        <w:t xml:space="preserve">, Ike RW. The liver is a common non-exocrine target in primary Sjögren's syndrome: a retrospective review. </w:t>
      </w:r>
      <w:r>
        <w:rPr>
          <w:rFonts w:ascii="Book Antiqua" w:hAnsi="Book Antiqua" w:eastAsia="Book Antiqua" w:cs="Book Antiqua"/>
          <w:i/>
          <w:iCs/>
          <w:color w:val="000000"/>
        </w:rPr>
        <w:t>BMC Gastroenterol</w:t>
      </w:r>
      <w:r>
        <w:rPr>
          <w:rFonts w:ascii="Book Antiqua" w:hAnsi="Book Antiqua" w:eastAsia="Book Antiqua" w:cs="Book Antiqua"/>
          <w:color w:val="000000"/>
        </w:rPr>
        <w:t xml:space="preserve"> 2002; </w:t>
      </w:r>
      <w:r>
        <w:rPr>
          <w:rFonts w:ascii="Book Antiqua" w:hAnsi="Book Antiqua" w:eastAsia="Book Antiqua" w:cs="Book Antiqua"/>
          <w:b/>
          <w:bCs/>
          <w:color w:val="000000"/>
        </w:rPr>
        <w:t>2</w:t>
      </w:r>
      <w:r>
        <w:rPr>
          <w:rFonts w:ascii="Book Antiqua" w:hAnsi="Book Antiqua" w:eastAsia="Book Antiqua" w:cs="Book Antiqua"/>
          <w:color w:val="000000"/>
        </w:rPr>
        <w:t>: 21 [PMID: 12230633 DOI: 10.1186/1471-230x-2-21]</w:t>
      </w:r>
    </w:p>
    <w:p>
      <w:pPr>
        <w:spacing w:line="360" w:lineRule="auto"/>
        <w:jc w:val="both"/>
      </w:pPr>
      <w:r>
        <w:rPr>
          <w:rFonts w:ascii="Book Antiqua" w:hAnsi="Book Antiqua" w:eastAsia="Book Antiqua" w:cs="Book Antiqua"/>
          <w:color w:val="000000"/>
        </w:rPr>
        <w:t xml:space="preserve">84 </w:t>
      </w:r>
      <w:r>
        <w:rPr>
          <w:rFonts w:ascii="Book Antiqua" w:hAnsi="Book Antiqua" w:eastAsia="Book Antiqua" w:cs="Book Antiqua"/>
          <w:b/>
          <w:bCs/>
          <w:color w:val="000000"/>
        </w:rPr>
        <w:t>Ramos-Casals M</w:t>
      </w:r>
      <w:r>
        <w:rPr>
          <w:rFonts w:ascii="Book Antiqua" w:hAnsi="Book Antiqua" w:eastAsia="Book Antiqua" w:cs="Book Antiqua"/>
          <w:color w:val="000000"/>
        </w:rPr>
        <w:t xml:space="preserve">, Sánchez-Tapias JM, Parés A, Forns X, Brito-Zerón P, Nardi N, Vazquez P, Vélez D, Arias I, Bové A, Plaza J, Rodés J, Font J. </w:t>
      </w:r>
      <w:bookmarkStart w:id="67" w:name="OLE_LINK3212"/>
      <w:bookmarkStart w:id="68" w:name="OLE_LINK3211"/>
      <w:r>
        <w:rPr>
          <w:rFonts w:ascii="Book Antiqua" w:hAnsi="Book Antiqua" w:eastAsia="Book Antiqua" w:cs="Book Antiqua"/>
          <w:color w:val="000000"/>
        </w:rPr>
        <w:t xml:space="preserve">Characterization and differentiation of autoimmune </w:t>
      </w:r>
      <w:r>
        <w:rPr>
          <w:rFonts w:ascii="Book Antiqua" w:hAnsi="Book Antiqua" w:eastAsia="Book Antiqua" w:cs="Book Antiqua"/>
          <w:i/>
          <w:iCs/>
          <w:color w:val="000000"/>
        </w:rPr>
        <w:t>vs</w:t>
      </w:r>
      <w:r>
        <w:rPr>
          <w:rFonts w:ascii="Book Antiqua" w:hAnsi="Book Antiqua" w:eastAsia="Book Antiqua" w:cs="Book Antiqua"/>
          <w:color w:val="000000"/>
        </w:rPr>
        <w:t xml:space="preserve"> viral liver involvement in patients with Sjögren's syndrome</w:t>
      </w:r>
      <w:bookmarkEnd w:id="67"/>
      <w:bookmarkEnd w:id="68"/>
      <w:r>
        <w:rPr>
          <w:rFonts w:ascii="Book Antiqua" w:hAnsi="Book Antiqua" w:eastAsia="Book Antiqua" w:cs="Book Antiqua"/>
          <w:color w:val="000000"/>
        </w:rPr>
        <w:t xml:space="preserve">. </w:t>
      </w:r>
      <w:r>
        <w:rPr>
          <w:rFonts w:ascii="Book Antiqua" w:hAnsi="Book Antiqua" w:eastAsia="Book Antiqua" w:cs="Book Antiqua"/>
          <w:i/>
          <w:iCs/>
          <w:color w:val="000000"/>
        </w:rPr>
        <w:t>J Rheumatol</w:t>
      </w:r>
      <w:r>
        <w:rPr>
          <w:rFonts w:ascii="Book Antiqua" w:hAnsi="Book Antiqua" w:eastAsia="Book Antiqua" w:cs="Book Antiqua"/>
          <w:color w:val="000000"/>
        </w:rPr>
        <w:t xml:space="preserve"> 2006; </w:t>
      </w:r>
      <w:r>
        <w:rPr>
          <w:rFonts w:ascii="Book Antiqua" w:hAnsi="Book Antiqua" w:eastAsia="Book Antiqua" w:cs="Book Antiqua"/>
          <w:b/>
          <w:bCs/>
          <w:color w:val="000000"/>
        </w:rPr>
        <w:t>33</w:t>
      </w:r>
      <w:r>
        <w:rPr>
          <w:rFonts w:ascii="Book Antiqua" w:hAnsi="Book Antiqua" w:eastAsia="Book Antiqua" w:cs="Book Antiqua"/>
          <w:color w:val="000000"/>
        </w:rPr>
        <w:t>: 1593-1599 [PMID: 16881116 DOI: 10.1016/0022-4731(78)90121-8]</w:t>
      </w:r>
    </w:p>
    <w:p>
      <w:pPr>
        <w:spacing w:line="360" w:lineRule="auto"/>
        <w:jc w:val="both"/>
      </w:pPr>
      <w:r>
        <w:rPr>
          <w:rFonts w:ascii="Book Antiqua" w:hAnsi="Book Antiqua" w:eastAsia="Book Antiqua" w:cs="Book Antiqua"/>
          <w:color w:val="000000"/>
        </w:rPr>
        <w:t xml:space="preserve">85 </w:t>
      </w:r>
      <w:r>
        <w:rPr>
          <w:rFonts w:ascii="Book Antiqua" w:hAnsi="Book Antiqua" w:eastAsia="Book Antiqua" w:cs="Book Antiqua"/>
          <w:b/>
          <w:bCs/>
          <w:color w:val="000000"/>
        </w:rPr>
        <w:t>Lindgren S</w:t>
      </w:r>
      <w:r>
        <w:rPr>
          <w:rFonts w:ascii="Book Antiqua" w:hAnsi="Book Antiqua" w:eastAsia="Book Antiqua" w:cs="Book Antiqua"/>
          <w:color w:val="000000"/>
        </w:rPr>
        <w:t xml:space="preserve">, Manthorpe R, Eriksson S. Autoimmune liver disease in patients with primary Sjögren's syndrome.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1994; </w:t>
      </w:r>
      <w:r>
        <w:rPr>
          <w:rFonts w:ascii="Book Antiqua" w:hAnsi="Book Antiqua" w:eastAsia="Book Antiqua" w:cs="Book Antiqua"/>
          <w:b/>
          <w:bCs/>
          <w:color w:val="000000"/>
        </w:rPr>
        <w:t>20</w:t>
      </w:r>
      <w:r>
        <w:rPr>
          <w:rFonts w:ascii="Book Antiqua" w:hAnsi="Book Antiqua" w:eastAsia="Book Antiqua" w:cs="Book Antiqua"/>
          <w:color w:val="000000"/>
        </w:rPr>
        <w:t>: 354-358 [PMID: 8014446 DOI: 10.1016/s0168-8278(94)80007-3]</w:t>
      </w:r>
    </w:p>
    <w:p>
      <w:pPr>
        <w:spacing w:line="360" w:lineRule="auto"/>
        <w:jc w:val="both"/>
      </w:pPr>
      <w:r>
        <w:rPr>
          <w:rFonts w:ascii="Book Antiqua" w:hAnsi="Book Antiqua" w:eastAsia="Book Antiqua" w:cs="Book Antiqua"/>
          <w:color w:val="000000"/>
        </w:rPr>
        <w:t xml:space="preserve">86 </w:t>
      </w:r>
      <w:r>
        <w:rPr>
          <w:rFonts w:ascii="Book Antiqua" w:hAnsi="Book Antiqua" w:eastAsia="Book Antiqua" w:cs="Book Antiqua"/>
          <w:b/>
          <w:bCs/>
          <w:color w:val="000000"/>
        </w:rPr>
        <w:t>Hatzis GS</w:t>
      </w:r>
      <w:r>
        <w:rPr>
          <w:rFonts w:ascii="Book Antiqua" w:hAnsi="Book Antiqua" w:eastAsia="Book Antiqua" w:cs="Book Antiqua"/>
          <w:color w:val="000000"/>
        </w:rPr>
        <w:t xml:space="preserve">, Fragoulis GE, Karatzaferis A, Delladetsima I, Barbatis C, Moutsopoulos HM. </w:t>
      </w:r>
      <w:bookmarkStart w:id="69" w:name="OLE_LINK3213"/>
      <w:bookmarkStart w:id="70" w:name="OLE_LINK3214"/>
      <w:r>
        <w:rPr>
          <w:rFonts w:ascii="Book Antiqua" w:hAnsi="Book Antiqua" w:eastAsia="Book Antiqua" w:cs="Book Antiqua"/>
          <w:color w:val="000000"/>
        </w:rPr>
        <w:t>Prevalence and longterm course of primary biliary cirrhosis in primary Sjögren's syndrome</w:t>
      </w:r>
      <w:bookmarkEnd w:id="69"/>
      <w:bookmarkEnd w:id="70"/>
      <w:r>
        <w:rPr>
          <w:rFonts w:ascii="Book Antiqua" w:hAnsi="Book Antiqua" w:eastAsia="Book Antiqua" w:cs="Book Antiqua"/>
          <w:color w:val="000000"/>
        </w:rPr>
        <w:t xml:space="preserve">. </w:t>
      </w:r>
      <w:r>
        <w:rPr>
          <w:rFonts w:ascii="Book Antiqua" w:hAnsi="Book Antiqua" w:eastAsia="Book Antiqua" w:cs="Book Antiqua"/>
          <w:i/>
          <w:iCs/>
          <w:color w:val="000000"/>
        </w:rPr>
        <w:t>J Rheumatol</w:t>
      </w:r>
      <w:r>
        <w:rPr>
          <w:rFonts w:ascii="Book Antiqua" w:hAnsi="Book Antiqua" w:eastAsia="Book Antiqua" w:cs="Book Antiqua"/>
          <w:color w:val="000000"/>
        </w:rPr>
        <w:t xml:space="preserve"> 2008; </w:t>
      </w:r>
      <w:r>
        <w:rPr>
          <w:rFonts w:ascii="Book Antiqua" w:hAnsi="Book Antiqua" w:eastAsia="Book Antiqua" w:cs="Book Antiqua"/>
          <w:b/>
          <w:bCs/>
          <w:color w:val="000000"/>
        </w:rPr>
        <w:t>35</w:t>
      </w:r>
      <w:r>
        <w:rPr>
          <w:rFonts w:ascii="Book Antiqua" w:hAnsi="Book Antiqua" w:eastAsia="Book Antiqua" w:cs="Book Antiqua"/>
          <w:color w:val="000000"/>
        </w:rPr>
        <w:t>: 2012-2016 [PMID: 18709690 DOI: 10.2514/6.2006-5424]</w:t>
      </w:r>
    </w:p>
    <w:p>
      <w:pPr>
        <w:spacing w:line="360" w:lineRule="auto"/>
        <w:jc w:val="both"/>
      </w:pPr>
      <w:r>
        <w:rPr>
          <w:rFonts w:ascii="Book Antiqua" w:hAnsi="Book Antiqua" w:eastAsia="Book Antiqua" w:cs="Book Antiqua"/>
          <w:color w:val="000000"/>
        </w:rPr>
        <w:t xml:space="preserve">87 </w:t>
      </w:r>
      <w:r>
        <w:rPr>
          <w:rFonts w:ascii="Book Antiqua" w:hAnsi="Book Antiqua" w:eastAsia="Book Antiqua" w:cs="Book Antiqua"/>
          <w:b/>
          <w:bCs/>
          <w:color w:val="000000"/>
        </w:rPr>
        <w:t>Amador-Patarroyo MJ</w:t>
      </w:r>
      <w:r>
        <w:rPr>
          <w:rFonts w:ascii="Book Antiqua" w:hAnsi="Book Antiqua" w:eastAsia="Book Antiqua" w:cs="Book Antiqua"/>
          <w:color w:val="000000"/>
        </w:rPr>
        <w:t xml:space="preserve">, Arbelaez JG, Mantilla RD, Rodriguez-Rodriguez A, Cárdenas-Roldán J, Pineda-Tamayo R, Guarin MR, Kleine LL, Rojas-Villarraga A, Anaya JM. Sjögren's syndrome at the crossroad of polyautoimmunity. </w:t>
      </w:r>
      <w:r>
        <w:rPr>
          <w:rFonts w:ascii="Book Antiqua" w:hAnsi="Book Antiqua" w:eastAsia="Book Antiqua" w:cs="Book Antiqua"/>
          <w:i/>
          <w:iCs/>
          <w:color w:val="000000"/>
        </w:rPr>
        <w:t>J Autoimmun</w:t>
      </w:r>
      <w:r>
        <w:rPr>
          <w:rFonts w:ascii="Book Antiqua" w:hAnsi="Book Antiqua" w:eastAsia="Book Antiqua" w:cs="Book Antiqua"/>
          <w:color w:val="000000"/>
        </w:rPr>
        <w:t xml:space="preserve"> 2012; </w:t>
      </w:r>
      <w:r>
        <w:rPr>
          <w:rFonts w:ascii="Book Antiqua" w:hAnsi="Book Antiqua" w:eastAsia="Book Antiqua" w:cs="Book Antiqua"/>
          <w:b/>
          <w:bCs/>
          <w:color w:val="000000"/>
        </w:rPr>
        <w:t>39</w:t>
      </w:r>
      <w:r>
        <w:rPr>
          <w:rFonts w:ascii="Book Antiqua" w:hAnsi="Book Antiqua" w:eastAsia="Book Antiqua" w:cs="Book Antiqua"/>
          <w:color w:val="000000"/>
        </w:rPr>
        <w:t>: 199-205 [PMID: 22749530 DOI: 10.1016/j.jaut.2012.05.008]</w:t>
      </w:r>
    </w:p>
    <w:p>
      <w:pPr>
        <w:spacing w:line="360" w:lineRule="auto"/>
        <w:jc w:val="both"/>
      </w:pPr>
      <w:r>
        <w:rPr>
          <w:rFonts w:ascii="Book Antiqua" w:hAnsi="Book Antiqua" w:eastAsia="Book Antiqua" w:cs="Book Antiqua"/>
          <w:color w:val="000000"/>
        </w:rPr>
        <w:t xml:space="preserve">88 </w:t>
      </w:r>
      <w:r>
        <w:rPr>
          <w:rFonts w:ascii="Book Antiqua" w:hAnsi="Book Antiqua" w:eastAsia="Book Antiqua" w:cs="Book Antiqua"/>
          <w:b/>
          <w:bCs/>
          <w:color w:val="000000"/>
        </w:rPr>
        <w:t>Floreani A</w:t>
      </w:r>
      <w:r>
        <w:rPr>
          <w:rFonts w:ascii="Book Antiqua" w:hAnsi="Book Antiqua" w:eastAsia="Book Antiqua" w:cs="Book Antiqua"/>
          <w:color w:val="000000"/>
        </w:rPr>
        <w:t xml:space="preserve">, Cazzagon N. PBC and related extrahepatic diseases. </w:t>
      </w:r>
      <w:r>
        <w:rPr>
          <w:rFonts w:ascii="Book Antiqua" w:hAnsi="Book Antiqua" w:eastAsia="Book Antiqua" w:cs="Book Antiqua"/>
          <w:i/>
          <w:iCs/>
          <w:color w:val="000000"/>
        </w:rPr>
        <w:t>Best Pract Res Clin Gastroenterol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34-35</w:t>
      </w:r>
      <w:r>
        <w:rPr>
          <w:rFonts w:ascii="Book Antiqua" w:hAnsi="Book Antiqua" w:eastAsia="Book Antiqua" w:cs="Book Antiqua"/>
          <w:color w:val="000000"/>
        </w:rPr>
        <w:t>: 49-54 [PMID: 30343710 DOI: 10.1016/j.bpg.2018.05.013]</w:t>
      </w:r>
    </w:p>
    <w:p>
      <w:pPr>
        <w:spacing w:line="360" w:lineRule="auto"/>
        <w:jc w:val="both"/>
      </w:pPr>
      <w:r>
        <w:rPr>
          <w:rFonts w:ascii="Book Antiqua" w:hAnsi="Book Antiqua" w:eastAsia="Book Antiqua" w:cs="Book Antiqua"/>
          <w:color w:val="000000"/>
        </w:rPr>
        <w:t xml:space="preserve">89 </w:t>
      </w:r>
      <w:r>
        <w:rPr>
          <w:rFonts w:ascii="Book Antiqua" w:hAnsi="Book Antiqua" w:eastAsia="Book Antiqua" w:cs="Book Antiqua"/>
          <w:b/>
          <w:bCs/>
          <w:color w:val="000000"/>
        </w:rPr>
        <w:t>Tsianos EV</w:t>
      </w:r>
      <w:r>
        <w:rPr>
          <w:rFonts w:ascii="Book Antiqua" w:hAnsi="Book Antiqua" w:eastAsia="Book Antiqua" w:cs="Book Antiqua"/>
          <w:color w:val="000000"/>
        </w:rPr>
        <w:t xml:space="preserve">, Hoofnagle JH, Fox PC, Alspaugh M, Jones EA, Schafer DF, Moutsopoulos HM. Sjögren's syndrome in patients with primary biliary cirrhosis.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1990; </w:t>
      </w:r>
      <w:r>
        <w:rPr>
          <w:rFonts w:ascii="Book Antiqua" w:hAnsi="Book Antiqua" w:eastAsia="Book Antiqua" w:cs="Book Antiqua"/>
          <w:b/>
          <w:bCs/>
          <w:color w:val="000000"/>
        </w:rPr>
        <w:t>11</w:t>
      </w:r>
      <w:r>
        <w:rPr>
          <w:rFonts w:ascii="Book Antiqua" w:hAnsi="Book Antiqua" w:eastAsia="Book Antiqua" w:cs="Book Antiqua"/>
          <w:color w:val="000000"/>
        </w:rPr>
        <w:t>: 730-734 [PMID: 2347546 DOI: 10.1002/hep.1840110504]</w:t>
      </w:r>
    </w:p>
    <w:p>
      <w:pPr>
        <w:spacing w:line="360" w:lineRule="auto"/>
        <w:jc w:val="both"/>
      </w:pPr>
      <w:r>
        <w:rPr>
          <w:rFonts w:ascii="Book Antiqua" w:hAnsi="Book Antiqua" w:eastAsia="Book Antiqua" w:cs="Book Antiqua"/>
          <w:color w:val="000000"/>
        </w:rPr>
        <w:t xml:space="preserve">90 </w:t>
      </w:r>
      <w:r>
        <w:rPr>
          <w:rFonts w:ascii="Book Antiqua" w:hAnsi="Book Antiqua" w:eastAsia="Book Antiqua" w:cs="Book Antiqua"/>
          <w:b/>
          <w:bCs/>
          <w:color w:val="000000"/>
        </w:rPr>
        <w:t>Marasini B</w:t>
      </w:r>
      <w:r>
        <w:rPr>
          <w:rFonts w:ascii="Book Antiqua" w:hAnsi="Book Antiqua" w:eastAsia="Book Antiqua" w:cs="Book Antiqua"/>
          <w:color w:val="000000"/>
        </w:rPr>
        <w:t xml:space="preserve">, Gagetta M, Rossi V, Ferrari P. Rheumatic disorders and primary biliary cirrhosis: an appraisal of 170 Italian patients. </w:t>
      </w:r>
      <w:r>
        <w:rPr>
          <w:rFonts w:ascii="Book Antiqua" w:hAnsi="Book Antiqua" w:eastAsia="Book Antiqua" w:cs="Book Antiqua"/>
          <w:i/>
          <w:iCs/>
          <w:color w:val="000000"/>
        </w:rPr>
        <w:t>Ann Rheum Dis</w:t>
      </w:r>
      <w:r>
        <w:rPr>
          <w:rFonts w:ascii="Book Antiqua" w:hAnsi="Book Antiqua" w:eastAsia="Book Antiqua" w:cs="Book Antiqua"/>
          <w:color w:val="000000"/>
        </w:rPr>
        <w:t xml:space="preserve"> 2001; </w:t>
      </w:r>
      <w:r>
        <w:rPr>
          <w:rFonts w:ascii="Book Antiqua" w:hAnsi="Book Antiqua" w:eastAsia="Book Antiqua" w:cs="Book Antiqua"/>
          <w:b/>
          <w:bCs/>
          <w:color w:val="000000"/>
        </w:rPr>
        <w:t>60</w:t>
      </w:r>
      <w:r>
        <w:rPr>
          <w:rFonts w:ascii="Book Antiqua" w:hAnsi="Book Antiqua" w:eastAsia="Book Antiqua" w:cs="Book Antiqua"/>
          <w:color w:val="000000"/>
        </w:rPr>
        <w:t>: 1046-1049 [PMID: 11602476 DOI: 10.1136/ard.60.11.1046]</w:t>
      </w:r>
    </w:p>
    <w:p>
      <w:pPr>
        <w:spacing w:line="360" w:lineRule="auto"/>
        <w:jc w:val="both"/>
      </w:pPr>
      <w:r>
        <w:rPr>
          <w:rFonts w:ascii="Book Antiqua" w:hAnsi="Book Antiqua" w:eastAsia="Book Antiqua" w:cs="Book Antiqua"/>
          <w:color w:val="000000"/>
        </w:rPr>
        <w:t xml:space="preserve">91 </w:t>
      </w:r>
      <w:r>
        <w:rPr>
          <w:rFonts w:ascii="Book Antiqua" w:hAnsi="Book Antiqua" w:eastAsia="Book Antiqua" w:cs="Book Antiqua"/>
          <w:b/>
          <w:bCs/>
          <w:color w:val="000000"/>
        </w:rPr>
        <w:t>Watt FE</w:t>
      </w:r>
      <w:r>
        <w:rPr>
          <w:rFonts w:ascii="Book Antiqua" w:hAnsi="Book Antiqua" w:eastAsia="Book Antiqua" w:cs="Book Antiqua"/>
          <w:color w:val="000000"/>
        </w:rPr>
        <w:t xml:space="preserve">, James OF, Jones DE. Patterns of autoimmunity in primary biliary cirrhosis patients and their families: a population-based cohort study. </w:t>
      </w:r>
      <w:r>
        <w:rPr>
          <w:rFonts w:ascii="Book Antiqua" w:hAnsi="Book Antiqua" w:eastAsia="Book Antiqua" w:cs="Book Antiqua"/>
          <w:i/>
          <w:iCs/>
          <w:color w:val="000000"/>
        </w:rPr>
        <w:t>QJM</w:t>
      </w:r>
      <w:r>
        <w:rPr>
          <w:rFonts w:ascii="Book Antiqua" w:hAnsi="Book Antiqua" w:eastAsia="Book Antiqua" w:cs="Book Antiqua"/>
          <w:color w:val="000000"/>
        </w:rPr>
        <w:t xml:space="preserve"> 2004; </w:t>
      </w:r>
      <w:r>
        <w:rPr>
          <w:rFonts w:ascii="Book Antiqua" w:hAnsi="Book Antiqua" w:eastAsia="Book Antiqua" w:cs="Book Antiqua"/>
          <w:b/>
          <w:bCs/>
          <w:color w:val="000000"/>
        </w:rPr>
        <w:t>97</w:t>
      </w:r>
      <w:r>
        <w:rPr>
          <w:rFonts w:ascii="Book Antiqua" w:hAnsi="Book Antiqua" w:eastAsia="Book Antiqua" w:cs="Book Antiqua"/>
          <w:color w:val="000000"/>
        </w:rPr>
        <w:t>: 397-406 [PMID: 15208427 DOI: 10.1093/qjmed/hch078]</w:t>
      </w:r>
    </w:p>
    <w:p>
      <w:pPr>
        <w:spacing w:line="360" w:lineRule="auto"/>
        <w:jc w:val="both"/>
      </w:pPr>
      <w:r>
        <w:rPr>
          <w:rFonts w:ascii="Book Antiqua" w:hAnsi="Book Antiqua" w:eastAsia="Book Antiqua" w:cs="Book Antiqua"/>
          <w:color w:val="000000"/>
        </w:rPr>
        <w:t xml:space="preserve">92 </w:t>
      </w:r>
      <w:r>
        <w:rPr>
          <w:rFonts w:ascii="Book Antiqua" w:hAnsi="Book Antiqua" w:eastAsia="Book Antiqua" w:cs="Book Antiqua"/>
          <w:b/>
          <w:bCs/>
          <w:color w:val="000000"/>
        </w:rPr>
        <w:t>Gershwin ME</w:t>
      </w:r>
      <w:r>
        <w:rPr>
          <w:rFonts w:ascii="Book Antiqua" w:hAnsi="Book Antiqua" w:eastAsia="Book Antiqua" w:cs="Book Antiqua"/>
          <w:color w:val="000000"/>
        </w:rPr>
        <w:t xml:space="preserve">, Selmi C, Worman HJ, Gold EB, Watnik M, Utts J, Lindor KD, Kaplan MM, Vierling JM; USA PBC Epidemiology Group. Risk factors and comorbidities in primary biliary cirrhosis: a controlled interview-based study of 1032 patients.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2005; </w:t>
      </w:r>
      <w:r>
        <w:rPr>
          <w:rFonts w:ascii="Book Antiqua" w:hAnsi="Book Antiqua" w:eastAsia="Book Antiqua" w:cs="Book Antiqua"/>
          <w:b/>
          <w:bCs/>
          <w:color w:val="000000"/>
        </w:rPr>
        <w:t>42</w:t>
      </w:r>
      <w:r>
        <w:rPr>
          <w:rFonts w:ascii="Book Antiqua" w:hAnsi="Book Antiqua" w:eastAsia="Book Antiqua" w:cs="Book Antiqua"/>
          <w:color w:val="000000"/>
        </w:rPr>
        <w:t>: 1194-1202 [PMID: 16250040 DOI: 10.1002/hep.20907]</w:t>
      </w:r>
    </w:p>
    <w:p>
      <w:pPr>
        <w:spacing w:line="360" w:lineRule="auto"/>
        <w:jc w:val="both"/>
      </w:pPr>
      <w:r>
        <w:rPr>
          <w:rFonts w:ascii="Book Antiqua" w:hAnsi="Book Antiqua" w:eastAsia="Book Antiqua" w:cs="Book Antiqua"/>
          <w:color w:val="000000"/>
        </w:rPr>
        <w:t xml:space="preserve">93 </w:t>
      </w:r>
      <w:r>
        <w:rPr>
          <w:rFonts w:ascii="Book Antiqua" w:hAnsi="Book Antiqua" w:eastAsia="Book Antiqua" w:cs="Book Antiqua"/>
          <w:b/>
          <w:bCs/>
          <w:color w:val="000000"/>
        </w:rPr>
        <w:t>Wang L</w:t>
      </w:r>
      <w:r>
        <w:rPr>
          <w:rFonts w:ascii="Book Antiqua" w:hAnsi="Book Antiqua" w:eastAsia="Book Antiqua" w:cs="Book Antiqua"/>
          <w:color w:val="000000"/>
        </w:rPr>
        <w:t xml:space="preserve">, Zhang FC, Chen H, Zhang X, Xu D, Li YZ, Wang Q, Gao LX, Yang YJ, Kong F, Wang K. Connective tissue diseases in primary biliary cirrhosis: a population-based cohort study.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2013; </w:t>
      </w:r>
      <w:r>
        <w:rPr>
          <w:rFonts w:ascii="Book Antiqua" w:hAnsi="Book Antiqua" w:eastAsia="Book Antiqua" w:cs="Book Antiqua"/>
          <w:b/>
          <w:bCs/>
          <w:color w:val="000000"/>
        </w:rPr>
        <w:t>19</w:t>
      </w:r>
      <w:r>
        <w:rPr>
          <w:rFonts w:ascii="Book Antiqua" w:hAnsi="Book Antiqua" w:eastAsia="Book Antiqua" w:cs="Book Antiqua"/>
          <w:color w:val="000000"/>
        </w:rPr>
        <w:t>: 5131-5137 [PMID: 23964148 DOI: 10.3748/wjg.v19.i31.5131]</w:t>
      </w:r>
    </w:p>
    <w:p>
      <w:pPr>
        <w:spacing w:line="360" w:lineRule="auto"/>
        <w:jc w:val="both"/>
      </w:pPr>
      <w:r>
        <w:rPr>
          <w:rFonts w:ascii="Book Antiqua" w:hAnsi="Book Antiqua" w:eastAsia="Book Antiqua" w:cs="Book Antiqua"/>
          <w:color w:val="000000"/>
        </w:rPr>
        <w:t xml:space="preserve">94 </w:t>
      </w:r>
      <w:r>
        <w:rPr>
          <w:rFonts w:ascii="Book Antiqua" w:hAnsi="Book Antiqua" w:eastAsia="Book Antiqua" w:cs="Book Antiqua"/>
          <w:b/>
          <w:bCs/>
          <w:color w:val="000000"/>
        </w:rPr>
        <w:t>Floreani A</w:t>
      </w:r>
      <w:r>
        <w:rPr>
          <w:rFonts w:ascii="Book Antiqua" w:hAnsi="Book Antiqua" w:eastAsia="Book Antiqua" w:cs="Book Antiqua"/>
          <w:color w:val="000000"/>
        </w:rPr>
        <w:t xml:space="preserve">, Franceschet I, Cazzagon N, Spinazzè A, Buja A, Furlan P, Baldo V, Gershwin ME. Extrahepatic autoimmune conditions associated with primary biliary cirrhosis. </w:t>
      </w:r>
      <w:r>
        <w:rPr>
          <w:rFonts w:ascii="Book Antiqua" w:hAnsi="Book Antiqua" w:eastAsia="Book Antiqua" w:cs="Book Antiqua"/>
          <w:i/>
          <w:iCs/>
          <w:color w:val="000000"/>
        </w:rPr>
        <w:t>Clin Rev Allergy Immunol</w:t>
      </w:r>
      <w:r>
        <w:rPr>
          <w:rFonts w:ascii="Book Antiqua" w:hAnsi="Book Antiqua" w:eastAsia="Book Antiqua" w:cs="Book Antiqua"/>
          <w:color w:val="000000"/>
        </w:rPr>
        <w:t xml:space="preserve"> 2015; </w:t>
      </w:r>
      <w:r>
        <w:rPr>
          <w:rFonts w:ascii="Book Antiqua" w:hAnsi="Book Antiqua" w:eastAsia="Book Antiqua" w:cs="Book Antiqua"/>
          <w:b/>
          <w:bCs/>
          <w:color w:val="000000"/>
        </w:rPr>
        <w:t>48</w:t>
      </w:r>
      <w:r>
        <w:rPr>
          <w:rFonts w:ascii="Book Antiqua" w:hAnsi="Book Antiqua" w:eastAsia="Book Antiqua" w:cs="Book Antiqua"/>
          <w:color w:val="000000"/>
        </w:rPr>
        <w:t>: 192-197 [PMID: 24809534 DOI: 10.1007/s12016-014-8427-x]</w:t>
      </w:r>
    </w:p>
    <w:p>
      <w:pPr>
        <w:spacing w:line="360" w:lineRule="auto"/>
        <w:jc w:val="both"/>
      </w:pPr>
      <w:r>
        <w:rPr>
          <w:rFonts w:ascii="Book Antiqua" w:hAnsi="Book Antiqua" w:eastAsia="Book Antiqua" w:cs="Book Antiqua"/>
          <w:color w:val="000000"/>
        </w:rPr>
        <w:t xml:space="preserve">95 </w:t>
      </w:r>
      <w:r>
        <w:rPr>
          <w:rFonts w:ascii="Book Antiqua" w:hAnsi="Book Antiqua" w:eastAsia="Book Antiqua" w:cs="Book Antiqua"/>
          <w:b/>
          <w:bCs/>
          <w:color w:val="000000"/>
        </w:rPr>
        <w:t>Selmi C</w:t>
      </w:r>
      <w:r>
        <w:rPr>
          <w:rFonts w:ascii="Book Antiqua" w:hAnsi="Book Antiqua" w:eastAsia="Book Antiqua" w:cs="Book Antiqua"/>
          <w:color w:val="000000"/>
        </w:rPr>
        <w:t xml:space="preserve">, Gershwin ME. Chronic Autoimmune Epithelitis in Sjögren's Syndrome and Primary Biliary Cholangitis: A Comprehensive Review. </w:t>
      </w:r>
      <w:r>
        <w:rPr>
          <w:rFonts w:ascii="Book Antiqua" w:hAnsi="Book Antiqua" w:eastAsia="Book Antiqua" w:cs="Book Antiqua"/>
          <w:i/>
          <w:iCs/>
          <w:color w:val="000000"/>
        </w:rPr>
        <w:t>Rheumatol Ther</w:t>
      </w:r>
      <w:r>
        <w:rPr>
          <w:rFonts w:ascii="Book Antiqua" w:hAnsi="Book Antiqua" w:eastAsia="Book Antiqua" w:cs="Book Antiqua"/>
          <w:color w:val="000000"/>
        </w:rPr>
        <w:t xml:space="preserve"> 2017; </w:t>
      </w:r>
      <w:r>
        <w:rPr>
          <w:rFonts w:ascii="Book Antiqua" w:hAnsi="Book Antiqua" w:eastAsia="Book Antiqua" w:cs="Book Antiqua"/>
          <w:b/>
          <w:bCs/>
          <w:color w:val="000000"/>
        </w:rPr>
        <w:t>4</w:t>
      </w:r>
      <w:r>
        <w:rPr>
          <w:rFonts w:ascii="Book Antiqua" w:hAnsi="Book Antiqua" w:eastAsia="Book Antiqua" w:cs="Book Antiqua"/>
          <w:color w:val="000000"/>
        </w:rPr>
        <w:t>: 263-279 [PMID: 28791611 DOI: 10.1007/s40744-017-0074-2]</w:t>
      </w:r>
    </w:p>
    <w:p>
      <w:pPr>
        <w:spacing w:line="360" w:lineRule="auto"/>
        <w:jc w:val="both"/>
      </w:pPr>
      <w:r>
        <w:rPr>
          <w:rFonts w:ascii="Book Antiqua" w:hAnsi="Book Antiqua" w:eastAsia="Book Antiqua" w:cs="Book Antiqua"/>
          <w:color w:val="000000"/>
        </w:rPr>
        <w:t xml:space="preserve">96 </w:t>
      </w:r>
      <w:r>
        <w:rPr>
          <w:rFonts w:ascii="Book Antiqua" w:hAnsi="Book Antiqua" w:eastAsia="Book Antiqua" w:cs="Book Antiqua"/>
          <w:b/>
          <w:bCs/>
          <w:color w:val="000000"/>
        </w:rPr>
        <w:t>Bournia VK</w:t>
      </w:r>
      <w:r>
        <w:rPr>
          <w:rFonts w:ascii="Book Antiqua" w:hAnsi="Book Antiqua" w:eastAsia="Book Antiqua" w:cs="Book Antiqua"/>
          <w:color w:val="000000"/>
        </w:rPr>
        <w:t xml:space="preserve">, Vlachoyiannopoulos PG. Subgroups of Sjögren syndrome patients according to serological profiles. </w:t>
      </w:r>
      <w:r>
        <w:rPr>
          <w:rFonts w:ascii="Book Antiqua" w:hAnsi="Book Antiqua" w:eastAsia="Book Antiqua" w:cs="Book Antiqua"/>
          <w:i/>
          <w:iCs/>
          <w:color w:val="000000"/>
        </w:rPr>
        <w:t>J Autoimmun</w:t>
      </w:r>
      <w:r>
        <w:rPr>
          <w:rFonts w:ascii="Book Antiqua" w:hAnsi="Book Antiqua" w:eastAsia="Book Antiqua" w:cs="Book Antiqua"/>
          <w:color w:val="000000"/>
        </w:rPr>
        <w:t xml:space="preserve"> 2012; </w:t>
      </w:r>
      <w:r>
        <w:rPr>
          <w:rFonts w:ascii="Book Antiqua" w:hAnsi="Book Antiqua" w:eastAsia="Book Antiqua" w:cs="Book Antiqua"/>
          <w:b/>
          <w:bCs/>
          <w:color w:val="000000"/>
        </w:rPr>
        <w:t>39</w:t>
      </w:r>
      <w:r>
        <w:rPr>
          <w:rFonts w:ascii="Book Antiqua" w:hAnsi="Book Antiqua" w:eastAsia="Book Antiqua" w:cs="Book Antiqua"/>
          <w:color w:val="000000"/>
        </w:rPr>
        <w:t>: 15-26 [PMID: 22575069 DOI: 10.1016/j.jaut.2012.03.001]</w:t>
      </w:r>
    </w:p>
    <w:p>
      <w:pPr>
        <w:spacing w:line="360" w:lineRule="auto"/>
        <w:jc w:val="both"/>
      </w:pPr>
      <w:r>
        <w:rPr>
          <w:rFonts w:ascii="Book Antiqua" w:hAnsi="Book Antiqua" w:eastAsia="Book Antiqua" w:cs="Book Antiqua"/>
          <w:color w:val="000000"/>
        </w:rPr>
        <w:t xml:space="preserve">97 </w:t>
      </w:r>
      <w:r>
        <w:rPr>
          <w:rFonts w:ascii="Book Antiqua" w:hAnsi="Book Antiqua" w:eastAsia="Book Antiqua" w:cs="Book Antiqua"/>
          <w:b/>
          <w:bCs/>
          <w:color w:val="000000"/>
        </w:rPr>
        <w:t>Takahashi A</w:t>
      </w:r>
      <w:r>
        <w:rPr>
          <w:rFonts w:ascii="Book Antiqua" w:hAnsi="Book Antiqua" w:eastAsia="Book Antiqua" w:cs="Book Antiqua"/>
          <w:color w:val="000000"/>
        </w:rPr>
        <w:t xml:space="preserve">, Abe K, Yokokawa J, Iwadate H, Kobayashi H, Watanabe H, Irisawa A, Ohira H. Clinical features of liver dysfunction in collagen diseases. </w:t>
      </w:r>
      <w:r>
        <w:rPr>
          <w:rFonts w:ascii="Book Antiqua" w:hAnsi="Book Antiqua" w:eastAsia="Book Antiqua" w:cs="Book Antiqua"/>
          <w:i/>
          <w:iCs/>
          <w:color w:val="000000"/>
        </w:rPr>
        <w:t>Hepatol Res</w:t>
      </w:r>
      <w:r>
        <w:rPr>
          <w:rFonts w:ascii="Book Antiqua" w:hAnsi="Book Antiqua" w:eastAsia="Book Antiqua" w:cs="Book Antiqua"/>
          <w:color w:val="000000"/>
        </w:rPr>
        <w:t xml:space="preserve"> 2010; </w:t>
      </w:r>
      <w:r>
        <w:rPr>
          <w:rFonts w:ascii="Book Antiqua" w:hAnsi="Book Antiqua" w:eastAsia="Book Antiqua" w:cs="Book Antiqua"/>
          <w:b/>
          <w:bCs/>
          <w:color w:val="000000"/>
        </w:rPr>
        <w:t>40</w:t>
      </w:r>
      <w:r>
        <w:rPr>
          <w:rFonts w:ascii="Book Antiqua" w:hAnsi="Book Antiqua" w:eastAsia="Book Antiqua" w:cs="Book Antiqua"/>
          <w:color w:val="000000"/>
        </w:rPr>
        <w:t>: 1092-1097 [PMID: 20880057 DOI: 10.1111/j.1872-034X.2010.00707.x]</w:t>
      </w:r>
    </w:p>
    <w:p>
      <w:pPr>
        <w:spacing w:line="360" w:lineRule="auto"/>
        <w:jc w:val="both"/>
      </w:pPr>
      <w:r>
        <w:rPr>
          <w:rFonts w:ascii="Book Antiqua" w:hAnsi="Book Antiqua" w:eastAsia="Book Antiqua" w:cs="Book Antiqua"/>
          <w:color w:val="000000"/>
        </w:rPr>
        <w:t xml:space="preserve">98 </w:t>
      </w:r>
      <w:r>
        <w:rPr>
          <w:rFonts w:ascii="Book Antiqua" w:hAnsi="Book Antiqua" w:eastAsia="Book Antiqua" w:cs="Book Antiqua"/>
          <w:b/>
          <w:bCs/>
          <w:color w:val="000000"/>
        </w:rPr>
        <w:t>Czaja AJ</w:t>
      </w:r>
      <w:r>
        <w:rPr>
          <w:rFonts w:ascii="Book Antiqua" w:hAnsi="Book Antiqua" w:eastAsia="Book Antiqua" w:cs="Book Antiqua"/>
          <w:color w:val="000000"/>
        </w:rPr>
        <w:t xml:space="preserve">, Carpenter HA, Santrach PJ, Moore SB. Genetic predispositions for the immunological features of chronic active hepatitis.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1993; </w:t>
      </w:r>
      <w:r>
        <w:rPr>
          <w:rFonts w:ascii="Book Antiqua" w:hAnsi="Book Antiqua" w:eastAsia="Book Antiqua" w:cs="Book Antiqua"/>
          <w:b/>
          <w:bCs/>
          <w:color w:val="000000"/>
        </w:rPr>
        <w:t>18</w:t>
      </w:r>
      <w:r>
        <w:rPr>
          <w:rFonts w:ascii="Book Antiqua" w:hAnsi="Book Antiqua" w:eastAsia="Book Antiqua" w:cs="Book Antiqua"/>
          <w:color w:val="000000"/>
        </w:rPr>
        <w:t xml:space="preserve">: 816-822 [PMID: </w:t>
      </w:r>
      <w:bookmarkStart w:id="71" w:name="OLE_LINK3200"/>
      <w:bookmarkStart w:id="72" w:name="OLE_LINK3199"/>
      <w:r>
        <w:rPr>
          <w:rFonts w:ascii="Book Antiqua" w:hAnsi="Book Antiqua" w:eastAsia="Book Antiqua" w:cs="Book Antiqua"/>
          <w:color w:val="000000"/>
        </w:rPr>
        <w:t>8406354</w:t>
      </w:r>
      <w:bookmarkEnd w:id="71"/>
      <w:bookmarkEnd w:id="72"/>
      <w:r>
        <w:rPr>
          <w:rFonts w:ascii="Book Antiqua" w:hAnsi="Book Antiqua" w:eastAsia="Book Antiqua" w:cs="Book Antiqua"/>
          <w:color w:val="000000"/>
        </w:rPr>
        <w:t xml:space="preserve"> DOI: 10.1002/hep.1840180411]</w:t>
      </w:r>
    </w:p>
    <w:p>
      <w:pPr>
        <w:spacing w:line="360" w:lineRule="auto"/>
        <w:jc w:val="both"/>
      </w:pPr>
      <w:r>
        <w:rPr>
          <w:rFonts w:ascii="Book Antiqua" w:hAnsi="Book Antiqua" w:eastAsia="Book Antiqua" w:cs="Book Antiqua"/>
          <w:color w:val="000000"/>
        </w:rPr>
        <w:t xml:space="preserve">99 </w:t>
      </w:r>
      <w:r>
        <w:rPr>
          <w:rFonts w:ascii="Book Antiqua" w:hAnsi="Book Antiqua" w:eastAsia="Book Antiqua" w:cs="Book Antiqua"/>
          <w:b/>
          <w:bCs/>
          <w:color w:val="000000"/>
        </w:rPr>
        <w:t>Werner M</w:t>
      </w:r>
      <w:r>
        <w:rPr>
          <w:rFonts w:ascii="Book Antiqua" w:hAnsi="Book Antiqua" w:eastAsia="Book Antiqua" w:cs="Book Antiqua"/>
          <w:color w:val="000000"/>
        </w:rPr>
        <w:t xml:space="preserve">, Prytz H, Ohlsson B, Almer S, Björnsson E, Bergquist A, Wallerstedt S, Sandberg-Gertzén H, Hultcrantz R, Sangfelt P, Weiland O, Danielsson A. Epidemiology and the initial presentation of autoimmune hepatitis in Sweden: a nationwide study. </w:t>
      </w:r>
      <w:r>
        <w:rPr>
          <w:rFonts w:ascii="Book Antiqua" w:hAnsi="Book Antiqua" w:eastAsia="Book Antiqua" w:cs="Book Antiqua"/>
          <w:i/>
          <w:iCs/>
          <w:color w:val="000000"/>
        </w:rPr>
        <w:t>Scand J Gastroenterol</w:t>
      </w:r>
      <w:r>
        <w:rPr>
          <w:rFonts w:ascii="Book Antiqua" w:hAnsi="Book Antiqua" w:eastAsia="Book Antiqua" w:cs="Book Antiqua"/>
          <w:color w:val="000000"/>
        </w:rPr>
        <w:t xml:space="preserve"> 2008; </w:t>
      </w:r>
      <w:r>
        <w:rPr>
          <w:rFonts w:ascii="Book Antiqua" w:hAnsi="Book Antiqua" w:eastAsia="Book Antiqua" w:cs="Book Antiqua"/>
          <w:b/>
          <w:bCs/>
          <w:color w:val="000000"/>
        </w:rPr>
        <w:t>43</w:t>
      </w:r>
      <w:r>
        <w:rPr>
          <w:rFonts w:ascii="Book Antiqua" w:hAnsi="Book Antiqua" w:eastAsia="Book Antiqua" w:cs="Book Antiqua"/>
          <w:color w:val="000000"/>
        </w:rPr>
        <w:t>: 1232-1240 [PMID: 18609163 DOI: 10.1080/00365520802130183]</w:t>
      </w:r>
    </w:p>
    <w:p>
      <w:pPr>
        <w:spacing w:line="360" w:lineRule="auto"/>
        <w:jc w:val="both"/>
      </w:pPr>
      <w:r>
        <w:rPr>
          <w:rFonts w:ascii="Book Antiqua" w:hAnsi="Book Antiqua" w:eastAsia="Book Antiqua" w:cs="Book Antiqua"/>
          <w:color w:val="000000"/>
        </w:rPr>
        <w:t xml:space="preserve">100 </w:t>
      </w:r>
      <w:r>
        <w:rPr>
          <w:rFonts w:ascii="Book Antiqua" w:hAnsi="Book Antiqua" w:eastAsia="Book Antiqua" w:cs="Book Antiqua"/>
          <w:b/>
          <w:bCs/>
          <w:color w:val="000000"/>
        </w:rPr>
        <w:t>Teufel A</w:t>
      </w:r>
      <w:r>
        <w:rPr>
          <w:rFonts w:ascii="Book Antiqua" w:hAnsi="Book Antiqua" w:eastAsia="Book Antiqua" w:cs="Book Antiqua"/>
          <w:color w:val="000000"/>
        </w:rPr>
        <w:t xml:space="preserve">, Weinmann A, Kahaly GJ, Centner C, Piendl A, Wörns M, Lohse AW, Galle PR, Kanzler S. Concurrent autoimmune diseases in patients with autoimmune hepatitis. </w:t>
      </w:r>
      <w:r>
        <w:rPr>
          <w:rFonts w:ascii="Book Antiqua" w:hAnsi="Book Antiqua" w:eastAsia="Book Antiqua" w:cs="Book Antiqua"/>
          <w:i/>
          <w:iCs/>
          <w:color w:val="000000"/>
        </w:rPr>
        <w:t>J Clin Gastroenterol</w:t>
      </w:r>
      <w:r>
        <w:rPr>
          <w:rFonts w:ascii="Book Antiqua" w:hAnsi="Book Antiqua" w:eastAsia="Book Antiqua" w:cs="Book Antiqua"/>
          <w:color w:val="000000"/>
        </w:rPr>
        <w:t xml:space="preserve"> 2010; </w:t>
      </w:r>
      <w:r>
        <w:rPr>
          <w:rFonts w:ascii="Book Antiqua" w:hAnsi="Book Antiqua" w:eastAsia="Book Antiqua" w:cs="Book Antiqua"/>
          <w:b/>
          <w:bCs/>
          <w:color w:val="000000"/>
        </w:rPr>
        <w:t>44</w:t>
      </w:r>
      <w:r>
        <w:rPr>
          <w:rFonts w:ascii="Book Antiqua" w:hAnsi="Book Antiqua" w:eastAsia="Book Antiqua" w:cs="Book Antiqua"/>
          <w:color w:val="000000"/>
        </w:rPr>
        <w:t>: 208-213 [PMID: 20087196 DOI: 10.1097/MCG.0b013e3181c74e0d]</w:t>
      </w:r>
    </w:p>
    <w:p>
      <w:pPr>
        <w:spacing w:line="360" w:lineRule="auto"/>
        <w:jc w:val="both"/>
      </w:pPr>
      <w:r>
        <w:rPr>
          <w:rFonts w:ascii="Book Antiqua" w:hAnsi="Book Antiqua" w:eastAsia="Book Antiqua" w:cs="Book Antiqua"/>
          <w:color w:val="000000"/>
        </w:rPr>
        <w:t xml:space="preserve">101 </w:t>
      </w:r>
      <w:r>
        <w:rPr>
          <w:rFonts w:ascii="Book Antiqua" w:hAnsi="Book Antiqua" w:eastAsia="Book Antiqua" w:cs="Book Antiqua"/>
          <w:b/>
          <w:bCs/>
          <w:color w:val="000000"/>
        </w:rPr>
        <w:t>Abe M</w:t>
      </w:r>
      <w:r>
        <w:rPr>
          <w:rFonts w:ascii="Book Antiqua" w:hAnsi="Book Antiqua" w:eastAsia="Book Antiqua" w:cs="Book Antiqua"/>
          <w:color w:val="000000"/>
        </w:rPr>
        <w:t xml:space="preserve">, Mashiba T, Zeniya M, Yamamoto K, Onji M, Tsubouchi H; Autoimmune Hepatitis Study Group-Subgroup of the Intractable Hepato-Biliary Disease Study Group in Japan. Present status of autoimmune hepatitis in Japan: a nationwide survey. </w:t>
      </w:r>
      <w:r>
        <w:rPr>
          <w:rFonts w:ascii="Book Antiqua" w:hAnsi="Book Antiqua" w:eastAsia="Book Antiqua" w:cs="Book Antiqua"/>
          <w:i/>
          <w:iCs/>
          <w:color w:val="000000"/>
        </w:rPr>
        <w:t>J Gastroenterol</w:t>
      </w:r>
      <w:r>
        <w:rPr>
          <w:rFonts w:ascii="Book Antiqua" w:hAnsi="Book Antiqua" w:eastAsia="Book Antiqua" w:cs="Book Antiqua"/>
          <w:color w:val="000000"/>
        </w:rPr>
        <w:t xml:space="preserve"> 2011; </w:t>
      </w:r>
      <w:r>
        <w:rPr>
          <w:rFonts w:ascii="Book Antiqua" w:hAnsi="Book Antiqua" w:eastAsia="Book Antiqua" w:cs="Book Antiqua"/>
          <w:b/>
          <w:bCs/>
          <w:color w:val="000000"/>
        </w:rPr>
        <w:t>46</w:t>
      </w:r>
      <w:r>
        <w:rPr>
          <w:rFonts w:ascii="Book Antiqua" w:hAnsi="Book Antiqua" w:eastAsia="Book Antiqua" w:cs="Book Antiqua"/>
          <w:color w:val="000000"/>
        </w:rPr>
        <w:t>: 1136-1141 [PMID: 21597932 DOI: 10.1007/s00535-011-0421-y]</w:t>
      </w:r>
    </w:p>
    <w:p>
      <w:pPr>
        <w:spacing w:line="360" w:lineRule="auto"/>
        <w:jc w:val="both"/>
      </w:pPr>
      <w:r>
        <w:rPr>
          <w:rFonts w:ascii="Book Antiqua" w:hAnsi="Book Antiqua" w:eastAsia="Book Antiqua" w:cs="Book Antiqua"/>
          <w:color w:val="000000"/>
        </w:rPr>
        <w:t xml:space="preserve">102 </w:t>
      </w:r>
      <w:r>
        <w:rPr>
          <w:rFonts w:ascii="Book Antiqua" w:hAnsi="Book Antiqua" w:eastAsia="Book Antiqua" w:cs="Book Antiqua"/>
          <w:b/>
          <w:bCs/>
          <w:color w:val="000000"/>
        </w:rPr>
        <w:t>Wong GW</w:t>
      </w:r>
      <w:r>
        <w:rPr>
          <w:rFonts w:ascii="Book Antiqua" w:hAnsi="Book Antiqua" w:eastAsia="Book Antiqua" w:cs="Book Antiqua"/>
          <w:color w:val="000000"/>
        </w:rPr>
        <w:t xml:space="preserve">, Yeong T, Lawrence D, Yeoman AD, Verma S, Heneghan MA. Concurrent extrahepatic autoimmunity in autoimmune hepatitis: implications for diagnosis, clinical course and long-term outcomes. </w:t>
      </w:r>
      <w:r>
        <w:rPr>
          <w:rFonts w:ascii="Book Antiqua" w:hAnsi="Book Antiqua" w:eastAsia="Book Antiqua" w:cs="Book Antiqua"/>
          <w:i/>
          <w:iCs/>
          <w:color w:val="000000"/>
        </w:rPr>
        <w:t>Liver Int</w:t>
      </w:r>
      <w:r>
        <w:rPr>
          <w:rFonts w:ascii="Book Antiqua" w:hAnsi="Book Antiqua" w:eastAsia="Book Antiqua" w:cs="Book Antiqua"/>
          <w:color w:val="000000"/>
        </w:rPr>
        <w:t xml:space="preserve"> 2017; </w:t>
      </w:r>
      <w:r>
        <w:rPr>
          <w:rFonts w:ascii="Book Antiqua" w:hAnsi="Book Antiqua" w:eastAsia="Book Antiqua" w:cs="Book Antiqua"/>
          <w:b/>
          <w:bCs/>
          <w:color w:val="000000"/>
        </w:rPr>
        <w:t>37</w:t>
      </w:r>
      <w:r>
        <w:rPr>
          <w:rFonts w:ascii="Book Antiqua" w:hAnsi="Book Antiqua" w:eastAsia="Book Antiqua" w:cs="Book Antiqua"/>
          <w:color w:val="000000"/>
        </w:rPr>
        <w:t>: 449-457 [PMID: 27541063 DOI: 10.1111/liv.13236]</w:t>
      </w:r>
    </w:p>
    <w:p>
      <w:pPr>
        <w:spacing w:line="360" w:lineRule="auto"/>
        <w:jc w:val="both"/>
      </w:pPr>
      <w:r>
        <w:rPr>
          <w:rFonts w:ascii="Book Antiqua" w:hAnsi="Book Antiqua" w:eastAsia="Book Antiqua" w:cs="Book Antiqua"/>
          <w:color w:val="000000"/>
        </w:rPr>
        <w:t xml:space="preserve">103 </w:t>
      </w:r>
      <w:r>
        <w:rPr>
          <w:rFonts w:ascii="Book Antiqua" w:hAnsi="Book Antiqua" w:eastAsia="Book Antiqua" w:cs="Book Antiqua"/>
          <w:b/>
          <w:bCs/>
          <w:color w:val="000000"/>
        </w:rPr>
        <w:t>Montefusco PP</w:t>
      </w:r>
      <w:r>
        <w:rPr>
          <w:rFonts w:ascii="Book Antiqua" w:hAnsi="Book Antiqua" w:eastAsia="Book Antiqua" w:cs="Book Antiqua"/>
          <w:color w:val="000000"/>
        </w:rPr>
        <w:t xml:space="preserve">, Geiss AC, Bronzo RL, Randall S, Kahn E, McKinley MJ. Sclerosing cholangitis, chronic pancreatitis, and Sjogren's syndrome: a syndrome complex. </w:t>
      </w:r>
      <w:r>
        <w:rPr>
          <w:rFonts w:ascii="Book Antiqua" w:hAnsi="Book Antiqua" w:eastAsia="Book Antiqua" w:cs="Book Antiqua"/>
          <w:i/>
          <w:iCs/>
          <w:color w:val="000000"/>
        </w:rPr>
        <w:t>Am J Surg</w:t>
      </w:r>
      <w:r>
        <w:rPr>
          <w:rFonts w:ascii="Book Antiqua" w:hAnsi="Book Antiqua" w:eastAsia="Book Antiqua" w:cs="Book Antiqua"/>
          <w:color w:val="000000"/>
        </w:rPr>
        <w:t xml:space="preserve"> 1984; </w:t>
      </w:r>
      <w:r>
        <w:rPr>
          <w:rFonts w:ascii="Book Antiqua" w:hAnsi="Book Antiqua" w:eastAsia="Book Antiqua" w:cs="Book Antiqua"/>
          <w:b/>
          <w:bCs/>
          <w:color w:val="000000"/>
        </w:rPr>
        <w:t>147</w:t>
      </w:r>
      <w:r>
        <w:rPr>
          <w:rFonts w:ascii="Book Antiqua" w:hAnsi="Book Antiqua" w:eastAsia="Book Antiqua" w:cs="Book Antiqua"/>
          <w:color w:val="000000"/>
        </w:rPr>
        <w:t>: 822-826 [PMID: 6731702 DOI: 10.1016/0002-9610(84)90212-5]</w:t>
      </w:r>
    </w:p>
    <w:p>
      <w:pPr>
        <w:spacing w:line="360" w:lineRule="auto"/>
        <w:jc w:val="both"/>
      </w:pPr>
      <w:r>
        <w:rPr>
          <w:rFonts w:ascii="Book Antiqua" w:hAnsi="Book Antiqua" w:eastAsia="Book Antiqua" w:cs="Book Antiqua"/>
          <w:color w:val="000000"/>
        </w:rPr>
        <w:t xml:space="preserve">104 </w:t>
      </w:r>
      <w:r>
        <w:rPr>
          <w:rFonts w:ascii="Book Antiqua" w:hAnsi="Book Antiqua" w:eastAsia="Book Antiqua" w:cs="Book Antiqua"/>
          <w:b/>
          <w:bCs/>
          <w:color w:val="000000"/>
        </w:rPr>
        <w:t>Zeron PB</w:t>
      </w:r>
      <w:r>
        <w:rPr>
          <w:rFonts w:ascii="Book Antiqua" w:hAnsi="Book Antiqua" w:eastAsia="Book Antiqua" w:cs="Book Antiqua"/>
          <w:color w:val="000000"/>
        </w:rPr>
        <w:t xml:space="preserve">, Retamozo S, Bové A, Kostov BA, Sisó A, Ramos-Casals M. Diagnosis of Liver Involvement in Primary Sjögren Syndrome. </w:t>
      </w:r>
      <w:r>
        <w:rPr>
          <w:rFonts w:ascii="Book Antiqua" w:hAnsi="Book Antiqua" w:eastAsia="Book Antiqua" w:cs="Book Antiqua"/>
          <w:i/>
          <w:iCs/>
          <w:color w:val="000000"/>
        </w:rPr>
        <w:t>J Clin Transl Hepatol</w:t>
      </w:r>
      <w:r>
        <w:rPr>
          <w:rFonts w:ascii="Book Antiqua" w:hAnsi="Book Antiqua" w:eastAsia="Book Antiqua" w:cs="Book Antiqua"/>
          <w:color w:val="000000"/>
        </w:rPr>
        <w:t xml:space="preserve"> 2013; </w:t>
      </w:r>
      <w:r>
        <w:rPr>
          <w:rFonts w:ascii="Book Antiqua" w:hAnsi="Book Antiqua" w:eastAsia="Book Antiqua" w:cs="Book Antiqua"/>
          <w:b/>
          <w:bCs/>
          <w:color w:val="000000"/>
        </w:rPr>
        <w:t>1</w:t>
      </w:r>
      <w:r>
        <w:rPr>
          <w:rFonts w:ascii="Book Antiqua" w:hAnsi="Book Antiqua" w:eastAsia="Book Antiqua" w:cs="Book Antiqua"/>
          <w:color w:val="000000"/>
        </w:rPr>
        <w:t>: 94-102 [PMID: 26355632 DOI: 10.14218/JCTH.2013.00011]</w:t>
      </w:r>
    </w:p>
    <w:p>
      <w:pPr>
        <w:spacing w:line="360" w:lineRule="auto"/>
        <w:jc w:val="both"/>
      </w:pPr>
      <w:r>
        <w:rPr>
          <w:rFonts w:ascii="Book Antiqua" w:hAnsi="Book Antiqua" w:eastAsia="Book Antiqua" w:cs="Book Antiqua"/>
          <w:color w:val="000000"/>
        </w:rPr>
        <w:t xml:space="preserve">105 </w:t>
      </w:r>
      <w:r>
        <w:rPr>
          <w:rFonts w:ascii="Book Antiqua" w:hAnsi="Book Antiqua" w:eastAsia="Book Antiqua" w:cs="Book Antiqua"/>
          <w:b/>
          <w:bCs/>
          <w:color w:val="000000"/>
        </w:rPr>
        <w:t>Denton CP</w:t>
      </w:r>
      <w:r>
        <w:rPr>
          <w:rFonts w:ascii="Book Antiqua" w:hAnsi="Book Antiqua" w:eastAsia="Book Antiqua" w:cs="Book Antiqua"/>
          <w:color w:val="000000"/>
        </w:rPr>
        <w:t xml:space="preserve">, Khanna D. Systemic sclerosis.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2017; </w:t>
      </w:r>
      <w:r>
        <w:rPr>
          <w:rFonts w:ascii="Book Antiqua" w:hAnsi="Book Antiqua" w:eastAsia="Book Antiqua" w:cs="Book Antiqua"/>
          <w:b/>
          <w:bCs/>
          <w:color w:val="000000"/>
        </w:rPr>
        <w:t>390</w:t>
      </w:r>
      <w:r>
        <w:rPr>
          <w:rFonts w:ascii="Book Antiqua" w:hAnsi="Book Antiqua" w:eastAsia="Book Antiqua" w:cs="Book Antiqua"/>
          <w:color w:val="000000"/>
        </w:rPr>
        <w:t>: 1685-1699 [PMID: 28413064 DOI: 10.1016/S0140-6736(17)30933-9]</w:t>
      </w:r>
    </w:p>
    <w:p>
      <w:pPr>
        <w:spacing w:line="360" w:lineRule="auto"/>
        <w:jc w:val="both"/>
      </w:pPr>
      <w:r>
        <w:rPr>
          <w:rFonts w:ascii="Book Antiqua" w:hAnsi="Book Antiqua" w:eastAsia="Book Antiqua" w:cs="Book Antiqua"/>
          <w:color w:val="000000"/>
        </w:rPr>
        <w:t xml:space="preserve">106 </w:t>
      </w:r>
      <w:r>
        <w:rPr>
          <w:rFonts w:ascii="Book Antiqua" w:hAnsi="Book Antiqua" w:eastAsia="Book Antiqua" w:cs="Book Antiqua"/>
          <w:b/>
          <w:bCs/>
          <w:color w:val="000000"/>
        </w:rPr>
        <w:t>Forbes A</w:t>
      </w:r>
      <w:r>
        <w:rPr>
          <w:rFonts w:ascii="Book Antiqua" w:hAnsi="Book Antiqua" w:eastAsia="Book Antiqua" w:cs="Book Antiqua"/>
          <w:color w:val="000000"/>
        </w:rPr>
        <w:t xml:space="preserve">, Marie I. Gastrointestinal complications: the most frequent internal complications of systemic sclerosis. </w:t>
      </w:r>
      <w:r>
        <w:rPr>
          <w:rFonts w:ascii="Book Antiqua" w:hAnsi="Book Antiqua" w:eastAsia="Book Antiqua" w:cs="Book Antiqua"/>
          <w:i/>
          <w:iCs/>
          <w:color w:val="000000"/>
        </w:rPr>
        <w:t>Rheumatology (Oxford)</w:t>
      </w:r>
      <w:r>
        <w:rPr>
          <w:rFonts w:ascii="Book Antiqua" w:hAnsi="Book Antiqua" w:eastAsia="Book Antiqua" w:cs="Book Antiqua"/>
          <w:color w:val="000000"/>
        </w:rPr>
        <w:t xml:space="preserve"> 2009; </w:t>
      </w:r>
      <w:r>
        <w:rPr>
          <w:rFonts w:ascii="Book Antiqua" w:hAnsi="Book Antiqua" w:eastAsia="Book Antiqua" w:cs="Book Antiqua"/>
          <w:b/>
          <w:bCs/>
          <w:color w:val="000000"/>
        </w:rPr>
        <w:t xml:space="preserve">48 </w:t>
      </w:r>
      <w:r>
        <w:rPr>
          <w:rFonts w:ascii="Book Antiqua" w:hAnsi="Book Antiqua" w:eastAsia="Book Antiqua" w:cs="Book Antiqua"/>
          <w:color w:val="000000"/>
        </w:rPr>
        <w:t>Suppl 3: iii36-iii39 [PMID: 19487222 DOI: 10.1093/rheumatology/ken485]</w:t>
      </w:r>
    </w:p>
    <w:p>
      <w:pPr>
        <w:spacing w:line="360" w:lineRule="auto"/>
        <w:jc w:val="both"/>
      </w:pPr>
      <w:r>
        <w:rPr>
          <w:rFonts w:ascii="Book Antiqua" w:hAnsi="Book Antiqua" w:eastAsia="Book Antiqua" w:cs="Book Antiqua"/>
          <w:color w:val="000000"/>
        </w:rPr>
        <w:t xml:space="preserve">107 </w:t>
      </w:r>
      <w:r>
        <w:rPr>
          <w:rFonts w:ascii="Book Antiqua" w:hAnsi="Book Antiqua" w:eastAsia="Book Antiqua" w:cs="Book Antiqua"/>
          <w:b/>
          <w:bCs/>
          <w:color w:val="000000"/>
        </w:rPr>
        <w:t>D'Angelo WA</w:t>
      </w:r>
      <w:r>
        <w:rPr>
          <w:rFonts w:ascii="Book Antiqua" w:hAnsi="Book Antiqua" w:eastAsia="Book Antiqua" w:cs="Book Antiqua"/>
          <w:color w:val="000000"/>
        </w:rPr>
        <w:t xml:space="preserve">, Fries JF, Masi AT, Shulman LE. Pathologic observations in systemic sclerosis (scleroderma). A study of fifty-eight autopsy cases and fifty-eight matched controls. </w:t>
      </w:r>
      <w:r>
        <w:rPr>
          <w:rFonts w:ascii="Book Antiqua" w:hAnsi="Book Antiqua" w:eastAsia="Book Antiqua" w:cs="Book Antiqua"/>
          <w:i/>
          <w:iCs/>
          <w:color w:val="000000"/>
        </w:rPr>
        <w:t>Am J Med</w:t>
      </w:r>
      <w:r>
        <w:rPr>
          <w:rFonts w:ascii="Book Antiqua" w:hAnsi="Book Antiqua" w:eastAsia="Book Antiqua" w:cs="Book Antiqua"/>
          <w:color w:val="000000"/>
        </w:rPr>
        <w:t xml:space="preserve"> 1969; </w:t>
      </w:r>
      <w:r>
        <w:rPr>
          <w:rFonts w:ascii="Book Antiqua" w:hAnsi="Book Antiqua" w:eastAsia="Book Antiqua" w:cs="Book Antiqua"/>
          <w:b/>
          <w:bCs/>
          <w:color w:val="000000"/>
        </w:rPr>
        <w:t>46</w:t>
      </w:r>
      <w:r>
        <w:rPr>
          <w:rFonts w:ascii="Book Antiqua" w:hAnsi="Book Antiqua" w:eastAsia="Book Antiqua" w:cs="Book Antiqua"/>
          <w:color w:val="000000"/>
        </w:rPr>
        <w:t xml:space="preserve">: 428-440 [PMID: </w:t>
      </w:r>
      <w:bookmarkStart w:id="73" w:name="OLE_LINK3202"/>
      <w:bookmarkStart w:id="74" w:name="OLE_LINK3201"/>
      <w:r>
        <w:rPr>
          <w:rFonts w:ascii="Book Antiqua" w:hAnsi="Book Antiqua" w:eastAsia="Book Antiqua" w:cs="Book Antiqua"/>
          <w:color w:val="000000"/>
        </w:rPr>
        <w:t>5780367</w:t>
      </w:r>
      <w:bookmarkEnd w:id="73"/>
      <w:bookmarkEnd w:id="74"/>
      <w:r>
        <w:rPr>
          <w:rFonts w:ascii="Book Antiqua" w:hAnsi="Book Antiqua" w:eastAsia="Book Antiqua" w:cs="Book Antiqua"/>
          <w:color w:val="000000"/>
        </w:rPr>
        <w:t xml:space="preserve"> DOI: 10.1016/0002-9343(69)90044-8]</w:t>
      </w:r>
    </w:p>
    <w:p>
      <w:pPr>
        <w:spacing w:line="360" w:lineRule="auto"/>
        <w:jc w:val="both"/>
      </w:pPr>
      <w:r>
        <w:rPr>
          <w:rFonts w:ascii="Book Antiqua" w:hAnsi="Book Antiqua" w:eastAsia="Book Antiqua" w:cs="Book Antiqua"/>
          <w:color w:val="000000"/>
        </w:rPr>
        <w:t xml:space="preserve">108 </w:t>
      </w:r>
      <w:r>
        <w:rPr>
          <w:rFonts w:ascii="Book Antiqua" w:hAnsi="Book Antiqua" w:eastAsia="Book Antiqua" w:cs="Book Antiqua"/>
          <w:b/>
          <w:bCs/>
          <w:color w:val="000000"/>
        </w:rPr>
        <w:t>Hudson M</w:t>
      </w:r>
      <w:r>
        <w:rPr>
          <w:rFonts w:ascii="Book Antiqua" w:hAnsi="Book Antiqua" w:eastAsia="Book Antiqua" w:cs="Book Antiqua"/>
          <w:color w:val="000000"/>
        </w:rPr>
        <w:t xml:space="preserve">, Rojas-Villarraga A, Coral-Alvarado P, López-Guzmán S, Mantilla RD, Chalem P; Canadian Scleroderma Research Group; Colombian Scleroderma Research Group, Baron M, Anaya JM. Polyautoimmunity and familial autoimmunity in systemic sclerosis. </w:t>
      </w:r>
      <w:r>
        <w:rPr>
          <w:rFonts w:ascii="Book Antiqua" w:hAnsi="Book Antiqua" w:eastAsia="Book Antiqua" w:cs="Book Antiqua"/>
          <w:i/>
          <w:iCs/>
          <w:color w:val="000000"/>
        </w:rPr>
        <w:t>J Autoimmun</w:t>
      </w:r>
      <w:r>
        <w:rPr>
          <w:rFonts w:ascii="Book Antiqua" w:hAnsi="Book Antiqua" w:eastAsia="Book Antiqua" w:cs="Book Antiqua"/>
          <w:color w:val="000000"/>
        </w:rPr>
        <w:t xml:space="preserve"> 2008; </w:t>
      </w:r>
      <w:r>
        <w:rPr>
          <w:rFonts w:ascii="Book Antiqua" w:hAnsi="Book Antiqua" w:eastAsia="Book Antiqua" w:cs="Book Antiqua"/>
          <w:b/>
          <w:bCs/>
          <w:color w:val="000000"/>
        </w:rPr>
        <w:t>31</w:t>
      </w:r>
      <w:r>
        <w:rPr>
          <w:rFonts w:ascii="Book Antiqua" w:hAnsi="Book Antiqua" w:eastAsia="Book Antiqua" w:cs="Book Antiqua"/>
          <w:color w:val="000000"/>
        </w:rPr>
        <w:t>: 156-159 [PMID: 18644698 DOI: 10.1016/j.jaut.2008.05.002]</w:t>
      </w:r>
    </w:p>
    <w:p>
      <w:pPr>
        <w:spacing w:line="360" w:lineRule="auto"/>
        <w:jc w:val="both"/>
      </w:pPr>
      <w:r>
        <w:rPr>
          <w:rFonts w:ascii="Book Antiqua" w:hAnsi="Book Antiqua" w:eastAsia="Book Antiqua" w:cs="Book Antiqua"/>
          <w:color w:val="000000"/>
        </w:rPr>
        <w:t xml:space="preserve">109 </w:t>
      </w:r>
      <w:r>
        <w:rPr>
          <w:rFonts w:ascii="Book Antiqua" w:hAnsi="Book Antiqua" w:eastAsia="Book Antiqua" w:cs="Book Antiqua"/>
          <w:b/>
          <w:bCs/>
          <w:color w:val="000000"/>
        </w:rPr>
        <w:t>Abu-Shakra M</w:t>
      </w:r>
      <w:r>
        <w:rPr>
          <w:rFonts w:ascii="Book Antiqua" w:hAnsi="Book Antiqua" w:eastAsia="Book Antiqua" w:cs="Book Antiqua"/>
          <w:color w:val="000000"/>
        </w:rPr>
        <w:t xml:space="preserve">, Guillemin F, Lee P. Gastrointestinal manifestations of systemic sclerosis. </w:t>
      </w:r>
      <w:r>
        <w:rPr>
          <w:rFonts w:ascii="Book Antiqua" w:hAnsi="Book Antiqua" w:eastAsia="Book Antiqua" w:cs="Book Antiqua"/>
          <w:i/>
          <w:iCs/>
          <w:color w:val="000000"/>
        </w:rPr>
        <w:t>Semin Arthritis Rheum</w:t>
      </w:r>
      <w:r>
        <w:rPr>
          <w:rFonts w:ascii="Book Antiqua" w:hAnsi="Book Antiqua" w:eastAsia="Book Antiqua" w:cs="Book Antiqua"/>
          <w:color w:val="000000"/>
        </w:rPr>
        <w:t xml:space="preserve"> 1994; </w:t>
      </w:r>
      <w:r>
        <w:rPr>
          <w:rFonts w:ascii="Book Antiqua" w:hAnsi="Book Antiqua" w:eastAsia="Book Antiqua" w:cs="Book Antiqua"/>
          <w:b/>
          <w:bCs/>
          <w:color w:val="000000"/>
        </w:rPr>
        <w:t>24</w:t>
      </w:r>
      <w:r>
        <w:rPr>
          <w:rFonts w:ascii="Book Antiqua" w:hAnsi="Book Antiqua" w:eastAsia="Book Antiqua" w:cs="Book Antiqua"/>
          <w:color w:val="000000"/>
        </w:rPr>
        <w:t>: 29-39 [PMID: 7985035 DOI: 10.1016/0049-0172(94)90097-3]</w:t>
      </w:r>
    </w:p>
    <w:p>
      <w:pPr>
        <w:spacing w:line="360" w:lineRule="auto"/>
        <w:jc w:val="both"/>
      </w:pPr>
      <w:r>
        <w:rPr>
          <w:rFonts w:ascii="Book Antiqua" w:hAnsi="Book Antiqua" w:eastAsia="Book Antiqua" w:cs="Book Antiqua"/>
          <w:color w:val="000000"/>
        </w:rPr>
        <w:t xml:space="preserve">110 </w:t>
      </w:r>
      <w:r>
        <w:rPr>
          <w:rFonts w:ascii="Book Antiqua" w:hAnsi="Book Antiqua" w:eastAsia="Book Antiqua" w:cs="Book Antiqua"/>
          <w:b/>
          <w:bCs/>
          <w:color w:val="000000"/>
        </w:rPr>
        <w:t>Pope JE</w:t>
      </w:r>
      <w:r>
        <w:rPr>
          <w:rFonts w:ascii="Book Antiqua" w:hAnsi="Book Antiqua" w:eastAsia="Book Antiqua" w:cs="Book Antiqua"/>
          <w:color w:val="000000"/>
        </w:rPr>
        <w:t xml:space="preserve">, Thompson A. Antimitochondrial antibodies and their significance in diffuse and limited scleroderma. </w:t>
      </w:r>
      <w:r>
        <w:rPr>
          <w:rFonts w:ascii="Book Antiqua" w:hAnsi="Book Antiqua" w:eastAsia="Book Antiqua" w:cs="Book Antiqua"/>
          <w:i/>
          <w:iCs/>
          <w:color w:val="000000"/>
        </w:rPr>
        <w:t>J Clin Rheumatol</w:t>
      </w:r>
      <w:r>
        <w:rPr>
          <w:rFonts w:ascii="Book Antiqua" w:hAnsi="Book Antiqua" w:eastAsia="Book Antiqua" w:cs="Book Antiqua"/>
          <w:color w:val="000000"/>
        </w:rPr>
        <w:t xml:space="preserve"> 1999; </w:t>
      </w:r>
      <w:r>
        <w:rPr>
          <w:rFonts w:ascii="Book Antiqua" w:hAnsi="Book Antiqua" w:eastAsia="Book Antiqua" w:cs="Book Antiqua"/>
          <w:b/>
          <w:bCs/>
          <w:color w:val="000000"/>
        </w:rPr>
        <w:t>5</w:t>
      </w:r>
      <w:r>
        <w:rPr>
          <w:rFonts w:ascii="Book Antiqua" w:hAnsi="Book Antiqua" w:eastAsia="Book Antiqua" w:cs="Book Antiqua"/>
          <w:color w:val="000000"/>
        </w:rPr>
        <w:t>: 206-209 [PMID: 19078387 DOI: 10.1097/00124743-199908000-00005]</w:t>
      </w:r>
    </w:p>
    <w:p>
      <w:pPr>
        <w:spacing w:line="360" w:lineRule="auto"/>
        <w:jc w:val="both"/>
      </w:pPr>
      <w:r>
        <w:rPr>
          <w:rFonts w:ascii="Book Antiqua" w:hAnsi="Book Antiqua" w:eastAsia="Book Antiqua" w:cs="Book Antiqua"/>
          <w:color w:val="000000"/>
        </w:rPr>
        <w:t xml:space="preserve">111 </w:t>
      </w:r>
      <w:r>
        <w:rPr>
          <w:rFonts w:ascii="Book Antiqua" w:hAnsi="Book Antiqua" w:eastAsia="Book Antiqua" w:cs="Book Antiqua"/>
          <w:b/>
          <w:bCs/>
          <w:color w:val="000000"/>
        </w:rPr>
        <w:t>Rigamonti C</w:t>
      </w:r>
      <w:r>
        <w:rPr>
          <w:rFonts w:ascii="Book Antiqua" w:hAnsi="Book Antiqua" w:eastAsia="Book Antiqua" w:cs="Book Antiqua"/>
          <w:color w:val="000000"/>
        </w:rPr>
        <w:t xml:space="preserve">, Shand LM, Feudjo M, Bunn CC, Black CM, Denton CP, Burroughs AK. Clinical features and prognosis of primary biliary cirrhosis associated with systemic sclerosis. </w:t>
      </w:r>
      <w:r>
        <w:rPr>
          <w:rFonts w:ascii="Book Antiqua" w:hAnsi="Book Antiqua" w:eastAsia="Book Antiqua" w:cs="Book Antiqua"/>
          <w:i/>
          <w:iCs/>
          <w:color w:val="000000"/>
        </w:rPr>
        <w:t>Gut</w:t>
      </w:r>
      <w:r>
        <w:rPr>
          <w:rFonts w:ascii="Book Antiqua" w:hAnsi="Book Antiqua" w:eastAsia="Book Antiqua" w:cs="Book Antiqua"/>
          <w:color w:val="000000"/>
        </w:rPr>
        <w:t xml:space="preserve"> 2006; </w:t>
      </w:r>
      <w:r>
        <w:rPr>
          <w:rFonts w:ascii="Book Antiqua" w:hAnsi="Book Antiqua" w:eastAsia="Book Antiqua" w:cs="Book Antiqua"/>
          <w:b/>
          <w:bCs/>
          <w:color w:val="000000"/>
        </w:rPr>
        <w:t>55</w:t>
      </w:r>
      <w:r>
        <w:rPr>
          <w:rFonts w:ascii="Book Antiqua" w:hAnsi="Book Antiqua" w:eastAsia="Book Antiqua" w:cs="Book Antiqua"/>
          <w:color w:val="000000"/>
        </w:rPr>
        <w:t>: 388-394 [PMID: 16150855 DOI: 10.1136/gut.2005.075002]</w:t>
      </w:r>
    </w:p>
    <w:p>
      <w:pPr>
        <w:spacing w:line="360" w:lineRule="auto"/>
        <w:jc w:val="both"/>
      </w:pPr>
      <w:r>
        <w:rPr>
          <w:rFonts w:ascii="Book Antiqua" w:hAnsi="Book Antiqua" w:eastAsia="Book Antiqua" w:cs="Book Antiqua"/>
          <w:color w:val="000000"/>
        </w:rPr>
        <w:t xml:space="preserve">112 </w:t>
      </w:r>
      <w:r>
        <w:rPr>
          <w:rFonts w:ascii="Book Antiqua" w:hAnsi="Book Antiqua" w:eastAsia="Book Antiqua" w:cs="Book Antiqua"/>
          <w:b/>
          <w:bCs/>
          <w:color w:val="000000"/>
        </w:rPr>
        <w:t>Assassi S</w:t>
      </w:r>
      <w:r>
        <w:rPr>
          <w:rFonts w:ascii="Book Antiqua" w:hAnsi="Book Antiqua" w:eastAsia="Book Antiqua" w:cs="Book Antiqua"/>
          <w:color w:val="000000"/>
        </w:rPr>
        <w:t xml:space="preserve">, Fritzler MJ, Arnett FC, Norman GL, Shah KR, Gourh P, Manek N, Perry M, Ganesh D, Rahbar MH, Mayes MD. Primary biliary cirrhosis (PBC), PBC autoantibodies, and hepatic parameter abnormalities in a large population of systemic sclerosis patients. </w:t>
      </w:r>
      <w:r>
        <w:rPr>
          <w:rFonts w:ascii="Book Antiqua" w:hAnsi="Book Antiqua" w:eastAsia="Book Antiqua" w:cs="Book Antiqua"/>
          <w:i/>
          <w:iCs/>
          <w:color w:val="000000"/>
        </w:rPr>
        <w:t>J Rheumatol</w:t>
      </w:r>
      <w:r>
        <w:rPr>
          <w:rFonts w:ascii="Book Antiqua" w:hAnsi="Book Antiqua" w:eastAsia="Book Antiqua" w:cs="Book Antiqua"/>
          <w:color w:val="000000"/>
        </w:rPr>
        <w:t xml:space="preserve"> 2009; </w:t>
      </w:r>
      <w:r>
        <w:rPr>
          <w:rFonts w:ascii="Book Antiqua" w:hAnsi="Book Antiqua" w:eastAsia="Book Antiqua" w:cs="Book Antiqua"/>
          <w:b/>
          <w:bCs/>
          <w:color w:val="000000"/>
        </w:rPr>
        <w:t>36</w:t>
      </w:r>
      <w:r>
        <w:rPr>
          <w:rFonts w:ascii="Book Antiqua" w:hAnsi="Book Antiqua" w:eastAsia="Book Antiqua" w:cs="Book Antiqua"/>
          <w:color w:val="000000"/>
        </w:rPr>
        <w:t>: 2250-2256 [PMID: 19723904 DOI: 10.3899/jrheum.090340]</w:t>
      </w:r>
    </w:p>
    <w:p>
      <w:pPr>
        <w:spacing w:line="360" w:lineRule="auto"/>
        <w:jc w:val="both"/>
      </w:pPr>
      <w:r>
        <w:rPr>
          <w:rFonts w:ascii="Book Antiqua" w:hAnsi="Book Antiqua" w:eastAsia="Book Antiqua" w:cs="Book Antiqua"/>
          <w:color w:val="000000"/>
        </w:rPr>
        <w:t xml:space="preserve">113 </w:t>
      </w:r>
      <w:r>
        <w:rPr>
          <w:rFonts w:ascii="Book Antiqua" w:hAnsi="Book Antiqua" w:eastAsia="Book Antiqua" w:cs="Book Antiqua"/>
          <w:b/>
          <w:bCs/>
          <w:color w:val="000000"/>
        </w:rPr>
        <w:t>Liberal R</w:t>
      </w:r>
      <w:r>
        <w:rPr>
          <w:rFonts w:ascii="Book Antiqua" w:hAnsi="Book Antiqua" w:eastAsia="Book Antiqua" w:cs="Book Antiqua"/>
          <w:color w:val="000000"/>
        </w:rPr>
        <w:t xml:space="preserve">, Grant CR, Sakkas L, Bizzaro N, Bogdanos DP. Diagnostic and clinical significance of anti-centromere antibodies in primary biliary cirrhosis. </w:t>
      </w:r>
      <w:r>
        <w:rPr>
          <w:rFonts w:ascii="Book Antiqua" w:hAnsi="Book Antiqua" w:eastAsia="Book Antiqua" w:cs="Book Antiqua"/>
          <w:i/>
          <w:iCs/>
          <w:color w:val="000000"/>
        </w:rPr>
        <w:t>Clin Res Hepatol Gastroenterol</w:t>
      </w:r>
      <w:r>
        <w:rPr>
          <w:rFonts w:ascii="Book Antiqua" w:hAnsi="Book Antiqua" w:eastAsia="Book Antiqua" w:cs="Book Antiqua"/>
          <w:color w:val="000000"/>
        </w:rPr>
        <w:t xml:space="preserve"> 2013; </w:t>
      </w:r>
      <w:r>
        <w:rPr>
          <w:rFonts w:ascii="Book Antiqua" w:hAnsi="Book Antiqua" w:eastAsia="Book Antiqua" w:cs="Book Antiqua"/>
          <w:b/>
          <w:bCs/>
          <w:color w:val="000000"/>
        </w:rPr>
        <w:t>37</w:t>
      </w:r>
      <w:r>
        <w:rPr>
          <w:rFonts w:ascii="Book Antiqua" w:hAnsi="Book Antiqua" w:eastAsia="Book Antiqua" w:cs="Book Antiqua"/>
          <w:color w:val="000000"/>
        </w:rPr>
        <w:t>: 572-585 [PMID: 23876351 DOI: 10.1016/j.clinre.2013.04.005]</w:t>
      </w:r>
    </w:p>
    <w:p>
      <w:pPr>
        <w:spacing w:line="360" w:lineRule="auto"/>
        <w:jc w:val="both"/>
      </w:pPr>
      <w:r>
        <w:rPr>
          <w:rFonts w:ascii="Book Antiqua" w:hAnsi="Book Antiqua" w:eastAsia="Book Antiqua" w:cs="Book Antiqua"/>
          <w:color w:val="000000"/>
        </w:rPr>
        <w:t xml:space="preserve">114 </w:t>
      </w:r>
      <w:r>
        <w:rPr>
          <w:rFonts w:ascii="Book Antiqua" w:hAnsi="Book Antiqua" w:eastAsia="Book Antiqua" w:cs="Book Antiqua"/>
          <w:b/>
          <w:bCs/>
          <w:color w:val="000000"/>
        </w:rPr>
        <w:t>McFarlane IM</w:t>
      </w:r>
      <w:r>
        <w:rPr>
          <w:rFonts w:ascii="Book Antiqua" w:hAnsi="Book Antiqua" w:eastAsia="Book Antiqua" w:cs="Book Antiqua"/>
          <w:color w:val="000000"/>
        </w:rPr>
        <w:t xml:space="preserve">, Bhamra MS, Kreps A, Iqbal S, Al-Ani F, Saladini-Aponte C, Grant C, Singh S, Awwal K, Koci K, Saperstein Y, Arroyo-Mercado FM, Laskar DB, Atluri P. Gastrointestinal Manifestations of Systemic Sclerosis. </w:t>
      </w:r>
      <w:r>
        <w:rPr>
          <w:rFonts w:ascii="Book Antiqua" w:hAnsi="Book Antiqua" w:eastAsia="Book Antiqua" w:cs="Book Antiqua"/>
          <w:i/>
          <w:iCs/>
          <w:color w:val="000000"/>
        </w:rPr>
        <w:t>Rheumatology (Sunnyvale)</w:t>
      </w:r>
      <w:r>
        <w:rPr>
          <w:rFonts w:ascii="Book Antiqua" w:hAnsi="Book Antiqua" w:eastAsia="Book Antiqua" w:cs="Book Antiqua"/>
          <w:color w:val="000000"/>
        </w:rPr>
        <w:t xml:space="preserve"> 2018; </w:t>
      </w:r>
      <w:r>
        <w:rPr>
          <w:rFonts w:ascii="Book Antiqua" w:hAnsi="Book Antiqua" w:eastAsia="Book Antiqua" w:cs="Book Antiqua"/>
          <w:b/>
          <w:bCs/>
          <w:color w:val="000000"/>
        </w:rPr>
        <w:t>8</w:t>
      </w:r>
      <w:r>
        <w:rPr>
          <w:rFonts w:ascii="Book Antiqua" w:hAnsi="Book Antiqua" w:eastAsia="Book Antiqua" w:cs="Book Antiqua"/>
          <w:color w:val="000000"/>
        </w:rPr>
        <w:t xml:space="preserve"> [PMID: 30057856 DOI: 10.4172/2161-1149.1000235]</w:t>
      </w:r>
    </w:p>
    <w:p>
      <w:pPr>
        <w:spacing w:line="360" w:lineRule="auto"/>
        <w:jc w:val="both"/>
      </w:pPr>
      <w:r>
        <w:rPr>
          <w:rFonts w:ascii="Book Antiqua" w:hAnsi="Book Antiqua" w:eastAsia="Book Antiqua" w:cs="Book Antiqua"/>
          <w:color w:val="000000"/>
        </w:rPr>
        <w:t xml:space="preserve">115 </w:t>
      </w:r>
      <w:r>
        <w:rPr>
          <w:rFonts w:ascii="Book Antiqua" w:hAnsi="Book Antiqua" w:eastAsia="Book Antiqua" w:cs="Book Antiqua"/>
          <w:b/>
          <w:bCs/>
          <w:color w:val="000000"/>
        </w:rPr>
        <w:t>Göring HD</w:t>
      </w:r>
      <w:r>
        <w:rPr>
          <w:rFonts w:ascii="Book Antiqua" w:hAnsi="Book Antiqua" w:eastAsia="Book Antiqua" w:cs="Book Antiqua"/>
          <w:color w:val="000000"/>
        </w:rPr>
        <w:t xml:space="preserve">, Panzner M, Lakotta W, Ziemer A. [Coincidence of scleroderma and primary biliary cirrhosis. Results of a systematic study of a dermatologic patient sample]. </w:t>
      </w:r>
      <w:r>
        <w:rPr>
          <w:rFonts w:ascii="Book Antiqua" w:hAnsi="Book Antiqua" w:eastAsia="Book Antiqua" w:cs="Book Antiqua"/>
          <w:i/>
          <w:iCs/>
          <w:color w:val="000000"/>
        </w:rPr>
        <w:t>Hautarzt</w:t>
      </w:r>
      <w:r>
        <w:rPr>
          <w:rFonts w:ascii="Book Antiqua" w:hAnsi="Book Antiqua" w:eastAsia="Book Antiqua" w:cs="Book Antiqua"/>
          <w:color w:val="000000"/>
        </w:rPr>
        <w:t xml:space="preserve"> 1998; </w:t>
      </w:r>
      <w:r>
        <w:rPr>
          <w:rFonts w:ascii="Book Antiqua" w:hAnsi="Book Antiqua" w:eastAsia="Book Antiqua" w:cs="Book Antiqua"/>
          <w:b/>
          <w:bCs/>
          <w:color w:val="000000"/>
        </w:rPr>
        <w:t>49</w:t>
      </w:r>
      <w:r>
        <w:rPr>
          <w:rFonts w:ascii="Book Antiqua" w:hAnsi="Book Antiqua" w:eastAsia="Book Antiqua" w:cs="Book Antiqua"/>
          <w:color w:val="000000"/>
        </w:rPr>
        <w:t>: 361-366 [PMID: 9642556 DOI: 10.1007/s001050050756]</w:t>
      </w:r>
    </w:p>
    <w:p>
      <w:pPr>
        <w:spacing w:line="360" w:lineRule="auto"/>
        <w:jc w:val="both"/>
      </w:pPr>
      <w:r>
        <w:rPr>
          <w:rFonts w:ascii="Book Antiqua" w:hAnsi="Book Antiqua" w:eastAsia="Book Antiqua" w:cs="Book Antiqua"/>
          <w:color w:val="000000"/>
        </w:rPr>
        <w:t xml:space="preserve">116 </w:t>
      </w:r>
      <w:r>
        <w:rPr>
          <w:rFonts w:ascii="Book Antiqua" w:hAnsi="Book Antiqua" w:eastAsia="Book Antiqua" w:cs="Book Antiqua"/>
          <w:b/>
          <w:bCs/>
          <w:color w:val="000000"/>
        </w:rPr>
        <w:t>You BC</w:t>
      </w:r>
      <w:r>
        <w:rPr>
          <w:rFonts w:ascii="Book Antiqua" w:hAnsi="Book Antiqua" w:eastAsia="Book Antiqua" w:cs="Book Antiqua"/>
          <w:color w:val="000000"/>
        </w:rPr>
        <w:t xml:space="preserve">, Jeong SW, Jang JY, Goo SM, Kim SG, Kim YS, Jeon CH, Jeen YM. Liver cirrhosis due to autoimmune hepatitis combined with systemic sclerosis. </w:t>
      </w:r>
      <w:r>
        <w:rPr>
          <w:rFonts w:ascii="Book Antiqua" w:hAnsi="Book Antiqua" w:eastAsia="Book Antiqua" w:cs="Book Antiqua"/>
          <w:i/>
          <w:iCs/>
          <w:color w:val="000000"/>
        </w:rPr>
        <w:t>Korean J Gastroenterol</w:t>
      </w:r>
      <w:r>
        <w:rPr>
          <w:rFonts w:ascii="Book Antiqua" w:hAnsi="Book Antiqua" w:eastAsia="Book Antiqua" w:cs="Book Antiqua"/>
          <w:color w:val="000000"/>
        </w:rPr>
        <w:t xml:space="preserve"> 2012; </w:t>
      </w:r>
      <w:r>
        <w:rPr>
          <w:rFonts w:ascii="Book Antiqua" w:hAnsi="Book Antiqua" w:eastAsia="Book Antiqua" w:cs="Book Antiqua"/>
          <w:b/>
          <w:bCs/>
          <w:color w:val="000000"/>
        </w:rPr>
        <w:t>59</w:t>
      </w:r>
      <w:r>
        <w:rPr>
          <w:rFonts w:ascii="Book Antiqua" w:hAnsi="Book Antiqua" w:eastAsia="Book Antiqua" w:cs="Book Antiqua"/>
          <w:color w:val="000000"/>
        </w:rPr>
        <w:t>: 48-52 [PMID: 22289955 DOI: 10.4166/kjg.2012.59.1.48]</w:t>
      </w:r>
    </w:p>
    <w:p>
      <w:pPr>
        <w:spacing w:line="360" w:lineRule="auto"/>
        <w:jc w:val="both"/>
      </w:pPr>
      <w:r>
        <w:rPr>
          <w:rFonts w:ascii="Book Antiqua" w:hAnsi="Book Antiqua" w:eastAsia="Book Antiqua" w:cs="Book Antiqua"/>
          <w:color w:val="000000"/>
        </w:rPr>
        <w:t xml:space="preserve">117 </w:t>
      </w:r>
      <w:r>
        <w:rPr>
          <w:rFonts w:ascii="Book Antiqua" w:hAnsi="Book Antiqua" w:eastAsia="Book Antiqua" w:cs="Book Antiqua"/>
          <w:b/>
          <w:bCs/>
          <w:color w:val="000000"/>
        </w:rPr>
        <w:t>Assandri R</w:t>
      </w:r>
      <w:r>
        <w:rPr>
          <w:rFonts w:ascii="Book Antiqua" w:hAnsi="Book Antiqua" w:eastAsia="Book Antiqua" w:cs="Book Antiqua"/>
          <w:color w:val="000000"/>
        </w:rPr>
        <w:t xml:space="preserve">, Monari M, Montanelli A. </w:t>
      </w:r>
      <w:bookmarkStart w:id="75" w:name="OLE_LINK3215"/>
      <w:bookmarkStart w:id="76" w:name="OLE_LINK3216"/>
      <w:r>
        <w:rPr>
          <w:rFonts w:ascii="Book Antiqua" w:hAnsi="Book Antiqua" w:eastAsia="Book Antiqua" w:cs="Book Antiqua"/>
          <w:color w:val="000000"/>
        </w:rPr>
        <w:t>Development of systemic sclerosis in patients with autoimmune hepatitis: an emerging overlap syndrome</w:t>
      </w:r>
      <w:bookmarkEnd w:id="75"/>
      <w:bookmarkEnd w:id="76"/>
      <w:r>
        <w:rPr>
          <w:rFonts w:ascii="Book Antiqua" w:hAnsi="Book Antiqua" w:eastAsia="Book Antiqua" w:cs="Book Antiqua"/>
          <w:color w:val="000000"/>
        </w:rPr>
        <w:t xml:space="preserve">. </w:t>
      </w:r>
      <w:r>
        <w:rPr>
          <w:rFonts w:ascii="Book Antiqua" w:hAnsi="Book Antiqua" w:eastAsia="Book Antiqua" w:cs="Book Antiqua"/>
          <w:i/>
          <w:iCs/>
          <w:color w:val="000000"/>
        </w:rPr>
        <w:t>Gastroenterol Hepatol Bed Bench</w:t>
      </w:r>
      <w:r>
        <w:rPr>
          <w:rFonts w:ascii="Book Antiqua" w:hAnsi="Book Antiqua" w:eastAsia="Book Antiqua" w:cs="Book Antiqua"/>
          <w:color w:val="000000"/>
        </w:rPr>
        <w:t xml:space="preserve"> 2016; </w:t>
      </w:r>
      <w:r>
        <w:rPr>
          <w:rFonts w:ascii="Book Antiqua" w:hAnsi="Book Antiqua" w:eastAsia="Book Antiqua" w:cs="Book Antiqua"/>
          <w:b/>
          <w:bCs/>
          <w:color w:val="000000"/>
        </w:rPr>
        <w:t>9</w:t>
      </w:r>
      <w:r>
        <w:rPr>
          <w:rFonts w:ascii="Book Antiqua" w:hAnsi="Book Antiqua" w:eastAsia="Book Antiqua" w:cs="Book Antiqua"/>
          <w:color w:val="000000"/>
        </w:rPr>
        <w:t>: 211-219 [PMID: 27458514]</w:t>
      </w:r>
    </w:p>
    <w:p>
      <w:pPr>
        <w:spacing w:line="360" w:lineRule="auto"/>
        <w:jc w:val="both"/>
      </w:pPr>
      <w:r>
        <w:rPr>
          <w:rFonts w:ascii="Book Antiqua" w:hAnsi="Book Antiqua" w:eastAsia="Book Antiqua" w:cs="Book Antiqua"/>
          <w:color w:val="000000"/>
        </w:rPr>
        <w:t xml:space="preserve">118 </w:t>
      </w:r>
      <w:r>
        <w:rPr>
          <w:rFonts w:ascii="Book Antiqua" w:hAnsi="Book Antiqua" w:eastAsia="Book Antiqua" w:cs="Book Antiqua"/>
          <w:b/>
          <w:bCs/>
          <w:color w:val="000000"/>
        </w:rPr>
        <w:t>Fraile G</w:t>
      </w:r>
      <w:r>
        <w:rPr>
          <w:rFonts w:ascii="Book Antiqua" w:hAnsi="Book Antiqua" w:eastAsia="Book Antiqua" w:cs="Book Antiqua"/>
          <w:color w:val="000000"/>
        </w:rPr>
        <w:t xml:space="preserve">, Rodríguez-García JL, Moreno A. Primary sclerosing cholangitis associated with systemic sclerosis. </w:t>
      </w:r>
      <w:r>
        <w:rPr>
          <w:rFonts w:ascii="Book Antiqua" w:hAnsi="Book Antiqua" w:eastAsia="Book Antiqua" w:cs="Book Antiqua"/>
          <w:i/>
          <w:iCs/>
          <w:color w:val="000000"/>
        </w:rPr>
        <w:t>Postgrad Med J</w:t>
      </w:r>
      <w:r>
        <w:rPr>
          <w:rFonts w:ascii="Book Antiqua" w:hAnsi="Book Antiqua" w:eastAsia="Book Antiqua" w:cs="Book Antiqua"/>
          <w:color w:val="000000"/>
        </w:rPr>
        <w:t xml:space="preserve"> 1991; </w:t>
      </w:r>
      <w:r>
        <w:rPr>
          <w:rFonts w:ascii="Book Antiqua" w:hAnsi="Book Antiqua" w:eastAsia="Book Antiqua" w:cs="Book Antiqua"/>
          <w:b/>
          <w:bCs/>
          <w:color w:val="000000"/>
        </w:rPr>
        <w:t>67</w:t>
      </w:r>
      <w:r>
        <w:rPr>
          <w:rFonts w:ascii="Book Antiqua" w:hAnsi="Book Antiqua" w:eastAsia="Book Antiqua" w:cs="Book Antiqua"/>
          <w:color w:val="000000"/>
        </w:rPr>
        <w:t>: 189-192 [PMID: 2041852 DOI: 10.1136/pgmj.67.784.189]</w:t>
      </w:r>
    </w:p>
    <w:p>
      <w:pPr>
        <w:spacing w:line="360" w:lineRule="auto"/>
        <w:jc w:val="both"/>
      </w:pPr>
      <w:r>
        <w:rPr>
          <w:rFonts w:ascii="Book Antiqua" w:hAnsi="Book Antiqua" w:eastAsia="Book Antiqua" w:cs="Book Antiqua"/>
          <w:color w:val="000000"/>
        </w:rPr>
        <w:t xml:space="preserve">119 </w:t>
      </w:r>
      <w:r>
        <w:rPr>
          <w:rFonts w:ascii="Book Antiqua" w:hAnsi="Book Antiqua" w:eastAsia="Book Antiqua" w:cs="Book Antiqua"/>
          <w:b/>
          <w:bCs/>
          <w:color w:val="000000"/>
        </w:rPr>
        <w:t>Zampetti A</w:t>
      </w:r>
      <w:r>
        <w:rPr>
          <w:rFonts w:ascii="Book Antiqua" w:hAnsi="Book Antiqua" w:eastAsia="Book Antiqua" w:cs="Book Antiqua"/>
          <w:color w:val="000000"/>
        </w:rPr>
        <w:t xml:space="preserve">, Rinninella E, Manna R, Franceschi F. Scleroderma and liver disease: a case of an association with primary sclerosing cholangitis. </w:t>
      </w:r>
      <w:r>
        <w:rPr>
          <w:rFonts w:ascii="Book Antiqua" w:hAnsi="Book Antiqua" w:eastAsia="Book Antiqua" w:cs="Book Antiqua"/>
          <w:i/>
          <w:iCs/>
          <w:color w:val="000000"/>
        </w:rPr>
        <w:t>Scand J Rheumatol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45</w:t>
      </w:r>
      <w:r>
        <w:rPr>
          <w:rFonts w:ascii="Book Antiqua" w:hAnsi="Book Antiqua" w:eastAsia="Book Antiqua" w:cs="Book Antiqua"/>
          <w:color w:val="000000"/>
        </w:rPr>
        <w:t>: 334-335 [PMID: 26690847 DOI: 10.3109/03009742.2015.1114667]</w:t>
      </w:r>
    </w:p>
    <w:p>
      <w:pPr>
        <w:spacing w:line="360" w:lineRule="auto"/>
        <w:jc w:val="both"/>
      </w:pPr>
      <w:r>
        <w:rPr>
          <w:rFonts w:ascii="Book Antiqua" w:hAnsi="Book Antiqua" w:eastAsia="Book Antiqua" w:cs="Book Antiqua"/>
          <w:color w:val="000000"/>
        </w:rPr>
        <w:t xml:space="preserve">120 </w:t>
      </w:r>
      <w:r>
        <w:rPr>
          <w:rFonts w:ascii="Book Antiqua" w:hAnsi="Book Antiqua" w:eastAsia="Book Antiqua" w:cs="Book Antiqua"/>
          <w:b/>
          <w:bCs/>
          <w:color w:val="000000"/>
        </w:rPr>
        <w:t>Savarino E</w:t>
      </w:r>
      <w:r>
        <w:rPr>
          <w:rFonts w:ascii="Book Antiqua" w:hAnsi="Book Antiqua" w:eastAsia="Book Antiqua" w:cs="Book Antiqua"/>
          <w:color w:val="000000"/>
        </w:rPr>
        <w:t xml:space="preserve">, Furnari M, de Bortoli N, Martinucci I, Bodini G, Ghio M, Savarino V. Gastrointestinal involvement in systemic sclerosis. </w:t>
      </w:r>
      <w:r>
        <w:rPr>
          <w:rFonts w:ascii="Book Antiqua" w:hAnsi="Book Antiqua" w:eastAsia="Book Antiqua" w:cs="Book Antiqua"/>
          <w:i/>
          <w:iCs/>
          <w:color w:val="000000"/>
        </w:rPr>
        <w:t>Presse Med</w:t>
      </w:r>
      <w:r>
        <w:rPr>
          <w:rFonts w:ascii="Book Antiqua" w:hAnsi="Book Antiqua" w:eastAsia="Book Antiqua" w:cs="Book Antiqua"/>
          <w:color w:val="000000"/>
        </w:rPr>
        <w:t xml:space="preserve"> 2014; </w:t>
      </w:r>
      <w:r>
        <w:rPr>
          <w:rFonts w:ascii="Book Antiqua" w:hAnsi="Book Antiqua" w:eastAsia="Book Antiqua" w:cs="Book Antiqua"/>
          <w:b/>
          <w:bCs/>
          <w:color w:val="000000"/>
        </w:rPr>
        <w:t>43</w:t>
      </w:r>
      <w:r>
        <w:rPr>
          <w:rFonts w:ascii="Book Antiqua" w:hAnsi="Book Antiqua" w:eastAsia="Book Antiqua" w:cs="Book Antiqua"/>
          <w:color w:val="000000"/>
        </w:rPr>
        <w:t>: e279-e291 [PMID: 25179275 DOI: 10.1016/j.lpm.2014.03.029]</w:t>
      </w:r>
    </w:p>
    <w:p>
      <w:pPr>
        <w:spacing w:line="360" w:lineRule="auto"/>
        <w:jc w:val="both"/>
      </w:pPr>
      <w:r>
        <w:rPr>
          <w:rFonts w:ascii="Book Antiqua" w:hAnsi="Book Antiqua" w:eastAsia="Book Antiqua" w:cs="Book Antiqua"/>
          <w:color w:val="000000"/>
        </w:rPr>
        <w:t xml:space="preserve">121 </w:t>
      </w:r>
      <w:r>
        <w:rPr>
          <w:rFonts w:ascii="Book Antiqua" w:hAnsi="Book Antiqua" w:eastAsia="Book Antiqua" w:cs="Book Antiqua"/>
          <w:b/>
          <w:bCs/>
          <w:color w:val="000000"/>
        </w:rPr>
        <w:t>Smolen JS</w:t>
      </w:r>
      <w:r>
        <w:rPr>
          <w:rFonts w:ascii="Book Antiqua" w:hAnsi="Book Antiqua" w:eastAsia="Book Antiqua" w:cs="Book Antiqua"/>
          <w:color w:val="000000"/>
        </w:rPr>
        <w:t xml:space="preserve">, Aletaha D, McInnes IB. Rheumatoid arthritis.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2016; </w:t>
      </w:r>
      <w:r>
        <w:rPr>
          <w:rFonts w:ascii="Book Antiqua" w:hAnsi="Book Antiqua" w:eastAsia="Book Antiqua" w:cs="Book Antiqua"/>
          <w:b/>
          <w:bCs/>
          <w:color w:val="000000"/>
        </w:rPr>
        <w:t>388</w:t>
      </w:r>
      <w:r>
        <w:rPr>
          <w:rFonts w:ascii="Book Antiqua" w:hAnsi="Book Antiqua" w:eastAsia="Book Antiqua" w:cs="Book Antiqua"/>
          <w:color w:val="000000"/>
        </w:rPr>
        <w:t>: 2023-2038 [PMID: 27156434 DOI: 10.1016/S0140-6736(16)30173-8]</w:t>
      </w:r>
    </w:p>
    <w:p>
      <w:pPr>
        <w:spacing w:line="360" w:lineRule="auto"/>
        <w:jc w:val="both"/>
      </w:pPr>
      <w:r>
        <w:rPr>
          <w:rFonts w:ascii="Book Antiqua" w:hAnsi="Book Antiqua" w:eastAsia="Book Antiqua" w:cs="Book Antiqua"/>
          <w:color w:val="000000"/>
        </w:rPr>
        <w:t xml:space="preserve">122 </w:t>
      </w:r>
      <w:r>
        <w:rPr>
          <w:rFonts w:ascii="Book Antiqua" w:hAnsi="Book Antiqua" w:eastAsia="Book Antiqua" w:cs="Book Antiqua"/>
          <w:b/>
          <w:bCs/>
          <w:color w:val="000000"/>
        </w:rPr>
        <w:t>Selmi C</w:t>
      </w:r>
      <w:r>
        <w:rPr>
          <w:rFonts w:ascii="Book Antiqua" w:hAnsi="Book Antiqua" w:eastAsia="Book Antiqua" w:cs="Book Antiqua"/>
          <w:color w:val="000000"/>
        </w:rPr>
        <w:t xml:space="preserve">, De Santis M, Gershwin ME. Liver involvement in subjects with rheumatic disease. </w:t>
      </w:r>
      <w:r>
        <w:rPr>
          <w:rFonts w:ascii="Book Antiqua" w:hAnsi="Book Antiqua" w:eastAsia="Book Antiqua" w:cs="Book Antiqua"/>
          <w:i/>
          <w:iCs/>
          <w:color w:val="000000"/>
        </w:rPr>
        <w:t>Arthritis Res Ther</w:t>
      </w:r>
      <w:r>
        <w:rPr>
          <w:rFonts w:ascii="Book Antiqua" w:hAnsi="Book Antiqua" w:eastAsia="Book Antiqua" w:cs="Book Antiqua"/>
          <w:color w:val="000000"/>
        </w:rPr>
        <w:t xml:space="preserve"> 2011; </w:t>
      </w:r>
      <w:r>
        <w:rPr>
          <w:rFonts w:ascii="Book Antiqua" w:hAnsi="Book Antiqua" w:eastAsia="Book Antiqua" w:cs="Book Antiqua"/>
          <w:b/>
          <w:bCs/>
          <w:color w:val="000000"/>
        </w:rPr>
        <w:t>13</w:t>
      </w:r>
      <w:r>
        <w:rPr>
          <w:rFonts w:ascii="Book Antiqua" w:hAnsi="Book Antiqua" w:eastAsia="Book Antiqua" w:cs="Book Antiqua"/>
          <w:color w:val="000000"/>
        </w:rPr>
        <w:t>: 226 [PMID: 21722332 DOI: 10.1186/ar3319]</w:t>
      </w:r>
    </w:p>
    <w:p>
      <w:pPr>
        <w:spacing w:line="360" w:lineRule="auto"/>
        <w:jc w:val="both"/>
      </w:pPr>
      <w:r>
        <w:rPr>
          <w:rFonts w:ascii="Book Antiqua" w:hAnsi="Book Antiqua" w:eastAsia="Book Antiqua" w:cs="Book Antiqua"/>
          <w:color w:val="000000"/>
        </w:rPr>
        <w:t xml:space="preserve">123 </w:t>
      </w:r>
      <w:r>
        <w:rPr>
          <w:rFonts w:ascii="Book Antiqua" w:hAnsi="Book Antiqua" w:eastAsia="Book Antiqua" w:cs="Book Antiqua"/>
          <w:b/>
          <w:bCs/>
          <w:color w:val="000000"/>
        </w:rPr>
        <w:t>Radovanović-Dinić B</w:t>
      </w:r>
      <w:r>
        <w:rPr>
          <w:rFonts w:ascii="Book Antiqua" w:hAnsi="Book Antiqua" w:eastAsia="Book Antiqua" w:cs="Book Antiqua"/>
          <w:color w:val="000000"/>
        </w:rPr>
        <w:t xml:space="preserve">, Tešić-Rajković S, Zivkovic V, Grgov S. Clinical connection between rheumatoid arthritis and liver damage. </w:t>
      </w:r>
      <w:r>
        <w:rPr>
          <w:rFonts w:ascii="Book Antiqua" w:hAnsi="Book Antiqua" w:eastAsia="Book Antiqua" w:cs="Book Antiqua"/>
          <w:i/>
          <w:iCs/>
          <w:color w:val="000000"/>
        </w:rPr>
        <w:t>Rheumatol Int</w:t>
      </w:r>
      <w:r>
        <w:rPr>
          <w:rFonts w:ascii="Book Antiqua" w:hAnsi="Book Antiqua" w:eastAsia="Book Antiqua" w:cs="Book Antiqua"/>
          <w:color w:val="000000"/>
        </w:rPr>
        <w:t xml:space="preserve"> 2018; </w:t>
      </w:r>
      <w:r>
        <w:rPr>
          <w:rFonts w:ascii="Book Antiqua" w:hAnsi="Book Antiqua" w:eastAsia="Book Antiqua" w:cs="Book Antiqua"/>
          <w:b/>
          <w:bCs/>
          <w:color w:val="000000"/>
        </w:rPr>
        <w:t>38</w:t>
      </w:r>
      <w:r>
        <w:rPr>
          <w:rFonts w:ascii="Book Antiqua" w:hAnsi="Book Antiqua" w:eastAsia="Book Antiqua" w:cs="Book Antiqua"/>
          <w:color w:val="000000"/>
        </w:rPr>
        <w:t>: 715-724 [PMID: 29627896 DOI: 10.1007/s00296-018-4021-5]</w:t>
      </w:r>
    </w:p>
    <w:p>
      <w:pPr>
        <w:spacing w:line="360" w:lineRule="auto"/>
        <w:jc w:val="both"/>
      </w:pPr>
      <w:r>
        <w:rPr>
          <w:rFonts w:ascii="Book Antiqua" w:hAnsi="Book Antiqua" w:eastAsia="Book Antiqua" w:cs="Book Antiqua"/>
          <w:color w:val="000000"/>
        </w:rPr>
        <w:t xml:space="preserve">124 </w:t>
      </w:r>
      <w:r>
        <w:rPr>
          <w:rFonts w:ascii="Book Antiqua" w:hAnsi="Book Antiqua" w:eastAsia="Book Antiqua" w:cs="Book Antiqua"/>
          <w:b/>
          <w:bCs/>
          <w:color w:val="000000"/>
        </w:rPr>
        <w:t>Ruderman EM</w:t>
      </w:r>
      <w:r>
        <w:rPr>
          <w:rFonts w:ascii="Book Antiqua" w:hAnsi="Book Antiqua" w:eastAsia="Book Antiqua" w:cs="Book Antiqua"/>
          <w:color w:val="000000"/>
        </w:rPr>
        <w:t xml:space="preserve">, Crawford JM, Maier A, Liu JJ, Gravallese EM, Weinblatt ME. Histologic liver abnormalities in an autopsy series of patients with rheumatoid arthritis. </w:t>
      </w:r>
      <w:r>
        <w:rPr>
          <w:rFonts w:ascii="Book Antiqua" w:hAnsi="Book Antiqua" w:eastAsia="Book Antiqua" w:cs="Book Antiqua"/>
          <w:i/>
          <w:iCs/>
          <w:color w:val="000000"/>
        </w:rPr>
        <w:t>Br J Rheumatol</w:t>
      </w:r>
      <w:r>
        <w:rPr>
          <w:rFonts w:ascii="Book Antiqua" w:hAnsi="Book Antiqua" w:eastAsia="Book Antiqua" w:cs="Book Antiqua"/>
          <w:color w:val="000000"/>
        </w:rPr>
        <w:t xml:space="preserve"> 1997; </w:t>
      </w:r>
      <w:r>
        <w:rPr>
          <w:rFonts w:ascii="Book Antiqua" w:hAnsi="Book Antiqua" w:eastAsia="Book Antiqua" w:cs="Book Antiqua"/>
          <w:b/>
          <w:bCs/>
          <w:color w:val="000000"/>
        </w:rPr>
        <w:t>36</w:t>
      </w:r>
      <w:r>
        <w:rPr>
          <w:rFonts w:ascii="Book Antiqua" w:hAnsi="Book Antiqua" w:eastAsia="Book Antiqua" w:cs="Book Antiqua"/>
          <w:color w:val="000000"/>
        </w:rPr>
        <w:t>: 210-213 [PMID: 9133932 DOI: 10.1093/rheumatology/36.2.210]</w:t>
      </w:r>
    </w:p>
    <w:p>
      <w:pPr>
        <w:spacing w:line="360" w:lineRule="auto"/>
        <w:jc w:val="both"/>
      </w:pPr>
      <w:r>
        <w:rPr>
          <w:rFonts w:ascii="Book Antiqua" w:hAnsi="Book Antiqua" w:eastAsia="Book Antiqua" w:cs="Book Antiqua"/>
          <w:color w:val="000000"/>
        </w:rPr>
        <w:t xml:space="preserve">125 </w:t>
      </w:r>
      <w:r>
        <w:rPr>
          <w:rFonts w:ascii="Book Antiqua" w:hAnsi="Book Antiqua" w:eastAsia="Book Antiqua" w:cs="Book Antiqua"/>
          <w:b/>
          <w:bCs/>
          <w:color w:val="000000"/>
        </w:rPr>
        <w:t>Hocking WG</w:t>
      </w:r>
      <w:r>
        <w:rPr>
          <w:rFonts w:ascii="Book Antiqua" w:hAnsi="Book Antiqua" w:eastAsia="Book Antiqua" w:cs="Book Antiqua"/>
          <w:color w:val="000000"/>
        </w:rPr>
        <w:t xml:space="preserve">, Lasser K, Ungerer R, Bersohn M, Palos M, Spiegel T. </w:t>
      </w:r>
      <w:bookmarkStart w:id="77" w:name="OLE_LINK3218"/>
      <w:bookmarkStart w:id="78" w:name="OLE_LINK3217"/>
      <w:r>
        <w:rPr>
          <w:rFonts w:ascii="Book Antiqua" w:hAnsi="Book Antiqua" w:eastAsia="Book Antiqua" w:cs="Book Antiqua"/>
          <w:color w:val="000000"/>
        </w:rPr>
        <w:t>Spontaneous hepatic rupture in rheumatoid arthritis</w:t>
      </w:r>
      <w:bookmarkEnd w:id="77"/>
      <w:bookmarkEnd w:id="78"/>
      <w:r>
        <w:rPr>
          <w:rFonts w:ascii="Book Antiqua" w:hAnsi="Book Antiqua" w:eastAsia="Book Antiqua" w:cs="Book Antiqua"/>
          <w:color w:val="000000"/>
        </w:rPr>
        <w:t xml:space="preserve">. </w:t>
      </w:r>
      <w:r>
        <w:rPr>
          <w:rFonts w:ascii="Book Antiqua" w:hAnsi="Book Antiqua" w:eastAsia="Book Antiqua" w:cs="Book Antiqua"/>
          <w:i/>
          <w:iCs/>
          <w:color w:val="000000"/>
        </w:rPr>
        <w:t>Arch Intern Med</w:t>
      </w:r>
      <w:r>
        <w:rPr>
          <w:rFonts w:ascii="Book Antiqua" w:hAnsi="Book Antiqua" w:eastAsia="Book Antiqua" w:cs="Book Antiqua"/>
          <w:color w:val="000000"/>
        </w:rPr>
        <w:t xml:space="preserve"> 1981; </w:t>
      </w:r>
      <w:r>
        <w:rPr>
          <w:rFonts w:ascii="Book Antiqua" w:hAnsi="Book Antiqua" w:eastAsia="Book Antiqua" w:cs="Book Antiqua"/>
          <w:b/>
          <w:bCs/>
          <w:color w:val="000000"/>
        </w:rPr>
        <w:t>141</w:t>
      </w:r>
      <w:r>
        <w:rPr>
          <w:rFonts w:ascii="Book Antiqua" w:hAnsi="Book Antiqua" w:eastAsia="Book Antiqua" w:cs="Book Antiqua"/>
          <w:color w:val="000000"/>
        </w:rPr>
        <w:t>: 792-794 [PMID: 7235790 DOI: 10.1001/archinte.1981.00340060100023]</w:t>
      </w:r>
    </w:p>
    <w:p>
      <w:pPr>
        <w:spacing w:line="360" w:lineRule="auto"/>
        <w:jc w:val="both"/>
      </w:pPr>
      <w:r>
        <w:rPr>
          <w:rFonts w:ascii="Book Antiqua" w:hAnsi="Book Antiqua" w:eastAsia="Book Antiqua" w:cs="Book Antiqua"/>
          <w:color w:val="000000"/>
        </w:rPr>
        <w:t xml:space="preserve">126 </w:t>
      </w:r>
      <w:r>
        <w:rPr>
          <w:rFonts w:ascii="Book Antiqua" w:hAnsi="Book Antiqua" w:eastAsia="Book Antiqua" w:cs="Book Antiqua"/>
          <w:b/>
          <w:bCs/>
          <w:color w:val="000000"/>
        </w:rPr>
        <w:t>Thorne C</w:t>
      </w:r>
      <w:r>
        <w:rPr>
          <w:rFonts w:ascii="Book Antiqua" w:hAnsi="Book Antiqua" w:eastAsia="Book Antiqua" w:cs="Book Antiqua"/>
          <w:color w:val="000000"/>
        </w:rPr>
        <w:t xml:space="preserve">, Urowitz MB, Wanless I, Roberts E, Blendis LM. Liver disease in Felty's syndrome. </w:t>
      </w:r>
      <w:r>
        <w:rPr>
          <w:rFonts w:ascii="Book Antiqua" w:hAnsi="Book Antiqua" w:eastAsia="Book Antiqua" w:cs="Book Antiqua"/>
          <w:i/>
          <w:iCs/>
          <w:color w:val="000000"/>
        </w:rPr>
        <w:t>Am J Med</w:t>
      </w:r>
      <w:r>
        <w:rPr>
          <w:rFonts w:ascii="Book Antiqua" w:hAnsi="Book Antiqua" w:eastAsia="Book Antiqua" w:cs="Book Antiqua"/>
          <w:color w:val="000000"/>
        </w:rPr>
        <w:t xml:space="preserve"> 1982; </w:t>
      </w:r>
      <w:r>
        <w:rPr>
          <w:rFonts w:ascii="Book Antiqua" w:hAnsi="Book Antiqua" w:eastAsia="Book Antiqua" w:cs="Book Antiqua"/>
          <w:b/>
          <w:bCs/>
          <w:color w:val="000000"/>
        </w:rPr>
        <w:t>73</w:t>
      </w:r>
      <w:r>
        <w:rPr>
          <w:rFonts w:ascii="Book Antiqua" w:hAnsi="Book Antiqua" w:eastAsia="Book Antiqua" w:cs="Book Antiqua"/>
          <w:color w:val="000000"/>
        </w:rPr>
        <w:t>: 35-40 [PMID: 7091172 DOI: 10.1016/0002-9343(82)90921-4]</w:t>
      </w:r>
    </w:p>
    <w:p>
      <w:pPr>
        <w:spacing w:line="360" w:lineRule="auto"/>
        <w:jc w:val="both"/>
      </w:pPr>
      <w:r>
        <w:rPr>
          <w:rFonts w:ascii="Book Antiqua" w:hAnsi="Book Antiqua" w:eastAsia="Book Antiqua" w:cs="Book Antiqua"/>
          <w:color w:val="000000"/>
        </w:rPr>
        <w:t xml:space="preserve">127 </w:t>
      </w:r>
      <w:r>
        <w:rPr>
          <w:rFonts w:ascii="Book Antiqua" w:hAnsi="Book Antiqua" w:eastAsia="Book Antiqua" w:cs="Book Antiqua"/>
          <w:b/>
          <w:bCs/>
          <w:color w:val="000000"/>
        </w:rPr>
        <w:t>Yılmaz N</w:t>
      </w:r>
      <w:r>
        <w:rPr>
          <w:rFonts w:ascii="Book Antiqua" w:hAnsi="Book Antiqua" w:eastAsia="Book Antiqua" w:cs="Book Antiqua"/>
          <w:color w:val="000000"/>
        </w:rPr>
        <w:t xml:space="preserve">, Karadağ Ö, Kimyon G, Yazıcı A, Yılmaz S, Kalyoncu U, Kaşifoğlu T, Temiz H, Baysal B, Tözün N. Prevalence of hepatitis B and C infections in rheumatoid arthritis and ankylosing spondylitis: A multicenter countrywide study. </w:t>
      </w:r>
      <w:r>
        <w:rPr>
          <w:rFonts w:ascii="Book Antiqua" w:hAnsi="Book Antiqua" w:eastAsia="Book Antiqua" w:cs="Book Antiqua"/>
          <w:i/>
          <w:iCs/>
          <w:color w:val="000000"/>
        </w:rPr>
        <w:t>Eur J Rheumatol</w:t>
      </w:r>
      <w:r>
        <w:rPr>
          <w:rFonts w:ascii="Book Antiqua" w:hAnsi="Book Antiqua" w:eastAsia="Book Antiqua" w:cs="Book Antiqua"/>
          <w:color w:val="000000"/>
        </w:rPr>
        <w:t xml:space="preserve"> 2014; </w:t>
      </w:r>
      <w:r>
        <w:rPr>
          <w:rFonts w:ascii="Book Antiqua" w:hAnsi="Book Antiqua" w:eastAsia="Book Antiqua" w:cs="Book Antiqua"/>
          <w:b/>
          <w:bCs/>
          <w:color w:val="000000"/>
        </w:rPr>
        <w:t>1</w:t>
      </w:r>
      <w:r>
        <w:rPr>
          <w:rFonts w:ascii="Book Antiqua" w:hAnsi="Book Antiqua" w:eastAsia="Book Antiqua" w:cs="Book Antiqua"/>
          <w:color w:val="000000"/>
        </w:rPr>
        <w:t>: 51-54 [PMID: 27708874 DOI: 10.5152/eurjrheumatol.2014.018]</w:t>
      </w:r>
    </w:p>
    <w:p>
      <w:pPr>
        <w:spacing w:line="360" w:lineRule="auto"/>
        <w:jc w:val="both"/>
      </w:pPr>
      <w:r>
        <w:rPr>
          <w:rFonts w:ascii="Book Antiqua" w:hAnsi="Book Antiqua" w:eastAsia="Book Antiqua" w:cs="Book Antiqua"/>
          <w:color w:val="000000"/>
        </w:rPr>
        <w:t xml:space="preserve">128 </w:t>
      </w:r>
      <w:r>
        <w:rPr>
          <w:rFonts w:ascii="Book Antiqua" w:hAnsi="Book Antiqua" w:eastAsia="Book Antiqua" w:cs="Book Antiqua"/>
          <w:b/>
          <w:bCs/>
          <w:color w:val="000000"/>
        </w:rPr>
        <w:t>Mori S</w:t>
      </w:r>
      <w:r>
        <w:rPr>
          <w:rFonts w:ascii="Book Antiqua" w:hAnsi="Book Antiqua" w:eastAsia="Book Antiqua" w:cs="Book Antiqua"/>
          <w:color w:val="000000"/>
        </w:rPr>
        <w:t xml:space="preserve">, Fujiyama S. Hepatitis B virus reactivation associated with antirheumatic therapy: Risk and prophylaxis recommendations.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2015; </w:t>
      </w:r>
      <w:r>
        <w:rPr>
          <w:rFonts w:ascii="Book Antiqua" w:hAnsi="Book Antiqua" w:eastAsia="Book Antiqua" w:cs="Book Antiqua"/>
          <w:b/>
          <w:bCs/>
          <w:color w:val="000000"/>
        </w:rPr>
        <w:t>21</w:t>
      </w:r>
      <w:r>
        <w:rPr>
          <w:rFonts w:ascii="Book Antiqua" w:hAnsi="Book Antiqua" w:eastAsia="Book Antiqua" w:cs="Book Antiqua"/>
          <w:color w:val="000000"/>
        </w:rPr>
        <w:t>: 10274-10289 [PMID: 26420955 DOI: 10.3748/wjg.v21.i36.10274]</w:t>
      </w:r>
    </w:p>
    <w:p>
      <w:pPr>
        <w:spacing w:line="360" w:lineRule="auto"/>
        <w:jc w:val="both"/>
      </w:pPr>
      <w:r>
        <w:rPr>
          <w:rFonts w:ascii="Book Antiqua" w:hAnsi="Book Antiqua" w:eastAsia="Book Antiqua" w:cs="Book Antiqua"/>
          <w:color w:val="000000"/>
        </w:rPr>
        <w:t xml:space="preserve">129 </w:t>
      </w:r>
      <w:r>
        <w:rPr>
          <w:rFonts w:ascii="Book Antiqua" w:hAnsi="Book Antiqua" w:eastAsia="Book Antiqua" w:cs="Book Antiqua"/>
          <w:b/>
          <w:bCs/>
          <w:color w:val="000000"/>
        </w:rPr>
        <w:t>Pauly MP</w:t>
      </w:r>
      <w:r>
        <w:rPr>
          <w:rFonts w:ascii="Book Antiqua" w:hAnsi="Book Antiqua" w:eastAsia="Book Antiqua" w:cs="Book Antiqua"/>
          <w:color w:val="000000"/>
        </w:rPr>
        <w:t xml:space="preserve">, Tucker LY, Szpakowski JL, Ready JB, Baer D, Hwang J, Lok AS. Incidence of Hepatitis B Virus Reactivation and Hepatotoxicity in Patients Receiving Long-term Treatment With Tumor Necrosis Factor Antagonists. </w:t>
      </w:r>
      <w:r>
        <w:rPr>
          <w:rFonts w:ascii="Book Antiqua" w:hAnsi="Book Antiqua" w:eastAsia="Book Antiqua" w:cs="Book Antiqua"/>
          <w:i/>
          <w:iCs/>
          <w:color w:val="000000"/>
        </w:rPr>
        <w:t>Clin Gastroenterol Hepatol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16</w:t>
      </w:r>
      <w:r>
        <w:rPr>
          <w:rFonts w:ascii="Book Antiqua" w:hAnsi="Book Antiqua" w:eastAsia="Book Antiqua" w:cs="Book Antiqua"/>
          <w:color w:val="000000"/>
        </w:rPr>
        <w:t>: 1964-1973.e1 [PMID: 29702293 DOI: 10.1016/j.cgh.2018.04.033]</w:t>
      </w:r>
    </w:p>
    <w:p>
      <w:pPr>
        <w:spacing w:line="360" w:lineRule="auto"/>
        <w:jc w:val="both"/>
      </w:pPr>
      <w:r>
        <w:rPr>
          <w:rFonts w:ascii="Book Antiqua" w:hAnsi="Book Antiqua" w:eastAsia="Book Antiqua" w:cs="Book Antiqua"/>
          <w:color w:val="000000"/>
        </w:rPr>
        <w:t xml:space="preserve">130 </w:t>
      </w:r>
      <w:r>
        <w:rPr>
          <w:rFonts w:ascii="Book Antiqua" w:hAnsi="Book Antiqua" w:eastAsia="Book Antiqua" w:cs="Book Antiqua"/>
          <w:b/>
          <w:bCs/>
          <w:color w:val="000000"/>
        </w:rPr>
        <w:t>Brunasso AM</w:t>
      </w:r>
      <w:r>
        <w:rPr>
          <w:rFonts w:ascii="Book Antiqua" w:hAnsi="Book Antiqua" w:eastAsia="Book Antiqua" w:cs="Book Antiqua"/>
          <w:color w:val="000000"/>
        </w:rPr>
        <w:t xml:space="preserve">, Puntoni M, Gulia A, Massone C. Safety of anti-tumour necrosis factor agents in patients with chronic hepatitis C infection: a systematic review. </w:t>
      </w:r>
      <w:r>
        <w:rPr>
          <w:rFonts w:ascii="Book Antiqua" w:hAnsi="Book Antiqua" w:eastAsia="Book Antiqua" w:cs="Book Antiqua"/>
          <w:i/>
          <w:iCs/>
          <w:color w:val="000000"/>
        </w:rPr>
        <w:t>Rheumatology (Oxford)</w:t>
      </w:r>
      <w:r>
        <w:rPr>
          <w:rFonts w:ascii="Book Antiqua" w:hAnsi="Book Antiqua" w:eastAsia="Book Antiqua" w:cs="Book Antiqua"/>
          <w:color w:val="000000"/>
        </w:rPr>
        <w:t xml:space="preserve"> 2011; </w:t>
      </w:r>
      <w:r>
        <w:rPr>
          <w:rFonts w:ascii="Book Antiqua" w:hAnsi="Book Antiqua" w:eastAsia="Book Antiqua" w:cs="Book Antiqua"/>
          <w:b/>
          <w:bCs/>
          <w:color w:val="000000"/>
        </w:rPr>
        <w:t>50</w:t>
      </w:r>
      <w:r>
        <w:rPr>
          <w:rFonts w:ascii="Book Antiqua" w:hAnsi="Book Antiqua" w:eastAsia="Book Antiqua" w:cs="Book Antiqua"/>
          <w:color w:val="000000"/>
        </w:rPr>
        <w:t>: 1700-1711 [PMID: 21690185 DOI: 10.1093/rheumatology/ker190]</w:t>
      </w:r>
    </w:p>
    <w:p>
      <w:pPr>
        <w:spacing w:line="360" w:lineRule="auto"/>
        <w:jc w:val="both"/>
      </w:pPr>
      <w:r>
        <w:rPr>
          <w:rFonts w:ascii="Book Antiqua" w:hAnsi="Book Antiqua" w:eastAsia="Book Antiqua" w:cs="Book Antiqua"/>
          <w:color w:val="000000"/>
        </w:rPr>
        <w:t xml:space="preserve">131 </w:t>
      </w:r>
      <w:r>
        <w:rPr>
          <w:rFonts w:ascii="Book Antiqua" w:hAnsi="Book Antiqua" w:eastAsia="Book Antiqua" w:cs="Book Antiqua"/>
          <w:b/>
          <w:bCs/>
          <w:color w:val="000000"/>
        </w:rPr>
        <w:t>Viganò M</w:t>
      </w:r>
      <w:r>
        <w:rPr>
          <w:rFonts w:ascii="Book Antiqua" w:hAnsi="Book Antiqua" w:eastAsia="Book Antiqua" w:cs="Book Antiqua"/>
          <w:color w:val="000000"/>
        </w:rPr>
        <w:t xml:space="preserve">, Degasperi E, Aghemo A, Lampertico P, Colombo M. Anti-TNF drugs in patients with hepatitis B or C virus infection: safety and clinical management. </w:t>
      </w:r>
      <w:r>
        <w:rPr>
          <w:rFonts w:ascii="Book Antiqua" w:hAnsi="Book Antiqua" w:eastAsia="Book Antiqua" w:cs="Book Antiqua"/>
          <w:i/>
          <w:iCs/>
          <w:color w:val="000000"/>
        </w:rPr>
        <w:t>Expert Opin Biol Ther</w:t>
      </w:r>
      <w:r>
        <w:rPr>
          <w:rFonts w:ascii="Book Antiqua" w:hAnsi="Book Antiqua" w:eastAsia="Book Antiqua" w:cs="Book Antiqua"/>
          <w:color w:val="000000"/>
        </w:rPr>
        <w:t xml:space="preserve"> 2012; </w:t>
      </w:r>
      <w:r>
        <w:rPr>
          <w:rFonts w:ascii="Book Antiqua" w:hAnsi="Book Antiqua" w:eastAsia="Book Antiqua" w:cs="Book Antiqua"/>
          <w:b/>
          <w:bCs/>
          <w:color w:val="000000"/>
        </w:rPr>
        <w:t>12</w:t>
      </w:r>
      <w:r>
        <w:rPr>
          <w:rFonts w:ascii="Book Antiqua" w:hAnsi="Book Antiqua" w:eastAsia="Book Antiqua" w:cs="Book Antiqua"/>
          <w:color w:val="000000"/>
        </w:rPr>
        <w:t>: 193-207 [PMID: 22188392 DOI: 10.1517/14712598.2012.646986]</w:t>
      </w:r>
    </w:p>
    <w:p>
      <w:pPr>
        <w:spacing w:line="360" w:lineRule="auto"/>
        <w:jc w:val="both"/>
      </w:pPr>
      <w:r>
        <w:rPr>
          <w:rFonts w:ascii="Book Antiqua" w:hAnsi="Book Antiqua" w:eastAsia="Book Antiqua" w:cs="Book Antiqua"/>
          <w:color w:val="000000"/>
        </w:rPr>
        <w:t xml:space="preserve">132 </w:t>
      </w:r>
      <w:r>
        <w:rPr>
          <w:rFonts w:ascii="Book Antiqua" w:hAnsi="Book Antiqua" w:eastAsia="Book Antiqua" w:cs="Book Antiqua"/>
          <w:b/>
          <w:bCs/>
          <w:color w:val="000000"/>
        </w:rPr>
        <w:t>Ramos-Casals M</w:t>
      </w:r>
      <w:r>
        <w:rPr>
          <w:rFonts w:ascii="Book Antiqua" w:hAnsi="Book Antiqua" w:eastAsia="Book Antiqua" w:cs="Book Antiqua"/>
          <w:color w:val="000000"/>
        </w:rPr>
        <w:t xml:space="preserve">, Brito-Zerón P, Soto MJ, Cuadrado MJ, Khamashta MA. Autoimmune diseases induced by TNF-targeted therapies. </w:t>
      </w:r>
      <w:r>
        <w:rPr>
          <w:rFonts w:ascii="Book Antiqua" w:hAnsi="Book Antiqua" w:eastAsia="Book Antiqua" w:cs="Book Antiqua"/>
          <w:i/>
          <w:iCs/>
          <w:color w:val="000000"/>
        </w:rPr>
        <w:t>Best Pract Res Clin Rheumatol</w:t>
      </w:r>
      <w:r>
        <w:rPr>
          <w:rFonts w:ascii="Book Antiqua" w:hAnsi="Book Antiqua" w:eastAsia="Book Antiqua" w:cs="Book Antiqua"/>
          <w:color w:val="000000"/>
        </w:rPr>
        <w:t xml:space="preserve"> 2008; </w:t>
      </w:r>
      <w:r>
        <w:rPr>
          <w:rFonts w:ascii="Book Antiqua" w:hAnsi="Book Antiqua" w:eastAsia="Book Antiqua" w:cs="Book Antiqua"/>
          <w:b/>
          <w:bCs/>
          <w:color w:val="000000"/>
        </w:rPr>
        <w:t>22</w:t>
      </w:r>
      <w:r>
        <w:rPr>
          <w:rFonts w:ascii="Book Antiqua" w:hAnsi="Book Antiqua" w:eastAsia="Book Antiqua" w:cs="Book Antiqua"/>
          <w:color w:val="000000"/>
        </w:rPr>
        <w:t>: 847-861 [PMID: 19028367 DOI: 10.1016/j.berh.2008.09.008]</w:t>
      </w:r>
    </w:p>
    <w:p>
      <w:pPr>
        <w:spacing w:line="360" w:lineRule="auto"/>
        <w:jc w:val="both"/>
      </w:pPr>
      <w:r>
        <w:rPr>
          <w:rFonts w:ascii="Book Antiqua" w:hAnsi="Book Antiqua" w:eastAsia="Book Antiqua" w:cs="Book Antiqua"/>
          <w:color w:val="000000"/>
        </w:rPr>
        <w:t xml:space="preserve">133 </w:t>
      </w:r>
      <w:r>
        <w:rPr>
          <w:rFonts w:ascii="Book Antiqua" w:hAnsi="Book Antiqua" w:eastAsia="Book Antiqua" w:cs="Book Antiqua"/>
          <w:b/>
          <w:bCs/>
          <w:color w:val="000000"/>
        </w:rPr>
        <w:t>Sherlock S</w:t>
      </w:r>
      <w:r>
        <w:rPr>
          <w:rFonts w:ascii="Book Antiqua" w:hAnsi="Book Antiqua" w:eastAsia="Book Antiqua" w:cs="Book Antiqua"/>
          <w:color w:val="000000"/>
        </w:rPr>
        <w:t xml:space="preserve">, Scheuer PJ. The presentation and diagnosis of 100 patients with primary biliary cirrhosis.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1973; </w:t>
      </w:r>
      <w:r>
        <w:rPr>
          <w:rFonts w:ascii="Book Antiqua" w:hAnsi="Book Antiqua" w:eastAsia="Book Antiqua" w:cs="Book Antiqua"/>
          <w:b/>
          <w:bCs/>
          <w:color w:val="000000"/>
        </w:rPr>
        <w:t>289</w:t>
      </w:r>
      <w:r>
        <w:rPr>
          <w:rFonts w:ascii="Book Antiqua" w:hAnsi="Book Antiqua" w:eastAsia="Book Antiqua" w:cs="Book Antiqua"/>
          <w:color w:val="000000"/>
        </w:rPr>
        <w:t>: 674-678 [PMID: 4580473 DOI: 10.1056/NEJM197309272891306]</w:t>
      </w:r>
    </w:p>
    <w:p>
      <w:pPr>
        <w:spacing w:line="360" w:lineRule="auto"/>
        <w:jc w:val="both"/>
      </w:pPr>
      <w:r>
        <w:rPr>
          <w:rFonts w:ascii="Book Antiqua" w:hAnsi="Book Antiqua" w:eastAsia="Book Antiqua" w:cs="Book Antiqua"/>
          <w:color w:val="000000"/>
        </w:rPr>
        <w:t xml:space="preserve">134 </w:t>
      </w:r>
      <w:r>
        <w:rPr>
          <w:rFonts w:ascii="Book Antiqua" w:hAnsi="Book Antiqua" w:eastAsia="Book Antiqua" w:cs="Book Antiqua"/>
          <w:b/>
          <w:bCs/>
          <w:color w:val="000000"/>
        </w:rPr>
        <w:t>Siegel JL</w:t>
      </w:r>
      <w:r>
        <w:rPr>
          <w:rFonts w:ascii="Book Antiqua" w:hAnsi="Book Antiqua" w:eastAsia="Book Antiqua" w:cs="Book Antiqua"/>
          <w:color w:val="000000"/>
        </w:rPr>
        <w:t xml:space="preserve">, Luthra H, Donlinger J, Angulo P, Lindor K. Association of primary biliary cirrhosis and rheumatoid arthritis. </w:t>
      </w:r>
      <w:r>
        <w:rPr>
          <w:rFonts w:ascii="Book Antiqua" w:hAnsi="Book Antiqua" w:eastAsia="Book Antiqua" w:cs="Book Antiqua"/>
          <w:i/>
          <w:iCs/>
          <w:color w:val="000000"/>
        </w:rPr>
        <w:t>J Clin Rheumatol</w:t>
      </w:r>
      <w:r>
        <w:rPr>
          <w:rFonts w:ascii="Book Antiqua" w:hAnsi="Book Antiqua" w:eastAsia="Book Antiqua" w:cs="Book Antiqua"/>
          <w:color w:val="000000"/>
        </w:rPr>
        <w:t xml:space="preserve"> 2003; </w:t>
      </w:r>
      <w:r>
        <w:rPr>
          <w:rFonts w:ascii="Book Antiqua" w:hAnsi="Book Antiqua" w:eastAsia="Book Antiqua" w:cs="Book Antiqua"/>
          <w:b/>
          <w:bCs/>
          <w:color w:val="000000"/>
        </w:rPr>
        <w:t>9</w:t>
      </w:r>
      <w:r>
        <w:rPr>
          <w:rFonts w:ascii="Book Antiqua" w:hAnsi="Book Antiqua" w:eastAsia="Book Antiqua" w:cs="Book Antiqua"/>
          <w:color w:val="000000"/>
        </w:rPr>
        <w:t>: 340-343 [PMID: 17043441 DOI: 10.1097/01.rhu.0000099623.30805.2f]</w:t>
      </w:r>
    </w:p>
    <w:p>
      <w:pPr>
        <w:spacing w:line="360" w:lineRule="auto"/>
        <w:jc w:val="both"/>
      </w:pPr>
      <w:r>
        <w:rPr>
          <w:rFonts w:ascii="Book Antiqua" w:hAnsi="Book Antiqua" w:eastAsia="Book Antiqua" w:cs="Book Antiqua"/>
          <w:color w:val="000000"/>
        </w:rPr>
        <w:t xml:space="preserve">135 </w:t>
      </w:r>
      <w:r>
        <w:rPr>
          <w:rFonts w:ascii="Book Antiqua" w:hAnsi="Book Antiqua" w:eastAsia="Book Antiqua" w:cs="Book Antiqua"/>
          <w:b/>
          <w:bCs/>
          <w:color w:val="000000"/>
        </w:rPr>
        <w:t>Smyk DS</w:t>
      </w:r>
      <w:r>
        <w:rPr>
          <w:rFonts w:ascii="Book Antiqua" w:hAnsi="Book Antiqua" w:eastAsia="Book Antiqua" w:cs="Book Antiqua"/>
          <w:color w:val="000000"/>
        </w:rPr>
        <w:t xml:space="preserve">, Bogdanos DP, Mytilinaiou MG, Burroughs AK, Rigopoulou EI. Rheumatoid arthritis and primary biliary cirrhosis: cause, consequence, or coincidence? </w:t>
      </w:r>
      <w:r>
        <w:rPr>
          <w:rFonts w:ascii="Book Antiqua" w:hAnsi="Book Antiqua" w:eastAsia="Book Antiqua" w:cs="Book Antiqua"/>
          <w:i/>
          <w:iCs/>
          <w:color w:val="000000"/>
        </w:rPr>
        <w:t>Arthritis</w:t>
      </w:r>
      <w:r>
        <w:rPr>
          <w:rFonts w:ascii="Book Antiqua" w:hAnsi="Book Antiqua" w:eastAsia="Book Antiqua" w:cs="Book Antiqua"/>
          <w:color w:val="000000"/>
        </w:rPr>
        <w:t xml:space="preserve"> 2012; </w:t>
      </w:r>
      <w:r>
        <w:rPr>
          <w:rFonts w:ascii="Book Antiqua" w:hAnsi="Book Antiqua" w:eastAsia="Book Antiqua" w:cs="Book Antiqua"/>
          <w:b/>
          <w:bCs/>
          <w:color w:val="000000"/>
        </w:rPr>
        <w:t>2012</w:t>
      </w:r>
      <w:r>
        <w:rPr>
          <w:rFonts w:ascii="Book Antiqua" w:hAnsi="Book Antiqua" w:eastAsia="Book Antiqua" w:cs="Book Antiqua"/>
          <w:color w:val="000000"/>
        </w:rPr>
        <w:t>: 391567 [PMID: 23150824 DOI: 10.1155/2012/391567]</w:t>
      </w:r>
    </w:p>
    <w:p>
      <w:pPr>
        <w:spacing w:line="360" w:lineRule="auto"/>
        <w:jc w:val="both"/>
      </w:pPr>
      <w:r>
        <w:rPr>
          <w:rFonts w:ascii="Book Antiqua" w:hAnsi="Book Antiqua" w:eastAsia="Book Antiqua" w:cs="Book Antiqua"/>
          <w:color w:val="000000"/>
        </w:rPr>
        <w:t xml:space="preserve">136 </w:t>
      </w:r>
      <w:r>
        <w:rPr>
          <w:rFonts w:ascii="Book Antiqua" w:hAnsi="Book Antiqua" w:eastAsia="Book Antiqua" w:cs="Book Antiqua"/>
          <w:b/>
          <w:bCs/>
          <w:color w:val="000000"/>
        </w:rPr>
        <w:t>Toulemonde G</w:t>
      </w:r>
      <w:r>
        <w:rPr>
          <w:rFonts w:ascii="Book Antiqua" w:hAnsi="Book Antiqua" w:eastAsia="Book Antiqua" w:cs="Book Antiqua"/>
          <w:color w:val="000000"/>
        </w:rPr>
        <w:t xml:space="preserve">, Scoazec JY, Miossec P. Treatment with etanercept of autoimmune hepatitis associated with rheumatoid arthritis: an open label proof of concept study. </w:t>
      </w:r>
      <w:r>
        <w:rPr>
          <w:rFonts w:ascii="Book Antiqua" w:hAnsi="Book Antiqua" w:eastAsia="Book Antiqua" w:cs="Book Antiqua"/>
          <w:i/>
          <w:iCs/>
          <w:color w:val="000000"/>
        </w:rPr>
        <w:t>Ann Rheum Dis</w:t>
      </w:r>
      <w:r>
        <w:rPr>
          <w:rFonts w:ascii="Book Antiqua" w:hAnsi="Book Antiqua" w:eastAsia="Book Antiqua" w:cs="Book Antiqua"/>
          <w:color w:val="000000"/>
        </w:rPr>
        <w:t xml:space="preserve"> 2012; </w:t>
      </w:r>
      <w:r>
        <w:rPr>
          <w:rFonts w:ascii="Book Antiqua" w:hAnsi="Book Antiqua" w:eastAsia="Book Antiqua" w:cs="Book Antiqua"/>
          <w:b/>
          <w:bCs/>
          <w:color w:val="000000"/>
        </w:rPr>
        <w:t>71</w:t>
      </w:r>
      <w:r>
        <w:rPr>
          <w:rFonts w:ascii="Book Antiqua" w:hAnsi="Book Antiqua" w:eastAsia="Book Antiqua" w:cs="Book Antiqua"/>
          <w:color w:val="000000"/>
        </w:rPr>
        <w:t>: 1423-1424 [PMID: 22402143 DOI: 10.1136/annrheumdis-2011-200830]</w:t>
      </w:r>
    </w:p>
    <w:p>
      <w:pPr>
        <w:spacing w:line="360" w:lineRule="auto"/>
        <w:jc w:val="both"/>
      </w:pPr>
      <w:r>
        <w:rPr>
          <w:rFonts w:ascii="Book Antiqua" w:hAnsi="Book Antiqua" w:eastAsia="Book Antiqua" w:cs="Book Antiqua"/>
          <w:color w:val="000000"/>
        </w:rPr>
        <w:t xml:space="preserve">137 </w:t>
      </w:r>
      <w:r>
        <w:rPr>
          <w:rFonts w:ascii="Book Antiqua" w:hAnsi="Book Antiqua" w:eastAsia="Book Antiqua" w:cs="Book Antiqua"/>
          <w:b/>
          <w:bCs/>
          <w:color w:val="000000"/>
        </w:rPr>
        <w:t>Perez-Alvarez R</w:t>
      </w:r>
      <w:r>
        <w:rPr>
          <w:rFonts w:ascii="Book Antiqua" w:hAnsi="Book Antiqua" w:eastAsia="Book Antiqua" w:cs="Book Antiqua"/>
          <w:color w:val="000000"/>
        </w:rPr>
        <w:t xml:space="preserve">, Pérez-de-Lis M, Ramos-Casals M; BIOGEAS study group. Biologics-induced autoimmune diseases. </w:t>
      </w:r>
      <w:r>
        <w:rPr>
          <w:rFonts w:ascii="Book Antiqua" w:hAnsi="Book Antiqua" w:eastAsia="Book Antiqua" w:cs="Book Antiqua"/>
          <w:i/>
          <w:iCs/>
          <w:color w:val="000000"/>
        </w:rPr>
        <w:t>Curr Opin Rheumatol</w:t>
      </w:r>
      <w:r>
        <w:rPr>
          <w:rFonts w:ascii="Book Antiqua" w:hAnsi="Book Antiqua" w:eastAsia="Book Antiqua" w:cs="Book Antiqua"/>
          <w:color w:val="000000"/>
        </w:rPr>
        <w:t xml:space="preserve"> 2013; </w:t>
      </w:r>
      <w:r>
        <w:rPr>
          <w:rFonts w:ascii="Book Antiqua" w:hAnsi="Book Antiqua" w:eastAsia="Book Antiqua" w:cs="Book Antiqua"/>
          <w:b/>
          <w:bCs/>
          <w:color w:val="000000"/>
        </w:rPr>
        <w:t>25</w:t>
      </w:r>
      <w:r>
        <w:rPr>
          <w:rFonts w:ascii="Book Antiqua" w:hAnsi="Book Antiqua" w:eastAsia="Book Antiqua" w:cs="Book Antiqua"/>
          <w:color w:val="000000"/>
        </w:rPr>
        <w:t>: 56-64 [PMID: 23114587 DOI: 10.1097/BOR.0b013e32835b1366]</w:t>
      </w:r>
    </w:p>
    <w:p>
      <w:pPr>
        <w:spacing w:line="360" w:lineRule="auto"/>
        <w:jc w:val="both"/>
      </w:pPr>
      <w:r>
        <w:rPr>
          <w:rFonts w:ascii="Book Antiqua" w:hAnsi="Book Antiqua" w:eastAsia="Book Antiqua" w:cs="Book Antiqua"/>
          <w:color w:val="000000"/>
        </w:rPr>
        <w:t xml:space="preserve">138 </w:t>
      </w:r>
      <w:r>
        <w:rPr>
          <w:rFonts w:ascii="Book Antiqua" w:hAnsi="Book Antiqua" w:eastAsia="Book Antiqua" w:cs="Book Antiqua"/>
          <w:b/>
          <w:bCs/>
          <w:color w:val="000000"/>
        </w:rPr>
        <w:t>Vollmer O</w:t>
      </w:r>
      <w:r>
        <w:rPr>
          <w:rFonts w:ascii="Book Antiqua" w:hAnsi="Book Antiqua" w:eastAsia="Book Antiqua" w:cs="Book Antiqua"/>
          <w:color w:val="000000"/>
        </w:rPr>
        <w:t xml:space="preserve">, Felten R, Mertz P, Lebrun-Vignes B, Salem JE, Arnaud L. Characterization of auto-immune hepatitis associated with the use of anti-TNFα agents: An analysis of 389 cases in VigiBase. </w:t>
      </w:r>
      <w:r>
        <w:rPr>
          <w:rFonts w:ascii="Book Antiqua" w:hAnsi="Book Antiqua" w:eastAsia="Book Antiqua" w:cs="Book Antiqua"/>
          <w:i/>
          <w:iCs/>
          <w:color w:val="000000"/>
        </w:rPr>
        <w:t>Autoimmun Rev</w:t>
      </w:r>
      <w:r>
        <w:rPr>
          <w:rFonts w:ascii="Book Antiqua" w:hAnsi="Book Antiqua" w:eastAsia="Book Antiqua" w:cs="Book Antiqua"/>
          <w:color w:val="000000"/>
        </w:rPr>
        <w:t xml:space="preserve"> 2020; </w:t>
      </w:r>
      <w:r>
        <w:rPr>
          <w:rFonts w:ascii="Book Antiqua" w:hAnsi="Book Antiqua" w:eastAsia="Book Antiqua" w:cs="Book Antiqua"/>
          <w:b/>
          <w:bCs/>
          <w:color w:val="000000"/>
        </w:rPr>
        <w:t>19</w:t>
      </w:r>
      <w:r>
        <w:rPr>
          <w:rFonts w:ascii="Book Antiqua" w:hAnsi="Book Antiqua" w:eastAsia="Book Antiqua" w:cs="Book Antiqua"/>
          <w:color w:val="000000"/>
        </w:rPr>
        <w:t>: 102460 [PMID: 31917266 DOI: 10.1016/j.autrev.2020.102460]</w:t>
      </w:r>
    </w:p>
    <w:p>
      <w:pPr>
        <w:spacing w:line="360" w:lineRule="auto"/>
        <w:jc w:val="both"/>
      </w:pPr>
      <w:r>
        <w:rPr>
          <w:rFonts w:ascii="Book Antiqua" w:hAnsi="Book Antiqua" w:eastAsia="Book Antiqua" w:cs="Book Antiqua"/>
          <w:color w:val="000000"/>
        </w:rPr>
        <w:t xml:space="preserve">139 </w:t>
      </w:r>
      <w:r>
        <w:rPr>
          <w:rFonts w:ascii="Book Antiqua" w:hAnsi="Book Antiqua" w:eastAsia="Book Antiqua" w:cs="Book Antiqua"/>
          <w:b/>
          <w:bCs/>
          <w:color w:val="000000"/>
        </w:rPr>
        <w:t>Lamberts LE</w:t>
      </w:r>
      <w:r>
        <w:rPr>
          <w:rFonts w:ascii="Book Antiqua" w:hAnsi="Book Antiqua" w:eastAsia="Book Antiqua" w:cs="Book Antiqua"/>
          <w:color w:val="000000"/>
        </w:rPr>
        <w:t xml:space="preserve">, Janse M, Haagsma EB, van den Berg AP, Weersma RK. Immune-mediated diseases in primary sclerosing cholangitis. </w:t>
      </w:r>
      <w:r>
        <w:rPr>
          <w:rFonts w:ascii="Book Antiqua" w:hAnsi="Book Antiqua" w:eastAsia="Book Antiqua" w:cs="Book Antiqua"/>
          <w:i/>
          <w:iCs/>
          <w:color w:val="000000"/>
        </w:rPr>
        <w:t>Dig Liver Dis</w:t>
      </w:r>
      <w:r>
        <w:rPr>
          <w:rFonts w:ascii="Book Antiqua" w:hAnsi="Book Antiqua" w:eastAsia="Book Antiqua" w:cs="Book Antiqua"/>
          <w:color w:val="000000"/>
        </w:rPr>
        <w:t xml:space="preserve"> 2011; </w:t>
      </w:r>
      <w:r>
        <w:rPr>
          <w:rFonts w:ascii="Book Antiqua" w:hAnsi="Book Antiqua" w:eastAsia="Book Antiqua" w:cs="Book Antiqua"/>
          <w:b/>
          <w:bCs/>
          <w:color w:val="000000"/>
        </w:rPr>
        <w:t>43</w:t>
      </w:r>
      <w:r>
        <w:rPr>
          <w:rFonts w:ascii="Book Antiqua" w:hAnsi="Book Antiqua" w:eastAsia="Book Antiqua" w:cs="Book Antiqua"/>
          <w:color w:val="000000"/>
        </w:rPr>
        <w:t>: 802-806 [PMID: 21700515 DOI: 10.1016/j.dld.2011.05.009]</w:t>
      </w:r>
    </w:p>
    <w:p>
      <w:pPr>
        <w:spacing w:line="360" w:lineRule="auto"/>
        <w:jc w:val="both"/>
      </w:pPr>
      <w:r>
        <w:rPr>
          <w:rFonts w:ascii="Book Antiqua" w:hAnsi="Book Antiqua" w:eastAsia="Book Antiqua" w:cs="Book Antiqua"/>
          <w:color w:val="000000"/>
        </w:rPr>
        <w:t xml:space="preserve">140 </w:t>
      </w:r>
      <w:r>
        <w:rPr>
          <w:rFonts w:ascii="Book Antiqua" w:hAnsi="Book Antiqua" w:eastAsia="Book Antiqua" w:cs="Book Antiqua"/>
          <w:b/>
          <w:bCs/>
          <w:color w:val="000000"/>
        </w:rPr>
        <w:t>Gow PJ</w:t>
      </w:r>
      <w:r>
        <w:rPr>
          <w:rFonts w:ascii="Book Antiqua" w:hAnsi="Book Antiqua" w:eastAsia="Book Antiqua" w:cs="Book Antiqua"/>
          <w:color w:val="000000"/>
        </w:rPr>
        <w:t xml:space="preserve">, Fleming KA, Chapman RW. Primary sclerosing cholangitis associated with rheumatoid arthritis and HLA DR4: is the association a marker of patients with progressive liver disease?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2001; </w:t>
      </w:r>
      <w:r>
        <w:rPr>
          <w:rFonts w:ascii="Book Antiqua" w:hAnsi="Book Antiqua" w:eastAsia="Book Antiqua" w:cs="Book Antiqua"/>
          <w:b/>
          <w:bCs/>
          <w:color w:val="000000"/>
        </w:rPr>
        <w:t>34</w:t>
      </w:r>
      <w:r>
        <w:rPr>
          <w:rFonts w:ascii="Book Antiqua" w:hAnsi="Book Antiqua" w:eastAsia="Book Antiqua" w:cs="Book Antiqua"/>
          <w:color w:val="000000"/>
        </w:rPr>
        <w:t>: 631-635 [PMID: 11394667 DOI: 10.1016/s0168-8278(00)00060-x]</w:t>
      </w:r>
    </w:p>
    <w:p>
      <w:pPr>
        <w:spacing w:line="360" w:lineRule="auto"/>
        <w:jc w:val="both"/>
      </w:pPr>
      <w:r>
        <w:rPr>
          <w:rFonts w:ascii="Book Antiqua" w:hAnsi="Book Antiqua" w:eastAsia="Book Antiqua" w:cs="Book Antiqua"/>
          <w:color w:val="000000"/>
        </w:rPr>
        <w:t xml:space="preserve">141 </w:t>
      </w:r>
      <w:r>
        <w:rPr>
          <w:rFonts w:ascii="Book Antiqua" w:hAnsi="Book Antiqua" w:eastAsia="Book Antiqua" w:cs="Book Antiqua"/>
          <w:b/>
          <w:bCs/>
          <w:color w:val="000000"/>
        </w:rPr>
        <w:t>Ogdie A</w:t>
      </w:r>
      <w:r>
        <w:rPr>
          <w:rFonts w:ascii="Book Antiqua" w:hAnsi="Book Antiqua" w:eastAsia="Book Antiqua" w:cs="Book Antiqua"/>
          <w:color w:val="000000"/>
        </w:rPr>
        <w:t xml:space="preserve">, Schwartzman S, Eder L, Maharaj AB, Zisman D, Raychaudhuri SP, Reddy SM, Husni E. Comprehensive treatment of psoriatic arthritis: managing comorbidities and extraarticular manifestations. </w:t>
      </w:r>
      <w:r>
        <w:rPr>
          <w:rFonts w:ascii="Book Antiqua" w:hAnsi="Book Antiqua" w:eastAsia="Book Antiqua" w:cs="Book Antiqua"/>
          <w:i/>
          <w:iCs/>
          <w:color w:val="000000"/>
        </w:rPr>
        <w:t>J Rheumatol</w:t>
      </w:r>
      <w:r>
        <w:rPr>
          <w:rFonts w:ascii="Book Antiqua" w:hAnsi="Book Antiqua" w:eastAsia="Book Antiqua" w:cs="Book Antiqua"/>
          <w:color w:val="000000"/>
        </w:rPr>
        <w:t xml:space="preserve"> 2014; </w:t>
      </w:r>
      <w:r>
        <w:rPr>
          <w:rFonts w:ascii="Book Antiqua" w:hAnsi="Book Antiqua" w:eastAsia="Book Antiqua" w:cs="Book Antiqua"/>
          <w:b/>
          <w:bCs/>
          <w:color w:val="000000"/>
        </w:rPr>
        <w:t>41</w:t>
      </w:r>
      <w:r>
        <w:rPr>
          <w:rFonts w:ascii="Book Antiqua" w:hAnsi="Book Antiqua" w:eastAsia="Book Antiqua" w:cs="Book Antiqua"/>
          <w:color w:val="000000"/>
        </w:rPr>
        <w:t>: 2315-2322 [PMID: 25362717 DOI: 10.3899/jrheum.140882]</w:t>
      </w:r>
    </w:p>
    <w:p>
      <w:pPr>
        <w:spacing w:line="360" w:lineRule="auto"/>
        <w:jc w:val="both"/>
      </w:pPr>
      <w:r>
        <w:rPr>
          <w:rFonts w:ascii="Book Antiqua" w:hAnsi="Book Antiqua" w:eastAsia="Book Antiqua" w:cs="Book Antiqua"/>
          <w:color w:val="000000"/>
        </w:rPr>
        <w:t xml:space="preserve">142 </w:t>
      </w:r>
      <w:r>
        <w:rPr>
          <w:rFonts w:ascii="Book Antiqua" w:hAnsi="Book Antiqua" w:eastAsia="Book Antiqua" w:cs="Book Antiqua"/>
          <w:b/>
          <w:bCs/>
          <w:color w:val="000000"/>
        </w:rPr>
        <w:t>Yousaf A</w:t>
      </w:r>
      <w:r>
        <w:rPr>
          <w:rFonts w:ascii="Book Antiqua" w:hAnsi="Book Antiqua" w:eastAsia="Book Antiqua" w:cs="Book Antiqua"/>
          <w:color w:val="000000"/>
        </w:rPr>
        <w:t xml:space="preserve">, Raiker R, Davis SM, Gayam S, Zinn Z. Association between psoriasis, psoriatic arthritis and gastrointestinal disease : An exploratory nationwide inpatient sample analysis. </w:t>
      </w:r>
      <w:r>
        <w:rPr>
          <w:rFonts w:ascii="Book Antiqua" w:hAnsi="Book Antiqua" w:eastAsia="Book Antiqua" w:cs="Book Antiqua"/>
          <w:i/>
          <w:iCs/>
          <w:color w:val="000000"/>
        </w:rPr>
        <w:t>Wien Klin Wochenschr</w:t>
      </w:r>
      <w:r>
        <w:rPr>
          <w:rFonts w:ascii="Book Antiqua" w:hAnsi="Book Antiqua" w:eastAsia="Book Antiqua" w:cs="Book Antiqua"/>
          <w:color w:val="000000"/>
        </w:rPr>
        <w:t xml:space="preserve"> 2021; </w:t>
      </w:r>
      <w:r>
        <w:rPr>
          <w:rFonts w:ascii="Book Antiqua" w:hAnsi="Book Antiqua" w:eastAsia="Book Antiqua" w:cs="Book Antiqua"/>
          <w:b/>
          <w:bCs/>
          <w:color w:val="000000"/>
        </w:rPr>
        <w:t>133</w:t>
      </w:r>
      <w:r>
        <w:rPr>
          <w:rFonts w:ascii="Book Antiqua" w:hAnsi="Book Antiqua" w:eastAsia="Book Antiqua" w:cs="Book Antiqua"/>
          <w:color w:val="000000"/>
        </w:rPr>
        <w:t>: 586-593 [PMID: 32965553 DOI: 10.1007/s00508-020-01740-8]</w:t>
      </w:r>
    </w:p>
    <w:p>
      <w:pPr>
        <w:spacing w:line="360" w:lineRule="auto"/>
        <w:jc w:val="both"/>
      </w:pPr>
      <w:r>
        <w:rPr>
          <w:rFonts w:ascii="Book Antiqua" w:hAnsi="Book Antiqua" w:eastAsia="Book Antiqua" w:cs="Book Antiqua"/>
          <w:color w:val="000000"/>
        </w:rPr>
        <w:t xml:space="preserve">143 </w:t>
      </w:r>
      <w:r>
        <w:rPr>
          <w:rFonts w:ascii="Book Antiqua" w:hAnsi="Book Antiqua" w:eastAsia="Book Antiqua" w:cs="Book Antiqua"/>
          <w:b/>
          <w:bCs/>
          <w:color w:val="000000"/>
        </w:rPr>
        <w:t>Dalakas MC</w:t>
      </w:r>
      <w:r>
        <w:rPr>
          <w:rFonts w:ascii="Book Antiqua" w:hAnsi="Book Antiqua" w:eastAsia="Book Antiqua" w:cs="Book Antiqua"/>
          <w:color w:val="000000"/>
        </w:rPr>
        <w:t xml:space="preserve">. Inflammatory muscle diseases.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2015; </w:t>
      </w:r>
      <w:r>
        <w:rPr>
          <w:rFonts w:ascii="Book Antiqua" w:hAnsi="Book Antiqua" w:eastAsia="Book Antiqua" w:cs="Book Antiqua"/>
          <w:b/>
          <w:bCs/>
          <w:color w:val="000000"/>
        </w:rPr>
        <w:t>372</w:t>
      </w:r>
      <w:r>
        <w:rPr>
          <w:rFonts w:ascii="Book Antiqua" w:hAnsi="Book Antiqua" w:eastAsia="Book Antiqua" w:cs="Book Antiqua"/>
          <w:color w:val="000000"/>
        </w:rPr>
        <w:t>: 1734-1747 [PMID: 25923553 DOI: 10.1056/NEJMra1402225]</w:t>
      </w:r>
    </w:p>
    <w:p>
      <w:pPr>
        <w:spacing w:line="360" w:lineRule="auto"/>
        <w:jc w:val="both"/>
      </w:pPr>
      <w:r>
        <w:rPr>
          <w:rFonts w:ascii="Book Antiqua" w:hAnsi="Book Antiqua" w:eastAsia="Book Antiqua" w:cs="Book Antiqua"/>
          <w:color w:val="000000"/>
        </w:rPr>
        <w:t xml:space="preserve">144 </w:t>
      </w:r>
      <w:r>
        <w:rPr>
          <w:rFonts w:ascii="Book Antiqua" w:hAnsi="Book Antiqua" w:eastAsia="Book Antiqua" w:cs="Book Antiqua"/>
          <w:b/>
          <w:bCs/>
          <w:color w:val="000000"/>
        </w:rPr>
        <w:t>Khan F</w:t>
      </w:r>
      <w:r>
        <w:rPr>
          <w:rFonts w:ascii="Book Antiqua" w:hAnsi="Book Antiqua" w:eastAsia="Book Antiqua" w:cs="Book Antiqua"/>
          <w:color w:val="000000"/>
        </w:rPr>
        <w:t xml:space="preserve">, Kleppel H, Meara A. Paraneoplastic Musculoskeletal Syndromes. </w:t>
      </w:r>
      <w:r>
        <w:rPr>
          <w:rFonts w:ascii="Book Antiqua" w:hAnsi="Book Antiqua" w:eastAsia="Book Antiqua" w:cs="Book Antiqua"/>
          <w:i/>
          <w:iCs/>
          <w:color w:val="000000"/>
        </w:rPr>
        <w:t>Rheum Dis Clin North Am</w:t>
      </w:r>
      <w:r>
        <w:rPr>
          <w:rFonts w:ascii="Book Antiqua" w:hAnsi="Book Antiqua" w:eastAsia="Book Antiqua" w:cs="Book Antiqua"/>
          <w:color w:val="000000"/>
        </w:rPr>
        <w:t xml:space="preserve"> 2020; </w:t>
      </w:r>
      <w:r>
        <w:rPr>
          <w:rFonts w:ascii="Book Antiqua" w:hAnsi="Book Antiqua" w:eastAsia="Book Antiqua" w:cs="Book Antiqua"/>
          <w:b/>
          <w:bCs/>
          <w:color w:val="000000"/>
        </w:rPr>
        <w:t>46</w:t>
      </w:r>
      <w:r>
        <w:rPr>
          <w:rFonts w:ascii="Book Antiqua" w:hAnsi="Book Antiqua" w:eastAsia="Book Antiqua" w:cs="Book Antiqua"/>
          <w:color w:val="000000"/>
        </w:rPr>
        <w:t>: 577-586 [PMID: 32631605 DOI: 10.1016/j.rdc.2020.04.002]</w:t>
      </w:r>
    </w:p>
    <w:p>
      <w:pPr>
        <w:spacing w:line="360" w:lineRule="auto"/>
        <w:jc w:val="both"/>
      </w:pPr>
      <w:r>
        <w:rPr>
          <w:rFonts w:ascii="Book Antiqua" w:hAnsi="Book Antiqua" w:eastAsia="Book Antiqua" w:cs="Book Antiqua"/>
          <w:color w:val="000000"/>
        </w:rPr>
        <w:t xml:space="preserve">145 </w:t>
      </w:r>
      <w:r>
        <w:rPr>
          <w:rFonts w:ascii="Book Antiqua" w:hAnsi="Book Antiqua" w:eastAsia="Book Antiqua" w:cs="Book Antiqua"/>
          <w:b/>
          <w:bCs/>
          <w:color w:val="000000"/>
        </w:rPr>
        <w:t>Chou JW</w:t>
      </w:r>
      <w:r>
        <w:rPr>
          <w:rFonts w:ascii="Book Antiqua" w:hAnsi="Book Antiqua" w:eastAsia="Book Antiqua" w:cs="Book Antiqua"/>
          <w:color w:val="000000"/>
        </w:rPr>
        <w:t xml:space="preserve">, Lin YL, Cheng KS, Wu PY, Reanne Ju T. Dermatomyositis Induced by Hepatitis B Virus-related Hepatocellular Carcinoma: A Case Report and Review of the Literature. </w:t>
      </w:r>
      <w:r>
        <w:rPr>
          <w:rFonts w:ascii="Book Antiqua" w:hAnsi="Book Antiqua" w:eastAsia="Book Antiqua" w:cs="Book Antiqua"/>
          <w:i/>
          <w:iCs/>
          <w:color w:val="000000"/>
        </w:rPr>
        <w:t>Intern Med</w:t>
      </w:r>
      <w:r>
        <w:rPr>
          <w:rFonts w:ascii="Book Antiqua" w:hAnsi="Book Antiqua" w:eastAsia="Book Antiqua" w:cs="Book Antiqua"/>
          <w:color w:val="000000"/>
        </w:rPr>
        <w:t xml:space="preserve"> 2017; </w:t>
      </w:r>
      <w:r>
        <w:rPr>
          <w:rFonts w:ascii="Book Antiqua" w:hAnsi="Book Antiqua" w:eastAsia="Book Antiqua" w:cs="Book Antiqua"/>
          <w:b/>
          <w:bCs/>
          <w:color w:val="000000"/>
        </w:rPr>
        <w:t>56</w:t>
      </w:r>
      <w:r>
        <w:rPr>
          <w:rFonts w:ascii="Book Antiqua" w:hAnsi="Book Antiqua" w:eastAsia="Book Antiqua" w:cs="Book Antiqua"/>
          <w:color w:val="000000"/>
        </w:rPr>
        <w:t>: 1831-1837 [PMID: 28717078 DOI: 10.2169/internalmedicine.56.7595]</w:t>
      </w:r>
    </w:p>
    <w:p>
      <w:pPr>
        <w:spacing w:line="360" w:lineRule="auto"/>
        <w:jc w:val="both"/>
      </w:pPr>
      <w:r>
        <w:rPr>
          <w:rFonts w:ascii="Book Antiqua" w:hAnsi="Book Antiqua" w:eastAsia="Book Antiqua" w:cs="Book Antiqua"/>
          <w:color w:val="000000"/>
        </w:rPr>
        <w:t xml:space="preserve">146 </w:t>
      </w:r>
      <w:r>
        <w:rPr>
          <w:rFonts w:ascii="Book Antiqua" w:hAnsi="Book Antiqua" w:eastAsia="Book Antiqua" w:cs="Book Antiqua"/>
          <w:b/>
          <w:bCs/>
          <w:color w:val="000000"/>
        </w:rPr>
        <w:t>Han J</w:t>
      </w:r>
      <w:r>
        <w:rPr>
          <w:rFonts w:ascii="Book Antiqua" w:hAnsi="Book Antiqua" w:eastAsia="Book Antiqua" w:cs="Book Antiqua"/>
          <w:color w:val="000000"/>
        </w:rPr>
        <w:t xml:space="preserve">, Wang S, Kwong TNY, Liu J. Dermatomyositis as an extrahepatic manifestation of hepatitis B virus-related hepatocellular carcinoma: A case report and literature review.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2018; </w:t>
      </w:r>
      <w:r>
        <w:rPr>
          <w:rFonts w:ascii="Book Antiqua" w:hAnsi="Book Antiqua" w:eastAsia="Book Antiqua" w:cs="Book Antiqua"/>
          <w:b/>
          <w:bCs/>
          <w:color w:val="000000"/>
        </w:rPr>
        <w:t>97</w:t>
      </w:r>
      <w:r>
        <w:rPr>
          <w:rFonts w:ascii="Book Antiqua" w:hAnsi="Book Antiqua" w:eastAsia="Book Antiqua" w:cs="Book Antiqua"/>
          <w:color w:val="000000"/>
        </w:rPr>
        <w:t>: e11586 [PMID: 30113453 DOI: 10.1097/MD.0000000000011586]</w:t>
      </w:r>
    </w:p>
    <w:p>
      <w:pPr>
        <w:spacing w:line="360" w:lineRule="auto"/>
        <w:jc w:val="both"/>
      </w:pPr>
      <w:r>
        <w:rPr>
          <w:rFonts w:ascii="Book Antiqua" w:hAnsi="Book Antiqua" w:eastAsia="Book Antiqua" w:cs="Book Antiqua"/>
          <w:color w:val="000000"/>
        </w:rPr>
        <w:t xml:space="preserve">147 </w:t>
      </w:r>
      <w:r>
        <w:rPr>
          <w:rFonts w:ascii="Book Antiqua" w:hAnsi="Book Antiqua" w:eastAsia="Book Antiqua" w:cs="Book Antiqua"/>
          <w:b/>
          <w:bCs/>
          <w:color w:val="000000"/>
        </w:rPr>
        <w:t>Dalakas MC</w:t>
      </w:r>
      <w:r>
        <w:rPr>
          <w:rFonts w:ascii="Book Antiqua" w:hAnsi="Book Antiqua" w:eastAsia="Book Antiqua" w:cs="Book Antiqua"/>
          <w:color w:val="000000"/>
        </w:rPr>
        <w:t xml:space="preserve">. Polymyositis, dermatomyositis and inclusion-body myositis.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1991; </w:t>
      </w:r>
      <w:r>
        <w:rPr>
          <w:rFonts w:ascii="Book Antiqua" w:hAnsi="Book Antiqua" w:eastAsia="Book Antiqua" w:cs="Book Antiqua"/>
          <w:b/>
          <w:bCs/>
          <w:color w:val="000000"/>
        </w:rPr>
        <w:t>325</w:t>
      </w:r>
      <w:r>
        <w:rPr>
          <w:rFonts w:ascii="Book Antiqua" w:hAnsi="Book Antiqua" w:eastAsia="Book Antiqua" w:cs="Book Antiqua"/>
          <w:color w:val="000000"/>
        </w:rPr>
        <w:t>: 1487-1498 [PMID: 1658649 DOI: 10.1056/NEJM199111213252107]</w:t>
      </w:r>
    </w:p>
    <w:p>
      <w:pPr>
        <w:spacing w:line="360" w:lineRule="auto"/>
        <w:jc w:val="both"/>
      </w:pPr>
      <w:r>
        <w:rPr>
          <w:rFonts w:ascii="Book Antiqua" w:hAnsi="Book Antiqua" w:eastAsia="Book Antiqua" w:cs="Book Antiqua"/>
          <w:color w:val="000000"/>
        </w:rPr>
        <w:t xml:space="preserve">148 </w:t>
      </w:r>
      <w:r>
        <w:rPr>
          <w:rFonts w:ascii="Book Antiqua" w:hAnsi="Book Antiqua" w:eastAsia="Book Antiqua" w:cs="Book Antiqua"/>
          <w:b/>
          <w:bCs/>
          <w:color w:val="000000"/>
        </w:rPr>
        <w:t>Zhang L</w:t>
      </w:r>
      <w:r>
        <w:rPr>
          <w:rFonts w:ascii="Book Antiqua" w:hAnsi="Book Antiqua" w:eastAsia="Book Antiqua" w:cs="Book Antiqua"/>
          <w:color w:val="000000"/>
        </w:rPr>
        <w:t xml:space="preserve">, Yang H, Lei J, Peng Q, Yang H, Wang G, Lu X. Muscle pathological features and extra-muscle involvement in idiopathic inflammatory myopathies with anti-mitochondrial antibody. </w:t>
      </w:r>
      <w:r>
        <w:rPr>
          <w:rFonts w:ascii="Book Antiqua" w:hAnsi="Book Antiqua" w:eastAsia="Book Antiqua" w:cs="Book Antiqua"/>
          <w:i/>
          <w:iCs/>
          <w:color w:val="000000"/>
        </w:rPr>
        <w:t>Semin Arthritis Rheum</w:t>
      </w:r>
      <w:r>
        <w:rPr>
          <w:rFonts w:ascii="Book Antiqua" w:hAnsi="Book Antiqua" w:eastAsia="Book Antiqua" w:cs="Book Antiqua"/>
          <w:color w:val="000000"/>
        </w:rPr>
        <w:t xml:space="preserve"> 2021; </w:t>
      </w:r>
      <w:r>
        <w:rPr>
          <w:rFonts w:ascii="Book Antiqua" w:hAnsi="Book Antiqua" w:eastAsia="Book Antiqua" w:cs="Book Antiqua"/>
          <w:b/>
          <w:bCs/>
          <w:color w:val="000000"/>
        </w:rPr>
        <w:t>51</w:t>
      </w:r>
      <w:r>
        <w:rPr>
          <w:rFonts w:ascii="Book Antiqua" w:hAnsi="Book Antiqua" w:eastAsia="Book Antiqua" w:cs="Book Antiqua"/>
          <w:color w:val="000000"/>
        </w:rPr>
        <w:t>: 741-748 [PMID: 34144384 DOI: 10.1016/j.semarthrit.2021.05.019]</w:t>
      </w:r>
    </w:p>
    <w:p>
      <w:pPr>
        <w:spacing w:line="360" w:lineRule="auto"/>
        <w:jc w:val="both"/>
      </w:pPr>
      <w:r>
        <w:rPr>
          <w:rFonts w:ascii="Book Antiqua" w:hAnsi="Book Antiqua" w:eastAsia="Book Antiqua" w:cs="Book Antiqua"/>
          <w:color w:val="000000"/>
        </w:rPr>
        <w:t xml:space="preserve">149 </w:t>
      </w:r>
      <w:r>
        <w:rPr>
          <w:rFonts w:ascii="Book Antiqua" w:hAnsi="Book Antiqua" w:eastAsia="Book Antiqua" w:cs="Book Antiqua"/>
          <w:b/>
          <w:bCs/>
          <w:color w:val="000000"/>
        </w:rPr>
        <w:t>Harada N</w:t>
      </w:r>
      <w:r>
        <w:rPr>
          <w:rFonts w:ascii="Book Antiqua" w:hAnsi="Book Antiqua" w:eastAsia="Book Antiqua" w:cs="Book Antiqua"/>
          <w:color w:val="000000"/>
        </w:rPr>
        <w:t xml:space="preserve">, Dohmen K, Itoh H, Ohshima T, Yamamoto H, Nagano M, Iwata Y, Hachisuka K, Ishibashi H. Sibling cases of primary biliary cirrhosis associated with polymyositis, vasculitis and Hashimoto's thyroiditis. </w:t>
      </w:r>
      <w:r>
        <w:rPr>
          <w:rFonts w:ascii="Book Antiqua" w:hAnsi="Book Antiqua" w:eastAsia="Book Antiqua" w:cs="Book Antiqua"/>
          <w:i/>
          <w:iCs/>
          <w:color w:val="000000"/>
        </w:rPr>
        <w:t>Intern Med</w:t>
      </w:r>
      <w:r>
        <w:rPr>
          <w:rFonts w:ascii="Book Antiqua" w:hAnsi="Book Antiqua" w:eastAsia="Book Antiqua" w:cs="Book Antiqua"/>
          <w:color w:val="000000"/>
        </w:rPr>
        <w:t xml:space="preserve"> 1992; </w:t>
      </w:r>
      <w:r>
        <w:rPr>
          <w:rFonts w:ascii="Book Antiqua" w:hAnsi="Book Antiqua" w:eastAsia="Book Antiqua" w:cs="Book Antiqua"/>
          <w:b/>
          <w:bCs/>
          <w:color w:val="000000"/>
        </w:rPr>
        <w:t>31</w:t>
      </w:r>
      <w:r>
        <w:rPr>
          <w:rFonts w:ascii="Book Antiqua" w:hAnsi="Book Antiqua" w:eastAsia="Book Antiqua" w:cs="Book Antiqua"/>
          <w:color w:val="000000"/>
        </w:rPr>
        <w:t>: 289-293 [PMID: 1600281 DOI: 10.2169/internalmedicine.31.289]</w:t>
      </w:r>
    </w:p>
    <w:p>
      <w:pPr>
        <w:spacing w:line="360" w:lineRule="auto"/>
        <w:jc w:val="both"/>
      </w:pPr>
      <w:r>
        <w:rPr>
          <w:rFonts w:ascii="Book Antiqua" w:hAnsi="Book Antiqua" w:eastAsia="Book Antiqua" w:cs="Book Antiqua"/>
          <w:color w:val="000000"/>
        </w:rPr>
        <w:t xml:space="preserve">150 </w:t>
      </w:r>
      <w:r>
        <w:rPr>
          <w:rFonts w:ascii="Book Antiqua" w:hAnsi="Book Antiqua" w:eastAsia="Book Antiqua" w:cs="Book Antiqua"/>
          <w:b/>
          <w:bCs/>
          <w:color w:val="000000"/>
        </w:rPr>
        <w:t>Ko KF</w:t>
      </w:r>
      <w:r>
        <w:rPr>
          <w:rFonts w:ascii="Book Antiqua" w:hAnsi="Book Antiqua" w:eastAsia="Book Antiqua" w:cs="Book Antiqua"/>
          <w:color w:val="000000"/>
        </w:rPr>
        <w:t xml:space="preserve">, Ho T, Chan KW. Autoimmune chronic active hepatitis and polymyositis in a patient with myasthenia gravis and thymoma. </w:t>
      </w:r>
      <w:r>
        <w:rPr>
          <w:rFonts w:ascii="Book Antiqua" w:hAnsi="Book Antiqua" w:eastAsia="Book Antiqua" w:cs="Book Antiqua"/>
          <w:i/>
          <w:iCs/>
          <w:color w:val="000000"/>
        </w:rPr>
        <w:t>J Neurol Neurosurg Psychiatry</w:t>
      </w:r>
      <w:r>
        <w:rPr>
          <w:rFonts w:ascii="Book Antiqua" w:hAnsi="Book Antiqua" w:eastAsia="Book Antiqua" w:cs="Book Antiqua"/>
          <w:color w:val="000000"/>
        </w:rPr>
        <w:t xml:space="preserve"> 1995; </w:t>
      </w:r>
      <w:r>
        <w:rPr>
          <w:rFonts w:ascii="Book Antiqua" w:hAnsi="Book Antiqua" w:eastAsia="Book Antiqua" w:cs="Book Antiqua"/>
          <w:b/>
          <w:bCs/>
          <w:color w:val="000000"/>
        </w:rPr>
        <w:t>59</w:t>
      </w:r>
      <w:r>
        <w:rPr>
          <w:rFonts w:ascii="Book Antiqua" w:hAnsi="Book Antiqua" w:eastAsia="Book Antiqua" w:cs="Book Antiqua"/>
          <w:color w:val="000000"/>
        </w:rPr>
        <w:t>: 558-559 [PMID: 8530953 DOI: 10.1136/jnnp.59.5.558]</w:t>
      </w:r>
    </w:p>
    <w:p>
      <w:pPr>
        <w:spacing w:line="360" w:lineRule="auto"/>
        <w:jc w:val="both"/>
      </w:pPr>
      <w:r>
        <w:rPr>
          <w:rFonts w:ascii="Book Antiqua" w:hAnsi="Book Antiqua" w:eastAsia="Book Antiqua" w:cs="Book Antiqua"/>
          <w:color w:val="000000"/>
        </w:rPr>
        <w:t xml:space="preserve">151 </w:t>
      </w:r>
      <w:r>
        <w:rPr>
          <w:rFonts w:ascii="Book Antiqua" w:hAnsi="Book Antiqua" w:eastAsia="Book Antiqua" w:cs="Book Antiqua"/>
          <w:b/>
          <w:bCs/>
          <w:color w:val="000000"/>
        </w:rPr>
        <w:t>Kurihara Y</w:t>
      </w:r>
      <w:r>
        <w:rPr>
          <w:rFonts w:ascii="Book Antiqua" w:hAnsi="Book Antiqua" w:eastAsia="Book Antiqua" w:cs="Book Antiqua"/>
          <w:color w:val="000000"/>
        </w:rPr>
        <w:t xml:space="preserve">, Shishido T, Oku K, Takamatsu M, Ishiguro H, Suzuki A, Sekita T, Shinagawa T, Ishihara T, Nakashima R, Fujii T, Okano Y. Polymyositis associated with autoimmune hepatitis, primary biliary cirrhosis, and autoimmune thrombocytopenic purpura. </w:t>
      </w:r>
      <w:r>
        <w:rPr>
          <w:rFonts w:ascii="Book Antiqua" w:hAnsi="Book Antiqua" w:eastAsia="Book Antiqua" w:cs="Book Antiqua"/>
          <w:i/>
          <w:iCs/>
          <w:color w:val="000000"/>
        </w:rPr>
        <w:t>Mod Rheumatol</w:t>
      </w:r>
      <w:r>
        <w:rPr>
          <w:rFonts w:ascii="Book Antiqua" w:hAnsi="Book Antiqua" w:eastAsia="Book Antiqua" w:cs="Book Antiqua"/>
          <w:color w:val="000000"/>
        </w:rPr>
        <w:t xml:space="preserve"> 2011; </w:t>
      </w:r>
      <w:r>
        <w:rPr>
          <w:rFonts w:ascii="Book Antiqua" w:hAnsi="Book Antiqua" w:eastAsia="Book Antiqua" w:cs="Book Antiqua"/>
          <w:b/>
          <w:bCs/>
          <w:color w:val="000000"/>
        </w:rPr>
        <w:t>21</w:t>
      </w:r>
      <w:r>
        <w:rPr>
          <w:rFonts w:ascii="Book Antiqua" w:hAnsi="Book Antiqua" w:eastAsia="Book Antiqua" w:cs="Book Antiqua"/>
          <w:color w:val="000000"/>
        </w:rPr>
        <w:t>: 325-329 [PMID: 21240621 DOI: 10.1007/s10165-010-0397-0]</w:t>
      </w:r>
    </w:p>
    <w:p>
      <w:pPr>
        <w:spacing w:line="360" w:lineRule="auto"/>
        <w:jc w:val="both"/>
      </w:pPr>
      <w:r>
        <w:rPr>
          <w:rFonts w:ascii="Book Antiqua" w:hAnsi="Book Antiqua" w:eastAsia="Book Antiqua" w:cs="Book Antiqua"/>
          <w:color w:val="000000"/>
        </w:rPr>
        <w:t xml:space="preserve">152 </w:t>
      </w:r>
      <w:r>
        <w:rPr>
          <w:rFonts w:ascii="Book Antiqua" w:hAnsi="Book Antiqua" w:eastAsia="Book Antiqua" w:cs="Book Antiqua"/>
          <w:b/>
          <w:bCs/>
          <w:color w:val="000000"/>
        </w:rPr>
        <w:t>Seibold F</w:t>
      </w:r>
      <w:r>
        <w:rPr>
          <w:rFonts w:ascii="Book Antiqua" w:hAnsi="Book Antiqua" w:eastAsia="Book Antiqua" w:cs="Book Antiqua"/>
          <w:color w:val="000000"/>
        </w:rPr>
        <w:t xml:space="preserve">, Klein R, Jakob F. Polymyositis, alopecia universalis, and primary sclerosing cholangitis in a patient with Crohn's disease. </w:t>
      </w:r>
      <w:r>
        <w:rPr>
          <w:rFonts w:ascii="Book Antiqua" w:hAnsi="Book Antiqua" w:eastAsia="Book Antiqua" w:cs="Book Antiqua"/>
          <w:i/>
          <w:iCs/>
          <w:color w:val="000000"/>
        </w:rPr>
        <w:t>J Clin Gastroenterol</w:t>
      </w:r>
      <w:r>
        <w:rPr>
          <w:rFonts w:ascii="Book Antiqua" w:hAnsi="Book Antiqua" w:eastAsia="Book Antiqua" w:cs="Book Antiqua"/>
          <w:color w:val="000000"/>
        </w:rPr>
        <w:t xml:space="preserve"> 1996; </w:t>
      </w:r>
      <w:r>
        <w:rPr>
          <w:rFonts w:ascii="Book Antiqua" w:hAnsi="Book Antiqua" w:eastAsia="Book Antiqua" w:cs="Book Antiqua"/>
          <w:b/>
          <w:bCs/>
          <w:color w:val="000000"/>
        </w:rPr>
        <w:t>23</w:t>
      </w:r>
      <w:r>
        <w:rPr>
          <w:rFonts w:ascii="Book Antiqua" w:hAnsi="Book Antiqua" w:eastAsia="Book Antiqua" w:cs="Book Antiqua"/>
          <w:color w:val="000000"/>
        </w:rPr>
        <w:t>: 121-124 [PMID: 8877639 DOI: 10.1097/00004836-199609000-00011]</w:t>
      </w:r>
    </w:p>
    <w:p>
      <w:pPr>
        <w:spacing w:line="360" w:lineRule="auto"/>
        <w:jc w:val="both"/>
      </w:pPr>
      <w:r>
        <w:rPr>
          <w:rFonts w:ascii="Book Antiqua" w:hAnsi="Book Antiqua" w:eastAsia="Book Antiqua" w:cs="Book Antiqua"/>
          <w:color w:val="000000"/>
        </w:rPr>
        <w:t xml:space="preserve">153 </w:t>
      </w:r>
      <w:r>
        <w:rPr>
          <w:rFonts w:ascii="Book Antiqua" w:hAnsi="Book Antiqua" w:eastAsia="Book Antiqua" w:cs="Book Antiqua"/>
          <w:b/>
          <w:bCs/>
          <w:color w:val="000000"/>
        </w:rPr>
        <w:t>Gunnarsson R</w:t>
      </w:r>
      <w:r>
        <w:rPr>
          <w:rFonts w:ascii="Book Antiqua" w:hAnsi="Book Antiqua" w:eastAsia="Book Antiqua" w:cs="Book Antiqua"/>
          <w:color w:val="000000"/>
        </w:rPr>
        <w:t xml:space="preserve">, Hetlevik SO, Lilleby V, Molberg Ø. Mixed connective tissue disease. </w:t>
      </w:r>
      <w:r>
        <w:rPr>
          <w:rFonts w:ascii="Book Antiqua" w:hAnsi="Book Antiqua" w:eastAsia="Book Antiqua" w:cs="Book Antiqua"/>
          <w:i/>
          <w:iCs/>
          <w:color w:val="000000"/>
        </w:rPr>
        <w:t>Best Pract Res Clin Rheumatol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30</w:t>
      </w:r>
      <w:r>
        <w:rPr>
          <w:rFonts w:ascii="Book Antiqua" w:hAnsi="Book Antiqua" w:eastAsia="Book Antiqua" w:cs="Book Antiqua"/>
          <w:color w:val="000000"/>
        </w:rPr>
        <w:t>: 95-111 [PMID: 27421219 DOI: 10.1016/j.berh.2016.03.002]</w:t>
      </w:r>
    </w:p>
    <w:p>
      <w:pPr>
        <w:spacing w:line="360" w:lineRule="auto"/>
        <w:jc w:val="both"/>
      </w:pPr>
      <w:r>
        <w:rPr>
          <w:rFonts w:ascii="Book Antiqua" w:hAnsi="Book Antiqua" w:eastAsia="Book Antiqua" w:cs="Book Antiqua"/>
          <w:color w:val="000000"/>
        </w:rPr>
        <w:t xml:space="preserve">154 </w:t>
      </w:r>
      <w:r>
        <w:rPr>
          <w:rFonts w:ascii="Book Antiqua" w:hAnsi="Book Antiqua" w:eastAsia="Book Antiqua" w:cs="Book Antiqua"/>
          <w:b/>
          <w:bCs/>
          <w:color w:val="000000"/>
        </w:rPr>
        <w:t>Marshall JB</w:t>
      </w:r>
      <w:r>
        <w:rPr>
          <w:rFonts w:ascii="Book Antiqua" w:hAnsi="Book Antiqua" w:eastAsia="Book Antiqua" w:cs="Book Antiqua"/>
          <w:color w:val="000000"/>
        </w:rPr>
        <w:t xml:space="preserve">, Ravendhran N, Sharp GC. </w:t>
      </w:r>
      <w:bookmarkStart w:id="79" w:name="OLE_LINK3219"/>
      <w:bookmarkStart w:id="80" w:name="OLE_LINK3220"/>
      <w:r>
        <w:rPr>
          <w:rFonts w:ascii="Book Antiqua" w:hAnsi="Book Antiqua" w:eastAsia="Book Antiqua" w:cs="Book Antiqua"/>
          <w:color w:val="000000"/>
        </w:rPr>
        <w:t>Liver disease in mixed connective tissue disease</w:t>
      </w:r>
      <w:bookmarkEnd w:id="79"/>
      <w:bookmarkEnd w:id="80"/>
      <w:r>
        <w:rPr>
          <w:rFonts w:ascii="Book Antiqua" w:hAnsi="Book Antiqua" w:eastAsia="Book Antiqua" w:cs="Book Antiqua"/>
          <w:color w:val="000000"/>
        </w:rPr>
        <w:t xml:space="preserve">. </w:t>
      </w:r>
      <w:r>
        <w:rPr>
          <w:rFonts w:ascii="Book Antiqua" w:hAnsi="Book Antiqua" w:eastAsia="Book Antiqua" w:cs="Book Antiqua"/>
          <w:i/>
          <w:iCs/>
          <w:color w:val="000000"/>
        </w:rPr>
        <w:t>Arch Intern Med</w:t>
      </w:r>
      <w:r>
        <w:rPr>
          <w:rFonts w:ascii="Book Antiqua" w:hAnsi="Book Antiqua" w:eastAsia="Book Antiqua" w:cs="Book Antiqua"/>
          <w:color w:val="000000"/>
        </w:rPr>
        <w:t xml:space="preserve"> 1983; </w:t>
      </w:r>
      <w:r>
        <w:rPr>
          <w:rFonts w:ascii="Book Antiqua" w:hAnsi="Book Antiqua" w:eastAsia="Book Antiqua" w:cs="Book Antiqua"/>
          <w:b/>
          <w:bCs/>
          <w:color w:val="000000"/>
        </w:rPr>
        <w:t>143</w:t>
      </w:r>
      <w:r>
        <w:rPr>
          <w:rFonts w:ascii="Book Antiqua" w:hAnsi="Book Antiqua" w:eastAsia="Book Antiqua" w:cs="Book Antiqua"/>
          <w:color w:val="000000"/>
        </w:rPr>
        <w:t>: 1817-1818 [PMID: 6615109 DOI: 10.1001/archinte.1983.00350090199039]</w:t>
      </w:r>
    </w:p>
    <w:p>
      <w:pPr>
        <w:spacing w:line="360" w:lineRule="auto"/>
        <w:jc w:val="both"/>
      </w:pPr>
      <w:r>
        <w:rPr>
          <w:rFonts w:ascii="Book Antiqua" w:hAnsi="Book Antiqua" w:eastAsia="Book Antiqua" w:cs="Book Antiqua"/>
          <w:color w:val="000000"/>
        </w:rPr>
        <w:t xml:space="preserve">155 </w:t>
      </w:r>
      <w:r>
        <w:rPr>
          <w:rFonts w:ascii="Book Antiqua" w:hAnsi="Book Antiqua" w:eastAsia="Book Antiqua" w:cs="Book Antiqua"/>
          <w:b/>
          <w:bCs/>
          <w:color w:val="000000"/>
        </w:rPr>
        <w:t>Chung SW</w:t>
      </w:r>
      <w:r>
        <w:rPr>
          <w:rFonts w:ascii="Book Antiqua" w:hAnsi="Book Antiqua" w:eastAsia="Book Antiqua" w:cs="Book Antiqua"/>
          <w:color w:val="000000"/>
        </w:rPr>
        <w:t xml:space="preserve">. Vasculitis: From Target Molecules to Novel Therapeutic Approaches. </w:t>
      </w:r>
      <w:r>
        <w:rPr>
          <w:rFonts w:ascii="Book Antiqua" w:hAnsi="Book Antiqua" w:eastAsia="Book Antiqua" w:cs="Book Antiqua"/>
          <w:i/>
          <w:iCs/>
          <w:color w:val="000000"/>
        </w:rPr>
        <w:t>Biomedicines</w:t>
      </w:r>
      <w:r>
        <w:rPr>
          <w:rFonts w:ascii="Book Antiqua" w:hAnsi="Book Antiqua" w:eastAsia="Book Antiqua" w:cs="Book Antiqua"/>
          <w:color w:val="000000"/>
        </w:rPr>
        <w:t xml:space="preserve"> 2021;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34209028 DOI: 10.3390/biomedicines9070757]</w:t>
      </w:r>
    </w:p>
    <w:p>
      <w:pPr>
        <w:spacing w:line="360" w:lineRule="auto"/>
        <w:jc w:val="both"/>
      </w:pPr>
      <w:r>
        <w:rPr>
          <w:rFonts w:ascii="Book Antiqua" w:hAnsi="Book Antiqua" w:eastAsia="Book Antiqua" w:cs="Book Antiqua"/>
          <w:color w:val="000000"/>
        </w:rPr>
        <w:t xml:space="preserve">156 </w:t>
      </w:r>
      <w:r>
        <w:rPr>
          <w:rFonts w:ascii="Book Antiqua" w:hAnsi="Book Antiqua" w:eastAsia="Book Antiqua" w:cs="Book Antiqua"/>
          <w:b/>
          <w:bCs/>
          <w:color w:val="000000"/>
        </w:rPr>
        <w:t>Moiseev S</w:t>
      </w:r>
      <w:r>
        <w:rPr>
          <w:rFonts w:ascii="Book Antiqua" w:hAnsi="Book Antiqua" w:eastAsia="Book Antiqua" w:cs="Book Antiqua"/>
          <w:color w:val="000000"/>
        </w:rPr>
        <w:t xml:space="preserve">, Cohen Tervaert JW, Arimura Y, Bogdanos DP, Csernok E, Damoiseaux J, Ferrante M, Flores-Suárez LF, Fritzler MJ, Invernizzi P, Jayne D, Jennette JC, Little MA, McAdoo SP, Novikov P, Pusey CD, Radice A, Salama AD, Savige JA, Segelmark M, Shoenfeld Y, Sinico RA, Sousa MJ, Specks U, Terrier B, Tzioufas AG, Vermeire S, Zhao MH, Bossuyt X. 2020 international consensus on ANCA testing beyond systemic vasculitis. </w:t>
      </w:r>
      <w:r>
        <w:rPr>
          <w:rFonts w:ascii="Book Antiqua" w:hAnsi="Book Antiqua" w:eastAsia="Book Antiqua" w:cs="Book Antiqua"/>
          <w:i/>
          <w:iCs/>
          <w:color w:val="000000"/>
        </w:rPr>
        <w:t>Autoimmun Rev</w:t>
      </w:r>
      <w:r>
        <w:rPr>
          <w:rFonts w:ascii="Book Antiqua" w:hAnsi="Book Antiqua" w:eastAsia="Book Antiqua" w:cs="Book Antiqua"/>
          <w:color w:val="000000"/>
        </w:rPr>
        <w:t xml:space="preserve"> 2020; </w:t>
      </w:r>
      <w:r>
        <w:rPr>
          <w:rFonts w:ascii="Book Antiqua" w:hAnsi="Book Antiqua" w:eastAsia="Book Antiqua" w:cs="Book Antiqua"/>
          <w:b/>
          <w:bCs/>
          <w:color w:val="000000"/>
        </w:rPr>
        <w:t>19</w:t>
      </w:r>
      <w:r>
        <w:rPr>
          <w:rFonts w:ascii="Book Antiqua" w:hAnsi="Book Antiqua" w:eastAsia="Book Antiqua" w:cs="Book Antiqua"/>
          <w:color w:val="000000"/>
        </w:rPr>
        <w:t>: 102618 [PMID: 32663621 DOI: 10.1016/j.autrev.2020.102618]</w:t>
      </w:r>
    </w:p>
    <w:p>
      <w:pPr>
        <w:spacing w:line="360" w:lineRule="auto"/>
        <w:jc w:val="both"/>
      </w:pPr>
      <w:r>
        <w:rPr>
          <w:rFonts w:ascii="Book Antiqua" w:hAnsi="Book Antiqua" w:eastAsia="Book Antiqua" w:cs="Book Antiqua"/>
          <w:color w:val="000000"/>
        </w:rPr>
        <w:t xml:space="preserve">157 </w:t>
      </w:r>
      <w:r>
        <w:rPr>
          <w:rFonts w:ascii="Book Antiqua" w:hAnsi="Book Antiqua" w:eastAsia="Book Antiqua" w:cs="Book Antiqua"/>
          <w:b/>
          <w:bCs/>
          <w:color w:val="000000"/>
        </w:rPr>
        <w:t>Wang CR</w:t>
      </w:r>
      <w:r>
        <w:rPr>
          <w:rFonts w:ascii="Book Antiqua" w:hAnsi="Book Antiqua" w:eastAsia="Book Antiqua" w:cs="Book Antiqua"/>
          <w:color w:val="000000"/>
        </w:rPr>
        <w:t xml:space="preserve">, Tsai HW. Human hepatitis viruses-associated cutaneous and systemic vasculitis.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2021; </w:t>
      </w:r>
      <w:r>
        <w:rPr>
          <w:rFonts w:ascii="Book Antiqua" w:hAnsi="Book Antiqua" w:eastAsia="Book Antiqua" w:cs="Book Antiqua"/>
          <w:b/>
          <w:bCs/>
          <w:color w:val="000000"/>
        </w:rPr>
        <w:t>27</w:t>
      </w:r>
      <w:r>
        <w:rPr>
          <w:rFonts w:ascii="Book Antiqua" w:hAnsi="Book Antiqua" w:eastAsia="Book Antiqua" w:cs="Book Antiqua"/>
          <w:color w:val="000000"/>
        </w:rPr>
        <w:t>: 19-36 [PMID: 33505148 DOI: 10.3748/wjg.v27.i1.19]</w:t>
      </w:r>
    </w:p>
    <w:p>
      <w:pPr>
        <w:spacing w:line="360" w:lineRule="auto"/>
        <w:jc w:val="both"/>
      </w:pPr>
      <w:r>
        <w:rPr>
          <w:rFonts w:ascii="Book Antiqua" w:hAnsi="Book Antiqua" w:eastAsia="Book Antiqua" w:cs="Book Antiqua"/>
          <w:color w:val="000000"/>
        </w:rPr>
        <w:t xml:space="preserve">158 </w:t>
      </w:r>
      <w:r>
        <w:rPr>
          <w:rFonts w:ascii="Book Antiqua" w:hAnsi="Book Antiqua" w:eastAsia="Book Antiqua" w:cs="Book Antiqua"/>
          <w:b/>
          <w:bCs/>
          <w:color w:val="000000"/>
        </w:rPr>
        <w:t>Kennedy F</w:t>
      </w:r>
      <w:r>
        <w:rPr>
          <w:rFonts w:ascii="Book Antiqua" w:hAnsi="Book Antiqua" w:eastAsia="Book Antiqua" w:cs="Book Antiqua"/>
          <w:color w:val="000000"/>
        </w:rPr>
        <w:t xml:space="preserve">, Kapelow R, Kalyon BD, Roth NC, Rishi A, Barilla-LaBarca ML. A rare case of Polyarteritis Nodosa associated with autoimmune hepatitis: a case report. </w:t>
      </w:r>
      <w:r>
        <w:rPr>
          <w:rFonts w:ascii="Book Antiqua" w:hAnsi="Book Antiqua" w:eastAsia="Book Antiqua" w:cs="Book Antiqua"/>
          <w:i/>
          <w:iCs/>
          <w:color w:val="000000"/>
        </w:rPr>
        <w:t>BMC Rheumatol</w:t>
      </w:r>
      <w:r>
        <w:rPr>
          <w:rFonts w:ascii="Book Antiqua" w:hAnsi="Book Antiqua" w:eastAsia="Book Antiqua" w:cs="Book Antiqua"/>
          <w:color w:val="000000"/>
        </w:rPr>
        <w:t xml:space="preserve"> 2021; </w:t>
      </w:r>
      <w:r>
        <w:rPr>
          <w:rFonts w:ascii="Book Antiqua" w:hAnsi="Book Antiqua" w:eastAsia="Book Antiqua" w:cs="Book Antiqua"/>
          <w:b/>
          <w:bCs/>
          <w:color w:val="000000"/>
        </w:rPr>
        <w:t>5</w:t>
      </w:r>
      <w:r>
        <w:rPr>
          <w:rFonts w:ascii="Book Antiqua" w:hAnsi="Book Antiqua" w:eastAsia="Book Antiqua" w:cs="Book Antiqua"/>
          <w:color w:val="000000"/>
        </w:rPr>
        <w:t>: 17 [PMID: 34034829 DOI: 10.1186/s41927-021-00188-1]</w:t>
      </w:r>
    </w:p>
    <w:p>
      <w:pPr>
        <w:spacing w:line="360" w:lineRule="auto"/>
        <w:jc w:val="both"/>
      </w:pPr>
      <w:r>
        <w:rPr>
          <w:rFonts w:ascii="Book Antiqua" w:hAnsi="Book Antiqua" w:eastAsia="Book Antiqua" w:cs="Book Antiqua"/>
          <w:color w:val="000000"/>
        </w:rPr>
        <w:t xml:space="preserve">159 </w:t>
      </w:r>
      <w:r>
        <w:rPr>
          <w:rFonts w:ascii="Book Antiqua" w:hAnsi="Book Antiqua" w:eastAsia="Book Antiqua" w:cs="Book Antiqua"/>
          <w:b/>
          <w:bCs/>
          <w:color w:val="000000"/>
        </w:rPr>
        <w:t>Wang CR</w:t>
      </w:r>
      <w:r>
        <w:rPr>
          <w:rFonts w:ascii="Book Antiqua" w:hAnsi="Book Antiqua" w:eastAsia="Book Antiqua" w:cs="Book Antiqua"/>
          <w:color w:val="000000"/>
        </w:rPr>
        <w:t xml:space="preserve">, Tsai YS, Tsai HW, Lee CH. B-Cell-Depleting Therapy Improves Myocarditis in Seronegative Eosinophilic Granulomatosis with Polyangiitis.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10</w:t>
      </w:r>
      <w:r>
        <w:rPr>
          <w:rFonts w:ascii="Book Antiqua" w:hAnsi="Book Antiqua" w:eastAsia="Book Antiqua" w:cs="Book Antiqua"/>
          <w:color w:val="000000"/>
        </w:rPr>
        <w:t xml:space="preserve"> [PMID: 34640595 DOI: 10.3390/jcm10194577]</w:t>
      </w:r>
    </w:p>
    <w:p>
      <w:pPr>
        <w:spacing w:line="360" w:lineRule="auto"/>
        <w:jc w:val="both"/>
      </w:pPr>
      <w:r>
        <w:rPr>
          <w:rFonts w:ascii="Book Antiqua" w:hAnsi="Book Antiqua" w:eastAsia="Book Antiqua" w:cs="Book Antiqua"/>
          <w:color w:val="000000"/>
        </w:rPr>
        <w:t xml:space="preserve">160 </w:t>
      </w:r>
      <w:r>
        <w:rPr>
          <w:rFonts w:ascii="Book Antiqua" w:hAnsi="Book Antiqua" w:eastAsia="Book Antiqua" w:cs="Book Antiqua"/>
          <w:b/>
          <w:bCs/>
          <w:color w:val="000000"/>
        </w:rPr>
        <w:t>Terjung B</w:t>
      </w:r>
      <w:r>
        <w:rPr>
          <w:rFonts w:ascii="Book Antiqua" w:hAnsi="Book Antiqua" w:eastAsia="Book Antiqua" w:cs="Book Antiqua"/>
          <w:color w:val="000000"/>
        </w:rPr>
        <w:t xml:space="preserve">, Bogsch F, Klein R, Söhne J, Reichel C, Wasmuth JC, Beuers U, Sauerbruch T, Spengler U. </w:t>
      </w:r>
      <w:bookmarkStart w:id="81" w:name="OLE_LINK3222"/>
      <w:bookmarkStart w:id="82" w:name="OLE_LINK3221"/>
      <w:r>
        <w:rPr>
          <w:rFonts w:ascii="Book Antiqua" w:hAnsi="Book Antiqua" w:eastAsia="Book Antiqua" w:cs="Book Antiqua"/>
          <w:color w:val="000000"/>
        </w:rPr>
        <w:t>Diagnostic accuracy of atypical p-ANCA in autoimmune hepatitis using ROC- and multivariate regression analysis</w:t>
      </w:r>
      <w:bookmarkEnd w:id="81"/>
      <w:bookmarkEnd w:id="82"/>
      <w:r>
        <w:rPr>
          <w:rFonts w:ascii="Book Antiqua" w:hAnsi="Book Antiqua" w:eastAsia="Book Antiqua" w:cs="Book Antiqua"/>
          <w:color w:val="000000"/>
        </w:rPr>
        <w:t xml:space="preserve">. </w:t>
      </w:r>
      <w:r>
        <w:rPr>
          <w:rFonts w:ascii="Book Antiqua" w:hAnsi="Book Antiqua" w:eastAsia="Book Antiqua" w:cs="Book Antiqua"/>
          <w:i/>
          <w:iCs/>
          <w:color w:val="000000"/>
        </w:rPr>
        <w:t>Eur J Med Res</w:t>
      </w:r>
      <w:r>
        <w:rPr>
          <w:rFonts w:ascii="Book Antiqua" w:hAnsi="Book Antiqua" w:eastAsia="Book Antiqua" w:cs="Book Antiqua"/>
          <w:color w:val="000000"/>
        </w:rPr>
        <w:t xml:space="preserve"> 2004; </w:t>
      </w:r>
      <w:r>
        <w:rPr>
          <w:rFonts w:ascii="Book Antiqua" w:hAnsi="Book Antiqua" w:eastAsia="Book Antiqua" w:cs="Book Antiqua"/>
          <w:b/>
          <w:bCs/>
          <w:color w:val="000000"/>
        </w:rPr>
        <w:t>9</w:t>
      </w:r>
      <w:r>
        <w:rPr>
          <w:rFonts w:ascii="Book Antiqua" w:hAnsi="Book Antiqua" w:eastAsia="Book Antiqua" w:cs="Book Antiqua"/>
          <w:color w:val="000000"/>
        </w:rPr>
        <w:t xml:space="preserve">: 439-448 [PMID: </w:t>
      </w:r>
      <w:bookmarkStart w:id="83" w:name="OLE_LINK3237"/>
      <w:bookmarkStart w:id="84" w:name="OLE_LINK3236"/>
      <w:r>
        <w:rPr>
          <w:rFonts w:ascii="Book Antiqua" w:hAnsi="Book Antiqua" w:eastAsia="Book Antiqua" w:cs="Book Antiqua"/>
          <w:color w:val="000000"/>
        </w:rPr>
        <w:t>15546809</w:t>
      </w:r>
      <w:bookmarkEnd w:id="83"/>
      <w:bookmarkEnd w:id="84"/>
      <w:r>
        <w:rPr>
          <w:rFonts w:ascii="Book Antiqua" w:hAnsi="Book Antiqua" w:eastAsia="Book Antiqua" w:cs="Book Antiqua"/>
          <w:color w:val="000000"/>
        </w:rPr>
        <w:t>]</w:t>
      </w:r>
    </w:p>
    <w:p>
      <w:pPr>
        <w:spacing w:line="360" w:lineRule="auto"/>
        <w:jc w:val="both"/>
      </w:pPr>
      <w:r>
        <w:rPr>
          <w:rFonts w:ascii="Book Antiqua" w:hAnsi="Book Antiqua" w:eastAsia="Book Antiqua" w:cs="Book Antiqua"/>
          <w:color w:val="000000"/>
        </w:rPr>
        <w:t xml:space="preserve">161 </w:t>
      </w:r>
      <w:r>
        <w:rPr>
          <w:rFonts w:ascii="Book Antiqua" w:hAnsi="Book Antiqua" w:eastAsia="Book Antiqua" w:cs="Book Antiqua"/>
          <w:b/>
          <w:bCs/>
          <w:color w:val="000000"/>
        </w:rPr>
        <w:t>Terjung B</w:t>
      </w:r>
      <w:r>
        <w:rPr>
          <w:rFonts w:ascii="Book Antiqua" w:hAnsi="Book Antiqua" w:eastAsia="Book Antiqua" w:cs="Book Antiqua"/>
          <w:color w:val="000000"/>
        </w:rPr>
        <w:t xml:space="preserve">, Söhne J, Lechtenberg B, Gottwein J, Muennich M, Herzog V, Mähler M, Sauerbruch T, Spengler U. p-ANCAs in autoimmune liver disorders recognise human beta-tubulin isotype 5 and cross-react with microbial protein FtsZ. </w:t>
      </w:r>
      <w:r>
        <w:rPr>
          <w:rFonts w:ascii="Book Antiqua" w:hAnsi="Book Antiqua" w:eastAsia="Book Antiqua" w:cs="Book Antiqua"/>
          <w:i/>
          <w:iCs/>
          <w:color w:val="000000"/>
        </w:rPr>
        <w:t>Gut</w:t>
      </w:r>
      <w:r>
        <w:rPr>
          <w:rFonts w:ascii="Book Antiqua" w:hAnsi="Book Antiqua" w:eastAsia="Book Antiqua" w:cs="Book Antiqua"/>
          <w:color w:val="000000"/>
        </w:rPr>
        <w:t xml:space="preserve"> 2010; </w:t>
      </w:r>
      <w:r>
        <w:rPr>
          <w:rFonts w:ascii="Book Antiqua" w:hAnsi="Book Antiqua" w:eastAsia="Book Antiqua" w:cs="Book Antiqua"/>
          <w:b/>
          <w:bCs/>
          <w:color w:val="000000"/>
        </w:rPr>
        <w:t>59</w:t>
      </w:r>
      <w:r>
        <w:rPr>
          <w:rFonts w:ascii="Book Antiqua" w:hAnsi="Book Antiqua" w:eastAsia="Book Antiqua" w:cs="Book Antiqua"/>
          <w:color w:val="000000"/>
        </w:rPr>
        <w:t>: 808-816 [PMID: 19951907 DOI: 10.1136/gut.2008.157818]</w:t>
      </w:r>
    </w:p>
    <w:p>
      <w:pPr>
        <w:spacing w:line="360" w:lineRule="auto"/>
        <w:jc w:val="both"/>
      </w:pPr>
      <w:r>
        <w:rPr>
          <w:rFonts w:ascii="Book Antiqua" w:hAnsi="Book Antiqua" w:eastAsia="Book Antiqua" w:cs="Book Antiqua"/>
          <w:color w:val="000000"/>
        </w:rPr>
        <w:t xml:space="preserve">162 </w:t>
      </w:r>
      <w:r>
        <w:rPr>
          <w:rFonts w:ascii="Book Antiqua" w:hAnsi="Book Antiqua" w:eastAsia="Book Antiqua" w:cs="Book Antiqua"/>
          <w:b/>
          <w:bCs/>
          <w:color w:val="000000"/>
        </w:rPr>
        <w:t>De Riva V</w:t>
      </w:r>
      <w:r>
        <w:rPr>
          <w:rFonts w:ascii="Book Antiqua" w:hAnsi="Book Antiqua" w:eastAsia="Book Antiqua" w:cs="Book Antiqua"/>
          <w:color w:val="000000"/>
        </w:rPr>
        <w:t xml:space="preserve">, Celadin M, Pittoni M, Plebani M, Angeli P. What is behind the presence of anti-neutrophil cytoplasmatic antibodies in chronic liver disease? </w:t>
      </w:r>
      <w:r>
        <w:rPr>
          <w:rFonts w:ascii="Book Antiqua" w:hAnsi="Book Antiqua" w:eastAsia="Book Antiqua" w:cs="Book Antiqua"/>
          <w:i/>
          <w:iCs/>
          <w:color w:val="000000"/>
        </w:rPr>
        <w:t>Liver Int</w:t>
      </w:r>
      <w:r>
        <w:rPr>
          <w:rFonts w:ascii="Book Antiqua" w:hAnsi="Book Antiqua" w:eastAsia="Book Antiqua" w:cs="Book Antiqua"/>
          <w:color w:val="000000"/>
        </w:rPr>
        <w:t xml:space="preserve"> 2009; </w:t>
      </w:r>
      <w:r>
        <w:rPr>
          <w:rFonts w:ascii="Book Antiqua" w:hAnsi="Book Antiqua" w:eastAsia="Book Antiqua" w:cs="Book Antiqua"/>
          <w:b/>
          <w:bCs/>
          <w:color w:val="000000"/>
        </w:rPr>
        <w:t>29</w:t>
      </w:r>
      <w:r>
        <w:rPr>
          <w:rFonts w:ascii="Book Antiqua" w:hAnsi="Book Antiqua" w:eastAsia="Book Antiqua" w:cs="Book Antiqua"/>
          <w:color w:val="000000"/>
        </w:rPr>
        <w:t>: 865-870 [PMID: 19453948 DOI: 10.1111/j.1478-3231.2009.01989.x]</w:t>
      </w:r>
    </w:p>
    <w:p>
      <w:pPr>
        <w:spacing w:line="360" w:lineRule="auto"/>
        <w:jc w:val="both"/>
      </w:pPr>
      <w:r>
        <w:rPr>
          <w:rFonts w:ascii="Book Antiqua" w:hAnsi="Book Antiqua" w:eastAsia="Book Antiqua" w:cs="Book Antiqua"/>
          <w:color w:val="000000"/>
        </w:rPr>
        <w:t xml:space="preserve">163 </w:t>
      </w:r>
      <w:r>
        <w:rPr>
          <w:rFonts w:ascii="Book Antiqua" w:hAnsi="Book Antiqua" w:eastAsia="Book Antiqua" w:cs="Book Antiqua"/>
          <w:b/>
          <w:bCs/>
          <w:color w:val="000000"/>
        </w:rPr>
        <w:t>Lenzen H</w:t>
      </w:r>
      <w:r>
        <w:rPr>
          <w:rFonts w:ascii="Book Antiqua" w:hAnsi="Book Antiqua" w:eastAsia="Book Antiqua" w:cs="Book Antiqua"/>
          <w:color w:val="000000"/>
        </w:rPr>
        <w:t xml:space="preserve">, Weismüller TJ, Negm AA, Wlecke J, Loges S, Strassburg CP, Manns MP, Lankisch TO. Antineutrophil cytoplasmic antibodies in bile are associated with disease activity in primary sclerosing cholangitis. </w:t>
      </w:r>
      <w:r>
        <w:rPr>
          <w:rFonts w:ascii="Book Antiqua" w:hAnsi="Book Antiqua" w:eastAsia="Book Antiqua" w:cs="Book Antiqua"/>
          <w:i/>
          <w:iCs/>
          <w:color w:val="000000"/>
        </w:rPr>
        <w:t>Scand J Gastroenterol</w:t>
      </w:r>
      <w:r>
        <w:rPr>
          <w:rFonts w:ascii="Book Antiqua" w:hAnsi="Book Antiqua" w:eastAsia="Book Antiqua" w:cs="Book Antiqua"/>
          <w:color w:val="000000"/>
        </w:rPr>
        <w:t xml:space="preserve"> 2013; </w:t>
      </w:r>
      <w:r>
        <w:rPr>
          <w:rFonts w:ascii="Book Antiqua" w:hAnsi="Book Antiqua" w:eastAsia="Book Antiqua" w:cs="Book Antiqua"/>
          <w:b/>
          <w:bCs/>
          <w:color w:val="000000"/>
        </w:rPr>
        <w:t>48</w:t>
      </w:r>
      <w:r>
        <w:rPr>
          <w:rFonts w:ascii="Book Antiqua" w:hAnsi="Book Antiqua" w:eastAsia="Book Antiqua" w:cs="Book Antiqua"/>
          <w:color w:val="000000"/>
        </w:rPr>
        <w:t>: 1205-1212 [PMID: 23957616 DOI: 10.3109/00365521.2013.825313]</w:t>
      </w:r>
    </w:p>
    <w:p>
      <w:pPr>
        <w:spacing w:line="360" w:lineRule="auto"/>
        <w:jc w:val="both"/>
      </w:pPr>
      <w:r>
        <w:rPr>
          <w:rFonts w:ascii="Book Antiqua" w:hAnsi="Book Antiqua" w:eastAsia="Book Antiqua" w:cs="Book Antiqua"/>
          <w:color w:val="000000"/>
        </w:rPr>
        <w:t xml:space="preserve">164 </w:t>
      </w:r>
      <w:r>
        <w:rPr>
          <w:rFonts w:ascii="Book Antiqua" w:hAnsi="Book Antiqua" w:eastAsia="Book Antiqua" w:cs="Book Antiqua"/>
          <w:b/>
          <w:bCs/>
          <w:color w:val="000000"/>
        </w:rPr>
        <w:t>Tovoli F</w:t>
      </w:r>
      <w:r>
        <w:rPr>
          <w:rFonts w:ascii="Book Antiqua" w:hAnsi="Book Antiqua" w:eastAsia="Book Antiqua" w:cs="Book Antiqua"/>
          <w:color w:val="000000"/>
        </w:rPr>
        <w:t xml:space="preserve">, Vannini A, Fusconi M, Frisoni M, Zauli D. </w:t>
      </w:r>
      <w:bookmarkStart w:id="85" w:name="OLE_LINK3223"/>
      <w:bookmarkStart w:id="86" w:name="OLE_LINK3224"/>
      <w:r>
        <w:rPr>
          <w:rFonts w:ascii="Book Antiqua" w:hAnsi="Book Antiqua" w:eastAsia="Book Antiqua" w:cs="Book Antiqua"/>
          <w:color w:val="000000"/>
        </w:rPr>
        <w:t>Autoimmune liver disorders and small-vessel vasculitis: four case reports and review of the literature</w:t>
      </w:r>
      <w:bookmarkEnd w:id="85"/>
      <w:bookmarkEnd w:id="86"/>
      <w:r>
        <w:rPr>
          <w:rFonts w:ascii="Book Antiqua" w:hAnsi="Book Antiqua" w:eastAsia="Book Antiqua" w:cs="Book Antiqua"/>
          <w:color w:val="000000"/>
        </w:rPr>
        <w:t xml:space="preserve">. </w:t>
      </w:r>
      <w:r>
        <w:rPr>
          <w:rFonts w:ascii="Book Antiqua" w:hAnsi="Book Antiqua" w:eastAsia="Book Antiqua" w:cs="Book Antiqua"/>
          <w:i/>
          <w:iCs/>
          <w:color w:val="000000"/>
        </w:rPr>
        <w:t>Ann Hepatol</w:t>
      </w:r>
      <w:r>
        <w:rPr>
          <w:rFonts w:ascii="Book Antiqua" w:hAnsi="Book Antiqua" w:eastAsia="Book Antiqua" w:cs="Book Antiqua"/>
          <w:color w:val="000000"/>
        </w:rPr>
        <w:t xml:space="preserve"> 2013; </w:t>
      </w:r>
      <w:r>
        <w:rPr>
          <w:rFonts w:ascii="Book Antiqua" w:hAnsi="Book Antiqua" w:eastAsia="Book Antiqua" w:cs="Book Antiqua"/>
          <w:b/>
          <w:bCs/>
          <w:color w:val="000000"/>
        </w:rPr>
        <w:t>13</w:t>
      </w:r>
      <w:r>
        <w:rPr>
          <w:rFonts w:ascii="Book Antiqua" w:hAnsi="Book Antiqua" w:eastAsia="Book Antiqua" w:cs="Book Antiqua"/>
          <w:color w:val="000000"/>
        </w:rPr>
        <w:t>: 136-141 [PMID: 24378277 DOI: 10.1155/2014/386561]</w:t>
      </w:r>
    </w:p>
    <w:p>
      <w:pPr>
        <w:spacing w:line="360" w:lineRule="auto"/>
        <w:jc w:val="both"/>
      </w:pPr>
      <w:r>
        <w:rPr>
          <w:rFonts w:ascii="Book Antiqua" w:hAnsi="Book Antiqua" w:eastAsia="Book Antiqua" w:cs="Book Antiqua"/>
          <w:color w:val="000000"/>
        </w:rPr>
        <w:t xml:space="preserve">165 </w:t>
      </w:r>
      <w:r>
        <w:rPr>
          <w:rFonts w:ascii="Book Antiqua" w:hAnsi="Book Antiqua" w:eastAsia="Book Antiqua" w:cs="Book Antiqua"/>
          <w:b/>
          <w:bCs/>
          <w:color w:val="000000"/>
        </w:rPr>
        <w:t>Yamashita H</w:t>
      </w:r>
      <w:r>
        <w:rPr>
          <w:rFonts w:ascii="Book Antiqua" w:hAnsi="Book Antiqua" w:eastAsia="Book Antiqua" w:cs="Book Antiqua"/>
          <w:color w:val="000000"/>
        </w:rPr>
        <w:t xml:space="preserve">, Suzuki A, Takahashi Y, Kaneko H, Kano T, Mimori A. Anti-neutrophil Cytoplasmic Antibody (ANCA)-associated Vasculitis Associated with Primary Biliary Cirrhosis: A Case Report and Literature Review. </w:t>
      </w:r>
      <w:r>
        <w:rPr>
          <w:rFonts w:ascii="Book Antiqua" w:hAnsi="Book Antiqua" w:eastAsia="Book Antiqua" w:cs="Book Antiqua"/>
          <w:i/>
          <w:iCs/>
          <w:color w:val="000000"/>
        </w:rPr>
        <w:t>Intern Med</w:t>
      </w:r>
      <w:r>
        <w:rPr>
          <w:rFonts w:ascii="Book Antiqua" w:hAnsi="Book Antiqua" w:eastAsia="Book Antiqua" w:cs="Book Antiqua"/>
          <w:color w:val="000000"/>
        </w:rPr>
        <w:t xml:space="preserve"> 2015; </w:t>
      </w:r>
      <w:r>
        <w:rPr>
          <w:rFonts w:ascii="Book Antiqua" w:hAnsi="Book Antiqua" w:eastAsia="Book Antiqua" w:cs="Book Antiqua"/>
          <w:b/>
          <w:bCs/>
          <w:color w:val="000000"/>
        </w:rPr>
        <w:t>54</w:t>
      </w:r>
      <w:r>
        <w:rPr>
          <w:rFonts w:ascii="Book Antiqua" w:hAnsi="Book Antiqua" w:eastAsia="Book Antiqua" w:cs="Book Antiqua"/>
          <w:color w:val="000000"/>
        </w:rPr>
        <w:t>: 1303-1308 [PMID: 25986275 DOI: 10.2169/internalmedicine.54.3678]</w:t>
      </w:r>
    </w:p>
    <w:p>
      <w:pPr>
        <w:spacing w:line="360" w:lineRule="auto"/>
        <w:jc w:val="both"/>
      </w:pPr>
      <w:r>
        <w:rPr>
          <w:rFonts w:ascii="Book Antiqua" w:hAnsi="Book Antiqua" w:eastAsia="Book Antiqua" w:cs="Book Antiqua"/>
          <w:color w:val="000000"/>
        </w:rPr>
        <w:t xml:space="preserve">166 </w:t>
      </w:r>
      <w:r>
        <w:rPr>
          <w:rFonts w:ascii="Book Antiqua" w:hAnsi="Book Antiqua" w:eastAsia="Book Antiqua" w:cs="Book Antiqua"/>
          <w:b/>
          <w:bCs/>
          <w:color w:val="000000"/>
        </w:rPr>
        <w:t>Lohani S</w:t>
      </w:r>
      <w:r>
        <w:rPr>
          <w:rFonts w:ascii="Book Antiqua" w:hAnsi="Book Antiqua" w:eastAsia="Book Antiqua" w:cs="Book Antiqua"/>
          <w:color w:val="000000"/>
        </w:rPr>
        <w:t xml:space="preserve">, Nazir S, Tachamo N, Pagolu P. Autoimmune hepatitis and eosinophilic granulomatosis with polyangiitis: a rare association.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2017; </w:t>
      </w:r>
      <w:r>
        <w:rPr>
          <w:rFonts w:ascii="Book Antiqua" w:hAnsi="Book Antiqua" w:eastAsia="Book Antiqua" w:cs="Book Antiqua"/>
          <w:b/>
          <w:bCs/>
          <w:color w:val="000000"/>
        </w:rPr>
        <w:t>2017</w:t>
      </w:r>
      <w:r>
        <w:rPr>
          <w:rFonts w:ascii="Book Antiqua" w:hAnsi="Book Antiqua" w:eastAsia="Book Antiqua" w:cs="Book Antiqua"/>
          <w:color w:val="000000"/>
        </w:rPr>
        <w:t xml:space="preserve"> [PMID: 28108440 DOI: 10.1136/bcr-2016-218385]</w:t>
      </w:r>
    </w:p>
    <w:p>
      <w:pPr>
        <w:spacing w:line="360" w:lineRule="auto"/>
        <w:jc w:val="both"/>
      </w:pPr>
      <w:r>
        <w:rPr>
          <w:rFonts w:ascii="Book Antiqua" w:hAnsi="Book Antiqua" w:eastAsia="Book Antiqua" w:cs="Book Antiqua"/>
          <w:color w:val="000000"/>
        </w:rPr>
        <w:t xml:space="preserve">167 </w:t>
      </w:r>
      <w:r>
        <w:rPr>
          <w:rFonts w:ascii="Book Antiqua" w:hAnsi="Book Antiqua" w:eastAsia="Book Antiqua" w:cs="Book Antiqua"/>
          <w:b/>
          <w:bCs/>
          <w:color w:val="000000"/>
        </w:rPr>
        <w:t>Giacomelli R</w:t>
      </w:r>
      <w:r>
        <w:rPr>
          <w:rFonts w:ascii="Book Antiqua" w:hAnsi="Book Antiqua" w:eastAsia="Book Antiqua" w:cs="Book Antiqua"/>
          <w:color w:val="000000"/>
        </w:rPr>
        <w:t xml:space="preserve">, Ruscitti P, Shoenfeld Y. A comprehensive review on adult onset Still's disease. </w:t>
      </w:r>
      <w:r>
        <w:rPr>
          <w:rFonts w:ascii="Book Antiqua" w:hAnsi="Book Antiqua" w:eastAsia="Book Antiqua" w:cs="Book Antiqua"/>
          <w:i/>
          <w:iCs/>
          <w:color w:val="000000"/>
        </w:rPr>
        <w:t>J Autoimmun</w:t>
      </w:r>
      <w:r>
        <w:rPr>
          <w:rFonts w:ascii="Book Antiqua" w:hAnsi="Book Antiqua" w:eastAsia="Book Antiqua" w:cs="Book Antiqua"/>
          <w:color w:val="000000"/>
        </w:rPr>
        <w:t xml:space="preserve"> 2018; </w:t>
      </w:r>
      <w:r>
        <w:rPr>
          <w:rFonts w:ascii="Book Antiqua" w:hAnsi="Book Antiqua" w:eastAsia="Book Antiqua" w:cs="Book Antiqua"/>
          <w:b/>
          <w:bCs/>
          <w:color w:val="000000"/>
        </w:rPr>
        <w:t>93</w:t>
      </w:r>
      <w:r>
        <w:rPr>
          <w:rFonts w:ascii="Book Antiqua" w:hAnsi="Book Antiqua" w:eastAsia="Book Antiqua" w:cs="Book Antiqua"/>
          <w:color w:val="000000"/>
        </w:rPr>
        <w:t>: 24-36 [PMID: 30077425 DOI: 10.1016/j.jaut.2018.07.018]</w:t>
      </w:r>
    </w:p>
    <w:p>
      <w:pPr>
        <w:spacing w:line="360" w:lineRule="auto"/>
        <w:jc w:val="both"/>
      </w:pPr>
      <w:r>
        <w:rPr>
          <w:rFonts w:ascii="Book Antiqua" w:hAnsi="Book Antiqua" w:eastAsia="Book Antiqua" w:cs="Book Antiqua"/>
          <w:color w:val="000000"/>
        </w:rPr>
        <w:t xml:space="preserve">168 </w:t>
      </w:r>
      <w:r>
        <w:rPr>
          <w:rFonts w:ascii="Book Antiqua" w:hAnsi="Book Antiqua" w:eastAsia="Book Antiqua" w:cs="Book Antiqua"/>
          <w:b/>
          <w:bCs/>
          <w:color w:val="000000"/>
        </w:rPr>
        <w:t>Sandnes M</w:t>
      </w:r>
      <w:r>
        <w:rPr>
          <w:rFonts w:ascii="Book Antiqua" w:hAnsi="Book Antiqua" w:eastAsia="Book Antiqua" w:cs="Book Antiqua"/>
          <w:color w:val="000000"/>
        </w:rPr>
        <w:t xml:space="preserve">, Ulvik RJ, Vorland M, Reikvam H. Hyperferritinemia-A Clinical Overview.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10</w:t>
      </w:r>
      <w:r>
        <w:rPr>
          <w:rFonts w:ascii="Book Antiqua" w:hAnsi="Book Antiqua" w:eastAsia="Book Antiqua" w:cs="Book Antiqua"/>
          <w:color w:val="000000"/>
        </w:rPr>
        <w:t xml:space="preserve"> [PMID: 34067164 DOI: 10.3390/jcm10092008]</w:t>
      </w:r>
    </w:p>
    <w:p>
      <w:pPr>
        <w:spacing w:line="360" w:lineRule="auto"/>
        <w:jc w:val="both"/>
      </w:pPr>
      <w:r>
        <w:rPr>
          <w:rFonts w:ascii="Book Antiqua" w:hAnsi="Book Antiqua" w:eastAsia="Book Antiqua" w:cs="Book Antiqua"/>
          <w:color w:val="000000"/>
        </w:rPr>
        <w:t xml:space="preserve">169 </w:t>
      </w:r>
      <w:r>
        <w:rPr>
          <w:rFonts w:ascii="Book Antiqua" w:hAnsi="Book Antiqua" w:eastAsia="Book Antiqua" w:cs="Book Antiqua"/>
          <w:b/>
          <w:bCs/>
          <w:color w:val="000000"/>
        </w:rPr>
        <w:t>Fujii K</w:t>
      </w:r>
      <w:r>
        <w:rPr>
          <w:rFonts w:ascii="Book Antiqua" w:hAnsi="Book Antiqua" w:eastAsia="Book Antiqua" w:cs="Book Antiqua"/>
          <w:color w:val="000000"/>
        </w:rPr>
        <w:t xml:space="preserve">, Rokutanda R, Osugi Y, Koyama Y, Ota T. Adult-onset Still's disease complicated by autoimmune hepatitis: successful treatment with infliximab. </w:t>
      </w:r>
      <w:r>
        <w:rPr>
          <w:rFonts w:ascii="Book Antiqua" w:hAnsi="Book Antiqua" w:eastAsia="Book Antiqua" w:cs="Book Antiqua"/>
          <w:i/>
          <w:iCs/>
          <w:color w:val="000000"/>
        </w:rPr>
        <w:t>Intern Med</w:t>
      </w:r>
      <w:r>
        <w:rPr>
          <w:rFonts w:ascii="Book Antiqua" w:hAnsi="Book Antiqua" w:eastAsia="Book Antiqua" w:cs="Book Antiqua"/>
          <w:color w:val="000000"/>
        </w:rPr>
        <w:t xml:space="preserve"> 2012; </w:t>
      </w:r>
      <w:r>
        <w:rPr>
          <w:rFonts w:ascii="Book Antiqua" w:hAnsi="Book Antiqua" w:eastAsia="Book Antiqua" w:cs="Book Antiqua"/>
          <w:b/>
          <w:bCs/>
          <w:color w:val="000000"/>
        </w:rPr>
        <w:t>51</w:t>
      </w:r>
      <w:r>
        <w:rPr>
          <w:rFonts w:ascii="Book Antiqua" w:hAnsi="Book Antiqua" w:eastAsia="Book Antiqua" w:cs="Book Antiqua"/>
          <w:color w:val="000000"/>
        </w:rPr>
        <w:t>: 1125-1128 [PMID: 22576401 DOI: 10.2169/internalmedicine.51.6824]</w:t>
      </w:r>
    </w:p>
    <w:p>
      <w:pPr>
        <w:spacing w:line="360" w:lineRule="auto"/>
        <w:jc w:val="both"/>
      </w:pPr>
      <w:r>
        <w:rPr>
          <w:rFonts w:ascii="Book Antiqua" w:hAnsi="Book Antiqua" w:eastAsia="Book Antiqua" w:cs="Book Antiqua"/>
          <w:color w:val="000000"/>
        </w:rPr>
        <w:t xml:space="preserve">170 </w:t>
      </w:r>
      <w:r>
        <w:rPr>
          <w:rFonts w:ascii="Book Antiqua" w:hAnsi="Book Antiqua" w:eastAsia="Book Antiqua" w:cs="Book Antiqua"/>
          <w:b/>
          <w:bCs/>
          <w:color w:val="000000"/>
        </w:rPr>
        <w:t>Yazici Y</w:t>
      </w:r>
      <w:r>
        <w:rPr>
          <w:rFonts w:ascii="Book Antiqua" w:hAnsi="Book Antiqua" w:eastAsia="Book Antiqua" w:cs="Book Antiqua"/>
          <w:color w:val="000000"/>
        </w:rPr>
        <w:t xml:space="preserve">, Hatemi G, Bodaghi B, Cheon JH, Suzuki N, Ambrose N, Yazici H. Behçet syndrome. </w:t>
      </w:r>
      <w:r>
        <w:rPr>
          <w:rFonts w:ascii="Book Antiqua" w:hAnsi="Book Antiqua" w:eastAsia="Book Antiqua" w:cs="Book Antiqua"/>
          <w:i/>
          <w:iCs/>
          <w:color w:val="000000"/>
        </w:rPr>
        <w:t>Nat Rev Dis Primers</w:t>
      </w:r>
      <w:r>
        <w:rPr>
          <w:rFonts w:ascii="Book Antiqua" w:hAnsi="Book Antiqua" w:eastAsia="Book Antiqua" w:cs="Book Antiqua"/>
          <w:color w:val="000000"/>
        </w:rPr>
        <w:t xml:space="preserve"> 2021; </w:t>
      </w:r>
      <w:r>
        <w:rPr>
          <w:rFonts w:ascii="Book Antiqua" w:hAnsi="Book Antiqua" w:eastAsia="Book Antiqua" w:cs="Book Antiqua"/>
          <w:b/>
          <w:bCs/>
          <w:color w:val="000000"/>
        </w:rPr>
        <w:t>7</w:t>
      </w:r>
      <w:r>
        <w:rPr>
          <w:rFonts w:ascii="Book Antiqua" w:hAnsi="Book Antiqua" w:eastAsia="Book Antiqua" w:cs="Book Antiqua"/>
          <w:color w:val="000000"/>
        </w:rPr>
        <w:t>: 67 [PMID: 34531393 DOI: 10.1038/s41572-021-00301-1]</w:t>
      </w:r>
    </w:p>
    <w:p>
      <w:pPr>
        <w:spacing w:line="360" w:lineRule="auto"/>
        <w:jc w:val="both"/>
      </w:pPr>
      <w:r>
        <w:rPr>
          <w:rFonts w:ascii="Book Antiqua" w:hAnsi="Book Antiqua" w:eastAsia="Book Antiqua" w:cs="Book Antiqua"/>
          <w:color w:val="000000"/>
        </w:rPr>
        <w:t xml:space="preserve">171 </w:t>
      </w:r>
      <w:r>
        <w:rPr>
          <w:rFonts w:ascii="Book Antiqua" w:hAnsi="Book Antiqua" w:eastAsia="Book Antiqua" w:cs="Book Antiqua"/>
          <w:b/>
          <w:bCs/>
          <w:color w:val="000000"/>
        </w:rPr>
        <w:t>Bayraktar Y</w:t>
      </w:r>
      <w:r>
        <w:rPr>
          <w:rFonts w:ascii="Book Antiqua" w:hAnsi="Book Antiqua" w:eastAsia="Book Antiqua" w:cs="Book Antiqua"/>
          <w:color w:val="000000"/>
        </w:rPr>
        <w:t xml:space="preserve">, Balkanci F, Bayraktar M, Calguneri M. </w:t>
      </w:r>
      <w:bookmarkStart w:id="87" w:name="OLE_LINK3226"/>
      <w:bookmarkStart w:id="88" w:name="OLE_LINK3225"/>
      <w:r>
        <w:rPr>
          <w:rFonts w:ascii="Book Antiqua" w:hAnsi="Book Antiqua" w:eastAsia="Book Antiqua" w:cs="Book Antiqua"/>
          <w:color w:val="000000"/>
        </w:rPr>
        <w:t>Budd-Chiari syndrome: a common complication of Behçet's disease</w:t>
      </w:r>
      <w:bookmarkEnd w:id="87"/>
      <w:bookmarkEnd w:id="88"/>
      <w:r>
        <w:rPr>
          <w:rFonts w:ascii="Book Antiqua" w:hAnsi="Book Antiqua" w:eastAsia="Book Antiqua" w:cs="Book Antiqua"/>
          <w:color w:val="000000"/>
        </w:rPr>
        <w:t xml:space="preserve">.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1997; </w:t>
      </w:r>
      <w:r>
        <w:rPr>
          <w:rFonts w:ascii="Book Antiqua" w:hAnsi="Book Antiqua" w:eastAsia="Book Antiqua" w:cs="Book Antiqua"/>
          <w:b/>
          <w:bCs/>
          <w:color w:val="000000"/>
        </w:rPr>
        <w:t>92</w:t>
      </w:r>
      <w:r>
        <w:rPr>
          <w:rFonts w:ascii="Book Antiqua" w:hAnsi="Book Antiqua" w:eastAsia="Book Antiqua" w:cs="Book Antiqua"/>
          <w:color w:val="000000"/>
        </w:rPr>
        <w:t>: 858-862 [PMID: 9149201]</w:t>
      </w:r>
    </w:p>
    <w:p>
      <w:pPr>
        <w:spacing w:line="360" w:lineRule="auto"/>
        <w:jc w:val="both"/>
      </w:pPr>
      <w:r>
        <w:rPr>
          <w:rFonts w:ascii="Book Antiqua" w:hAnsi="Book Antiqua" w:eastAsia="Book Antiqua" w:cs="Book Antiqua"/>
          <w:color w:val="000000"/>
        </w:rPr>
        <w:t xml:space="preserve">172 </w:t>
      </w:r>
      <w:r>
        <w:rPr>
          <w:rFonts w:ascii="Book Antiqua" w:hAnsi="Book Antiqua" w:eastAsia="Book Antiqua" w:cs="Book Antiqua"/>
          <w:b/>
          <w:bCs/>
          <w:color w:val="000000"/>
        </w:rPr>
        <w:t>Takeuchi A</w:t>
      </w:r>
      <w:r>
        <w:rPr>
          <w:rFonts w:ascii="Book Antiqua" w:hAnsi="Book Antiqua" w:eastAsia="Book Antiqua" w:cs="Book Antiqua"/>
          <w:color w:val="000000"/>
        </w:rPr>
        <w:t xml:space="preserve">, Haraoka H, Hashimoto T. </w:t>
      </w:r>
      <w:bookmarkStart w:id="89" w:name="OLE_LINK3228"/>
      <w:bookmarkStart w:id="90" w:name="OLE_LINK3227"/>
      <w:r>
        <w:rPr>
          <w:rFonts w:ascii="Book Antiqua" w:hAnsi="Book Antiqua" w:eastAsia="Book Antiqua" w:cs="Book Antiqua"/>
          <w:color w:val="000000"/>
        </w:rPr>
        <w:t>Increased serum alkaline phosphatase activity in Behçet's disease</w:t>
      </w:r>
      <w:bookmarkEnd w:id="89"/>
      <w:bookmarkEnd w:id="90"/>
      <w:r>
        <w:rPr>
          <w:rFonts w:ascii="Book Antiqua" w:hAnsi="Book Antiqua" w:eastAsia="Book Antiqua" w:cs="Book Antiqua"/>
          <w:color w:val="000000"/>
        </w:rPr>
        <w:t xml:space="preserve">. </w:t>
      </w:r>
      <w:r>
        <w:rPr>
          <w:rFonts w:ascii="Book Antiqua" w:hAnsi="Book Antiqua" w:eastAsia="Book Antiqua" w:cs="Book Antiqua"/>
          <w:i/>
          <w:iCs/>
          <w:color w:val="000000"/>
        </w:rPr>
        <w:t>Clin Exp Rheumatol</w:t>
      </w:r>
      <w:r>
        <w:rPr>
          <w:rFonts w:ascii="Book Antiqua" w:hAnsi="Book Antiqua" w:eastAsia="Book Antiqua" w:cs="Book Antiqua"/>
          <w:color w:val="000000"/>
        </w:rPr>
        <w:t xml:space="preserve"> 1989; </w:t>
      </w:r>
      <w:r>
        <w:rPr>
          <w:rFonts w:ascii="Book Antiqua" w:hAnsi="Book Antiqua" w:eastAsia="Book Antiqua" w:cs="Book Antiqua"/>
          <w:b/>
          <w:bCs/>
          <w:color w:val="000000"/>
        </w:rPr>
        <w:t>7</w:t>
      </w:r>
      <w:r>
        <w:rPr>
          <w:rFonts w:ascii="Book Antiqua" w:hAnsi="Book Antiqua" w:eastAsia="Book Antiqua" w:cs="Book Antiqua"/>
          <w:color w:val="000000"/>
        </w:rPr>
        <w:t>: 619-621 [PMID: 2612081]</w:t>
      </w:r>
    </w:p>
    <w:p>
      <w:pPr>
        <w:spacing w:line="360" w:lineRule="auto"/>
        <w:jc w:val="both"/>
      </w:pPr>
      <w:r>
        <w:rPr>
          <w:rFonts w:ascii="Book Antiqua" w:hAnsi="Book Antiqua" w:eastAsia="Book Antiqua" w:cs="Book Antiqua"/>
          <w:color w:val="000000"/>
        </w:rPr>
        <w:t xml:space="preserve">173 </w:t>
      </w:r>
      <w:r>
        <w:rPr>
          <w:rFonts w:ascii="Book Antiqua" w:hAnsi="Book Antiqua" w:eastAsia="Book Antiqua" w:cs="Book Antiqua"/>
          <w:b/>
          <w:bCs/>
          <w:color w:val="000000"/>
        </w:rPr>
        <w:t>Manna R</w:t>
      </w:r>
      <w:r>
        <w:rPr>
          <w:rFonts w:ascii="Book Antiqua" w:hAnsi="Book Antiqua" w:eastAsia="Book Antiqua" w:cs="Book Antiqua"/>
          <w:color w:val="000000"/>
        </w:rPr>
        <w:t xml:space="preserve">, Ghirlanda G, Bochicchio GB, Papa G, Annese V, Greco AV, Taranto CA, Magaro M. Chronic active hepatitis and Behçet's syndrome. </w:t>
      </w:r>
      <w:r>
        <w:rPr>
          <w:rFonts w:ascii="Book Antiqua" w:hAnsi="Book Antiqua" w:eastAsia="Book Antiqua" w:cs="Book Antiqua"/>
          <w:i/>
          <w:iCs/>
          <w:color w:val="000000"/>
        </w:rPr>
        <w:t>Clin Rheumatol</w:t>
      </w:r>
      <w:r>
        <w:rPr>
          <w:rFonts w:ascii="Book Antiqua" w:hAnsi="Book Antiqua" w:eastAsia="Book Antiqua" w:cs="Book Antiqua"/>
          <w:color w:val="000000"/>
        </w:rPr>
        <w:t xml:space="preserve"> 1985; </w:t>
      </w:r>
      <w:r>
        <w:rPr>
          <w:rFonts w:ascii="Book Antiqua" w:hAnsi="Book Antiqua" w:eastAsia="Book Antiqua" w:cs="Book Antiqua"/>
          <w:b/>
          <w:bCs/>
          <w:color w:val="000000"/>
        </w:rPr>
        <w:t>4</w:t>
      </w:r>
      <w:r>
        <w:rPr>
          <w:rFonts w:ascii="Book Antiqua" w:hAnsi="Book Antiqua" w:eastAsia="Book Antiqua" w:cs="Book Antiqua"/>
          <w:color w:val="000000"/>
        </w:rPr>
        <w:t>: 93-96 [PMID: 3987204 DOI: 10.1007/BF02032326]</w:t>
      </w:r>
    </w:p>
    <w:p>
      <w:pPr>
        <w:spacing w:line="360" w:lineRule="auto"/>
        <w:jc w:val="both"/>
      </w:pPr>
      <w:r>
        <w:rPr>
          <w:rFonts w:ascii="Book Antiqua" w:hAnsi="Book Antiqua" w:eastAsia="Book Antiqua" w:cs="Book Antiqua"/>
          <w:color w:val="000000"/>
        </w:rPr>
        <w:t xml:space="preserve">174 </w:t>
      </w:r>
      <w:r>
        <w:rPr>
          <w:rFonts w:ascii="Book Antiqua" w:hAnsi="Book Antiqua" w:eastAsia="Book Antiqua" w:cs="Book Antiqua"/>
          <w:b/>
          <w:bCs/>
          <w:color w:val="000000"/>
        </w:rPr>
        <w:t>Iwadate H</w:t>
      </w:r>
      <w:r>
        <w:rPr>
          <w:rFonts w:ascii="Book Antiqua" w:hAnsi="Book Antiqua" w:eastAsia="Book Antiqua" w:cs="Book Antiqua"/>
          <w:color w:val="000000"/>
        </w:rPr>
        <w:t xml:space="preserve">, Ohira H, Saito H, Takahashi A, Rai T, Takiguchi J, Sasajima T, Kobayashi H, Watanabe H, Sato Y. A case of primary biliary cirrhosis complicated by Behçet's disease and palmoplantar pustulosis.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2006; </w:t>
      </w:r>
      <w:r>
        <w:rPr>
          <w:rFonts w:ascii="Book Antiqua" w:hAnsi="Book Antiqua" w:eastAsia="Book Antiqua" w:cs="Book Antiqua"/>
          <w:b/>
          <w:bCs/>
          <w:color w:val="000000"/>
        </w:rPr>
        <w:t>12</w:t>
      </w:r>
      <w:r>
        <w:rPr>
          <w:rFonts w:ascii="Book Antiqua" w:hAnsi="Book Antiqua" w:eastAsia="Book Antiqua" w:cs="Book Antiqua"/>
          <w:color w:val="000000"/>
        </w:rPr>
        <w:t>: 2136-2138 [PMID: 16610072 DOI: 10.3748/wjg.v12.i13.2136]</w:t>
      </w:r>
    </w:p>
    <w:p>
      <w:pPr>
        <w:spacing w:line="360" w:lineRule="auto"/>
        <w:jc w:val="both"/>
      </w:pPr>
      <w:r>
        <w:rPr>
          <w:rFonts w:ascii="Book Antiqua" w:hAnsi="Book Antiqua" w:eastAsia="Book Antiqua" w:cs="Book Antiqua"/>
          <w:color w:val="000000"/>
        </w:rPr>
        <w:t xml:space="preserve">175 </w:t>
      </w:r>
      <w:r>
        <w:rPr>
          <w:rFonts w:ascii="Book Antiqua" w:hAnsi="Book Antiqua" w:eastAsia="Book Antiqua" w:cs="Book Antiqua"/>
          <w:b/>
          <w:bCs/>
          <w:color w:val="000000"/>
        </w:rPr>
        <w:t>Stone JH</w:t>
      </w:r>
      <w:r>
        <w:rPr>
          <w:rFonts w:ascii="Book Antiqua" w:hAnsi="Book Antiqua" w:eastAsia="Book Antiqua" w:cs="Book Antiqua"/>
          <w:color w:val="000000"/>
        </w:rPr>
        <w:t xml:space="preserve">, Zen Y, Deshpande V. IgG4-related disease.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2012; </w:t>
      </w:r>
      <w:r>
        <w:rPr>
          <w:rFonts w:ascii="Book Antiqua" w:hAnsi="Book Antiqua" w:eastAsia="Book Antiqua" w:cs="Book Antiqua"/>
          <w:b/>
          <w:bCs/>
          <w:color w:val="000000"/>
        </w:rPr>
        <w:t>366</w:t>
      </w:r>
      <w:r>
        <w:rPr>
          <w:rFonts w:ascii="Book Antiqua" w:hAnsi="Book Antiqua" w:eastAsia="Book Antiqua" w:cs="Book Antiqua"/>
          <w:color w:val="000000"/>
        </w:rPr>
        <w:t>: 539-551 [PMID: 22316447 DOI: 10.1056/NEJMra1104650]</w:t>
      </w:r>
    </w:p>
    <w:p>
      <w:pPr>
        <w:spacing w:line="360" w:lineRule="auto"/>
        <w:jc w:val="both"/>
      </w:pPr>
      <w:r>
        <w:rPr>
          <w:rFonts w:ascii="Book Antiqua" w:hAnsi="Book Antiqua" w:eastAsia="Book Antiqua" w:cs="Book Antiqua"/>
          <w:color w:val="000000"/>
        </w:rPr>
        <w:t xml:space="preserve">176 </w:t>
      </w:r>
      <w:r>
        <w:rPr>
          <w:rFonts w:ascii="Book Antiqua" w:hAnsi="Book Antiqua" w:eastAsia="Book Antiqua" w:cs="Book Antiqua"/>
          <w:b/>
          <w:bCs/>
          <w:color w:val="000000"/>
        </w:rPr>
        <w:t>Huggett MT</w:t>
      </w:r>
      <w:r>
        <w:rPr>
          <w:rFonts w:ascii="Book Antiqua" w:hAnsi="Book Antiqua" w:eastAsia="Book Antiqua" w:cs="Book Antiqua"/>
          <w:color w:val="000000"/>
        </w:rPr>
        <w:t xml:space="preserve">, Culver EL, Kumar M, Hurst JM, Rodriguez-Justo M, Chapman MH, Johnson GJ, Pereira SP, Chapman RW, Webster GJM, Barnes E. Type 1 autoimmune pancreatitis and IgG4-related sclerosing cholangitis is associated with extrapancreatic organ failure, malignancy, and mortality in a prospective UK cohort.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109</w:t>
      </w:r>
      <w:r>
        <w:rPr>
          <w:rFonts w:ascii="Book Antiqua" w:hAnsi="Book Antiqua" w:eastAsia="Book Antiqua" w:cs="Book Antiqua"/>
          <w:color w:val="000000"/>
        </w:rPr>
        <w:t>: 1675-1683 [PMID: 25155229 DOI: 10.1038/ajg.2014.223]</w:t>
      </w:r>
    </w:p>
    <w:p>
      <w:pPr>
        <w:spacing w:line="360" w:lineRule="auto"/>
        <w:jc w:val="both"/>
      </w:pPr>
      <w:r>
        <w:rPr>
          <w:rFonts w:ascii="Book Antiqua" w:hAnsi="Book Antiqua" w:eastAsia="Book Antiqua" w:cs="Book Antiqua"/>
          <w:color w:val="000000"/>
        </w:rPr>
        <w:t xml:space="preserve">177 </w:t>
      </w:r>
      <w:r>
        <w:rPr>
          <w:rFonts w:ascii="Book Antiqua" w:hAnsi="Book Antiqua" w:eastAsia="Book Antiqua" w:cs="Book Antiqua"/>
          <w:b/>
          <w:bCs/>
          <w:color w:val="000000"/>
        </w:rPr>
        <w:t>Chen JH</w:t>
      </w:r>
      <w:r>
        <w:rPr>
          <w:rFonts w:ascii="Book Antiqua" w:hAnsi="Book Antiqua" w:eastAsia="Book Antiqua" w:cs="Book Antiqua"/>
          <w:color w:val="000000"/>
        </w:rPr>
        <w:t xml:space="preserve">, Deshpande V. IgG4-related Disease and the Liver. </w:t>
      </w:r>
      <w:r>
        <w:rPr>
          <w:rFonts w:ascii="Book Antiqua" w:hAnsi="Book Antiqua" w:eastAsia="Book Antiqua" w:cs="Book Antiqua"/>
          <w:i/>
          <w:iCs/>
          <w:color w:val="000000"/>
        </w:rPr>
        <w:t>Gastroenterol Clin North Am</w:t>
      </w:r>
      <w:r>
        <w:rPr>
          <w:rFonts w:ascii="Book Antiqua" w:hAnsi="Book Antiqua" w:eastAsia="Book Antiqua" w:cs="Book Antiqua"/>
          <w:color w:val="000000"/>
        </w:rPr>
        <w:t xml:space="preserve"> 2017; </w:t>
      </w:r>
      <w:r>
        <w:rPr>
          <w:rFonts w:ascii="Book Antiqua" w:hAnsi="Book Antiqua" w:eastAsia="Book Antiqua" w:cs="Book Antiqua"/>
          <w:b/>
          <w:bCs/>
          <w:color w:val="000000"/>
        </w:rPr>
        <w:t>46</w:t>
      </w:r>
      <w:r>
        <w:rPr>
          <w:rFonts w:ascii="Book Antiqua" w:hAnsi="Book Antiqua" w:eastAsia="Book Antiqua" w:cs="Book Antiqua"/>
          <w:color w:val="000000"/>
        </w:rPr>
        <w:t>: 195-216 [PMID: 28506361 DOI: 10.1016/j.gtc.2017.01.001]</w:t>
      </w:r>
    </w:p>
    <w:p>
      <w:pPr>
        <w:spacing w:line="360" w:lineRule="auto"/>
        <w:jc w:val="both"/>
      </w:pPr>
      <w:r>
        <w:rPr>
          <w:rFonts w:ascii="Book Antiqua" w:hAnsi="Book Antiqua" w:eastAsia="Book Antiqua" w:cs="Book Antiqua"/>
          <w:color w:val="000000"/>
        </w:rPr>
        <w:t xml:space="preserve">178 </w:t>
      </w:r>
      <w:r>
        <w:rPr>
          <w:rFonts w:ascii="Book Antiqua" w:hAnsi="Book Antiqua" w:eastAsia="Book Antiqua" w:cs="Book Antiqua"/>
          <w:b/>
          <w:bCs/>
          <w:color w:val="000000"/>
        </w:rPr>
        <w:t>Ichimura T</w:t>
      </w:r>
      <w:r>
        <w:rPr>
          <w:rFonts w:ascii="Book Antiqua" w:hAnsi="Book Antiqua" w:eastAsia="Book Antiqua" w:cs="Book Antiqua"/>
          <w:color w:val="000000"/>
        </w:rPr>
        <w:t xml:space="preserve">, Kondo S, Ambo Y, Hirano S, Ohmi M, Okushiba S, Morikawa T, Shimizu M, Katoh H. </w:t>
      </w:r>
      <w:bookmarkStart w:id="91" w:name="OLE_LINK3229"/>
      <w:bookmarkStart w:id="92" w:name="OLE_LINK3230"/>
      <w:r>
        <w:rPr>
          <w:rFonts w:ascii="Book Antiqua" w:hAnsi="Book Antiqua" w:eastAsia="Book Antiqua" w:cs="Book Antiqua"/>
          <w:color w:val="000000"/>
        </w:rPr>
        <w:t>Primary sclerosing cholangitis associated with autoimmune pancreatitis</w:t>
      </w:r>
      <w:bookmarkEnd w:id="91"/>
      <w:bookmarkEnd w:id="92"/>
      <w:r>
        <w:rPr>
          <w:rFonts w:ascii="Book Antiqua" w:hAnsi="Book Antiqua" w:eastAsia="Book Antiqua" w:cs="Book Antiqua"/>
          <w:color w:val="000000"/>
        </w:rPr>
        <w:t xml:space="preserve">. </w:t>
      </w:r>
      <w:r>
        <w:rPr>
          <w:rFonts w:ascii="Book Antiqua" w:hAnsi="Book Antiqua" w:eastAsia="Book Antiqua" w:cs="Book Antiqua"/>
          <w:i/>
          <w:iCs/>
          <w:color w:val="000000"/>
        </w:rPr>
        <w:t>Hepatogastroenterology</w:t>
      </w:r>
      <w:r>
        <w:rPr>
          <w:rFonts w:ascii="Book Antiqua" w:hAnsi="Book Antiqua" w:eastAsia="Book Antiqua" w:cs="Book Antiqua"/>
          <w:color w:val="000000"/>
        </w:rPr>
        <w:t xml:space="preserve"> 2002; </w:t>
      </w:r>
      <w:r>
        <w:rPr>
          <w:rFonts w:ascii="Book Antiqua" w:hAnsi="Book Antiqua" w:eastAsia="Book Antiqua" w:cs="Book Antiqua"/>
          <w:b/>
          <w:bCs/>
          <w:color w:val="000000"/>
        </w:rPr>
        <w:t>49</w:t>
      </w:r>
      <w:r>
        <w:rPr>
          <w:rFonts w:ascii="Book Antiqua" w:hAnsi="Book Antiqua" w:eastAsia="Book Antiqua" w:cs="Book Antiqua"/>
          <w:color w:val="000000"/>
        </w:rPr>
        <w:t>: 1221-1224 [PMID: 12239909]</w:t>
      </w:r>
    </w:p>
    <w:p>
      <w:pPr>
        <w:spacing w:line="360" w:lineRule="auto"/>
        <w:jc w:val="both"/>
      </w:pPr>
      <w:r>
        <w:rPr>
          <w:rFonts w:ascii="Book Antiqua" w:hAnsi="Book Antiqua" w:eastAsia="Book Antiqua" w:cs="Book Antiqua"/>
          <w:color w:val="000000"/>
        </w:rPr>
        <w:t xml:space="preserve">179 </w:t>
      </w:r>
      <w:r>
        <w:rPr>
          <w:rFonts w:ascii="Book Antiqua" w:hAnsi="Book Antiqua" w:eastAsia="Book Antiqua" w:cs="Book Antiqua"/>
          <w:b/>
          <w:bCs/>
          <w:color w:val="000000"/>
        </w:rPr>
        <w:t>Li A</w:t>
      </w:r>
      <w:r>
        <w:rPr>
          <w:rFonts w:ascii="Book Antiqua" w:hAnsi="Book Antiqua" w:eastAsia="Book Antiqua" w:cs="Book Antiqua"/>
          <w:color w:val="000000"/>
        </w:rPr>
        <w:t xml:space="preserve">, Wang Y, Deng Z. Concurrent autoimmune pancreatitis and primary biliary cirrhosis: a rare case report and literature review. </w:t>
      </w:r>
      <w:r>
        <w:rPr>
          <w:rFonts w:ascii="Book Antiqua" w:hAnsi="Book Antiqua" w:eastAsia="Book Antiqua" w:cs="Book Antiqua"/>
          <w:i/>
          <w:iCs/>
          <w:color w:val="000000"/>
        </w:rPr>
        <w:t>BMC Gastroenterol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14</w:t>
      </w:r>
      <w:r>
        <w:rPr>
          <w:rFonts w:ascii="Book Antiqua" w:hAnsi="Book Antiqua" w:eastAsia="Book Antiqua" w:cs="Book Antiqua"/>
          <w:color w:val="000000"/>
        </w:rPr>
        <w:t>: 10 [PMID: 24410827 DOI: 10.1186/1471-230X-14-10]</w:t>
      </w:r>
    </w:p>
    <w:p>
      <w:pPr>
        <w:spacing w:line="360" w:lineRule="auto"/>
        <w:jc w:val="both"/>
      </w:pPr>
      <w:r>
        <w:rPr>
          <w:rFonts w:ascii="Book Antiqua" w:hAnsi="Book Antiqua" w:eastAsia="Book Antiqua" w:cs="Book Antiqua"/>
          <w:color w:val="000000"/>
        </w:rPr>
        <w:t xml:space="preserve">180 </w:t>
      </w:r>
      <w:r>
        <w:rPr>
          <w:rFonts w:ascii="Book Antiqua" w:hAnsi="Book Antiqua" w:eastAsia="Book Antiqua" w:cs="Book Antiqua"/>
          <w:b/>
          <w:bCs/>
          <w:color w:val="000000"/>
        </w:rPr>
        <w:t>Yada N</w:t>
      </w:r>
      <w:r>
        <w:rPr>
          <w:rFonts w:ascii="Book Antiqua" w:hAnsi="Book Antiqua" w:eastAsia="Book Antiqua" w:cs="Book Antiqua"/>
          <w:color w:val="000000"/>
        </w:rPr>
        <w:t xml:space="preserve">, Kudo M, Chung H, Watanabe T. Autoimmune hepatitis and immunoglobulin G4-associated autoimmune hepatitis. </w:t>
      </w:r>
      <w:r>
        <w:rPr>
          <w:rFonts w:ascii="Book Antiqua" w:hAnsi="Book Antiqua" w:eastAsia="Book Antiqua" w:cs="Book Antiqua"/>
          <w:i/>
          <w:iCs/>
          <w:color w:val="000000"/>
        </w:rPr>
        <w:t>Dig Dis</w:t>
      </w:r>
      <w:r>
        <w:rPr>
          <w:rFonts w:ascii="Book Antiqua" w:hAnsi="Book Antiqua" w:eastAsia="Book Antiqua" w:cs="Book Antiqua"/>
          <w:color w:val="000000"/>
        </w:rPr>
        <w:t xml:space="preserve"> 2013; </w:t>
      </w:r>
      <w:r>
        <w:rPr>
          <w:rFonts w:ascii="Book Antiqua" w:hAnsi="Book Antiqua" w:eastAsia="Book Antiqua" w:cs="Book Antiqua"/>
          <w:b/>
          <w:bCs/>
          <w:color w:val="000000"/>
        </w:rPr>
        <w:t>31</w:t>
      </w:r>
      <w:r>
        <w:rPr>
          <w:rFonts w:ascii="Book Antiqua" w:hAnsi="Book Antiqua" w:eastAsia="Book Antiqua" w:cs="Book Antiqua"/>
          <w:color w:val="000000"/>
        </w:rPr>
        <w:t>: 415-420 [PMID: 24281014 DOI: 10.1159/000355238]</w:t>
      </w:r>
    </w:p>
    <w:p>
      <w:pPr>
        <w:spacing w:line="360" w:lineRule="auto"/>
        <w:jc w:val="both"/>
      </w:pPr>
      <w:r>
        <w:rPr>
          <w:rFonts w:ascii="Book Antiqua" w:hAnsi="Book Antiqua" w:eastAsia="Book Antiqua" w:cs="Book Antiqua"/>
          <w:color w:val="000000"/>
        </w:rPr>
        <w:t xml:space="preserve">181 </w:t>
      </w:r>
      <w:r>
        <w:rPr>
          <w:rFonts w:ascii="Book Antiqua" w:hAnsi="Book Antiqua" w:eastAsia="Book Antiqua" w:cs="Book Antiqua"/>
          <w:b/>
          <w:bCs/>
          <w:color w:val="000000"/>
        </w:rPr>
        <w:t>Tanaka A</w:t>
      </w:r>
      <w:r>
        <w:rPr>
          <w:rFonts w:ascii="Book Antiqua" w:hAnsi="Book Antiqua" w:eastAsia="Book Antiqua" w:cs="Book Antiqua"/>
          <w:color w:val="000000"/>
        </w:rPr>
        <w:t xml:space="preserve">, Notohara K. Immunoglobulin G4 (IgG4)-related autoimmune hepatitis and IgG4-hepatopathy: A histopathological and clinical perspective. </w:t>
      </w:r>
      <w:r>
        <w:rPr>
          <w:rFonts w:ascii="Book Antiqua" w:hAnsi="Book Antiqua" w:eastAsia="Book Antiqua" w:cs="Book Antiqua"/>
          <w:i/>
          <w:iCs/>
          <w:color w:val="000000"/>
        </w:rPr>
        <w:t>Hepatol Res</w:t>
      </w:r>
      <w:r>
        <w:rPr>
          <w:rFonts w:ascii="Book Antiqua" w:hAnsi="Book Antiqua" w:eastAsia="Book Antiqua" w:cs="Book Antiqua"/>
          <w:color w:val="000000"/>
        </w:rPr>
        <w:t xml:space="preserve"> 2021; </w:t>
      </w:r>
      <w:r>
        <w:rPr>
          <w:rFonts w:ascii="Book Antiqua" w:hAnsi="Book Antiqua" w:eastAsia="Book Antiqua" w:cs="Book Antiqua"/>
          <w:b/>
          <w:bCs/>
          <w:color w:val="000000"/>
        </w:rPr>
        <w:t>51</w:t>
      </w:r>
      <w:r>
        <w:rPr>
          <w:rFonts w:ascii="Book Antiqua" w:hAnsi="Book Antiqua" w:eastAsia="Book Antiqua" w:cs="Book Antiqua"/>
          <w:color w:val="000000"/>
        </w:rPr>
        <w:t>: 850-859 [PMID: 34165225 DOI: 10.1111/hepr.13683]</w:t>
      </w:r>
    </w:p>
    <w:p>
      <w:pPr>
        <w:spacing w:line="360" w:lineRule="auto"/>
        <w:jc w:val="both"/>
      </w:pPr>
      <w:r>
        <w:rPr>
          <w:rFonts w:ascii="Book Antiqua" w:hAnsi="Book Antiqua" w:eastAsia="Book Antiqua" w:cs="Book Antiqua"/>
          <w:color w:val="000000"/>
        </w:rPr>
        <w:t xml:space="preserve">182 </w:t>
      </w:r>
      <w:r>
        <w:rPr>
          <w:rFonts w:ascii="Book Antiqua" w:hAnsi="Book Antiqua" w:eastAsia="Book Antiqua" w:cs="Book Antiqua"/>
          <w:b/>
          <w:bCs/>
          <w:color w:val="000000"/>
        </w:rPr>
        <w:t>Valeyre D</w:t>
      </w:r>
      <w:r>
        <w:rPr>
          <w:rFonts w:ascii="Book Antiqua" w:hAnsi="Book Antiqua" w:eastAsia="Book Antiqua" w:cs="Book Antiqua"/>
          <w:color w:val="000000"/>
        </w:rPr>
        <w:t xml:space="preserve">, Prasse A, Nunes H, Uzunhan Y, Brillet PY, Müller-Quernheim J. Sarcoidosis.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2014; </w:t>
      </w:r>
      <w:r>
        <w:rPr>
          <w:rFonts w:ascii="Book Antiqua" w:hAnsi="Book Antiqua" w:eastAsia="Book Antiqua" w:cs="Book Antiqua"/>
          <w:b/>
          <w:bCs/>
          <w:color w:val="000000"/>
        </w:rPr>
        <w:t>383</w:t>
      </w:r>
      <w:r>
        <w:rPr>
          <w:rFonts w:ascii="Book Antiqua" w:hAnsi="Book Antiqua" w:eastAsia="Book Antiqua" w:cs="Book Antiqua"/>
          <w:color w:val="000000"/>
        </w:rPr>
        <w:t>: 1155-1167 [PMID: 24090799 DOI: 10.1016/S0140-6736(13)60680-7]</w:t>
      </w:r>
    </w:p>
    <w:p>
      <w:pPr>
        <w:spacing w:line="360" w:lineRule="auto"/>
        <w:jc w:val="both"/>
      </w:pPr>
      <w:r>
        <w:rPr>
          <w:rFonts w:ascii="Book Antiqua" w:hAnsi="Book Antiqua" w:eastAsia="Book Antiqua" w:cs="Book Antiqua"/>
          <w:color w:val="000000"/>
        </w:rPr>
        <w:t xml:space="preserve">183 </w:t>
      </w:r>
      <w:r>
        <w:rPr>
          <w:rFonts w:ascii="Book Antiqua" w:hAnsi="Book Antiqua" w:eastAsia="Book Antiqua" w:cs="Book Antiqua"/>
          <w:b/>
          <w:bCs/>
          <w:color w:val="000000"/>
        </w:rPr>
        <w:t>Cremers J</w:t>
      </w:r>
      <w:r>
        <w:rPr>
          <w:rFonts w:ascii="Book Antiqua" w:hAnsi="Book Antiqua" w:eastAsia="Book Antiqua" w:cs="Book Antiqua"/>
          <w:color w:val="000000"/>
        </w:rPr>
        <w:t xml:space="preserve">, Drent M, Driessen A, Nieman F, Wijnen P, Baughman R, Koek G. Liver-test abnormalities in sarcoidosis. </w:t>
      </w:r>
      <w:r>
        <w:rPr>
          <w:rFonts w:ascii="Book Antiqua" w:hAnsi="Book Antiqua" w:eastAsia="Book Antiqua" w:cs="Book Antiqua"/>
          <w:i/>
          <w:iCs/>
          <w:color w:val="000000"/>
        </w:rPr>
        <w:t>Eur J Gastroenterol Hepatol</w:t>
      </w:r>
      <w:r>
        <w:rPr>
          <w:rFonts w:ascii="Book Antiqua" w:hAnsi="Book Antiqua" w:eastAsia="Book Antiqua" w:cs="Book Antiqua"/>
          <w:color w:val="000000"/>
        </w:rPr>
        <w:t xml:space="preserve"> 2012; </w:t>
      </w:r>
      <w:r>
        <w:rPr>
          <w:rFonts w:ascii="Book Antiqua" w:hAnsi="Book Antiqua" w:eastAsia="Book Antiqua" w:cs="Book Antiqua"/>
          <w:b/>
          <w:bCs/>
          <w:color w:val="000000"/>
        </w:rPr>
        <w:t>24</w:t>
      </w:r>
      <w:r>
        <w:rPr>
          <w:rFonts w:ascii="Book Antiqua" w:hAnsi="Book Antiqua" w:eastAsia="Book Antiqua" w:cs="Book Antiqua"/>
          <w:color w:val="000000"/>
        </w:rPr>
        <w:t>: 17-24 [PMID: 22008629 DOI: 10.1097/MEG.0b013e32834c7b71]</w:t>
      </w:r>
    </w:p>
    <w:p>
      <w:pPr>
        <w:spacing w:line="360" w:lineRule="auto"/>
        <w:jc w:val="both"/>
      </w:pPr>
      <w:r>
        <w:rPr>
          <w:rFonts w:ascii="Book Antiqua" w:hAnsi="Book Antiqua" w:eastAsia="Book Antiqua" w:cs="Book Antiqua"/>
          <w:color w:val="000000"/>
        </w:rPr>
        <w:t xml:space="preserve">184 </w:t>
      </w:r>
      <w:r>
        <w:rPr>
          <w:rFonts w:ascii="Book Antiqua" w:hAnsi="Book Antiqua" w:eastAsia="Book Antiqua" w:cs="Book Antiqua"/>
          <w:b/>
          <w:bCs/>
          <w:color w:val="000000"/>
        </w:rPr>
        <w:t>Shah N</w:t>
      </w:r>
      <w:r>
        <w:rPr>
          <w:rFonts w:ascii="Book Antiqua" w:hAnsi="Book Antiqua" w:eastAsia="Book Antiqua" w:cs="Book Antiqua"/>
          <w:color w:val="000000"/>
        </w:rPr>
        <w:t xml:space="preserve">, Mitra A. Gastrointestinal and Hepatic Sarcoidosis: A Review Article. </w:t>
      </w:r>
      <w:r>
        <w:rPr>
          <w:rFonts w:ascii="Book Antiqua" w:hAnsi="Book Antiqua" w:eastAsia="Book Antiqua" w:cs="Book Antiqua"/>
          <w:i/>
          <w:iCs/>
          <w:color w:val="000000"/>
        </w:rPr>
        <w:t>Clin Liver Dis (Hoboken)</w:t>
      </w:r>
      <w:r>
        <w:rPr>
          <w:rFonts w:ascii="Book Antiqua" w:hAnsi="Book Antiqua" w:eastAsia="Book Antiqua" w:cs="Book Antiqua"/>
          <w:color w:val="000000"/>
        </w:rPr>
        <w:t xml:space="preserve"> 2021; </w:t>
      </w:r>
      <w:r>
        <w:rPr>
          <w:rFonts w:ascii="Book Antiqua" w:hAnsi="Book Antiqua" w:eastAsia="Book Antiqua" w:cs="Book Antiqua"/>
          <w:b/>
          <w:bCs/>
          <w:color w:val="000000"/>
        </w:rPr>
        <w:t>17</w:t>
      </w:r>
      <w:r>
        <w:rPr>
          <w:rFonts w:ascii="Book Antiqua" w:hAnsi="Book Antiqua" w:eastAsia="Book Antiqua" w:cs="Book Antiqua"/>
          <w:color w:val="000000"/>
        </w:rPr>
        <w:t>: 301-307 [PMID: 33968393 DOI: 10.1002/cld.1055]</w:t>
      </w:r>
    </w:p>
    <w:p>
      <w:pPr>
        <w:spacing w:line="360" w:lineRule="auto"/>
        <w:jc w:val="both"/>
      </w:pPr>
      <w:r>
        <w:rPr>
          <w:rFonts w:ascii="Book Antiqua" w:hAnsi="Book Antiqua" w:eastAsia="Book Antiqua" w:cs="Book Antiqua"/>
          <w:color w:val="000000"/>
        </w:rPr>
        <w:t xml:space="preserve">185 </w:t>
      </w:r>
      <w:r>
        <w:rPr>
          <w:rFonts w:ascii="Book Antiqua" w:hAnsi="Book Antiqua" w:eastAsia="Book Antiqua" w:cs="Book Antiqua"/>
          <w:b/>
          <w:bCs/>
          <w:color w:val="000000"/>
        </w:rPr>
        <w:t>Mantaka A</w:t>
      </w:r>
      <w:r>
        <w:rPr>
          <w:rFonts w:ascii="Book Antiqua" w:hAnsi="Book Antiqua" w:eastAsia="Book Antiqua" w:cs="Book Antiqua"/>
          <w:color w:val="000000"/>
        </w:rPr>
        <w:t xml:space="preserve">, Koulentaki M, Chlouverakis G, Enele-Melono JM, Darivianaki A, Tzardi M, Kouroumalis EA. Primary biliary cirrhosis in a genetically homogeneous population: disease associations and familial occurrence rates. </w:t>
      </w:r>
      <w:r>
        <w:rPr>
          <w:rFonts w:ascii="Book Antiqua" w:hAnsi="Book Antiqua" w:eastAsia="Book Antiqua" w:cs="Book Antiqua"/>
          <w:i/>
          <w:iCs/>
          <w:color w:val="000000"/>
        </w:rPr>
        <w:t>BMC Gastroenterol</w:t>
      </w:r>
      <w:r>
        <w:rPr>
          <w:rFonts w:ascii="Book Antiqua" w:hAnsi="Book Antiqua" w:eastAsia="Book Antiqua" w:cs="Book Antiqua"/>
          <w:color w:val="000000"/>
        </w:rPr>
        <w:t xml:space="preserve"> 2012; </w:t>
      </w:r>
      <w:r>
        <w:rPr>
          <w:rFonts w:ascii="Book Antiqua" w:hAnsi="Book Antiqua" w:eastAsia="Book Antiqua" w:cs="Book Antiqua"/>
          <w:b/>
          <w:bCs/>
          <w:color w:val="000000"/>
        </w:rPr>
        <w:t>12</w:t>
      </w:r>
      <w:r>
        <w:rPr>
          <w:rFonts w:ascii="Book Antiqua" w:hAnsi="Book Antiqua" w:eastAsia="Book Antiqua" w:cs="Book Antiqua"/>
          <w:color w:val="000000"/>
        </w:rPr>
        <w:t>: 110 [PMID: 22898439 DOI: 10.1186/1471-230X-12-110]</w:t>
      </w:r>
    </w:p>
    <w:p>
      <w:pPr>
        <w:spacing w:line="360" w:lineRule="auto"/>
        <w:jc w:val="both"/>
      </w:pPr>
      <w:r>
        <w:rPr>
          <w:rFonts w:ascii="Book Antiqua" w:hAnsi="Book Antiqua" w:eastAsia="Book Antiqua" w:cs="Book Antiqua"/>
          <w:color w:val="000000"/>
        </w:rPr>
        <w:t xml:space="preserve">186 </w:t>
      </w:r>
      <w:r>
        <w:rPr>
          <w:rFonts w:ascii="Book Antiqua" w:hAnsi="Book Antiqua" w:eastAsia="Book Antiqua" w:cs="Book Antiqua"/>
          <w:b/>
          <w:bCs/>
          <w:color w:val="000000"/>
        </w:rPr>
        <w:t>Rajoriya N</w:t>
      </w:r>
      <w:r>
        <w:rPr>
          <w:rFonts w:ascii="Book Antiqua" w:hAnsi="Book Antiqua" w:eastAsia="Book Antiqua" w:cs="Book Antiqua"/>
          <w:color w:val="000000"/>
        </w:rPr>
        <w:t xml:space="preserve">, Wotton CJ, Yeates DG, Travis SP, Goldacre MJ. Immune-mediated and chronic inflammatory disease in people with sarcoidosis: disease associations in a large UK database. </w:t>
      </w:r>
      <w:r>
        <w:rPr>
          <w:rFonts w:ascii="Book Antiqua" w:hAnsi="Book Antiqua" w:eastAsia="Book Antiqua" w:cs="Book Antiqua"/>
          <w:i/>
          <w:iCs/>
          <w:color w:val="000000"/>
        </w:rPr>
        <w:t>Postgrad Med J</w:t>
      </w:r>
      <w:r>
        <w:rPr>
          <w:rFonts w:ascii="Book Antiqua" w:hAnsi="Book Antiqua" w:eastAsia="Book Antiqua" w:cs="Book Antiqua"/>
          <w:color w:val="000000"/>
        </w:rPr>
        <w:t xml:space="preserve"> 2009; </w:t>
      </w:r>
      <w:r>
        <w:rPr>
          <w:rFonts w:ascii="Book Antiqua" w:hAnsi="Book Antiqua" w:eastAsia="Book Antiqua" w:cs="Book Antiqua"/>
          <w:b/>
          <w:bCs/>
          <w:color w:val="000000"/>
        </w:rPr>
        <w:t>85</w:t>
      </w:r>
      <w:r>
        <w:rPr>
          <w:rFonts w:ascii="Book Antiqua" w:hAnsi="Book Antiqua" w:eastAsia="Book Antiqua" w:cs="Book Antiqua"/>
          <w:color w:val="000000"/>
        </w:rPr>
        <w:t>: 233-237 [PMID: 19520873 DOI: 10.1136/pgmj.2008.067769]</w:t>
      </w:r>
    </w:p>
    <w:p>
      <w:pPr>
        <w:spacing w:line="360" w:lineRule="auto"/>
        <w:jc w:val="both"/>
      </w:pPr>
      <w:r>
        <w:rPr>
          <w:rFonts w:ascii="Book Antiqua" w:hAnsi="Book Antiqua" w:eastAsia="Book Antiqua" w:cs="Book Antiqua"/>
          <w:color w:val="000000"/>
        </w:rPr>
        <w:t xml:space="preserve">187 </w:t>
      </w:r>
      <w:r>
        <w:rPr>
          <w:rFonts w:ascii="Book Antiqua" w:hAnsi="Book Antiqua" w:eastAsia="Book Antiqua" w:cs="Book Antiqua"/>
          <w:b/>
          <w:bCs/>
          <w:color w:val="000000"/>
        </w:rPr>
        <w:t>Lahmer T</w:t>
      </w:r>
      <w:r>
        <w:rPr>
          <w:rFonts w:ascii="Book Antiqua" w:hAnsi="Book Antiqua" w:eastAsia="Book Antiqua" w:cs="Book Antiqua"/>
          <w:color w:val="000000"/>
        </w:rPr>
        <w:t xml:space="preserve">, Treiber M, von Werder A, Foerger F, Knopf A, Heemann U, Thuermel K. Relapsing polychondritis: An autoimmune disease with many faces. </w:t>
      </w:r>
      <w:r>
        <w:rPr>
          <w:rFonts w:ascii="Book Antiqua" w:hAnsi="Book Antiqua" w:eastAsia="Book Antiqua" w:cs="Book Antiqua"/>
          <w:i/>
          <w:iCs/>
          <w:color w:val="000000"/>
        </w:rPr>
        <w:t>Autoimmun Rev</w:t>
      </w:r>
      <w:r>
        <w:rPr>
          <w:rFonts w:ascii="Book Antiqua" w:hAnsi="Book Antiqua" w:eastAsia="Book Antiqua" w:cs="Book Antiqua"/>
          <w:color w:val="000000"/>
        </w:rPr>
        <w:t xml:space="preserve"> 2010; </w:t>
      </w:r>
      <w:r>
        <w:rPr>
          <w:rFonts w:ascii="Book Antiqua" w:hAnsi="Book Antiqua" w:eastAsia="Book Antiqua" w:cs="Book Antiqua"/>
          <w:b/>
          <w:bCs/>
          <w:color w:val="000000"/>
        </w:rPr>
        <w:t>9</w:t>
      </w:r>
      <w:r>
        <w:rPr>
          <w:rFonts w:ascii="Book Antiqua" w:hAnsi="Book Antiqua" w:eastAsia="Book Antiqua" w:cs="Book Antiqua"/>
          <w:color w:val="000000"/>
        </w:rPr>
        <w:t>: 540-546 [PMID: 20215048 DOI: 10.1016/j.autrev.2010.02.016]</w:t>
      </w:r>
    </w:p>
    <w:p>
      <w:pPr>
        <w:spacing w:line="360" w:lineRule="auto"/>
        <w:jc w:val="both"/>
      </w:pPr>
      <w:r>
        <w:rPr>
          <w:rFonts w:ascii="Book Antiqua" w:hAnsi="Book Antiqua" w:eastAsia="Book Antiqua" w:cs="Book Antiqua"/>
          <w:color w:val="000000"/>
        </w:rPr>
        <w:t xml:space="preserve">188 </w:t>
      </w:r>
      <w:r>
        <w:rPr>
          <w:rFonts w:ascii="Book Antiqua" w:hAnsi="Book Antiqua" w:eastAsia="Book Antiqua" w:cs="Book Antiqua"/>
          <w:b/>
          <w:bCs/>
          <w:color w:val="000000"/>
        </w:rPr>
        <w:t>da Graça Ferronato M</w:t>
      </w:r>
      <w:r>
        <w:rPr>
          <w:rFonts w:ascii="Book Antiqua" w:hAnsi="Book Antiqua" w:eastAsia="Book Antiqua" w:cs="Book Antiqua"/>
          <w:color w:val="000000"/>
        </w:rPr>
        <w:t xml:space="preserve">, Staub LJ, Teixeira Pinto Viana RC, da Rosa L, Cacese Shiozawa MB, Narciso-Schiavon JL, Dantas-Correa EB, de Lucca Schiavon L. </w:t>
      </w:r>
      <w:bookmarkStart w:id="93" w:name="OLE_LINK3232"/>
      <w:bookmarkStart w:id="94" w:name="OLE_LINK3231"/>
      <w:r>
        <w:rPr>
          <w:rFonts w:ascii="Book Antiqua" w:hAnsi="Book Antiqua" w:eastAsia="Book Antiqua" w:cs="Book Antiqua"/>
          <w:color w:val="000000"/>
        </w:rPr>
        <w:t>Cholestasis as the initial presentation of relapsing polychondritis</w:t>
      </w:r>
      <w:bookmarkEnd w:id="93"/>
      <w:bookmarkEnd w:id="94"/>
      <w:r>
        <w:rPr>
          <w:rFonts w:ascii="Book Antiqua" w:hAnsi="Book Antiqua" w:eastAsia="Book Antiqua" w:cs="Book Antiqua"/>
          <w:color w:val="000000"/>
        </w:rPr>
        <w:t xml:space="preserve">. </w:t>
      </w:r>
      <w:r>
        <w:rPr>
          <w:rFonts w:ascii="Book Antiqua" w:hAnsi="Book Antiqua" w:eastAsia="Book Antiqua" w:cs="Book Antiqua"/>
          <w:i/>
          <w:iCs/>
          <w:color w:val="000000"/>
        </w:rPr>
        <w:t>Ann Hepatol</w:t>
      </w:r>
      <w:r>
        <w:rPr>
          <w:rFonts w:ascii="Book Antiqua" w:hAnsi="Book Antiqua" w:eastAsia="Book Antiqua" w:cs="Book Antiqua"/>
          <w:color w:val="000000"/>
        </w:rPr>
        <w:t xml:space="preserve"> 2011; </w:t>
      </w:r>
      <w:r>
        <w:rPr>
          <w:rFonts w:ascii="Book Antiqua" w:hAnsi="Book Antiqua" w:eastAsia="Book Antiqua" w:cs="Book Antiqua"/>
          <w:b/>
          <w:bCs/>
          <w:color w:val="000000"/>
        </w:rPr>
        <w:t>10</w:t>
      </w:r>
      <w:r>
        <w:rPr>
          <w:rFonts w:ascii="Book Antiqua" w:hAnsi="Book Antiqua" w:eastAsia="Book Antiqua" w:cs="Book Antiqua"/>
          <w:color w:val="000000"/>
        </w:rPr>
        <w:t>: 565-567 [PMID: 21911901 DOI: 10.1016/S1665-2681(19)31528-5]</w:t>
      </w:r>
    </w:p>
    <w:p>
      <w:pPr>
        <w:spacing w:line="360" w:lineRule="auto"/>
        <w:jc w:val="both"/>
      </w:pPr>
      <w:r>
        <w:rPr>
          <w:rFonts w:ascii="Book Antiqua" w:hAnsi="Book Antiqua" w:eastAsia="Book Antiqua" w:cs="Book Antiqua"/>
          <w:color w:val="000000"/>
        </w:rPr>
        <w:t xml:space="preserve">189 </w:t>
      </w:r>
      <w:r>
        <w:rPr>
          <w:rFonts w:ascii="Book Antiqua" w:hAnsi="Book Antiqua" w:eastAsia="Book Antiqua" w:cs="Book Antiqua"/>
          <w:b/>
          <w:bCs/>
          <w:color w:val="000000"/>
        </w:rPr>
        <w:t>Conn DL</w:t>
      </w:r>
      <w:r>
        <w:rPr>
          <w:rFonts w:ascii="Book Antiqua" w:hAnsi="Book Antiqua" w:eastAsia="Book Antiqua" w:cs="Book Antiqua"/>
          <w:color w:val="000000"/>
        </w:rPr>
        <w:t xml:space="preserve">, Dickson ER, Carpenter HA. </w:t>
      </w:r>
      <w:bookmarkStart w:id="95" w:name="OLE_LINK3233"/>
      <w:bookmarkStart w:id="96" w:name="OLE_LINK3234"/>
      <w:r>
        <w:rPr>
          <w:rFonts w:ascii="Book Antiqua" w:hAnsi="Book Antiqua" w:eastAsia="Book Antiqua" w:cs="Book Antiqua"/>
          <w:color w:val="000000"/>
        </w:rPr>
        <w:t>The association of Churg-Strauss vasculitis with temporal artery involvement, primary biliary cirrhosis, and polychondritis in a single patient</w:t>
      </w:r>
      <w:bookmarkEnd w:id="95"/>
      <w:bookmarkEnd w:id="96"/>
      <w:r>
        <w:rPr>
          <w:rFonts w:ascii="Book Antiqua" w:hAnsi="Book Antiqua" w:eastAsia="Book Antiqua" w:cs="Book Antiqua"/>
          <w:color w:val="000000"/>
        </w:rPr>
        <w:t xml:space="preserve">. </w:t>
      </w:r>
      <w:r>
        <w:rPr>
          <w:rFonts w:ascii="Book Antiqua" w:hAnsi="Book Antiqua" w:eastAsia="Book Antiqua" w:cs="Book Antiqua"/>
          <w:i/>
          <w:iCs/>
          <w:color w:val="000000"/>
        </w:rPr>
        <w:t>J Rheumatol</w:t>
      </w:r>
      <w:r>
        <w:rPr>
          <w:rFonts w:ascii="Book Antiqua" w:hAnsi="Book Antiqua" w:eastAsia="Book Antiqua" w:cs="Book Antiqua"/>
          <w:color w:val="000000"/>
        </w:rPr>
        <w:t xml:space="preserve"> 1982; </w:t>
      </w:r>
      <w:r>
        <w:rPr>
          <w:rFonts w:ascii="Book Antiqua" w:hAnsi="Book Antiqua" w:eastAsia="Book Antiqua" w:cs="Book Antiqua"/>
          <w:b/>
          <w:bCs/>
          <w:color w:val="000000"/>
        </w:rPr>
        <w:t>9</w:t>
      </w:r>
      <w:r>
        <w:rPr>
          <w:rFonts w:ascii="Book Antiqua" w:hAnsi="Book Antiqua" w:eastAsia="Book Antiqua" w:cs="Book Antiqua"/>
          <w:color w:val="000000"/>
        </w:rPr>
        <w:t>: 744-748 [PMID: 7175848 DOI: 10.1007/BF02032091]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190 </w:t>
      </w:r>
      <w:r>
        <w:rPr>
          <w:rFonts w:ascii="Book Antiqua" w:hAnsi="Book Antiqua" w:eastAsia="Book Antiqua" w:cs="Book Antiqua"/>
          <w:b/>
          <w:bCs/>
          <w:color w:val="000000"/>
        </w:rPr>
        <w:t>Mydlak A</w:t>
      </w:r>
      <w:r>
        <w:rPr>
          <w:rFonts w:ascii="Book Antiqua" w:hAnsi="Book Antiqua" w:eastAsia="Book Antiqua" w:cs="Book Antiqua"/>
          <w:color w:val="000000"/>
        </w:rPr>
        <w:t xml:space="preserve">, Sołdacki D, Foroncewicz B, Stopa Z, Powała A, Budlewski T, Pączek L, Mucha K. Relapsing polychondritis in a liver transplant recipient: A case report.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2017; </w:t>
      </w:r>
      <w:r>
        <w:rPr>
          <w:rFonts w:ascii="Book Antiqua" w:hAnsi="Book Antiqua" w:eastAsia="Book Antiqua" w:cs="Book Antiqua"/>
          <w:b/>
          <w:bCs/>
          <w:color w:val="000000"/>
        </w:rPr>
        <w:t>96</w:t>
      </w:r>
      <w:r>
        <w:rPr>
          <w:rFonts w:ascii="Book Antiqua" w:hAnsi="Book Antiqua" w:eastAsia="Book Antiqua" w:cs="Book Antiqua"/>
          <w:color w:val="000000"/>
        </w:rPr>
        <w:t>: e8360 [PMID: 29069021 DOI: 10.1097/MD.0000000000008360]</w:t>
      </w:r>
    </w:p>
    <w:p>
      <w:pPr>
        <w:spacing w:line="360" w:lineRule="auto"/>
        <w:jc w:val="both"/>
        <w:rPr>
          <w:lang w:eastAsia="zh-CN"/>
        </w:rPr>
      </w:pPr>
    </w:p>
    <w:bookmarkEnd w:id="47"/>
    <w:bookmarkEnd w:id="48"/>
    <w:bookmarkEnd w:id="49"/>
    <w:bookmarkEnd w:id="50"/>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2"/>
        </w:rPr>
        <w:t xml:space="preserve">Conflict-of-interest statement: </w:t>
      </w:r>
      <w:r>
        <w:rPr>
          <w:rFonts w:ascii="Book Antiqua" w:hAnsi="Book Antiqua" w:eastAsia="Book Antiqua" w:cs="Book Antiqua"/>
          <w:color w:val="000000"/>
          <w:shd w:val="clear" w:color="auto" w:fill="FFFFFF"/>
        </w:rPr>
        <w:t>The authors declare having no real or potential conflicts of interest.</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10,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11, 2022</w:t>
      </w:r>
    </w:p>
    <w:p>
      <w:pPr>
        <w:spacing w:line="360" w:lineRule="auto"/>
        <w:jc w:val="both"/>
        <w:rPr>
          <w:lang w:eastAsia="zh-CN"/>
        </w:rPr>
      </w:pPr>
      <w:r>
        <w:rPr>
          <w:rFonts w:ascii="Book Antiqua" w:hAnsi="Book Antiqua" w:eastAsia="Book Antiqua" w:cs="Book Antiqua"/>
          <w:b/>
          <w:color w:val="000000"/>
        </w:rPr>
        <w:t>Article in press:</w:t>
      </w:r>
      <w:r>
        <w:rPr>
          <w:rFonts w:ascii="Book Antiqua" w:hAnsi="Book Antiqua" w:eastAsia="Book Antiqua" w:cs="Book Antiqua"/>
          <w:b w:val="0"/>
          <w:bCs w:val="0"/>
          <w:color w:val="000000"/>
        </w:rPr>
        <w:t xml:space="preserve"> May 13, 2022</w:t>
      </w:r>
      <w:r>
        <w:rPr>
          <w:rFonts w:ascii="Book Antiqua" w:hAnsi="Book Antiqua" w:eastAsia="Book Antiqua" w:cs="Book Antiqua"/>
          <w:b/>
          <w:color w:val="000000"/>
        </w:rPr>
        <w:t xml:space="preserve"> </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Taiwan</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A, A</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Fan X, China; Jagdish RK, India; Malnick SDH,</w:t>
      </w:r>
      <w:r>
        <w:t xml:space="preserve"> </w:t>
      </w:r>
      <w:r>
        <w:rPr>
          <w:rFonts w:ascii="Book Antiqua" w:hAnsi="Book Antiqua" w:eastAsia="Book Antiqua" w:cs="Book Antiqua"/>
          <w:color w:val="000000"/>
        </w:rPr>
        <w:t>Israel</w:t>
      </w:r>
      <w:r>
        <w:rPr>
          <w:rFonts w:ascii="Book Antiqua" w:hAnsi="Book Antiqua" w:eastAsia="Book Antiqua" w:cs="Book Antiqua"/>
          <w:b/>
          <w:color w:val="000000"/>
        </w:rPr>
        <w:t xml:space="preserve"> S-Editor: </w:t>
      </w:r>
      <w:bookmarkStart w:id="97" w:name="OLE_LINK4264"/>
      <w:bookmarkStart w:id="98" w:name="OLE_LINK4265"/>
      <w:r>
        <w:rPr>
          <w:rFonts w:ascii="Book Antiqua" w:hAnsi="Book Antiqua" w:eastAsia="Book Antiqua" w:cs="Book Antiqua"/>
          <w:color w:val="000000"/>
        </w:rPr>
        <w:t>Y</w:t>
      </w:r>
      <w:r>
        <w:rPr>
          <w:rFonts w:hint="eastAsia" w:ascii="Book Antiqua" w:hAnsi="Book Antiqua" w:eastAsia="Book Antiqua" w:cs="Book Antiqua"/>
          <w:color w:val="000000"/>
          <w:lang w:eastAsia="zh-CN"/>
        </w:rPr>
        <w:t>an</w:t>
      </w:r>
      <w:r>
        <w:rPr>
          <w:rFonts w:ascii="Book Antiqua" w:hAnsi="Book Antiqua" w:eastAsia="Book Antiqua" w:cs="Book Antiqua"/>
          <w:color w:val="000000"/>
          <w:lang w:eastAsia="zh-CN"/>
        </w:rPr>
        <w:t xml:space="preserve"> JP</w:t>
      </w:r>
      <w:bookmarkEnd w:id="97"/>
      <w:bookmarkEnd w:id="98"/>
      <w:r>
        <w:rPr>
          <w:rFonts w:ascii="Book Antiqua" w:hAnsi="Book Antiqua" w:eastAsia="Book Antiqua" w:cs="Book Antiqua"/>
          <w:color w:val="000000"/>
          <w:lang w:eastAsia="zh-CN"/>
        </w:rPr>
        <w:t xml:space="preserve"> </w:t>
      </w:r>
      <w:r>
        <w:rPr>
          <w:rFonts w:ascii="Book Antiqua" w:hAnsi="Book Antiqua" w:eastAsia="Book Antiqua" w:cs="Book Antiqua"/>
          <w:b/>
          <w:color w:val="000000"/>
        </w:rPr>
        <w:t xml:space="preserve">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Y</w:t>
      </w:r>
      <w:r>
        <w:rPr>
          <w:rFonts w:hint="eastAsia" w:ascii="Book Antiqua" w:hAnsi="Book Antiqua" w:eastAsia="Book Antiqua" w:cs="Book Antiqua"/>
          <w:color w:val="000000"/>
          <w:lang w:eastAsia="zh-CN"/>
        </w:rPr>
        <w:t>an</w:t>
      </w:r>
      <w:r>
        <w:rPr>
          <w:rFonts w:ascii="Book Antiqua" w:hAnsi="Book Antiqua" w:eastAsia="Book Antiqua" w:cs="Book Antiqua"/>
          <w:color w:val="000000"/>
          <w:lang w:eastAsia="zh-CN"/>
        </w:rPr>
        <w:t xml:space="preserve"> JP</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2871470" cy="2310130"/>
            <wp:effectExtent l="0" t="0" r="8890" b="6350"/>
            <wp:docPr id="1" name="图片 1" descr="WJG-28-252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28-2527-g001"/>
                    <pic:cNvPicPr>
                      <a:picLocks noChangeAspect="1"/>
                    </pic:cNvPicPr>
                  </pic:nvPicPr>
                  <pic:blipFill>
                    <a:blip r:embed="rId5"/>
                    <a:stretch>
                      <a:fillRect/>
                    </a:stretch>
                  </pic:blipFill>
                  <pic:spPr>
                    <a:xfrm>
                      <a:off x="0" y="0"/>
                      <a:ext cx="2871470" cy="2310130"/>
                    </a:xfrm>
                    <a:prstGeom prst="rect">
                      <a:avLst/>
                    </a:prstGeom>
                  </pic:spPr>
                </pic:pic>
              </a:graphicData>
            </a:graphic>
          </wp:inline>
        </w:drawing>
      </w:r>
    </w:p>
    <w:p>
      <w:pPr>
        <w:spacing w:line="360" w:lineRule="auto"/>
        <w:jc w:val="both"/>
      </w:pPr>
    </w:p>
    <w:p>
      <w:pPr>
        <w:spacing w:line="360" w:lineRule="auto"/>
        <w:jc w:val="both"/>
        <w:rPr>
          <w:rFonts w:ascii="Book Antiqua" w:hAnsi="Book Antiqua" w:eastAsia="Book Antiqua" w:cs="Book Antiqua"/>
          <w:color w:val="000000"/>
        </w:rPr>
      </w:pPr>
      <w:bookmarkStart w:id="99" w:name="OLE_LINK3261"/>
      <w:bookmarkStart w:id="100" w:name="OLE_LINK3262"/>
      <w:r>
        <w:rPr>
          <w:rFonts w:ascii="Book Antiqua" w:hAnsi="Book Antiqua" w:eastAsia="Book Antiqua" w:cs="Book Antiqua"/>
          <w:b/>
          <w:bCs/>
          <w:color w:val="000000"/>
        </w:rPr>
        <w:t>Figure 1 Liver biopsied tissues from a patient with systemic lupus erythematosus liver involvement (lupus hepatitis)</w:t>
      </w:r>
      <w:r>
        <w:rPr>
          <w:rFonts w:ascii="Book Antiqua" w:hAnsi="Book Antiqua" w:eastAsia="Book Antiqua" w:cs="Book Antiqua"/>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The portal area with minimal non-specific lymphocytic infiltration is shown. Hematoxylin and eosin staining, 400 × magnification.</w:t>
      </w:r>
    </w:p>
    <w:bookmarkEnd w:id="99"/>
    <w:bookmarkEnd w:id="100"/>
    <w:p>
      <w:pPr>
        <w:spacing w:line="360" w:lineRule="auto"/>
        <w:jc w:val="both"/>
        <w:rPr>
          <w:rFonts w:ascii="Book Antiqua" w:hAnsi="Book Antiqua" w:eastAsia="Book Antiqua" w:cs="Book Antiqua"/>
          <w:color w:val="000000"/>
        </w:rPr>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hint="eastAsia" w:eastAsiaTheme="minorEastAsia"/>
          <w:lang w:eastAsia="zh-CN"/>
        </w:rPr>
      </w:pPr>
      <w:bookmarkStart w:id="125" w:name="_GoBack"/>
      <w:r>
        <w:rPr>
          <w:rFonts w:hint="eastAsia" w:eastAsiaTheme="minorEastAsia"/>
          <w:lang w:eastAsia="zh-CN"/>
        </w:rPr>
        <w:drawing>
          <wp:inline distT="0" distB="0" distL="114300" distR="114300">
            <wp:extent cx="4916170" cy="3834130"/>
            <wp:effectExtent l="0" t="0" r="6350" b="6350"/>
            <wp:docPr id="2" name="图片 2" descr="WJG-28-252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28-2527-g002"/>
                    <pic:cNvPicPr>
                      <a:picLocks noChangeAspect="1"/>
                    </pic:cNvPicPr>
                  </pic:nvPicPr>
                  <pic:blipFill>
                    <a:blip r:embed="rId6"/>
                    <a:stretch>
                      <a:fillRect/>
                    </a:stretch>
                  </pic:blipFill>
                  <pic:spPr>
                    <a:xfrm>
                      <a:off x="0" y="0"/>
                      <a:ext cx="4916170" cy="3834130"/>
                    </a:xfrm>
                    <a:prstGeom prst="rect">
                      <a:avLst/>
                    </a:prstGeom>
                  </pic:spPr>
                </pic:pic>
              </a:graphicData>
            </a:graphic>
          </wp:inline>
        </w:drawing>
      </w:r>
      <w:bookmarkEnd w:id="125"/>
    </w:p>
    <w:p>
      <w:pPr>
        <w:spacing w:line="360" w:lineRule="auto"/>
        <w:jc w:val="both"/>
      </w:pPr>
    </w:p>
    <w:p>
      <w:pPr>
        <w:spacing w:line="360" w:lineRule="auto"/>
        <w:jc w:val="both"/>
        <w:rPr>
          <w:rFonts w:ascii="Book Antiqua" w:hAnsi="Book Antiqua" w:eastAsia="Book Antiqua" w:cs="Book Antiqua"/>
          <w:color w:val="000000"/>
        </w:rPr>
      </w:pPr>
      <w:bookmarkStart w:id="101" w:name="OLE_LINK3263"/>
      <w:bookmarkStart w:id="102" w:name="OLE_LINK3264"/>
      <w:r>
        <w:rPr>
          <w:rFonts w:ascii="Book Antiqua" w:hAnsi="Book Antiqua" w:eastAsia="Book Antiqua" w:cs="Book Antiqua"/>
          <w:b/>
          <w:bCs/>
          <w:color w:val="000000"/>
        </w:rPr>
        <w:t>Figure 2 Liver biopsied tissues from 2 patients with systemic lupus erythematosus-autoimmune hepatitis overlap disease</w:t>
      </w:r>
      <w:r>
        <w:rPr>
          <w:rFonts w:ascii="Book Antiqua" w:hAnsi="Book Antiqua" w:eastAsia="Book Antiqua" w:cs="Book Antiqua"/>
          <w:color w:val="000000"/>
        </w:rPr>
        <w:t>. A and B: Case 1 (A) lymphoplasmacytic infiltration with interface activity and (B) lymphoplasmacytic infiltration with interface activity. Plasma cells are indicated by blue arrows and rosette formations by black arrows; C and D: Case 2 (C) lymphoplasmacytic infiltration with interface activity, and (D) rosette formation (arrows). Hematoxylin and eosin staining, 400 × magnification.</w:t>
      </w:r>
    </w:p>
    <w:bookmarkEnd w:id="101"/>
    <w:bookmarkEnd w:id="102"/>
    <w:p>
      <w:pPr>
        <w:spacing w:line="360" w:lineRule="auto"/>
        <w:jc w:val="both"/>
        <w:rPr>
          <w:rFonts w:ascii="Book Antiqua" w:hAnsi="Book Antiqua" w:eastAsia="Book Antiqua" w:cs="Book Antiqua"/>
          <w:color w:val="000000"/>
        </w:rPr>
      </w:pPr>
    </w:p>
    <w:p>
      <w:pPr>
        <w:spacing w:line="360" w:lineRule="auto"/>
        <w:jc w:val="both"/>
        <w:rPr>
          <w:lang w:eastAsia="zh-CN"/>
        </w:rPr>
        <w:sectPr>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eastAsia="PMingLiU"/>
          <w:b/>
          <w:bCs/>
          <w:lang w:eastAsia="zh-CN"/>
        </w:rPr>
      </w:pPr>
      <w:r>
        <w:rPr>
          <w:rFonts w:ascii="Book Antiqua" w:hAnsi="Book Antiqua" w:eastAsia="PMingLiU"/>
          <w:b/>
        </w:rPr>
        <w:t xml:space="preserve">Table 1 </w:t>
      </w:r>
      <w:bookmarkStart w:id="103" w:name="_Hlk92636767"/>
      <w:r>
        <w:rPr>
          <w:rFonts w:ascii="Book Antiqua" w:hAnsi="Book Antiqua" w:eastAsia="PMingLiU"/>
          <w:b/>
        </w:rPr>
        <w:t xml:space="preserve">Hepatic abnormalities associated with common medications used in </w:t>
      </w:r>
      <w:r>
        <w:rPr>
          <w:rFonts w:ascii="Book Antiqua" w:hAnsi="Book Antiqua" w:eastAsia="PMingLiU"/>
          <w:b/>
          <w:bCs/>
        </w:rPr>
        <w:t xml:space="preserve">systemic rheumatic diseases </w:t>
      </w:r>
      <w:bookmarkEnd w:id="103"/>
    </w:p>
    <w:tbl>
      <w:tblPr>
        <w:tblStyle w:val="5"/>
        <w:tblW w:w="9346" w:type="dxa"/>
        <w:tblInd w:w="0" w:type="dxa"/>
        <w:tblLayout w:type="autofit"/>
        <w:tblCellMar>
          <w:top w:w="0" w:type="dxa"/>
          <w:left w:w="108" w:type="dxa"/>
          <w:bottom w:w="0" w:type="dxa"/>
          <w:right w:w="108" w:type="dxa"/>
        </w:tblCellMar>
      </w:tblPr>
      <w:tblGrid>
        <w:gridCol w:w="2825"/>
        <w:gridCol w:w="3261"/>
        <w:gridCol w:w="3260"/>
      </w:tblGrid>
      <w:tr>
        <w:tblPrEx>
          <w:tblCellMar>
            <w:top w:w="0" w:type="dxa"/>
            <w:left w:w="108" w:type="dxa"/>
            <w:bottom w:w="0" w:type="dxa"/>
            <w:right w:w="108" w:type="dxa"/>
          </w:tblCellMar>
        </w:tblPrEx>
        <w:trPr>
          <w:trHeight w:val="400" w:hRule="atLeast"/>
        </w:trPr>
        <w:tc>
          <w:tcPr>
            <w:tcW w:w="2825"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等线" w:cs="宋体"/>
                <w:b/>
                <w:bCs/>
                <w:color w:val="000000"/>
                <w:lang w:eastAsia="zh-CN"/>
              </w:rPr>
            </w:pPr>
            <w:r>
              <w:rPr>
                <w:rFonts w:ascii="Book Antiqua" w:hAnsi="Book Antiqua" w:eastAsia="等线" w:cs="宋体"/>
                <w:b/>
                <w:bCs/>
                <w:color w:val="000000"/>
                <w:lang w:eastAsia="zh-CN"/>
              </w:rPr>
              <w:t>Medications</w:t>
            </w:r>
          </w:p>
        </w:tc>
        <w:tc>
          <w:tcPr>
            <w:tcW w:w="3261"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等线" w:cs="宋体"/>
                <w:b/>
                <w:bCs/>
                <w:color w:val="000000"/>
                <w:lang w:eastAsia="zh-CN"/>
              </w:rPr>
            </w:pPr>
            <w:r>
              <w:rPr>
                <w:rFonts w:ascii="Book Antiqua" w:hAnsi="Book Antiqua" w:eastAsia="等线" w:cs="宋体"/>
                <w:b/>
                <w:bCs/>
                <w:color w:val="000000"/>
                <w:lang w:eastAsia="zh-CN"/>
              </w:rPr>
              <w:t>Hepatic abnormalities</w:t>
            </w:r>
          </w:p>
        </w:tc>
        <w:tc>
          <w:tcPr>
            <w:tcW w:w="3260" w:type="dxa"/>
            <w:tcBorders>
              <w:top w:val="single" w:color="auto" w:sz="4" w:space="0"/>
              <w:bottom w:val="single" w:color="auto" w:sz="4" w:space="0"/>
            </w:tcBorders>
            <w:shd w:val="clear" w:color="auto" w:fill="auto"/>
            <w:vAlign w:val="center"/>
          </w:tcPr>
          <w:p>
            <w:pPr>
              <w:spacing w:line="360" w:lineRule="auto"/>
              <w:jc w:val="both"/>
              <w:rPr>
                <w:rFonts w:ascii="Book Antiqua" w:hAnsi="Book Antiqua" w:eastAsia="等线" w:cs="宋体"/>
                <w:b/>
                <w:bCs/>
                <w:color w:val="000000"/>
                <w:lang w:eastAsia="zh-CN"/>
              </w:rPr>
            </w:pPr>
            <w:bookmarkStart w:id="104" w:name="RANGE!E8"/>
            <w:r>
              <w:rPr>
                <w:rFonts w:ascii="Book Antiqua" w:hAnsi="Book Antiqua" w:eastAsia="等线" w:cs="宋体"/>
                <w:b/>
                <w:bCs/>
                <w:color w:val="000000"/>
                <w:vertAlign w:val="superscript"/>
                <w:lang w:eastAsia="zh-CN"/>
              </w:rPr>
              <w:t>2</w:t>
            </w:r>
            <w:r>
              <w:rPr>
                <w:rFonts w:ascii="Book Antiqua" w:hAnsi="Book Antiqua" w:eastAsia="等线" w:cs="宋体"/>
                <w:b/>
                <w:bCs/>
                <w:color w:val="000000"/>
                <w:lang w:eastAsia="zh-CN"/>
              </w:rPr>
              <w:t>Likelihood score category in DILI</w:t>
            </w:r>
            <w:bookmarkEnd w:id="104"/>
          </w:p>
        </w:tc>
      </w:tr>
      <w:tr>
        <w:tblPrEx>
          <w:tblCellMar>
            <w:top w:w="0" w:type="dxa"/>
            <w:left w:w="108" w:type="dxa"/>
            <w:bottom w:w="0" w:type="dxa"/>
            <w:right w:w="108" w:type="dxa"/>
          </w:tblCellMar>
        </w:tblPrEx>
        <w:trPr>
          <w:trHeight w:val="700" w:hRule="atLeast"/>
        </w:trPr>
        <w:tc>
          <w:tcPr>
            <w:tcW w:w="2825" w:type="dxa"/>
            <w:tcBorders>
              <w:top w:val="single" w:color="auto" w:sz="4" w:space="0"/>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NSAIDs</w:t>
            </w:r>
          </w:p>
        </w:tc>
        <w:tc>
          <w:tcPr>
            <w:tcW w:w="3261" w:type="dxa"/>
            <w:tcBorders>
              <w:top w:val="single" w:color="auto" w:sz="4" w:space="0"/>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LEE, cholestasis, acute liver failure, VBDS</w:t>
            </w:r>
          </w:p>
        </w:tc>
        <w:tc>
          <w:tcPr>
            <w:tcW w:w="3260" w:type="dxa"/>
            <w:tcBorders>
              <w:top w:val="single" w:color="auto" w:sz="4" w:space="0"/>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A for diclofenac, ibuprofen, sulindac</w:t>
            </w:r>
          </w:p>
        </w:tc>
      </w:tr>
      <w:tr>
        <w:tblPrEx>
          <w:tblCellMar>
            <w:top w:w="0" w:type="dxa"/>
            <w:left w:w="108" w:type="dxa"/>
            <w:bottom w:w="0" w:type="dxa"/>
            <w:right w:w="108" w:type="dxa"/>
          </w:tblCellMar>
        </w:tblPrEx>
        <w:trPr>
          <w:trHeight w:val="70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Glucocorticoids</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LEE, NAFLD, acute liver failure, HBV reactivation</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A in high dosages</w:t>
            </w:r>
          </w:p>
        </w:tc>
      </w:tr>
      <w:tr>
        <w:tblPrEx>
          <w:tblCellMar>
            <w:top w:w="0" w:type="dxa"/>
            <w:left w:w="108" w:type="dxa"/>
            <w:bottom w:w="0" w:type="dxa"/>
            <w:right w:w="108" w:type="dxa"/>
          </w:tblCellMar>
        </w:tblPrEx>
        <w:trPr>
          <w:trHeight w:val="700" w:hRule="atLeast"/>
        </w:trPr>
        <w:tc>
          <w:tcPr>
            <w:tcW w:w="9346" w:type="dxa"/>
            <w:gridSpan w:val="3"/>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Immunosuppressive agents</w:t>
            </w:r>
          </w:p>
        </w:tc>
      </w:tr>
      <w:tr>
        <w:tblPrEx>
          <w:tblCellMar>
            <w:top w:w="0" w:type="dxa"/>
            <w:left w:w="108" w:type="dxa"/>
            <w:bottom w:w="0" w:type="dxa"/>
            <w:right w:w="108" w:type="dxa"/>
          </w:tblCellMar>
        </w:tblPrEx>
        <w:trPr>
          <w:trHeight w:val="70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Azathioprine</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LEE, cholestasis, NRH, peliosis hepatis, VOD</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hint="eastAsia" w:ascii="Book Antiqua" w:hAnsi="Book Antiqua" w:eastAsia="等线" w:cs="宋体"/>
                <w:color w:val="000000"/>
                <w:lang w:eastAsia="zh-CN"/>
              </w:rPr>
              <w:t>A</w:t>
            </w:r>
          </w:p>
        </w:tc>
      </w:tr>
      <w:tr>
        <w:tblPrEx>
          <w:tblCellMar>
            <w:top w:w="0" w:type="dxa"/>
            <w:left w:w="108" w:type="dxa"/>
            <w:bottom w:w="0" w:type="dxa"/>
            <w:right w:w="108" w:type="dxa"/>
          </w:tblCellMar>
        </w:tblPrEx>
        <w:trPr>
          <w:trHeight w:val="36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Mycophenolate mofetil</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LEE</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hint="eastAsia" w:ascii="Book Antiqua" w:hAnsi="Book Antiqua" w:eastAsia="等线" w:cs="宋体"/>
                <w:color w:val="000000"/>
                <w:lang w:eastAsia="zh-CN"/>
              </w:rPr>
              <w:t>D</w:t>
            </w:r>
          </w:p>
        </w:tc>
      </w:tr>
      <w:tr>
        <w:tblPrEx>
          <w:tblCellMar>
            <w:top w:w="0" w:type="dxa"/>
            <w:left w:w="108" w:type="dxa"/>
            <w:bottom w:w="0" w:type="dxa"/>
            <w:right w:w="108" w:type="dxa"/>
          </w:tblCellMar>
        </w:tblPrEx>
        <w:trPr>
          <w:trHeight w:val="36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Cyclophosphamide</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LEE, VOD</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hint="eastAsia" w:ascii="Book Antiqua" w:hAnsi="Book Antiqua" w:eastAsia="等线" w:cs="宋体"/>
                <w:color w:val="000000"/>
                <w:lang w:eastAsia="zh-CN"/>
              </w:rPr>
              <w:t>B</w:t>
            </w:r>
          </w:p>
        </w:tc>
      </w:tr>
      <w:tr>
        <w:tblPrEx>
          <w:tblCellMar>
            <w:top w:w="0" w:type="dxa"/>
            <w:left w:w="108" w:type="dxa"/>
            <w:bottom w:w="0" w:type="dxa"/>
            <w:right w:w="108" w:type="dxa"/>
          </w:tblCellMar>
        </w:tblPrEx>
        <w:trPr>
          <w:trHeight w:val="36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Cyclosporine</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LEE, cholelithiasis</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hint="eastAsia" w:ascii="Book Antiqua" w:hAnsi="Book Antiqua" w:eastAsia="等线" w:cs="宋体"/>
                <w:color w:val="000000"/>
                <w:lang w:eastAsia="zh-CN"/>
              </w:rPr>
              <w:t>C</w:t>
            </w:r>
          </w:p>
        </w:tc>
      </w:tr>
      <w:tr>
        <w:tblPrEx>
          <w:tblCellMar>
            <w:top w:w="0" w:type="dxa"/>
            <w:left w:w="108" w:type="dxa"/>
            <w:bottom w:w="0" w:type="dxa"/>
            <w:right w:w="108" w:type="dxa"/>
          </w:tblCellMar>
        </w:tblPrEx>
        <w:trPr>
          <w:trHeight w:val="36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Tacrolimus</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LEE</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hint="eastAsia" w:ascii="Book Antiqua" w:hAnsi="Book Antiqua" w:eastAsia="等线" w:cs="宋体"/>
                <w:color w:val="000000"/>
                <w:lang w:eastAsia="zh-CN"/>
              </w:rPr>
              <w:t>C</w:t>
            </w:r>
          </w:p>
        </w:tc>
      </w:tr>
      <w:tr>
        <w:tblPrEx>
          <w:tblCellMar>
            <w:top w:w="0" w:type="dxa"/>
            <w:left w:w="108" w:type="dxa"/>
            <w:bottom w:w="0" w:type="dxa"/>
            <w:right w:w="108" w:type="dxa"/>
          </w:tblCellMar>
        </w:tblPrEx>
        <w:trPr>
          <w:trHeight w:val="700" w:hRule="atLeast"/>
        </w:trPr>
        <w:tc>
          <w:tcPr>
            <w:tcW w:w="9346" w:type="dxa"/>
            <w:gridSpan w:val="3"/>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Conventional SDMARDs</w:t>
            </w:r>
          </w:p>
        </w:tc>
      </w:tr>
      <w:tr>
        <w:tblPrEx>
          <w:tblCellMar>
            <w:top w:w="0" w:type="dxa"/>
            <w:left w:w="108" w:type="dxa"/>
            <w:bottom w:w="0" w:type="dxa"/>
            <w:right w:w="108" w:type="dxa"/>
          </w:tblCellMar>
        </w:tblPrEx>
        <w:trPr>
          <w:trHeight w:val="36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Hydroxychloroquine</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LEE</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hint="eastAsia" w:ascii="Book Antiqua" w:hAnsi="Book Antiqua" w:eastAsia="等线" w:cs="宋体"/>
                <w:color w:val="000000"/>
                <w:lang w:eastAsia="zh-CN"/>
              </w:rPr>
              <w:t>C</w:t>
            </w:r>
          </w:p>
        </w:tc>
      </w:tr>
      <w:tr>
        <w:tblPrEx>
          <w:tblCellMar>
            <w:top w:w="0" w:type="dxa"/>
            <w:left w:w="108" w:type="dxa"/>
            <w:bottom w:w="0" w:type="dxa"/>
            <w:right w:w="108" w:type="dxa"/>
          </w:tblCellMar>
        </w:tblPrEx>
        <w:trPr>
          <w:trHeight w:val="70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Leflunomide</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LEE, acute liver failure, HBV reactivation</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hint="eastAsia" w:ascii="Book Antiqua" w:hAnsi="Book Antiqua" w:eastAsia="等线" w:cs="宋体"/>
                <w:color w:val="000000"/>
                <w:lang w:eastAsia="zh-CN"/>
              </w:rPr>
              <w:t>B</w:t>
            </w:r>
          </w:p>
        </w:tc>
      </w:tr>
      <w:tr>
        <w:tblPrEx>
          <w:tblCellMar>
            <w:top w:w="0" w:type="dxa"/>
            <w:left w:w="108" w:type="dxa"/>
            <w:bottom w:w="0" w:type="dxa"/>
            <w:right w:w="108" w:type="dxa"/>
          </w:tblCellMar>
        </w:tblPrEx>
        <w:trPr>
          <w:trHeight w:val="70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Methotrexate</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LEE, NAFLD, HBV reactivation, fibrosis, cirrhosis</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hint="eastAsia" w:ascii="Book Antiqua" w:hAnsi="Book Antiqua" w:eastAsia="等线" w:cs="宋体"/>
                <w:color w:val="000000"/>
                <w:lang w:eastAsia="zh-CN"/>
              </w:rPr>
              <w:t>A</w:t>
            </w:r>
          </w:p>
        </w:tc>
      </w:tr>
      <w:tr>
        <w:tblPrEx>
          <w:tblCellMar>
            <w:top w:w="0" w:type="dxa"/>
            <w:left w:w="108" w:type="dxa"/>
            <w:bottom w:w="0" w:type="dxa"/>
            <w:right w:w="108" w:type="dxa"/>
          </w:tblCellMar>
        </w:tblPrEx>
        <w:trPr>
          <w:trHeight w:val="36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Penicillamine</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LEE, cholestasis</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hint="eastAsia" w:ascii="Book Antiqua" w:hAnsi="Book Antiqua" w:eastAsia="等线" w:cs="宋体"/>
                <w:color w:val="000000"/>
                <w:lang w:eastAsia="zh-CN"/>
              </w:rPr>
              <w:t>A</w:t>
            </w:r>
          </w:p>
        </w:tc>
      </w:tr>
      <w:tr>
        <w:tblPrEx>
          <w:tblCellMar>
            <w:top w:w="0" w:type="dxa"/>
            <w:left w:w="108" w:type="dxa"/>
            <w:bottom w:w="0" w:type="dxa"/>
            <w:right w:w="108" w:type="dxa"/>
          </w:tblCellMar>
        </w:tblPrEx>
        <w:trPr>
          <w:trHeight w:val="36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Sulfasalazine</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LEE, cholestasis, DRESS</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hint="eastAsia" w:ascii="Book Antiqua" w:hAnsi="Book Antiqua" w:eastAsia="等线" w:cs="宋体"/>
                <w:color w:val="000000"/>
                <w:lang w:eastAsia="zh-CN"/>
              </w:rPr>
              <w:t>A</w:t>
            </w:r>
          </w:p>
        </w:tc>
      </w:tr>
      <w:tr>
        <w:tblPrEx>
          <w:tblCellMar>
            <w:top w:w="0" w:type="dxa"/>
            <w:left w:w="108" w:type="dxa"/>
            <w:bottom w:w="0" w:type="dxa"/>
            <w:right w:w="108" w:type="dxa"/>
          </w:tblCellMar>
        </w:tblPrEx>
        <w:trPr>
          <w:trHeight w:val="700" w:hRule="atLeast"/>
        </w:trPr>
        <w:tc>
          <w:tcPr>
            <w:tcW w:w="9346" w:type="dxa"/>
            <w:gridSpan w:val="3"/>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Biologic/targeted SDMARDs</w:t>
            </w:r>
          </w:p>
        </w:tc>
      </w:tr>
      <w:tr>
        <w:tblPrEx>
          <w:tblCellMar>
            <w:top w:w="0" w:type="dxa"/>
            <w:left w:w="108" w:type="dxa"/>
            <w:bottom w:w="0" w:type="dxa"/>
            <w:right w:w="108" w:type="dxa"/>
          </w:tblCellMar>
        </w:tblPrEx>
        <w:trPr>
          <w:trHeight w:val="36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Abatacept</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LEE, HBV reactivation</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C</w:t>
            </w:r>
          </w:p>
        </w:tc>
      </w:tr>
      <w:tr>
        <w:tblPrEx>
          <w:tblCellMar>
            <w:top w:w="0" w:type="dxa"/>
            <w:left w:w="108" w:type="dxa"/>
            <w:bottom w:w="0" w:type="dxa"/>
            <w:right w:w="108" w:type="dxa"/>
          </w:tblCellMar>
        </w:tblPrEx>
        <w:trPr>
          <w:trHeight w:val="36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Anakinra</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LEE</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C</w:t>
            </w:r>
          </w:p>
        </w:tc>
      </w:tr>
      <w:tr>
        <w:tblPrEx>
          <w:tblCellMar>
            <w:top w:w="0" w:type="dxa"/>
            <w:left w:w="108" w:type="dxa"/>
            <w:bottom w:w="0" w:type="dxa"/>
            <w:right w:w="108" w:type="dxa"/>
          </w:tblCellMar>
        </w:tblPrEx>
        <w:trPr>
          <w:trHeight w:val="36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bookmarkStart w:id="105" w:name="RANGE!C26"/>
            <w:r>
              <w:rPr>
                <w:rFonts w:ascii="Book Antiqua" w:hAnsi="Book Antiqua" w:eastAsia="等线" w:cs="宋体"/>
                <w:color w:val="000000"/>
                <w:lang w:eastAsia="zh-CN"/>
              </w:rPr>
              <w:t xml:space="preserve">  Apremilast</w:t>
            </w:r>
            <w:bookmarkEnd w:id="105"/>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Unlikely liver injury</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E</w:t>
            </w:r>
          </w:p>
        </w:tc>
      </w:tr>
      <w:tr>
        <w:tblPrEx>
          <w:tblCellMar>
            <w:top w:w="0" w:type="dxa"/>
            <w:left w:w="108" w:type="dxa"/>
            <w:bottom w:w="0" w:type="dxa"/>
            <w:right w:w="108" w:type="dxa"/>
          </w:tblCellMar>
        </w:tblPrEx>
        <w:trPr>
          <w:trHeight w:val="36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Belimumab</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Unlikely liver injury</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E</w:t>
            </w:r>
          </w:p>
        </w:tc>
      </w:tr>
      <w:tr>
        <w:tblPrEx>
          <w:tblCellMar>
            <w:top w:w="0" w:type="dxa"/>
            <w:left w:w="108" w:type="dxa"/>
            <w:bottom w:w="0" w:type="dxa"/>
            <w:right w:w="108" w:type="dxa"/>
          </w:tblCellMar>
        </w:tblPrEx>
        <w:trPr>
          <w:trHeight w:val="36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Mepolizumab</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Unlikely liver injury</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E</w:t>
            </w:r>
          </w:p>
        </w:tc>
      </w:tr>
      <w:tr>
        <w:tblPrEx>
          <w:tblCellMar>
            <w:top w:w="0" w:type="dxa"/>
            <w:left w:w="108" w:type="dxa"/>
            <w:bottom w:w="0" w:type="dxa"/>
            <w:right w:w="108" w:type="dxa"/>
          </w:tblCellMar>
        </w:tblPrEx>
        <w:trPr>
          <w:trHeight w:val="36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Rituximab</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LEE, HBV reactivation</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hint="eastAsia" w:ascii="Book Antiqua" w:hAnsi="Book Antiqua" w:eastAsia="等线" w:cs="宋体"/>
                <w:color w:val="000000"/>
                <w:lang w:eastAsia="zh-CN"/>
              </w:rPr>
              <w:t>A</w:t>
            </w:r>
          </w:p>
        </w:tc>
      </w:tr>
      <w:tr>
        <w:tblPrEx>
          <w:tblCellMar>
            <w:top w:w="0" w:type="dxa"/>
            <w:left w:w="108" w:type="dxa"/>
            <w:bottom w:w="0" w:type="dxa"/>
            <w:right w:w="108" w:type="dxa"/>
          </w:tblCellMar>
        </w:tblPrEx>
        <w:trPr>
          <w:trHeight w:val="70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TNF blockers</w:t>
            </w:r>
            <w:r>
              <w:rPr>
                <w:rFonts w:ascii="Book Antiqua" w:hAnsi="Book Antiqua" w:eastAsia="等线" w:cs="宋体"/>
                <w:color w:val="000000"/>
                <w:vertAlign w:val="superscript"/>
                <w:lang w:eastAsia="zh-CN"/>
              </w:rPr>
              <w:t>1</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LEE, cholestasis, HBV reactivation, AIH</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A for infliximab</w:t>
            </w:r>
          </w:p>
        </w:tc>
      </w:tr>
      <w:tr>
        <w:tblPrEx>
          <w:tblCellMar>
            <w:top w:w="0" w:type="dxa"/>
            <w:left w:w="108" w:type="dxa"/>
            <w:bottom w:w="0" w:type="dxa"/>
            <w:right w:w="108" w:type="dxa"/>
          </w:tblCellMar>
        </w:tblPrEx>
        <w:trPr>
          <w:trHeight w:val="360" w:hRule="atLeast"/>
        </w:trPr>
        <w:tc>
          <w:tcPr>
            <w:tcW w:w="2825" w:type="dxa"/>
            <w:shd w:val="clear" w:color="auto" w:fill="auto"/>
            <w:vAlign w:val="center"/>
          </w:tcPr>
          <w:p>
            <w:pPr>
              <w:spacing w:line="360" w:lineRule="auto"/>
              <w:ind w:firstLine="120" w:firstLineChars="50"/>
              <w:jc w:val="both"/>
              <w:rPr>
                <w:rFonts w:ascii="Book Antiqua" w:hAnsi="Book Antiqua" w:eastAsia="等线" w:cs="宋体"/>
                <w:color w:val="000000"/>
                <w:lang w:eastAsia="zh-CN"/>
              </w:rPr>
            </w:pPr>
            <w:r>
              <w:rPr>
                <w:rFonts w:ascii="Book Antiqua" w:hAnsi="Book Antiqua" w:eastAsia="等线" w:cs="宋体"/>
                <w:color w:val="000000"/>
                <w:lang w:eastAsia="zh-CN"/>
              </w:rPr>
              <w:t>Tocilizumab</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LEE, HBV reactivation </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hint="eastAsia" w:ascii="Book Antiqua" w:hAnsi="Book Antiqua" w:eastAsia="等线" w:cs="宋体"/>
                <w:color w:val="000000"/>
                <w:lang w:eastAsia="zh-CN"/>
              </w:rPr>
              <w:t>C</w:t>
            </w:r>
          </w:p>
        </w:tc>
      </w:tr>
      <w:tr>
        <w:tblPrEx>
          <w:tblCellMar>
            <w:top w:w="0" w:type="dxa"/>
            <w:left w:w="108" w:type="dxa"/>
            <w:bottom w:w="0" w:type="dxa"/>
            <w:right w:w="108" w:type="dxa"/>
          </w:tblCellMar>
        </w:tblPrEx>
        <w:trPr>
          <w:trHeight w:val="700" w:hRule="atLeast"/>
        </w:trPr>
        <w:tc>
          <w:tcPr>
            <w:tcW w:w="2825"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  Tofacitinib</w:t>
            </w:r>
          </w:p>
        </w:tc>
        <w:tc>
          <w:tcPr>
            <w:tcW w:w="3261"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Suspected liver injury, potential HBV reactivation</w:t>
            </w:r>
          </w:p>
        </w:tc>
        <w:tc>
          <w:tcPr>
            <w:tcW w:w="3260" w:type="dxa"/>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E’</w:t>
            </w:r>
          </w:p>
        </w:tc>
      </w:tr>
      <w:tr>
        <w:tblPrEx>
          <w:tblCellMar>
            <w:top w:w="0" w:type="dxa"/>
            <w:left w:w="108" w:type="dxa"/>
            <w:bottom w:w="0" w:type="dxa"/>
            <w:right w:w="108" w:type="dxa"/>
          </w:tblCellMar>
        </w:tblPrEx>
        <w:trPr>
          <w:trHeight w:val="700" w:hRule="atLeast"/>
        </w:trPr>
        <w:tc>
          <w:tcPr>
            <w:tcW w:w="2825" w:type="dxa"/>
            <w:tcBorders>
              <w:bottom w:val="single" w:color="auto" w:sz="4" w:space="0"/>
            </w:tcBorders>
            <w:shd w:val="clear" w:color="auto" w:fill="auto"/>
            <w:vAlign w:val="center"/>
          </w:tcPr>
          <w:p>
            <w:pPr>
              <w:spacing w:line="360" w:lineRule="auto"/>
              <w:jc w:val="both"/>
              <w:rPr>
                <w:rFonts w:ascii="Book Antiqua" w:hAnsi="Book Antiqua" w:eastAsia="等线" w:cs="宋体"/>
                <w:color w:val="000000"/>
                <w:lang w:eastAsia="zh-CN"/>
              </w:rPr>
            </w:pPr>
            <w:bookmarkStart w:id="106" w:name="RANGE!C33"/>
            <w:r>
              <w:rPr>
                <w:rFonts w:ascii="Book Antiqua" w:hAnsi="Book Antiqua" w:eastAsia="等线" w:cs="宋体"/>
                <w:color w:val="000000"/>
                <w:lang w:eastAsia="zh-CN"/>
              </w:rPr>
              <w:t xml:space="preserve">  Ustekinumab</w:t>
            </w:r>
            <w:bookmarkEnd w:id="106"/>
          </w:p>
        </w:tc>
        <w:tc>
          <w:tcPr>
            <w:tcW w:w="3261" w:type="dxa"/>
            <w:tcBorders>
              <w:bottom w:val="single" w:color="auto" w:sz="4" w:space="0"/>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Suspected liver injury, possible HBV reactivation</w:t>
            </w:r>
          </w:p>
        </w:tc>
        <w:tc>
          <w:tcPr>
            <w:tcW w:w="3260" w:type="dxa"/>
            <w:tcBorders>
              <w:bottom w:val="single" w:color="auto" w:sz="4" w:space="0"/>
            </w:tcBorders>
            <w:shd w:val="clear" w:color="auto" w:fill="auto"/>
          </w:tcPr>
          <w:p>
            <w:pPr>
              <w:spacing w:line="360" w:lineRule="auto"/>
              <w:rPr>
                <w:rFonts w:ascii="Book Antiqua" w:hAnsi="Book Antiqua" w:eastAsia="等线" w:cs="宋体"/>
                <w:color w:val="000000"/>
                <w:lang w:eastAsia="zh-CN"/>
              </w:rPr>
            </w:pPr>
            <w:r>
              <w:rPr>
                <w:rFonts w:ascii="Book Antiqua" w:hAnsi="Book Antiqua" w:eastAsia="等线" w:cs="宋体"/>
                <w:color w:val="000000"/>
                <w:lang w:eastAsia="zh-CN"/>
              </w:rPr>
              <w:t>E’</w:t>
            </w:r>
          </w:p>
        </w:tc>
      </w:tr>
    </w:tbl>
    <w:p>
      <w:pPr>
        <w:snapToGrid w:val="0"/>
        <w:spacing w:line="360" w:lineRule="auto"/>
        <w:jc w:val="both"/>
        <w:rPr>
          <w:rFonts w:ascii="Book Antiqua" w:hAnsi="Book Antiqua" w:eastAsia="PMingLiU"/>
        </w:rPr>
      </w:pPr>
      <w:r>
        <w:rPr>
          <w:rFonts w:ascii="Book Antiqua" w:hAnsi="Book Antiqua" w:eastAsia="PMingLiU"/>
          <w:vertAlign w:val="superscript"/>
        </w:rPr>
        <w:t>1</w:t>
      </w:r>
      <w:r>
        <w:rPr>
          <w:rFonts w:ascii="Book Antiqua" w:hAnsi="Book Antiqua" w:eastAsia="PMingLiU"/>
        </w:rPr>
        <w:t>TNF blockers including adalimumab, certolizumab, etanercept, golimumab and infliximab.</w:t>
      </w:r>
    </w:p>
    <w:p>
      <w:pPr>
        <w:snapToGrid w:val="0"/>
        <w:spacing w:line="360" w:lineRule="auto"/>
        <w:jc w:val="both"/>
        <w:rPr>
          <w:rFonts w:ascii="Book Antiqua" w:hAnsi="Book Antiqua" w:eastAsia="PMingLiU"/>
        </w:rPr>
      </w:pPr>
      <w:r>
        <w:rPr>
          <w:rFonts w:ascii="Book Antiqua" w:hAnsi="Book Antiqua" w:eastAsia="PMingLiU"/>
          <w:vertAlign w:val="superscript"/>
        </w:rPr>
        <w:t>2</w:t>
      </w:r>
      <w:r>
        <w:rPr>
          <w:rFonts w:ascii="Book Antiqua" w:hAnsi="Book Antiqua" w:eastAsia="PMingLiU"/>
        </w:rPr>
        <w:t xml:space="preserve">Categorization of Likelihood Score in drug-induced liver injury. </w:t>
      </w:r>
      <w:bookmarkStart w:id="107" w:name="_Hlk92637090"/>
      <w:r>
        <w:rPr>
          <w:rFonts w:ascii="Book Antiqua" w:hAnsi="Book Antiqua" w:eastAsia="PMingLiU"/>
        </w:rPr>
        <w:t>A: Definite; B: Highly likely; C: Probable, D: Possible, E: Unlikely; E’: Suspected</w:t>
      </w:r>
      <w:bookmarkEnd w:id="107"/>
      <w:r>
        <w:rPr>
          <w:rFonts w:ascii="Book Antiqua" w:hAnsi="Book Antiqua" w:eastAsia="PMingLiU"/>
        </w:rPr>
        <w:t>.</w:t>
      </w:r>
    </w:p>
    <w:p>
      <w:pPr>
        <w:snapToGrid w:val="0"/>
        <w:spacing w:line="360" w:lineRule="auto"/>
        <w:jc w:val="both"/>
        <w:rPr>
          <w:rFonts w:ascii="Book Antiqua" w:hAnsi="Book Antiqua" w:eastAsia="PMingLiU"/>
        </w:rPr>
      </w:pPr>
      <w:r>
        <w:rPr>
          <w:rFonts w:ascii="Book Antiqua" w:hAnsi="Book Antiqua" w:eastAsia="PMingLiU"/>
        </w:rPr>
        <w:t xml:space="preserve">NSAIDs: Non-steroidal anti-inflammatory drugs; HBV: Hepatitis virus B; DILI: </w:t>
      </w:r>
      <w:bookmarkStart w:id="108" w:name="OLE_LINK3247"/>
      <w:bookmarkStart w:id="109" w:name="OLE_LINK3246"/>
      <w:r>
        <w:rPr>
          <w:rFonts w:ascii="Book Antiqua" w:hAnsi="Book Antiqua" w:eastAsia="PMingLiU"/>
        </w:rPr>
        <w:t>Drug-induced liver injury</w:t>
      </w:r>
      <w:bookmarkEnd w:id="108"/>
      <w:bookmarkEnd w:id="109"/>
      <w:r>
        <w:rPr>
          <w:rFonts w:ascii="Book Antiqua" w:hAnsi="Book Antiqua" w:eastAsia="PMingLiU"/>
        </w:rPr>
        <w:t xml:space="preserve">; DRESS: Drug rash with eosinophilia and systemic symptoms; LEE: Liver enzyme elevation; NAFLD: Nonalcoholic fatty liver disease; NRH: Nodular regenerative hyperplasia; SDMARDs: Synthetic disease-modifying antirheumatic drugs; SRDs: </w:t>
      </w:r>
      <w:bookmarkStart w:id="110" w:name="OLE_LINK3243"/>
      <w:bookmarkStart w:id="111" w:name="OLE_LINK3242"/>
      <w:r>
        <w:rPr>
          <w:rFonts w:ascii="Book Antiqua" w:hAnsi="Book Antiqua" w:eastAsia="PMingLiU"/>
        </w:rPr>
        <w:t>Systemic rheumatic disease</w:t>
      </w:r>
      <w:bookmarkEnd w:id="110"/>
      <w:bookmarkEnd w:id="111"/>
      <w:r>
        <w:rPr>
          <w:rFonts w:ascii="Book Antiqua" w:hAnsi="Book Antiqua" w:eastAsia="PMingLiU"/>
        </w:rPr>
        <w:t>; VBDS: Vanishing bile duct syndrome; VOD: Veno-occlusive disease.</w:t>
      </w:r>
    </w:p>
    <w:p>
      <w:pPr>
        <w:snapToGrid w:val="0"/>
        <w:spacing w:line="360" w:lineRule="auto"/>
        <w:jc w:val="both"/>
        <w:rPr>
          <w:rFonts w:ascii="Book Antiqua" w:hAnsi="Book Antiqua" w:eastAsia="PMingLiU"/>
        </w:rPr>
      </w:pPr>
    </w:p>
    <w:p>
      <w:pPr>
        <w:snapToGrid w:val="0"/>
        <w:spacing w:line="360" w:lineRule="auto"/>
        <w:jc w:val="both"/>
        <w:rPr>
          <w:rFonts w:ascii="Book Antiqua" w:hAnsi="Book Antiqua" w:eastAsia="PMingLiU"/>
        </w:rPr>
        <w:sectPr>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eastAsia="PMingLiU"/>
          <w:b/>
          <w:bCs/>
        </w:rPr>
      </w:pPr>
      <w:r>
        <w:rPr>
          <w:rFonts w:ascii="Book Antiqua" w:hAnsi="Book Antiqua" w:eastAsia="PMingLiU"/>
          <w:b/>
        </w:rPr>
        <w:t>Table 2</w:t>
      </w:r>
      <w:r>
        <w:rPr>
          <w:rFonts w:ascii="Book Antiqua" w:hAnsi="Book Antiqua" w:eastAsia="PMingLiU"/>
        </w:rPr>
        <w:t xml:space="preserve"> </w:t>
      </w:r>
      <w:r>
        <w:rPr>
          <w:rFonts w:ascii="Book Antiqua" w:hAnsi="Book Antiqua" w:eastAsia="PMingLiU"/>
          <w:b/>
          <w:bCs/>
        </w:rPr>
        <w:t xml:space="preserve">Demographic, clinical, laboratory, pathological, therapeutic and prognostic profiles in three common </w:t>
      </w:r>
      <w:r>
        <w:rPr>
          <w:rFonts w:ascii="Book Antiqua" w:hAnsi="Book Antiqua"/>
          <w:b/>
          <w:bCs/>
        </w:rPr>
        <w:t>autoimmune liver diseases</w:t>
      </w:r>
      <w:bookmarkStart w:id="112" w:name="_Hlk85727435"/>
    </w:p>
    <w:tbl>
      <w:tblPr>
        <w:tblStyle w:val="5"/>
        <w:tblW w:w="0" w:type="auto"/>
        <w:tblInd w:w="0" w:type="dxa"/>
        <w:tblLayout w:type="autofit"/>
        <w:tblCellMar>
          <w:top w:w="0" w:type="dxa"/>
          <w:left w:w="108" w:type="dxa"/>
          <w:bottom w:w="0" w:type="dxa"/>
          <w:right w:w="108" w:type="dxa"/>
        </w:tblCellMar>
      </w:tblPr>
      <w:tblGrid>
        <w:gridCol w:w="1731"/>
        <w:gridCol w:w="2980"/>
        <w:gridCol w:w="2131"/>
        <w:gridCol w:w="2734"/>
      </w:tblGrid>
      <w:tr>
        <w:tc>
          <w:tcPr>
            <w:tcW w:w="0" w:type="auto"/>
            <w:tcBorders>
              <w:top w:val="single" w:color="auto" w:sz="4" w:space="0"/>
              <w:bottom w:val="single" w:color="auto" w:sz="4" w:space="0"/>
            </w:tcBorders>
            <w:shd w:val="clear" w:color="auto" w:fill="auto"/>
            <w:noWrap/>
            <w:vAlign w:val="center"/>
          </w:tcPr>
          <w:p>
            <w:pPr>
              <w:spacing w:line="360" w:lineRule="auto"/>
              <w:jc w:val="both"/>
              <w:rPr>
                <w:rFonts w:ascii="Book Antiqua" w:hAnsi="Book Antiqua" w:eastAsia="等线" w:cs="宋体"/>
                <w:b/>
                <w:bCs/>
                <w:color w:val="000000"/>
                <w:lang w:eastAsia="zh-CN"/>
              </w:rPr>
            </w:pPr>
            <w:r>
              <w:rPr>
                <w:rFonts w:ascii="Book Antiqua" w:hAnsi="Book Antiqua" w:eastAsia="等线" w:cs="宋体"/>
                <w:b/>
                <w:bCs/>
                <w:color w:val="000000"/>
                <w:lang w:eastAsia="zh-CN"/>
              </w:rPr>
              <w:t>Category</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cs="宋体"/>
                <w:b/>
                <w:bCs/>
                <w:color w:val="000000"/>
                <w:lang w:eastAsia="zh-CN"/>
              </w:rPr>
            </w:pPr>
            <w:r>
              <w:rPr>
                <w:rFonts w:ascii="Book Antiqua" w:hAnsi="Book Antiqua" w:eastAsia="等线" w:cs="宋体"/>
                <w:b/>
                <w:bCs/>
                <w:color w:val="000000"/>
                <w:lang w:eastAsia="zh-CN"/>
              </w:rPr>
              <w:t>AIH</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cs="宋体"/>
                <w:b/>
                <w:bCs/>
                <w:color w:val="000000"/>
                <w:lang w:eastAsia="zh-CN"/>
              </w:rPr>
            </w:pPr>
            <w:r>
              <w:rPr>
                <w:rFonts w:ascii="Book Antiqua" w:hAnsi="Book Antiqua" w:eastAsia="等线" w:cs="宋体"/>
                <w:b/>
                <w:bCs/>
                <w:color w:val="000000"/>
                <w:lang w:eastAsia="zh-CN"/>
              </w:rPr>
              <w:t>PBC</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cs="宋体"/>
                <w:b/>
                <w:bCs/>
                <w:color w:val="000000"/>
                <w:lang w:eastAsia="zh-CN"/>
              </w:rPr>
            </w:pPr>
            <w:r>
              <w:rPr>
                <w:rFonts w:ascii="Book Antiqua" w:hAnsi="Book Antiqua" w:eastAsia="等线" w:cs="宋体"/>
                <w:b/>
                <w:bCs/>
                <w:color w:val="000000"/>
                <w:lang w:eastAsia="zh-CN"/>
              </w:rPr>
              <w:t>PSC</w:t>
            </w:r>
          </w:p>
        </w:tc>
      </w:tr>
      <w:tr>
        <w:tblPrEx>
          <w:tblCellMar>
            <w:top w:w="0" w:type="dxa"/>
            <w:left w:w="108" w:type="dxa"/>
            <w:bottom w:w="0" w:type="dxa"/>
            <w:right w:w="108" w:type="dxa"/>
          </w:tblCellMar>
        </w:tblPrEx>
        <w:tc>
          <w:tcPr>
            <w:tcW w:w="0" w:type="auto"/>
            <w:gridSpan w:val="4"/>
            <w:tcBorders>
              <w:top w:val="single" w:color="auto" w:sz="4" w:space="0"/>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Demographic</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Sex</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Predominant F, 4:1</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Predominant F, 10:1</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Predominant M, 2:1</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Age</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Any, median 45 yr</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Common above 40 yr</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Any, typical 30-50 yr</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Prevalence</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Rare, 4-25 per 100000</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Rare, 2-40 per 100000</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Rare, 4-16 per 100000</w:t>
            </w:r>
          </w:p>
        </w:tc>
      </w:tr>
      <w:tr>
        <w:tblPrEx>
          <w:tblCellMar>
            <w:top w:w="0" w:type="dxa"/>
            <w:left w:w="108" w:type="dxa"/>
            <w:bottom w:w="0" w:type="dxa"/>
            <w:right w:w="108" w:type="dxa"/>
          </w:tblCellMar>
        </w:tblPrEx>
        <w:tc>
          <w:tcPr>
            <w:tcW w:w="0" w:type="auto"/>
            <w:gridSpan w:val="4"/>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Laboratory</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Abnormal LFT</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Majorly AST/ALT</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Majorly ALP/GGT</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Majorly ALP/GGT</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Serum Ig</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Elevated IgG</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Elevated IgM</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Elevated IgG, IgM</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Autoantibody</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I: ANA, ASMA; II: anti-LKM, -LC</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ANA, AMA</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ANCA </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HLA-DR</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DR3, DR4</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DR8</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DR52</w:t>
            </w:r>
          </w:p>
        </w:tc>
      </w:tr>
      <w:tr>
        <w:tblPrEx>
          <w:tblCellMar>
            <w:top w:w="0" w:type="dxa"/>
            <w:left w:w="108" w:type="dxa"/>
            <w:bottom w:w="0" w:type="dxa"/>
            <w:right w:w="108" w:type="dxa"/>
          </w:tblCellMar>
        </w:tblPrEx>
        <w:tc>
          <w:tcPr>
            <w:tcW w:w="0" w:type="auto"/>
            <w:gridSpan w:val="4"/>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Liver biopsy</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Interface HA</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Typical finding</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Occasional</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Occasional</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Portal infiltrate</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Lymphoplasmacytic</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Lymphocytic</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Lymphocytic</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Bile duct lesion</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Occasional</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Florid duct lesion</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Obliterative duct</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Granuloma</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Rare</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Typical finding</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Rare</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Diagnosis</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AIH score for definite diagnosis</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AMA, liver biopsy, Cholestatic LFT</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Cholangiography, Cholestatic LFT</w:t>
            </w:r>
          </w:p>
        </w:tc>
      </w:tr>
      <w:tr>
        <w:tblPrEx>
          <w:tblCellMar>
            <w:top w:w="0" w:type="dxa"/>
            <w:left w:w="108" w:type="dxa"/>
            <w:bottom w:w="0" w:type="dxa"/>
            <w:right w:w="108" w:type="dxa"/>
          </w:tblCellMar>
        </w:tblPrEx>
        <w:tc>
          <w:tcPr>
            <w:tcW w:w="0" w:type="auto"/>
            <w:gridSpan w:val="4"/>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Coexistent SRD</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SLE</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0.7%-2.8%</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1.3%-3.7%</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val="fr-FR" w:eastAsia="zh-CN"/>
              </w:rPr>
              <w:t>1.70%</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SS</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1.4%-35%</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3.5%-38%</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val="fr-FR" w:eastAsia="zh-CN"/>
              </w:rPr>
              <w:t>CR</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SSc</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0.80%</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2.3%-12%</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val="fr-FR" w:eastAsia="zh-CN"/>
              </w:rPr>
              <w:t>CR</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RA</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1.6%-5.4%</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1.8%-13%</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val="fr-FR" w:eastAsia="zh-CN"/>
              </w:rPr>
              <w:t>1.2%-3.4%</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IIM</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CR</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0.6%-3.1%</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val="fr-FR" w:eastAsia="zh-CN"/>
              </w:rPr>
              <w:t>CR</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MCTD</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CR</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0.60%</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val="fr-FR" w:eastAsia="zh-CN"/>
              </w:rPr>
              <w:t>NA</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SV</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1.60%</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2.20%</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val="fr-FR" w:eastAsia="zh-CN"/>
              </w:rPr>
              <w:t>CR</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Sarcoidosis</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0.60%</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2.70%</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val="fr-FR" w:eastAsia="zh-CN"/>
              </w:rPr>
              <w:t>0.80%</w:t>
            </w:r>
          </w:p>
        </w:tc>
      </w:tr>
      <w:tr>
        <w:tblPrEx>
          <w:tblCellMar>
            <w:top w:w="0" w:type="dxa"/>
            <w:left w:w="108" w:type="dxa"/>
            <w:bottom w:w="0" w:type="dxa"/>
            <w:right w:w="108" w:type="dxa"/>
          </w:tblCellMar>
        </w:tblPrEx>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First-line Tx</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CS or CS plus AZA</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UDCA</w:t>
            </w:r>
          </w:p>
        </w:tc>
        <w:tc>
          <w:tcPr>
            <w:tcW w:w="0" w:type="auto"/>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No effective therapy</w:t>
            </w:r>
          </w:p>
        </w:tc>
      </w:tr>
      <w:tr>
        <w:tblPrEx>
          <w:tblCellMar>
            <w:top w:w="0" w:type="dxa"/>
            <w:left w:w="108" w:type="dxa"/>
            <w:bottom w:w="0" w:type="dxa"/>
            <w:right w:w="108" w:type="dxa"/>
          </w:tblCellMar>
        </w:tblPrEx>
        <w:tc>
          <w:tcPr>
            <w:tcW w:w="0" w:type="auto"/>
            <w:tcBorders>
              <w:bottom w:val="single" w:color="auto" w:sz="4" w:space="0"/>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Prognosis</w:t>
            </w:r>
          </w:p>
        </w:tc>
        <w:tc>
          <w:tcPr>
            <w:tcW w:w="0" w:type="auto"/>
            <w:tcBorders>
              <w:bottom w:val="single" w:color="auto" w:sz="4" w:space="0"/>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 xml:space="preserve">Generally responsive to IS, poor prognosis if untreated </w:t>
            </w:r>
          </w:p>
        </w:tc>
        <w:tc>
          <w:tcPr>
            <w:tcW w:w="0" w:type="auto"/>
            <w:tcBorders>
              <w:bottom w:val="single" w:color="auto" w:sz="4" w:space="0"/>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Excellent prognosis if responsive to UDCA</w:t>
            </w:r>
          </w:p>
        </w:tc>
        <w:tc>
          <w:tcPr>
            <w:tcW w:w="0" w:type="auto"/>
            <w:tcBorders>
              <w:bottom w:val="single" w:color="auto" w:sz="4" w:space="0"/>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Median survival without LT 12-16 yr after diagnosis</w:t>
            </w:r>
          </w:p>
        </w:tc>
      </w:tr>
    </w:tbl>
    <w:p>
      <w:pPr>
        <w:snapToGrid w:val="0"/>
        <w:spacing w:line="360" w:lineRule="auto"/>
        <w:jc w:val="both"/>
        <w:rPr>
          <w:rFonts w:ascii="Book Antiqua" w:hAnsi="Book Antiqua" w:eastAsia="PMingLiU"/>
        </w:rPr>
      </w:pPr>
      <w:r>
        <w:rPr>
          <w:rFonts w:ascii="Book Antiqua" w:hAnsi="Book Antiqua" w:eastAsia="PMingLiU"/>
        </w:rPr>
        <w:t xml:space="preserve">AIH: Autoimmune hepatitis; </w:t>
      </w:r>
      <w:bookmarkEnd w:id="112"/>
      <w:r>
        <w:rPr>
          <w:rFonts w:ascii="Book Antiqua" w:hAnsi="Book Antiqua" w:eastAsia="PMingLiU"/>
        </w:rPr>
        <w:t xml:space="preserve">ALP: Alkaline phosphatase ALT: Alanine aminotransferase; AMA: Antimitochondrial autoantibody; ANA: Anti-nuclear antibody; ANCA: Perinuclear antineutrophil cytoplasmic antibody; APS: Antiphospholipid syndrome; ASMA: Anti-smooth muscle antibody; AST: </w:t>
      </w:r>
      <w:bookmarkStart w:id="113" w:name="_Hlk86950016"/>
      <w:r>
        <w:rPr>
          <w:rFonts w:ascii="Book Antiqua" w:hAnsi="Book Antiqua" w:eastAsia="PMingLiU"/>
        </w:rPr>
        <w:t>Aspartate aminotransferase</w:t>
      </w:r>
      <w:bookmarkEnd w:id="113"/>
      <w:r>
        <w:rPr>
          <w:rFonts w:ascii="Book Antiqua" w:hAnsi="Book Antiqua" w:eastAsia="PMingLiU"/>
        </w:rPr>
        <w:t>; AZA: Azathioprine; CR: Case report; CS: Corticosteroids; EHAID: Extra-hepatic autoimmune disease; HA: Hepatitis; Ig: Immunoglobulin; IIM: Idiopathic inflammatory myopathies; IS: Immunosuppressants; GGT: Gamma-glutamyl transferase; LC: L</w:t>
      </w:r>
      <w:bookmarkStart w:id="114" w:name="_Hlk86075255"/>
      <w:r>
        <w:rPr>
          <w:rFonts w:ascii="Book Antiqua" w:hAnsi="Book Antiqua" w:eastAsia="PMingLiU"/>
        </w:rPr>
        <w:t>iver cytosol; LKM: Liver kidney microsomal</w:t>
      </w:r>
      <w:bookmarkEnd w:id="114"/>
      <w:r>
        <w:rPr>
          <w:rFonts w:ascii="Book Antiqua" w:hAnsi="Book Antiqua" w:eastAsia="PMingLiU"/>
        </w:rPr>
        <w:t xml:space="preserve">; LFT: Liver function test; LT: Liver transplantation; MCTD: </w:t>
      </w:r>
      <w:bookmarkStart w:id="115" w:name="_Hlk87037752"/>
      <w:r>
        <w:rPr>
          <w:rFonts w:ascii="Book Antiqua" w:hAnsi="Book Antiqua" w:eastAsia="PMingLiU"/>
        </w:rPr>
        <w:t>Mixed connective tissue disease</w:t>
      </w:r>
      <w:bookmarkEnd w:id="115"/>
      <w:r>
        <w:rPr>
          <w:rFonts w:ascii="Book Antiqua" w:hAnsi="Book Antiqua" w:eastAsia="PMingLiU"/>
        </w:rPr>
        <w:t xml:space="preserve">; NA: Not available; </w:t>
      </w:r>
      <w:bookmarkStart w:id="116" w:name="_Hlk85727166"/>
      <w:r>
        <w:rPr>
          <w:rFonts w:ascii="Book Antiqua" w:hAnsi="Book Antiqua" w:eastAsia="PMingLiU"/>
        </w:rPr>
        <w:t>PBC: Primary biliary cholangitis; PSC: Primary sclerosing cholangitis</w:t>
      </w:r>
      <w:bookmarkEnd w:id="116"/>
      <w:r>
        <w:rPr>
          <w:rFonts w:ascii="Book Antiqua" w:hAnsi="Book Antiqua" w:eastAsia="PMingLiU"/>
        </w:rPr>
        <w:t xml:space="preserve">; RA: Rheumatoid arthritis; </w:t>
      </w:r>
      <w:bookmarkStart w:id="117" w:name="_Hlk85727047"/>
      <w:r>
        <w:rPr>
          <w:rFonts w:ascii="Book Antiqua" w:hAnsi="Book Antiqua" w:eastAsia="PMingLiU"/>
        </w:rPr>
        <w:t>SLE: Systemic lupus erythematosus; SS: Sjögren syndrome; SSc: Systemic sclerosis</w:t>
      </w:r>
      <w:bookmarkEnd w:id="117"/>
      <w:r>
        <w:rPr>
          <w:rFonts w:ascii="Book Antiqua" w:hAnsi="Book Antiqua" w:eastAsia="PMingLiU"/>
        </w:rPr>
        <w:t xml:space="preserve">; </w:t>
      </w:r>
      <w:bookmarkStart w:id="118" w:name="_Hlk86343190"/>
      <w:r>
        <w:rPr>
          <w:rFonts w:ascii="Book Antiqua" w:hAnsi="Book Antiqua" w:eastAsia="PMingLiU"/>
        </w:rPr>
        <w:t>Tx: Treatment; UDCA: Ursodeoxycholic acid</w:t>
      </w:r>
      <w:bookmarkEnd w:id="118"/>
      <w:r>
        <w:rPr>
          <w:rFonts w:ascii="Book Antiqua" w:hAnsi="Book Antiqua" w:eastAsia="PMingLiU"/>
        </w:rPr>
        <w:t>.</w:t>
      </w:r>
    </w:p>
    <w:p>
      <w:pPr>
        <w:snapToGrid w:val="0"/>
        <w:spacing w:line="360" w:lineRule="auto"/>
        <w:jc w:val="both"/>
        <w:rPr>
          <w:rFonts w:ascii="Book Antiqua" w:hAnsi="Book Antiqua" w:eastAsia="PMingLiU"/>
          <w:b/>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PMingLiU"/>
        </w:rPr>
      </w:pPr>
      <w:bookmarkStart w:id="119" w:name="_Hlk92368113"/>
      <w:r>
        <w:rPr>
          <w:rFonts w:ascii="Book Antiqua" w:hAnsi="Book Antiqua" w:eastAsia="PMingLiU"/>
          <w:b/>
        </w:rPr>
        <w:t xml:space="preserve">Table 3 </w:t>
      </w:r>
      <w:r>
        <w:rPr>
          <w:rFonts w:ascii="Book Antiqua" w:hAnsi="Book Antiqua" w:eastAsia="PMingLiU"/>
          <w:b/>
          <w:bCs/>
        </w:rPr>
        <w:t xml:space="preserve">Reported prevalence of concomitant </w:t>
      </w:r>
      <w:r>
        <w:rPr>
          <w:rFonts w:ascii="Book Antiqua" w:hAnsi="Book Antiqua"/>
          <w:b/>
          <w:bCs/>
        </w:rPr>
        <w:t>autoimmune liver diseases</w:t>
      </w:r>
      <w:r>
        <w:rPr>
          <w:rFonts w:ascii="Book Antiqua" w:hAnsi="Book Antiqua" w:eastAsia="PMingLiU"/>
          <w:b/>
          <w:bCs/>
        </w:rPr>
        <w:t xml:space="preserve"> in different </w:t>
      </w:r>
      <w:r>
        <w:rPr>
          <w:rFonts w:ascii="Book Antiqua" w:hAnsi="Book Antiqua"/>
          <w:b/>
          <w:bCs/>
        </w:rPr>
        <w:t>systemic rheumatic diseases</w:t>
      </w:r>
    </w:p>
    <w:tbl>
      <w:tblPr>
        <w:tblStyle w:val="5"/>
        <w:tblW w:w="0" w:type="auto"/>
        <w:tblInd w:w="0" w:type="dxa"/>
        <w:tblLayout w:type="fixed"/>
        <w:tblCellMar>
          <w:top w:w="0" w:type="dxa"/>
          <w:left w:w="28" w:type="dxa"/>
          <w:bottom w:w="0" w:type="dxa"/>
          <w:right w:w="28" w:type="dxa"/>
        </w:tblCellMar>
      </w:tblPr>
      <w:tblGrid>
        <w:gridCol w:w="1502"/>
        <w:gridCol w:w="1502"/>
        <w:gridCol w:w="1503"/>
        <w:gridCol w:w="1503"/>
        <w:gridCol w:w="1503"/>
      </w:tblGrid>
      <w:tr>
        <w:tblPrEx>
          <w:tblCellMar>
            <w:top w:w="0" w:type="dxa"/>
            <w:left w:w="28" w:type="dxa"/>
            <w:bottom w:w="0" w:type="dxa"/>
            <w:right w:w="28" w:type="dxa"/>
          </w:tblCellMar>
        </w:tblPrEx>
        <w:tc>
          <w:tcPr>
            <w:tcW w:w="1502" w:type="dxa"/>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eastAsia="MingLiU"/>
                <w:b/>
                <w:color w:val="000000"/>
              </w:rPr>
            </w:pPr>
            <w:r>
              <w:rPr>
                <w:rFonts w:ascii="Book Antiqua" w:hAnsi="Book Antiqua" w:eastAsia="MingLiU"/>
                <w:b/>
                <w:color w:val="000000"/>
              </w:rPr>
              <w:t>Category</w:t>
            </w:r>
          </w:p>
        </w:tc>
        <w:tc>
          <w:tcPr>
            <w:tcW w:w="1502" w:type="dxa"/>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eastAsia="MingLiU"/>
                <w:b/>
                <w:color w:val="000000"/>
              </w:rPr>
            </w:pPr>
            <w:r>
              <w:rPr>
                <w:rFonts w:ascii="Book Antiqua" w:hAnsi="Book Antiqua" w:eastAsia="MingLiU"/>
                <w:b/>
                <w:color w:val="000000"/>
              </w:rPr>
              <w:t>AIH</w:t>
            </w:r>
          </w:p>
        </w:tc>
        <w:tc>
          <w:tcPr>
            <w:tcW w:w="1503" w:type="dxa"/>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eastAsia="MingLiU"/>
                <w:b/>
                <w:color w:val="000000"/>
              </w:rPr>
            </w:pPr>
            <w:r>
              <w:rPr>
                <w:rFonts w:ascii="Book Antiqua" w:hAnsi="Book Antiqua" w:eastAsia="MingLiU"/>
                <w:b/>
                <w:color w:val="000000"/>
              </w:rPr>
              <w:t>PBC</w:t>
            </w:r>
          </w:p>
        </w:tc>
        <w:tc>
          <w:tcPr>
            <w:tcW w:w="1503" w:type="dxa"/>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eastAsia="MingLiU"/>
                <w:b/>
                <w:color w:val="000000"/>
              </w:rPr>
            </w:pPr>
            <w:r>
              <w:rPr>
                <w:rFonts w:ascii="Book Antiqua" w:hAnsi="Book Antiqua" w:eastAsia="MingLiU"/>
                <w:b/>
                <w:color w:val="000000"/>
              </w:rPr>
              <w:t>PSC</w:t>
            </w:r>
          </w:p>
        </w:tc>
        <w:tc>
          <w:tcPr>
            <w:tcW w:w="1503" w:type="dxa"/>
            <w:tcBorders>
              <w:top w:val="single" w:color="auto" w:sz="4" w:space="0"/>
              <w:bottom w:val="single" w:color="auto" w:sz="4" w:space="0"/>
            </w:tcBorders>
          </w:tcPr>
          <w:p>
            <w:pPr>
              <w:autoSpaceDE w:val="0"/>
              <w:autoSpaceDN w:val="0"/>
              <w:adjustRightInd w:val="0"/>
              <w:snapToGrid w:val="0"/>
              <w:spacing w:line="360" w:lineRule="auto"/>
              <w:jc w:val="both"/>
              <w:rPr>
                <w:rFonts w:ascii="Book Antiqua" w:hAnsi="Book Antiqua" w:eastAsia="MingLiU"/>
                <w:b/>
                <w:color w:val="000000"/>
              </w:rPr>
            </w:pPr>
            <w:r>
              <w:rPr>
                <w:rFonts w:ascii="Book Antiqua" w:hAnsi="Book Antiqua" w:eastAsia="MingLiU"/>
                <w:b/>
                <w:color w:val="000000"/>
              </w:rPr>
              <w:t>AIH/PBC OS</w:t>
            </w:r>
          </w:p>
        </w:tc>
      </w:tr>
      <w:tr>
        <w:tblPrEx>
          <w:tblCellMar>
            <w:top w:w="0" w:type="dxa"/>
            <w:left w:w="28" w:type="dxa"/>
            <w:bottom w:w="0" w:type="dxa"/>
            <w:right w:w="28" w:type="dxa"/>
          </w:tblCellMar>
        </w:tblPrEx>
        <w:tc>
          <w:tcPr>
            <w:tcW w:w="1502" w:type="dxa"/>
            <w:tcBorders>
              <w:top w:val="single" w:color="auto" w:sz="4" w:space="0"/>
            </w:tcBorders>
          </w:tcPr>
          <w:p>
            <w:pPr>
              <w:autoSpaceDE w:val="0"/>
              <w:autoSpaceDN w:val="0"/>
              <w:adjustRightInd w:val="0"/>
              <w:snapToGrid w:val="0"/>
              <w:spacing w:line="360" w:lineRule="auto"/>
              <w:jc w:val="both"/>
              <w:rPr>
                <w:rFonts w:ascii="Book Antiqua" w:hAnsi="Book Antiqua" w:eastAsia="MingLiU"/>
                <w:bCs/>
                <w:color w:val="000000"/>
              </w:rPr>
            </w:pPr>
            <w:r>
              <w:rPr>
                <w:rFonts w:ascii="Book Antiqua" w:hAnsi="Book Antiqua" w:eastAsia="MingLiU"/>
                <w:bCs/>
                <w:color w:val="000000"/>
              </w:rPr>
              <w:t>SLE</w:t>
            </w:r>
          </w:p>
        </w:tc>
        <w:tc>
          <w:tcPr>
            <w:tcW w:w="1502" w:type="dxa"/>
            <w:tcBorders>
              <w:top w:val="single" w:color="auto" w:sz="4" w:space="0"/>
            </w:tcBorders>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1.6%-15%</w:t>
            </w:r>
          </w:p>
        </w:tc>
        <w:tc>
          <w:tcPr>
            <w:tcW w:w="1503" w:type="dxa"/>
            <w:tcBorders>
              <w:top w:val="single" w:color="auto" w:sz="4" w:space="0"/>
            </w:tcBorders>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2.2%-7.5%</w:t>
            </w:r>
          </w:p>
        </w:tc>
        <w:tc>
          <w:tcPr>
            <w:tcW w:w="1503" w:type="dxa"/>
            <w:tcBorders>
              <w:top w:val="single" w:color="auto" w:sz="4" w:space="0"/>
            </w:tcBorders>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CR</w:t>
            </w:r>
          </w:p>
        </w:tc>
        <w:tc>
          <w:tcPr>
            <w:tcW w:w="1503" w:type="dxa"/>
            <w:tcBorders>
              <w:top w:val="single" w:color="auto" w:sz="4" w:space="0"/>
            </w:tcBorders>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CR</w:t>
            </w:r>
          </w:p>
        </w:tc>
      </w:tr>
      <w:tr>
        <w:tblPrEx>
          <w:tblCellMar>
            <w:top w:w="0" w:type="dxa"/>
            <w:left w:w="28" w:type="dxa"/>
            <w:bottom w:w="0" w:type="dxa"/>
            <w:right w:w="28" w:type="dxa"/>
          </w:tblCellMar>
        </w:tblPrEx>
        <w:tc>
          <w:tcPr>
            <w:tcW w:w="1502" w:type="dxa"/>
          </w:tcPr>
          <w:p>
            <w:pPr>
              <w:autoSpaceDE w:val="0"/>
              <w:autoSpaceDN w:val="0"/>
              <w:adjustRightInd w:val="0"/>
              <w:snapToGrid w:val="0"/>
              <w:spacing w:line="360" w:lineRule="auto"/>
              <w:jc w:val="both"/>
              <w:rPr>
                <w:rFonts w:ascii="Book Antiqua" w:hAnsi="Book Antiqua" w:eastAsia="MingLiU"/>
                <w:bCs/>
                <w:color w:val="000000"/>
              </w:rPr>
            </w:pPr>
            <w:r>
              <w:rPr>
                <w:rFonts w:ascii="Book Antiqua" w:hAnsi="Book Antiqua" w:eastAsia="MingLiU"/>
                <w:bCs/>
                <w:color w:val="000000"/>
              </w:rPr>
              <w:t>SS</w:t>
            </w:r>
          </w:p>
        </w:tc>
        <w:tc>
          <w:tcPr>
            <w:tcW w:w="1502" w:type="dxa"/>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0.4%-4.4%</w:t>
            </w:r>
          </w:p>
        </w:tc>
        <w:tc>
          <w:tcPr>
            <w:tcW w:w="1503" w:type="dxa"/>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3.4%-8.9%</w:t>
            </w:r>
          </w:p>
        </w:tc>
        <w:tc>
          <w:tcPr>
            <w:tcW w:w="1503" w:type="dxa"/>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CR</w:t>
            </w:r>
          </w:p>
        </w:tc>
        <w:tc>
          <w:tcPr>
            <w:tcW w:w="1503" w:type="dxa"/>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CR</w:t>
            </w:r>
          </w:p>
        </w:tc>
      </w:tr>
      <w:tr>
        <w:tblPrEx>
          <w:tblCellMar>
            <w:top w:w="0" w:type="dxa"/>
            <w:left w:w="28" w:type="dxa"/>
            <w:bottom w:w="0" w:type="dxa"/>
            <w:right w:w="28" w:type="dxa"/>
          </w:tblCellMar>
        </w:tblPrEx>
        <w:tc>
          <w:tcPr>
            <w:tcW w:w="1502" w:type="dxa"/>
          </w:tcPr>
          <w:p>
            <w:pPr>
              <w:autoSpaceDE w:val="0"/>
              <w:autoSpaceDN w:val="0"/>
              <w:adjustRightInd w:val="0"/>
              <w:snapToGrid w:val="0"/>
              <w:spacing w:line="360" w:lineRule="auto"/>
              <w:jc w:val="both"/>
              <w:rPr>
                <w:rFonts w:ascii="Book Antiqua" w:hAnsi="Book Antiqua" w:eastAsia="MingLiU"/>
                <w:bCs/>
                <w:color w:val="000000"/>
              </w:rPr>
            </w:pPr>
            <w:r>
              <w:rPr>
                <w:rFonts w:ascii="Book Antiqua" w:hAnsi="Book Antiqua" w:eastAsia="MingLiU"/>
                <w:bCs/>
                <w:color w:val="000000"/>
              </w:rPr>
              <w:t>SSc</w:t>
            </w:r>
          </w:p>
        </w:tc>
        <w:tc>
          <w:tcPr>
            <w:tcW w:w="1502" w:type="dxa"/>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CR</w:t>
            </w:r>
          </w:p>
        </w:tc>
        <w:tc>
          <w:tcPr>
            <w:tcW w:w="1503" w:type="dxa"/>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0.8%-3.3%</w:t>
            </w:r>
          </w:p>
        </w:tc>
        <w:tc>
          <w:tcPr>
            <w:tcW w:w="1503" w:type="dxa"/>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CR</w:t>
            </w:r>
          </w:p>
        </w:tc>
        <w:tc>
          <w:tcPr>
            <w:tcW w:w="1503" w:type="dxa"/>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CR</w:t>
            </w:r>
          </w:p>
        </w:tc>
      </w:tr>
      <w:tr>
        <w:tblPrEx>
          <w:tblCellMar>
            <w:top w:w="0" w:type="dxa"/>
            <w:left w:w="28" w:type="dxa"/>
            <w:bottom w:w="0" w:type="dxa"/>
            <w:right w:w="28" w:type="dxa"/>
          </w:tblCellMar>
        </w:tblPrEx>
        <w:tc>
          <w:tcPr>
            <w:tcW w:w="1502" w:type="dxa"/>
          </w:tcPr>
          <w:p>
            <w:pPr>
              <w:autoSpaceDE w:val="0"/>
              <w:autoSpaceDN w:val="0"/>
              <w:adjustRightInd w:val="0"/>
              <w:snapToGrid w:val="0"/>
              <w:spacing w:line="360" w:lineRule="auto"/>
              <w:jc w:val="both"/>
              <w:rPr>
                <w:rFonts w:ascii="Book Antiqua" w:hAnsi="Book Antiqua" w:eastAsia="MingLiU"/>
                <w:bCs/>
                <w:color w:val="000000"/>
              </w:rPr>
            </w:pPr>
            <w:r>
              <w:rPr>
                <w:rFonts w:ascii="Book Antiqua" w:hAnsi="Book Antiqua" w:eastAsia="MingLiU"/>
                <w:bCs/>
                <w:color w:val="000000"/>
              </w:rPr>
              <w:t>RA</w:t>
            </w:r>
          </w:p>
        </w:tc>
        <w:tc>
          <w:tcPr>
            <w:tcW w:w="1502" w:type="dxa"/>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1.3%</w:t>
            </w:r>
          </w:p>
        </w:tc>
        <w:tc>
          <w:tcPr>
            <w:tcW w:w="1503" w:type="dxa"/>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3.8%-6.3%</w:t>
            </w:r>
          </w:p>
        </w:tc>
        <w:tc>
          <w:tcPr>
            <w:tcW w:w="1503" w:type="dxa"/>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CR</w:t>
            </w:r>
          </w:p>
        </w:tc>
        <w:tc>
          <w:tcPr>
            <w:tcW w:w="1503" w:type="dxa"/>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CR</w:t>
            </w:r>
          </w:p>
        </w:tc>
      </w:tr>
      <w:tr>
        <w:tblPrEx>
          <w:tblCellMar>
            <w:top w:w="0" w:type="dxa"/>
            <w:left w:w="28" w:type="dxa"/>
            <w:bottom w:w="0" w:type="dxa"/>
            <w:right w:w="28" w:type="dxa"/>
          </w:tblCellMar>
        </w:tblPrEx>
        <w:tc>
          <w:tcPr>
            <w:tcW w:w="1502" w:type="dxa"/>
          </w:tcPr>
          <w:p>
            <w:pPr>
              <w:autoSpaceDE w:val="0"/>
              <w:autoSpaceDN w:val="0"/>
              <w:adjustRightInd w:val="0"/>
              <w:snapToGrid w:val="0"/>
              <w:spacing w:line="360" w:lineRule="auto"/>
              <w:jc w:val="both"/>
              <w:rPr>
                <w:rFonts w:ascii="Book Antiqua" w:hAnsi="Book Antiqua" w:eastAsia="MingLiU"/>
                <w:bCs/>
                <w:color w:val="000000"/>
              </w:rPr>
            </w:pPr>
            <w:r>
              <w:rPr>
                <w:rFonts w:ascii="Book Antiqua" w:hAnsi="Book Antiqua" w:eastAsia="MingLiU"/>
                <w:bCs/>
                <w:color w:val="000000"/>
              </w:rPr>
              <w:t>IIM</w:t>
            </w:r>
          </w:p>
        </w:tc>
        <w:tc>
          <w:tcPr>
            <w:tcW w:w="1502" w:type="dxa"/>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CR</w:t>
            </w:r>
          </w:p>
        </w:tc>
        <w:tc>
          <w:tcPr>
            <w:tcW w:w="1503" w:type="dxa"/>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0.7%</w:t>
            </w:r>
          </w:p>
        </w:tc>
        <w:tc>
          <w:tcPr>
            <w:tcW w:w="1503" w:type="dxa"/>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CR</w:t>
            </w:r>
          </w:p>
        </w:tc>
        <w:tc>
          <w:tcPr>
            <w:tcW w:w="1503" w:type="dxa"/>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CR</w:t>
            </w:r>
          </w:p>
        </w:tc>
      </w:tr>
      <w:tr>
        <w:tblPrEx>
          <w:tblCellMar>
            <w:top w:w="0" w:type="dxa"/>
            <w:left w:w="28" w:type="dxa"/>
            <w:bottom w:w="0" w:type="dxa"/>
            <w:right w:w="28" w:type="dxa"/>
          </w:tblCellMar>
        </w:tblPrEx>
        <w:tc>
          <w:tcPr>
            <w:tcW w:w="1502" w:type="dxa"/>
            <w:tcBorders>
              <w:bottom w:val="single" w:color="auto" w:sz="4" w:space="0"/>
            </w:tcBorders>
          </w:tcPr>
          <w:p>
            <w:pPr>
              <w:autoSpaceDE w:val="0"/>
              <w:autoSpaceDN w:val="0"/>
              <w:adjustRightInd w:val="0"/>
              <w:snapToGrid w:val="0"/>
              <w:spacing w:line="360" w:lineRule="auto"/>
              <w:jc w:val="both"/>
              <w:rPr>
                <w:rFonts w:ascii="Book Antiqua" w:hAnsi="Book Antiqua" w:eastAsia="MingLiU"/>
                <w:bCs/>
                <w:color w:val="000000"/>
              </w:rPr>
            </w:pPr>
            <w:r>
              <w:rPr>
                <w:rFonts w:ascii="Book Antiqua" w:hAnsi="Book Antiqua" w:eastAsia="MingLiU"/>
                <w:bCs/>
                <w:color w:val="000000"/>
              </w:rPr>
              <w:t>MCTD</w:t>
            </w:r>
          </w:p>
        </w:tc>
        <w:tc>
          <w:tcPr>
            <w:tcW w:w="1502" w:type="dxa"/>
            <w:tcBorders>
              <w:bottom w:val="single" w:color="auto" w:sz="4" w:space="0"/>
            </w:tcBorders>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1.6%</w:t>
            </w:r>
          </w:p>
        </w:tc>
        <w:tc>
          <w:tcPr>
            <w:tcW w:w="1503" w:type="dxa"/>
            <w:tcBorders>
              <w:bottom w:val="single" w:color="auto" w:sz="4" w:space="0"/>
            </w:tcBorders>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CR</w:t>
            </w:r>
          </w:p>
        </w:tc>
        <w:tc>
          <w:tcPr>
            <w:tcW w:w="1503" w:type="dxa"/>
            <w:tcBorders>
              <w:bottom w:val="single" w:color="auto" w:sz="4" w:space="0"/>
            </w:tcBorders>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NA</w:t>
            </w:r>
          </w:p>
        </w:tc>
        <w:tc>
          <w:tcPr>
            <w:tcW w:w="1503" w:type="dxa"/>
            <w:tcBorders>
              <w:bottom w:val="single" w:color="auto" w:sz="4" w:space="0"/>
            </w:tcBorders>
          </w:tcPr>
          <w:p>
            <w:pPr>
              <w:autoSpaceDE w:val="0"/>
              <w:autoSpaceDN w:val="0"/>
              <w:adjustRightInd w:val="0"/>
              <w:snapToGrid w:val="0"/>
              <w:spacing w:line="360" w:lineRule="auto"/>
              <w:jc w:val="both"/>
              <w:rPr>
                <w:rFonts w:ascii="Book Antiqua" w:hAnsi="Book Antiqua" w:eastAsia="MingLiU"/>
                <w:color w:val="000000"/>
              </w:rPr>
            </w:pPr>
            <w:r>
              <w:rPr>
                <w:rFonts w:ascii="Book Antiqua" w:hAnsi="Book Antiqua" w:eastAsia="MingLiU"/>
                <w:color w:val="000000"/>
              </w:rPr>
              <w:t>NA</w:t>
            </w:r>
          </w:p>
        </w:tc>
      </w:tr>
      <w:bookmarkEnd w:id="119"/>
    </w:tbl>
    <w:p>
      <w:pPr>
        <w:snapToGrid w:val="0"/>
        <w:spacing w:line="360" w:lineRule="auto"/>
        <w:jc w:val="both"/>
        <w:rPr>
          <w:rFonts w:ascii="Book Antiqua" w:hAnsi="Book Antiqua" w:eastAsia="PMingLiU"/>
        </w:rPr>
      </w:pPr>
      <w:r>
        <w:rPr>
          <w:rFonts w:ascii="Book Antiqua" w:hAnsi="Book Antiqua" w:eastAsia="PMingLiU"/>
        </w:rPr>
        <w:t xml:space="preserve">AIH: Autoimmune hepatitis; APS: Antiphospholipid syndrome; CR: Case report; IIM: Idiopathic inflammatory myopathies; NA: Not available; OS: Overlap syndrome; PBC: Primary biliary cholangitis; PSC: Primary sclerosing cholangitis; RA: Rheumatoid arthritis; SLE: Systemic lupus erythematosus; SS: Sjögren syndrome; SSc: </w:t>
      </w:r>
      <w:bookmarkStart w:id="120" w:name="_Hlk86599002"/>
      <w:r>
        <w:rPr>
          <w:rFonts w:ascii="Book Antiqua" w:hAnsi="Book Antiqua" w:eastAsia="PMingLiU"/>
        </w:rPr>
        <w:t>Systemic sclerosis.</w:t>
      </w:r>
      <w:bookmarkEnd w:id="120"/>
    </w:p>
    <w:p>
      <w:pPr>
        <w:snapToGrid w:val="0"/>
        <w:spacing w:line="360" w:lineRule="auto"/>
        <w:jc w:val="both"/>
        <w:rPr>
          <w:rFonts w:ascii="Book Antiqua" w:hAnsi="Book Antiqua" w:eastAsia="PMingLiU"/>
        </w:rPr>
        <w:sectPr>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eastAsia="PMingLiU"/>
          <w:b/>
        </w:rPr>
      </w:pPr>
      <w:r>
        <w:rPr>
          <w:rFonts w:ascii="Book Antiqua" w:hAnsi="Book Antiqua" w:eastAsia="PMingLiU"/>
          <w:b/>
        </w:rPr>
        <w:t xml:space="preserve">Table 4 </w:t>
      </w:r>
      <w:r>
        <w:rPr>
          <w:rFonts w:ascii="Book Antiqua" w:hAnsi="Book Antiqua" w:eastAsia="PMingLiU"/>
          <w:b/>
          <w:bCs/>
        </w:rPr>
        <w:t>Clinical, laboratory, therapeutic and outcome data in 3 patients with systemic lupus erythematosus-autoimmune hepatitis overlap disease</w:t>
      </w:r>
      <w:r>
        <w:rPr>
          <w:rFonts w:ascii="Book Antiqua" w:hAnsi="Book Antiqua" w:eastAsia="PMingLiU"/>
          <w:b/>
          <w:bCs/>
          <w:vertAlign w:val="superscript"/>
        </w:rPr>
        <w:t>1</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4"/>
        <w:gridCol w:w="2573"/>
        <w:gridCol w:w="2855"/>
        <w:gridCol w:w="2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nil"/>
              <w:bottom w:val="single" w:color="auto" w:sz="4" w:space="0"/>
              <w:right w:val="nil"/>
            </w:tcBorders>
          </w:tcPr>
          <w:p>
            <w:pPr>
              <w:autoSpaceDE w:val="0"/>
              <w:autoSpaceDN w:val="0"/>
              <w:adjustRightInd w:val="0"/>
              <w:snapToGrid w:val="0"/>
              <w:spacing w:line="360" w:lineRule="auto"/>
              <w:jc w:val="both"/>
              <w:rPr>
                <w:rFonts w:ascii="Book Antiqua" w:hAnsi="Book Antiqua" w:eastAsia="MingLiU" w:cs="Times New Roman"/>
                <w:b/>
                <w:color w:val="000000"/>
              </w:rPr>
            </w:pPr>
            <w:r>
              <w:rPr>
                <w:rFonts w:ascii="Book Antiqua" w:hAnsi="Book Antiqua" w:eastAsia="MingLiU" w:cs="Times New Roman"/>
                <w:b/>
                <w:color w:val="000000"/>
              </w:rPr>
              <w:t>Patient number</w:t>
            </w:r>
          </w:p>
        </w:tc>
        <w:tc>
          <w:tcPr>
            <w:tcW w:w="0" w:type="auto"/>
            <w:tcBorders>
              <w:top w:val="single" w:color="auto" w:sz="4" w:space="0"/>
              <w:left w:val="nil"/>
              <w:bottom w:val="single" w:color="auto" w:sz="4" w:space="0"/>
              <w:right w:val="nil"/>
            </w:tcBorders>
          </w:tcPr>
          <w:p>
            <w:pPr>
              <w:snapToGrid w:val="0"/>
              <w:spacing w:line="360" w:lineRule="auto"/>
              <w:jc w:val="both"/>
              <w:rPr>
                <w:rFonts w:ascii="Book Antiqua" w:hAnsi="Book Antiqua" w:eastAsia="PMingLiU" w:cs="Times New Roman"/>
                <w:b/>
                <w:bCs/>
              </w:rPr>
            </w:pPr>
            <w:r>
              <w:rPr>
                <w:rFonts w:ascii="Book Antiqua" w:hAnsi="Book Antiqua" w:eastAsia="MingLiU" w:cs="Times New Roman"/>
                <w:b/>
                <w:color w:val="000000"/>
              </w:rPr>
              <w:t>1</w:t>
            </w:r>
          </w:p>
        </w:tc>
        <w:tc>
          <w:tcPr>
            <w:tcW w:w="0" w:type="auto"/>
            <w:tcBorders>
              <w:top w:val="single" w:color="auto" w:sz="4" w:space="0"/>
              <w:left w:val="nil"/>
              <w:bottom w:val="single" w:color="auto" w:sz="4" w:space="0"/>
              <w:right w:val="nil"/>
            </w:tcBorders>
          </w:tcPr>
          <w:p>
            <w:pPr>
              <w:snapToGrid w:val="0"/>
              <w:spacing w:line="360" w:lineRule="auto"/>
              <w:jc w:val="both"/>
              <w:rPr>
                <w:rFonts w:ascii="Book Antiqua" w:hAnsi="Book Antiqua" w:eastAsia="PMingLiU" w:cs="Times New Roman"/>
                <w:b/>
                <w:bCs/>
              </w:rPr>
            </w:pPr>
            <w:r>
              <w:rPr>
                <w:rFonts w:ascii="Book Antiqua" w:hAnsi="Book Antiqua" w:eastAsia="MingLiU" w:cs="Times New Roman"/>
                <w:b/>
                <w:color w:val="000000"/>
              </w:rPr>
              <w:t>2</w:t>
            </w:r>
          </w:p>
        </w:tc>
        <w:tc>
          <w:tcPr>
            <w:tcW w:w="0" w:type="auto"/>
            <w:tcBorders>
              <w:top w:val="single" w:color="auto" w:sz="4" w:space="0"/>
              <w:left w:val="nil"/>
              <w:bottom w:val="single" w:color="auto" w:sz="4" w:space="0"/>
              <w:right w:val="nil"/>
            </w:tcBorders>
          </w:tcPr>
          <w:p>
            <w:pPr>
              <w:snapToGrid w:val="0"/>
              <w:spacing w:line="360" w:lineRule="auto"/>
              <w:jc w:val="both"/>
              <w:rPr>
                <w:rFonts w:ascii="Book Antiqua" w:hAnsi="Book Antiqua" w:eastAsia="PMingLiU" w:cs="Times New Roman"/>
                <w:b/>
                <w:bCs/>
              </w:rPr>
            </w:pPr>
            <w:r>
              <w:rPr>
                <w:rFonts w:ascii="Book Antiqua" w:hAnsi="Book Antiqua" w:eastAsia="MingLiU" w:cs="Times New Roman"/>
                <w:b/>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nil"/>
              <w:bottom w:val="nil"/>
              <w:right w:val="nil"/>
            </w:tcBorders>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Sex</w:t>
            </w:r>
          </w:p>
        </w:tc>
        <w:tc>
          <w:tcPr>
            <w:tcW w:w="0" w:type="auto"/>
            <w:tcBorders>
              <w:top w:val="single" w:color="auto" w:sz="4" w:space="0"/>
              <w:left w:val="nil"/>
              <w:bottom w:val="nil"/>
              <w:right w:val="nil"/>
            </w:tcBorders>
          </w:tcPr>
          <w:p>
            <w:pPr>
              <w:snapToGrid w:val="0"/>
              <w:spacing w:line="360" w:lineRule="auto"/>
              <w:jc w:val="both"/>
              <w:rPr>
                <w:rFonts w:ascii="Book Antiqua" w:hAnsi="Book Antiqua" w:eastAsia="PMingLiU" w:cs="Times New Roman"/>
              </w:rPr>
            </w:pPr>
            <w:r>
              <w:rPr>
                <w:rFonts w:ascii="Book Antiqua" w:hAnsi="Book Antiqua" w:eastAsia="PMingLiU" w:cs="Times New Roman"/>
              </w:rPr>
              <w:t>Female</w:t>
            </w:r>
          </w:p>
        </w:tc>
        <w:tc>
          <w:tcPr>
            <w:tcW w:w="0" w:type="auto"/>
            <w:tcBorders>
              <w:top w:val="single" w:color="auto" w:sz="4" w:space="0"/>
              <w:left w:val="nil"/>
              <w:bottom w:val="nil"/>
              <w:right w:val="nil"/>
            </w:tcBorders>
          </w:tcPr>
          <w:p>
            <w:pPr>
              <w:snapToGrid w:val="0"/>
              <w:spacing w:line="360" w:lineRule="auto"/>
              <w:jc w:val="both"/>
              <w:rPr>
                <w:rFonts w:ascii="Book Antiqua" w:hAnsi="Book Antiqua" w:eastAsia="PMingLiU" w:cs="Times New Roman"/>
              </w:rPr>
            </w:pPr>
            <w:r>
              <w:rPr>
                <w:rFonts w:ascii="Book Antiqua" w:hAnsi="Book Antiqua" w:eastAsia="PMingLiU" w:cs="Times New Roman"/>
              </w:rPr>
              <w:t>Female</w:t>
            </w:r>
          </w:p>
        </w:tc>
        <w:tc>
          <w:tcPr>
            <w:tcW w:w="0" w:type="auto"/>
            <w:tcBorders>
              <w:top w:val="single" w:color="auto" w:sz="4" w:space="0"/>
              <w:left w:val="nil"/>
              <w:bottom w:val="nil"/>
              <w:right w:val="nil"/>
            </w:tcBorders>
          </w:tcPr>
          <w:p>
            <w:pPr>
              <w:snapToGrid w:val="0"/>
              <w:spacing w:line="360" w:lineRule="auto"/>
              <w:jc w:val="both"/>
              <w:rPr>
                <w:rFonts w:ascii="Book Antiqua" w:hAnsi="Book Antiqua" w:eastAsia="PMingLiU" w:cs="Times New Roman"/>
              </w:rPr>
            </w:pPr>
            <w:r>
              <w:rPr>
                <w:rFonts w:ascii="Book Antiqua" w:hAnsi="Book Antiqua" w:eastAsia="PMingLiU" w:cs="Times New Roman"/>
              </w:rPr>
              <w:t>Female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SLE Dx age</w:t>
            </w:r>
          </w:p>
        </w:tc>
        <w:tc>
          <w:tcPr>
            <w:tcW w:w="0" w:type="auto"/>
            <w:tcBorders>
              <w:top w:val="nil"/>
              <w:left w:val="nil"/>
              <w:bottom w:val="nil"/>
              <w:right w:val="nil"/>
            </w:tcBorders>
          </w:tcPr>
          <w:p>
            <w:pPr>
              <w:snapToGrid w:val="0"/>
              <w:spacing w:line="360" w:lineRule="auto"/>
              <w:jc w:val="both"/>
              <w:rPr>
                <w:rFonts w:ascii="Book Antiqua" w:hAnsi="Book Antiqua" w:eastAsia="PMingLiU" w:cs="Times New Roman"/>
              </w:rPr>
            </w:pPr>
            <w:r>
              <w:rPr>
                <w:rFonts w:ascii="Book Antiqua" w:hAnsi="Book Antiqua" w:eastAsia="PMingLiU" w:cs="Times New Roman"/>
              </w:rPr>
              <w:t>19</w:t>
            </w:r>
          </w:p>
        </w:tc>
        <w:tc>
          <w:tcPr>
            <w:tcW w:w="0" w:type="auto"/>
            <w:tcBorders>
              <w:top w:val="nil"/>
              <w:left w:val="nil"/>
              <w:bottom w:val="nil"/>
              <w:right w:val="nil"/>
            </w:tcBorders>
          </w:tcPr>
          <w:p>
            <w:pPr>
              <w:snapToGrid w:val="0"/>
              <w:spacing w:line="360" w:lineRule="auto"/>
              <w:jc w:val="both"/>
              <w:rPr>
                <w:rFonts w:ascii="Book Antiqua" w:hAnsi="Book Antiqua" w:eastAsia="PMingLiU" w:cs="Times New Roman"/>
              </w:rPr>
            </w:pPr>
            <w:r>
              <w:rPr>
                <w:rFonts w:ascii="Book Antiqua" w:hAnsi="Book Antiqua" w:eastAsia="PMingLiU" w:cs="Times New Roman"/>
              </w:rPr>
              <w:t>50</w:t>
            </w:r>
          </w:p>
        </w:tc>
        <w:tc>
          <w:tcPr>
            <w:tcW w:w="0" w:type="auto"/>
            <w:tcBorders>
              <w:top w:val="nil"/>
              <w:left w:val="nil"/>
              <w:bottom w:val="nil"/>
              <w:right w:val="nil"/>
            </w:tcBorders>
          </w:tcPr>
          <w:p>
            <w:pPr>
              <w:snapToGrid w:val="0"/>
              <w:spacing w:line="360" w:lineRule="auto"/>
              <w:jc w:val="both"/>
              <w:rPr>
                <w:rFonts w:ascii="Book Antiqua" w:hAnsi="Book Antiqua" w:eastAsia="PMingLiU" w:cs="Times New Roman"/>
              </w:rPr>
            </w:pPr>
            <w:r>
              <w:rPr>
                <w:rFonts w:ascii="Book Antiqua" w:hAnsi="Book Antiqua" w:eastAsia="PMingLiU"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ACR criteria</w:t>
            </w:r>
          </w:p>
        </w:tc>
        <w:tc>
          <w:tcPr>
            <w:tcW w:w="0" w:type="auto"/>
            <w:tcBorders>
              <w:top w:val="nil"/>
              <w:left w:val="nil"/>
              <w:bottom w:val="nil"/>
              <w:right w:val="nil"/>
            </w:tcBorders>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8/11</w:t>
            </w:r>
          </w:p>
        </w:tc>
        <w:tc>
          <w:tcPr>
            <w:tcW w:w="0" w:type="auto"/>
            <w:tcBorders>
              <w:top w:val="nil"/>
              <w:left w:val="nil"/>
              <w:bottom w:val="nil"/>
              <w:right w:val="nil"/>
            </w:tcBorders>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7/11</w:t>
            </w:r>
          </w:p>
        </w:tc>
        <w:tc>
          <w:tcPr>
            <w:tcW w:w="0" w:type="auto"/>
            <w:tcBorders>
              <w:top w:val="nil"/>
              <w:left w:val="nil"/>
              <w:bottom w:val="nil"/>
              <w:right w:val="nil"/>
            </w:tcBorders>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AIH Dx age</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26</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37</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IAIHG score</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Definite</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Definite</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Definite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gridSpan w:val="4"/>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Clinical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bCs/>
                <w:color w:val="000000"/>
              </w:rPr>
            </w:pPr>
            <w:r>
              <w:rPr>
                <w:rFonts w:ascii="Book Antiqua" w:hAnsi="Book Antiqua" w:eastAsia="MingLiU" w:cs="Times New Roman"/>
                <w:bCs/>
                <w:color w:val="000000"/>
              </w:rPr>
              <w:t>SLE</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Skin, joint, renal, hematology, neurology</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Skin, joint, renal, hematology, serositis</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Skin, joint, renal, hematology, serositis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bCs/>
                <w:color w:val="000000"/>
              </w:rPr>
            </w:pPr>
            <w:r>
              <w:rPr>
                <w:rFonts w:ascii="Book Antiqua" w:hAnsi="Book Antiqua" w:eastAsia="MingLiU" w:cs="Times New Roman"/>
                <w:bCs/>
                <w:color w:val="000000"/>
              </w:rPr>
              <w:t>AILD complication</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Jaundice, malaise LC with PH</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Jaundice, pruritus hepatosplenomegaly</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Jaundice, anorexia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bCs/>
                <w:color w:val="000000"/>
              </w:rPr>
            </w:pPr>
            <w:r>
              <w:rPr>
                <w:rFonts w:ascii="Book Antiqua" w:hAnsi="Book Antiqua" w:eastAsia="MingLiU" w:cs="Times New Roman"/>
                <w:bCs/>
                <w:color w:val="000000"/>
              </w:rPr>
              <w:t>Coexistent AID</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Nil</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PBC, SS</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Nil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gridSpan w:val="4"/>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Laboratory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Hemogram</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HA, TP</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HA, TP, leukopenia</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TP, leukopenia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Proteinuria</w:t>
            </w:r>
            <w:r>
              <w:rPr>
                <w:rFonts w:hint="eastAsia" w:ascii="Book Antiqua" w:hAnsi="Book Antiqua" w:eastAsia="MingLiU" w:cs="Times New Roman"/>
                <w:color w:val="000000"/>
              </w:rPr>
              <w:t xml:space="preserve"> </w:t>
            </w:r>
            <w:r>
              <w:rPr>
                <w:rFonts w:ascii="Book Antiqua" w:hAnsi="Book Antiqua" w:eastAsia="MingLiU" w:cs="Times New Roman"/>
                <w:color w:val="000000"/>
              </w:rPr>
              <w:t>autoantibody</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2 g/d</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2.5 g/d</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1 g/d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SLE-related</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ANA, anti-dsDNA/Sm</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 xml:space="preserve">ANA, anti-dsDNA/Sm </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ANA, anti-dsDNA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AILD-related</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 xml:space="preserve">ASMA </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AMA, ASMA</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ASMA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Others</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ARPA, ANCA</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ARPA, anti-Ro/La</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ARPA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vertAlign w:val="superscript"/>
              </w:rPr>
              <w:t>2</w:t>
            </w:r>
            <w:r>
              <w:rPr>
                <w:rFonts w:ascii="Book Antiqua" w:hAnsi="Book Antiqua" w:eastAsia="MingLiU" w:cs="Times New Roman"/>
                <w:color w:val="000000"/>
              </w:rPr>
              <w:t>IgG (mg/dL)</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2130</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2520</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1615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vertAlign w:val="superscript"/>
              </w:rPr>
              <w:t>2</w:t>
            </w:r>
            <w:r>
              <w:rPr>
                <w:rFonts w:ascii="Book Antiqua" w:hAnsi="Book Antiqua" w:eastAsia="MingLiU" w:cs="Times New Roman"/>
                <w:color w:val="000000"/>
              </w:rPr>
              <w:t>AST (IU/L)</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1563</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116</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vertAlign w:val="superscript"/>
              </w:rPr>
              <w:t>2</w:t>
            </w:r>
            <w:r>
              <w:rPr>
                <w:rFonts w:ascii="Book Antiqua" w:hAnsi="Book Antiqua" w:eastAsia="MingLiU" w:cs="Times New Roman"/>
                <w:color w:val="000000"/>
              </w:rPr>
              <w:t>ALT (IU/L)</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1093</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217</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vertAlign w:val="superscript"/>
              </w:rPr>
              <w:t>2</w:t>
            </w:r>
            <w:r>
              <w:rPr>
                <w:rFonts w:ascii="Book Antiqua" w:hAnsi="Book Antiqua" w:eastAsia="MingLiU" w:cs="Times New Roman"/>
                <w:color w:val="000000"/>
              </w:rPr>
              <w:t>Bil (mg/dL)</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23.8</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3.7</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vertAlign w:val="superscript"/>
              </w:rPr>
              <w:t>2</w:t>
            </w:r>
            <w:r>
              <w:rPr>
                <w:rFonts w:ascii="Book Antiqua" w:hAnsi="Book Antiqua" w:eastAsia="MingLiU" w:cs="Times New Roman"/>
                <w:color w:val="000000"/>
              </w:rPr>
              <w:t>ALP (IU/L)</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432</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621</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HLA-DR</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DR8, DR15</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DR4, DR15</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DR4, DR7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color w:val="000000"/>
                <w:vertAlign w:val="superscript"/>
              </w:rPr>
            </w:pPr>
            <w:r>
              <w:rPr>
                <w:rFonts w:ascii="Book Antiqua" w:hAnsi="Book Antiqua" w:eastAsia="MingLiU" w:cs="Times New Roman"/>
                <w:color w:val="000000"/>
              </w:rPr>
              <w:t>VH</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 xml:space="preserve">No </w:t>
            </w:r>
            <w:r>
              <w:rPr>
                <w:rFonts w:ascii="Book Antiqua" w:hAnsi="Book Antiqua" w:eastAsia="MingLiU" w:cs="Times New Roman"/>
                <w:color w:val="000000"/>
                <w:vertAlign w:val="superscript"/>
              </w:rPr>
              <w:t>3</w:t>
            </w:r>
            <w:r>
              <w:rPr>
                <w:rFonts w:ascii="Book Antiqua" w:hAnsi="Book Antiqua" w:eastAsia="MingLiU" w:cs="Times New Roman"/>
                <w:color w:val="000000"/>
              </w:rPr>
              <w:t>HHV/CMV/EBV</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No HHV/CMV/EBV</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No HHV/CMV/EBV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bCs/>
                <w:color w:val="000000"/>
              </w:rPr>
              <w:t>Treatment</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CS/AZA,</w:t>
            </w:r>
            <w:r>
              <w:rPr>
                <w:rFonts w:hint="eastAsia" w:ascii="Book Antiqua" w:hAnsi="Book Antiqua" w:eastAsia="MingLiU" w:cs="Times New Roman"/>
                <w:color w:val="000000"/>
              </w:rPr>
              <w:t xml:space="preserve"> </w:t>
            </w:r>
            <w:r>
              <w:rPr>
                <w:rFonts w:ascii="Book Antiqua" w:hAnsi="Book Antiqua" w:eastAsia="MingLiU" w:cs="Times New Roman"/>
                <w:color w:val="000000"/>
              </w:rPr>
              <w:t>LDLT and low-dose CS/FK506 after OP</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CS/AZA, UDCA</w:t>
            </w:r>
            <w:r>
              <w:rPr>
                <w:rFonts w:hint="eastAsia" w:ascii="Book Antiqua" w:hAnsi="Book Antiqua" w:eastAsia="MingLiU" w:cs="Times New Roman"/>
                <w:color w:val="000000"/>
              </w:rPr>
              <w:t xml:space="preserve"> </w:t>
            </w:r>
            <w:r>
              <w:rPr>
                <w:rFonts w:ascii="Book Antiqua" w:hAnsi="Book Antiqua" w:eastAsia="MingLiU" w:cs="Times New Roman"/>
                <w:color w:val="000000"/>
              </w:rPr>
              <w:t>RTX</w:t>
            </w:r>
            <w:r>
              <w:rPr>
                <w:rFonts w:ascii="Book Antiqua" w:hAnsi="Book Antiqua" w:eastAsia="PMingLiU" w:cs="Times New Roman"/>
              </w:rPr>
              <w:t xml:space="preserve"> and low-dose CS for maintenance</w:t>
            </w:r>
          </w:p>
        </w:tc>
        <w:tc>
          <w:tcPr>
            <w:tcW w:w="0" w:type="auto"/>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CS/AZA, AZA for maintenance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single" w:color="auto" w:sz="4" w:space="0"/>
            </w:tcBorders>
          </w:tcPr>
          <w:p>
            <w:pPr>
              <w:autoSpaceDE w:val="0"/>
              <w:autoSpaceDN w:val="0"/>
              <w:adjustRightInd w:val="0"/>
              <w:snapToGrid w:val="0"/>
              <w:spacing w:line="360" w:lineRule="auto"/>
              <w:jc w:val="both"/>
              <w:rPr>
                <w:rFonts w:ascii="Book Antiqua" w:hAnsi="Book Antiqua" w:eastAsia="MingLiU" w:cs="Times New Roman"/>
                <w:bCs/>
                <w:color w:val="000000"/>
              </w:rPr>
            </w:pPr>
            <w:r>
              <w:rPr>
                <w:rFonts w:ascii="Book Antiqua" w:hAnsi="Book Antiqua" w:eastAsia="MingLiU" w:cs="Times New Roman"/>
                <w:bCs/>
                <w:color w:val="000000"/>
              </w:rPr>
              <w:t>Outcome</w:t>
            </w:r>
          </w:p>
        </w:tc>
        <w:tc>
          <w:tcPr>
            <w:tcW w:w="0" w:type="auto"/>
            <w:tcBorders>
              <w:bottom w:val="single" w:color="auto" w:sz="4" w:space="0"/>
            </w:tcBorders>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Stabilized LFT and low SLEDAI</w:t>
            </w:r>
          </w:p>
        </w:tc>
        <w:tc>
          <w:tcPr>
            <w:tcW w:w="0" w:type="auto"/>
            <w:tcBorders>
              <w:bottom w:val="single" w:color="auto" w:sz="4" w:space="0"/>
            </w:tcBorders>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Normalized LFT and low SLEDAI</w:t>
            </w:r>
          </w:p>
        </w:tc>
        <w:tc>
          <w:tcPr>
            <w:tcW w:w="0" w:type="auto"/>
            <w:tcBorders>
              <w:bottom w:val="single" w:color="auto" w:sz="4" w:space="0"/>
            </w:tcBorders>
          </w:tcPr>
          <w:p>
            <w:pPr>
              <w:autoSpaceDE w:val="0"/>
              <w:autoSpaceDN w:val="0"/>
              <w:adjustRightInd w:val="0"/>
              <w:snapToGrid w:val="0"/>
              <w:spacing w:line="360" w:lineRule="auto"/>
              <w:jc w:val="both"/>
              <w:rPr>
                <w:rFonts w:ascii="Book Antiqua" w:hAnsi="Book Antiqua" w:eastAsia="MingLiU" w:cs="Times New Roman"/>
                <w:color w:val="000000"/>
              </w:rPr>
            </w:pPr>
            <w:r>
              <w:rPr>
                <w:rFonts w:ascii="Book Antiqua" w:hAnsi="Book Antiqua" w:eastAsia="MingLiU" w:cs="Times New Roman"/>
                <w:color w:val="000000"/>
              </w:rPr>
              <w:t>Normalized LFT and low SLEDAI</w:t>
            </w:r>
          </w:p>
        </w:tc>
      </w:tr>
    </w:tbl>
    <w:p>
      <w:pPr>
        <w:snapToGrid w:val="0"/>
        <w:spacing w:line="360" w:lineRule="auto"/>
        <w:jc w:val="both"/>
        <w:rPr>
          <w:rFonts w:ascii="Book Antiqua" w:hAnsi="Book Antiqua" w:eastAsia="PMingLiU"/>
        </w:rPr>
      </w:pPr>
      <w:r>
        <w:rPr>
          <w:rFonts w:ascii="Book Antiqua" w:hAnsi="Book Antiqua" w:eastAsia="PMingLiU"/>
          <w:vertAlign w:val="superscript"/>
        </w:rPr>
        <w:t>1</w:t>
      </w:r>
      <w:r>
        <w:rPr>
          <w:rFonts w:ascii="Book Antiqua" w:hAnsi="Book Antiqua" w:eastAsia="PMingLiU"/>
        </w:rPr>
        <w:t>Enrollment from 2018 July to 2021 June.</w:t>
      </w:r>
    </w:p>
    <w:p>
      <w:pPr>
        <w:snapToGrid w:val="0"/>
        <w:spacing w:line="360" w:lineRule="auto"/>
        <w:jc w:val="both"/>
        <w:rPr>
          <w:rFonts w:ascii="Book Antiqua" w:hAnsi="Book Antiqua" w:eastAsia="PMingLiU"/>
        </w:rPr>
      </w:pPr>
      <w:r>
        <w:rPr>
          <w:rFonts w:ascii="Book Antiqua" w:hAnsi="Book Antiqua" w:eastAsia="PMingLiU"/>
          <w:vertAlign w:val="superscript"/>
        </w:rPr>
        <w:t>2</w:t>
      </w:r>
      <w:r>
        <w:rPr>
          <w:rFonts w:ascii="Book Antiqua" w:hAnsi="Book Antiqua" w:eastAsia="PMingLiU"/>
        </w:rPr>
        <w:t xml:space="preserve">Peak levels during </w:t>
      </w:r>
      <w:bookmarkStart w:id="121" w:name="OLE_LINK3253"/>
      <w:bookmarkStart w:id="122" w:name="OLE_LINK3254"/>
      <w:r>
        <w:rPr>
          <w:rFonts w:ascii="Book Antiqua" w:hAnsi="Book Antiqua" w:eastAsia="Book Antiqua" w:cs="Book Antiqua"/>
          <w:color w:val="000000"/>
        </w:rPr>
        <w:t>autoimmune hepatitis</w:t>
      </w:r>
      <w:bookmarkEnd w:id="121"/>
      <w:bookmarkEnd w:id="122"/>
      <w:r>
        <w:rPr>
          <w:rFonts w:ascii="Book Antiqua" w:hAnsi="Book Antiqua" w:eastAsia="PMingLiU"/>
        </w:rPr>
        <w:t>.</w:t>
      </w:r>
    </w:p>
    <w:p>
      <w:pPr>
        <w:snapToGrid w:val="0"/>
        <w:spacing w:line="360" w:lineRule="auto"/>
        <w:jc w:val="both"/>
        <w:rPr>
          <w:rFonts w:ascii="Book Antiqua" w:hAnsi="Book Antiqua" w:eastAsia="PMingLiU"/>
        </w:rPr>
      </w:pPr>
      <w:r>
        <w:rPr>
          <w:rFonts w:ascii="Book Antiqua" w:hAnsi="Book Antiqua" w:eastAsia="PMingLiU"/>
          <w:vertAlign w:val="superscript"/>
        </w:rPr>
        <w:t>3</w:t>
      </w:r>
      <w:r>
        <w:rPr>
          <w:rFonts w:ascii="Book Antiqua" w:hAnsi="Book Antiqua" w:eastAsia="PMingLiU"/>
        </w:rPr>
        <w:t>Human hepatitis viruses including hepatitis A virus, hepatitis B virus and hepatitis C virus.</w:t>
      </w:r>
    </w:p>
    <w:p>
      <w:pPr>
        <w:snapToGrid w:val="0"/>
        <w:spacing w:line="360" w:lineRule="auto"/>
        <w:jc w:val="both"/>
        <w:rPr>
          <w:rFonts w:ascii="Book Antiqua" w:hAnsi="Book Antiqua" w:eastAsia="PMingLiU"/>
        </w:rPr>
        <w:sectPr>
          <w:pgSz w:w="12240" w:h="15840"/>
          <w:pgMar w:top="1440" w:right="1440" w:bottom="1440" w:left="1440" w:header="720" w:footer="720" w:gutter="0"/>
          <w:cols w:space="720" w:num="1"/>
          <w:docGrid w:linePitch="360" w:charSpace="0"/>
        </w:sectPr>
      </w:pPr>
      <w:r>
        <w:rPr>
          <w:rFonts w:ascii="Book Antiqua" w:hAnsi="Book Antiqua" w:eastAsia="PMingLiU"/>
        </w:rPr>
        <w:t xml:space="preserve">AID: Autoimmune disease; AIH: </w:t>
      </w:r>
      <w:r>
        <w:rPr>
          <w:rFonts w:ascii="Book Antiqua" w:hAnsi="Book Antiqua" w:eastAsia="Book Antiqua" w:cs="Book Antiqua"/>
          <w:color w:val="000000"/>
        </w:rPr>
        <w:t>Autoimmune hepatitis</w:t>
      </w:r>
      <w:r>
        <w:rPr>
          <w:rFonts w:ascii="Book Antiqua" w:hAnsi="Book Antiqua" w:eastAsia="PMingLiU"/>
        </w:rPr>
        <w:t xml:space="preserve">; ALP: Alkaline phosphatase ALT: Alanine aminotransferase; AMA: Antimitochondrial autoantibody; ANCA: Antineutrophil cytoplasmic antibody; ARPA: Anti-ribosomal-P antibody; ASMA: Anti-smooth muscle antibody; AST: Aspartate aminotransferase; AZA: Azathioprine; Bil: Bilirubin; CMV: Cytomegalovirus; CS: Corticosteroids; Dx: Diagnosis; EBV: Epstein-Barr virus; IAIHG: International Autoimmune Hepatitis Group; HA: Hemolytic anemia; HHV: </w:t>
      </w:r>
      <w:bookmarkStart w:id="123" w:name="OLE_LINK3250"/>
      <w:bookmarkStart w:id="124" w:name="OLE_LINK3251"/>
      <w:r>
        <w:rPr>
          <w:rFonts w:ascii="Book Antiqua" w:hAnsi="Book Antiqua" w:eastAsia="PMingLiU"/>
        </w:rPr>
        <w:t>Human hepatitis viruses</w:t>
      </w:r>
      <w:bookmarkEnd w:id="123"/>
      <w:bookmarkEnd w:id="124"/>
      <w:r>
        <w:rPr>
          <w:rFonts w:ascii="Book Antiqua" w:hAnsi="Book Antiqua" w:eastAsia="PMingLiU"/>
        </w:rPr>
        <w:t>; LC: Liver cirrhosis; LDLT: Living donor liver transplantation; LFT: Liver function test; OP: Operation; PBC: Primary biliary cholangitis; PH: Portal hypertension; RTX: Rituximab; SLEDAI: SLE disease activity index; SS: Sjögren syndrome; TP: Thrombocytopenia; UDCA: Ursodeoxycholic acid; VH: Viral hepatitis.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napToGrid w:val="0"/>
        <w:spacing w:line="360" w:lineRule="auto"/>
        <w:jc w:val="both"/>
        <w:rPr>
          <w:rFonts w:ascii="Book Antiqua" w:hAnsi="Book Antiqua" w:eastAsia="PMingLiU"/>
        </w:rPr>
        <w:sectPr>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eastAsia="PMingLiU"/>
        </w:rPr>
      </w:pPr>
    </w:p>
    <w:p>
      <w:pPr>
        <w:spacing w:line="360" w:lineRule="auto"/>
        <w:jc w:val="both"/>
        <w:rPr>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font>
  <w:font w:name="MingLiU">
    <w:altName w:val="PMingLiU-ExtB"/>
    <w:panose1 w:val="02020509000000000000"/>
    <w:charset w:val="88"/>
    <w:family w:val="modern"/>
    <w:pitch w:val="default"/>
    <w:sig w:usb0="00000000" w:usb1="00000000" w:usb2="00000016" w:usb3="00000000" w:csb0="00100001"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lZTc0NGUyNWIwZjE2NjIyNTdhZTc1NTM4ZTUwOTUifQ=="/>
  </w:docVars>
  <w:rsids>
    <w:rsidRoot w:val="00172A27"/>
    <w:rsid w:val="00152B28"/>
    <w:rsid w:val="001B7623"/>
    <w:rsid w:val="001D7057"/>
    <w:rsid w:val="002460A9"/>
    <w:rsid w:val="0027653E"/>
    <w:rsid w:val="00291FE3"/>
    <w:rsid w:val="002A5ED4"/>
    <w:rsid w:val="00365EEC"/>
    <w:rsid w:val="003F4F0B"/>
    <w:rsid w:val="00444696"/>
    <w:rsid w:val="005466A7"/>
    <w:rsid w:val="005A6E57"/>
    <w:rsid w:val="00655BAA"/>
    <w:rsid w:val="006735A3"/>
    <w:rsid w:val="00676781"/>
    <w:rsid w:val="006D3158"/>
    <w:rsid w:val="00714487"/>
    <w:rsid w:val="00721E33"/>
    <w:rsid w:val="00771676"/>
    <w:rsid w:val="007743BF"/>
    <w:rsid w:val="007B0B63"/>
    <w:rsid w:val="0084173F"/>
    <w:rsid w:val="00886A7B"/>
    <w:rsid w:val="0089005E"/>
    <w:rsid w:val="00891A33"/>
    <w:rsid w:val="008C5B34"/>
    <w:rsid w:val="009261F6"/>
    <w:rsid w:val="009453BD"/>
    <w:rsid w:val="00992B43"/>
    <w:rsid w:val="009D2388"/>
    <w:rsid w:val="00A77B3E"/>
    <w:rsid w:val="00A80C52"/>
    <w:rsid w:val="00A8353F"/>
    <w:rsid w:val="00AD4EFF"/>
    <w:rsid w:val="00B82603"/>
    <w:rsid w:val="00BC5265"/>
    <w:rsid w:val="00BF687B"/>
    <w:rsid w:val="00C137B2"/>
    <w:rsid w:val="00C7014D"/>
    <w:rsid w:val="00CA2A55"/>
    <w:rsid w:val="00D02443"/>
    <w:rsid w:val="00D025E6"/>
    <w:rsid w:val="00D10F82"/>
    <w:rsid w:val="00D2414F"/>
    <w:rsid w:val="00E1366B"/>
    <w:rsid w:val="00E15392"/>
    <w:rsid w:val="00E24428"/>
    <w:rsid w:val="00F37EF2"/>
    <w:rsid w:val="00F67A3A"/>
    <w:rsid w:val="00FB6CB2"/>
    <w:rsid w:val="0F750233"/>
    <w:rsid w:val="41161F88"/>
    <w:rsid w:val="49450993"/>
    <w:rsid w:val="6D521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qFormat/>
    <w:uiPriority w:val="0"/>
    <w:rPr>
      <w:rFonts w:asciiTheme="majorHAnsi" w:hAnsiTheme="majorHAnsi" w:eastAsiaTheme="majorEastAsia" w:cstheme="majorBidi"/>
      <w:sz w:val="18"/>
      <w:szCs w:val="18"/>
    </w:rPr>
  </w:style>
  <w:style w:type="paragraph" w:styleId="3">
    <w:name w:val="footer"/>
    <w:basedOn w:val="1"/>
    <w:link w:val="9"/>
    <w:unhideWhenUsed/>
    <w:uiPriority w:val="99"/>
    <w:pPr>
      <w:tabs>
        <w:tab w:val="center" w:pos="4153"/>
        <w:tab w:val="right" w:pos="8306"/>
      </w:tabs>
      <w:snapToGrid w:val="0"/>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rPr>
      <w:rFonts w:asciiTheme="minorHAnsi" w:hAnsiTheme="minorHAnsi" w:eastAsiaTheme="minorHAnsi" w:cstheme="minorBid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0"/>
    <w:rPr>
      <w:sz w:val="18"/>
      <w:szCs w:val="18"/>
    </w:rPr>
  </w:style>
  <w:style w:type="character" w:customStyle="1" w:styleId="9">
    <w:name w:val="页脚 字符"/>
    <w:basedOn w:val="7"/>
    <w:link w:val="3"/>
    <w:qFormat/>
    <w:uiPriority w:val="99"/>
    <w:rPr>
      <w:sz w:val="18"/>
      <w:szCs w:val="18"/>
    </w:rPr>
  </w:style>
  <w:style w:type="paragraph" w:customStyle="1" w:styleId="10">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1">
    <w:name w:val="批注框文本 字符"/>
    <w:basedOn w:val="7"/>
    <w:link w:val="2"/>
    <w:uiPriority w:val="0"/>
    <w:rPr>
      <w:rFonts w:asciiTheme="majorHAnsi" w:hAnsiTheme="majorHAnsi" w:eastAsiaTheme="majorEastAsia" w:cstheme="maj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13152</Words>
  <Characters>80696</Characters>
  <Lines>666</Lines>
  <Paragraphs>187</Paragraphs>
  <TotalTime>17</TotalTime>
  <ScaleCrop>false</ScaleCrop>
  <LinksUpToDate>false</LinksUpToDate>
  <CharactersWithSpaces>93321</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2022-05-13T06:06:00Z</dcterms:created>
  <dc:creator>USER</dc:creator>
  <cp:lastModifiedBy>千</cp:lastModifiedBy>
  <cp:lastPrinted>2022-04-26T14:36:00Z</cp:lastPrinted>
  <dcterms:modified xsi:type="dcterms:W3CDTF">2022-06-16T07:55:00Z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1202606DEFE5464EA278A262CE277235</vt:lpwstr>
  </property>
</Properties>
</file>