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AA56"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t xml:space="preserve">Name of Journal: </w:t>
      </w:r>
      <w:r w:rsidRPr="0019049A">
        <w:rPr>
          <w:rFonts w:ascii="Book Antiqua" w:eastAsia="Book Antiqua" w:hAnsi="Book Antiqua" w:cs="Book Antiqua"/>
          <w:i/>
          <w:color w:val="000000"/>
        </w:rPr>
        <w:t>World Journal of Hepatology</w:t>
      </w:r>
    </w:p>
    <w:p w14:paraId="13E6A200"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t xml:space="preserve">Manuscript NO: </w:t>
      </w:r>
      <w:r w:rsidRPr="0019049A">
        <w:rPr>
          <w:rFonts w:ascii="Book Antiqua" w:eastAsia="Book Antiqua" w:hAnsi="Book Antiqua" w:cs="Book Antiqua"/>
          <w:color w:val="000000"/>
        </w:rPr>
        <w:t>73420</w:t>
      </w:r>
    </w:p>
    <w:p w14:paraId="11E19E0A"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t xml:space="preserve">Manuscript Type: </w:t>
      </w:r>
      <w:r w:rsidRPr="0019049A">
        <w:rPr>
          <w:rFonts w:ascii="Book Antiqua" w:eastAsia="Book Antiqua" w:hAnsi="Book Antiqua" w:cs="Book Antiqua"/>
          <w:color w:val="000000"/>
        </w:rPr>
        <w:t>MINIREVIEWS</w:t>
      </w:r>
    </w:p>
    <w:p w14:paraId="1778966A" w14:textId="77777777" w:rsidR="001653FC" w:rsidRPr="0019049A" w:rsidRDefault="001653FC">
      <w:pPr>
        <w:spacing w:line="360" w:lineRule="auto"/>
        <w:jc w:val="both"/>
        <w:rPr>
          <w:rFonts w:ascii="Book Antiqua" w:hAnsi="Book Antiqua"/>
        </w:rPr>
      </w:pPr>
    </w:p>
    <w:p w14:paraId="082F1D81"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t>Safety of direct acting antiviral treatment for hepatitis C in oncologic setting: A clinical experience and a literature review</w:t>
      </w:r>
    </w:p>
    <w:p w14:paraId="128B8BCC" w14:textId="77777777" w:rsidR="001653FC" w:rsidRPr="0019049A" w:rsidRDefault="001653FC">
      <w:pPr>
        <w:spacing w:line="360" w:lineRule="auto"/>
        <w:jc w:val="both"/>
        <w:rPr>
          <w:rFonts w:ascii="Book Antiqua" w:hAnsi="Book Antiqua"/>
        </w:rPr>
      </w:pPr>
    </w:p>
    <w:p w14:paraId="0E7ED1DA"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Spera AM. HCV infection treatment in oncologic setting</w:t>
      </w:r>
    </w:p>
    <w:p w14:paraId="32454946" w14:textId="77777777" w:rsidR="001653FC" w:rsidRPr="0019049A" w:rsidRDefault="001653FC">
      <w:pPr>
        <w:spacing w:line="360" w:lineRule="auto"/>
        <w:jc w:val="both"/>
        <w:rPr>
          <w:rFonts w:ascii="Book Antiqua" w:hAnsi="Book Antiqua"/>
        </w:rPr>
      </w:pPr>
    </w:p>
    <w:p w14:paraId="2718DB4C"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Anna Maria Spera</w:t>
      </w:r>
    </w:p>
    <w:p w14:paraId="7FA1B66A" w14:textId="77777777" w:rsidR="001653FC" w:rsidRPr="0019049A" w:rsidRDefault="001653FC">
      <w:pPr>
        <w:spacing w:line="360" w:lineRule="auto"/>
        <w:jc w:val="both"/>
        <w:rPr>
          <w:rFonts w:ascii="Book Antiqua" w:hAnsi="Book Antiqua"/>
        </w:rPr>
      </w:pPr>
    </w:p>
    <w:p w14:paraId="79E00F78"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bCs/>
          <w:color w:val="000000"/>
        </w:rPr>
        <w:t xml:space="preserve">Anna Maria Spera, </w:t>
      </w:r>
      <w:r w:rsidRPr="0019049A">
        <w:rPr>
          <w:rFonts w:ascii="Book Antiqua" w:eastAsia="Book Antiqua" w:hAnsi="Book Antiqua" w:cs="Book Antiqua"/>
          <w:color w:val="000000"/>
        </w:rPr>
        <w:t>Infectious Disease Unit, Universitary Hospital OO RR San Giovanni di Dio e Ruggi d'Aragona, Salerno 84131, Italy</w:t>
      </w:r>
    </w:p>
    <w:p w14:paraId="23BE5E50" w14:textId="77777777" w:rsidR="001653FC" w:rsidRPr="0019049A" w:rsidRDefault="001653FC">
      <w:pPr>
        <w:spacing w:line="360" w:lineRule="auto"/>
        <w:jc w:val="both"/>
        <w:rPr>
          <w:rFonts w:ascii="Book Antiqua" w:hAnsi="Book Antiqua"/>
        </w:rPr>
      </w:pPr>
    </w:p>
    <w:p w14:paraId="5934F64E"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bCs/>
          <w:color w:val="000000"/>
        </w:rPr>
        <w:t>Author contributions:</w:t>
      </w:r>
      <w:r w:rsidRPr="0019049A">
        <w:rPr>
          <w:rFonts w:ascii="Book Antiqua" w:eastAsia="Book Antiqua" w:hAnsi="Book Antiqua" w:cs="Book Antiqua"/>
          <w:bCs/>
          <w:color w:val="000000"/>
        </w:rPr>
        <w:t xml:space="preserve"> </w:t>
      </w:r>
      <w:r w:rsidRPr="0019049A">
        <w:rPr>
          <w:rFonts w:ascii="Book Antiqua" w:eastAsia="Book Antiqua" w:hAnsi="Book Antiqua" w:cs="Book Antiqua"/>
          <w:color w:val="000000"/>
        </w:rPr>
        <w:t xml:space="preserve">Spera AM </w:t>
      </w:r>
      <w:r w:rsidRPr="0019049A">
        <w:rPr>
          <w:rFonts w:ascii="Book Antiqua" w:eastAsia="Book Antiqua" w:hAnsi="Book Antiqua" w:cs="Book Antiqua"/>
          <w:bCs/>
          <w:color w:val="000000"/>
        </w:rPr>
        <w:t xml:space="preserve">studied conception and design; data collection; analysis and interpretation of results; draft manuscript preparation; </w:t>
      </w:r>
      <w:r w:rsidRPr="0019049A">
        <w:rPr>
          <w:rFonts w:ascii="Book Antiqua" w:eastAsia="Book Antiqua" w:hAnsi="Book Antiqua" w:cs="Book Antiqua"/>
          <w:color w:val="000000"/>
        </w:rPr>
        <w:t>Spera AM</w:t>
      </w:r>
      <w:r w:rsidRPr="0019049A">
        <w:rPr>
          <w:rFonts w:ascii="Book Antiqua" w:eastAsia="Book Antiqua" w:hAnsi="Book Antiqua" w:cs="Book Antiqua"/>
          <w:bCs/>
          <w:color w:val="000000"/>
        </w:rPr>
        <w:t xml:space="preserve"> finally reviewed the results and approved the final version of the manuscript.</w:t>
      </w:r>
    </w:p>
    <w:p w14:paraId="5FDA06F8" w14:textId="77777777" w:rsidR="001653FC" w:rsidRPr="0019049A" w:rsidRDefault="001653FC">
      <w:pPr>
        <w:spacing w:line="360" w:lineRule="auto"/>
        <w:jc w:val="both"/>
        <w:rPr>
          <w:rFonts w:ascii="Book Antiqua" w:hAnsi="Book Antiqua"/>
        </w:rPr>
      </w:pPr>
    </w:p>
    <w:p w14:paraId="4A4A42DE"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bCs/>
          <w:color w:val="000000"/>
        </w:rPr>
        <w:t xml:space="preserve">Corresponding author: Anna Maria Spera, MD, PhD, Doctor, </w:t>
      </w:r>
      <w:r w:rsidRPr="0019049A">
        <w:rPr>
          <w:rFonts w:ascii="Book Antiqua" w:eastAsia="Book Antiqua" w:hAnsi="Book Antiqua" w:cs="Book Antiqua"/>
          <w:color w:val="000000"/>
        </w:rPr>
        <w:t>Infectious Disease Unit, Universitary Hospital OO RR San Giovanni di Dio e Ruggi d'Aragona, Largo Ippocrate, Salerno 84131, Italy. annamariaspera@hotmail.it</w:t>
      </w:r>
    </w:p>
    <w:p w14:paraId="1DF41245" w14:textId="77777777" w:rsidR="001653FC" w:rsidRPr="0019049A" w:rsidRDefault="001653FC">
      <w:pPr>
        <w:spacing w:line="360" w:lineRule="auto"/>
        <w:jc w:val="both"/>
        <w:rPr>
          <w:rFonts w:ascii="Book Antiqua" w:hAnsi="Book Antiqua"/>
        </w:rPr>
      </w:pPr>
    </w:p>
    <w:p w14:paraId="376DAFD1"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bCs/>
          <w:color w:val="000000"/>
        </w:rPr>
        <w:t xml:space="preserve">Received: </w:t>
      </w:r>
      <w:r w:rsidRPr="0019049A">
        <w:rPr>
          <w:rFonts w:ascii="Book Antiqua" w:eastAsia="Book Antiqua" w:hAnsi="Book Antiqua" w:cs="Book Antiqua"/>
          <w:color w:val="000000"/>
        </w:rPr>
        <w:t>November 25, 2021</w:t>
      </w:r>
    </w:p>
    <w:p w14:paraId="05FEBB19"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bCs/>
          <w:color w:val="000000"/>
        </w:rPr>
        <w:t>Revised:</w:t>
      </w:r>
      <w:r w:rsidRPr="0019049A">
        <w:rPr>
          <w:rFonts w:ascii="Book Antiqua" w:eastAsia="Book Antiqua" w:hAnsi="Book Antiqua" w:cs="Book Antiqua"/>
          <w:bCs/>
          <w:color w:val="000000"/>
        </w:rPr>
        <w:t xml:space="preserve"> January 11, 2022</w:t>
      </w:r>
    </w:p>
    <w:p w14:paraId="185C5D37"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bCs/>
          <w:color w:val="000000"/>
        </w:rPr>
        <w:t xml:space="preserve">Accepted: </w:t>
      </w:r>
      <w:r w:rsidRPr="0019049A">
        <w:rPr>
          <w:rFonts w:ascii="Book Antiqua" w:eastAsia="Book Antiqua" w:hAnsi="Book Antiqua" w:cs="Book Antiqua"/>
          <w:color w:val="000000"/>
        </w:rPr>
        <w:t>February 15, 2022</w:t>
      </w:r>
    </w:p>
    <w:p w14:paraId="2A70C420" w14:textId="1EDAC53E" w:rsidR="001653FC" w:rsidRPr="00D85C44" w:rsidRDefault="008C2E61">
      <w:pPr>
        <w:spacing w:line="360" w:lineRule="auto"/>
        <w:jc w:val="both"/>
        <w:rPr>
          <w:rFonts w:ascii="Book Antiqua" w:eastAsia="Book Antiqua" w:hAnsi="Book Antiqua" w:cs="Book Antiqua"/>
          <w:color w:val="000000"/>
        </w:rPr>
      </w:pPr>
      <w:r w:rsidRPr="0019049A">
        <w:rPr>
          <w:rFonts w:ascii="Book Antiqua" w:eastAsia="Book Antiqua" w:hAnsi="Book Antiqua" w:cs="Book Antiqua"/>
          <w:b/>
          <w:bCs/>
          <w:color w:val="000000"/>
        </w:rPr>
        <w:t xml:space="preserve">Published online: </w:t>
      </w:r>
      <w:r w:rsidRPr="0019049A">
        <w:rPr>
          <w:rFonts w:ascii="Book Antiqua" w:eastAsia="Book Antiqua" w:hAnsi="Book Antiqua" w:cs="Book Antiqua"/>
          <w:color w:val="000000"/>
        </w:rPr>
        <w:t>March 2</w:t>
      </w:r>
      <w:r w:rsidR="00D85C44" w:rsidRPr="00D85C44">
        <w:rPr>
          <w:rFonts w:ascii="Book Antiqua" w:eastAsia="Book Antiqua" w:hAnsi="Book Antiqua" w:cs="Book Antiqua" w:hint="eastAsia"/>
          <w:color w:val="000000"/>
        </w:rPr>
        <w:t>7</w:t>
      </w:r>
      <w:r w:rsidRPr="0019049A">
        <w:rPr>
          <w:rFonts w:ascii="Book Antiqua" w:eastAsia="Book Antiqua" w:hAnsi="Book Antiqua" w:cs="Book Antiqua"/>
          <w:color w:val="000000"/>
        </w:rPr>
        <w:t>, 2022</w:t>
      </w:r>
    </w:p>
    <w:p w14:paraId="4320BB7E" w14:textId="77777777" w:rsidR="001653FC" w:rsidRPr="0019049A" w:rsidRDefault="001653FC">
      <w:pPr>
        <w:spacing w:line="360" w:lineRule="auto"/>
        <w:jc w:val="both"/>
        <w:rPr>
          <w:rFonts w:ascii="Book Antiqua" w:hAnsi="Book Antiqua"/>
        </w:rPr>
        <w:sectPr w:rsidR="001653FC" w:rsidRPr="0019049A">
          <w:footerReference w:type="default" r:id="rId7"/>
          <w:pgSz w:w="12240" w:h="15840"/>
          <w:pgMar w:top="1440" w:right="1440" w:bottom="1440" w:left="1440" w:header="720" w:footer="720" w:gutter="0"/>
          <w:cols w:space="720"/>
          <w:docGrid w:linePitch="360"/>
        </w:sectPr>
      </w:pPr>
    </w:p>
    <w:p w14:paraId="59C5AFA2"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lastRenderedPageBreak/>
        <w:t>Abstract</w:t>
      </w:r>
    </w:p>
    <w:p w14:paraId="0FEFB20C"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With a globally estimated 58 million people affected by, chronic hepatitis C virus (HCV) infection still represents a hard challenge for scientific community. A chronic course can occur among patients with a weak innate ad adaptive response with cirrhosis and malignancies as main consequences. Oncologic patients undergoing chemotherapy represent a special immunocompromised population predisposed to HCV reactivation (HCVr) with undesirable changes in cancer treatment and outcome. Aim of the study highlight the possibility of HCVr in oncologic population eligible to chemotherapy and its threatening consequences on cancer treatment; underline the importance of HCV screening before oncologic therapy and the utility of direct aging antivirals (DAAs).</w:t>
      </w:r>
      <w:r w:rsidRPr="0019049A">
        <w:rPr>
          <w:rFonts w:ascii="Book Antiqua" w:hAnsi="Book Antiqua"/>
          <w:lang w:eastAsia="zh-CN"/>
        </w:rPr>
        <w:t xml:space="preserve"> </w:t>
      </w:r>
      <w:r w:rsidRPr="0019049A">
        <w:rPr>
          <w:rFonts w:ascii="Book Antiqua" w:eastAsia="Book Antiqua" w:hAnsi="Book Antiqua" w:cs="Book Antiqua"/>
          <w:color w:val="000000"/>
        </w:rPr>
        <w:t>A comprehensive overview of scientific literature has been made. Terms searched in PubMed were: “HCV reactivation in oncologic setting” “HCV screening”, “second generation DAAs”.</w:t>
      </w:r>
      <w:r w:rsidRPr="0019049A">
        <w:rPr>
          <w:rFonts w:ascii="Book Antiqua" w:hAnsi="Book Antiqua"/>
          <w:lang w:eastAsia="zh-CN"/>
        </w:rPr>
        <w:t xml:space="preserve"> </w:t>
      </w:r>
      <w:r w:rsidRPr="0019049A">
        <w:rPr>
          <w:rFonts w:ascii="Book Antiqua" w:eastAsia="Book Antiqua" w:hAnsi="Book Antiqua" w:cs="Book Antiqua"/>
          <w:color w:val="000000"/>
        </w:rPr>
        <w:t xml:space="preserve">Pharmacokinetic and Pharmacodynamics characteristics of DAAs are reported, along with drug - drug interactions among chemotherapeutic drug classes regimens and DAAs. Clinical trials conducted among oncologic adults with HCV infection eligible to both chemotherapy and DAAs were analyzed. Viral eradication with DAAs in oncologic patients affected by HCV infection is safe and helps liver recovery, allowing the initiation of cancer treatment no compromising its course and success. </w:t>
      </w:r>
    </w:p>
    <w:p w14:paraId="798E21D1" w14:textId="77777777" w:rsidR="001653FC" w:rsidRPr="0019049A" w:rsidRDefault="001653FC">
      <w:pPr>
        <w:spacing w:line="360" w:lineRule="auto"/>
        <w:jc w:val="both"/>
        <w:rPr>
          <w:rFonts w:ascii="Book Antiqua" w:hAnsi="Book Antiqua"/>
        </w:rPr>
      </w:pPr>
    </w:p>
    <w:p w14:paraId="5CB43640"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bCs/>
          <w:color w:val="000000"/>
        </w:rPr>
        <w:t xml:space="preserve">Key Words: </w:t>
      </w:r>
      <w:r w:rsidRPr="0019049A">
        <w:rPr>
          <w:rFonts w:ascii="Book Antiqua" w:eastAsia="Book Antiqua" w:hAnsi="Book Antiqua" w:cs="Book Antiqua"/>
          <w:color w:val="000000"/>
        </w:rPr>
        <w:t>Hepatitis C Virus; Direct aging antivirals; Drug interactions; Pharmacodynamic; Pharmacokinetic; Pre-emptive therapy</w:t>
      </w:r>
    </w:p>
    <w:p w14:paraId="089221AD" w14:textId="77777777" w:rsidR="001653FC" w:rsidRPr="0019049A" w:rsidRDefault="001653FC">
      <w:pPr>
        <w:spacing w:line="360" w:lineRule="auto"/>
        <w:jc w:val="both"/>
        <w:rPr>
          <w:rFonts w:ascii="Book Antiqua" w:hAnsi="Book Antiqua"/>
        </w:rPr>
      </w:pPr>
    </w:p>
    <w:p w14:paraId="3E346565" w14:textId="77777777" w:rsidR="006F1F84" w:rsidRPr="0019049A" w:rsidRDefault="006F1F84" w:rsidP="006F1F84">
      <w:pPr>
        <w:spacing w:line="360" w:lineRule="auto"/>
        <w:rPr>
          <w:rFonts w:ascii="Book Antiqua" w:eastAsia="Book Antiqua" w:hAnsi="Book Antiqua" w:cs="Book Antiqua"/>
          <w:color w:val="000000"/>
        </w:rPr>
      </w:pPr>
      <w:bookmarkStart w:id="0" w:name="_Hlk85017019"/>
      <w:r w:rsidRPr="0019049A">
        <w:rPr>
          <w:rFonts w:ascii="Book Antiqua" w:eastAsia="Book Antiqua" w:hAnsi="Book Antiqua" w:cs="Book Antiqua"/>
          <w:b/>
          <w:color w:val="000000"/>
        </w:rPr>
        <w:t>©The</w:t>
      </w:r>
      <w:r w:rsidRPr="0019049A">
        <w:rPr>
          <w:rFonts w:ascii="Book Antiqua" w:eastAsia="Book Antiqua" w:hAnsi="Book Antiqua" w:cs="Book Antiqua"/>
          <w:color w:val="000000"/>
        </w:rPr>
        <w:t xml:space="preserve"> </w:t>
      </w:r>
      <w:r w:rsidRPr="0019049A">
        <w:rPr>
          <w:rFonts w:ascii="Book Antiqua" w:eastAsia="Book Antiqua" w:hAnsi="Book Antiqua" w:cs="Book Antiqua"/>
          <w:b/>
          <w:color w:val="000000"/>
        </w:rPr>
        <w:t xml:space="preserve">Author(s) 2022. </w:t>
      </w:r>
      <w:r w:rsidRPr="0019049A">
        <w:rPr>
          <w:rFonts w:ascii="Book Antiqua" w:eastAsia="Book Antiqua" w:hAnsi="Book Antiqua" w:cs="Book Antiqua"/>
          <w:color w:val="000000"/>
        </w:rPr>
        <w:t xml:space="preserve">Published by Baishideng Publishing Group Inc. All rights reserved. </w:t>
      </w:r>
    </w:p>
    <w:p w14:paraId="7B22B47F" w14:textId="77777777" w:rsidR="006F1F84" w:rsidRPr="0019049A" w:rsidRDefault="006F1F84" w:rsidP="006F1F84">
      <w:pPr>
        <w:adjustRightInd w:val="0"/>
        <w:snapToGrid w:val="0"/>
        <w:spacing w:line="360" w:lineRule="auto"/>
        <w:rPr>
          <w:rFonts w:ascii="Book Antiqua" w:hAnsi="Book Antiqua"/>
        </w:rPr>
      </w:pPr>
    </w:p>
    <w:p w14:paraId="4025F764" w14:textId="24D7356A" w:rsidR="003353A2" w:rsidRPr="0019049A" w:rsidRDefault="006F1F84">
      <w:pPr>
        <w:spacing w:line="360" w:lineRule="auto"/>
        <w:jc w:val="both"/>
        <w:rPr>
          <w:rFonts w:ascii="Book Antiqua" w:eastAsia="Book Antiqua" w:hAnsi="Book Antiqua" w:cs="Book Antiqua"/>
          <w:color w:val="000000"/>
        </w:rPr>
      </w:pPr>
      <w:r w:rsidRPr="0019049A">
        <w:rPr>
          <w:rFonts w:ascii="Book Antiqua" w:hAnsi="Book Antiqua"/>
          <w:b/>
          <w:bCs/>
        </w:rPr>
        <w:t>Citation:</w:t>
      </w:r>
      <w:bookmarkEnd w:id="0"/>
      <w:r w:rsidR="000D0D4B" w:rsidRPr="0019049A">
        <w:rPr>
          <w:rFonts w:ascii="Book Antiqua" w:hAnsi="Book Antiqua"/>
          <w:b/>
          <w:bCs/>
        </w:rPr>
        <w:t xml:space="preserve"> </w:t>
      </w:r>
      <w:r w:rsidR="008C2E61" w:rsidRPr="0019049A">
        <w:rPr>
          <w:rFonts w:ascii="Book Antiqua" w:eastAsia="Book Antiqua" w:hAnsi="Book Antiqua" w:cs="Book Antiqua"/>
          <w:color w:val="000000"/>
        </w:rPr>
        <w:t xml:space="preserve">Spera AM. Safety of direct acting antiviral treatment for hepatitis C in oncologic setting: A clinical experience and a literature review. </w:t>
      </w:r>
      <w:r w:rsidR="008C2E61" w:rsidRPr="0019049A">
        <w:rPr>
          <w:rFonts w:ascii="Book Antiqua" w:eastAsia="Book Antiqua" w:hAnsi="Book Antiqua" w:cs="Book Antiqua"/>
          <w:i/>
          <w:iCs/>
          <w:color w:val="000000"/>
        </w:rPr>
        <w:t>World J Hepatol</w:t>
      </w:r>
      <w:r w:rsidR="008C2E61" w:rsidRPr="0019049A">
        <w:rPr>
          <w:rFonts w:ascii="Book Antiqua" w:eastAsia="Book Antiqua" w:hAnsi="Book Antiqua" w:cs="Book Antiqua"/>
          <w:color w:val="000000"/>
        </w:rPr>
        <w:t xml:space="preserve"> 2022; </w:t>
      </w:r>
      <w:r w:rsidR="008C2E61" w:rsidRPr="0019049A">
        <w:rPr>
          <w:rFonts w:ascii="Book Antiqua" w:eastAsia="Book Antiqua" w:hAnsi="Book Antiqua" w:cs="Book Antiqua" w:hint="eastAsia"/>
          <w:color w:val="000000"/>
        </w:rPr>
        <w:t>1</w:t>
      </w:r>
      <w:r w:rsidR="00E62E8D" w:rsidRPr="00E62E8D">
        <w:rPr>
          <w:rFonts w:ascii="Book Antiqua" w:eastAsia="Book Antiqua" w:hAnsi="Book Antiqua" w:cs="Book Antiqua" w:hint="eastAsia"/>
          <w:color w:val="000000"/>
        </w:rPr>
        <w:t>4</w:t>
      </w:r>
      <w:r w:rsidR="008C2E61" w:rsidRPr="0019049A">
        <w:rPr>
          <w:rFonts w:ascii="Book Antiqua" w:eastAsia="Book Antiqua" w:hAnsi="Book Antiqua" w:cs="Book Antiqua" w:hint="eastAsia"/>
          <w:color w:val="000000"/>
        </w:rPr>
        <w:t>(</w:t>
      </w:r>
      <w:r w:rsidR="00E62E8D" w:rsidRPr="00E62E8D">
        <w:rPr>
          <w:rFonts w:ascii="Book Antiqua" w:eastAsia="Book Antiqua" w:hAnsi="Book Antiqua" w:cs="Book Antiqua" w:hint="eastAsia"/>
          <w:color w:val="000000"/>
        </w:rPr>
        <w:t>3</w:t>
      </w:r>
      <w:r w:rsidR="008C2E61" w:rsidRPr="0019049A">
        <w:rPr>
          <w:rFonts w:ascii="Book Antiqua" w:eastAsia="Book Antiqua" w:hAnsi="Book Antiqua" w:cs="Book Antiqua" w:hint="eastAsia"/>
          <w:color w:val="000000"/>
        </w:rPr>
        <w:t xml:space="preserve">): </w:t>
      </w:r>
      <w:r w:rsidR="00B116E4" w:rsidRPr="0019049A">
        <w:rPr>
          <w:rFonts w:ascii="Book Antiqua" w:eastAsia="Book Antiqua" w:hAnsi="Book Antiqua" w:cs="Book Antiqua"/>
          <w:color w:val="000000"/>
        </w:rPr>
        <w:t>525-534</w:t>
      </w:r>
    </w:p>
    <w:p w14:paraId="375CC91A" w14:textId="75F4404D" w:rsidR="00C928F2" w:rsidRPr="00696301" w:rsidRDefault="008C2E61">
      <w:pPr>
        <w:spacing w:line="360" w:lineRule="auto"/>
        <w:jc w:val="both"/>
        <w:rPr>
          <w:rFonts w:ascii="Book Antiqua" w:eastAsia="Book Antiqua" w:hAnsi="Book Antiqua" w:cs="Book Antiqua"/>
          <w:lang w:val="pt-BR"/>
        </w:rPr>
      </w:pPr>
      <w:r w:rsidRPr="0019049A">
        <w:rPr>
          <w:rFonts w:ascii="Book Antiqua" w:eastAsia="Book Antiqua" w:hAnsi="Book Antiqua" w:cs="Book Antiqua" w:hint="eastAsia"/>
          <w:b/>
          <w:bCs/>
          <w:color w:val="000000"/>
        </w:rPr>
        <w:t>URL:</w:t>
      </w:r>
      <w:r w:rsidRPr="0019049A">
        <w:rPr>
          <w:rFonts w:ascii="Book Antiqua" w:eastAsia="Book Antiqua" w:hAnsi="Book Antiqua" w:cs="Book Antiqua" w:hint="eastAsia"/>
          <w:color w:val="000000"/>
        </w:rPr>
        <w:t xml:space="preserve"> https://www.wj</w:t>
      </w:r>
      <w:r w:rsidRPr="00696301">
        <w:rPr>
          <w:rFonts w:ascii="Book Antiqua" w:eastAsia="Book Antiqua" w:hAnsi="Book Antiqua" w:cs="Book Antiqua" w:hint="eastAsia"/>
          <w:lang w:val="pt-BR"/>
        </w:rPr>
        <w:t>gnet.com/</w:t>
      </w:r>
      <w:r w:rsidR="007A4CEB" w:rsidRPr="00B141E8">
        <w:rPr>
          <w:rFonts w:ascii="Book Antiqua" w:eastAsia="Book Antiqua" w:hAnsi="Book Antiqua" w:cs="Book Antiqua"/>
          <w:lang w:val="pt-BR"/>
        </w:rPr>
        <w:t>/</w:t>
      </w:r>
      <w:bookmarkStart w:id="1" w:name="_Hlk98770580"/>
      <w:r w:rsidR="007A4CEB" w:rsidRPr="00B141E8">
        <w:rPr>
          <w:rFonts w:ascii="Book Antiqua" w:eastAsia="Book Antiqua" w:hAnsi="Book Antiqua" w:cs="Book Antiqua"/>
          <w:lang w:val="pt-BR"/>
        </w:rPr>
        <w:t>1948-5182</w:t>
      </w:r>
      <w:bookmarkEnd w:id="1"/>
      <w:r w:rsidRPr="00696301">
        <w:rPr>
          <w:rFonts w:ascii="Book Antiqua" w:eastAsia="Book Antiqua" w:hAnsi="Book Antiqua" w:cs="Book Antiqua" w:hint="eastAsia"/>
          <w:lang w:val="pt-BR"/>
        </w:rPr>
        <w:t>/full/v1</w:t>
      </w:r>
      <w:r w:rsidR="00696301" w:rsidRPr="00696301">
        <w:rPr>
          <w:rFonts w:ascii="Book Antiqua" w:eastAsia="Book Antiqua" w:hAnsi="Book Antiqua" w:cs="Book Antiqua" w:hint="eastAsia"/>
          <w:lang w:val="pt-BR"/>
        </w:rPr>
        <w:t>4</w:t>
      </w:r>
      <w:r w:rsidRPr="00696301">
        <w:rPr>
          <w:rFonts w:ascii="Book Antiqua" w:eastAsia="Book Antiqua" w:hAnsi="Book Antiqua" w:cs="Book Antiqua" w:hint="eastAsia"/>
          <w:lang w:val="pt-BR"/>
        </w:rPr>
        <w:t>/i</w:t>
      </w:r>
      <w:r w:rsidR="00696301" w:rsidRPr="00696301">
        <w:rPr>
          <w:rFonts w:ascii="Book Antiqua" w:eastAsia="Book Antiqua" w:hAnsi="Book Antiqua" w:cs="Book Antiqua" w:hint="eastAsia"/>
          <w:lang w:val="pt-BR"/>
        </w:rPr>
        <w:t>3</w:t>
      </w:r>
      <w:r w:rsidRPr="00696301">
        <w:rPr>
          <w:rFonts w:ascii="Book Antiqua" w:eastAsia="Book Antiqua" w:hAnsi="Book Antiqua" w:cs="Book Antiqua" w:hint="eastAsia"/>
          <w:lang w:val="pt-BR"/>
        </w:rPr>
        <w:t>/</w:t>
      </w:r>
      <w:r w:rsidR="00B116E4" w:rsidRPr="00696301">
        <w:rPr>
          <w:rFonts w:ascii="Book Antiqua" w:eastAsia="Book Antiqua" w:hAnsi="Book Antiqua" w:cs="Book Antiqua"/>
          <w:lang w:val="pt-BR"/>
        </w:rPr>
        <w:t>525</w:t>
      </w:r>
      <w:r w:rsidRPr="00696301">
        <w:rPr>
          <w:rFonts w:ascii="Book Antiqua" w:eastAsia="Book Antiqua" w:hAnsi="Book Antiqua" w:cs="Book Antiqua" w:hint="eastAsia"/>
          <w:lang w:val="pt-BR"/>
        </w:rPr>
        <w:t xml:space="preserve">.htm </w:t>
      </w:r>
    </w:p>
    <w:p w14:paraId="692296F4" w14:textId="62F48C02" w:rsidR="001653FC" w:rsidRPr="0019049A" w:rsidRDefault="008C2E61">
      <w:pPr>
        <w:spacing w:line="360" w:lineRule="auto"/>
        <w:jc w:val="both"/>
        <w:rPr>
          <w:rFonts w:ascii="Book Antiqua" w:eastAsia="Book Antiqua" w:hAnsi="Book Antiqua" w:cs="Book Antiqua"/>
          <w:color w:val="000000"/>
        </w:rPr>
      </w:pPr>
      <w:r w:rsidRPr="0019049A">
        <w:rPr>
          <w:rFonts w:ascii="Book Antiqua" w:eastAsia="Book Antiqua" w:hAnsi="Book Antiqua" w:cs="Book Antiqua" w:hint="eastAsia"/>
          <w:b/>
          <w:bCs/>
          <w:color w:val="000000"/>
        </w:rPr>
        <w:t>DOI:</w:t>
      </w:r>
      <w:r w:rsidRPr="0019049A">
        <w:rPr>
          <w:rFonts w:ascii="Book Antiqua" w:eastAsia="Book Antiqua" w:hAnsi="Book Antiqua" w:cs="Book Antiqua" w:hint="eastAsia"/>
          <w:color w:val="000000"/>
        </w:rPr>
        <w:t xml:space="preserve"> https://dx.doi.org/</w:t>
      </w:r>
      <w:bookmarkStart w:id="2" w:name="_Hlk98770655"/>
      <w:r w:rsidR="007A4CEB" w:rsidRPr="00B141E8">
        <w:rPr>
          <w:rFonts w:ascii="Book Antiqua" w:eastAsia="Book Antiqua" w:hAnsi="Book Antiqua" w:cs="Book Antiqua"/>
          <w:lang w:val="pt-BR"/>
        </w:rPr>
        <w:t>10.4254/wjh</w:t>
      </w:r>
      <w:bookmarkEnd w:id="2"/>
      <w:r w:rsidRPr="00696301">
        <w:rPr>
          <w:rFonts w:ascii="Book Antiqua" w:eastAsia="Book Antiqua" w:hAnsi="Book Antiqua" w:cs="Book Antiqua" w:hint="eastAsia"/>
          <w:lang w:val="pt-BR"/>
        </w:rPr>
        <w:t>.v1</w:t>
      </w:r>
      <w:r w:rsidR="00696301" w:rsidRPr="00696301">
        <w:rPr>
          <w:rFonts w:ascii="Book Antiqua" w:eastAsia="Book Antiqua" w:hAnsi="Book Antiqua" w:cs="Book Antiqua" w:hint="eastAsia"/>
          <w:lang w:val="pt-BR"/>
        </w:rPr>
        <w:t>4</w:t>
      </w:r>
      <w:r w:rsidRPr="00696301">
        <w:rPr>
          <w:rFonts w:ascii="Book Antiqua" w:eastAsia="Book Antiqua" w:hAnsi="Book Antiqua" w:cs="Book Antiqua" w:hint="eastAsia"/>
          <w:lang w:val="pt-BR"/>
        </w:rPr>
        <w:t>.i</w:t>
      </w:r>
      <w:r w:rsidR="00696301" w:rsidRPr="00696301">
        <w:rPr>
          <w:rFonts w:ascii="Book Antiqua" w:eastAsia="Book Antiqua" w:hAnsi="Book Antiqua" w:cs="Book Antiqua" w:hint="eastAsia"/>
          <w:lang w:val="pt-BR"/>
        </w:rPr>
        <w:t>3</w:t>
      </w:r>
      <w:r w:rsidRPr="00696301">
        <w:rPr>
          <w:rFonts w:ascii="Book Antiqua" w:eastAsia="Book Antiqua" w:hAnsi="Book Antiqua" w:cs="Book Antiqua" w:hint="eastAsia"/>
          <w:lang w:val="pt-BR"/>
        </w:rPr>
        <w:t>.</w:t>
      </w:r>
      <w:r w:rsidR="00B116E4" w:rsidRPr="00696301">
        <w:rPr>
          <w:rFonts w:ascii="Book Antiqua" w:eastAsia="Book Antiqua" w:hAnsi="Book Antiqua" w:cs="Book Antiqua"/>
          <w:lang w:val="pt-BR"/>
        </w:rPr>
        <w:t>525</w:t>
      </w:r>
    </w:p>
    <w:p w14:paraId="6F05F5D0" w14:textId="26FF313E" w:rsidR="001653FC" w:rsidRPr="0019049A" w:rsidRDefault="001653FC">
      <w:pPr>
        <w:spacing w:line="360" w:lineRule="auto"/>
        <w:jc w:val="both"/>
        <w:rPr>
          <w:rFonts w:ascii="Book Antiqua" w:hAnsi="Book Antiqua"/>
        </w:rPr>
      </w:pPr>
    </w:p>
    <w:p w14:paraId="52B43156" w14:textId="77777777" w:rsidR="001653FC" w:rsidRPr="0019049A" w:rsidRDefault="001653FC">
      <w:pPr>
        <w:spacing w:line="360" w:lineRule="auto"/>
        <w:jc w:val="both"/>
        <w:rPr>
          <w:rFonts w:ascii="Book Antiqua" w:hAnsi="Book Antiqua"/>
        </w:rPr>
      </w:pPr>
    </w:p>
    <w:p w14:paraId="65D584FC"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bCs/>
          <w:color w:val="000000"/>
        </w:rPr>
        <w:t xml:space="preserve">Core Tip: </w:t>
      </w:r>
      <w:r w:rsidRPr="0019049A">
        <w:rPr>
          <w:rFonts w:ascii="Book Antiqua" w:eastAsia="Book Antiqua" w:hAnsi="Book Antiqua" w:cs="Book Antiqua"/>
          <w:color w:val="000000"/>
        </w:rPr>
        <w:t>Chronic hepatitis C virus (HCV) infection is a hard clinical challenge, especially regarding oncologic patients eligible to chemotherapy. HCV reactivation in this setting of population is due to iatrogenic immunosuppression and can impair cancer treatment and outcome. Several specialists still do not prescribe direct aging antivirals to oncologic patients affected by HCV infection, because no univocal guidelines on HCV treatment in oncologic setting are available. The review highlights the importance of screening HCV infection before starting oncologic treatment, the safety of direct aging antivirals treatment under chemotherapy and the utility of treating HCV infection in oncologic setting no compromising chemotherapy course and success.</w:t>
      </w:r>
    </w:p>
    <w:p w14:paraId="4B5BA218" w14:textId="77777777" w:rsidR="001653FC" w:rsidRPr="0019049A" w:rsidRDefault="001653FC">
      <w:pPr>
        <w:spacing w:line="360" w:lineRule="auto"/>
        <w:jc w:val="both"/>
        <w:rPr>
          <w:rFonts w:ascii="Book Antiqua" w:hAnsi="Book Antiqua"/>
        </w:rPr>
      </w:pPr>
    </w:p>
    <w:p w14:paraId="156657CD"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aps/>
          <w:color w:val="000000"/>
          <w:u w:val="single"/>
        </w:rPr>
        <w:t>INTRODUCTION</w:t>
      </w:r>
    </w:p>
    <w:p w14:paraId="1243083A" w14:textId="77777777" w:rsidR="001653FC" w:rsidRPr="0019049A" w:rsidRDefault="008C2E61">
      <w:pPr>
        <w:spacing w:line="360" w:lineRule="auto"/>
        <w:jc w:val="both"/>
        <w:rPr>
          <w:rFonts w:ascii="Book Antiqua" w:eastAsia="Book Antiqua" w:hAnsi="Book Antiqua" w:cs="Book Antiqua"/>
          <w:color w:val="000000"/>
        </w:rPr>
      </w:pPr>
      <w:r w:rsidRPr="0019049A">
        <w:rPr>
          <w:rFonts w:ascii="Book Antiqua" w:eastAsia="Book Antiqua" w:hAnsi="Book Antiqua" w:cs="Book Antiqua"/>
          <w:color w:val="000000"/>
        </w:rPr>
        <w:t>Hepatitis C is a viral infection due to a single-stranded RNA enveloped virus, with a mainly hepatic trophism. Eight genotypes of hepatitis C virus (HCV) along with several different subtypes have been identified</w:t>
      </w:r>
      <w:r w:rsidRPr="0019049A">
        <w:rPr>
          <w:rFonts w:ascii="Book Antiqua" w:eastAsia="Book Antiqua" w:hAnsi="Book Antiqua" w:cs="Book Antiqua"/>
          <w:color w:val="000000"/>
          <w:vertAlign w:val="superscript"/>
        </w:rPr>
        <w:t>[1,2]</w:t>
      </w:r>
      <w:r w:rsidRPr="0019049A">
        <w:rPr>
          <w:rFonts w:ascii="Book Antiqua" w:eastAsia="Book Antiqua" w:hAnsi="Book Antiqua" w:cs="Book Antiqua"/>
          <w:color w:val="000000"/>
        </w:rPr>
        <w:t>. Since its discovery, in 1989, 184 million patients with hepatitis C have been reported worldwide</w:t>
      </w:r>
      <w:r w:rsidRPr="0019049A">
        <w:rPr>
          <w:rFonts w:ascii="Book Antiqua" w:eastAsia="Book Antiqua" w:hAnsi="Book Antiqua" w:cs="Book Antiqua"/>
          <w:color w:val="000000"/>
          <w:vertAlign w:val="superscript"/>
        </w:rPr>
        <w:t>[3]</w:t>
      </w:r>
      <w:r w:rsidRPr="0019049A">
        <w:rPr>
          <w:rFonts w:ascii="Book Antiqua" w:eastAsia="Book Antiqua" w:hAnsi="Book Antiqua" w:cs="Book Antiqua"/>
          <w:color w:val="000000"/>
        </w:rPr>
        <w:t>, and 40% of hepatic transplantations performed until 2009 were due to HCV-based liver cirrhosis</w:t>
      </w:r>
      <w:r w:rsidRPr="0019049A">
        <w:rPr>
          <w:rFonts w:ascii="Book Antiqua" w:eastAsia="Book Antiqua" w:hAnsi="Book Antiqua" w:cs="Book Antiqua"/>
          <w:color w:val="000000"/>
          <w:vertAlign w:val="superscript"/>
        </w:rPr>
        <w:t>[1]</w:t>
      </w:r>
      <w:r w:rsidRPr="0019049A">
        <w:rPr>
          <w:rFonts w:ascii="Book Antiqua" w:eastAsia="Book Antiqua" w:hAnsi="Book Antiqua" w:cs="Book Antiqua"/>
          <w:color w:val="000000"/>
        </w:rPr>
        <w:t>. According to the World Health Organization, an estimated 58 million people worldwide live with chronic HCV infection in 2021, with approximately 1.5 million new infections occurring per year, and approximately 400000 people died from hepatitis C, mostly from cirrhosis and hepatocellular carcinoma, in 2019</w:t>
      </w:r>
      <w:r w:rsidRPr="0019049A">
        <w:rPr>
          <w:rFonts w:ascii="Book Antiqua" w:eastAsia="Book Antiqua" w:hAnsi="Book Antiqua" w:cs="Book Antiqua"/>
          <w:color w:val="000000"/>
          <w:vertAlign w:val="superscript"/>
        </w:rPr>
        <w:t>[3]</w:t>
      </w:r>
      <w:r w:rsidRPr="0019049A">
        <w:rPr>
          <w:rFonts w:ascii="Book Antiqua" w:eastAsia="Book Antiqua" w:hAnsi="Book Antiqua" w:cs="Book Antiqua"/>
          <w:color w:val="000000"/>
        </w:rPr>
        <w:t>.</w:t>
      </w:r>
    </w:p>
    <w:p w14:paraId="309F47C0" w14:textId="77777777" w:rsidR="001653FC" w:rsidRPr="0019049A" w:rsidRDefault="001653FC">
      <w:pPr>
        <w:spacing w:line="360" w:lineRule="auto"/>
        <w:jc w:val="both"/>
        <w:rPr>
          <w:rFonts w:ascii="Book Antiqua" w:hAnsi="Book Antiqua"/>
        </w:rPr>
      </w:pPr>
    </w:p>
    <w:p w14:paraId="699070CE" w14:textId="77777777" w:rsidR="001653FC" w:rsidRPr="0019049A" w:rsidRDefault="008C2E61">
      <w:pPr>
        <w:spacing w:line="360" w:lineRule="auto"/>
        <w:jc w:val="both"/>
        <w:rPr>
          <w:rFonts w:ascii="Book Antiqua" w:eastAsia="Book Antiqua" w:hAnsi="Book Antiqua" w:cs="Book Antiqua"/>
          <w:color w:val="000000"/>
        </w:rPr>
      </w:pPr>
      <w:r w:rsidRPr="0019049A">
        <w:rPr>
          <w:rFonts w:ascii="Book Antiqua" w:eastAsia="Book Antiqua" w:hAnsi="Book Antiqua" w:cs="Book Antiqua"/>
          <w:b/>
          <w:bCs/>
          <w:color w:val="000000"/>
          <w:u w:val="single" w:color="000000"/>
        </w:rPr>
        <w:t>BIOLOGICAL COURSE OF HCV INFECTION</w:t>
      </w:r>
    </w:p>
    <w:p w14:paraId="654489CB"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The interplay between viral replication and a patient’s immune response determines the biological course of HCV infection</w:t>
      </w:r>
      <w:r w:rsidRPr="0019049A">
        <w:rPr>
          <w:rFonts w:ascii="Book Antiqua" w:eastAsia="Book Antiqua" w:hAnsi="Book Antiqua" w:cs="Book Antiqua"/>
          <w:color w:val="000000"/>
          <w:vertAlign w:val="superscript"/>
        </w:rPr>
        <w:t>[4]</w:t>
      </w:r>
      <w:r w:rsidRPr="0019049A">
        <w:rPr>
          <w:rFonts w:ascii="Book Antiqua" w:eastAsia="Book Antiqua" w:hAnsi="Book Antiqua" w:cs="Book Antiqua"/>
          <w:color w:val="000000"/>
        </w:rPr>
        <w:t>, considering that viral immune tropism secondary to hepatocyteinfection activates the innate and adaptive immune systems.</w:t>
      </w:r>
    </w:p>
    <w:p w14:paraId="11670D5C" w14:textId="77777777" w:rsidR="001653FC" w:rsidRPr="0019049A" w:rsidRDefault="008C2E61">
      <w:pPr>
        <w:spacing w:line="360" w:lineRule="auto"/>
        <w:ind w:firstLineChars="200" w:firstLine="480"/>
        <w:jc w:val="both"/>
        <w:rPr>
          <w:rFonts w:ascii="Book Antiqua" w:hAnsi="Book Antiqua"/>
        </w:rPr>
      </w:pPr>
      <w:r w:rsidRPr="0019049A">
        <w:rPr>
          <w:rFonts w:ascii="Book Antiqua" w:eastAsia="Book Antiqua" w:hAnsi="Book Antiqua" w:cs="Book Antiqua"/>
          <w:color w:val="000000"/>
        </w:rPr>
        <w:t>The typical outcome of primary infection in immunocompetent subjects is a self-limited illness with spontaneous resolution after an acute phase, characterized by host-</w:t>
      </w:r>
      <w:r w:rsidRPr="0019049A">
        <w:rPr>
          <w:rFonts w:ascii="Book Antiqua" w:eastAsia="Book Antiqua" w:hAnsi="Book Antiqua" w:cs="Book Antiqua"/>
          <w:color w:val="000000"/>
        </w:rPr>
        <w:lastRenderedPageBreak/>
        <w:t>protective antibody production. Otherwise, a chronic course of hepatitis has been often described in exposed patients, with weak innate and adaptive immune responses determining an insufficient reduction in viral load, despite concomitant liver function recovery</w:t>
      </w:r>
      <w:r w:rsidRPr="0019049A">
        <w:rPr>
          <w:rFonts w:ascii="Book Antiqua" w:eastAsia="Book Antiqua" w:hAnsi="Book Antiqua" w:cs="Book Antiqua"/>
          <w:color w:val="000000"/>
          <w:vertAlign w:val="superscript"/>
        </w:rPr>
        <w:t>[4]</w:t>
      </w:r>
      <w:r w:rsidRPr="0019049A">
        <w:rPr>
          <w:rFonts w:ascii="Book Antiqua" w:eastAsia="Book Antiqua" w:hAnsi="Book Antiqua" w:cs="Book Antiqua"/>
          <w:color w:val="000000"/>
        </w:rPr>
        <w:t>. Consequences of chronicity are cirrhosis and hepatocarcinogenesis</w:t>
      </w:r>
      <w:r w:rsidRPr="0019049A">
        <w:rPr>
          <w:rFonts w:ascii="Book Antiqua" w:eastAsia="Book Antiqua" w:hAnsi="Book Antiqua" w:cs="Book Antiqua"/>
          <w:color w:val="000000"/>
          <w:vertAlign w:val="superscript"/>
        </w:rPr>
        <w:t>[5,6]</w:t>
      </w:r>
      <w:r w:rsidRPr="0019049A">
        <w:rPr>
          <w:rFonts w:ascii="Book Antiqua" w:eastAsia="Book Antiqua" w:hAnsi="Book Antiqua" w:cs="Book Antiqua"/>
          <w:color w:val="000000"/>
        </w:rPr>
        <w:t>, along with haematologic malignancies, including B cell non-Hodgkin’s lymphoma</w:t>
      </w:r>
      <w:r w:rsidRPr="0019049A">
        <w:rPr>
          <w:rFonts w:ascii="Book Antiqua" w:eastAsia="Book Antiqua" w:hAnsi="Book Antiqua" w:cs="Book Antiqua"/>
          <w:color w:val="000000"/>
          <w:vertAlign w:val="superscript"/>
        </w:rPr>
        <w:t>[7]</w:t>
      </w:r>
      <w:r w:rsidRPr="0019049A">
        <w:rPr>
          <w:rFonts w:ascii="Book Antiqua" w:eastAsia="Book Antiqua" w:hAnsi="Book Antiqua" w:cs="Book Antiqua"/>
          <w:color w:val="000000"/>
        </w:rPr>
        <w:t>, intrahepatic cholangiocarcinoma and other solid tumours, such as head and neck, colorectal, renal, and pancreatic cancers</w:t>
      </w:r>
      <w:r w:rsidRPr="0019049A">
        <w:rPr>
          <w:rFonts w:ascii="Book Antiqua" w:eastAsia="Book Antiqua" w:hAnsi="Book Antiqua" w:cs="Book Antiqua"/>
          <w:color w:val="000000"/>
          <w:vertAlign w:val="superscript"/>
        </w:rPr>
        <w:t>[7,8,9]</w:t>
      </w:r>
      <w:r w:rsidRPr="0019049A">
        <w:rPr>
          <w:rFonts w:ascii="Book Antiqua" w:eastAsia="Book Antiqua" w:hAnsi="Book Antiqua" w:cs="Book Antiqua"/>
          <w:color w:val="000000"/>
        </w:rPr>
        <w:t>. Any kind of immune central reconstitution after immunosuppressive medication can trigger viral reactivation in this chronic setting of HCV, with diversified clinical manifestations ranging from asymptomatic flares of transaminases to severe liver damage</w:t>
      </w:r>
      <w:r w:rsidRPr="0019049A">
        <w:rPr>
          <w:rFonts w:ascii="Book Antiqua" w:eastAsia="Book Antiqua" w:hAnsi="Book Antiqua" w:cs="Book Antiqua"/>
          <w:color w:val="000000"/>
          <w:vertAlign w:val="superscript"/>
        </w:rPr>
        <w:t>[4]</w:t>
      </w:r>
      <w:r w:rsidRPr="0019049A">
        <w:rPr>
          <w:rFonts w:ascii="Book Antiqua" w:eastAsia="Book Antiqua" w:hAnsi="Book Antiqua" w:cs="Book Antiqua"/>
          <w:color w:val="000000"/>
        </w:rPr>
        <w:t>.</w:t>
      </w:r>
    </w:p>
    <w:p w14:paraId="39784961" w14:textId="77777777" w:rsidR="001653FC" w:rsidRPr="0019049A" w:rsidRDefault="008C2E61">
      <w:pPr>
        <w:spacing w:line="360" w:lineRule="auto"/>
        <w:ind w:firstLineChars="200" w:firstLine="480"/>
        <w:jc w:val="both"/>
        <w:rPr>
          <w:rFonts w:ascii="Book Antiqua" w:hAnsi="Book Antiqua"/>
        </w:rPr>
      </w:pPr>
      <w:r w:rsidRPr="0019049A">
        <w:rPr>
          <w:rFonts w:ascii="Book Antiqua" w:eastAsia="Book Antiqua" w:hAnsi="Book Antiqua" w:cs="Book Antiqua"/>
          <w:color w:val="000000"/>
        </w:rPr>
        <w:t>Approximately two weeks before hepatitis flares, an increase in viral RNA often occurs</w:t>
      </w:r>
      <w:r w:rsidRPr="0019049A">
        <w:rPr>
          <w:rFonts w:ascii="Book Antiqua" w:eastAsia="Book Antiqua" w:hAnsi="Book Antiqua" w:cs="Book Antiqua"/>
          <w:color w:val="000000"/>
          <w:vertAlign w:val="superscript"/>
        </w:rPr>
        <w:t>[4]</w:t>
      </w:r>
      <w:r w:rsidRPr="0019049A">
        <w:rPr>
          <w:rFonts w:ascii="Book Antiqua" w:eastAsia="Book Antiqua" w:hAnsi="Book Antiqua" w:cs="Book Antiqua"/>
          <w:color w:val="000000"/>
        </w:rPr>
        <w:t>. Hepatitis C reactivation is therefore defined by an increase in HCV-RNA &gt; 1 Log IU/mL over baseline, while the detection of anti-HCV antibodies cannot help in distinguishing between acute and chronic infection but can determine only the occurrence of an infection</w:t>
      </w:r>
      <w:r w:rsidRPr="0019049A">
        <w:rPr>
          <w:rFonts w:ascii="Book Antiqua" w:eastAsia="Book Antiqua" w:hAnsi="Book Antiqua" w:cs="Book Antiqua"/>
          <w:color w:val="000000"/>
          <w:vertAlign w:val="superscript"/>
        </w:rPr>
        <w:t>[10]</w:t>
      </w:r>
      <w:r w:rsidRPr="0019049A">
        <w:rPr>
          <w:rFonts w:ascii="Book Antiqua" w:eastAsia="Book Antiqua" w:hAnsi="Book Antiqua" w:cs="Book Antiqua"/>
          <w:color w:val="000000"/>
        </w:rPr>
        <w:t>. Early identification of HCV infection and/or its reactivation can be merely ensured only by liver function testing and anti-HCV and viral load level surveillance.</w:t>
      </w:r>
    </w:p>
    <w:p w14:paraId="56A3E89A" w14:textId="77777777" w:rsidR="001653FC" w:rsidRPr="0019049A" w:rsidRDefault="001653FC">
      <w:pPr>
        <w:spacing w:line="360" w:lineRule="auto"/>
        <w:jc w:val="both"/>
        <w:rPr>
          <w:rFonts w:ascii="Book Antiqua" w:eastAsia="Book Antiqua" w:hAnsi="Book Antiqua" w:cs="Book Antiqua"/>
          <w:b/>
          <w:bCs/>
          <w:color w:val="000000"/>
          <w:u w:val="single" w:color="000000"/>
        </w:rPr>
      </w:pPr>
    </w:p>
    <w:p w14:paraId="691F3808" w14:textId="77777777" w:rsidR="001653FC" w:rsidRPr="0019049A" w:rsidRDefault="008C2E61">
      <w:pPr>
        <w:spacing w:line="360" w:lineRule="auto"/>
        <w:jc w:val="both"/>
        <w:rPr>
          <w:rFonts w:ascii="Book Antiqua" w:eastAsia="Book Antiqua" w:hAnsi="Book Antiqua" w:cs="Book Antiqua"/>
          <w:color w:val="000000"/>
        </w:rPr>
      </w:pPr>
      <w:r w:rsidRPr="0019049A">
        <w:rPr>
          <w:rFonts w:ascii="Book Antiqua" w:eastAsia="Book Antiqua" w:hAnsi="Book Antiqua" w:cs="Book Antiqua"/>
          <w:b/>
          <w:bCs/>
          <w:color w:val="000000"/>
          <w:u w:val="single" w:color="000000"/>
        </w:rPr>
        <w:t>HCV REACTIVATION IN AN ONCOLOGIC SETTING</w:t>
      </w:r>
    </w:p>
    <w:p w14:paraId="6DB56DCF" w14:textId="4E49D2A3"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According to Rung Li </w:t>
      </w:r>
      <w:r w:rsidRPr="0019049A">
        <w:rPr>
          <w:rFonts w:ascii="Book Antiqua" w:eastAsia="Book Antiqua" w:hAnsi="Book Antiqua" w:cs="Book Antiqua"/>
          <w:i/>
          <w:iCs/>
          <w:color w:val="000000"/>
        </w:rPr>
        <w:t>et al</w:t>
      </w:r>
      <w:r w:rsidRPr="0019049A">
        <w:rPr>
          <w:rFonts w:ascii="Book Antiqua" w:eastAsia="Book Antiqua" w:hAnsi="Book Antiqua" w:cs="Book Antiqua"/>
          <w:color w:val="000000"/>
          <w:vertAlign w:val="superscript"/>
        </w:rPr>
        <w:t>[11]</w:t>
      </w:r>
      <w:r w:rsidRPr="0019049A">
        <w:rPr>
          <w:rFonts w:ascii="Book Antiqua" w:eastAsia="Book Antiqua" w:hAnsi="Book Antiqua" w:cs="Book Antiqua"/>
          <w:color w:val="000000"/>
        </w:rPr>
        <w:t>, HCV reactivation (HCVr) in an oncologic setting is promoted by immunosuppression due to chemotherapy, often resulting in deleterious changes in the cancer treatment plan and its outcomes. HCVr prevalence rates in cancer patients receiving chemotherapy range from 1.5% to 32% worldwide</w:t>
      </w:r>
      <w:r w:rsidRPr="0019049A">
        <w:rPr>
          <w:rFonts w:ascii="Book Antiqua" w:eastAsia="Book Antiqua" w:hAnsi="Book Antiqua" w:cs="Book Antiqua"/>
          <w:color w:val="000000"/>
          <w:vertAlign w:val="superscript"/>
        </w:rPr>
        <w:t>[12]</w:t>
      </w:r>
      <w:r w:rsidRPr="0019049A">
        <w:rPr>
          <w:rFonts w:ascii="Book Antiqua" w:eastAsia="Book Antiqua" w:hAnsi="Book Antiqua" w:cs="Book Antiqua"/>
          <w:color w:val="000000"/>
        </w:rPr>
        <w:t>. Although less fearful than HBV reactivation, HCVr is challenging for oncologists and HCV treating physicians, who often avoid administering antiviral treatment to patients under chemotherapy because of a lack of data about the safety of this treatment combination</w:t>
      </w:r>
      <w:r w:rsidRPr="0019049A">
        <w:rPr>
          <w:rFonts w:ascii="Book Antiqua" w:eastAsia="Book Antiqua" w:hAnsi="Book Antiqua" w:cs="Book Antiqua"/>
          <w:color w:val="000000"/>
          <w:vertAlign w:val="superscript"/>
        </w:rPr>
        <w:t>[12,10]</w:t>
      </w:r>
      <w:r w:rsidRPr="0019049A">
        <w:rPr>
          <w:rFonts w:ascii="Book Antiqua" w:eastAsia="Book Antiqua" w:hAnsi="Book Antiqua" w:cs="Book Antiqua"/>
          <w:color w:val="000000"/>
        </w:rPr>
        <w:t>. The multicentre, prospective cohort study performed by Ramsey and colleagues</w:t>
      </w:r>
      <w:r w:rsidRPr="0019049A">
        <w:rPr>
          <w:rFonts w:ascii="Book Antiqua" w:eastAsia="Book Antiqua" w:hAnsi="Book Antiqua" w:cs="Book Antiqua"/>
          <w:color w:val="000000"/>
          <w:vertAlign w:val="superscript"/>
        </w:rPr>
        <w:t>[13]</w:t>
      </w:r>
      <w:r w:rsidRPr="0019049A">
        <w:rPr>
          <w:rFonts w:ascii="Book Antiqua" w:eastAsia="Book Antiqua" w:hAnsi="Book Antiqua" w:cs="Book Antiqua"/>
          <w:color w:val="000000"/>
        </w:rPr>
        <w:t xml:space="preserve"> among more than 5000 new oncologic patients found an observed infection rate of 2.4% (</w:t>
      </w:r>
      <w:r w:rsidR="001F1318" w:rsidRPr="001F1318">
        <w:rPr>
          <w:rFonts w:ascii="Book Antiqua" w:eastAsia="Book Antiqua" w:hAnsi="Book Antiqua" w:cs="Book Antiqua"/>
          <w:color w:val="000000"/>
        </w:rPr>
        <w:t>95%CI:</w:t>
      </w:r>
      <w:r w:rsidRPr="0019049A">
        <w:rPr>
          <w:rFonts w:ascii="Book Antiqua" w:eastAsia="Book Antiqua" w:hAnsi="Book Antiqua" w:cs="Book Antiqua"/>
          <w:color w:val="000000"/>
        </w:rPr>
        <w:t xml:space="preserve"> 1.9% to 3.0%) for HCV, with a substantial proportion of patients </w:t>
      </w:r>
      <w:r w:rsidRPr="0019049A">
        <w:rPr>
          <w:rFonts w:ascii="Book Antiqua" w:eastAsia="Book Antiqua" w:hAnsi="Book Antiqua" w:cs="Book Antiqua"/>
          <w:color w:val="000000"/>
        </w:rPr>
        <w:lastRenderedPageBreak/>
        <w:t>being unaware of their viral status at the time of cancer diagnosis (31%) and having no identifiable related risk factors (32.4%). Finally, according to this cohort study, therapeutic decisions were changed in 8% of patients because of their viral status</w:t>
      </w:r>
      <w:r w:rsidRPr="0019049A">
        <w:rPr>
          <w:rFonts w:ascii="Book Antiqua" w:eastAsia="Book Antiqua" w:hAnsi="Book Antiqua" w:cs="Book Antiqua"/>
          <w:color w:val="000000"/>
          <w:vertAlign w:val="superscript"/>
        </w:rPr>
        <w:t>[4,13]</w:t>
      </w:r>
      <w:r w:rsidRPr="0019049A">
        <w:rPr>
          <w:rFonts w:ascii="Book Antiqua" w:eastAsia="Book Antiqua" w:hAnsi="Book Antiqua" w:cs="Book Antiqua"/>
          <w:color w:val="000000"/>
        </w:rPr>
        <w:t xml:space="preserve">. In an observational study conducted at MD Anderson Cancer Center, an HCVr rate of 23% was estimated among patients with cancer (36% in haematologic and 10% in solid tumour settings), with a more frequent recurrence in patients with prolonged lymphopenia (median 95 </w:t>
      </w:r>
      <w:r w:rsidRPr="0019049A">
        <w:rPr>
          <w:rFonts w:ascii="Book Antiqua" w:eastAsia="Book Antiqua" w:hAnsi="Book Antiqua" w:cs="Book Antiqua"/>
          <w:i/>
          <w:color w:val="000000"/>
        </w:rPr>
        <w:t>vs</w:t>
      </w:r>
      <w:r w:rsidRPr="0019049A">
        <w:rPr>
          <w:rFonts w:ascii="Book Antiqua" w:eastAsia="Book Antiqua" w:hAnsi="Book Antiqua" w:cs="Book Antiqua"/>
          <w:color w:val="000000"/>
        </w:rPr>
        <w:t xml:space="preserve"> 22 d, </w:t>
      </w:r>
      <w:r w:rsidRPr="0019049A">
        <w:rPr>
          <w:rFonts w:ascii="Book Antiqua" w:eastAsia="Book Antiqua" w:hAnsi="Book Antiqua" w:cs="Book Antiqua"/>
          <w:i/>
          <w:color w:val="000000"/>
        </w:rPr>
        <w:t>P</w:t>
      </w:r>
      <w:r w:rsidRPr="0019049A">
        <w:rPr>
          <w:rFonts w:ascii="Book Antiqua" w:eastAsia="Book Antiqua" w:hAnsi="Book Antiqua" w:cs="Book Antiqua"/>
          <w:color w:val="000000"/>
        </w:rPr>
        <w:t xml:space="preserve"> &lt; 0.001) and in patients receiving rituximab (44% </w:t>
      </w:r>
      <w:r w:rsidRPr="0019049A">
        <w:rPr>
          <w:rFonts w:ascii="Book Antiqua" w:eastAsia="Book Antiqua" w:hAnsi="Book Antiqua" w:cs="Book Antiqua"/>
          <w:i/>
          <w:color w:val="000000"/>
        </w:rPr>
        <w:t>vs</w:t>
      </w:r>
      <w:r w:rsidRPr="0019049A">
        <w:rPr>
          <w:rFonts w:ascii="Book Antiqua" w:eastAsia="Book Antiqua" w:hAnsi="Book Antiqua" w:cs="Book Antiqua"/>
          <w:color w:val="000000"/>
        </w:rPr>
        <w:t xml:space="preserve"> 9%), bendamustine (22% </w:t>
      </w:r>
      <w:r w:rsidRPr="0019049A">
        <w:rPr>
          <w:rFonts w:ascii="Book Antiqua" w:eastAsia="Book Antiqua" w:hAnsi="Book Antiqua" w:cs="Book Antiqua"/>
          <w:i/>
          <w:color w:val="000000"/>
        </w:rPr>
        <w:t>vs</w:t>
      </w:r>
      <w:r w:rsidRPr="0019049A">
        <w:rPr>
          <w:rFonts w:ascii="Book Antiqua" w:eastAsia="Book Antiqua" w:hAnsi="Book Antiqua" w:cs="Book Antiqua"/>
          <w:color w:val="000000"/>
        </w:rPr>
        <w:t xml:space="preserve"> 0%), high-dose steroids (57% </w:t>
      </w:r>
      <w:r w:rsidRPr="0019049A">
        <w:rPr>
          <w:rFonts w:ascii="Book Antiqua" w:eastAsia="Book Antiqua" w:hAnsi="Book Antiqua" w:cs="Book Antiqua"/>
          <w:i/>
          <w:color w:val="000000"/>
        </w:rPr>
        <w:t>vs</w:t>
      </w:r>
      <w:r w:rsidRPr="0019049A">
        <w:rPr>
          <w:rFonts w:ascii="Book Antiqua" w:eastAsia="Book Antiqua" w:hAnsi="Book Antiqua" w:cs="Book Antiqua"/>
          <w:color w:val="000000"/>
        </w:rPr>
        <w:t xml:space="preserve"> 21%) and purine analogues (22% </w:t>
      </w:r>
      <w:r w:rsidRPr="0019049A">
        <w:rPr>
          <w:rFonts w:ascii="Book Antiqua" w:eastAsia="Book Antiqua" w:hAnsi="Book Antiqua" w:cs="Book Antiqua"/>
          <w:i/>
          <w:color w:val="000000"/>
        </w:rPr>
        <w:t>vs</w:t>
      </w:r>
      <w:r w:rsidRPr="0019049A">
        <w:rPr>
          <w:rFonts w:ascii="Book Antiqua" w:eastAsia="Book Antiqua" w:hAnsi="Book Antiqua" w:cs="Book Antiqua"/>
          <w:color w:val="000000"/>
        </w:rPr>
        <w:t xml:space="preserve"> 5%). The study also showed an unanticipated discontinuation or dose reduction of chemotherapy for 26% (6 of 23) of oncologic patients with HCVr</w:t>
      </w:r>
      <w:r w:rsidRPr="0019049A">
        <w:rPr>
          <w:rFonts w:ascii="Book Antiqua" w:eastAsia="Book Antiqua" w:hAnsi="Book Antiqua" w:cs="Book Antiqua"/>
          <w:color w:val="000000"/>
          <w:vertAlign w:val="superscript"/>
        </w:rPr>
        <w:t>[4]</w:t>
      </w:r>
      <w:r w:rsidRPr="0019049A">
        <w:rPr>
          <w:rFonts w:ascii="Book Antiqua" w:eastAsia="Book Antiqua" w:hAnsi="Book Antiqua" w:cs="Book Antiqua"/>
          <w:color w:val="000000"/>
        </w:rPr>
        <w:t>. In both studies, it was concluded that the early identification and treatment of chronic HCV hepatitis prevent HCVr after iatrogenic immunodepression and the remodulation of chemotherapy itself. Thus, screening for HCV infection before cancer treatment appears to be useful and advisable. Figure 1 shows an HCV screening recommendation flowchart for oncologic patients eligible for chemotherapy.</w:t>
      </w:r>
    </w:p>
    <w:p w14:paraId="64429569" w14:textId="77777777" w:rsidR="001653FC" w:rsidRPr="0019049A" w:rsidRDefault="001653FC">
      <w:pPr>
        <w:spacing w:line="360" w:lineRule="auto"/>
        <w:jc w:val="both"/>
        <w:rPr>
          <w:rFonts w:ascii="Book Antiqua" w:eastAsia="Book Antiqua" w:hAnsi="Book Antiqua" w:cs="Book Antiqua"/>
          <w:b/>
          <w:bCs/>
          <w:color w:val="000000"/>
          <w:u w:val="single" w:color="000000"/>
        </w:rPr>
      </w:pPr>
    </w:p>
    <w:p w14:paraId="696AB6AE" w14:textId="77777777" w:rsidR="001653FC" w:rsidRPr="0019049A" w:rsidRDefault="008C2E61">
      <w:pPr>
        <w:spacing w:line="360" w:lineRule="auto"/>
        <w:jc w:val="both"/>
        <w:rPr>
          <w:rFonts w:ascii="Book Antiqua" w:eastAsia="Book Antiqua" w:hAnsi="Book Antiqua" w:cs="Book Antiqua"/>
          <w:color w:val="000000"/>
        </w:rPr>
      </w:pPr>
      <w:r w:rsidRPr="0019049A">
        <w:rPr>
          <w:rFonts w:ascii="Book Antiqua" w:eastAsia="Book Antiqua" w:hAnsi="Book Antiqua" w:cs="Book Antiqua"/>
          <w:b/>
          <w:bCs/>
          <w:color w:val="000000"/>
          <w:u w:val="single" w:color="000000"/>
        </w:rPr>
        <w:t>HCV INFECTION THERAPEUTIC STRATEGIES</w:t>
      </w:r>
    </w:p>
    <w:p w14:paraId="3DEF33BD"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HCV infection therapeutic strategies have changed over time</w:t>
      </w:r>
      <w:r w:rsidRPr="0019049A">
        <w:rPr>
          <w:rFonts w:ascii="Book Antiqua" w:eastAsia="Book Antiqua" w:hAnsi="Book Antiqua" w:cs="Book Antiqua"/>
          <w:color w:val="000000"/>
          <w:vertAlign w:val="superscript"/>
        </w:rPr>
        <w:t>[2]</w:t>
      </w:r>
      <w:r w:rsidRPr="0019049A">
        <w:rPr>
          <w:rFonts w:ascii="Book Antiqua" w:eastAsia="Book Antiqua" w:hAnsi="Book Antiqua" w:cs="Book Antiqua"/>
          <w:color w:val="000000"/>
        </w:rPr>
        <w:t>. The first therapeutic combination employed against HCV infection in 1990 was based on interferon (IFN) plus ribavirin, which was associated with suboptimal response rates and short- and long-term toxicity even related to drug-to-drug interactions with other medications taken</w:t>
      </w:r>
      <w:r w:rsidRPr="0019049A">
        <w:rPr>
          <w:rFonts w:ascii="Book Antiqua" w:eastAsia="Book Antiqua" w:hAnsi="Book Antiqua" w:cs="Book Antiqua"/>
          <w:color w:val="000000"/>
          <w:vertAlign w:val="superscript"/>
        </w:rPr>
        <w:t>[14]</w:t>
      </w:r>
      <w:r w:rsidRPr="0019049A">
        <w:rPr>
          <w:rFonts w:ascii="Book Antiqua" w:eastAsia="Book Antiqua" w:hAnsi="Book Antiqua" w:cs="Book Antiqua"/>
          <w:color w:val="000000"/>
        </w:rPr>
        <w:t>. Moreover, because of intrinsic contraindications for each element of the compound, patients with unbalanced mood unbalanced or anaemia were excluded from the treatment</w:t>
      </w:r>
      <w:r w:rsidRPr="0019049A">
        <w:rPr>
          <w:rFonts w:ascii="Book Antiqua" w:eastAsia="Book Antiqua" w:hAnsi="Book Antiqua" w:cs="Book Antiqua"/>
          <w:color w:val="000000"/>
          <w:vertAlign w:val="superscript"/>
        </w:rPr>
        <w:t>[14]</w:t>
      </w:r>
      <w:r w:rsidRPr="0019049A">
        <w:rPr>
          <w:rFonts w:ascii="Book Antiqua" w:eastAsia="Book Antiqua" w:hAnsi="Book Antiqua" w:cs="Book Antiqua"/>
          <w:color w:val="000000"/>
        </w:rPr>
        <w:t>. The first direct-acting antivirals (DAAs), boceprevir and telaprevir, were approved in 2011; since then, the HCV cure rates have markedly improved, and they have been added to the classic dual therapy represented by IFN + ribavirin</w:t>
      </w:r>
      <w:r w:rsidRPr="0019049A">
        <w:rPr>
          <w:rFonts w:ascii="Book Antiqua" w:eastAsia="Book Antiqua" w:hAnsi="Book Antiqua" w:cs="Book Antiqua"/>
          <w:color w:val="000000"/>
          <w:vertAlign w:val="superscript"/>
        </w:rPr>
        <w:t>[15]</w:t>
      </w:r>
      <w:r w:rsidRPr="0019049A">
        <w:rPr>
          <w:rFonts w:ascii="Book Antiqua" w:eastAsia="Book Antiqua" w:hAnsi="Book Antiqua" w:cs="Book Antiqua"/>
          <w:color w:val="000000"/>
        </w:rPr>
        <w:t xml:space="preserve">. After the introduction of the combined regimens based on glecaprevir/pibrentasvir [Glecaprevir (GLE)/Pibrentasvir (PIB)], sofosbuvir/velpatasvir [(SOF)/Velpatasvir (VEL)] with, or without voxilaprevir (VOX), and elbasvir/grazoprevir [Elbasvir (EBR)/Grazoprevir </w:t>
      </w:r>
      <w:r w:rsidRPr="0019049A">
        <w:rPr>
          <w:rFonts w:ascii="Book Antiqua" w:eastAsia="Book Antiqua" w:hAnsi="Book Antiqua" w:cs="Book Antiqua"/>
          <w:color w:val="000000"/>
        </w:rPr>
        <w:lastRenderedPageBreak/>
        <w:t xml:space="preserve">(GZR)], summarized in </w:t>
      </w:r>
      <w:r w:rsidRPr="0019049A">
        <w:rPr>
          <w:rFonts w:ascii="Book Antiqua" w:eastAsia="Book Antiqua" w:hAnsi="Book Antiqua" w:cs="Book Antiqua"/>
          <w:bCs/>
          <w:color w:val="000000"/>
        </w:rPr>
        <w:t>Table 1</w:t>
      </w:r>
      <w:r w:rsidRPr="0019049A">
        <w:rPr>
          <w:rFonts w:ascii="Book Antiqua" w:eastAsia="Book Antiqua" w:hAnsi="Book Antiqua" w:cs="Book Antiqua"/>
          <w:color w:val="000000"/>
        </w:rPr>
        <w:t>, the majority of chronic HCV-infected patients have been treated since 2015, achieving sustained virologic response (SVR)</w:t>
      </w:r>
      <w:r w:rsidRPr="0019049A">
        <w:rPr>
          <w:rFonts w:ascii="Book Antiqua" w:eastAsia="Book Antiqua" w:hAnsi="Book Antiqua" w:cs="Book Antiqua"/>
          <w:color w:val="000000"/>
          <w:vertAlign w:val="superscript"/>
        </w:rPr>
        <w:t>[16-20]</w:t>
      </w:r>
      <w:r w:rsidRPr="0019049A">
        <w:rPr>
          <w:rFonts w:ascii="Book Antiqua" w:eastAsia="Book Antiqua" w:hAnsi="Book Antiqua" w:cs="Book Antiqua"/>
          <w:color w:val="000000"/>
        </w:rPr>
        <w:t>.</w:t>
      </w:r>
    </w:p>
    <w:p w14:paraId="1CA09D2C" w14:textId="77777777" w:rsidR="001653FC" w:rsidRPr="0019049A" w:rsidRDefault="001653FC">
      <w:pPr>
        <w:spacing w:line="360" w:lineRule="auto"/>
        <w:jc w:val="both"/>
        <w:rPr>
          <w:rFonts w:ascii="Book Antiqua" w:hAnsi="Book Antiqua"/>
        </w:rPr>
      </w:pPr>
    </w:p>
    <w:p w14:paraId="58BA6DB6"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bCs/>
          <w:color w:val="000000"/>
          <w:u w:val="single" w:color="000000"/>
        </w:rPr>
        <w:t>PHARMACOKINETIC CHARACTERISTICS OF CURRENTLY USED DAAS</w:t>
      </w:r>
    </w:p>
    <w:p w14:paraId="030FB8F6"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In relation to the pharmacokinetic characteristics of currently used</w:t>
      </w:r>
      <w:r w:rsidRPr="0019049A">
        <w:rPr>
          <w:rFonts w:ascii="Book Antiqua" w:eastAsia="Book Antiqua" w:hAnsi="Book Antiqua" w:cs="Book Antiqua"/>
          <w:b/>
          <w:bCs/>
          <w:color w:val="000000"/>
        </w:rPr>
        <w:t xml:space="preserve"> </w:t>
      </w:r>
      <w:r w:rsidRPr="0019049A">
        <w:rPr>
          <w:rFonts w:ascii="Book Antiqua" w:eastAsia="Book Antiqua" w:hAnsi="Book Antiqua" w:cs="Book Antiqua"/>
          <w:color w:val="000000"/>
        </w:rPr>
        <w:t>DAAs, the time to maximal plasma concentration (tmax), maximal plasma concentration (cmax), area under the concentration time curve (AUC) and minimal plasma concentration (cmin) are considered with regard to absorption, while the apparent volume of distribution (Vd/L) and percentage of protein binding are considered in relation to distribution. Metabolism is described in terms of the type of substrate elicited by DAAs and excretion as the elimination half-life (T ½)</w:t>
      </w:r>
      <w:r w:rsidRPr="0019049A">
        <w:rPr>
          <w:rFonts w:ascii="Book Antiqua" w:eastAsia="Book Antiqua" w:hAnsi="Book Antiqua" w:cs="Book Antiqua"/>
          <w:color w:val="000000"/>
          <w:vertAlign w:val="superscript"/>
        </w:rPr>
        <w:t>[1]</w:t>
      </w:r>
      <w:r w:rsidRPr="0019049A">
        <w:rPr>
          <w:rFonts w:ascii="Book Antiqua" w:eastAsia="Book Antiqua" w:hAnsi="Book Antiqua" w:cs="Book Antiqua"/>
          <w:color w:val="000000"/>
        </w:rPr>
        <w:t>.</w:t>
      </w:r>
    </w:p>
    <w:p w14:paraId="0D3760AE"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The pharmacokinetic characteristics of currently used</w:t>
      </w:r>
      <w:r w:rsidRPr="0019049A">
        <w:rPr>
          <w:rFonts w:ascii="Book Antiqua" w:eastAsia="Book Antiqua" w:hAnsi="Book Antiqua" w:cs="Book Antiqua"/>
          <w:bCs/>
          <w:color w:val="000000"/>
        </w:rPr>
        <w:t xml:space="preserve"> </w:t>
      </w:r>
      <w:r w:rsidRPr="0019049A">
        <w:rPr>
          <w:rFonts w:ascii="Book Antiqua" w:eastAsia="Book Antiqua" w:hAnsi="Book Antiqua" w:cs="Book Antiqua"/>
          <w:color w:val="000000"/>
        </w:rPr>
        <w:t xml:space="preserve">DAAs are summarized in </w:t>
      </w:r>
      <w:r w:rsidRPr="0019049A">
        <w:rPr>
          <w:rFonts w:ascii="Book Antiqua" w:eastAsia="Book Antiqua" w:hAnsi="Book Antiqua" w:cs="Book Antiqua"/>
          <w:bCs/>
          <w:color w:val="000000"/>
        </w:rPr>
        <w:t>Table 2</w:t>
      </w:r>
      <w:r w:rsidRPr="0019049A">
        <w:rPr>
          <w:rFonts w:ascii="Book Antiqua" w:eastAsia="Book Antiqua" w:hAnsi="Book Antiqua" w:cs="Book Antiqua"/>
          <w:color w:val="000000"/>
        </w:rPr>
        <w:t>.</w:t>
      </w:r>
    </w:p>
    <w:p w14:paraId="2084A63E" w14:textId="77777777" w:rsidR="001653FC" w:rsidRPr="0019049A" w:rsidRDefault="001653FC">
      <w:pPr>
        <w:spacing w:line="360" w:lineRule="auto"/>
        <w:jc w:val="both"/>
        <w:rPr>
          <w:rFonts w:ascii="Book Antiqua" w:eastAsia="Book Antiqua" w:hAnsi="Book Antiqua" w:cs="Book Antiqua"/>
          <w:color w:val="000000"/>
        </w:rPr>
      </w:pPr>
    </w:p>
    <w:p w14:paraId="1BEA5762" w14:textId="77777777" w:rsidR="001653FC" w:rsidRPr="0019049A" w:rsidRDefault="008C2E61">
      <w:pPr>
        <w:spacing w:line="360" w:lineRule="auto"/>
        <w:jc w:val="both"/>
        <w:rPr>
          <w:rFonts w:ascii="Book Antiqua" w:hAnsi="Book Antiqua"/>
          <w:b/>
          <w:i/>
        </w:rPr>
      </w:pPr>
      <w:r w:rsidRPr="0019049A">
        <w:rPr>
          <w:rFonts w:ascii="Book Antiqua" w:eastAsia="Book Antiqua" w:hAnsi="Book Antiqua" w:cs="Book Antiqua"/>
          <w:b/>
          <w:i/>
          <w:color w:val="000000"/>
        </w:rPr>
        <w:t>EBR/ GZR</w:t>
      </w:r>
    </w:p>
    <w:p w14:paraId="0826FE0B"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t>Absorption:</w:t>
      </w:r>
      <w:r w:rsidRPr="0019049A">
        <w:rPr>
          <w:rFonts w:ascii="Book Antiqua" w:eastAsia="Book Antiqua" w:hAnsi="Book Antiqua" w:cs="Book Antiqua"/>
          <w:color w:val="000000"/>
        </w:rPr>
        <w:t xml:space="preserve"> EBR is a substrate of P-gp, with a median tmax of 3 h and a range of 3-6 h. The bioavailability is estimated approximately 32%. Absorption (AUC 11% and Cmax 15%) can be decreased by a high-fat meal (900 kcal; 500 kcal fat). GZR acts as a substrate for P-gp and has a median tmax of 2 h with a range of 0.5-3 h. The absolute bioavailability varies from 15 to 27% after a single dose and from 20 to 40% after multiple doses. Absorption (AUC 50% and Cmax 108%) can be increased by a high-fat meal (900 kcal; 500 kcal fat). HCV-infected patients have increased exposure (approximately 2-fold) compared with healthy individuals. Steady state is reached at approximately the sixth day of administration</w:t>
      </w:r>
      <w:r w:rsidRPr="0019049A">
        <w:rPr>
          <w:rFonts w:ascii="Book Antiqua" w:eastAsia="Book Antiqua" w:hAnsi="Book Antiqua" w:cs="Book Antiqua"/>
          <w:color w:val="000000"/>
          <w:vertAlign w:val="superscript"/>
        </w:rPr>
        <w:t>[21,22]</w:t>
      </w:r>
      <w:r w:rsidRPr="0019049A">
        <w:rPr>
          <w:rFonts w:ascii="Book Antiqua" w:eastAsia="Book Antiqua" w:hAnsi="Book Antiqua" w:cs="Book Antiqua"/>
          <w:color w:val="000000"/>
        </w:rPr>
        <w:t>.</w:t>
      </w:r>
    </w:p>
    <w:p w14:paraId="5AECA700"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t>Distribution:</w:t>
      </w:r>
      <w:r w:rsidRPr="0019049A">
        <w:rPr>
          <w:rFonts w:ascii="Book Antiqua" w:eastAsia="Book Antiqua" w:hAnsi="Book Antiqua" w:cs="Book Antiqua"/>
          <w:color w:val="000000"/>
        </w:rPr>
        <w:t xml:space="preserve"> EBR and GZR are highly bound to albumin for &gt; 99.9% and to α1-acid glycoprotein for &gt; 98.8%</w:t>
      </w:r>
      <w:r w:rsidRPr="0019049A">
        <w:rPr>
          <w:rFonts w:ascii="Book Antiqua" w:eastAsia="Book Antiqua" w:hAnsi="Book Antiqua" w:cs="Book Antiqua"/>
          <w:color w:val="000000"/>
          <w:vertAlign w:val="superscript"/>
        </w:rPr>
        <w:t>[23,24]</w:t>
      </w:r>
      <w:r w:rsidRPr="0019049A">
        <w:rPr>
          <w:rFonts w:ascii="Book Antiqua" w:eastAsia="Book Antiqua" w:hAnsi="Book Antiqua" w:cs="Book Antiqua"/>
          <w:color w:val="000000"/>
        </w:rPr>
        <w:t>. The estimated Vd/L values for EBR and GZR are 680 and 1250 L, respectively. The hepatic transporter OATP1B1/3 actively transports GZR</w:t>
      </w:r>
      <w:r w:rsidRPr="0019049A">
        <w:rPr>
          <w:rFonts w:ascii="Book Antiqua" w:eastAsia="Book Antiqua" w:hAnsi="Book Antiqua" w:cs="Book Antiqua"/>
          <w:color w:val="000000"/>
          <w:vertAlign w:val="superscript"/>
        </w:rPr>
        <w:t>[25]</w:t>
      </w:r>
      <w:r w:rsidRPr="0019049A">
        <w:rPr>
          <w:rFonts w:ascii="Book Antiqua" w:eastAsia="Book Antiqua" w:hAnsi="Book Antiqua" w:cs="Book Antiqua"/>
          <w:color w:val="000000"/>
        </w:rPr>
        <w:t>. EBR inhibits P-gp. EBR and GZR inhibit BCRP</w:t>
      </w:r>
      <w:r w:rsidRPr="0019049A">
        <w:rPr>
          <w:rFonts w:ascii="Book Antiqua" w:eastAsia="Book Antiqua" w:hAnsi="Book Antiqua" w:cs="Book Antiqua"/>
          <w:color w:val="000000"/>
          <w:vertAlign w:val="superscript"/>
        </w:rPr>
        <w:t>[21,22]</w:t>
      </w:r>
      <w:r w:rsidRPr="0019049A">
        <w:rPr>
          <w:rFonts w:ascii="Book Antiqua" w:eastAsia="Book Antiqua" w:hAnsi="Book Antiqua" w:cs="Book Antiqua"/>
          <w:color w:val="000000"/>
        </w:rPr>
        <w:t>.</w:t>
      </w:r>
    </w:p>
    <w:p w14:paraId="43CF99A2"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t>Metabolism:</w:t>
      </w:r>
      <w:r w:rsidRPr="0019049A">
        <w:rPr>
          <w:rFonts w:ascii="Book Antiqua" w:eastAsia="Book Antiqua" w:hAnsi="Book Antiqua" w:cs="Book Antiqua"/>
          <w:color w:val="000000"/>
        </w:rPr>
        <w:t xml:space="preserve"> EBR and GZR are metabolized by CYP3A4, but no circulating metabolites can be found in plasma. CYP3A4 is weakly inhibited by GZR</w:t>
      </w:r>
      <w:r w:rsidRPr="0019049A">
        <w:rPr>
          <w:rFonts w:ascii="Book Antiqua" w:eastAsia="Book Antiqua" w:hAnsi="Book Antiqua" w:cs="Book Antiqua"/>
          <w:color w:val="000000"/>
          <w:vertAlign w:val="superscript"/>
        </w:rPr>
        <w:t>[21,22]</w:t>
      </w:r>
      <w:r w:rsidRPr="0019049A">
        <w:rPr>
          <w:rFonts w:ascii="Book Antiqua" w:eastAsia="Book Antiqua" w:hAnsi="Book Antiqua" w:cs="Book Antiqua"/>
          <w:color w:val="000000"/>
        </w:rPr>
        <w:t>.</w:t>
      </w:r>
    </w:p>
    <w:p w14:paraId="0E45A9EE"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lastRenderedPageBreak/>
        <w:t>Excretion:</w:t>
      </w:r>
      <w:r w:rsidRPr="0019049A">
        <w:rPr>
          <w:rFonts w:ascii="Book Antiqua" w:eastAsia="Book Antiqua" w:hAnsi="Book Antiqua" w:cs="Book Antiqua"/>
          <w:color w:val="000000"/>
        </w:rPr>
        <w:t xml:space="preserve"> EBR and GZR are excreted mainly by liver; more than 99% of the excreted dose can be found in faeces. The apparent t1⁄2 of EBR and GZR is 24 and 31 h</w:t>
      </w:r>
      <w:r w:rsidRPr="0019049A">
        <w:rPr>
          <w:rFonts w:ascii="Book Antiqua" w:eastAsia="Book Antiqua" w:hAnsi="Book Antiqua" w:cs="Book Antiqua"/>
          <w:color w:val="000000"/>
          <w:vertAlign w:val="superscript"/>
        </w:rPr>
        <w:t>[21,22]</w:t>
      </w:r>
      <w:r w:rsidRPr="0019049A">
        <w:rPr>
          <w:rFonts w:ascii="Book Antiqua" w:eastAsia="Book Antiqua" w:hAnsi="Book Antiqua" w:cs="Book Antiqua"/>
          <w:color w:val="000000"/>
        </w:rPr>
        <w:t>.</w:t>
      </w:r>
    </w:p>
    <w:p w14:paraId="2194CD47" w14:textId="77777777" w:rsidR="001653FC" w:rsidRPr="0019049A" w:rsidRDefault="001653FC">
      <w:pPr>
        <w:spacing w:line="360" w:lineRule="auto"/>
        <w:jc w:val="both"/>
        <w:rPr>
          <w:rFonts w:ascii="Book Antiqua" w:eastAsia="Book Antiqua" w:hAnsi="Book Antiqua" w:cs="Book Antiqua"/>
          <w:color w:val="000000"/>
        </w:rPr>
      </w:pPr>
    </w:p>
    <w:p w14:paraId="6493F103" w14:textId="77777777" w:rsidR="001653FC" w:rsidRPr="0019049A" w:rsidRDefault="008C2E61">
      <w:pPr>
        <w:spacing w:line="360" w:lineRule="auto"/>
        <w:ind w:firstLineChars="50" w:firstLine="120"/>
        <w:jc w:val="both"/>
        <w:rPr>
          <w:rFonts w:ascii="Book Antiqua" w:hAnsi="Book Antiqua"/>
          <w:b/>
          <w:i/>
        </w:rPr>
      </w:pPr>
      <w:r w:rsidRPr="0019049A">
        <w:rPr>
          <w:rFonts w:ascii="Book Antiqua" w:eastAsia="Book Antiqua" w:hAnsi="Book Antiqua" w:cs="Book Antiqua"/>
          <w:b/>
          <w:i/>
          <w:color w:val="000000"/>
        </w:rPr>
        <w:t>SOF/VEL</w:t>
      </w:r>
    </w:p>
    <w:p w14:paraId="1A91E03A" w14:textId="77777777" w:rsidR="001653FC" w:rsidRPr="0019049A" w:rsidRDefault="008C2E61">
      <w:pPr>
        <w:spacing w:line="360" w:lineRule="auto"/>
        <w:ind w:leftChars="50" w:left="120"/>
        <w:jc w:val="both"/>
        <w:rPr>
          <w:rFonts w:ascii="Book Antiqua" w:hAnsi="Book Antiqua"/>
        </w:rPr>
      </w:pPr>
      <w:r w:rsidRPr="0019049A">
        <w:rPr>
          <w:rFonts w:ascii="Book Antiqua" w:eastAsia="Book Antiqua" w:hAnsi="Book Antiqua" w:cs="Book Antiqua"/>
          <w:color w:val="000000"/>
        </w:rPr>
        <w:t>Absorption: The SOF Cmax after administration is 0.5-1 h. The AUC∞ of SOF can be increased by 60% and 78% by a moderate- and high-fat meal, respectively. However, the SOF Cmax is not affected by food</w:t>
      </w:r>
      <w:r w:rsidRPr="0019049A">
        <w:rPr>
          <w:rFonts w:ascii="Book Antiqua" w:eastAsia="Book Antiqua" w:hAnsi="Book Antiqua" w:cs="Book Antiqua"/>
          <w:color w:val="000000"/>
          <w:vertAlign w:val="superscript"/>
        </w:rPr>
        <w:t>[23,24]</w:t>
      </w:r>
      <w:r w:rsidRPr="0019049A">
        <w:rPr>
          <w:rFonts w:ascii="Book Antiqua" w:eastAsia="Book Antiqua" w:hAnsi="Book Antiqua" w:cs="Book Antiqua"/>
          <w:color w:val="000000"/>
        </w:rPr>
        <w:t>. The VEL median tmax is estimated around 3 h, while the AUC and Cmax values are lower in healthy volunteers (41% and 37%), when compared to those of HCV-infected subjects. The AUC of VEL can be increased after a moderate- (600 kcal; 30% fat) and high-fat (800 kcal; 50% fat) meals, while the Cmax increases by only 34% and 5%, respectively. The solubility of VEL is pH-dependent: In fact the increase of pH determines a reduction in solubility and absorption</w:t>
      </w:r>
      <w:r w:rsidRPr="0019049A">
        <w:rPr>
          <w:rFonts w:ascii="Book Antiqua" w:eastAsia="Book Antiqua" w:hAnsi="Book Antiqua" w:cs="Book Antiqua"/>
          <w:color w:val="000000"/>
          <w:vertAlign w:val="superscript"/>
        </w:rPr>
        <w:t>[23,24]</w:t>
      </w:r>
      <w:r w:rsidRPr="0019049A">
        <w:rPr>
          <w:rFonts w:ascii="Book Antiqua" w:eastAsia="Book Antiqua" w:hAnsi="Book Antiqua" w:cs="Book Antiqua"/>
          <w:color w:val="000000"/>
        </w:rPr>
        <w:t>.</w:t>
      </w:r>
    </w:p>
    <w:p w14:paraId="6953C644" w14:textId="77777777" w:rsidR="001653FC" w:rsidRPr="0019049A" w:rsidRDefault="008C2E61">
      <w:pPr>
        <w:spacing w:line="360" w:lineRule="auto"/>
        <w:ind w:leftChars="50" w:left="120"/>
        <w:jc w:val="both"/>
        <w:rPr>
          <w:rFonts w:ascii="Book Antiqua" w:hAnsi="Book Antiqua"/>
        </w:rPr>
      </w:pPr>
      <w:r w:rsidRPr="0019049A">
        <w:rPr>
          <w:rFonts w:ascii="Book Antiqua" w:eastAsia="Book Antiqua" w:hAnsi="Book Antiqua" w:cs="Book Antiqua"/>
          <w:b/>
          <w:color w:val="000000"/>
        </w:rPr>
        <w:t xml:space="preserve">Distribution: </w:t>
      </w:r>
      <w:r w:rsidRPr="0019049A">
        <w:rPr>
          <w:rFonts w:ascii="Book Antiqua" w:eastAsia="Book Antiqua" w:hAnsi="Book Antiqua" w:cs="Book Antiqua"/>
          <w:color w:val="000000"/>
        </w:rPr>
        <w:t>Circulation proteins highly protein bind VEL (&gt; 99.5%), regardless of the concentration range 0.09-1.8 μg/mL of the drug. SOF acts as a substrate of BCRP and P-gp. VEL acts as a substrate of BCRP, P-gp and OATP1B</w:t>
      </w:r>
      <w:r w:rsidRPr="0019049A">
        <w:rPr>
          <w:rFonts w:ascii="Book Antiqua" w:eastAsia="Book Antiqua" w:hAnsi="Book Antiqua" w:cs="Book Antiqua"/>
          <w:color w:val="000000"/>
          <w:vertAlign w:val="superscript"/>
        </w:rPr>
        <w:t>[25,26]</w:t>
      </w:r>
      <w:r w:rsidRPr="0019049A">
        <w:rPr>
          <w:rFonts w:ascii="Book Antiqua" w:eastAsia="Book Antiqua" w:hAnsi="Book Antiqua" w:cs="Book Antiqua"/>
          <w:color w:val="000000"/>
        </w:rPr>
        <w:t>. Plasma proteins that are not dose-dependent (1-20 μg/mL) bind SOF at 61%-65%</w:t>
      </w:r>
      <w:r w:rsidRPr="0019049A">
        <w:rPr>
          <w:rFonts w:ascii="Book Antiqua" w:eastAsia="Book Antiqua" w:hAnsi="Book Antiqua" w:cs="Book Antiqua"/>
          <w:color w:val="000000"/>
          <w:vertAlign w:val="superscript"/>
        </w:rPr>
        <w:t>[23,24]</w:t>
      </w:r>
      <w:r w:rsidRPr="0019049A">
        <w:rPr>
          <w:rFonts w:ascii="Book Antiqua" w:eastAsia="Book Antiqua" w:hAnsi="Book Antiqua" w:cs="Book Antiqua"/>
          <w:color w:val="000000"/>
        </w:rPr>
        <w:t>.</w:t>
      </w:r>
    </w:p>
    <w:p w14:paraId="4DEA1D8E" w14:textId="77777777" w:rsidR="001653FC" w:rsidRPr="0019049A" w:rsidRDefault="008C2E61">
      <w:pPr>
        <w:spacing w:line="360" w:lineRule="auto"/>
        <w:ind w:leftChars="50" w:left="120"/>
        <w:jc w:val="both"/>
        <w:rPr>
          <w:rFonts w:ascii="Book Antiqua" w:hAnsi="Book Antiqua"/>
        </w:rPr>
      </w:pPr>
      <w:r w:rsidRPr="0019049A">
        <w:rPr>
          <w:rFonts w:ascii="Book Antiqua" w:eastAsia="Book Antiqua" w:hAnsi="Book Antiqua" w:cs="Book Antiqua"/>
          <w:b/>
          <w:color w:val="000000"/>
        </w:rPr>
        <w:t>Metabolism:</w:t>
      </w:r>
      <w:r w:rsidRPr="0019049A">
        <w:rPr>
          <w:rFonts w:ascii="Book Antiqua" w:eastAsia="Book Antiqua" w:hAnsi="Book Antiqua" w:cs="Book Antiqua"/>
          <w:color w:val="000000"/>
        </w:rPr>
        <w:t xml:space="preserve"> VEL is metabolized by CYP2B6, CYP2C8, and CYP3A4, but &gt; 98% of the parent drug can be found in the blood after a single dose. VEL inhibits P-gp, BCRP, and OATP1B1/3</w:t>
      </w:r>
      <w:r w:rsidRPr="0019049A">
        <w:rPr>
          <w:rFonts w:ascii="Book Antiqua" w:eastAsia="Book Antiqua" w:hAnsi="Book Antiqua" w:cs="Book Antiqua"/>
          <w:color w:val="000000"/>
          <w:vertAlign w:val="superscript"/>
        </w:rPr>
        <w:t>[23,24]</w:t>
      </w:r>
      <w:r w:rsidRPr="0019049A">
        <w:rPr>
          <w:rFonts w:ascii="Book Antiqua" w:eastAsia="Book Antiqua" w:hAnsi="Book Antiqua" w:cs="Book Antiqua"/>
          <w:color w:val="000000"/>
        </w:rPr>
        <w:t>. Refers to the SOF/VEL/VOX paragraph for SOF metabolism.</w:t>
      </w:r>
    </w:p>
    <w:p w14:paraId="297CBE48" w14:textId="77777777" w:rsidR="001653FC" w:rsidRPr="0019049A" w:rsidRDefault="008C2E61">
      <w:pPr>
        <w:spacing w:line="360" w:lineRule="auto"/>
        <w:ind w:leftChars="50" w:left="120"/>
        <w:jc w:val="both"/>
        <w:rPr>
          <w:rFonts w:ascii="Book Antiqua" w:hAnsi="Book Antiqua"/>
        </w:rPr>
      </w:pPr>
      <w:r w:rsidRPr="0019049A">
        <w:rPr>
          <w:rFonts w:ascii="Book Antiqua" w:eastAsia="Book Antiqua" w:hAnsi="Book Antiqua" w:cs="Book Antiqua"/>
          <w:b/>
          <w:color w:val="000000"/>
        </w:rPr>
        <w:t xml:space="preserve">Excretion: </w:t>
      </w:r>
      <w:r w:rsidRPr="0019049A">
        <w:rPr>
          <w:rFonts w:ascii="Book Antiqua" w:eastAsia="Book Antiqua" w:hAnsi="Book Antiqua" w:cs="Book Antiqua"/>
          <w:color w:val="000000"/>
        </w:rPr>
        <w:t>The clearance of VEL is mainly hepatic, VEL is retrieved in faeces for &gt; 94% and in urine for 0.4%. The t1⁄2 of VEL is approximately 15 h</w:t>
      </w:r>
      <w:r w:rsidRPr="0019049A">
        <w:rPr>
          <w:rFonts w:ascii="Book Antiqua" w:eastAsia="Book Antiqua" w:hAnsi="Book Antiqua" w:cs="Book Antiqua"/>
          <w:color w:val="000000"/>
          <w:vertAlign w:val="superscript"/>
        </w:rPr>
        <w:t>[25,26]</w:t>
      </w:r>
      <w:r w:rsidRPr="0019049A">
        <w:rPr>
          <w:rFonts w:ascii="Book Antiqua" w:eastAsia="Book Antiqua" w:hAnsi="Book Antiqua" w:cs="Book Antiqua"/>
          <w:color w:val="000000"/>
        </w:rPr>
        <w:t>. SOF is mainly excreted by kidneys (80%) as GS-331007 (78%). The t1⁄2 of SOF is 0.5 h, while the t1⁄2 of GS-331007 is 25 h</w:t>
      </w:r>
      <w:r w:rsidRPr="0019049A">
        <w:rPr>
          <w:rFonts w:ascii="Book Antiqua" w:eastAsia="Book Antiqua" w:hAnsi="Book Antiqua" w:cs="Book Antiqua"/>
          <w:color w:val="000000"/>
          <w:vertAlign w:val="superscript"/>
        </w:rPr>
        <w:t>[23,24]</w:t>
      </w:r>
      <w:r w:rsidRPr="0019049A">
        <w:rPr>
          <w:rFonts w:ascii="Book Antiqua" w:eastAsia="Book Antiqua" w:hAnsi="Book Antiqua" w:cs="Book Antiqua"/>
          <w:color w:val="000000"/>
        </w:rPr>
        <w:t>.</w:t>
      </w:r>
    </w:p>
    <w:p w14:paraId="319CA700" w14:textId="77777777" w:rsidR="001653FC" w:rsidRPr="0019049A" w:rsidRDefault="001653FC">
      <w:pPr>
        <w:spacing w:line="360" w:lineRule="auto"/>
        <w:ind w:leftChars="50" w:left="120"/>
        <w:jc w:val="both"/>
        <w:rPr>
          <w:rFonts w:ascii="Book Antiqua" w:eastAsia="Book Antiqua" w:hAnsi="Book Antiqua" w:cs="Book Antiqua"/>
          <w:b/>
          <w:i/>
          <w:color w:val="000000"/>
        </w:rPr>
      </w:pPr>
    </w:p>
    <w:p w14:paraId="61BF727B" w14:textId="77777777" w:rsidR="001653FC" w:rsidRPr="0019049A" w:rsidRDefault="008C2E61">
      <w:pPr>
        <w:spacing w:line="360" w:lineRule="auto"/>
        <w:ind w:leftChars="50" w:left="120"/>
        <w:jc w:val="both"/>
        <w:rPr>
          <w:rFonts w:ascii="Book Antiqua" w:hAnsi="Book Antiqua"/>
          <w:b/>
          <w:i/>
        </w:rPr>
      </w:pPr>
      <w:r w:rsidRPr="0019049A">
        <w:rPr>
          <w:rFonts w:ascii="Book Antiqua" w:eastAsia="Book Antiqua" w:hAnsi="Book Antiqua" w:cs="Book Antiqua"/>
          <w:b/>
          <w:i/>
          <w:color w:val="000000"/>
        </w:rPr>
        <w:t>GLE/PIB</w:t>
      </w:r>
    </w:p>
    <w:p w14:paraId="0897BD77" w14:textId="77777777" w:rsidR="001653FC" w:rsidRPr="0019049A" w:rsidRDefault="008C2E61">
      <w:pPr>
        <w:spacing w:line="360" w:lineRule="auto"/>
        <w:ind w:leftChars="50" w:left="120"/>
        <w:jc w:val="both"/>
        <w:rPr>
          <w:rFonts w:ascii="Book Antiqua" w:hAnsi="Book Antiqua"/>
        </w:rPr>
      </w:pPr>
      <w:r w:rsidRPr="0019049A">
        <w:rPr>
          <w:rFonts w:ascii="Book Antiqua" w:eastAsia="Book Antiqua" w:hAnsi="Book Antiqua" w:cs="Book Antiqua"/>
          <w:b/>
          <w:color w:val="000000"/>
        </w:rPr>
        <w:t>Absorption:</w:t>
      </w:r>
      <w:r w:rsidRPr="0019049A">
        <w:rPr>
          <w:rFonts w:ascii="Book Antiqua" w:eastAsia="Book Antiqua" w:hAnsi="Book Antiqua" w:cs="Book Antiqua"/>
          <w:color w:val="000000"/>
        </w:rPr>
        <w:t xml:space="preserve"> The tmax of GLE/PIB is about 5 h. Fat meals (moderate and high) can increase the absorption of GLE/PIB: The exposure of GLE after a meal is increased 83%-163% and the exposure of PIB is increased 40%-53%. Both drugs are P-gp substrates</w:t>
      </w:r>
      <w:r w:rsidRPr="0019049A">
        <w:rPr>
          <w:rFonts w:ascii="Book Antiqua" w:eastAsia="Book Antiqua" w:hAnsi="Book Antiqua" w:cs="Book Antiqua"/>
          <w:color w:val="000000"/>
          <w:vertAlign w:val="superscript"/>
        </w:rPr>
        <w:t>[25,26]</w:t>
      </w:r>
      <w:r w:rsidRPr="0019049A">
        <w:rPr>
          <w:rFonts w:ascii="Book Antiqua" w:eastAsia="Book Antiqua" w:hAnsi="Book Antiqua" w:cs="Book Antiqua"/>
          <w:color w:val="000000"/>
        </w:rPr>
        <w:t>.</w:t>
      </w:r>
    </w:p>
    <w:p w14:paraId="404C3D78" w14:textId="77777777" w:rsidR="001653FC" w:rsidRPr="0019049A" w:rsidRDefault="008C2E61">
      <w:pPr>
        <w:spacing w:line="360" w:lineRule="auto"/>
        <w:ind w:leftChars="50" w:left="120"/>
        <w:jc w:val="both"/>
        <w:rPr>
          <w:rFonts w:ascii="Book Antiqua" w:hAnsi="Book Antiqua"/>
        </w:rPr>
      </w:pPr>
      <w:r w:rsidRPr="0019049A">
        <w:rPr>
          <w:rFonts w:ascii="Book Antiqua" w:eastAsia="Book Antiqua" w:hAnsi="Book Antiqua" w:cs="Book Antiqua"/>
          <w:b/>
          <w:color w:val="000000"/>
        </w:rPr>
        <w:lastRenderedPageBreak/>
        <w:t>Distribution:</w:t>
      </w:r>
      <w:r w:rsidRPr="0019049A">
        <w:rPr>
          <w:rFonts w:ascii="Book Antiqua" w:eastAsia="Book Antiqua" w:hAnsi="Book Antiqua" w:cs="Book Antiqua"/>
          <w:color w:val="000000"/>
        </w:rPr>
        <w:t xml:space="preserve"> Plasma proteins highly bind 97.5% to GLE and &gt; 99.9% to PIB, both of drugs are actively transported by BCRP. GLE constitutes also a substrate of OATP1B1/3</w:t>
      </w:r>
      <w:r w:rsidRPr="0019049A">
        <w:rPr>
          <w:rFonts w:ascii="Book Antiqua" w:eastAsia="Book Antiqua" w:hAnsi="Book Antiqua" w:cs="Book Antiqua"/>
          <w:color w:val="000000"/>
          <w:vertAlign w:val="superscript"/>
        </w:rPr>
        <w:t>[25,26]</w:t>
      </w:r>
      <w:r w:rsidRPr="0019049A">
        <w:rPr>
          <w:rFonts w:ascii="Book Antiqua" w:eastAsia="Book Antiqua" w:hAnsi="Book Antiqua" w:cs="Book Antiqua"/>
          <w:color w:val="000000"/>
        </w:rPr>
        <w:t>.</w:t>
      </w:r>
    </w:p>
    <w:p w14:paraId="47DF0A1F" w14:textId="77777777" w:rsidR="001653FC" w:rsidRPr="0019049A" w:rsidRDefault="008C2E61">
      <w:pPr>
        <w:spacing w:line="360" w:lineRule="auto"/>
        <w:ind w:leftChars="50" w:left="120"/>
        <w:jc w:val="both"/>
        <w:rPr>
          <w:rFonts w:ascii="Book Antiqua" w:hAnsi="Book Antiqua"/>
        </w:rPr>
      </w:pPr>
      <w:r w:rsidRPr="0019049A">
        <w:rPr>
          <w:rFonts w:ascii="Book Antiqua" w:eastAsia="Book Antiqua" w:hAnsi="Book Antiqua" w:cs="Book Antiqua"/>
          <w:b/>
          <w:color w:val="000000"/>
        </w:rPr>
        <w:t>Metabolism:</w:t>
      </w:r>
      <w:r w:rsidRPr="0019049A">
        <w:rPr>
          <w:rFonts w:ascii="Book Antiqua" w:eastAsia="Book Antiqua" w:hAnsi="Book Antiqua" w:cs="Book Antiqua"/>
          <w:color w:val="000000"/>
        </w:rPr>
        <w:t xml:space="preserve"> GLE is metabolized by CYP3A4, and PIB does not undergo biotransformation</w:t>
      </w:r>
      <w:r w:rsidRPr="0019049A">
        <w:rPr>
          <w:rFonts w:ascii="Book Antiqua" w:eastAsia="Book Antiqua" w:hAnsi="Book Antiqua" w:cs="Book Antiqua"/>
          <w:color w:val="000000"/>
          <w:vertAlign w:val="superscript"/>
        </w:rPr>
        <w:t>[25,26]</w:t>
      </w:r>
      <w:r w:rsidRPr="0019049A">
        <w:rPr>
          <w:rFonts w:ascii="Book Antiqua" w:eastAsia="Book Antiqua" w:hAnsi="Book Antiqua" w:cs="Book Antiqua"/>
          <w:color w:val="000000"/>
        </w:rPr>
        <w:t>.</w:t>
      </w:r>
    </w:p>
    <w:p w14:paraId="529425D2" w14:textId="77777777" w:rsidR="001653FC" w:rsidRPr="0019049A" w:rsidRDefault="008C2E61">
      <w:pPr>
        <w:spacing w:line="360" w:lineRule="auto"/>
        <w:ind w:leftChars="50" w:left="120"/>
        <w:jc w:val="both"/>
        <w:rPr>
          <w:rFonts w:ascii="Book Antiqua" w:hAnsi="Book Antiqua"/>
        </w:rPr>
      </w:pPr>
      <w:r w:rsidRPr="0019049A">
        <w:rPr>
          <w:rFonts w:ascii="Book Antiqua" w:eastAsia="Book Antiqua" w:hAnsi="Book Antiqua" w:cs="Book Antiqua"/>
          <w:b/>
          <w:color w:val="000000"/>
        </w:rPr>
        <w:t>Excretion:</w:t>
      </w:r>
      <w:r w:rsidRPr="0019049A">
        <w:rPr>
          <w:rFonts w:ascii="Book Antiqua" w:eastAsia="Book Antiqua" w:hAnsi="Book Antiqua" w:cs="Book Antiqua"/>
          <w:color w:val="000000"/>
        </w:rPr>
        <w:t xml:space="preserve"> GLE is primarily excreted by the liver; in fact, 92.1% of a radioactive dose is retrieved in faeces. The t1⁄2 is 6-9 h at steady state. PIB is also primarily found in stool (96.6%), with a t1⁄2 of 23–29 h</w:t>
      </w:r>
      <w:r w:rsidRPr="0019049A">
        <w:rPr>
          <w:rFonts w:ascii="Book Antiqua" w:eastAsia="Book Antiqua" w:hAnsi="Book Antiqua" w:cs="Book Antiqua"/>
          <w:color w:val="000000"/>
          <w:vertAlign w:val="superscript"/>
        </w:rPr>
        <w:t>[25,26]</w:t>
      </w:r>
      <w:r w:rsidRPr="0019049A">
        <w:rPr>
          <w:rFonts w:ascii="Book Antiqua" w:eastAsia="Book Antiqua" w:hAnsi="Book Antiqua" w:cs="Book Antiqua"/>
          <w:color w:val="000000"/>
        </w:rPr>
        <w:t>.</w:t>
      </w:r>
    </w:p>
    <w:p w14:paraId="187BCBF9" w14:textId="77777777" w:rsidR="001653FC" w:rsidRPr="0019049A" w:rsidRDefault="001653FC">
      <w:pPr>
        <w:spacing w:line="360" w:lineRule="auto"/>
        <w:ind w:leftChars="50" w:left="120"/>
        <w:jc w:val="both"/>
        <w:rPr>
          <w:rFonts w:ascii="Book Antiqua" w:eastAsia="Book Antiqua" w:hAnsi="Book Antiqua" w:cs="Book Antiqua"/>
          <w:color w:val="000000"/>
        </w:rPr>
      </w:pPr>
    </w:p>
    <w:p w14:paraId="604CCB66" w14:textId="77777777" w:rsidR="001653FC" w:rsidRPr="0019049A" w:rsidRDefault="008C2E61">
      <w:pPr>
        <w:spacing w:line="360" w:lineRule="auto"/>
        <w:ind w:leftChars="50" w:left="120"/>
        <w:jc w:val="both"/>
        <w:rPr>
          <w:rFonts w:ascii="Book Antiqua" w:hAnsi="Book Antiqua"/>
          <w:b/>
          <w:i/>
        </w:rPr>
      </w:pPr>
      <w:r w:rsidRPr="0019049A">
        <w:rPr>
          <w:rFonts w:ascii="Book Antiqua" w:eastAsia="Book Antiqua" w:hAnsi="Book Antiqua" w:cs="Book Antiqua"/>
          <w:b/>
          <w:i/>
          <w:color w:val="000000"/>
        </w:rPr>
        <w:t>SOF/VEL/VOX</w:t>
      </w:r>
    </w:p>
    <w:p w14:paraId="7D23EDE1" w14:textId="77777777" w:rsidR="001653FC" w:rsidRPr="0019049A" w:rsidRDefault="008C2E61">
      <w:pPr>
        <w:spacing w:line="360" w:lineRule="auto"/>
        <w:ind w:leftChars="50" w:left="120"/>
        <w:jc w:val="both"/>
        <w:rPr>
          <w:rFonts w:ascii="Book Antiqua" w:hAnsi="Book Antiqua"/>
        </w:rPr>
      </w:pPr>
      <w:r w:rsidRPr="0019049A">
        <w:rPr>
          <w:rFonts w:ascii="Book Antiqua" w:eastAsia="Book Antiqua" w:hAnsi="Book Antiqua" w:cs="Book Antiqua"/>
          <w:b/>
          <w:color w:val="000000"/>
        </w:rPr>
        <w:t>Absorption:</w:t>
      </w:r>
      <w:r w:rsidRPr="0019049A">
        <w:rPr>
          <w:rFonts w:ascii="Book Antiqua" w:eastAsia="Book Antiqua" w:hAnsi="Book Antiqua" w:cs="Book Antiqua"/>
          <w:color w:val="000000"/>
        </w:rPr>
        <w:t xml:space="preserve"> The Cmax of VOX, VEL, and a major metabolite of SOF, namely, GS-331007 is reached after approximately 4 h; the Cmax of SOF is reached after 2 h. The AUC and Cmax of VEL are 41% and 39% decreased in patients, respectively, while the AUC and Cmax of VOX are both elevated by 260% when comparing HCV-infected individuals and healthy volunteers</w:t>
      </w:r>
      <w:r w:rsidRPr="0019049A">
        <w:rPr>
          <w:rFonts w:ascii="Book Antiqua" w:eastAsia="Book Antiqua" w:hAnsi="Book Antiqua" w:cs="Book Antiqua"/>
          <w:color w:val="000000"/>
          <w:vertAlign w:val="superscript"/>
        </w:rPr>
        <w:t>[27,28]</w:t>
      </w:r>
      <w:r w:rsidRPr="0019049A">
        <w:rPr>
          <w:rFonts w:ascii="Book Antiqua" w:eastAsia="Book Antiqua" w:hAnsi="Book Antiqua" w:cs="Book Antiqua"/>
          <w:color w:val="000000"/>
        </w:rPr>
        <w:t>. The AUC∞ and Cmax of SOF increasefrom 64 to 114% and 9% to 76%, respectively, after a meal. The Cmax of GS-331007 after a meal decreases (19%-35%). The AUC∞ and Cmax of VEL increase (40%-166% and 37%-187%, respectively). The AUC of VOX increases from 112% to 435%, while the Cmax of VOX increases from 147% to 680%</w:t>
      </w:r>
      <w:r w:rsidRPr="0019049A">
        <w:rPr>
          <w:rFonts w:ascii="Book Antiqua" w:eastAsia="Book Antiqua" w:hAnsi="Book Antiqua" w:cs="Book Antiqua"/>
          <w:color w:val="000000"/>
          <w:vertAlign w:val="superscript"/>
        </w:rPr>
        <w:t>[27,28]</w:t>
      </w:r>
      <w:r w:rsidRPr="0019049A">
        <w:rPr>
          <w:rFonts w:ascii="Book Antiqua" w:eastAsia="Book Antiqua" w:hAnsi="Book Antiqua" w:cs="Book Antiqua"/>
          <w:color w:val="000000"/>
        </w:rPr>
        <w:t>.</w:t>
      </w:r>
    </w:p>
    <w:p w14:paraId="6669CB2B" w14:textId="77777777" w:rsidR="001653FC" w:rsidRPr="0019049A" w:rsidRDefault="008C2E61">
      <w:pPr>
        <w:spacing w:line="360" w:lineRule="auto"/>
        <w:ind w:leftChars="50" w:left="120"/>
        <w:jc w:val="both"/>
        <w:rPr>
          <w:rFonts w:ascii="Book Antiqua" w:hAnsi="Book Antiqua"/>
        </w:rPr>
      </w:pPr>
      <w:r w:rsidRPr="0019049A">
        <w:rPr>
          <w:rFonts w:ascii="Book Antiqua" w:eastAsia="Book Antiqua" w:hAnsi="Book Antiqua" w:cs="Book Antiqua"/>
          <w:b/>
          <w:color w:val="000000"/>
        </w:rPr>
        <w:t>Distribution:</w:t>
      </w:r>
      <w:r w:rsidRPr="0019049A">
        <w:rPr>
          <w:rFonts w:ascii="Book Antiqua" w:eastAsia="Book Antiqua" w:hAnsi="Book Antiqua" w:cs="Book Antiqua"/>
          <w:color w:val="000000"/>
        </w:rPr>
        <w:t xml:space="preserve"> Plasma proteins highly bind to SOF, VEL, and VOX (61%-65%, &gt; 99%, and &gt; 99%, respectively), with a concentration independent pharmacokinetics (ranging from 1 to 20 and 0.09 to 1.8 μg/mL, respectively) for SOF and VEL. SOF acts as a substrate of P-gp and BCRP, while VEL acts as a substrate of P-gp, OATP1B1/3, and BCRP. Finally, VOX acts as a substrate of P-gp and BCRP</w:t>
      </w:r>
      <w:r w:rsidRPr="0019049A">
        <w:rPr>
          <w:rFonts w:ascii="Book Antiqua" w:eastAsia="Book Antiqua" w:hAnsi="Book Antiqua" w:cs="Book Antiqua"/>
          <w:color w:val="000000"/>
          <w:vertAlign w:val="superscript"/>
        </w:rPr>
        <w:t>[27,28]</w:t>
      </w:r>
      <w:r w:rsidRPr="0019049A">
        <w:rPr>
          <w:rFonts w:ascii="Book Antiqua" w:eastAsia="Book Antiqua" w:hAnsi="Book Antiqua" w:cs="Book Antiqua"/>
          <w:color w:val="000000"/>
        </w:rPr>
        <w:t>.</w:t>
      </w:r>
    </w:p>
    <w:p w14:paraId="03A42956" w14:textId="77777777" w:rsidR="001653FC" w:rsidRPr="0019049A" w:rsidRDefault="008C2E61">
      <w:pPr>
        <w:spacing w:line="360" w:lineRule="auto"/>
        <w:ind w:leftChars="50" w:left="120"/>
        <w:jc w:val="both"/>
        <w:rPr>
          <w:rFonts w:ascii="Book Antiqua" w:hAnsi="Book Antiqua"/>
        </w:rPr>
      </w:pPr>
      <w:r w:rsidRPr="0019049A">
        <w:rPr>
          <w:rFonts w:ascii="Book Antiqua" w:eastAsia="Book Antiqua" w:hAnsi="Book Antiqua" w:cs="Book Antiqua"/>
          <w:b/>
          <w:color w:val="000000"/>
        </w:rPr>
        <w:t>Metabolism:</w:t>
      </w:r>
      <w:r w:rsidRPr="0019049A">
        <w:rPr>
          <w:rFonts w:ascii="Book Antiqua" w:eastAsia="Book Antiqua" w:hAnsi="Book Antiqua" w:cs="Book Antiqua"/>
          <w:color w:val="000000"/>
        </w:rPr>
        <w:t xml:space="preserve"> VOX is a substrate of CYP3A4. VOX is an inhibitor of P-gp, BCRP, and OATP1B1/3</w:t>
      </w:r>
      <w:r w:rsidRPr="0019049A">
        <w:rPr>
          <w:rFonts w:ascii="Book Antiqua" w:eastAsia="Book Antiqua" w:hAnsi="Book Antiqua" w:cs="Book Antiqua"/>
          <w:color w:val="000000"/>
          <w:vertAlign w:val="superscript"/>
        </w:rPr>
        <w:t>[27,28]</w:t>
      </w:r>
      <w:r w:rsidRPr="0019049A">
        <w:rPr>
          <w:rFonts w:ascii="Book Antiqua" w:eastAsia="Book Antiqua" w:hAnsi="Book Antiqua" w:cs="Book Antiqua"/>
          <w:color w:val="000000"/>
        </w:rPr>
        <w:t>. The metabolism of SOF and VEL is reported in the paragraph on SOF/VEL combination therapy above.</w:t>
      </w:r>
    </w:p>
    <w:p w14:paraId="4BD26D42" w14:textId="77777777" w:rsidR="001653FC" w:rsidRPr="0019049A" w:rsidRDefault="008C2E61">
      <w:pPr>
        <w:spacing w:line="360" w:lineRule="auto"/>
        <w:ind w:leftChars="50" w:left="120"/>
        <w:jc w:val="both"/>
        <w:rPr>
          <w:rFonts w:ascii="Book Antiqua" w:hAnsi="Book Antiqua"/>
        </w:rPr>
      </w:pPr>
      <w:r w:rsidRPr="0019049A">
        <w:rPr>
          <w:rFonts w:ascii="Book Antiqua" w:eastAsia="Book Antiqua" w:hAnsi="Book Antiqua" w:cs="Book Antiqua"/>
          <w:b/>
          <w:color w:val="000000"/>
        </w:rPr>
        <w:t>Excretion:</w:t>
      </w:r>
      <w:r w:rsidRPr="0019049A">
        <w:rPr>
          <w:rFonts w:ascii="Book Antiqua" w:eastAsia="Book Antiqua" w:hAnsi="Book Antiqua" w:cs="Book Antiqua"/>
          <w:color w:val="000000"/>
        </w:rPr>
        <w:t xml:space="preserve"> SOF is excreted by the kidneys (80%), mainly in the form of GS-331007 (78%). The t1⁄2 of SOF is 0.5 h and the t1⁄2 of GS-331007 is 29 h</w:t>
      </w:r>
      <w:r w:rsidRPr="0019049A">
        <w:rPr>
          <w:rFonts w:ascii="Book Antiqua" w:eastAsia="Book Antiqua" w:hAnsi="Book Antiqua" w:cs="Book Antiqua"/>
          <w:color w:val="000000"/>
          <w:vertAlign w:val="superscript"/>
        </w:rPr>
        <w:t>[28,29]</w:t>
      </w:r>
      <w:r w:rsidRPr="0019049A">
        <w:rPr>
          <w:rFonts w:ascii="Book Antiqua" w:eastAsia="Book Antiqua" w:hAnsi="Book Antiqua" w:cs="Book Antiqua"/>
          <w:color w:val="000000"/>
        </w:rPr>
        <w:t xml:space="preserve">. The clearance of VEL is </w:t>
      </w:r>
      <w:r w:rsidRPr="0019049A">
        <w:rPr>
          <w:rFonts w:ascii="Book Antiqua" w:eastAsia="Book Antiqua" w:hAnsi="Book Antiqua" w:cs="Book Antiqua"/>
          <w:color w:val="000000"/>
        </w:rPr>
        <w:lastRenderedPageBreak/>
        <w:t>mainly hepatic. The t1⁄2 of VEL is approximately 17 h (27). The excretion is mainly biliary</w:t>
      </w:r>
      <w:r w:rsidRPr="0019049A">
        <w:rPr>
          <w:rFonts w:ascii="Book Antiqua" w:eastAsia="Book Antiqua" w:hAnsi="Book Antiqua" w:cs="Book Antiqua"/>
          <w:color w:val="000000"/>
          <w:vertAlign w:val="superscript"/>
        </w:rPr>
        <w:t>[27,28]</w:t>
      </w:r>
      <w:r w:rsidRPr="0019049A">
        <w:rPr>
          <w:rFonts w:ascii="Book Antiqua" w:eastAsia="Book Antiqua" w:hAnsi="Book Antiqua" w:cs="Book Antiqua"/>
          <w:color w:val="000000"/>
        </w:rPr>
        <w:t>.</w:t>
      </w:r>
    </w:p>
    <w:p w14:paraId="62B64C79" w14:textId="77777777" w:rsidR="001653FC" w:rsidRPr="0019049A" w:rsidRDefault="001653FC">
      <w:pPr>
        <w:spacing w:line="360" w:lineRule="auto"/>
        <w:jc w:val="both"/>
        <w:rPr>
          <w:rFonts w:ascii="Book Antiqua" w:eastAsia="Book Antiqua" w:hAnsi="Book Antiqua" w:cs="Book Antiqua"/>
          <w:b/>
          <w:bCs/>
          <w:color w:val="000000"/>
          <w:u w:val="single" w:color="000000"/>
        </w:rPr>
      </w:pPr>
    </w:p>
    <w:p w14:paraId="06A0B373"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bCs/>
          <w:color w:val="000000"/>
          <w:u w:val="single" w:color="000000"/>
        </w:rPr>
        <w:t>PHARMACODYNAMICS OF CURRENTLY USED DAAS</w:t>
      </w:r>
    </w:p>
    <w:p w14:paraId="5E10EF0F"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Intended as the balance between the effect (reduction of HCV-RNA under therapy) and toxicity (adverse effects), the pharmacodynamics of currently used</w:t>
      </w:r>
      <w:r w:rsidRPr="0019049A">
        <w:rPr>
          <w:rFonts w:ascii="Book Antiqua" w:eastAsia="Book Antiqua" w:hAnsi="Book Antiqua" w:cs="Book Antiqua"/>
          <w:b/>
          <w:bCs/>
          <w:color w:val="000000"/>
        </w:rPr>
        <w:t xml:space="preserve"> </w:t>
      </w:r>
      <w:r w:rsidRPr="0019049A">
        <w:rPr>
          <w:rFonts w:ascii="Book Antiqua" w:eastAsia="Book Antiqua" w:hAnsi="Book Antiqua" w:cs="Book Antiqua"/>
          <w:color w:val="000000"/>
        </w:rPr>
        <w:t>DAAs consist of the duration of therapy, safety profile and estimated adverse effects.</w:t>
      </w:r>
    </w:p>
    <w:p w14:paraId="4AAFF9B3" w14:textId="77777777" w:rsidR="001653FC" w:rsidRPr="0019049A" w:rsidRDefault="008C2E61">
      <w:pPr>
        <w:spacing w:line="360" w:lineRule="auto"/>
        <w:ind w:firstLineChars="200" w:firstLine="480"/>
        <w:jc w:val="both"/>
        <w:rPr>
          <w:rFonts w:ascii="Book Antiqua" w:hAnsi="Book Antiqua"/>
        </w:rPr>
      </w:pPr>
      <w:r w:rsidRPr="0019049A">
        <w:rPr>
          <w:rFonts w:ascii="Book Antiqua" w:eastAsia="Book Antiqua" w:hAnsi="Book Antiqua" w:cs="Book Antiqua"/>
          <w:caps/>
          <w:color w:val="000000"/>
        </w:rPr>
        <w:t xml:space="preserve">EBR/GZR </w:t>
      </w:r>
      <w:r w:rsidRPr="0019049A">
        <w:rPr>
          <w:rFonts w:ascii="Book Antiqua" w:eastAsia="Book Antiqua" w:hAnsi="Book Antiqua" w:cs="Book Antiqua"/>
          <w:color w:val="000000"/>
        </w:rPr>
        <w:t xml:space="preserve">is efficacious for subjects affected by genotypes 1 and 4 HCV infection treated for 12 wk. </w:t>
      </w:r>
      <w:r w:rsidRPr="0019049A">
        <w:rPr>
          <w:rFonts w:ascii="Book Antiqua" w:eastAsia="Book Antiqua" w:hAnsi="Book Antiqua" w:cs="Book Antiqua"/>
          <w:caps/>
          <w:color w:val="000000"/>
        </w:rPr>
        <w:t>EBR/GZR</w:t>
      </w:r>
      <w:r w:rsidRPr="0019049A">
        <w:rPr>
          <w:rFonts w:ascii="Book Antiqua" w:eastAsia="Book Antiqua" w:hAnsi="Book Antiqua" w:cs="Book Antiqua"/>
          <w:color w:val="000000"/>
        </w:rPr>
        <w:t xml:space="preserve"> is approved for patients with renal insufficiency and compensated cirrhosis. This combination is approved in the fixed dose combination of 50 mg/100 mg once daily. The favourable safety profile with low discontinuation rates (&lt; 5%) makes this compound suitable for HCV-infected patients with genotypes 1 and 4. The most frequent adverse effects are fatigue, headache, asthenia, nausea, rash, and an increase in ALT/AST and ALP</w:t>
      </w:r>
      <w:r w:rsidRPr="0019049A">
        <w:rPr>
          <w:rFonts w:ascii="Book Antiqua" w:eastAsia="Book Antiqua" w:hAnsi="Book Antiqua" w:cs="Book Antiqua"/>
          <w:color w:val="000000"/>
          <w:vertAlign w:val="superscript"/>
        </w:rPr>
        <w:t>[1,21]</w:t>
      </w:r>
      <w:r w:rsidRPr="0019049A">
        <w:rPr>
          <w:rFonts w:ascii="Book Antiqua" w:eastAsia="Book Antiqua" w:hAnsi="Book Antiqua" w:cs="Book Antiqua"/>
          <w:color w:val="000000"/>
        </w:rPr>
        <w:t>.</w:t>
      </w:r>
    </w:p>
    <w:p w14:paraId="5C0B2D67" w14:textId="77777777" w:rsidR="001653FC" w:rsidRPr="0019049A" w:rsidRDefault="008C2E61">
      <w:pPr>
        <w:spacing w:line="360" w:lineRule="auto"/>
        <w:ind w:firstLineChars="200" w:firstLine="480"/>
        <w:jc w:val="both"/>
        <w:rPr>
          <w:rFonts w:ascii="Book Antiqua" w:hAnsi="Book Antiqua"/>
        </w:rPr>
      </w:pPr>
      <w:r w:rsidRPr="0019049A">
        <w:rPr>
          <w:rFonts w:ascii="Book Antiqua" w:eastAsia="Book Antiqua" w:hAnsi="Book Antiqua" w:cs="Book Antiqua"/>
          <w:color w:val="000000"/>
        </w:rPr>
        <w:t>SOF/VEL combination for 12 wk is valid in HCV pangenotypic patients treatment-experienced and/or treatment-naïve. Mild described adverse events are headache, fatigue, nausea and insomnia. Combination therapy with ribavirin leads to anaemia in over 10% of patients</w:t>
      </w:r>
      <w:r w:rsidRPr="0019049A">
        <w:rPr>
          <w:rFonts w:ascii="Book Antiqua" w:eastAsia="Book Antiqua" w:hAnsi="Book Antiqua" w:cs="Book Antiqua"/>
          <w:color w:val="000000"/>
          <w:vertAlign w:val="superscript"/>
        </w:rPr>
        <w:t>[1,24]</w:t>
      </w:r>
      <w:r w:rsidRPr="0019049A">
        <w:rPr>
          <w:rFonts w:ascii="Book Antiqua" w:eastAsia="Book Antiqua" w:hAnsi="Book Antiqua" w:cs="Book Antiqua"/>
          <w:color w:val="000000"/>
        </w:rPr>
        <w:t>.</w:t>
      </w:r>
    </w:p>
    <w:p w14:paraId="33D9BF68" w14:textId="77777777" w:rsidR="001653FC" w:rsidRPr="0019049A" w:rsidRDefault="008C2E61">
      <w:pPr>
        <w:spacing w:line="360" w:lineRule="auto"/>
        <w:ind w:firstLineChars="200" w:firstLine="480"/>
        <w:jc w:val="both"/>
        <w:rPr>
          <w:rFonts w:ascii="Book Antiqua" w:hAnsi="Book Antiqua"/>
        </w:rPr>
      </w:pPr>
      <w:r w:rsidRPr="0019049A">
        <w:rPr>
          <w:rFonts w:ascii="Book Antiqua" w:eastAsia="Book Antiqua" w:hAnsi="Book Antiqua" w:cs="Book Antiqua"/>
          <w:color w:val="000000"/>
        </w:rPr>
        <w:t>GLE/PIB is a pangenotypic regimen that is highly effective when administered for 8 to 12 wk once daily at doses of 100 mg/40 mg. Naïve and experienced patients with or without cirrhosis can be treated with this compound, whichhas a mild toxicity profile, in which headache, fatigue, nasopharyngitis and nausea can arise</w:t>
      </w:r>
      <w:r w:rsidRPr="0019049A">
        <w:rPr>
          <w:rFonts w:ascii="Book Antiqua" w:eastAsia="Book Antiqua" w:hAnsi="Book Antiqua" w:cs="Book Antiqua"/>
          <w:color w:val="000000"/>
          <w:vertAlign w:val="superscript"/>
        </w:rPr>
        <w:t>[1,25]</w:t>
      </w:r>
      <w:r w:rsidRPr="0019049A">
        <w:rPr>
          <w:rFonts w:ascii="Book Antiqua" w:eastAsia="Book Antiqua" w:hAnsi="Book Antiqua" w:cs="Book Antiqua"/>
          <w:color w:val="000000"/>
        </w:rPr>
        <w:t>.</w:t>
      </w:r>
    </w:p>
    <w:p w14:paraId="4390BD57" w14:textId="77777777" w:rsidR="001653FC" w:rsidRPr="0019049A" w:rsidRDefault="008C2E61">
      <w:pPr>
        <w:spacing w:line="360" w:lineRule="auto"/>
        <w:ind w:firstLineChars="200" w:firstLine="480"/>
        <w:jc w:val="both"/>
        <w:rPr>
          <w:rFonts w:ascii="Book Antiqua" w:hAnsi="Book Antiqua"/>
        </w:rPr>
      </w:pPr>
      <w:r w:rsidRPr="0019049A">
        <w:rPr>
          <w:rFonts w:ascii="Book Antiqua" w:eastAsia="Book Antiqua" w:hAnsi="Book Antiqua" w:cs="Book Antiqua"/>
          <w:color w:val="000000"/>
        </w:rPr>
        <w:t>Finally, the pangenotypic highly effective SOF/VEL/VOX combination is licenced for patients who fail to respond to IFN/riba and DAAs and those with or without compensated cirrhosis. The adverse effects described are headache, diarrhoea, fatigue, nausea and constipation</w:t>
      </w:r>
      <w:r w:rsidRPr="0019049A">
        <w:rPr>
          <w:rFonts w:ascii="Book Antiqua" w:eastAsia="Book Antiqua" w:hAnsi="Book Antiqua" w:cs="Book Antiqua"/>
          <w:color w:val="000000"/>
          <w:vertAlign w:val="superscript"/>
        </w:rPr>
        <w:t>[1,27]</w:t>
      </w:r>
      <w:r w:rsidRPr="0019049A">
        <w:rPr>
          <w:rFonts w:ascii="Book Antiqua" w:eastAsia="Book Antiqua" w:hAnsi="Book Antiqua" w:cs="Book Antiqua"/>
          <w:color w:val="000000"/>
        </w:rPr>
        <w:t>.</w:t>
      </w:r>
    </w:p>
    <w:p w14:paraId="22BC942A" w14:textId="77777777" w:rsidR="001653FC" w:rsidRPr="0019049A" w:rsidRDefault="008C2E61">
      <w:pPr>
        <w:spacing w:line="360" w:lineRule="auto"/>
        <w:ind w:firstLineChars="200" w:firstLine="480"/>
        <w:jc w:val="both"/>
        <w:rPr>
          <w:rFonts w:ascii="Book Antiqua" w:hAnsi="Book Antiqua"/>
        </w:rPr>
      </w:pPr>
      <w:r w:rsidRPr="0019049A">
        <w:rPr>
          <w:rFonts w:ascii="Book Antiqua" w:eastAsia="Book Antiqua" w:hAnsi="Book Antiqua" w:cs="Book Antiqua"/>
          <w:color w:val="000000"/>
        </w:rPr>
        <w:t>The pharmacodynamic properties of currently used</w:t>
      </w:r>
      <w:r w:rsidRPr="0019049A">
        <w:rPr>
          <w:rFonts w:ascii="Book Antiqua" w:eastAsia="Book Antiqua" w:hAnsi="Book Antiqua" w:cs="Book Antiqua"/>
          <w:b/>
          <w:bCs/>
          <w:color w:val="000000"/>
        </w:rPr>
        <w:t xml:space="preserve"> </w:t>
      </w:r>
      <w:r w:rsidRPr="0019049A">
        <w:rPr>
          <w:rFonts w:ascii="Book Antiqua" w:eastAsia="Book Antiqua" w:hAnsi="Book Antiqua" w:cs="Book Antiqua"/>
          <w:color w:val="000000"/>
        </w:rPr>
        <w:t xml:space="preserve">DAAs are summarized in </w:t>
      </w:r>
      <w:r w:rsidRPr="0019049A">
        <w:rPr>
          <w:rFonts w:ascii="Book Antiqua" w:eastAsia="Book Antiqua" w:hAnsi="Book Antiqua" w:cs="Book Antiqua"/>
          <w:bCs/>
          <w:color w:val="000000"/>
        </w:rPr>
        <w:t>Table 3</w:t>
      </w:r>
      <w:r w:rsidRPr="0019049A">
        <w:rPr>
          <w:rFonts w:ascii="Book Antiqua" w:eastAsia="Book Antiqua" w:hAnsi="Book Antiqua" w:cs="Book Antiqua"/>
          <w:color w:val="000000"/>
        </w:rPr>
        <w:t>.</w:t>
      </w:r>
    </w:p>
    <w:p w14:paraId="378CD5C4" w14:textId="77777777" w:rsidR="001653FC" w:rsidRPr="0019049A" w:rsidRDefault="001653FC">
      <w:pPr>
        <w:spacing w:line="360" w:lineRule="auto"/>
        <w:jc w:val="both"/>
        <w:rPr>
          <w:rFonts w:ascii="Book Antiqua" w:eastAsia="Book Antiqua" w:hAnsi="Book Antiqua" w:cs="Book Antiqua"/>
          <w:b/>
          <w:bCs/>
          <w:color w:val="000000"/>
          <w:u w:val="single" w:color="000000"/>
        </w:rPr>
      </w:pPr>
    </w:p>
    <w:p w14:paraId="30F1971F" w14:textId="77777777" w:rsidR="001653FC" w:rsidRPr="0019049A" w:rsidRDefault="008C2E61">
      <w:pPr>
        <w:spacing w:line="360" w:lineRule="auto"/>
        <w:jc w:val="both"/>
        <w:rPr>
          <w:rFonts w:ascii="Book Antiqua" w:eastAsia="Book Antiqua" w:hAnsi="Book Antiqua" w:cs="Book Antiqua"/>
          <w:color w:val="000000"/>
        </w:rPr>
      </w:pPr>
      <w:r w:rsidRPr="0019049A">
        <w:rPr>
          <w:rFonts w:ascii="Book Antiqua" w:eastAsia="Book Antiqua" w:hAnsi="Book Antiqua" w:cs="Book Antiqua"/>
          <w:b/>
          <w:bCs/>
          <w:color w:val="000000"/>
          <w:u w:val="single" w:color="000000"/>
        </w:rPr>
        <w:lastRenderedPageBreak/>
        <w:t>DRUG TO DRUG INTERACTIONS</w:t>
      </w:r>
      <w:r w:rsidRPr="0019049A">
        <w:rPr>
          <w:rFonts w:ascii="Book Antiqua" w:eastAsia="Book Antiqua" w:hAnsi="Book Antiqua" w:cs="Book Antiqua"/>
          <w:color w:val="000000"/>
        </w:rPr>
        <w:t xml:space="preserve"> </w:t>
      </w:r>
    </w:p>
    <w:p w14:paraId="3F3F4EB6"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Drug-drug interactions are challenging in the course of cotreatment with chemotherapy and DAAs because most of these compounds are substrates and inhibitors of drug transporters and CYP enzymes</w:t>
      </w:r>
      <w:r w:rsidRPr="0019049A">
        <w:rPr>
          <w:rFonts w:ascii="Book Antiqua" w:eastAsia="Book Antiqua" w:hAnsi="Book Antiqua" w:cs="Book Antiqua"/>
          <w:color w:val="000000"/>
          <w:vertAlign w:val="superscript"/>
        </w:rPr>
        <w:t>[7]</w:t>
      </w:r>
      <w:r w:rsidRPr="0019049A">
        <w:rPr>
          <w:rFonts w:ascii="Book Antiqua" w:eastAsia="Book Antiqua" w:hAnsi="Book Antiqua" w:cs="Book Antiqua"/>
          <w:color w:val="000000"/>
        </w:rPr>
        <w:t>. Consulting the HEP drug interaction website can be extremely useful for clinical decision-making</w:t>
      </w:r>
      <w:r w:rsidRPr="0019049A">
        <w:rPr>
          <w:rFonts w:ascii="Book Antiqua" w:eastAsia="Book Antiqua" w:hAnsi="Book Antiqua" w:cs="Book Antiqua"/>
          <w:color w:val="000000"/>
          <w:vertAlign w:val="superscript"/>
        </w:rPr>
        <w:t>[29]</w:t>
      </w:r>
      <w:r w:rsidRPr="0019049A">
        <w:rPr>
          <w:rFonts w:ascii="Book Antiqua" w:eastAsia="Book Antiqua" w:hAnsi="Book Antiqua" w:cs="Book Antiqua"/>
          <w:color w:val="000000"/>
        </w:rPr>
        <w:t>: A report listing the summaries of potential interactions (</w:t>
      </w:r>
      <w:r w:rsidRPr="0019049A">
        <w:rPr>
          <w:rFonts w:ascii="Book Antiqua" w:eastAsia="Book Antiqua" w:hAnsi="Book Antiqua" w:cs="Book Antiqua"/>
          <w:i/>
          <w:color w:val="000000"/>
        </w:rPr>
        <w:t>i.e</w:t>
      </w:r>
      <w:r w:rsidRPr="0019049A">
        <w:rPr>
          <w:rFonts w:ascii="Book Antiqua" w:eastAsia="Book Antiqua" w:hAnsi="Book Antiqua" w:cs="Book Antiqua"/>
          <w:color w:val="000000"/>
        </w:rPr>
        <w:t>., "red", "amber" and “yellow” classifications) for the drugs considered can be downloaded to guide the choice on a case-by-case basis. Potential interactions between currently used DAAs and the following drug classes of chemotherapy regimens are reported in this review:</w:t>
      </w:r>
      <w:r w:rsidRPr="0019049A">
        <w:rPr>
          <w:rFonts w:ascii="Book Antiqua" w:hAnsi="Book Antiqua" w:hint="eastAsia"/>
          <w:lang w:eastAsia="zh-CN"/>
        </w:rPr>
        <w:t xml:space="preserve"> </w:t>
      </w:r>
      <w:r w:rsidRPr="0019049A">
        <w:rPr>
          <w:rFonts w:ascii="Book Antiqua" w:eastAsia="Book Antiqua" w:hAnsi="Book Antiqua" w:cs="Book Antiqua"/>
          <w:color w:val="000000"/>
        </w:rPr>
        <w:t>Platinum-containing agents (cisplatin, carboplatin, oxaliplatin),</w:t>
      </w:r>
      <w:r w:rsidRPr="0019049A">
        <w:rPr>
          <w:rFonts w:ascii="Book Antiqua" w:hAnsi="Book Antiqua" w:hint="eastAsia"/>
          <w:lang w:eastAsia="zh-CN"/>
        </w:rPr>
        <w:t xml:space="preserve"> </w:t>
      </w:r>
      <w:r w:rsidRPr="0019049A">
        <w:rPr>
          <w:rFonts w:ascii="Book Antiqua" w:eastAsia="Book Antiqua" w:hAnsi="Book Antiqua" w:cs="Book Antiqua"/>
          <w:color w:val="000000"/>
        </w:rPr>
        <w:t>folate antagonists (methotrexate, pemetrexed),</w:t>
      </w:r>
      <w:r w:rsidRPr="0019049A">
        <w:rPr>
          <w:rFonts w:ascii="Book Antiqua" w:hAnsi="Book Antiqua" w:hint="eastAsia"/>
          <w:lang w:eastAsia="zh-CN"/>
        </w:rPr>
        <w:t xml:space="preserve"> </w:t>
      </w:r>
      <w:r w:rsidRPr="0019049A">
        <w:rPr>
          <w:rFonts w:ascii="Book Antiqua" w:eastAsia="Book Antiqua" w:hAnsi="Book Antiqua" w:cs="Book Antiqua"/>
          <w:color w:val="000000"/>
        </w:rPr>
        <w:t>pyrimidine compounds (fluorouracil, capecitabine, cytarabine, gemcitabine, decitabine),</w:t>
      </w:r>
      <w:r w:rsidRPr="0019049A">
        <w:rPr>
          <w:rFonts w:ascii="Book Antiqua" w:hAnsi="Book Antiqua" w:hint="eastAsia"/>
          <w:lang w:eastAsia="zh-CN"/>
        </w:rPr>
        <w:t xml:space="preserve"> </w:t>
      </w:r>
      <w:r w:rsidRPr="0019049A">
        <w:rPr>
          <w:rFonts w:ascii="Book Antiqua" w:eastAsia="Book Antiqua" w:hAnsi="Book Antiqua" w:cs="Book Antiqua"/>
          <w:color w:val="000000"/>
        </w:rPr>
        <w:t>purine analogues (mercaptopurine, fludarabine, cladribine, clofarabine),</w:t>
      </w:r>
      <w:r w:rsidRPr="0019049A">
        <w:rPr>
          <w:rFonts w:ascii="Book Antiqua" w:hAnsi="Book Antiqua" w:hint="eastAsia"/>
          <w:lang w:eastAsia="zh-CN"/>
        </w:rPr>
        <w:t xml:space="preserve"> </w:t>
      </w:r>
      <w:r w:rsidRPr="0019049A">
        <w:rPr>
          <w:rFonts w:ascii="Book Antiqua" w:eastAsia="Book Antiqua" w:hAnsi="Book Antiqua" w:cs="Book Antiqua"/>
          <w:color w:val="000000"/>
        </w:rPr>
        <w:t>alkylating agents (cyclophosphamide, ifosfamide, melphalan, bendamustine, busulfan),</w:t>
      </w:r>
      <w:r w:rsidRPr="0019049A">
        <w:rPr>
          <w:rFonts w:ascii="Book Antiqua" w:hAnsi="Book Antiqua" w:hint="eastAsia"/>
          <w:lang w:eastAsia="zh-CN"/>
        </w:rPr>
        <w:t xml:space="preserve"> </w:t>
      </w:r>
      <w:r w:rsidRPr="0019049A">
        <w:rPr>
          <w:rFonts w:ascii="Book Antiqua" w:eastAsia="Book Antiqua" w:hAnsi="Book Antiqua" w:cs="Book Antiqua"/>
          <w:color w:val="000000"/>
        </w:rPr>
        <w:t>anthracyclines (daunorubicin, doxorubicin, epirubicin, idarubicin, bleomycin), topoisomerases (topotecan, etoposide, irinotecan),</w:t>
      </w:r>
      <w:r w:rsidRPr="0019049A">
        <w:rPr>
          <w:rFonts w:ascii="Book Antiqua" w:hAnsi="Book Antiqua" w:hint="eastAsia"/>
          <w:lang w:eastAsia="zh-CN"/>
        </w:rPr>
        <w:t xml:space="preserve"> </w:t>
      </w:r>
      <w:r w:rsidRPr="0019049A">
        <w:rPr>
          <w:rFonts w:ascii="Book Antiqua" w:eastAsia="Book Antiqua" w:hAnsi="Book Antiqua" w:cs="Book Antiqua"/>
          <w:color w:val="000000"/>
        </w:rPr>
        <w:t>cytidine analogues (azacytidine, decitabine),</w:t>
      </w:r>
      <w:r w:rsidRPr="0019049A">
        <w:rPr>
          <w:rFonts w:ascii="Book Antiqua" w:hAnsi="Book Antiqua" w:hint="eastAsia"/>
          <w:lang w:eastAsia="zh-CN"/>
        </w:rPr>
        <w:t xml:space="preserve"> </w:t>
      </w:r>
      <w:r w:rsidRPr="0019049A">
        <w:rPr>
          <w:rFonts w:ascii="Book Antiqua" w:eastAsia="Book Antiqua" w:hAnsi="Book Antiqua" w:cs="Book Antiqua"/>
          <w:color w:val="000000"/>
        </w:rPr>
        <w:t>immunosuppressants (tacrolimus, cyclosporine),</w:t>
      </w:r>
      <w:r w:rsidRPr="0019049A">
        <w:rPr>
          <w:rFonts w:ascii="Book Antiqua" w:hAnsi="Book Antiqua" w:hint="eastAsia"/>
          <w:lang w:eastAsia="zh-CN"/>
        </w:rPr>
        <w:t xml:space="preserve"> </w:t>
      </w:r>
      <w:r w:rsidRPr="0019049A">
        <w:rPr>
          <w:rFonts w:ascii="Book Antiqua" w:eastAsia="Book Antiqua" w:hAnsi="Book Antiqua" w:cs="Book Antiqua"/>
          <w:color w:val="000000"/>
        </w:rPr>
        <w:t>immunomodulatory drugs (lenalidomide, thalidomide),</w:t>
      </w:r>
      <w:r w:rsidRPr="0019049A">
        <w:rPr>
          <w:rFonts w:ascii="Book Antiqua" w:hAnsi="Book Antiqua" w:hint="eastAsia"/>
          <w:lang w:eastAsia="zh-CN"/>
        </w:rPr>
        <w:t xml:space="preserve"> </w:t>
      </w:r>
      <w:r w:rsidRPr="0019049A">
        <w:rPr>
          <w:rFonts w:ascii="Book Antiqua" w:eastAsia="Book Antiqua" w:hAnsi="Book Antiqua" w:cs="Book Antiqua"/>
          <w:color w:val="000000"/>
        </w:rPr>
        <w:t>mitotic inhibitors (paclitaxel, docetaxel, vinblastine, vincristine), hormonal therapies (tamoxifen),</w:t>
      </w:r>
      <w:r w:rsidRPr="0019049A">
        <w:rPr>
          <w:rFonts w:ascii="Book Antiqua" w:hAnsi="Book Antiqua" w:hint="eastAsia"/>
          <w:lang w:eastAsia="zh-CN"/>
        </w:rPr>
        <w:t xml:space="preserve"> </w:t>
      </w:r>
      <w:r w:rsidRPr="0019049A">
        <w:rPr>
          <w:rFonts w:ascii="Book Antiqua" w:eastAsia="Book Antiqua" w:hAnsi="Book Antiqua" w:cs="Book Antiqua"/>
          <w:color w:val="000000"/>
        </w:rPr>
        <w:t>targeted therapies other than rituximab (</w:t>
      </w:r>
      <w:r w:rsidRPr="0019049A">
        <w:rPr>
          <w:rFonts w:ascii="Book Antiqua" w:eastAsia="Book Antiqua" w:hAnsi="Book Antiqua" w:cs="Book Antiqua"/>
          <w:i/>
          <w:color w:val="000000"/>
        </w:rPr>
        <w:t>e.g</w:t>
      </w:r>
      <w:r w:rsidRPr="0019049A">
        <w:rPr>
          <w:rFonts w:ascii="Book Antiqua" w:eastAsia="Book Antiqua" w:hAnsi="Book Antiqua" w:cs="Book Antiqua"/>
          <w:color w:val="000000"/>
        </w:rPr>
        <w:t>., cetuximab, bortezomib, alemtuzumab).</w:t>
      </w:r>
      <w:r w:rsidRPr="0019049A">
        <w:rPr>
          <w:rFonts w:ascii="Book Antiqua" w:hAnsi="Book Antiqua" w:hint="eastAsia"/>
          <w:lang w:eastAsia="zh-CN"/>
        </w:rPr>
        <w:t xml:space="preserve"> </w:t>
      </w:r>
      <w:r w:rsidRPr="0019049A">
        <w:rPr>
          <w:rFonts w:ascii="Book Antiqua" w:eastAsia="Book Antiqua" w:hAnsi="Book Antiqua" w:cs="Book Antiqua"/>
          <w:color w:val="000000"/>
        </w:rPr>
        <w:t xml:space="preserve">Interactions between DAAs and the main oncologic therapeutic categories considered in this review are summarized in </w:t>
      </w:r>
      <w:r w:rsidRPr="0019049A">
        <w:rPr>
          <w:rFonts w:ascii="Book Antiqua" w:eastAsia="Book Antiqua" w:hAnsi="Book Antiqua" w:cs="Book Antiqua"/>
          <w:bCs/>
          <w:color w:val="000000"/>
        </w:rPr>
        <w:t>Table 4</w:t>
      </w:r>
      <w:r w:rsidRPr="0019049A">
        <w:rPr>
          <w:rFonts w:ascii="Book Antiqua" w:eastAsia="Book Antiqua" w:hAnsi="Book Antiqua" w:cs="Book Antiqua"/>
          <w:color w:val="000000"/>
        </w:rPr>
        <w:t>.</w:t>
      </w:r>
    </w:p>
    <w:p w14:paraId="7ABB7CC5" w14:textId="77777777" w:rsidR="001653FC" w:rsidRPr="0019049A" w:rsidRDefault="008C2E61">
      <w:pPr>
        <w:spacing w:line="360" w:lineRule="auto"/>
        <w:ind w:firstLineChars="200" w:firstLine="480"/>
        <w:jc w:val="both"/>
        <w:rPr>
          <w:rFonts w:ascii="Book Antiqua" w:eastAsia="Book Antiqua" w:hAnsi="Book Antiqua" w:cs="Book Antiqua"/>
          <w:color w:val="000000"/>
        </w:rPr>
      </w:pPr>
      <w:r w:rsidRPr="0019049A">
        <w:rPr>
          <w:rFonts w:ascii="Book Antiqua" w:eastAsia="Book Antiqua" w:hAnsi="Book Antiqua" w:cs="Book Antiqua"/>
          <w:color w:val="000000"/>
        </w:rPr>
        <w:t xml:space="preserve">According to the Liverpool HEP chart, drugs that absolutely </w:t>
      </w:r>
      <w:r w:rsidRPr="0019049A">
        <w:rPr>
          <w:rFonts w:ascii="Book Antiqua" w:eastAsia="Book Antiqua" w:hAnsi="Book Antiqua" w:cs="Book Antiqua"/>
          <w:bCs/>
          <w:color w:val="000000"/>
        </w:rPr>
        <w:t>should not be coadministered (RED interactions)</w:t>
      </w:r>
      <w:r w:rsidRPr="0019049A">
        <w:rPr>
          <w:rFonts w:ascii="Book Antiqua" w:eastAsia="Book Antiqua" w:hAnsi="Book Antiqua" w:cs="Book Antiqua"/>
          <w:color w:val="000000"/>
        </w:rPr>
        <w:t xml:space="preserve"> are as follows:</w:t>
      </w:r>
      <w:r w:rsidRPr="0019049A">
        <w:rPr>
          <w:rFonts w:ascii="Book Antiqua" w:hAnsi="Book Antiqua" w:hint="eastAsia"/>
          <w:lang w:eastAsia="zh-CN"/>
        </w:rPr>
        <w:t xml:space="preserve"> </w:t>
      </w:r>
      <w:r w:rsidRPr="0019049A">
        <w:rPr>
          <w:rFonts w:ascii="Book Antiqua" w:eastAsia="Book Antiqua" w:hAnsi="Book Antiqua" w:cs="Book Antiqua"/>
          <w:color w:val="000000"/>
        </w:rPr>
        <w:t>Elbasvir/grazoprevir + immunosuppressants (cyclosporine): Concomitant use of elbasvir/grazoprevir with OATP1B inhibitors, such as cyclosporine, is contraindicated. The coadministration of multiple doses of elbasvir/grazoprevir and a single dose of cyclosporin increases the grazoprevir AUC by 15-fold. The risk of ALT elevations may be increased due to the significant increase in grazoprevir plasma concentrations caused by OATP1B1/3 inhibition</w:t>
      </w:r>
      <w:r w:rsidRPr="0019049A">
        <w:rPr>
          <w:rFonts w:ascii="Book Antiqua" w:eastAsia="Book Antiqua" w:hAnsi="Book Antiqua" w:cs="Book Antiqua"/>
          <w:color w:val="000000"/>
          <w:vertAlign w:val="superscript"/>
        </w:rPr>
        <w:t>[29]</w:t>
      </w:r>
      <w:r w:rsidRPr="0019049A">
        <w:rPr>
          <w:rFonts w:ascii="Book Antiqua" w:eastAsia="Book Antiqua" w:hAnsi="Book Antiqua" w:cs="Book Antiqua"/>
          <w:color w:val="000000"/>
        </w:rPr>
        <w:t>.</w:t>
      </w:r>
    </w:p>
    <w:p w14:paraId="05AE9DE9" w14:textId="77777777" w:rsidR="001653FC" w:rsidRPr="0019049A" w:rsidRDefault="001653FC">
      <w:pPr>
        <w:spacing w:line="360" w:lineRule="auto"/>
        <w:ind w:firstLineChars="200" w:firstLine="480"/>
        <w:jc w:val="both"/>
        <w:rPr>
          <w:rFonts w:ascii="Book Antiqua" w:hAnsi="Book Antiqua"/>
        </w:rPr>
      </w:pPr>
    </w:p>
    <w:p w14:paraId="16ECAF5D" w14:textId="77777777" w:rsidR="001653FC" w:rsidRPr="0019049A" w:rsidRDefault="008C2E61">
      <w:pPr>
        <w:spacing w:line="360" w:lineRule="auto"/>
        <w:ind w:firstLineChars="200" w:firstLine="480"/>
        <w:jc w:val="both"/>
        <w:rPr>
          <w:rFonts w:ascii="Book Antiqua" w:hAnsi="Book Antiqua"/>
        </w:rPr>
      </w:pPr>
      <w:r w:rsidRPr="0019049A">
        <w:rPr>
          <w:rFonts w:ascii="Book Antiqua" w:eastAsia="Book Antiqua" w:hAnsi="Book Antiqua" w:cs="Book Antiqua"/>
          <w:color w:val="000000"/>
        </w:rPr>
        <w:lastRenderedPageBreak/>
        <w:t>Sofosbuvir/velpatasvir/voxilaprevir + folate antagonists (methotrexate)</w:t>
      </w:r>
      <w:r w:rsidRPr="0019049A">
        <w:rPr>
          <w:rFonts w:ascii="Book Antiqua" w:hAnsi="Book Antiqua" w:hint="eastAsia"/>
          <w:lang w:eastAsia="zh-CN"/>
        </w:rPr>
        <w:t>:</w:t>
      </w:r>
      <w:r w:rsidRPr="0019049A">
        <w:rPr>
          <w:rFonts w:ascii="Book Antiqua" w:hAnsi="Book Antiqua"/>
          <w:lang w:eastAsia="zh-CN"/>
        </w:rPr>
        <w:t xml:space="preserve"> </w:t>
      </w:r>
      <w:r w:rsidRPr="0019049A">
        <w:rPr>
          <w:rFonts w:ascii="Book Antiqua" w:eastAsia="Book Antiqua" w:hAnsi="Book Antiqua" w:cs="Book Antiqua"/>
          <w:color w:val="000000"/>
        </w:rPr>
        <w:t>Coadministration has not been studied but would not be recommended due to increased exposure tomethotrexate due to BCRP inhibition by voxilaprevir</w:t>
      </w:r>
      <w:r w:rsidRPr="0019049A">
        <w:rPr>
          <w:rFonts w:ascii="Book Antiqua" w:eastAsia="Book Antiqua" w:hAnsi="Book Antiqua" w:cs="Book Antiqua"/>
          <w:color w:val="000000"/>
          <w:vertAlign w:val="superscript"/>
        </w:rPr>
        <w:t>[29]</w:t>
      </w:r>
      <w:r w:rsidRPr="0019049A">
        <w:rPr>
          <w:rFonts w:ascii="Book Antiqua" w:eastAsia="Book Antiqua" w:hAnsi="Book Antiqua" w:cs="Book Antiqua"/>
          <w:color w:val="000000"/>
        </w:rPr>
        <w:t>.</w:t>
      </w:r>
      <w:r w:rsidRPr="0019049A">
        <w:rPr>
          <w:rFonts w:ascii="Book Antiqua" w:hAnsi="Book Antiqua" w:hint="eastAsia"/>
          <w:lang w:eastAsia="zh-CN"/>
        </w:rPr>
        <w:t xml:space="preserve"> </w:t>
      </w:r>
      <w:r w:rsidRPr="0019049A">
        <w:rPr>
          <w:rFonts w:ascii="Book Antiqua" w:eastAsia="Book Antiqua" w:hAnsi="Book Antiqua" w:cs="Book Antiqua"/>
          <w:color w:val="000000"/>
        </w:rPr>
        <w:t>Sofosbuvir/velpatasvir/voxilaprevir + immunosuppressants (cyclosporine):</w:t>
      </w:r>
      <w:r w:rsidRPr="0019049A">
        <w:rPr>
          <w:rFonts w:ascii="Book Antiqua" w:hAnsi="Book Antiqua" w:hint="eastAsia"/>
          <w:lang w:eastAsia="zh-CN"/>
        </w:rPr>
        <w:t xml:space="preserve"> </w:t>
      </w:r>
      <w:r w:rsidRPr="0019049A">
        <w:rPr>
          <w:rFonts w:ascii="Book Antiqua" w:eastAsia="Book Antiqua" w:hAnsi="Book Antiqua" w:cs="Book Antiqua"/>
          <w:color w:val="000000"/>
        </w:rPr>
        <w:t>Coadministration has been studied with sofosbuvir, velpatasvir or voxilaprevir, and coadministration with sofosbuvir/velpatasvir/voxilaprevir is not recommended. Concentrations of voxilaprevir increased by 19.0-fold due to OATP1B1 inhibition by cyclosporine. The safety of this increase has not been established</w:t>
      </w:r>
      <w:r w:rsidRPr="0019049A">
        <w:rPr>
          <w:rFonts w:ascii="Book Antiqua" w:eastAsia="Book Antiqua" w:hAnsi="Book Antiqua" w:cs="Book Antiqua"/>
          <w:color w:val="000000"/>
          <w:vertAlign w:val="superscript"/>
        </w:rPr>
        <w:t>[29]</w:t>
      </w:r>
      <w:r w:rsidRPr="0019049A">
        <w:rPr>
          <w:rFonts w:ascii="Book Antiqua" w:eastAsia="Book Antiqua" w:hAnsi="Book Antiqua" w:cs="Book Antiqua"/>
          <w:color w:val="000000"/>
        </w:rPr>
        <w:t>.</w:t>
      </w:r>
    </w:p>
    <w:p w14:paraId="111053B6" w14:textId="77777777" w:rsidR="001653FC" w:rsidRPr="0019049A" w:rsidRDefault="008C2E61">
      <w:pPr>
        <w:spacing w:line="360" w:lineRule="auto"/>
        <w:ind w:firstLineChars="200" w:firstLine="480"/>
        <w:jc w:val="both"/>
        <w:rPr>
          <w:rFonts w:ascii="Book Antiqua" w:hAnsi="Book Antiqua"/>
        </w:rPr>
      </w:pPr>
      <w:r w:rsidRPr="0019049A">
        <w:rPr>
          <w:rFonts w:ascii="Book Antiqua" w:eastAsia="Book Antiqua" w:hAnsi="Book Antiqua" w:cs="Book Antiqua"/>
          <w:color w:val="000000"/>
        </w:rPr>
        <w:t xml:space="preserve">According to the Liverpool HEP chart, </w:t>
      </w:r>
      <w:r w:rsidRPr="0019049A">
        <w:rPr>
          <w:rFonts w:ascii="Book Antiqua" w:eastAsia="Book Antiqua" w:hAnsi="Book Antiqua" w:cs="Book Antiqua"/>
          <w:bCs/>
          <w:color w:val="000000"/>
        </w:rPr>
        <w:t xml:space="preserve">potential clinically significant </w:t>
      </w:r>
      <w:r w:rsidRPr="0019049A">
        <w:rPr>
          <w:rFonts w:ascii="Book Antiqua" w:eastAsia="Book Antiqua" w:hAnsi="Book Antiqua" w:cs="Book Antiqua"/>
          <w:color w:val="000000"/>
        </w:rPr>
        <w:t xml:space="preserve">interactions-likely to require additional monitoring and an alteration of drug dosage or the timing of administration </w:t>
      </w:r>
      <w:r w:rsidRPr="0019049A">
        <w:rPr>
          <w:rFonts w:ascii="Book Antiqua" w:eastAsia="Book Antiqua" w:hAnsi="Book Antiqua" w:cs="Book Antiqua"/>
          <w:bCs/>
          <w:color w:val="000000"/>
        </w:rPr>
        <w:t>(AMBER interactions)</w:t>
      </w:r>
      <w:r w:rsidRPr="0019049A">
        <w:rPr>
          <w:rFonts w:ascii="Book Antiqua" w:eastAsia="Book Antiqua" w:hAnsi="Book Antiqua" w:cs="Book Antiqua"/>
          <w:color w:val="000000"/>
        </w:rPr>
        <w:t>-are described among the following:</w:t>
      </w:r>
      <w:r w:rsidRPr="0019049A">
        <w:rPr>
          <w:rFonts w:ascii="Book Antiqua" w:hAnsi="Book Antiqua" w:hint="eastAsia"/>
          <w:lang w:eastAsia="zh-CN"/>
        </w:rPr>
        <w:t xml:space="preserve"> </w:t>
      </w:r>
      <w:r w:rsidRPr="0019049A">
        <w:rPr>
          <w:rFonts w:ascii="Book Antiqua" w:eastAsia="Book Antiqua" w:hAnsi="Book Antiqua" w:cs="Book Antiqua"/>
          <w:color w:val="000000"/>
        </w:rPr>
        <w:t>Elbasvir/grazoprevir + folate antagonists (methotrexate): Coadministration has not been studied. Methotrexate is a substrate of BCRP, and concentrations could increase due to inhibition by elbasvir/grazoprevir. No a priori dose alteration is recommended, but patients should be closely monitored</w:t>
      </w:r>
      <w:r w:rsidRPr="0019049A">
        <w:rPr>
          <w:rFonts w:ascii="Book Antiqua" w:eastAsia="Book Antiqua" w:hAnsi="Book Antiqua" w:cs="Book Antiqua"/>
          <w:color w:val="000000"/>
          <w:vertAlign w:val="superscript"/>
        </w:rPr>
        <w:t>[29]</w:t>
      </w:r>
      <w:r w:rsidRPr="0019049A">
        <w:rPr>
          <w:rFonts w:ascii="Book Antiqua" w:eastAsia="Book Antiqua" w:hAnsi="Book Antiqua" w:cs="Book Antiqua"/>
          <w:color w:val="000000"/>
        </w:rPr>
        <w:t>.</w:t>
      </w:r>
      <w:r w:rsidRPr="0019049A">
        <w:rPr>
          <w:rFonts w:ascii="Book Antiqua" w:hAnsi="Book Antiqua" w:hint="eastAsia"/>
          <w:lang w:eastAsia="zh-CN"/>
        </w:rPr>
        <w:t xml:space="preserve"> </w:t>
      </w:r>
      <w:r w:rsidRPr="0019049A">
        <w:rPr>
          <w:rFonts w:ascii="Book Antiqua" w:eastAsia="Book Antiqua" w:hAnsi="Book Antiqua" w:cs="Book Antiqua"/>
          <w:color w:val="000000"/>
        </w:rPr>
        <w:t>Sofosbuvir/velpatasvir + folate antagonists (methotrexate): Coadministration has not been studied. Methotrexate is a substrate of BCRP, and concentrations may increase due to inhibition by sofosbuvir/velpatasvir. Although no a priori dose alteration is required, close monitoring is recommended</w:t>
      </w:r>
      <w:r w:rsidRPr="0019049A">
        <w:rPr>
          <w:rFonts w:ascii="Book Antiqua" w:eastAsia="Book Antiqua" w:hAnsi="Book Antiqua" w:cs="Book Antiqua"/>
          <w:color w:val="000000"/>
          <w:vertAlign w:val="superscript"/>
        </w:rPr>
        <w:t>[29]</w:t>
      </w:r>
      <w:r w:rsidRPr="0019049A">
        <w:rPr>
          <w:rFonts w:ascii="Book Antiqua" w:eastAsia="Book Antiqua" w:hAnsi="Book Antiqua" w:cs="Book Antiqua"/>
          <w:color w:val="000000"/>
        </w:rPr>
        <w:t>.</w:t>
      </w:r>
      <w:r w:rsidRPr="0019049A">
        <w:rPr>
          <w:rFonts w:ascii="Book Antiqua" w:hAnsi="Book Antiqua" w:hint="eastAsia"/>
          <w:lang w:eastAsia="zh-CN"/>
        </w:rPr>
        <w:t xml:space="preserve"> </w:t>
      </w:r>
      <w:r w:rsidRPr="0019049A">
        <w:rPr>
          <w:rFonts w:ascii="Book Antiqua" w:eastAsia="Book Antiqua" w:hAnsi="Book Antiqua" w:cs="Book Antiqua"/>
          <w:color w:val="000000"/>
        </w:rPr>
        <w:t>Glecaprevir/pibrentasvir + immunosuppressants (cyclosporine): Concomitant use of glecaprevir/pibrentasvir with cyclosporine requires close monitoring of doses, as concentrations of glecaprevir/pibrentasvir may increase due to the inhibition of OATP1B. The coadministration of glecaprevir/pibrentasvir and cyclosporine (100 mg) increased glecaprevir/pibrentasvir concentrations within acceptable parameters (glecaprevir Cmax, AUC and Cmin by 30%, 37% and 34%, respectively; no change in pibrentasvir Cmax and AUC, but Cmin increased by 26%). However, at higher doses of cyclosporine (400 mg), glecaprevir concentrations increased significantly (Cmax 4.51-fold, AUC 5.08-fold). Glecaprevir/pibrentasvir is not recommended for use in patients requiring stable cyclosporinedosesat 100 mg/d</w:t>
      </w:r>
      <w:r w:rsidRPr="0019049A">
        <w:rPr>
          <w:rFonts w:ascii="Book Antiqua" w:eastAsia="Book Antiqua" w:hAnsi="Book Antiqua" w:cs="Book Antiqua"/>
          <w:color w:val="000000"/>
          <w:vertAlign w:val="superscript"/>
        </w:rPr>
        <w:t>[29]</w:t>
      </w:r>
      <w:r w:rsidRPr="0019049A">
        <w:rPr>
          <w:rFonts w:ascii="Book Antiqua" w:eastAsia="Book Antiqua" w:hAnsi="Book Antiqua" w:cs="Book Antiqua"/>
          <w:color w:val="000000"/>
        </w:rPr>
        <w:t>.</w:t>
      </w:r>
      <w:r w:rsidRPr="0019049A">
        <w:rPr>
          <w:rFonts w:ascii="Book Antiqua" w:hAnsi="Book Antiqua" w:hint="eastAsia"/>
          <w:lang w:eastAsia="zh-CN"/>
        </w:rPr>
        <w:t xml:space="preserve"> </w:t>
      </w:r>
      <w:r w:rsidRPr="0019049A">
        <w:rPr>
          <w:rFonts w:ascii="Book Antiqua" w:eastAsia="Book Antiqua" w:hAnsi="Book Antiqua" w:cs="Book Antiqua"/>
          <w:color w:val="000000"/>
        </w:rPr>
        <w:t xml:space="preserve">Glecaprevir/pibrentasvir + anthracyclines (doxorubicin): Coadministration has not been studied. Doxorubicin is metabolized by </w:t>
      </w:r>
      <w:r w:rsidRPr="0019049A">
        <w:rPr>
          <w:rFonts w:ascii="Book Antiqua" w:eastAsia="Book Antiqua" w:hAnsi="Book Antiqua" w:cs="Book Antiqua"/>
          <w:color w:val="000000"/>
        </w:rPr>
        <w:lastRenderedPageBreak/>
        <w:t>CYP enzymes and is a substrate for P-gp. Since glecaprevir/pibrentasvir inhibits P-gp and is a mild inhibitor of CYP3A4, there is the potential for increased doxorubicin exposure,and a clinically significant interaction has to be considered</w:t>
      </w:r>
      <w:r w:rsidRPr="0019049A">
        <w:rPr>
          <w:rFonts w:ascii="Book Antiqua" w:eastAsia="Book Antiqua" w:hAnsi="Book Antiqua" w:cs="Book Antiqua"/>
          <w:color w:val="000000"/>
          <w:vertAlign w:val="superscript"/>
        </w:rPr>
        <w:t>[29]</w:t>
      </w:r>
      <w:r w:rsidRPr="0019049A">
        <w:rPr>
          <w:rFonts w:ascii="Book Antiqua" w:eastAsia="Book Antiqua" w:hAnsi="Book Antiqua" w:cs="Book Antiqua"/>
          <w:color w:val="000000"/>
        </w:rPr>
        <w:t>.</w:t>
      </w:r>
      <w:r w:rsidRPr="0019049A">
        <w:rPr>
          <w:rFonts w:ascii="Book Antiqua" w:hAnsi="Book Antiqua" w:hint="eastAsia"/>
          <w:lang w:eastAsia="zh-CN"/>
        </w:rPr>
        <w:t xml:space="preserve"> </w:t>
      </w:r>
      <w:r w:rsidRPr="0019049A">
        <w:rPr>
          <w:rFonts w:ascii="Book Antiqua" w:eastAsia="Book Antiqua" w:hAnsi="Book Antiqua" w:cs="Book Antiqua"/>
          <w:color w:val="000000"/>
        </w:rPr>
        <w:t>Glecaprevir/pibrentasvir + folate antagonists (methotrexate): Coadministration has not been studied. Methotrexate is a substrate of BCRP, and concentrations could increase due to the inhibition of BCRP by glecaprevir/pibrentasvir. Patients should be closely monitored for methotrexate-associated toxicities</w:t>
      </w:r>
      <w:r w:rsidRPr="0019049A">
        <w:rPr>
          <w:rFonts w:ascii="Book Antiqua" w:eastAsia="Book Antiqua" w:hAnsi="Book Antiqua" w:cs="Book Antiqua"/>
          <w:color w:val="000000"/>
          <w:vertAlign w:val="superscript"/>
        </w:rPr>
        <w:t>[29]</w:t>
      </w:r>
      <w:r w:rsidRPr="0019049A">
        <w:rPr>
          <w:rFonts w:ascii="Book Antiqua" w:hAnsi="Book Antiqua" w:hint="eastAsia"/>
          <w:lang w:eastAsia="zh-CN"/>
        </w:rPr>
        <w:t>.</w:t>
      </w:r>
      <w:r w:rsidRPr="0019049A">
        <w:rPr>
          <w:rFonts w:ascii="Book Antiqua" w:hAnsi="Book Antiqua"/>
          <w:lang w:eastAsia="zh-CN"/>
        </w:rPr>
        <w:t xml:space="preserve"> </w:t>
      </w:r>
      <w:r w:rsidRPr="0019049A">
        <w:rPr>
          <w:rFonts w:ascii="Book Antiqua" w:eastAsia="Book Antiqua" w:hAnsi="Book Antiqua" w:cs="Book Antiqua"/>
          <w:color w:val="000000"/>
        </w:rPr>
        <w:t>Glecaprevir/pibrentasvir + immunosuppressants (tacrolimus): The coadministration of glecaprevir/pibrentasvir with systemic tacrolimus (1 mg single dose) increased tacrolimus Cmax and AUC by 1.5-fold and 1.45-fold, respectively. There was no change in the Cmax, AUC or Cmin of glecaprevir or pibrentasvir. As tacrolimus is a narrow therapeutic index drug, it should be used with caution. Therapeutic blood monitoring should be performed</w:t>
      </w:r>
      <w:r w:rsidRPr="0019049A">
        <w:rPr>
          <w:rFonts w:ascii="Book Antiqua" w:eastAsia="Book Antiqua" w:hAnsi="Book Antiqua" w:cs="Book Antiqua"/>
          <w:color w:val="000000"/>
          <w:vertAlign w:val="superscript"/>
        </w:rPr>
        <w:t>[29]</w:t>
      </w:r>
      <w:r w:rsidRPr="0019049A">
        <w:rPr>
          <w:rFonts w:ascii="Book Antiqua" w:eastAsia="Book Antiqua" w:hAnsi="Book Antiqua" w:cs="Book Antiqua"/>
          <w:color w:val="000000"/>
        </w:rPr>
        <w:t>.</w:t>
      </w:r>
      <w:r w:rsidRPr="0019049A">
        <w:rPr>
          <w:rFonts w:ascii="Book Antiqua" w:hAnsi="Book Antiqua" w:hint="eastAsia"/>
          <w:lang w:eastAsia="zh-CN"/>
        </w:rPr>
        <w:t xml:space="preserve"> </w:t>
      </w:r>
      <w:r w:rsidRPr="0019049A">
        <w:rPr>
          <w:rFonts w:ascii="Book Antiqua" w:eastAsia="Book Antiqua" w:hAnsi="Book Antiqua" w:cs="Book Antiqua"/>
          <w:color w:val="000000"/>
        </w:rPr>
        <w:t xml:space="preserve">Sofosbuvir/velpatasvir/voxilaprevir + immunosuppressant (tacrolimus): Coadministration with sofosbuvir/velpatasvir/voxilaprevir has not been studied. No clinically significant drug interactions were observed with sofosbuvir and tacrolimus. The coadministration of tacrolimus (5 mg single dose) and sofosbuvir (400 mg single dose, </w:t>
      </w:r>
      <w:r w:rsidRPr="0019049A">
        <w:rPr>
          <w:rFonts w:ascii="Book Antiqua" w:eastAsia="Book Antiqua" w:hAnsi="Book Antiqua" w:cs="Book Antiqua"/>
          <w:i/>
          <w:iCs/>
          <w:color w:val="000000"/>
        </w:rPr>
        <w:t>n</w:t>
      </w:r>
      <w:r w:rsidRPr="0019049A">
        <w:rPr>
          <w:rFonts w:ascii="Book Antiqua" w:eastAsia="Book Antiqua" w:hAnsi="Book Antiqua" w:cs="Book Antiqua"/>
          <w:color w:val="000000"/>
        </w:rPr>
        <w:t xml:space="preserve"> = 16) decreased tacrolimus Cmax by 27% and increased AUC by 9%; sofosbuvir Cmax decreased by 3% but AUC increased by 13%. No effect of velpatasvir or voxilaprevir is expected. However, in the absence of data, the monitoring of tacrolimus concentrations should be considered</w:t>
      </w:r>
      <w:r w:rsidRPr="0019049A">
        <w:rPr>
          <w:rFonts w:ascii="Book Antiqua" w:eastAsia="Book Antiqua" w:hAnsi="Book Antiqua" w:cs="Book Antiqua"/>
          <w:color w:val="000000"/>
          <w:vertAlign w:val="superscript"/>
        </w:rPr>
        <w:t>[29]</w:t>
      </w:r>
      <w:r w:rsidRPr="0019049A">
        <w:rPr>
          <w:rFonts w:ascii="Book Antiqua" w:eastAsia="Book Antiqua" w:hAnsi="Book Antiqua" w:cs="Book Antiqua"/>
          <w:color w:val="000000"/>
        </w:rPr>
        <w:t>.</w:t>
      </w:r>
      <w:r w:rsidRPr="0019049A">
        <w:rPr>
          <w:rFonts w:ascii="Book Antiqua" w:hAnsi="Book Antiqua" w:hint="eastAsia"/>
          <w:lang w:eastAsia="zh-CN"/>
        </w:rPr>
        <w:t xml:space="preserve"> </w:t>
      </w:r>
      <w:r w:rsidRPr="0019049A">
        <w:rPr>
          <w:rFonts w:ascii="Book Antiqua" w:eastAsia="Book Antiqua" w:hAnsi="Book Antiqua" w:cs="Book Antiqua"/>
          <w:color w:val="000000"/>
        </w:rPr>
        <w:t>Elbasvir/grazoprevir + mitotic inhibitors (paclitaxel): Coadministration has not been studied. Paclitaxel is primarily metabolized by CYP2C8 and to a lesser extent by CYP3A4. Grazoprevir is a weak inhibitor of CYP3A4 and could potentially increase paclitaxel exposure. Paclitaxel-induced toxicity should be monitored</w:t>
      </w:r>
      <w:r w:rsidRPr="0019049A">
        <w:rPr>
          <w:rFonts w:ascii="Book Antiqua" w:eastAsia="Book Antiqua" w:hAnsi="Book Antiqua" w:cs="Book Antiqua"/>
          <w:color w:val="000000"/>
          <w:vertAlign w:val="superscript"/>
        </w:rPr>
        <w:t>[29]</w:t>
      </w:r>
      <w:r w:rsidRPr="0019049A">
        <w:rPr>
          <w:rFonts w:ascii="Book Antiqua" w:eastAsia="Book Antiqua" w:hAnsi="Book Antiqua" w:cs="Book Antiqua"/>
          <w:color w:val="000000"/>
        </w:rPr>
        <w:t>.</w:t>
      </w:r>
      <w:r w:rsidRPr="0019049A">
        <w:rPr>
          <w:rFonts w:ascii="Book Antiqua" w:hAnsi="Book Antiqua" w:hint="eastAsia"/>
          <w:lang w:eastAsia="zh-CN"/>
        </w:rPr>
        <w:t xml:space="preserve"> </w:t>
      </w:r>
      <w:r w:rsidRPr="0019049A">
        <w:rPr>
          <w:rFonts w:ascii="Book Antiqua" w:eastAsia="Book Antiqua" w:hAnsi="Book Antiqua" w:cs="Book Antiqua"/>
          <w:color w:val="000000"/>
        </w:rPr>
        <w:t>Glecaprevir/pibrentasvir + mitotic inhibitors (paclitaxel): Coadministration has not been studied. Paclitaxel is primarily metabolized by CYP2C8 and to a lesser extent by CYP3A4. Glecaprevir is a weak inhibitor of CYP3A4 and could potentially increase paclitaxel exposure. Paclitaxel-induced toxicity should be monitored</w:t>
      </w:r>
      <w:r w:rsidRPr="0019049A">
        <w:rPr>
          <w:rFonts w:ascii="Book Antiqua" w:eastAsia="Book Antiqua" w:hAnsi="Book Antiqua" w:cs="Book Antiqua"/>
          <w:color w:val="000000"/>
          <w:vertAlign w:val="superscript"/>
        </w:rPr>
        <w:t>[29]</w:t>
      </w:r>
      <w:r w:rsidRPr="0019049A">
        <w:rPr>
          <w:rFonts w:ascii="Book Antiqua" w:eastAsia="Book Antiqua" w:hAnsi="Book Antiqua" w:cs="Book Antiqua"/>
          <w:color w:val="000000"/>
        </w:rPr>
        <w:t>.</w:t>
      </w:r>
      <w:r w:rsidRPr="0019049A">
        <w:rPr>
          <w:rFonts w:ascii="Book Antiqua" w:hAnsi="Book Antiqua" w:hint="eastAsia"/>
          <w:lang w:eastAsia="zh-CN"/>
        </w:rPr>
        <w:t xml:space="preserve"> </w:t>
      </w:r>
      <w:r w:rsidRPr="0019049A">
        <w:rPr>
          <w:rFonts w:ascii="Book Antiqua" w:eastAsia="Book Antiqua" w:hAnsi="Book Antiqua" w:cs="Book Antiqua"/>
          <w:color w:val="000000"/>
        </w:rPr>
        <w:t xml:space="preserve">Elbasvir/grazoprevir + immunosuppressants (tacrolimus): The coadministration of elbasvir/grazoprevir with systemic tacrolimus increased tacrolimus </w:t>
      </w:r>
      <w:r w:rsidRPr="0019049A">
        <w:rPr>
          <w:rFonts w:ascii="Book Antiqua" w:eastAsia="Book Antiqua" w:hAnsi="Book Antiqua" w:cs="Book Antiqua"/>
          <w:color w:val="000000"/>
        </w:rPr>
        <w:lastRenderedPageBreak/>
        <w:t>AUC by 43% (due to weak inhibition of CYP3A4 by grazoprevir) but had no effect on the concentrations of grazoprevir and elbasvir. Frequent monitoring of tacrolimus whole-blood concentrations, changes in renal function, and tacrolimus-associated adverse events upon the initiation of coadministration is recommended</w:t>
      </w:r>
      <w:r w:rsidRPr="0019049A">
        <w:rPr>
          <w:rFonts w:ascii="Book Antiqua" w:eastAsia="Book Antiqua" w:hAnsi="Book Antiqua" w:cs="Book Antiqua"/>
          <w:color w:val="000000"/>
          <w:vertAlign w:val="superscript"/>
        </w:rPr>
        <w:t>[29]</w:t>
      </w:r>
      <w:r w:rsidRPr="0019049A">
        <w:rPr>
          <w:rFonts w:ascii="Book Antiqua" w:eastAsia="Book Antiqua" w:hAnsi="Book Antiqua" w:cs="Book Antiqua"/>
          <w:color w:val="000000"/>
        </w:rPr>
        <w:t>.</w:t>
      </w:r>
    </w:p>
    <w:p w14:paraId="3A682730" w14:textId="77777777" w:rsidR="001653FC" w:rsidRPr="0019049A" w:rsidRDefault="008C2E61">
      <w:pPr>
        <w:spacing w:line="360" w:lineRule="auto"/>
        <w:ind w:firstLineChars="200" w:firstLine="480"/>
        <w:jc w:val="both"/>
        <w:rPr>
          <w:rFonts w:ascii="Book Antiqua" w:hAnsi="Book Antiqua"/>
        </w:rPr>
      </w:pPr>
      <w:r w:rsidRPr="0019049A">
        <w:rPr>
          <w:rFonts w:ascii="Book Antiqua" w:eastAsia="Book Antiqua" w:hAnsi="Book Antiqua" w:cs="Book Antiqua"/>
          <w:color w:val="000000"/>
        </w:rPr>
        <w:t xml:space="preserve">According to the Liverpool HEP chart, </w:t>
      </w:r>
      <w:r w:rsidRPr="0019049A">
        <w:rPr>
          <w:rFonts w:ascii="Book Antiqua" w:eastAsia="Book Antiqua" w:hAnsi="Book Antiqua" w:cs="Book Antiqua"/>
          <w:bCs/>
          <w:color w:val="000000"/>
        </w:rPr>
        <w:t>potentially weak interactions</w:t>
      </w:r>
      <w:r w:rsidRPr="0019049A">
        <w:rPr>
          <w:rFonts w:ascii="Book Antiqua" w:eastAsia="Book Antiqua" w:hAnsi="Book Antiqua" w:cs="Book Antiqua"/>
          <w:color w:val="000000"/>
        </w:rPr>
        <w:t xml:space="preserve">-for which additional action/monitoring or dosage adjustment is unlikely to be required </w:t>
      </w:r>
      <w:r w:rsidRPr="0019049A">
        <w:rPr>
          <w:rFonts w:ascii="Book Antiqua" w:eastAsia="Book Antiqua" w:hAnsi="Book Antiqua" w:cs="Book Antiqua"/>
          <w:bCs/>
          <w:color w:val="000000"/>
        </w:rPr>
        <w:t>(YELLOW interactions)</w:t>
      </w:r>
      <w:r w:rsidRPr="0019049A">
        <w:rPr>
          <w:rFonts w:ascii="Book Antiqua" w:eastAsia="Book Antiqua" w:hAnsi="Book Antiqua" w:cs="Book Antiqua"/>
          <w:color w:val="000000"/>
        </w:rPr>
        <w:t>-are described among the following:</w:t>
      </w:r>
      <w:r w:rsidRPr="0019049A">
        <w:rPr>
          <w:rFonts w:ascii="Book Antiqua" w:hAnsi="Book Antiqua" w:hint="eastAsia"/>
          <w:lang w:eastAsia="zh-CN"/>
        </w:rPr>
        <w:t xml:space="preserve"> </w:t>
      </w:r>
      <w:r w:rsidRPr="0019049A">
        <w:rPr>
          <w:rFonts w:ascii="Book Antiqua" w:eastAsia="Book Antiqua" w:hAnsi="Book Antiqua" w:cs="Book Antiqua"/>
          <w:color w:val="000000"/>
        </w:rPr>
        <w:t>Sofosbuvir/velpatasvir + hormonal therapies (tamoxifen): Coadministration has not been studied. Tamoxifen is mainly metabolized by CYP3A4 and CYP3A5, which are not affected by sofosbuvir/velpatasvir. However, tamoxifen induces CYP3A4 and could potentially decrease the concentrations of velpatasvir, although to a moderate extent. Coadministration with food is suggested if tamoxifen is coadministered with sofosbuvir/velpatasvir as this increases exposure to velpatasvir</w:t>
      </w:r>
      <w:r w:rsidRPr="0019049A">
        <w:rPr>
          <w:rFonts w:ascii="Book Antiqua" w:eastAsia="Book Antiqua" w:hAnsi="Book Antiqua" w:cs="Book Antiqua"/>
          <w:color w:val="000000"/>
          <w:vertAlign w:val="superscript"/>
        </w:rPr>
        <w:t>[29]</w:t>
      </w:r>
      <w:r w:rsidRPr="0019049A">
        <w:rPr>
          <w:rFonts w:ascii="Book Antiqua" w:eastAsia="Book Antiqua" w:hAnsi="Book Antiqua" w:cs="Book Antiqua"/>
          <w:color w:val="000000"/>
        </w:rPr>
        <w:t>.</w:t>
      </w:r>
      <w:r w:rsidRPr="0019049A">
        <w:rPr>
          <w:rFonts w:ascii="Book Antiqua" w:hAnsi="Book Antiqua" w:hint="eastAsia"/>
          <w:lang w:eastAsia="zh-CN"/>
        </w:rPr>
        <w:t xml:space="preserve"> </w:t>
      </w:r>
      <w:r w:rsidRPr="0019049A">
        <w:rPr>
          <w:rFonts w:ascii="Book Antiqua" w:eastAsia="Book Antiqua" w:hAnsi="Book Antiqua" w:cs="Book Antiqua"/>
          <w:color w:val="000000"/>
        </w:rPr>
        <w:t>Sofosbuvir/velpatasvir/voxilaprevir + hormonal therapies (tamoxifen): Coadministration has not been studied. Tamoxifen is mainly metabolized by CYP3A4 and CYP3A5, which are not affected by sofosbuvir/velpatasvir/voxilaprevir. However, tamoxifen induces CYP3A4 and could potentially decrease theconcentrations of velpatasvir and voxilaprevir, although to a moderate extent. Coadministration with food is suggested if tamoxifen is coadministered with sofosbuvir/velpatasvir/voxilaprevir as this increases exposure tovelpatasvir and voxilaprevir</w:t>
      </w:r>
      <w:r w:rsidRPr="0019049A">
        <w:rPr>
          <w:rFonts w:ascii="Book Antiqua" w:eastAsia="Book Antiqua" w:hAnsi="Book Antiqua" w:cs="Book Antiqua"/>
          <w:color w:val="000000"/>
          <w:vertAlign w:val="superscript"/>
        </w:rPr>
        <w:t>[29]</w:t>
      </w:r>
      <w:r w:rsidRPr="0019049A">
        <w:rPr>
          <w:rFonts w:ascii="Book Antiqua" w:eastAsia="Book Antiqua" w:hAnsi="Book Antiqua" w:cs="Book Antiqua"/>
          <w:color w:val="000000"/>
        </w:rPr>
        <w:t>.</w:t>
      </w:r>
    </w:p>
    <w:p w14:paraId="48B42D82" w14:textId="77777777" w:rsidR="001653FC" w:rsidRPr="0019049A" w:rsidRDefault="008C2E61">
      <w:pPr>
        <w:spacing w:line="360" w:lineRule="auto"/>
        <w:ind w:firstLineChars="200" w:firstLine="480"/>
        <w:jc w:val="both"/>
        <w:rPr>
          <w:rFonts w:ascii="Book Antiqua" w:hAnsi="Book Antiqua"/>
        </w:rPr>
      </w:pPr>
      <w:r w:rsidRPr="0019049A">
        <w:rPr>
          <w:rFonts w:ascii="Book Antiqua" w:eastAsia="Book Antiqua" w:hAnsi="Book Antiqua" w:cs="Book Antiqua"/>
          <w:color w:val="000000"/>
        </w:rPr>
        <w:t>Some comedications with a green classification may require dose adjustment due to hepatic impairment.</w:t>
      </w:r>
    </w:p>
    <w:p w14:paraId="4342C299" w14:textId="77777777" w:rsidR="001653FC" w:rsidRPr="0019049A" w:rsidRDefault="001653FC">
      <w:pPr>
        <w:spacing w:line="360" w:lineRule="auto"/>
        <w:jc w:val="both"/>
        <w:rPr>
          <w:rFonts w:ascii="Book Antiqua" w:eastAsia="Book Antiqua" w:hAnsi="Book Antiqua" w:cs="Book Antiqua"/>
          <w:b/>
          <w:bCs/>
          <w:color w:val="000000"/>
          <w:u w:val="single" w:color="000000"/>
        </w:rPr>
      </w:pPr>
    </w:p>
    <w:p w14:paraId="73303069"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bCs/>
          <w:color w:val="000000"/>
          <w:u w:val="single" w:color="000000"/>
        </w:rPr>
        <w:t>MANAGEMENT OF CHRONIC HCV INFECTION IN PATIENTS WITH CANCER</w:t>
      </w:r>
    </w:p>
    <w:p w14:paraId="1ABE1B44"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HCV-infected oncologic patients represent a special population needing guided treatment</w:t>
      </w:r>
      <w:r w:rsidRPr="0019049A">
        <w:rPr>
          <w:rFonts w:ascii="Book Antiqua" w:eastAsia="Book Antiqua" w:hAnsi="Book Antiqua" w:cs="Book Antiqua"/>
          <w:color w:val="000000"/>
          <w:vertAlign w:val="superscript"/>
        </w:rPr>
        <w:t>[12]</w:t>
      </w:r>
      <w:r w:rsidRPr="0019049A">
        <w:rPr>
          <w:rFonts w:ascii="Book Antiqua" w:eastAsia="Book Antiqua" w:hAnsi="Book Antiqua" w:cs="Book Antiqua"/>
          <w:color w:val="000000"/>
        </w:rPr>
        <w:t>: The updated guidelines provided by the AASL and IDSA</w:t>
      </w:r>
      <w:r w:rsidRPr="0019049A">
        <w:rPr>
          <w:rFonts w:ascii="Book Antiqua" w:eastAsia="Book Antiqua" w:hAnsi="Book Antiqua" w:cs="Book Antiqua"/>
          <w:color w:val="000000"/>
          <w:vertAlign w:val="superscript"/>
        </w:rPr>
        <w:t>[4]</w:t>
      </w:r>
      <w:r w:rsidRPr="0019049A">
        <w:rPr>
          <w:rFonts w:ascii="Book Antiqua" w:eastAsia="Book Antiqua" w:hAnsi="Book Antiqua" w:cs="Book Antiqua"/>
          <w:color w:val="000000"/>
        </w:rPr>
        <w:t xml:space="preserve"> for the first time address treatment in this setting, supporting that the virologic and hepatic benefits of DAA treatment in oncologic patients with HCV infection overcome the risk of no treatment</w:t>
      </w:r>
      <w:r w:rsidRPr="0019049A">
        <w:rPr>
          <w:rFonts w:ascii="Book Antiqua" w:eastAsia="Book Antiqua" w:hAnsi="Book Antiqua" w:cs="Book Antiqua"/>
          <w:color w:val="000000"/>
          <w:vertAlign w:val="superscript"/>
        </w:rPr>
        <w:t>[7,30,31]</w:t>
      </w:r>
      <w:r w:rsidRPr="0019049A">
        <w:rPr>
          <w:rFonts w:ascii="Book Antiqua" w:eastAsia="Book Antiqua" w:hAnsi="Book Antiqua" w:cs="Book Antiqua"/>
          <w:color w:val="000000"/>
        </w:rPr>
        <w:t xml:space="preserve">. In fact, the quick eradication of chronic HCV infection prior to cancer therapy helps liver recovery, normalizes liver enzymes and avoids potentially </w:t>
      </w:r>
      <w:r w:rsidRPr="0019049A">
        <w:rPr>
          <w:rFonts w:ascii="Book Antiqua" w:eastAsia="Book Antiqua" w:hAnsi="Book Antiqua" w:cs="Book Antiqua"/>
          <w:color w:val="000000"/>
        </w:rPr>
        <w:lastRenderedPageBreak/>
        <w:t>decompensating hepatitis flares; in other words, it allows the initiation of cancer treatment that could be hampered by persistent elevated ALT levels due to HCV virus infection</w:t>
      </w:r>
      <w:r w:rsidRPr="0019049A">
        <w:rPr>
          <w:rFonts w:ascii="Book Antiqua" w:eastAsia="Book Antiqua" w:hAnsi="Book Antiqua" w:cs="Book Antiqua"/>
          <w:color w:val="000000"/>
          <w:vertAlign w:val="superscript"/>
        </w:rPr>
        <w:t>[12]</w:t>
      </w:r>
      <w:r w:rsidRPr="0019049A">
        <w:rPr>
          <w:rFonts w:ascii="Book Antiqua" w:eastAsia="Book Antiqua" w:hAnsi="Book Antiqua" w:cs="Book Antiqua"/>
          <w:color w:val="000000"/>
        </w:rPr>
        <w:t>. The eradication of HCV in oncologic patients can also diminish the risk of HCVr, allow patients to participate in experimental oncologic clinical trials based on new drug strategies against cancer, reduce the risk of the development of HCV-associated cancers</w:t>
      </w:r>
      <w:r w:rsidRPr="0019049A">
        <w:rPr>
          <w:rFonts w:ascii="Book Antiqua" w:eastAsia="Book Antiqua" w:hAnsi="Book Antiqua" w:cs="Book Antiqua"/>
          <w:color w:val="000000"/>
          <w:vertAlign w:val="superscript"/>
        </w:rPr>
        <w:t>[4]</w:t>
      </w:r>
      <w:r w:rsidRPr="0019049A">
        <w:rPr>
          <w:rFonts w:ascii="Book Antiqua" w:eastAsia="Book Antiqua" w:hAnsi="Book Antiqua" w:cs="Book Antiqua"/>
          <w:color w:val="000000"/>
        </w:rPr>
        <w:t>, minimize drug-induced hepatotoxicity and avoid detrimental dose reduction.</w:t>
      </w:r>
    </w:p>
    <w:p w14:paraId="0A28C192" w14:textId="77777777" w:rsidR="001653FC" w:rsidRPr="0019049A" w:rsidRDefault="008C2E61">
      <w:pPr>
        <w:spacing w:line="360" w:lineRule="auto"/>
        <w:ind w:firstLineChars="200" w:firstLine="480"/>
        <w:jc w:val="both"/>
        <w:rPr>
          <w:rFonts w:ascii="Book Antiqua" w:hAnsi="Book Antiqua"/>
        </w:rPr>
      </w:pPr>
      <w:r w:rsidRPr="0019049A">
        <w:rPr>
          <w:rFonts w:ascii="Book Antiqua" w:eastAsia="Book Antiqua" w:hAnsi="Book Antiqua" w:cs="Book Antiqua"/>
          <w:color w:val="000000"/>
        </w:rPr>
        <w:t>DAA-based therapy can also promote liver disease progression</w:t>
      </w:r>
      <w:r w:rsidRPr="0019049A">
        <w:rPr>
          <w:rFonts w:ascii="Book Antiqua" w:eastAsia="Book Antiqua" w:hAnsi="Book Antiqua" w:cs="Book Antiqua"/>
          <w:color w:val="000000"/>
          <w:vertAlign w:val="superscript"/>
        </w:rPr>
        <w:t>[12]</w:t>
      </w:r>
      <w:r w:rsidRPr="0019049A">
        <w:rPr>
          <w:rFonts w:ascii="Book Antiqua" w:eastAsia="Book Antiqua" w:hAnsi="Book Antiqua" w:cs="Book Antiqua"/>
          <w:color w:val="000000"/>
        </w:rPr>
        <w:t>. In clinical practice, the temporary suspension of cancer treatment during DAA-based therapy has often been observed to avoid overlapping toxicities and DDIs. However, the present review proves that when cancer treatment cannot be interrupted, currently used</w:t>
      </w:r>
      <w:r w:rsidRPr="0019049A">
        <w:rPr>
          <w:rFonts w:ascii="Book Antiqua" w:eastAsia="Book Antiqua" w:hAnsi="Book Antiqua" w:cs="Book Antiqua"/>
          <w:b/>
          <w:bCs/>
          <w:color w:val="000000"/>
        </w:rPr>
        <w:t xml:space="preserve"> </w:t>
      </w:r>
      <w:r w:rsidRPr="0019049A">
        <w:rPr>
          <w:rFonts w:ascii="Book Antiqua" w:eastAsia="Book Antiqua" w:hAnsi="Book Antiqua" w:cs="Book Antiqua"/>
          <w:color w:val="000000"/>
        </w:rPr>
        <w:t>DAAs can be simultaneously administered under close comonitoring by oncologists and hepatologists, especially during the first month of this dual therapy, since serious observed adverse events most usually appear within the first 2-4 wk of concomitant treatment.</w:t>
      </w:r>
    </w:p>
    <w:p w14:paraId="5896A48D" w14:textId="77777777" w:rsidR="001653FC" w:rsidRPr="0019049A" w:rsidRDefault="001653FC">
      <w:pPr>
        <w:spacing w:line="360" w:lineRule="auto"/>
        <w:jc w:val="both"/>
        <w:rPr>
          <w:rFonts w:ascii="Book Antiqua" w:hAnsi="Book Antiqua"/>
        </w:rPr>
      </w:pPr>
    </w:p>
    <w:p w14:paraId="26339D00"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aps/>
          <w:color w:val="000000"/>
          <w:u w:val="single"/>
        </w:rPr>
        <w:t>CONCLUSION</w:t>
      </w:r>
    </w:p>
    <w:p w14:paraId="251AD26F"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Economides </w:t>
      </w:r>
      <w:r w:rsidRPr="0019049A">
        <w:rPr>
          <w:rFonts w:ascii="Book Antiqua" w:eastAsia="Book Antiqua" w:hAnsi="Book Antiqua" w:cs="Book Antiqua"/>
          <w:i/>
          <w:iCs/>
          <w:color w:val="000000"/>
        </w:rPr>
        <w:t>et al</w:t>
      </w:r>
      <w:r w:rsidRPr="0019049A">
        <w:rPr>
          <w:rFonts w:ascii="Book Antiqua" w:eastAsia="Book Antiqua" w:hAnsi="Book Antiqua" w:cs="Book Antiqua"/>
          <w:color w:val="000000"/>
          <w:vertAlign w:val="superscript"/>
        </w:rPr>
        <w:t>[12]</w:t>
      </w:r>
      <w:r w:rsidRPr="0019049A">
        <w:rPr>
          <w:rFonts w:ascii="Book Antiqua" w:eastAsia="Book Antiqua" w:hAnsi="Book Antiqua" w:cs="Book Antiqua"/>
          <w:color w:val="000000"/>
        </w:rPr>
        <w:t xml:space="preserve"> stated that DAA therapy in cancer patients was efficacious and durable in terms of SVR, and few drug-drug interactions were observed. Otherwise, prospective data on HCV in oncologic patients remain limited.</w:t>
      </w:r>
    </w:p>
    <w:p w14:paraId="1107A01A" w14:textId="77777777" w:rsidR="001653FC" w:rsidRPr="0019049A" w:rsidRDefault="008C2E61">
      <w:pPr>
        <w:spacing w:line="360" w:lineRule="auto"/>
        <w:ind w:firstLineChars="200" w:firstLine="480"/>
        <w:jc w:val="both"/>
        <w:rPr>
          <w:rFonts w:ascii="Book Antiqua" w:hAnsi="Book Antiqua"/>
        </w:rPr>
      </w:pPr>
      <w:r w:rsidRPr="0019049A">
        <w:rPr>
          <w:rFonts w:ascii="Book Antiqua" w:eastAsia="Book Antiqua" w:hAnsi="Book Antiqua" w:cs="Book Antiqua"/>
          <w:color w:val="000000"/>
        </w:rPr>
        <w:t>This review, in the absence of current specific available guidelines for the use of DAA therapy in HCV-infected cancer patients, tried to clarify that treatment with DAAs for oncologic patients undergoing chemotherapy affected by HCV infection is safe and favourably impacts oncologic outcomes.</w:t>
      </w:r>
    </w:p>
    <w:p w14:paraId="6C95CCA0" w14:textId="77777777" w:rsidR="001653FC" w:rsidRPr="0019049A" w:rsidRDefault="008C2E61">
      <w:pPr>
        <w:spacing w:line="360" w:lineRule="auto"/>
        <w:ind w:firstLineChars="200" w:firstLine="480"/>
        <w:jc w:val="both"/>
        <w:rPr>
          <w:rFonts w:ascii="Book Antiqua" w:hAnsi="Book Antiqua"/>
        </w:rPr>
      </w:pPr>
      <w:r w:rsidRPr="0019049A">
        <w:rPr>
          <w:rFonts w:ascii="Book Antiqua" w:eastAsia="Book Antiqua" w:hAnsi="Book Antiqua" w:cs="Book Antiqua"/>
          <w:color w:val="000000"/>
        </w:rPr>
        <w:t>Finally, given that cancer treatment can negatively impact untreated chronic HCV-related liver disease, it appears clear that pre-emptive antiviral therapy in the oncologic setting is necessary to pursue chemotherapy without risking the progression of viral liver disease.</w:t>
      </w:r>
    </w:p>
    <w:p w14:paraId="49D80565" w14:textId="77777777" w:rsidR="001653FC" w:rsidRPr="0019049A" w:rsidRDefault="001653FC">
      <w:pPr>
        <w:spacing w:line="360" w:lineRule="auto"/>
        <w:jc w:val="both"/>
        <w:rPr>
          <w:rFonts w:ascii="Book Antiqua" w:hAnsi="Book Antiqua"/>
        </w:rPr>
      </w:pPr>
    </w:p>
    <w:p w14:paraId="7F53C37D"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t>REFERENCES</w:t>
      </w:r>
    </w:p>
    <w:p w14:paraId="4B7F7D68"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lastRenderedPageBreak/>
        <w:t xml:space="preserve">1 </w:t>
      </w:r>
      <w:r w:rsidRPr="0019049A">
        <w:rPr>
          <w:rFonts w:ascii="Book Antiqua" w:eastAsia="Book Antiqua" w:hAnsi="Book Antiqua" w:cs="Book Antiqua"/>
          <w:b/>
          <w:bCs/>
          <w:color w:val="000000"/>
        </w:rPr>
        <w:t>Smolders EJ</w:t>
      </w:r>
      <w:r w:rsidRPr="0019049A">
        <w:rPr>
          <w:rFonts w:ascii="Book Antiqua" w:eastAsia="Book Antiqua" w:hAnsi="Book Antiqua" w:cs="Book Antiqua"/>
          <w:color w:val="000000"/>
        </w:rPr>
        <w:t xml:space="preserve">, Jansen AME, Ter Horst PGJ, Rockstroh J, Back DJ, Burger DM. Viral Hepatitis C Therapy: Pharmacokinetic and Pharmacodynamic Considerations: A 2019 Update. </w:t>
      </w:r>
      <w:r w:rsidRPr="0019049A">
        <w:rPr>
          <w:rFonts w:ascii="Book Antiqua" w:eastAsia="Book Antiqua" w:hAnsi="Book Antiqua" w:cs="Book Antiqua"/>
          <w:i/>
          <w:iCs/>
          <w:color w:val="000000"/>
        </w:rPr>
        <w:t>Clin Pharmacokinet</w:t>
      </w:r>
      <w:r w:rsidRPr="0019049A">
        <w:rPr>
          <w:rFonts w:ascii="Book Antiqua" w:eastAsia="Book Antiqua" w:hAnsi="Book Antiqua" w:cs="Book Antiqua"/>
          <w:color w:val="000000"/>
        </w:rPr>
        <w:t xml:space="preserve"> 2019; </w:t>
      </w:r>
      <w:r w:rsidRPr="0019049A">
        <w:rPr>
          <w:rFonts w:ascii="Book Antiqua" w:eastAsia="Book Antiqua" w:hAnsi="Book Antiqua" w:cs="Book Antiqua"/>
          <w:b/>
          <w:bCs/>
          <w:color w:val="000000"/>
        </w:rPr>
        <w:t>58</w:t>
      </w:r>
      <w:r w:rsidRPr="0019049A">
        <w:rPr>
          <w:rFonts w:ascii="Book Antiqua" w:eastAsia="Book Antiqua" w:hAnsi="Book Antiqua" w:cs="Book Antiqua"/>
          <w:color w:val="000000"/>
        </w:rPr>
        <w:t>: 1237-1263 [PMID: 31114957 DOI: 10.1007/s40262-019-00774-0]</w:t>
      </w:r>
    </w:p>
    <w:p w14:paraId="74FAE74E"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2 </w:t>
      </w:r>
      <w:r w:rsidRPr="0019049A">
        <w:rPr>
          <w:rFonts w:ascii="Book Antiqua" w:eastAsia="Book Antiqua" w:hAnsi="Book Antiqua" w:cs="Book Antiqua"/>
          <w:b/>
          <w:bCs/>
          <w:color w:val="000000"/>
        </w:rPr>
        <w:t>Gao LH</w:t>
      </w:r>
      <w:r w:rsidRPr="0019049A">
        <w:rPr>
          <w:rFonts w:ascii="Book Antiqua" w:eastAsia="Book Antiqua" w:hAnsi="Book Antiqua" w:cs="Book Antiqua"/>
          <w:color w:val="000000"/>
        </w:rPr>
        <w:t xml:space="preserve">, Nie QH, Zhao XT. Drug-Drug Interactions of Newly Approved Direct-Acting Antiviral Agents in Patients with Hepatitis C. </w:t>
      </w:r>
      <w:r w:rsidRPr="0019049A">
        <w:rPr>
          <w:rFonts w:ascii="Book Antiqua" w:eastAsia="Book Antiqua" w:hAnsi="Book Antiqua" w:cs="Book Antiqua"/>
          <w:i/>
          <w:iCs/>
          <w:color w:val="000000"/>
        </w:rPr>
        <w:t>Int J Gen Med</w:t>
      </w:r>
      <w:r w:rsidRPr="0019049A">
        <w:rPr>
          <w:rFonts w:ascii="Book Antiqua" w:eastAsia="Book Antiqua" w:hAnsi="Book Antiqua" w:cs="Book Antiqua"/>
          <w:color w:val="000000"/>
        </w:rPr>
        <w:t xml:space="preserve"> 2021; </w:t>
      </w:r>
      <w:r w:rsidRPr="0019049A">
        <w:rPr>
          <w:rFonts w:ascii="Book Antiqua" w:eastAsia="Book Antiqua" w:hAnsi="Book Antiqua" w:cs="Book Antiqua"/>
          <w:b/>
          <w:bCs/>
          <w:color w:val="000000"/>
        </w:rPr>
        <w:t>14</w:t>
      </w:r>
      <w:r w:rsidRPr="0019049A">
        <w:rPr>
          <w:rFonts w:ascii="Book Antiqua" w:eastAsia="Book Antiqua" w:hAnsi="Book Antiqua" w:cs="Book Antiqua"/>
          <w:color w:val="000000"/>
        </w:rPr>
        <w:t>: 289-301 [PMID: 33536776 DOI: 10.2147/IJGM.S283910]</w:t>
      </w:r>
    </w:p>
    <w:p w14:paraId="58888416"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3 </w:t>
      </w:r>
      <w:r w:rsidRPr="0019049A">
        <w:rPr>
          <w:rFonts w:ascii="Book Antiqua" w:eastAsia="Book Antiqua" w:hAnsi="Book Antiqua" w:cs="Book Antiqua"/>
          <w:b/>
          <w:bCs/>
          <w:color w:val="000000"/>
        </w:rPr>
        <w:t>Hepatitis C – World Health Organization.</w:t>
      </w:r>
      <w:r w:rsidRPr="0019049A">
        <w:rPr>
          <w:rFonts w:ascii="Book Antiqua" w:eastAsia="Book Antiqua" w:hAnsi="Book Antiqua" w:cs="Book Antiqua"/>
          <w:color w:val="000000"/>
        </w:rPr>
        <w:t xml:space="preserve"> Accessed 16 Nov 2021</w:t>
      </w:r>
      <w:r w:rsidRPr="0019049A">
        <w:rPr>
          <w:rFonts w:ascii="Book Antiqua" w:hAnsi="Book Antiqua" w:hint="eastAsia"/>
          <w:lang w:eastAsia="zh-CN"/>
        </w:rPr>
        <w:t>.</w:t>
      </w:r>
      <w:r w:rsidRPr="0019049A">
        <w:rPr>
          <w:rFonts w:ascii="Book Antiqua" w:hAnsi="Book Antiqua"/>
          <w:lang w:eastAsia="zh-CN"/>
        </w:rPr>
        <w:t xml:space="preserve"> </w:t>
      </w:r>
      <w:r w:rsidRPr="0019049A">
        <w:rPr>
          <w:rFonts w:ascii="Book Antiqua" w:eastAsia="Book Antiqua" w:hAnsi="Book Antiqua" w:cs="Book Antiqua"/>
          <w:color w:val="000000"/>
        </w:rPr>
        <w:t xml:space="preserve">Available from: https://www.who.int/news-room/fact-sheets/detail/hepatitis-c </w:t>
      </w:r>
    </w:p>
    <w:p w14:paraId="08401770"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4 </w:t>
      </w:r>
      <w:r w:rsidRPr="0019049A">
        <w:rPr>
          <w:rFonts w:ascii="Book Antiqua" w:eastAsia="Book Antiqua" w:hAnsi="Book Antiqua" w:cs="Book Antiqua"/>
          <w:b/>
          <w:bCs/>
          <w:color w:val="000000"/>
        </w:rPr>
        <w:t>Ziogas DC</w:t>
      </w:r>
      <w:r w:rsidRPr="0019049A">
        <w:rPr>
          <w:rFonts w:ascii="Book Antiqua" w:eastAsia="Book Antiqua" w:hAnsi="Book Antiqua" w:cs="Book Antiqua"/>
          <w:color w:val="000000"/>
        </w:rPr>
        <w:t xml:space="preserve">, Kostantinou F, Cholongitas E, Anastasopoulou A, Diamantopoulos P, Haanen J, Gogas H. Reconsidering the management of patients with cancer with viral hepatitis in the era of immunotherapy. </w:t>
      </w:r>
      <w:r w:rsidRPr="0019049A">
        <w:rPr>
          <w:rFonts w:ascii="Book Antiqua" w:eastAsia="Book Antiqua" w:hAnsi="Book Antiqua" w:cs="Book Antiqua"/>
          <w:i/>
          <w:iCs/>
          <w:color w:val="000000"/>
        </w:rPr>
        <w:t>J Immunother Cancer</w:t>
      </w:r>
      <w:r w:rsidRPr="0019049A">
        <w:rPr>
          <w:rFonts w:ascii="Book Antiqua" w:eastAsia="Book Antiqua" w:hAnsi="Book Antiqua" w:cs="Book Antiqua"/>
          <w:color w:val="000000"/>
        </w:rPr>
        <w:t xml:space="preserve"> 2020; </w:t>
      </w:r>
      <w:r w:rsidRPr="0019049A">
        <w:rPr>
          <w:rFonts w:ascii="Book Antiqua" w:eastAsia="Book Antiqua" w:hAnsi="Book Antiqua" w:cs="Book Antiqua"/>
          <w:b/>
          <w:bCs/>
          <w:color w:val="000000"/>
        </w:rPr>
        <w:t>8</w:t>
      </w:r>
      <w:r w:rsidRPr="0019049A">
        <w:rPr>
          <w:rFonts w:ascii="Book Antiqua" w:eastAsia="Book Antiqua" w:hAnsi="Book Antiqua" w:cs="Book Antiqua"/>
          <w:color w:val="000000"/>
        </w:rPr>
        <w:t xml:space="preserve"> [PMID: 33067316 DOI: 10.1136/jitc-2020-000943]</w:t>
      </w:r>
    </w:p>
    <w:p w14:paraId="1DCFD631"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5 </w:t>
      </w:r>
      <w:r w:rsidRPr="0019049A">
        <w:rPr>
          <w:rFonts w:ascii="Book Antiqua" w:eastAsia="Book Antiqua" w:hAnsi="Book Antiqua" w:cs="Book Antiqua"/>
          <w:b/>
          <w:bCs/>
          <w:color w:val="000000"/>
        </w:rPr>
        <w:t>Hwang JP</w:t>
      </w:r>
      <w:r w:rsidRPr="0019049A">
        <w:rPr>
          <w:rFonts w:ascii="Book Antiqua" w:eastAsia="Book Antiqua" w:hAnsi="Book Antiqua" w:cs="Book Antiqua"/>
          <w:color w:val="000000"/>
        </w:rPr>
        <w:t xml:space="preserve">, LoConte NK, Rice JP, Foxhall LE, Sturgis EM, Merrill JK, Torres HA, Bailey HH. Oncologic Implications of Chronic Hepatitis C Virus Infection. </w:t>
      </w:r>
      <w:r w:rsidRPr="0019049A">
        <w:rPr>
          <w:rFonts w:ascii="Book Antiqua" w:eastAsia="Book Antiqua" w:hAnsi="Book Antiqua" w:cs="Book Antiqua"/>
          <w:i/>
          <w:iCs/>
          <w:color w:val="000000"/>
        </w:rPr>
        <w:t>J Oncol Pract</w:t>
      </w:r>
      <w:r w:rsidRPr="0019049A">
        <w:rPr>
          <w:rFonts w:ascii="Book Antiqua" w:eastAsia="Book Antiqua" w:hAnsi="Book Antiqua" w:cs="Book Antiqua"/>
          <w:color w:val="000000"/>
        </w:rPr>
        <w:t xml:space="preserve"> 2019; </w:t>
      </w:r>
      <w:r w:rsidRPr="0019049A">
        <w:rPr>
          <w:rFonts w:ascii="Book Antiqua" w:eastAsia="Book Antiqua" w:hAnsi="Book Antiqua" w:cs="Book Antiqua"/>
          <w:b/>
          <w:bCs/>
          <w:color w:val="000000"/>
        </w:rPr>
        <w:t>15</w:t>
      </w:r>
      <w:r w:rsidRPr="0019049A">
        <w:rPr>
          <w:rFonts w:ascii="Book Antiqua" w:eastAsia="Book Antiqua" w:hAnsi="Book Antiqua" w:cs="Book Antiqua"/>
          <w:color w:val="000000"/>
        </w:rPr>
        <w:t>: 629-637 [PMID: 31825756 DOI: 10.1200/JOP.19.00370]</w:t>
      </w:r>
    </w:p>
    <w:p w14:paraId="4958D99C"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6 </w:t>
      </w:r>
      <w:r w:rsidRPr="0019049A">
        <w:rPr>
          <w:rFonts w:ascii="Book Antiqua" w:eastAsia="Book Antiqua" w:hAnsi="Book Antiqua" w:cs="Book Antiqua"/>
          <w:b/>
          <w:bCs/>
          <w:color w:val="000000"/>
        </w:rPr>
        <w:t>Perz JF</w:t>
      </w:r>
      <w:r w:rsidRPr="0019049A">
        <w:rPr>
          <w:rFonts w:ascii="Book Antiqua" w:eastAsia="Book Antiqua" w:hAnsi="Book Antiqua" w:cs="Book Antiqua"/>
          <w:color w:val="000000"/>
        </w:rPr>
        <w:t xml:space="preserve">, Armstrong GL, Farrington LA, Hutin YJ, Bell BP. The contributions of hepatitis B virus and hepatitis C virus infections to cirrhosis and primary liver cancer worldwide. </w:t>
      </w:r>
      <w:r w:rsidRPr="0019049A">
        <w:rPr>
          <w:rFonts w:ascii="Book Antiqua" w:eastAsia="Book Antiqua" w:hAnsi="Book Antiqua" w:cs="Book Antiqua"/>
          <w:i/>
          <w:iCs/>
          <w:color w:val="000000"/>
        </w:rPr>
        <w:t>J Hepatol</w:t>
      </w:r>
      <w:r w:rsidRPr="0019049A">
        <w:rPr>
          <w:rFonts w:ascii="Book Antiqua" w:eastAsia="Book Antiqua" w:hAnsi="Book Antiqua" w:cs="Book Antiqua"/>
          <w:color w:val="000000"/>
        </w:rPr>
        <w:t xml:space="preserve"> 2006; </w:t>
      </w:r>
      <w:r w:rsidRPr="0019049A">
        <w:rPr>
          <w:rFonts w:ascii="Book Antiqua" w:eastAsia="Book Antiqua" w:hAnsi="Book Antiqua" w:cs="Book Antiqua"/>
          <w:b/>
          <w:bCs/>
          <w:color w:val="000000"/>
        </w:rPr>
        <w:t>45</w:t>
      </w:r>
      <w:r w:rsidRPr="0019049A">
        <w:rPr>
          <w:rFonts w:ascii="Book Antiqua" w:eastAsia="Book Antiqua" w:hAnsi="Book Antiqua" w:cs="Book Antiqua"/>
          <w:color w:val="000000"/>
        </w:rPr>
        <w:t>: 529-538 [PMID: 16879891 DOI: 10.1016/j.jhep.2006.05.013]</w:t>
      </w:r>
    </w:p>
    <w:p w14:paraId="70A11E45"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7 </w:t>
      </w:r>
      <w:r w:rsidRPr="0019049A">
        <w:rPr>
          <w:rFonts w:ascii="Book Antiqua" w:eastAsia="Book Antiqua" w:hAnsi="Book Antiqua" w:cs="Book Antiqua"/>
          <w:b/>
          <w:bCs/>
          <w:color w:val="000000"/>
        </w:rPr>
        <w:t>Torres HA</w:t>
      </w:r>
      <w:r w:rsidRPr="0019049A">
        <w:rPr>
          <w:rFonts w:ascii="Book Antiqua" w:eastAsia="Book Antiqua" w:hAnsi="Book Antiqua" w:cs="Book Antiqua"/>
          <w:color w:val="000000"/>
        </w:rPr>
        <w:t xml:space="preserve">, Shigle TL, Hammoudi N, Link JT, Samaniego F, Kaseb A, Mallet V. The oncologic burden of hepatitis C virus infection: A clinical perspective. </w:t>
      </w:r>
      <w:r w:rsidRPr="0019049A">
        <w:rPr>
          <w:rFonts w:ascii="Book Antiqua" w:eastAsia="Book Antiqua" w:hAnsi="Book Antiqua" w:cs="Book Antiqua"/>
          <w:i/>
          <w:iCs/>
          <w:color w:val="000000"/>
        </w:rPr>
        <w:t>CA Cancer J Clin</w:t>
      </w:r>
      <w:r w:rsidRPr="0019049A">
        <w:rPr>
          <w:rFonts w:ascii="Book Antiqua" w:eastAsia="Book Antiqua" w:hAnsi="Book Antiqua" w:cs="Book Antiqua"/>
          <w:color w:val="000000"/>
        </w:rPr>
        <w:t xml:space="preserve"> 2017; </w:t>
      </w:r>
      <w:r w:rsidRPr="0019049A">
        <w:rPr>
          <w:rFonts w:ascii="Book Antiqua" w:eastAsia="Book Antiqua" w:hAnsi="Book Antiqua" w:cs="Book Antiqua"/>
          <w:b/>
          <w:bCs/>
          <w:color w:val="000000"/>
        </w:rPr>
        <w:t>67</w:t>
      </w:r>
      <w:r w:rsidRPr="0019049A">
        <w:rPr>
          <w:rFonts w:ascii="Book Antiqua" w:eastAsia="Book Antiqua" w:hAnsi="Book Antiqua" w:cs="Book Antiqua"/>
          <w:color w:val="000000"/>
        </w:rPr>
        <w:t>: 411-431 [PMID: 28683174 DOI: 10.3322/caac.21403]</w:t>
      </w:r>
    </w:p>
    <w:p w14:paraId="70132CC8"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8 </w:t>
      </w:r>
      <w:r w:rsidRPr="0019049A">
        <w:rPr>
          <w:rFonts w:ascii="Book Antiqua" w:eastAsia="Book Antiqua" w:hAnsi="Book Antiqua" w:cs="Book Antiqua"/>
          <w:b/>
          <w:bCs/>
          <w:color w:val="000000"/>
        </w:rPr>
        <w:t>Mahale P</w:t>
      </w:r>
      <w:r w:rsidRPr="0019049A">
        <w:rPr>
          <w:rFonts w:ascii="Book Antiqua" w:eastAsia="Book Antiqua" w:hAnsi="Book Antiqua" w:cs="Book Antiqua"/>
          <w:color w:val="000000"/>
        </w:rPr>
        <w:t xml:space="preserve">, Sturgis EM, Tweardy DJ, Ariza-Heredia EJ, Torres HA. Association Between Hepatitis C Virus and Head and Neck Cancers. </w:t>
      </w:r>
      <w:r w:rsidRPr="0019049A">
        <w:rPr>
          <w:rFonts w:ascii="Book Antiqua" w:eastAsia="Book Antiqua" w:hAnsi="Book Antiqua" w:cs="Book Antiqua"/>
          <w:i/>
          <w:iCs/>
          <w:color w:val="000000"/>
        </w:rPr>
        <w:t>J Natl Cancer Inst</w:t>
      </w:r>
      <w:r w:rsidRPr="0019049A">
        <w:rPr>
          <w:rFonts w:ascii="Book Antiqua" w:eastAsia="Book Antiqua" w:hAnsi="Book Antiqua" w:cs="Book Antiqua"/>
          <w:color w:val="000000"/>
        </w:rPr>
        <w:t xml:space="preserve"> 2016; </w:t>
      </w:r>
      <w:r w:rsidRPr="0019049A">
        <w:rPr>
          <w:rFonts w:ascii="Book Antiqua" w:eastAsia="Book Antiqua" w:hAnsi="Book Antiqua" w:cs="Book Antiqua"/>
          <w:b/>
          <w:bCs/>
          <w:color w:val="000000"/>
        </w:rPr>
        <w:t>108</w:t>
      </w:r>
      <w:r w:rsidRPr="0019049A">
        <w:rPr>
          <w:rFonts w:ascii="Book Antiqua" w:eastAsia="Book Antiqua" w:hAnsi="Book Antiqua" w:cs="Book Antiqua"/>
          <w:color w:val="000000"/>
        </w:rPr>
        <w:t xml:space="preserve"> [PMID: 27075854 DOI: 10.1093/jnci/djw035]</w:t>
      </w:r>
    </w:p>
    <w:p w14:paraId="2AA9EE44"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9 </w:t>
      </w:r>
      <w:r w:rsidRPr="0019049A">
        <w:rPr>
          <w:rFonts w:ascii="Book Antiqua" w:eastAsia="Book Antiqua" w:hAnsi="Book Antiqua" w:cs="Book Antiqua"/>
          <w:b/>
          <w:bCs/>
          <w:color w:val="000000"/>
        </w:rPr>
        <w:t>Balakrishnan M</w:t>
      </w:r>
      <w:r w:rsidRPr="0019049A">
        <w:rPr>
          <w:rFonts w:ascii="Book Antiqua" w:eastAsia="Book Antiqua" w:hAnsi="Book Antiqua" w:cs="Book Antiqua"/>
          <w:color w:val="000000"/>
        </w:rPr>
        <w:t xml:space="preserve">, Glover MT, Kanwal F. Hepatitis C and Risk of Nonhepatic Malignancies. </w:t>
      </w:r>
      <w:r w:rsidRPr="0019049A">
        <w:rPr>
          <w:rFonts w:ascii="Book Antiqua" w:eastAsia="Book Antiqua" w:hAnsi="Book Antiqua" w:cs="Book Antiqua"/>
          <w:i/>
          <w:iCs/>
          <w:color w:val="000000"/>
        </w:rPr>
        <w:t>Clin Liver Dis</w:t>
      </w:r>
      <w:r w:rsidRPr="0019049A">
        <w:rPr>
          <w:rFonts w:ascii="Book Antiqua" w:eastAsia="Book Antiqua" w:hAnsi="Book Antiqua" w:cs="Book Antiqua"/>
          <w:color w:val="000000"/>
        </w:rPr>
        <w:t xml:space="preserve"> 2017; </w:t>
      </w:r>
      <w:r w:rsidRPr="0019049A">
        <w:rPr>
          <w:rFonts w:ascii="Book Antiqua" w:eastAsia="Book Antiqua" w:hAnsi="Book Antiqua" w:cs="Book Antiqua"/>
          <w:b/>
          <w:bCs/>
          <w:color w:val="000000"/>
        </w:rPr>
        <w:t>21</w:t>
      </w:r>
      <w:r w:rsidRPr="0019049A">
        <w:rPr>
          <w:rFonts w:ascii="Book Antiqua" w:eastAsia="Book Antiqua" w:hAnsi="Book Antiqua" w:cs="Book Antiqua"/>
          <w:color w:val="000000"/>
        </w:rPr>
        <w:t>: 543-554 [PMID: 28689592 DOI: 10.1016/j.cld.2017.03.009]</w:t>
      </w:r>
    </w:p>
    <w:p w14:paraId="5426790C"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lastRenderedPageBreak/>
        <w:t xml:space="preserve">10 </w:t>
      </w:r>
      <w:r w:rsidRPr="0019049A">
        <w:rPr>
          <w:rFonts w:ascii="Book Antiqua" w:eastAsia="Book Antiqua" w:hAnsi="Book Antiqua" w:cs="Book Antiqua"/>
          <w:b/>
          <w:bCs/>
          <w:color w:val="000000"/>
        </w:rPr>
        <w:t>Torres HA</w:t>
      </w:r>
      <w:r w:rsidRPr="0019049A">
        <w:rPr>
          <w:rFonts w:ascii="Book Antiqua" w:eastAsia="Book Antiqua" w:hAnsi="Book Antiqua" w:cs="Book Antiqua"/>
          <w:color w:val="000000"/>
        </w:rPr>
        <w:t xml:space="preserve">, Hosry J, Mahale P, Economides MP, Jiang Y, Lok AS. Hepatitis C virus reactivation in patients receiving cancer treatment: A prospective observational study. </w:t>
      </w:r>
      <w:r w:rsidRPr="0019049A">
        <w:rPr>
          <w:rFonts w:ascii="Book Antiqua" w:eastAsia="Book Antiqua" w:hAnsi="Book Antiqua" w:cs="Book Antiqua"/>
          <w:i/>
          <w:iCs/>
          <w:color w:val="000000"/>
        </w:rPr>
        <w:t>Hepatology</w:t>
      </w:r>
      <w:r w:rsidRPr="0019049A">
        <w:rPr>
          <w:rFonts w:ascii="Book Antiqua" w:eastAsia="Book Antiqua" w:hAnsi="Book Antiqua" w:cs="Book Antiqua"/>
          <w:color w:val="000000"/>
        </w:rPr>
        <w:t xml:space="preserve"> 2018; </w:t>
      </w:r>
      <w:r w:rsidRPr="0019049A">
        <w:rPr>
          <w:rFonts w:ascii="Book Antiqua" w:eastAsia="Book Antiqua" w:hAnsi="Book Antiqua" w:cs="Book Antiqua"/>
          <w:b/>
          <w:bCs/>
          <w:color w:val="000000"/>
        </w:rPr>
        <w:t>67</w:t>
      </w:r>
      <w:r w:rsidRPr="0019049A">
        <w:rPr>
          <w:rFonts w:ascii="Book Antiqua" w:eastAsia="Book Antiqua" w:hAnsi="Book Antiqua" w:cs="Book Antiqua"/>
          <w:color w:val="000000"/>
        </w:rPr>
        <w:t>: 36-47 [PMID: 28653760 DOI: 10.1002/hep.29344]</w:t>
      </w:r>
    </w:p>
    <w:p w14:paraId="62FEB319"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11 </w:t>
      </w:r>
      <w:r w:rsidRPr="0019049A">
        <w:rPr>
          <w:rFonts w:ascii="Book Antiqua" w:eastAsia="Book Antiqua" w:hAnsi="Book Antiqua" w:cs="Book Antiqua"/>
          <w:b/>
          <w:bCs/>
          <w:color w:val="000000"/>
        </w:rPr>
        <w:t>Li YR</w:t>
      </w:r>
      <w:r w:rsidRPr="0019049A">
        <w:rPr>
          <w:rFonts w:ascii="Book Antiqua" w:eastAsia="Book Antiqua" w:hAnsi="Book Antiqua" w:cs="Book Antiqua"/>
          <w:color w:val="000000"/>
        </w:rPr>
        <w:t xml:space="preserve">, Hu TH, Chen WC, Hsu PI, Chen HC. Screening and prevention of hepatitis C virus reactivation during chemotherapy. </w:t>
      </w:r>
      <w:r w:rsidRPr="0019049A">
        <w:rPr>
          <w:rFonts w:ascii="Book Antiqua" w:eastAsia="Book Antiqua" w:hAnsi="Book Antiqua" w:cs="Book Antiqua"/>
          <w:i/>
          <w:iCs/>
          <w:color w:val="000000"/>
        </w:rPr>
        <w:t>World J Gastroenterol</w:t>
      </w:r>
      <w:r w:rsidRPr="0019049A">
        <w:rPr>
          <w:rFonts w:ascii="Book Antiqua" w:eastAsia="Book Antiqua" w:hAnsi="Book Antiqua" w:cs="Book Antiqua"/>
          <w:color w:val="000000"/>
        </w:rPr>
        <w:t xml:space="preserve"> 2021; </w:t>
      </w:r>
      <w:r w:rsidRPr="0019049A">
        <w:rPr>
          <w:rFonts w:ascii="Book Antiqua" w:eastAsia="Book Antiqua" w:hAnsi="Book Antiqua" w:cs="Book Antiqua"/>
          <w:b/>
          <w:bCs/>
          <w:color w:val="000000"/>
        </w:rPr>
        <w:t>27</w:t>
      </w:r>
      <w:r w:rsidRPr="0019049A">
        <w:rPr>
          <w:rFonts w:ascii="Book Antiqua" w:eastAsia="Book Antiqua" w:hAnsi="Book Antiqua" w:cs="Book Antiqua"/>
          <w:color w:val="000000"/>
        </w:rPr>
        <w:t>: 5181-5188 [PMID: 34497443 DOI: 10.3748/wjg.v27.i31.5181]</w:t>
      </w:r>
    </w:p>
    <w:p w14:paraId="6029BBF1"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12 </w:t>
      </w:r>
      <w:r w:rsidRPr="0019049A">
        <w:rPr>
          <w:rFonts w:ascii="Book Antiqua" w:eastAsia="Book Antiqua" w:hAnsi="Book Antiqua" w:cs="Book Antiqua"/>
          <w:b/>
          <w:bCs/>
          <w:color w:val="000000"/>
        </w:rPr>
        <w:t>Economides MP</w:t>
      </w:r>
      <w:r w:rsidRPr="0019049A">
        <w:rPr>
          <w:rFonts w:ascii="Book Antiqua" w:eastAsia="Book Antiqua" w:hAnsi="Book Antiqua" w:cs="Book Antiqua"/>
          <w:color w:val="000000"/>
        </w:rPr>
        <w:t xml:space="preserve">, Mahale P, Kyvernitakis A, Turturro F, Kantarjian H, Naing A, Hosry J, Shigle TL, Kaseb A, Torres HA. Concomitant use of direct-acting antivirals and chemotherapy in hepatitis C virus-infected patients with cancer. </w:t>
      </w:r>
      <w:r w:rsidRPr="0019049A">
        <w:rPr>
          <w:rFonts w:ascii="Book Antiqua" w:eastAsia="Book Antiqua" w:hAnsi="Book Antiqua" w:cs="Book Antiqua"/>
          <w:i/>
          <w:iCs/>
          <w:color w:val="000000"/>
        </w:rPr>
        <w:t>Aliment Pharmacol Ther</w:t>
      </w:r>
      <w:r w:rsidRPr="0019049A">
        <w:rPr>
          <w:rFonts w:ascii="Book Antiqua" w:eastAsia="Book Antiqua" w:hAnsi="Book Antiqua" w:cs="Book Antiqua"/>
          <w:color w:val="000000"/>
        </w:rPr>
        <w:t xml:space="preserve"> 2016; </w:t>
      </w:r>
      <w:r w:rsidRPr="0019049A">
        <w:rPr>
          <w:rFonts w:ascii="Book Antiqua" w:eastAsia="Book Antiqua" w:hAnsi="Book Antiqua" w:cs="Book Antiqua"/>
          <w:b/>
          <w:bCs/>
          <w:color w:val="000000"/>
        </w:rPr>
        <w:t>44</w:t>
      </w:r>
      <w:r w:rsidRPr="0019049A">
        <w:rPr>
          <w:rFonts w:ascii="Book Antiqua" w:eastAsia="Book Antiqua" w:hAnsi="Book Antiqua" w:cs="Book Antiqua"/>
          <w:color w:val="000000"/>
        </w:rPr>
        <w:t>: 1235-1241 [PMID: 27730654 DOI: 10.1111/apt.13825]</w:t>
      </w:r>
    </w:p>
    <w:p w14:paraId="3C1C020A"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13 </w:t>
      </w:r>
      <w:r w:rsidRPr="0019049A">
        <w:rPr>
          <w:rFonts w:ascii="Book Antiqua" w:eastAsia="Book Antiqua" w:hAnsi="Book Antiqua" w:cs="Book Antiqua"/>
          <w:b/>
          <w:bCs/>
          <w:color w:val="000000"/>
        </w:rPr>
        <w:t>Ramsey SD</w:t>
      </w:r>
      <w:r w:rsidRPr="0019049A">
        <w:rPr>
          <w:rFonts w:ascii="Book Antiqua" w:eastAsia="Book Antiqua" w:hAnsi="Book Antiqua" w:cs="Book Antiqua"/>
          <w:color w:val="000000"/>
        </w:rPr>
        <w:t xml:space="preserve">, Unger JM, Baker LH, Little RF, Loomba R, Hwang JP, Chugh R, Konerman MA, Arnold K, Menter AR, Thomas E, Michels RM, Jorgensen CW, Burton GV, Bhadkamkar NA, Hershman DL. Prevalence of Hepatitis B Virus, Hepatitis C Virus, and HIV Infection Among Patients With Newly Diagnosed Cancer From Academic and Community Oncology Practices. </w:t>
      </w:r>
      <w:r w:rsidRPr="0019049A">
        <w:rPr>
          <w:rFonts w:ascii="Book Antiqua" w:eastAsia="Book Antiqua" w:hAnsi="Book Antiqua" w:cs="Book Antiqua"/>
          <w:i/>
          <w:iCs/>
          <w:color w:val="000000"/>
        </w:rPr>
        <w:t>JAMA Oncol</w:t>
      </w:r>
      <w:r w:rsidRPr="0019049A">
        <w:rPr>
          <w:rFonts w:ascii="Book Antiqua" w:eastAsia="Book Antiqua" w:hAnsi="Book Antiqua" w:cs="Book Antiqua"/>
          <w:color w:val="000000"/>
        </w:rPr>
        <w:t xml:space="preserve"> 2019; </w:t>
      </w:r>
      <w:r w:rsidRPr="0019049A">
        <w:rPr>
          <w:rFonts w:ascii="Book Antiqua" w:eastAsia="Book Antiqua" w:hAnsi="Book Antiqua" w:cs="Book Antiqua"/>
          <w:b/>
          <w:bCs/>
          <w:color w:val="000000"/>
        </w:rPr>
        <w:t>5</w:t>
      </w:r>
      <w:r w:rsidRPr="0019049A">
        <w:rPr>
          <w:rFonts w:ascii="Book Antiqua" w:eastAsia="Book Antiqua" w:hAnsi="Book Antiqua" w:cs="Book Antiqua"/>
          <w:color w:val="000000"/>
        </w:rPr>
        <w:t>: 497-505 [PMID: 30653226 DOI: 10.1001/jamaoncol.2018.6437]</w:t>
      </w:r>
    </w:p>
    <w:p w14:paraId="19870C48"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14 </w:t>
      </w:r>
      <w:r w:rsidRPr="0019049A">
        <w:rPr>
          <w:rFonts w:ascii="Book Antiqua" w:eastAsia="Book Antiqua" w:hAnsi="Book Antiqua" w:cs="Book Antiqua"/>
          <w:b/>
          <w:bCs/>
          <w:color w:val="000000"/>
        </w:rPr>
        <w:t>Ghany MG</w:t>
      </w:r>
      <w:r w:rsidRPr="0019049A">
        <w:rPr>
          <w:rFonts w:ascii="Book Antiqua" w:eastAsia="Book Antiqua" w:hAnsi="Book Antiqua" w:cs="Book Antiqua"/>
          <w:color w:val="000000"/>
        </w:rPr>
        <w:t xml:space="preserve">, Liang TJ. Current and future therapies for hepatitis C virus infection. </w:t>
      </w:r>
      <w:r w:rsidRPr="0019049A">
        <w:rPr>
          <w:rFonts w:ascii="Book Antiqua" w:eastAsia="Book Antiqua" w:hAnsi="Book Antiqua" w:cs="Book Antiqua"/>
          <w:i/>
          <w:iCs/>
          <w:color w:val="000000"/>
        </w:rPr>
        <w:t>N Engl J Med</w:t>
      </w:r>
      <w:r w:rsidRPr="0019049A">
        <w:rPr>
          <w:rFonts w:ascii="Book Antiqua" w:eastAsia="Book Antiqua" w:hAnsi="Book Antiqua" w:cs="Book Antiqua"/>
          <w:color w:val="000000"/>
        </w:rPr>
        <w:t xml:space="preserve"> 2013; </w:t>
      </w:r>
      <w:r w:rsidRPr="0019049A">
        <w:rPr>
          <w:rFonts w:ascii="Book Antiqua" w:eastAsia="Book Antiqua" w:hAnsi="Book Antiqua" w:cs="Book Antiqua"/>
          <w:b/>
          <w:bCs/>
          <w:color w:val="000000"/>
        </w:rPr>
        <w:t>369</w:t>
      </w:r>
      <w:r w:rsidRPr="0019049A">
        <w:rPr>
          <w:rFonts w:ascii="Book Antiqua" w:eastAsia="Book Antiqua" w:hAnsi="Book Antiqua" w:cs="Book Antiqua"/>
          <w:color w:val="000000"/>
        </w:rPr>
        <w:t>: 679-680 [PMID: 23944318 DOI: 10.1056/NEJMc1307589]</w:t>
      </w:r>
    </w:p>
    <w:p w14:paraId="6CEEE70B"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15 </w:t>
      </w:r>
      <w:r w:rsidRPr="0019049A">
        <w:rPr>
          <w:rFonts w:ascii="Book Antiqua" w:eastAsia="Book Antiqua" w:hAnsi="Book Antiqua" w:cs="Book Antiqua"/>
          <w:b/>
          <w:bCs/>
          <w:color w:val="000000"/>
        </w:rPr>
        <w:t>Strader DB</w:t>
      </w:r>
      <w:r w:rsidRPr="0019049A">
        <w:rPr>
          <w:rFonts w:ascii="Book Antiqua" w:eastAsia="Book Antiqua" w:hAnsi="Book Antiqua" w:cs="Book Antiqua"/>
          <w:color w:val="000000"/>
        </w:rPr>
        <w:t xml:space="preserve">, Seeff LB. A brief history of the treatment of viral hepatitis C. </w:t>
      </w:r>
      <w:r w:rsidRPr="0019049A">
        <w:rPr>
          <w:rFonts w:ascii="Book Antiqua" w:eastAsia="Book Antiqua" w:hAnsi="Book Antiqua" w:cs="Book Antiqua"/>
          <w:i/>
          <w:iCs/>
          <w:color w:val="000000"/>
        </w:rPr>
        <w:t>Clin Liver Dis (Hoboken)</w:t>
      </w:r>
      <w:r w:rsidRPr="0019049A">
        <w:rPr>
          <w:rFonts w:ascii="Book Antiqua" w:eastAsia="Book Antiqua" w:hAnsi="Book Antiqua" w:cs="Book Antiqua"/>
          <w:color w:val="000000"/>
        </w:rPr>
        <w:t xml:space="preserve"> 2012; </w:t>
      </w:r>
      <w:r w:rsidRPr="0019049A">
        <w:rPr>
          <w:rFonts w:ascii="Book Antiqua" w:eastAsia="Book Antiqua" w:hAnsi="Book Antiqua" w:cs="Book Antiqua"/>
          <w:b/>
          <w:bCs/>
          <w:color w:val="000000"/>
        </w:rPr>
        <w:t>1</w:t>
      </w:r>
      <w:r w:rsidRPr="0019049A">
        <w:rPr>
          <w:rFonts w:ascii="Book Antiqua" w:eastAsia="Book Antiqua" w:hAnsi="Book Antiqua" w:cs="Book Antiqua"/>
          <w:color w:val="000000"/>
        </w:rPr>
        <w:t>: 6-11 [PMID: 31186837 DOI: 10.1002/cld.1]</w:t>
      </w:r>
    </w:p>
    <w:p w14:paraId="24227660"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16 </w:t>
      </w:r>
      <w:r w:rsidRPr="0019049A">
        <w:rPr>
          <w:rFonts w:ascii="Book Antiqua" w:eastAsia="Book Antiqua" w:hAnsi="Book Antiqua" w:cs="Book Antiqua"/>
          <w:b/>
          <w:bCs/>
          <w:color w:val="000000"/>
        </w:rPr>
        <w:t>Smith BD</w:t>
      </w:r>
      <w:r w:rsidRPr="0019049A">
        <w:rPr>
          <w:rFonts w:ascii="Book Antiqua" w:eastAsia="Book Antiqua" w:hAnsi="Book Antiqua" w:cs="Book Antiqua"/>
          <w:color w:val="000000"/>
        </w:rPr>
        <w:t xml:space="preserve">, Jorgensen C, Zibbell JE, Beckett GA. Centers for Disease Control and Prevention initiatives to prevent hepatitis C virus infection: a selective update. </w:t>
      </w:r>
      <w:r w:rsidRPr="0019049A">
        <w:rPr>
          <w:rFonts w:ascii="Book Antiqua" w:eastAsia="Book Antiqua" w:hAnsi="Book Antiqua" w:cs="Book Antiqua"/>
          <w:i/>
          <w:iCs/>
          <w:color w:val="000000"/>
        </w:rPr>
        <w:t>Clin Infect Dis</w:t>
      </w:r>
      <w:r w:rsidRPr="0019049A">
        <w:rPr>
          <w:rFonts w:ascii="Book Antiqua" w:eastAsia="Book Antiqua" w:hAnsi="Book Antiqua" w:cs="Book Antiqua"/>
          <w:color w:val="000000"/>
        </w:rPr>
        <w:t xml:space="preserve"> 2012; </w:t>
      </w:r>
      <w:r w:rsidRPr="0019049A">
        <w:rPr>
          <w:rFonts w:ascii="Book Antiqua" w:eastAsia="Book Antiqua" w:hAnsi="Book Antiqua" w:cs="Book Antiqua"/>
          <w:b/>
          <w:bCs/>
          <w:color w:val="000000"/>
        </w:rPr>
        <w:t>55 Suppl 1</w:t>
      </w:r>
      <w:r w:rsidRPr="0019049A">
        <w:rPr>
          <w:rFonts w:ascii="Book Antiqua" w:eastAsia="Book Antiqua" w:hAnsi="Book Antiqua" w:cs="Book Antiqua"/>
          <w:color w:val="000000"/>
        </w:rPr>
        <w:t>: S49-S53 [PMID: 22715214 DOI: 10.1093/cid/cis363]</w:t>
      </w:r>
    </w:p>
    <w:p w14:paraId="59241192"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17 </w:t>
      </w:r>
      <w:r w:rsidRPr="0019049A">
        <w:rPr>
          <w:rFonts w:ascii="Book Antiqua" w:eastAsia="Book Antiqua" w:hAnsi="Book Antiqua" w:cs="Book Antiqua"/>
          <w:b/>
          <w:bCs/>
          <w:color w:val="000000"/>
        </w:rPr>
        <w:t>Garrison KL</w:t>
      </w:r>
      <w:r w:rsidRPr="0019049A">
        <w:rPr>
          <w:rFonts w:ascii="Book Antiqua" w:eastAsia="Book Antiqua" w:hAnsi="Book Antiqua" w:cs="Book Antiqua"/>
          <w:color w:val="000000"/>
        </w:rPr>
        <w:t xml:space="preserve">, German P, Mogalian E, Mathias A. The Drug-Drug Interaction Potential of Antiviral Agents for the Treatment of Chronic Hepatitis C Infection. </w:t>
      </w:r>
      <w:r w:rsidRPr="0019049A">
        <w:rPr>
          <w:rFonts w:ascii="Book Antiqua" w:eastAsia="Book Antiqua" w:hAnsi="Book Antiqua" w:cs="Book Antiqua"/>
          <w:i/>
          <w:iCs/>
          <w:color w:val="000000"/>
        </w:rPr>
        <w:t>Drug Metab Dispos</w:t>
      </w:r>
      <w:r w:rsidRPr="0019049A">
        <w:rPr>
          <w:rFonts w:ascii="Book Antiqua" w:eastAsia="Book Antiqua" w:hAnsi="Book Antiqua" w:cs="Book Antiqua"/>
          <w:color w:val="000000"/>
        </w:rPr>
        <w:t xml:space="preserve"> 2018; </w:t>
      </w:r>
      <w:r w:rsidRPr="0019049A">
        <w:rPr>
          <w:rFonts w:ascii="Book Antiqua" w:eastAsia="Book Antiqua" w:hAnsi="Book Antiqua" w:cs="Book Antiqua"/>
          <w:b/>
          <w:bCs/>
          <w:color w:val="000000"/>
        </w:rPr>
        <w:t>46</w:t>
      </w:r>
      <w:r w:rsidRPr="0019049A">
        <w:rPr>
          <w:rFonts w:ascii="Book Antiqua" w:eastAsia="Book Antiqua" w:hAnsi="Book Antiqua" w:cs="Book Antiqua"/>
          <w:color w:val="000000"/>
        </w:rPr>
        <w:t>: 1212-1225 [PMID: 29695614 DOI: 10.1124/dmd.117.079038]</w:t>
      </w:r>
    </w:p>
    <w:p w14:paraId="57C2FFEE"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18 </w:t>
      </w:r>
      <w:r w:rsidRPr="0019049A">
        <w:rPr>
          <w:rFonts w:ascii="Book Antiqua" w:eastAsia="Book Antiqua" w:hAnsi="Book Antiqua" w:cs="Book Antiqua"/>
          <w:b/>
          <w:bCs/>
          <w:color w:val="000000"/>
        </w:rPr>
        <w:t>Chahine EB</w:t>
      </w:r>
      <w:r w:rsidRPr="0019049A">
        <w:rPr>
          <w:rFonts w:ascii="Book Antiqua" w:eastAsia="Book Antiqua" w:hAnsi="Book Antiqua" w:cs="Book Antiqua"/>
          <w:color w:val="000000"/>
        </w:rPr>
        <w:t xml:space="preserve">, Kelley D, Childs-Kean LM. Sofosbuvir/Velpatasvir/Voxilaprevir: A Pan-Genotypic Direct-Acting Antiviral Combination for Hepatitis C. </w:t>
      </w:r>
      <w:r w:rsidRPr="0019049A">
        <w:rPr>
          <w:rFonts w:ascii="Book Antiqua" w:eastAsia="Book Antiqua" w:hAnsi="Book Antiqua" w:cs="Book Antiqua"/>
          <w:i/>
          <w:iCs/>
          <w:color w:val="000000"/>
        </w:rPr>
        <w:t>Ann Pharmacother</w:t>
      </w:r>
      <w:r w:rsidRPr="0019049A">
        <w:rPr>
          <w:rFonts w:ascii="Book Antiqua" w:eastAsia="Book Antiqua" w:hAnsi="Book Antiqua" w:cs="Book Antiqua"/>
          <w:color w:val="000000"/>
        </w:rPr>
        <w:t xml:space="preserve"> 2018; </w:t>
      </w:r>
      <w:r w:rsidRPr="0019049A">
        <w:rPr>
          <w:rFonts w:ascii="Book Antiqua" w:eastAsia="Book Antiqua" w:hAnsi="Book Antiqua" w:cs="Book Antiqua"/>
          <w:b/>
          <w:bCs/>
          <w:color w:val="000000"/>
        </w:rPr>
        <w:t>52</w:t>
      </w:r>
      <w:r w:rsidRPr="0019049A">
        <w:rPr>
          <w:rFonts w:ascii="Book Antiqua" w:eastAsia="Book Antiqua" w:hAnsi="Book Antiqua" w:cs="Book Antiqua"/>
          <w:color w:val="000000"/>
        </w:rPr>
        <w:t>: 352-363 [PMID: 29115151 DOI: 10.1177/1060028017741508]</w:t>
      </w:r>
    </w:p>
    <w:p w14:paraId="6EE12AE5"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lastRenderedPageBreak/>
        <w:t xml:space="preserve">19 </w:t>
      </w:r>
      <w:r w:rsidRPr="0019049A">
        <w:rPr>
          <w:rFonts w:ascii="Book Antiqua" w:eastAsia="Book Antiqua" w:hAnsi="Book Antiqua" w:cs="Book Antiqua"/>
          <w:b/>
          <w:bCs/>
          <w:color w:val="000000"/>
        </w:rPr>
        <w:t>Karaoui LR</w:t>
      </w:r>
      <w:r w:rsidRPr="0019049A">
        <w:rPr>
          <w:rFonts w:ascii="Book Antiqua" w:eastAsia="Book Antiqua" w:hAnsi="Book Antiqua" w:cs="Book Antiqua"/>
          <w:color w:val="000000"/>
        </w:rPr>
        <w:t xml:space="preserve">, Mansour H, Chahine EB. Elbasvir-grazoprevir: A new direct-acting antiviral combination for hepatitis C. </w:t>
      </w:r>
      <w:r w:rsidRPr="0019049A">
        <w:rPr>
          <w:rFonts w:ascii="Book Antiqua" w:eastAsia="Book Antiqua" w:hAnsi="Book Antiqua" w:cs="Book Antiqua"/>
          <w:i/>
          <w:iCs/>
          <w:color w:val="000000"/>
        </w:rPr>
        <w:t>Am J Health Syst Pharm</w:t>
      </w:r>
      <w:r w:rsidRPr="0019049A">
        <w:rPr>
          <w:rFonts w:ascii="Book Antiqua" w:eastAsia="Book Antiqua" w:hAnsi="Book Antiqua" w:cs="Book Antiqua"/>
          <w:color w:val="000000"/>
        </w:rPr>
        <w:t xml:space="preserve"> 2017; </w:t>
      </w:r>
      <w:r w:rsidRPr="0019049A">
        <w:rPr>
          <w:rFonts w:ascii="Book Antiqua" w:eastAsia="Book Antiqua" w:hAnsi="Book Antiqua" w:cs="Book Antiqua"/>
          <w:b/>
          <w:bCs/>
          <w:color w:val="000000"/>
        </w:rPr>
        <w:t>74</w:t>
      </w:r>
      <w:r w:rsidRPr="0019049A">
        <w:rPr>
          <w:rFonts w:ascii="Book Antiqua" w:eastAsia="Book Antiqua" w:hAnsi="Book Antiqua" w:cs="Book Antiqua"/>
          <w:color w:val="000000"/>
        </w:rPr>
        <w:t>: 1533-1540 [PMID: 28947524 DOI: 10.2146/ajhp160558]</w:t>
      </w:r>
    </w:p>
    <w:p w14:paraId="4F378070"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20 </w:t>
      </w:r>
      <w:r w:rsidRPr="0019049A">
        <w:rPr>
          <w:rFonts w:ascii="Book Antiqua" w:eastAsia="Book Antiqua" w:hAnsi="Book Antiqua" w:cs="Book Antiqua"/>
          <w:b/>
          <w:bCs/>
          <w:color w:val="000000"/>
        </w:rPr>
        <w:t>Yao Y</w:t>
      </w:r>
      <w:r w:rsidRPr="0019049A">
        <w:rPr>
          <w:rFonts w:ascii="Book Antiqua" w:eastAsia="Book Antiqua" w:hAnsi="Book Antiqua" w:cs="Book Antiqua"/>
          <w:color w:val="000000"/>
        </w:rPr>
        <w:t xml:space="preserve">, Yue M, Wang J, Chen H, Liu M, Zang F, Li J, Zhang Y, Huang P, Yu R. Grazoprevir and Elbasvir in Patients with Genotype 1 Hepatitis C Virus Infection: A Comprehensive Efficacy and Safety Analysis. </w:t>
      </w:r>
      <w:r w:rsidRPr="0019049A">
        <w:rPr>
          <w:rFonts w:ascii="Book Antiqua" w:eastAsia="Book Antiqua" w:hAnsi="Book Antiqua" w:cs="Book Antiqua"/>
          <w:i/>
          <w:iCs/>
          <w:color w:val="000000"/>
        </w:rPr>
        <w:t>Can J Gastroenterol Hepatol</w:t>
      </w:r>
      <w:r w:rsidRPr="0019049A">
        <w:rPr>
          <w:rFonts w:ascii="Book Antiqua" w:eastAsia="Book Antiqua" w:hAnsi="Book Antiqua" w:cs="Book Antiqua"/>
          <w:color w:val="000000"/>
        </w:rPr>
        <w:t xml:space="preserve"> 2017; </w:t>
      </w:r>
      <w:r w:rsidRPr="0019049A">
        <w:rPr>
          <w:rFonts w:ascii="Book Antiqua" w:eastAsia="Book Antiqua" w:hAnsi="Book Antiqua" w:cs="Book Antiqua"/>
          <w:b/>
          <w:bCs/>
          <w:color w:val="000000"/>
        </w:rPr>
        <w:t>2017</w:t>
      </w:r>
      <w:r w:rsidRPr="0019049A">
        <w:rPr>
          <w:rFonts w:ascii="Book Antiqua" w:eastAsia="Book Antiqua" w:hAnsi="Book Antiqua" w:cs="Book Antiqua"/>
          <w:color w:val="000000"/>
        </w:rPr>
        <w:t>: 8186275 [PMID: 28164081 DOI: 10.1155/2017/8186275]</w:t>
      </w:r>
    </w:p>
    <w:p w14:paraId="1F471C3C"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21</w:t>
      </w:r>
      <w:r w:rsidRPr="0019049A">
        <w:rPr>
          <w:rFonts w:ascii="Book Antiqua" w:eastAsia="Book Antiqua" w:hAnsi="Book Antiqua" w:cs="Book Antiqua"/>
          <w:b/>
          <w:color w:val="000000"/>
        </w:rPr>
        <w:t xml:space="preserve"> European Medicines Agency.</w:t>
      </w:r>
      <w:r w:rsidRPr="0019049A">
        <w:rPr>
          <w:rFonts w:ascii="Book Antiqua" w:eastAsia="Book Antiqua" w:hAnsi="Book Antiqua" w:cs="Book Antiqua"/>
          <w:color w:val="000000"/>
        </w:rPr>
        <w:t xml:space="preserve"> Summary of product characteristics: Zepatier. 2019. Accessed 16 Nov 2021. Available from: https://www.ema.europa.eu/documents/product-information/zepatier-epar-product-information_en.pdf</w:t>
      </w:r>
    </w:p>
    <w:p w14:paraId="0612F195" w14:textId="45470B09"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22</w:t>
      </w:r>
      <w:r w:rsidRPr="0019049A">
        <w:rPr>
          <w:rFonts w:ascii="Book Antiqua" w:eastAsia="Book Antiqua" w:hAnsi="Book Antiqua" w:cs="Book Antiqua"/>
          <w:b/>
          <w:color w:val="000000"/>
        </w:rPr>
        <w:t xml:space="preserve"> US Food and Drug Administration.</w:t>
      </w:r>
      <w:r w:rsidRPr="0019049A">
        <w:rPr>
          <w:rFonts w:ascii="Book Antiqua" w:eastAsia="Book Antiqua" w:hAnsi="Book Antiqua" w:cs="Book Antiqua"/>
          <w:color w:val="000000"/>
        </w:rPr>
        <w:t xml:space="preserve"> Highlights of prescribing information: Zepatier. 2019. Accessed 16 Nov 2021. Available from: https://www.accessdata.fda.gov/drugsatfda_docs/Label/2017/208261s002Lbl.pdf</w:t>
      </w:r>
    </w:p>
    <w:p w14:paraId="1FCA950E" w14:textId="081E4CC2"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23</w:t>
      </w:r>
      <w:r w:rsidRPr="0019049A">
        <w:rPr>
          <w:rFonts w:ascii="Book Antiqua" w:eastAsia="Book Antiqua" w:hAnsi="Book Antiqua" w:cs="Book Antiqua"/>
          <w:b/>
          <w:color w:val="000000"/>
        </w:rPr>
        <w:t xml:space="preserve"> European Medicines Agency.</w:t>
      </w:r>
      <w:r w:rsidRPr="0019049A">
        <w:rPr>
          <w:rFonts w:ascii="Book Antiqua" w:eastAsia="Book Antiqua" w:hAnsi="Book Antiqua" w:cs="Book Antiqua"/>
          <w:color w:val="000000"/>
        </w:rPr>
        <w:t xml:space="preserve"> Summary of product characteristics: Epclusa [in Dutch]. 2019. Accessed 16 Nov 2021. Available from: https://www.ema.europa.eu/documents/product-information/epclusa-epar-product-information_nl.pdf</w:t>
      </w:r>
    </w:p>
    <w:p w14:paraId="39C50F35" w14:textId="17380361"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24</w:t>
      </w:r>
      <w:r w:rsidRPr="0019049A">
        <w:rPr>
          <w:rFonts w:ascii="Book Antiqua" w:eastAsia="Book Antiqua" w:hAnsi="Book Antiqua" w:cs="Book Antiqua"/>
          <w:b/>
          <w:color w:val="000000"/>
        </w:rPr>
        <w:t xml:space="preserve"> US Food and Drug Administration.</w:t>
      </w:r>
      <w:r w:rsidRPr="0019049A">
        <w:rPr>
          <w:rFonts w:ascii="Book Antiqua" w:eastAsia="Book Antiqua" w:hAnsi="Book Antiqua" w:cs="Book Antiqua"/>
          <w:color w:val="000000"/>
        </w:rPr>
        <w:t xml:space="preserve"> Highlights of prescribing information: Epclusa. 2019. Accessed 16 Nov 2021. Available from: https://www.accessdata.fda.gov/drugsatfda_docs/Label/2017/208341s007Lbl.pdf</w:t>
      </w:r>
    </w:p>
    <w:p w14:paraId="57E524EA" w14:textId="5AE66C70"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25</w:t>
      </w:r>
      <w:r w:rsidRPr="0019049A">
        <w:rPr>
          <w:rFonts w:ascii="Book Antiqua" w:eastAsia="Book Antiqua" w:hAnsi="Book Antiqua" w:cs="Book Antiqua"/>
          <w:b/>
          <w:color w:val="000000"/>
        </w:rPr>
        <w:t xml:space="preserve"> European Medicines Agency.</w:t>
      </w:r>
      <w:r w:rsidRPr="0019049A">
        <w:rPr>
          <w:rFonts w:ascii="Book Antiqua" w:eastAsia="Book Antiqua" w:hAnsi="Book Antiqua" w:cs="Book Antiqua"/>
          <w:color w:val="000000"/>
        </w:rPr>
        <w:t xml:space="preserve"> Summary of product characteristics: Maviret 2019. Accessed 16 Nov 2021. Available from: https://www.ema.europa.eu/documents/product-information/maviret-epar-product-information_nl.pdf</w:t>
      </w:r>
    </w:p>
    <w:p w14:paraId="0CC61BD9" w14:textId="54DAFA79"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26</w:t>
      </w:r>
      <w:r w:rsidRPr="0019049A">
        <w:rPr>
          <w:rFonts w:ascii="Book Antiqua" w:eastAsia="Book Antiqua" w:hAnsi="Book Antiqua" w:cs="Book Antiqua"/>
          <w:b/>
          <w:color w:val="000000"/>
        </w:rPr>
        <w:t xml:space="preserve"> US Food and Drug Administration.</w:t>
      </w:r>
      <w:r w:rsidRPr="0019049A">
        <w:rPr>
          <w:rFonts w:ascii="Book Antiqua" w:eastAsia="Book Antiqua" w:hAnsi="Book Antiqua" w:cs="Book Antiqua"/>
          <w:color w:val="000000"/>
        </w:rPr>
        <w:t xml:space="preserve"> Highlights of prescribing information: Maviret. 2019. Accessed 16 Nov 2021. Available from: https://www.accessdata.fda.gov/drugsatfda_docs/Label/2017/209394s000Lbl.pdf</w:t>
      </w:r>
    </w:p>
    <w:p w14:paraId="27270A75"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lastRenderedPageBreak/>
        <w:t>27</w:t>
      </w:r>
      <w:r w:rsidRPr="0019049A">
        <w:rPr>
          <w:rFonts w:ascii="Book Antiqua" w:eastAsia="Book Antiqua" w:hAnsi="Book Antiqua" w:cs="Book Antiqua"/>
          <w:b/>
          <w:color w:val="000000"/>
        </w:rPr>
        <w:t xml:space="preserve"> European Medicines Agency.</w:t>
      </w:r>
      <w:r w:rsidRPr="0019049A">
        <w:rPr>
          <w:rFonts w:ascii="Book Antiqua" w:eastAsia="Book Antiqua" w:hAnsi="Book Antiqua" w:cs="Book Antiqua"/>
          <w:color w:val="000000"/>
        </w:rPr>
        <w:t xml:space="preserve"> Summary of product characteristics: Vosevi. 2019. Accessed 16 Nov 2021. Available from: https://www.ema.europa.eu/documents/product-information/vosevi-epar-product-information_en.pdf</w:t>
      </w:r>
    </w:p>
    <w:p w14:paraId="1FC8EDF1" w14:textId="7FE8F869"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28</w:t>
      </w:r>
      <w:r w:rsidRPr="0019049A">
        <w:rPr>
          <w:rFonts w:ascii="Book Antiqua" w:eastAsia="Book Antiqua" w:hAnsi="Book Antiqua" w:cs="Book Antiqua"/>
          <w:b/>
          <w:color w:val="000000"/>
        </w:rPr>
        <w:t xml:space="preserve"> US Food and Drug Administration.</w:t>
      </w:r>
      <w:r w:rsidRPr="0019049A">
        <w:rPr>
          <w:rFonts w:ascii="Book Antiqua" w:eastAsia="Book Antiqua" w:hAnsi="Book Antiqua" w:cs="Book Antiqua"/>
          <w:color w:val="000000"/>
        </w:rPr>
        <w:t xml:space="preserve"> Highlights of prescribing information: Vosevi. 2019. Accessed 16 Nov 2021. Available from: https://www.accessdata.fda.gov/drugsatfda_docs/Label/2017/209195s000Lbl.pdf</w:t>
      </w:r>
    </w:p>
    <w:p w14:paraId="7A5CFC4E"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29 </w:t>
      </w:r>
      <w:r w:rsidRPr="0019049A">
        <w:rPr>
          <w:rFonts w:ascii="Book Antiqua" w:eastAsia="Book Antiqua" w:hAnsi="Book Antiqua" w:cs="Book Antiqua"/>
          <w:bCs/>
          <w:color w:val="000000"/>
        </w:rPr>
        <w:t>DAAs-chemotherapies drug-drug interactions according to Liverpool Drug Interactions Group,</w:t>
      </w:r>
      <w:r w:rsidRPr="0019049A">
        <w:rPr>
          <w:rFonts w:ascii="Book Antiqua" w:eastAsia="Book Antiqua" w:hAnsi="Book Antiqua" w:cs="Book Antiqua"/>
          <w:color w:val="000000"/>
        </w:rPr>
        <w:t xml:space="preserve"> University of Liverpool, Pharmacology Research Labs, 1st Floor Block H, 70 Pembroke Place, LIVERPOOL, L69 3GF</w:t>
      </w:r>
      <w:r w:rsidRPr="0019049A">
        <w:rPr>
          <w:rFonts w:eastAsia="Book Antiqua"/>
          <w:color w:val="000000"/>
        </w:rPr>
        <w:t>.</w:t>
      </w:r>
      <w:r w:rsidRPr="0019049A">
        <w:rPr>
          <w:rFonts w:ascii="Book Antiqua" w:eastAsia="Book Antiqua" w:hAnsi="Book Antiqua" w:cs="Book Antiqua"/>
          <w:color w:val="000000"/>
        </w:rPr>
        <w:t xml:space="preserve"> Accessed 16 Nov 2021. Available from: https://www.hep-druginteractions.org </w:t>
      </w:r>
    </w:p>
    <w:p w14:paraId="5C4840A8"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30 </w:t>
      </w:r>
      <w:r w:rsidRPr="0019049A">
        <w:rPr>
          <w:rFonts w:ascii="Book Antiqua" w:eastAsia="Book Antiqua" w:hAnsi="Book Antiqua" w:cs="Book Antiqua"/>
          <w:b/>
          <w:bCs/>
          <w:color w:val="000000"/>
        </w:rPr>
        <w:t>Torres HA</w:t>
      </w:r>
      <w:r w:rsidRPr="0019049A">
        <w:rPr>
          <w:rFonts w:ascii="Book Antiqua" w:eastAsia="Book Antiqua" w:hAnsi="Book Antiqua" w:cs="Book Antiqua"/>
          <w:color w:val="000000"/>
        </w:rPr>
        <w:t xml:space="preserve">, Pundhir P, Mallet V. Hepatitis C Virus Infection in Patients With Cancer: Impact on Clinical Trial Enrollment, Selection of Therapy, and Prognosis. </w:t>
      </w:r>
      <w:r w:rsidRPr="0019049A">
        <w:rPr>
          <w:rFonts w:ascii="Book Antiqua" w:eastAsia="Book Antiqua" w:hAnsi="Book Antiqua" w:cs="Book Antiqua"/>
          <w:i/>
          <w:iCs/>
          <w:color w:val="000000"/>
        </w:rPr>
        <w:t>Gastroenterology</w:t>
      </w:r>
      <w:r w:rsidRPr="0019049A">
        <w:rPr>
          <w:rFonts w:ascii="Book Antiqua" w:eastAsia="Book Antiqua" w:hAnsi="Book Antiqua" w:cs="Book Antiqua"/>
          <w:color w:val="000000"/>
        </w:rPr>
        <w:t xml:space="preserve"> 2019; </w:t>
      </w:r>
      <w:r w:rsidRPr="0019049A">
        <w:rPr>
          <w:rFonts w:ascii="Book Antiqua" w:eastAsia="Book Antiqua" w:hAnsi="Book Antiqua" w:cs="Book Antiqua"/>
          <w:b/>
          <w:bCs/>
          <w:color w:val="000000"/>
        </w:rPr>
        <w:t>157</w:t>
      </w:r>
      <w:r w:rsidRPr="0019049A">
        <w:rPr>
          <w:rFonts w:ascii="Book Antiqua" w:eastAsia="Book Antiqua" w:hAnsi="Book Antiqua" w:cs="Book Antiqua"/>
          <w:color w:val="000000"/>
        </w:rPr>
        <w:t>: 909-916 [PMID: 30797794 DOI: 10.1053/j.gastro.2019.01.271]</w:t>
      </w:r>
    </w:p>
    <w:p w14:paraId="5AE564D7"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31 </w:t>
      </w:r>
      <w:r w:rsidRPr="0019049A">
        <w:rPr>
          <w:rFonts w:ascii="Book Antiqua" w:eastAsia="Book Antiqua" w:hAnsi="Book Antiqua" w:cs="Book Antiqua"/>
          <w:b/>
          <w:bCs/>
          <w:color w:val="000000"/>
        </w:rPr>
        <w:t xml:space="preserve">AASLD-IDSA. </w:t>
      </w:r>
      <w:r w:rsidRPr="0019049A">
        <w:rPr>
          <w:rFonts w:ascii="Book Antiqua" w:eastAsia="Book Antiqua" w:hAnsi="Book Antiqua" w:cs="Book Antiqua"/>
          <w:bCs/>
          <w:color w:val="000000"/>
        </w:rPr>
        <w:t>Hcv guidance: recommendations for testing,</w:t>
      </w:r>
      <w:r w:rsidRPr="0019049A">
        <w:rPr>
          <w:rFonts w:ascii="Book Antiqua" w:eastAsia="Book Antiqua" w:hAnsi="Book Antiqua" w:cs="Book Antiqua"/>
          <w:color w:val="000000"/>
        </w:rPr>
        <w:t xml:space="preserve"> managing, and treating hepatitis C. Accessed 16 Nov 2021. Available from: https://www.Hcvguidelines.Org </w:t>
      </w:r>
    </w:p>
    <w:p w14:paraId="2D5A76F4" w14:textId="77777777" w:rsidR="001653FC" w:rsidRPr="0019049A" w:rsidRDefault="001653FC">
      <w:pPr>
        <w:spacing w:line="360" w:lineRule="auto"/>
        <w:jc w:val="both"/>
        <w:rPr>
          <w:rFonts w:ascii="Book Antiqua" w:hAnsi="Book Antiqua"/>
        </w:rPr>
        <w:sectPr w:rsidR="001653FC" w:rsidRPr="0019049A">
          <w:pgSz w:w="12240" w:h="15840"/>
          <w:pgMar w:top="1440" w:right="1440" w:bottom="1440" w:left="1440" w:header="720" w:footer="720" w:gutter="0"/>
          <w:cols w:space="720"/>
          <w:docGrid w:linePitch="360"/>
        </w:sectPr>
      </w:pPr>
    </w:p>
    <w:p w14:paraId="0292493C"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lastRenderedPageBreak/>
        <w:t>Footnotes</w:t>
      </w:r>
    </w:p>
    <w:p w14:paraId="41102710" w14:textId="77777777" w:rsidR="001653FC" w:rsidRPr="0019049A" w:rsidRDefault="008C2E61">
      <w:pPr>
        <w:spacing w:line="360" w:lineRule="auto"/>
        <w:jc w:val="both"/>
        <w:rPr>
          <w:rFonts w:ascii="Book Antiqua" w:eastAsia="Book Antiqua" w:hAnsi="Book Antiqua" w:cs="Book Antiqua"/>
          <w:color w:val="000000"/>
        </w:rPr>
      </w:pPr>
      <w:r w:rsidRPr="0019049A">
        <w:rPr>
          <w:rFonts w:ascii="Book Antiqua" w:eastAsia="Book Antiqua" w:hAnsi="Book Antiqua" w:cs="Book Antiqua"/>
          <w:b/>
          <w:bCs/>
          <w:color w:val="000000"/>
        </w:rPr>
        <w:t xml:space="preserve">Conflict-of-interest statement: </w:t>
      </w:r>
      <w:r w:rsidRPr="0019049A">
        <w:rPr>
          <w:rFonts w:ascii="Book Antiqua" w:eastAsia="Book Antiqua" w:hAnsi="Book Antiqua" w:cs="Book Antiqua"/>
          <w:color w:val="000000"/>
        </w:rPr>
        <w:t>The authors declare that they have no competing interests.</w:t>
      </w:r>
    </w:p>
    <w:p w14:paraId="23B7675C" w14:textId="77777777" w:rsidR="001653FC" w:rsidRPr="0019049A" w:rsidRDefault="001653FC">
      <w:pPr>
        <w:spacing w:line="360" w:lineRule="auto"/>
        <w:jc w:val="both"/>
        <w:rPr>
          <w:rFonts w:ascii="Book Antiqua" w:hAnsi="Book Antiqua"/>
        </w:rPr>
      </w:pPr>
    </w:p>
    <w:p w14:paraId="4E04F708"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bCs/>
          <w:color w:val="000000"/>
        </w:rPr>
        <w:t xml:space="preserve">Open-Access: </w:t>
      </w:r>
      <w:r w:rsidRPr="0019049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85DA1B" w14:textId="77777777" w:rsidR="001653FC" w:rsidRPr="0019049A" w:rsidRDefault="001653FC">
      <w:pPr>
        <w:spacing w:line="360" w:lineRule="auto"/>
        <w:jc w:val="both"/>
        <w:rPr>
          <w:rFonts w:ascii="Book Antiqua" w:hAnsi="Book Antiqua"/>
        </w:rPr>
      </w:pPr>
    </w:p>
    <w:p w14:paraId="3D0CFC60" w14:textId="6326CD33"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t xml:space="preserve">Provenance and peer review: </w:t>
      </w:r>
      <w:r w:rsidRPr="0019049A">
        <w:rPr>
          <w:rFonts w:ascii="Book Antiqua" w:eastAsia="Book Antiqua" w:hAnsi="Book Antiqua" w:cs="Book Antiqua"/>
          <w:color w:val="000000"/>
        </w:rPr>
        <w:t xml:space="preserve">Invited article; </w:t>
      </w:r>
      <w:r w:rsidR="009674FE" w:rsidRPr="009674FE">
        <w:rPr>
          <w:rFonts w:ascii="Book Antiqua" w:eastAsia="Book Antiqua" w:hAnsi="Book Antiqua" w:cs="Book Antiqua" w:hint="eastAsia"/>
          <w:color w:val="000000"/>
        </w:rPr>
        <w:t>E</w:t>
      </w:r>
      <w:r w:rsidRPr="0019049A">
        <w:rPr>
          <w:rFonts w:ascii="Book Antiqua" w:eastAsia="Book Antiqua" w:hAnsi="Book Antiqua" w:cs="Book Antiqua"/>
          <w:color w:val="000000"/>
        </w:rPr>
        <w:t>xternally peer reviewed.</w:t>
      </w:r>
    </w:p>
    <w:p w14:paraId="363ABC0D"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t xml:space="preserve">Peer-review model: </w:t>
      </w:r>
      <w:r w:rsidRPr="0019049A">
        <w:rPr>
          <w:rFonts w:ascii="Book Antiqua" w:eastAsia="Book Antiqua" w:hAnsi="Book Antiqua" w:cs="Book Antiqua"/>
          <w:color w:val="000000"/>
        </w:rPr>
        <w:t>Single blind</w:t>
      </w:r>
    </w:p>
    <w:p w14:paraId="064D1C03" w14:textId="77777777" w:rsidR="001653FC" w:rsidRPr="0019049A" w:rsidRDefault="001653FC">
      <w:pPr>
        <w:spacing w:line="360" w:lineRule="auto"/>
        <w:jc w:val="both"/>
        <w:rPr>
          <w:rFonts w:ascii="Book Antiqua" w:hAnsi="Book Antiqua"/>
        </w:rPr>
      </w:pPr>
    </w:p>
    <w:p w14:paraId="57385809"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t xml:space="preserve">Peer-review started: </w:t>
      </w:r>
      <w:r w:rsidRPr="0019049A">
        <w:rPr>
          <w:rFonts w:ascii="Book Antiqua" w:eastAsia="Book Antiqua" w:hAnsi="Book Antiqua" w:cs="Book Antiqua"/>
          <w:color w:val="000000"/>
        </w:rPr>
        <w:t>November 25, 2021</w:t>
      </w:r>
    </w:p>
    <w:p w14:paraId="27962CE9"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t xml:space="preserve">First decision: </w:t>
      </w:r>
      <w:r w:rsidRPr="0019049A">
        <w:rPr>
          <w:rFonts w:ascii="Book Antiqua" w:eastAsia="Book Antiqua" w:hAnsi="Book Antiqua" w:cs="Book Antiqua"/>
          <w:color w:val="000000"/>
        </w:rPr>
        <w:t>December 27, 2021</w:t>
      </w:r>
    </w:p>
    <w:p w14:paraId="47459FBD"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t xml:space="preserve">Article in press: </w:t>
      </w:r>
      <w:r w:rsidRPr="0019049A">
        <w:rPr>
          <w:rFonts w:ascii="Book Antiqua" w:eastAsia="Book Antiqua" w:hAnsi="Book Antiqua" w:cs="Book Antiqua"/>
          <w:color w:val="000000"/>
        </w:rPr>
        <w:t>February 15, 2022</w:t>
      </w:r>
    </w:p>
    <w:p w14:paraId="550DFF3C" w14:textId="77777777" w:rsidR="001653FC" w:rsidRPr="0019049A" w:rsidRDefault="001653FC">
      <w:pPr>
        <w:spacing w:line="360" w:lineRule="auto"/>
        <w:jc w:val="both"/>
        <w:rPr>
          <w:rFonts w:ascii="Book Antiqua" w:hAnsi="Book Antiqua"/>
        </w:rPr>
      </w:pPr>
    </w:p>
    <w:p w14:paraId="15057804"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t xml:space="preserve">Specialty type: </w:t>
      </w:r>
      <w:r w:rsidRPr="0019049A">
        <w:rPr>
          <w:rFonts w:ascii="Book Antiqua" w:eastAsia="Book Antiqua" w:hAnsi="Book Antiqua" w:cs="Book Antiqua"/>
          <w:color w:val="000000"/>
        </w:rPr>
        <w:t>Infectious diseases</w:t>
      </w:r>
    </w:p>
    <w:p w14:paraId="0DD9F56B"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t xml:space="preserve">Country/Territory of origin: </w:t>
      </w:r>
      <w:r w:rsidRPr="0019049A">
        <w:rPr>
          <w:rFonts w:ascii="Book Antiqua" w:eastAsia="Book Antiqua" w:hAnsi="Book Antiqua" w:cs="Book Antiqua"/>
          <w:color w:val="000000"/>
        </w:rPr>
        <w:t>Italy</w:t>
      </w:r>
    </w:p>
    <w:p w14:paraId="7DA8B3AD"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b/>
          <w:color w:val="000000"/>
        </w:rPr>
        <w:t>Peer-review report’s scientific quality classification</w:t>
      </w:r>
    </w:p>
    <w:p w14:paraId="4C0201B0"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Grade A (Excellent): 0</w:t>
      </w:r>
    </w:p>
    <w:p w14:paraId="040790F0"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Grade B (Very good): 0</w:t>
      </w:r>
    </w:p>
    <w:p w14:paraId="314FEC0E"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Grade C (Good): C</w:t>
      </w:r>
    </w:p>
    <w:p w14:paraId="621F96A5"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Grade D (Fair): D</w:t>
      </w:r>
    </w:p>
    <w:p w14:paraId="70E335AB"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Grade E (Poor): 0</w:t>
      </w:r>
    </w:p>
    <w:p w14:paraId="578ED961" w14:textId="77777777" w:rsidR="001653FC" w:rsidRPr="0019049A" w:rsidRDefault="001653FC">
      <w:pPr>
        <w:spacing w:line="360" w:lineRule="auto"/>
        <w:jc w:val="both"/>
        <w:rPr>
          <w:rFonts w:ascii="Book Antiqua" w:hAnsi="Book Antiqua"/>
        </w:rPr>
      </w:pPr>
    </w:p>
    <w:p w14:paraId="1E364C9C" w14:textId="77777777" w:rsidR="001653FC" w:rsidRPr="0019049A" w:rsidRDefault="008C2E61">
      <w:pPr>
        <w:spacing w:line="360" w:lineRule="auto"/>
        <w:jc w:val="both"/>
        <w:rPr>
          <w:rFonts w:ascii="Book Antiqua" w:eastAsia="Book Antiqua" w:hAnsi="Book Antiqua" w:cs="Book Antiqua"/>
          <w:b/>
          <w:color w:val="000000"/>
        </w:rPr>
      </w:pPr>
      <w:r w:rsidRPr="0019049A">
        <w:rPr>
          <w:rFonts w:ascii="Book Antiqua" w:eastAsia="Book Antiqua" w:hAnsi="Book Antiqua" w:cs="Book Antiqua"/>
          <w:b/>
          <w:color w:val="000000"/>
        </w:rPr>
        <w:t xml:space="preserve">P-Reviewer: </w:t>
      </w:r>
      <w:r w:rsidRPr="0019049A">
        <w:rPr>
          <w:rFonts w:ascii="Book Antiqua" w:eastAsia="Book Antiqua" w:hAnsi="Book Antiqua" w:cs="Book Antiqua"/>
          <w:color w:val="000000"/>
        </w:rPr>
        <w:t>Negro F, Sira AM</w:t>
      </w:r>
      <w:r w:rsidRPr="0019049A">
        <w:rPr>
          <w:rFonts w:ascii="Book Antiqua" w:eastAsia="Book Antiqua" w:hAnsi="Book Antiqua" w:cs="Book Antiqua"/>
          <w:b/>
          <w:color w:val="000000"/>
        </w:rPr>
        <w:t xml:space="preserve"> S-Editor: </w:t>
      </w:r>
      <w:r w:rsidRPr="0019049A">
        <w:rPr>
          <w:rFonts w:ascii="Book Antiqua" w:eastAsia="Book Antiqua" w:hAnsi="Book Antiqua" w:cs="Book Antiqua"/>
          <w:color w:val="000000"/>
        </w:rPr>
        <w:t xml:space="preserve">Liu JH </w:t>
      </w:r>
      <w:r w:rsidRPr="0019049A">
        <w:rPr>
          <w:rFonts w:ascii="Book Antiqua" w:eastAsia="Book Antiqua" w:hAnsi="Book Antiqua" w:cs="Book Antiqua"/>
          <w:b/>
          <w:color w:val="000000"/>
        </w:rPr>
        <w:t xml:space="preserve">L-Editor: </w:t>
      </w:r>
      <w:r w:rsidRPr="0019049A">
        <w:rPr>
          <w:rFonts w:ascii="Book Antiqua" w:eastAsia="Book Antiqua" w:hAnsi="Book Antiqua" w:cs="Book Antiqua"/>
          <w:color w:val="000000"/>
        </w:rPr>
        <w:t>A</w:t>
      </w:r>
      <w:r w:rsidRPr="0019049A">
        <w:rPr>
          <w:rFonts w:ascii="Book Antiqua" w:eastAsia="Book Antiqua" w:hAnsi="Book Antiqua" w:cs="Book Antiqua"/>
          <w:b/>
          <w:color w:val="000000"/>
        </w:rPr>
        <w:t xml:space="preserve"> P-Editor: </w:t>
      </w:r>
      <w:r w:rsidRPr="0019049A">
        <w:rPr>
          <w:rFonts w:ascii="Book Antiqua" w:eastAsia="Book Antiqua" w:hAnsi="Book Antiqua" w:cs="Book Antiqua"/>
          <w:color w:val="000000"/>
        </w:rPr>
        <w:t>Liu JH</w:t>
      </w:r>
      <w:r w:rsidRPr="0019049A">
        <w:rPr>
          <w:rFonts w:ascii="Book Antiqua" w:eastAsia="Book Antiqua" w:hAnsi="Book Antiqua" w:cs="Book Antiqua"/>
          <w:b/>
          <w:color w:val="000000"/>
        </w:rPr>
        <w:t xml:space="preserve"> </w:t>
      </w:r>
    </w:p>
    <w:p w14:paraId="2425C581" w14:textId="77777777" w:rsidR="001653FC" w:rsidRPr="0019049A" w:rsidRDefault="008C2E61">
      <w:pPr>
        <w:spacing w:line="360" w:lineRule="auto"/>
        <w:ind w:left="708" w:hanging="708"/>
        <w:jc w:val="both"/>
        <w:rPr>
          <w:rFonts w:ascii="Book Antiqua" w:eastAsia="Book Antiqua" w:hAnsi="Book Antiqua" w:cs="Book Antiqua"/>
          <w:b/>
          <w:color w:val="000000"/>
        </w:rPr>
      </w:pPr>
      <w:r w:rsidRPr="0019049A">
        <w:rPr>
          <w:rFonts w:ascii="Book Antiqua" w:eastAsia="Book Antiqua" w:hAnsi="Book Antiqua" w:cs="Book Antiqua"/>
          <w:b/>
          <w:color w:val="000000"/>
        </w:rPr>
        <w:br w:type="page"/>
      </w:r>
      <w:r w:rsidRPr="0019049A">
        <w:rPr>
          <w:rFonts w:ascii="Book Antiqua" w:hAnsi="Book Antiqua"/>
          <w:b/>
        </w:rPr>
        <w:lastRenderedPageBreak/>
        <w:t>Figure Legends</w:t>
      </w:r>
    </w:p>
    <w:p w14:paraId="5816AE9E" w14:textId="36E8A6F2" w:rsidR="001653FC" w:rsidRPr="0019049A" w:rsidRDefault="00A868A1">
      <w:pPr>
        <w:spacing w:line="360" w:lineRule="auto"/>
        <w:ind w:left="708" w:hanging="708"/>
        <w:jc w:val="both"/>
        <w:rPr>
          <w:rFonts w:ascii="Book Antiqua" w:eastAsia="Book Antiqua" w:hAnsi="Book Antiqua" w:cs="Book Antiqua"/>
          <w:b/>
          <w:color w:val="000000"/>
        </w:rPr>
      </w:pPr>
      <w:r>
        <w:rPr>
          <w:noProof/>
        </w:rPr>
        <w:drawing>
          <wp:inline distT="0" distB="0" distL="0" distR="0" wp14:anchorId="074DD4D3" wp14:editId="0B898CBB">
            <wp:extent cx="2971800" cy="5029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5029200"/>
                    </a:xfrm>
                    <a:prstGeom prst="rect">
                      <a:avLst/>
                    </a:prstGeom>
                    <a:noFill/>
                    <a:ln>
                      <a:noFill/>
                    </a:ln>
                  </pic:spPr>
                </pic:pic>
              </a:graphicData>
            </a:graphic>
          </wp:inline>
        </w:drawing>
      </w:r>
    </w:p>
    <w:p w14:paraId="7935CB8C" w14:textId="77777777" w:rsidR="001653FC" w:rsidRPr="0019049A" w:rsidRDefault="008C2E61">
      <w:pPr>
        <w:spacing w:line="360" w:lineRule="auto"/>
        <w:jc w:val="both"/>
        <w:rPr>
          <w:rFonts w:ascii="Book Antiqua" w:eastAsia="Book Antiqua" w:hAnsi="Book Antiqua" w:cs="Book Antiqua"/>
          <w:b/>
          <w:color w:val="000000"/>
        </w:rPr>
      </w:pPr>
      <w:r w:rsidRPr="0019049A">
        <w:rPr>
          <w:rFonts w:ascii="Book Antiqua" w:eastAsia="Book Antiqua" w:hAnsi="Book Antiqua" w:cs="Book Antiqua"/>
          <w:b/>
          <w:bCs/>
          <w:color w:val="000000"/>
          <w:lang w:val="en-GB"/>
        </w:rPr>
        <w:t>Figure 1</w:t>
      </w:r>
      <w:r w:rsidRPr="0019049A">
        <w:rPr>
          <w:rFonts w:ascii="Book Antiqua" w:eastAsia="Book Antiqua" w:hAnsi="Book Antiqua" w:cs="Book Antiqua"/>
          <w:b/>
          <w:color w:val="000000"/>
          <w:lang w:val="en-GB"/>
        </w:rPr>
        <w:t xml:space="preserve"> Hepatitis C virus screening flowchart for oncologic patients eligible for chemotherapy. </w:t>
      </w:r>
      <w:r w:rsidRPr="0019049A">
        <w:rPr>
          <w:rFonts w:ascii="Book Antiqua" w:eastAsia="Book Antiqua" w:hAnsi="Book Antiqua" w:cs="Book Antiqua"/>
          <w:color w:val="000000"/>
          <w:lang w:val="en-GB"/>
        </w:rPr>
        <w:t xml:space="preserve">HCV: Hepatitis C virus; DAA: </w:t>
      </w:r>
      <w:r w:rsidRPr="0019049A">
        <w:rPr>
          <w:rFonts w:ascii="Book Antiqua" w:eastAsia="Book Antiqua" w:hAnsi="Book Antiqua" w:cs="Book Antiqua"/>
          <w:color w:val="000000"/>
        </w:rPr>
        <w:t>Direct aging antiviral</w:t>
      </w:r>
      <w:r w:rsidRPr="0019049A">
        <w:rPr>
          <w:rFonts w:ascii="Book Antiqua" w:eastAsia="Book Antiqua" w:hAnsi="Book Antiqua" w:cs="Book Antiqua"/>
          <w:color w:val="000000"/>
          <w:lang w:val="en-GB"/>
        </w:rPr>
        <w:t>.</w:t>
      </w:r>
    </w:p>
    <w:p w14:paraId="1FCEA622" w14:textId="77777777" w:rsidR="001653FC" w:rsidRPr="0019049A" w:rsidRDefault="001653FC">
      <w:pPr>
        <w:spacing w:line="360" w:lineRule="auto"/>
        <w:ind w:left="708" w:hanging="708"/>
        <w:jc w:val="both"/>
        <w:rPr>
          <w:rFonts w:ascii="Book Antiqua" w:eastAsia="Book Antiqua" w:hAnsi="Book Antiqua" w:cs="Book Antiqua"/>
          <w:b/>
          <w:color w:val="000000"/>
        </w:rPr>
      </w:pPr>
    </w:p>
    <w:p w14:paraId="55C82BF5" w14:textId="77777777" w:rsidR="001653FC" w:rsidRPr="0019049A" w:rsidRDefault="008C2E61">
      <w:pPr>
        <w:spacing w:line="360" w:lineRule="auto"/>
        <w:ind w:left="708" w:hanging="708"/>
        <w:jc w:val="both"/>
        <w:rPr>
          <w:rFonts w:ascii="Book Antiqua" w:hAnsi="Book Antiqua"/>
          <w:b/>
        </w:rPr>
      </w:pPr>
      <w:r w:rsidRPr="0019049A">
        <w:rPr>
          <w:rFonts w:ascii="Book Antiqua" w:eastAsia="Book Antiqua" w:hAnsi="Book Antiqua" w:cs="Book Antiqua"/>
          <w:b/>
          <w:color w:val="000000"/>
        </w:rPr>
        <w:br w:type="page"/>
      </w:r>
      <w:r w:rsidRPr="0019049A">
        <w:rPr>
          <w:rFonts w:ascii="Book Antiqua" w:hAnsi="Book Antiqua"/>
          <w:b/>
        </w:rPr>
        <w:lastRenderedPageBreak/>
        <w:t>Table 1 Currently used direct aging antiviral characteristics</w:t>
      </w:r>
    </w:p>
    <w:tbl>
      <w:tblPr>
        <w:tblStyle w:val="ad"/>
        <w:tblW w:w="105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701"/>
        <w:gridCol w:w="1347"/>
        <w:gridCol w:w="1559"/>
        <w:gridCol w:w="1701"/>
        <w:gridCol w:w="1489"/>
        <w:gridCol w:w="1311"/>
      </w:tblGrid>
      <w:tr w:rsidR="001653FC" w:rsidRPr="0019049A" w14:paraId="1BE2AA7F" w14:textId="77777777">
        <w:tc>
          <w:tcPr>
            <w:tcW w:w="1418" w:type="dxa"/>
            <w:tcBorders>
              <w:top w:val="single" w:sz="4" w:space="0" w:color="auto"/>
              <w:bottom w:val="single" w:sz="4" w:space="0" w:color="auto"/>
            </w:tcBorders>
          </w:tcPr>
          <w:p w14:paraId="7B4B4C63" w14:textId="77777777" w:rsidR="001653FC" w:rsidRPr="0019049A" w:rsidRDefault="008C2E61">
            <w:pPr>
              <w:spacing w:line="360" w:lineRule="auto"/>
              <w:jc w:val="both"/>
              <w:rPr>
                <w:rFonts w:ascii="Book Antiqua" w:hAnsi="Book Antiqua"/>
                <w:b/>
              </w:rPr>
            </w:pPr>
            <w:r w:rsidRPr="0019049A">
              <w:rPr>
                <w:rFonts w:ascii="Book Antiqua" w:hAnsi="Book Antiqua"/>
                <w:b/>
              </w:rPr>
              <w:t>Trade name</w:t>
            </w:r>
          </w:p>
        </w:tc>
        <w:tc>
          <w:tcPr>
            <w:tcW w:w="1701" w:type="dxa"/>
            <w:tcBorders>
              <w:top w:val="single" w:sz="4" w:space="0" w:color="auto"/>
              <w:bottom w:val="single" w:sz="4" w:space="0" w:color="auto"/>
            </w:tcBorders>
          </w:tcPr>
          <w:p w14:paraId="12BE71DF" w14:textId="77777777" w:rsidR="001653FC" w:rsidRPr="0019049A" w:rsidRDefault="008C2E61">
            <w:pPr>
              <w:spacing w:line="360" w:lineRule="auto"/>
              <w:jc w:val="both"/>
              <w:rPr>
                <w:rFonts w:ascii="Book Antiqua" w:hAnsi="Book Antiqua"/>
                <w:b/>
              </w:rPr>
            </w:pPr>
            <w:r w:rsidRPr="0019049A">
              <w:rPr>
                <w:rFonts w:ascii="Book Antiqua" w:hAnsi="Book Antiqua"/>
                <w:b/>
              </w:rPr>
              <w:t>Compound</w:t>
            </w:r>
          </w:p>
        </w:tc>
        <w:tc>
          <w:tcPr>
            <w:tcW w:w="1347" w:type="dxa"/>
            <w:tcBorders>
              <w:top w:val="single" w:sz="4" w:space="0" w:color="auto"/>
              <w:bottom w:val="single" w:sz="4" w:space="0" w:color="auto"/>
            </w:tcBorders>
          </w:tcPr>
          <w:p w14:paraId="2F232DE3" w14:textId="77777777" w:rsidR="001653FC" w:rsidRPr="0019049A" w:rsidRDefault="008C2E61">
            <w:pPr>
              <w:spacing w:line="360" w:lineRule="auto"/>
              <w:jc w:val="both"/>
              <w:rPr>
                <w:rFonts w:ascii="Book Antiqua" w:hAnsi="Book Antiqua"/>
                <w:b/>
              </w:rPr>
            </w:pPr>
            <w:r w:rsidRPr="0019049A">
              <w:rPr>
                <w:rFonts w:ascii="Book Antiqua" w:hAnsi="Book Antiqua"/>
                <w:b/>
              </w:rPr>
              <w:t>Year of FDA/EMA approval</w:t>
            </w:r>
          </w:p>
        </w:tc>
        <w:tc>
          <w:tcPr>
            <w:tcW w:w="1559" w:type="dxa"/>
            <w:tcBorders>
              <w:top w:val="single" w:sz="4" w:space="0" w:color="auto"/>
              <w:bottom w:val="single" w:sz="4" w:space="0" w:color="auto"/>
            </w:tcBorders>
          </w:tcPr>
          <w:p w14:paraId="73A427F1" w14:textId="77777777" w:rsidR="001653FC" w:rsidRPr="0019049A" w:rsidRDefault="008C2E61">
            <w:pPr>
              <w:spacing w:line="360" w:lineRule="auto"/>
              <w:jc w:val="both"/>
              <w:rPr>
                <w:rFonts w:ascii="Book Antiqua" w:hAnsi="Book Antiqua"/>
                <w:b/>
              </w:rPr>
            </w:pPr>
            <w:r w:rsidRPr="0019049A">
              <w:rPr>
                <w:rFonts w:ascii="Book Antiqua" w:hAnsi="Book Antiqua"/>
                <w:b/>
              </w:rPr>
              <w:t>Mechanism of action</w:t>
            </w:r>
          </w:p>
        </w:tc>
        <w:tc>
          <w:tcPr>
            <w:tcW w:w="1701" w:type="dxa"/>
            <w:tcBorders>
              <w:top w:val="single" w:sz="4" w:space="0" w:color="auto"/>
              <w:bottom w:val="single" w:sz="4" w:space="0" w:color="auto"/>
            </w:tcBorders>
          </w:tcPr>
          <w:p w14:paraId="7B9D3784" w14:textId="77777777" w:rsidR="001653FC" w:rsidRPr="0019049A" w:rsidRDefault="008C2E61">
            <w:pPr>
              <w:spacing w:line="360" w:lineRule="auto"/>
              <w:jc w:val="both"/>
              <w:rPr>
                <w:rFonts w:ascii="Book Antiqua" w:hAnsi="Book Antiqua"/>
                <w:b/>
              </w:rPr>
            </w:pPr>
            <w:r w:rsidRPr="0019049A">
              <w:rPr>
                <w:rFonts w:ascii="Book Antiqua" w:hAnsi="Book Antiqua"/>
                <w:b/>
              </w:rPr>
              <w:t>Pharmaceutical form</w:t>
            </w:r>
          </w:p>
        </w:tc>
        <w:tc>
          <w:tcPr>
            <w:tcW w:w="1489" w:type="dxa"/>
            <w:tcBorders>
              <w:top w:val="single" w:sz="4" w:space="0" w:color="auto"/>
              <w:bottom w:val="single" w:sz="4" w:space="0" w:color="auto"/>
            </w:tcBorders>
          </w:tcPr>
          <w:p w14:paraId="5967C39B" w14:textId="77777777" w:rsidR="001653FC" w:rsidRPr="0019049A" w:rsidRDefault="008C2E61">
            <w:pPr>
              <w:spacing w:line="360" w:lineRule="auto"/>
              <w:jc w:val="both"/>
              <w:rPr>
                <w:rFonts w:ascii="Book Antiqua" w:hAnsi="Book Antiqua"/>
                <w:b/>
              </w:rPr>
            </w:pPr>
            <w:r w:rsidRPr="0019049A">
              <w:rPr>
                <w:rFonts w:ascii="Book Antiqua" w:hAnsi="Book Antiqua"/>
                <w:b/>
              </w:rPr>
              <w:t>Dose</w:t>
            </w:r>
          </w:p>
        </w:tc>
        <w:tc>
          <w:tcPr>
            <w:tcW w:w="1311" w:type="dxa"/>
            <w:tcBorders>
              <w:top w:val="single" w:sz="4" w:space="0" w:color="auto"/>
              <w:bottom w:val="single" w:sz="4" w:space="0" w:color="auto"/>
            </w:tcBorders>
          </w:tcPr>
          <w:p w14:paraId="7CC7E680" w14:textId="77777777" w:rsidR="001653FC" w:rsidRPr="0019049A" w:rsidRDefault="008C2E61">
            <w:pPr>
              <w:spacing w:line="360" w:lineRule="auto"/>
              <w:jc w:val="both"/>
              <w:rPr>
                <w:rFonts w:ascii="Book Antiqua" w:hAnsi="Book Antiqua"/>
                <w:b/>
              </w:rPr>
            </w:pPr>
            <w:r w:rsidRPr="0019049A">
              <w:rPr>
                <w:rFonts w:ascii="Book Antiqua" w:hAnsi="Book Antiqua"/>
                <w:b/>
              </w:rPr>
              <w:t>Genotypes</w:t>
            </w:r>
          </w:p>
        </w:tc>
      </w:tr>
      <w:tr w:rsidR="001653FC" w:rsidRPr="0019049A" w14:paraId="0D46F080" w14:textId="77777777">
        <w:trPr>
          <w:trHeight w:val="1718"/>
        </w:trPr>
        <w:tc>
          <w:tcPr>
            <w:tcW w:w="1418" w:type="dxa"/>
            <w:tcBorders>
              <w:top w:val="single" w:sz="4" w:space="0" w:color="auto"/>
            </w:tcBorders>
          </w:tcPr>
          <w:p w14:paraId="61B3967D" w14:textId="77777777" w:rsidR="001653FC" w:rsidRPr="0019049A" w:rsidRDefault="008C2E61">
            <w:pPr>
              <w:tabs>
                <w:tab w:val="left" w:pos="775"/>
              </w:tabs>
              <w:spacing w:line="360" w:lineRule="auto"/>
              <w:jc w:val="both"/>
              <w:rPr>
                <w:rFonts w:ascii="Book Antiqua" w:hAnsi="Book Antiqua"/>
              </w:rPr>
            </w:pPr>
            <w:r w:rsidRPr="0019049A">
              <w:rPr>
                <w:rFonts w:ascii="Book Antiqua" w:hAnsi="Book Antiqua"/>
              </w:rPr>
              <w:t>Zepatier</w:t>
            </w:r>
          </w:p>
        </w:tc>
        <w:tc>
          <w:tcPr>
            <w:tcW w:w="1701" w:type="dxa"/>
            <w:tcBorders>
              <w:top w:val="single" w:sz="4" w:space="0" w:color="auto"/>
            </w:tcBorders>
          </w:tcPr>
          <w:p w14:paraId="41A116C5" w14:textId="77777777" w:rsidR="001653FC" w:rsidRPr="0019049A" w:rsidRDefault="008C2E61">
            <w:pPr>
              <w:spacing w:line="360" w:lineRule="auto"/>
              <w:jc w:val="both"/>
              <w:rPr>
                <w:rFonts w:ascii="Book Antiqua" w:hAnsi="Book Antiqua"/>
              </w:rPr>
            </w:pPr>
            <w:r w:rsidRPr="0019049A">
              <w:rPr>
                <w:rFonts w:ascii="Book Antiqua" w:hAnsi="Book Antiqua"/>
              </w:rPr>
              <w:t>Elbasvir/grazoprevir</w:t>
            </w:r>
          </w:p>
        </w:tc>
        <w:tc>
          <w:tcPr>
            <w:tcW w:w="1347" w:type="dxa"/>
            <w:tcBorders>
              <w:top w:val="single" w:sz="4" w:space="0" w:color="auto"/>
            </w:tcBorders>
          </w:tcPr>
          <w:p w14:paraId="5BF369D8" w14:textId="77777777" w:rsidR="001653FC" w:rsidRPr="0019049A" w:rsidRDefault="008C2E61">
            <w:pPr>
              <w:spacing w:line="360" w:lineRule="auto"/>
              <w:jc w:val="both"/>
              <w:rPr>
                <w:rFonts w:ascii="Book Antiqua" w:hAnsi="Book Antiqua"/>
              </w:rPr>
            </w:pPr>
            <w:r w:rsidRPr="0019049A">
              <w:rPr>
                <w:rFonts w:ascii="Book Antiqua" w:hAnsi="Book Antiqua"/>
              </w:rPr>
              <w:t>2016</w:t>
            </w:r>
          </w:p>
        </w:tc>
        <w:tc>
          <w:tcPr>
            <w:tcW w:w="1559" w:type="dxa"/>
            <w:tcBorders>
              <w:top w:val="single" w:sz="4" w:space="0" w:color="auto"/>
            </w:tcBorders>
          </w:tcPr>
          <w:p w14:paraId="24305AFD" w14:textId="77777777" w:rsidR="001653FC" w:rsidRPr="0019049A" w:rsidRDefault="008C2E61">
            <w:pPr>
              <w:spacing w:line="360" w:lineRule="auto"/>
              <w:jc w:val="both"/>
              <w:rPr>
                <w:rFonts w:ascii="Book Antiqua" w:hAnsi="Book Antiqua"/>
              </w:rPr>
            </w:pPr>
            <w:r w:rsidRPr="0019049A">
              <w:rPr>
                <w:rFonts w:ascii="Book Antiqua" w:hAnsi="Book Antiqua"/>
              </w:rPr>
              <w:t>NS5A inhibitor/protease inhibitor</w:t>
            </w:r>
          </w:p>
        </w:tc>
        <w:tc>
          <w:tcPr>
            <w:tcW w:w="1701" w:type="dxa"/>
            <w:tcBorders>
              <w:top w:val="single" w:sz="4" w:space="0" w:color="auto"/>
            </w:tcBorders>
          </w:tcPr>
          <w:p w14:paraId="6E1F5561"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Film-coated tablet</w:t>
            </w:r>
          </w:p>
        </w:tc>
        <w:tc>
          <w:tcPr>
            <w:tcW w:w="1489" w:type="dxa"/>
            <w:tcBorders>
              <w:top w:val="single" w:sz="4" w:space="0" w:color="auto"/>
            </w:tcBorders>
          </w:tcPr>
          <w:p w14:paraId="431B504A"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50 mg/100 mg qd</w:t>
            </w:r>
          </w:p>
        </w:tc>
        <w:tc>
          <w:tcPr>
            <w:tcW w:w="1311" w:type="dxa"/>
            <w:tcBorders>
              <w:top w:val="single" w:sz="4" w:space="0" w:color="auto"/>
            </w:tcBorders>
          </w:tcPr>
          <w:p w14:paraId="09E41003"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1a, 1b, 4</w:t>
            </w:r>
          </w:p>
        </w:tc>
      </w:tr>
      <w:tr w:rsidR="001653FC" w:rsidRPr="0019049A" w14:paraId="39BA77FE" w14:textId="77777777">
        <w:tc>
          <w:tcPr>
            <w:tcW w:w="1418" w:type="dxa"/>
          </w:tcPr>
          <w:p w14:paraId="758514D2" w14:textId="77777777" w:rsidR="001653FC" w:rsidRPr="0019049A" w:rsidRDefault="008C2E61">
            <w:pPr>
              <w:spacing w:line="360" w:lineRule="auto"/>
              <w:jc w:val="both"/>
              <w:rPr>
                <w:rFonts w:ascii="Book Antiqua" w:hAnsi="Book Antiqua"/>
              </w:rPr>
            </w:pPr>
            <w:r w:rsidRPr="0019049A">
              <w:rPr>
                <w:rFonts w:ascii="Book Antiqua" w:hAnsi="Book Antiqua"/>
              </w:rPr>
              <w:t>Epclusa</w:t>
            </w:r>
          </w:p>
        </w:tc>
        <w:tc>
          <w:tcPr>
            <w:tcW w:w="1701" w:type="dxa"/>
          </w:tcPr>
          <w:p w14:paraId="0D7CB095" w14:textId="77777777" w:rsidR="001653FC" w:rsidRPr="0019049A" w:rsidRDefault="008C2E61">
            <w:pPr>
              <w:spacing w:line="360" w:lineRule="auto"/>
              <w:jc w:val="both"/>
              <w:rPr>
                <w:rFonts w:ascii="Book Antiqua" w:hAnsi="Book Antiqua"/>
              </w:rPr>
            </w:pPr>
            <w:r w:rsidRPr="0019049A">
              <w:rPr>
                <w:rFonts w:ascii="Book Antiqua" w:hAnsi="Book Antiqua"/>
              </w:rPr>
              <w:t>Sofosbuvir/velpatasvir</w:t>
            </w:r>
          </w:p>
        </w:tc>
        <w:tc>
          <w:tcPr>
            <w:tcW w:w="1347" w:type="dxa"/>
          </w:tcPr>
          <w:p w14:paraId="038EF403" w14:textId="77777777" w:rsidR="001653FC" w:rsidRPr="0019049A" w:rsidRDefault="008C2E61">
            <w:pPr>
              <w:spacing w:line="360" w:lineRule="auto"/>
              <w:jc w:val="both"/>
              <w:rPr>
                <w:rFonts w:ascii="Book Antiqua" w:hAnsi="Book Antiqua"/>
              </w:rPr>
            </w:pPr>
            <w:r w:rsidRPr="0019049A">
              <w:rPr>
                <w:rFonts w:ascii="Book Antiqua" w:hAnsi="Book Antiqua"/>
              </w:rPr>
              <w:t>2016</w:t>
            </w:r>
          </w:p>
        </w:tc>
        <w:tc>
          <w:tcPr>
            <w:tcW w:w="1559" w:type="dxa"/>
          </w:tcPr>
          <w:p w14:paraId="1E33CD31" w14:textId="77777777" w:rsidR="001653FC" w:rsidRPr="0019049A" w:rsidRDefault="008C2E61">
            <w:pPr>
              <w:spacing w:line="360" w:lineRule="auto"/>
              <w:jc w:val="both"/>
              <w:rPr>
                <w:rFonts w:ascii="Book Antiqua" w:hAnsi="Book Antiqua"/>
              </w:rPr>
            </w:pPr>
            <w:r w:rsidRPr="0019049A">
              <w:rPr>
                <w:rFonts w:ascii="Book Antiqua" w:hAnsi="Book Antiqua"/>
              </w:rPr>
              <w:t>NS5B inhibitor/ NS5A inhibitor</w:t>
            </w:r>
          </w:p>
        </w:tc>
        <w:tc>
          <w:tcPr>
            <w:tcW w:w="1701" w:type="dxa"/>
          </w:tcPr>
          <w:p w14:paraId="445389D2"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Film-coated tablet</w:t>
            </w:r>
          </w:p>
        </w:tc>
        <w:tc>
          <w:tcPr>
            <w:tcW w:w="1489" w:type="dxa"/>
          </w:tcPr>
          <w:p w14:paraId="53DB1FE5"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400 mg/100 mg</w:t>
            </w:r>
          </w:p>
        </w:tc>
        <w:tc>
          <w:tcPr>
            <w:tcW w:w="1311" w:type="dxa"/>
          </w:tcPr>
          <w:p w14:paraId="18636F88"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rPr>
              <w:t>Pangenotypic</w:t>
            </w:r>
          </w:p>
        </w:tc>
      </w:tr>
      <w:tr w:rsidR="001653FC" w:rsidRPr="0019049A" w14:paraId="63CD11DA" w14:textId="77777777">
        <w:tc>
          <w:tcPr>
            <w:tcW w:w="1418" w:type="dxa"/>
          </w:tcPr>
          <w:p w14:paraId="419A1EF8" w14:textId="77777777" w:rsidR="001653FC" w:rsidRPr="0019049A" w:rsidRDefault="008C2E61">
            <w:pPr>
              <w:spacing w:line="360" w:lineRule="auto"/>
              <w:jc w:val="both"/>
              <w:rPr>
                <w:rFonts w:ascii="Book Antiqua" w:hAnsi="Book Antiqua"/>
              </w:rPr>
            </w:pPr>
            <w:r w:rsidRPr="0019049A">
              <w:rPr>
                <w:rFonts w:ascii="Book Antiqua" w:hAnsi="Book Antiqua"/>
              </w:rPr>
              <w:t>Maviret</w:t>
            </w:r>
          </w:p>
        </w:tc>
        <w:tc>
          <w:tcPr>
            <w:tcW w:w="1701" w:type="dxa"/>
          </w:tcPr>
          <w:p w14:paraId="50A2E5D0" w14:textId="77777777" w:rsidR="001653FC" w:rsidRPr="0019049A" w:rsidRDefault="008C2E61">
            <w:pPr>
              <w:spacing w:line="360" w:lineRule="auto"/>
              <w:jc w:val="both"/>
              <w:rPr>
                <w:rFonts w:ascii="Book Antiqua" w:hAnsi="Book Antiqua"/>
              </w:rPr>
            </w:pPr>
            <w:r w:rsidRPr="0019049A">
              <w:rPr>
                <w:rFonts w:ascii="Book Antiqua" w:hAnsi="Book Antiqua"/>
              </w:rPr>
              <w:t>Glecaprevir/pibrentasvir</w:t>
            </w:r>
          </w:p>
        </w:tc>
        <w:tc>
          <w:tcPr>
            <w:tcW w:w="1347" w:type="dxa"/>
          </w:tcPr>
          <w:p w14:paraId="14572E9D" w14:textId="77777777" w:rsidR="001653FC" w:rsidRPr="0019049A" w:rsidRDefault="008C2E61">
            <w:pPr>
              <w:spacing w:line="360" w:lineRule="auto"/>
              <w:jc w:val="both"/>
              <w:rPr>
                <w:rFonts w:ascii="Book Antiqua" w:hAnsi="Book Antiqua"/>
              </w:rPr>
            </w:pPr>
            <w:r w:rsidRPr="0019049A">
              <w:rPr>
                <w:rFonts w:ascii="Book Antiqua" w:hAnsi="Book Antiqua"/>
              </w:rPr>
              <w:t>2017</w:t>
            </w:r>
          </w:p>
        </w:tc>
        <w:tc>
          <w:tcPr>
            <w:tcW w:w="1559" w:type="dxa"/>
          </w:tcPr>
          <w:p w14:paraId="6FA3EC8A" w14:textId="77777777" w:rsidR="001653FC" w:rsidRPr="0019049A" w:rsidRDefault="008C2E61">
            <w:pPr>
              <w:spacing w:line="360" w:lineRule="auto"/>
              <w:jc w:val="both"/>
              <w:rPr>
                <w:rFonts w:ascii="Book Antiqua" w:hAnsi="Book Antiqua"/>
              </w:rPr>
            </w:pPr>
            <w:r w:rsidRPr="0019049A">
              <w:rPr>
                <w:rFonts w:ascii="Book Antiqua" w:hAnsi="Book Antiqua"/>
              </w:rPr>
              <w:t>Protease inhibitor/NS5A inhibitor</w:t>
            </w:r>
          </w:p>
        </w:tc>
        <w:tc>
          <w:tcPr>
            <w:tcW w:w="1701" w:type="dxa"/>
          </w:tcPr>
          <w:p w14:paraId="7EB64A1D"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Film-coated tablet</w:t>
            </w:r>
          </w:p>
        </w:tc>
        <w:tc>
          <w:tcPr>
            <w:tcW w:w="1489" w:type="dxa"/>
          </w:tcPr>
          <w:p w14:paraId="32462E9A"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100 mg/40 mg qd</w:t>
            </w:r>
          </w:p>
        </w:tc>
        <w:tc>
          <w:tcPr>
            <w:tcW w:w="1311" w:type="dxa"/>
          </w:tcPr>
          <w:p w14:paraId="49768B5C"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rPr>
              <w:t>Pangenotypic</w:t>
            </w:r>
          </w:p>
        </w:tc>
      </w:tr>
      <w:tr w:rsidR="001653FC" w:rsidRPr="0019049A" w14:paraId="75C842E9" w14:textId="77777777">
        <w:tc>
          <w:tcPr>
            <w:tcW w:w="1418" w:type="dxa"/>
          </w:tcPr>
          <w:p w14:paraId="4D32B255" w14:textId="77777777" w:rsidR="001653FC" w:rsidRPr="0019049A" w:rsidRDefault="008C2E61">
            <w:pPr>
              <w:spacing w:line="360" w:lineRule="auto"/>
              <w:jc w:val="both"/>
              <w:rPr>
                <w:rFonts w:ascii="Book Antiqua" w:hAnsi="Book Antiqua"/>
              </w:rPr>
            </w:pPr>
            <w:r w:rsidRPr="0019049A">
              <w:rPr>
                <w:rFonts w:ascii="Book Antiqua" w:hAnsi="Book Antiqua"/>
              </w:rPr>
              <w:t>Vosevi</w:t>
            </w:r>
          </w:p>
        </w:tc>
        <w:tc>
          <w:tcPr>
            <w:tcW w:w="1701" w:type="dxa"/>
          </w:tcPr>
          <w:p w14:paraId="2CF0546D" w14:textId="77777777" w:rsidR="001653FC" w:rsidRPr="0019049A" w:rsidRDefault="008C2E61">
            <w:pPr>
              <w:spacing w:line="360" w:lineRule="auto"/>
              <w:jc w:val="both"/>
              <w:rPr>
                <w:rFonts w:ascii="Book Antiqua" w:hAnsi="Book Antiqua"/>
              </w:rPr>
            </w:pPr>
            <w:r w:rsidRPr="0019049A">
              <w:rPr>
                <w:rFonts w:ascii="Book Antiqua" w:hAnsi="Book Antiqua"/>
              </w:rPr>
              <w:t>Sofosbuvir/velpatasvir/voxilaprevir</w:t>
            </w:r>
          </w:p>
        </w:tc>
        <w:tc>
          <w:tcPr>
            <w:tcW w:w="1347" w:type="dxa"/>
          </w:tcPr>
          <w:p w14:paraId="1AE3A281" w14:textId="77777777" w:rsidR="001653FC" w:rsidRPr="0019049A" w:rsidRDefault="008C2E61">
            <w:pPr>
              <w:spacing w:line="360" w:lineRule="auto"/>
              <w:jc w:val="both"/>
              <w:rPr>
                <w:rFonts w:ascii="Book Antiqua" w:hAnsi="Book Antiqua"/>
              </w:rPr>
            </w:pPr>
            <w:r w:rsidRPr="0019049A">
              <w:rPr>
                <w:rFonts w:ascii="Book Antiqua" w:hAnsi="Book Antiqua"/>
              </w:rPr>
              <w:t>2018/2017</w:t>
            </w:r>
          </w:p>
        </w:tc>
        <w:tc>
          <w:tcPr>
            <w:tcW w:w="1559" w:type="dxa"/>
          </w:tcPr>
          <w:p w14:paraId="29DDFE97" w14:textId="77777777" w:rsidR="001653FC" w:rsidRPr="0019049A" w:rsidRDefault="008C2E61">
            <w:pPr>
              <w:spacing w:line="360" w:lineRule="auto"/>
              <w:jc w:val="both"/>
              <w:rPr>
                <w:rFonts w:ascii="Book Antiqua" w:hAnsi="Book Antiqua"/>
              </w:rPr>
            </w:pPr>
            <w:r w:rsidRPr="0019049A">
              <w:rPr>
                <w:rFonts w:ascii="Book Antiqua" w:hAnsi="Book Antiqua"/>
              </w:rPr>
              <w:t>NS5B inhibitor /NS5A inhibitor/protease inhibitor</w:t>
            </w:r>
          </w:p>
        </w:tc>
        <w:tc>
          <w:tcPr>
            <w:tcW w:w="1701" w:type="dxa"/>
          </w:tcPr>
          <w:p w14:paraId="447CA486"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Film-coated tablet</w:t>
            </w:r>
          </w:p>
        </w:tc>
        <w:tc>
          <w:tcPr>
            <w:tcW w:w="1489" w:type="dxa"/>
          </w:tcPr>
          <w:p w14:paraId="7CC06EF6"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400 mg/100 mg/100 mg</w:t>
            </w:r>
          </w:p>
        </w:tc>
        <w:tc>
          <w:tcPr>
            <w:tcW w:w="1311" w:type="dxa"/>
          </w:tcPr>
          <w:p w14:paraId="7D6DBBBD"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rPr>
              <w:t>Pangenotypic</w:t>
            </w:r>
          </w:p>
        </w:tc>
      </w:tr>
    </w:tbl>
    <w:p w14:paraId="1EBBCB39" w14:textId="77777777" w:rsidR="001653FC" w:rsidRPr="0019049A" w:rsidRDefault="008C2E61">
      <w:pPr>
        <w:spacing w:line="360" w:lineRule="auto"/>
        <w:jc w:val="both"/>
        <w:rPr>
          <w:rFonts w:ascii="Book Antiqua" w:hAnsi="Book Antiqua"/>
        </w:rPr>
      </w:pPr>
      <w:r w:rsidRPr="0019049A">
        <w:rPr>
          <w:rFonts w:ascii="Book Antiqua" w:eastAsia="Book Antiqua" w:hAnsi="Book Antiqua" w:cs="Book Antiqua"/>
          <w:color w:val="000000"/>
        </w:rPr>
        <w:t xml:space="preserve">DAA: Direct aging antiviral; </w:t>
      </w:r>
      <w:r w:rsidRPr="0019049A">
        <w:rPr>
          <w:rFonts w:ascii="Book Antiqua" w:hAnsi="Book Antiqua"/>
        </w:rPr>
        <w:t xml:space="preserve">FDA: Food and drug administration; EMA: </w:t>
      </w:r>
      <w:r w:rsidRPr="0019049A">
        <w:rPr>
          <w:rFonts w:ascii="Book Antiqua" w:eastAsia="Book Antiqua" w:hAnsi="Book Antiqua" w:cs="Book Antiqua"/>
          <w:iCs/>
          <w:color w:val="000000"/>
        </w:rPr>
        <w:t>European Medicines Agency.</w:t>
      </w:r>
    </w:p>
    <w:p w14:paraId="257016CF" w14:textId="77777777" w:rsidR="001653FC" w:rsidRPr="0019049A" w:rsidRDefault="001653FC">
      <w:pPr>
        <w:spacing w:line="360" w:lineRule="auto"/>
        <w:jc w:val="both"/>
        <w:rPr>
          <w:rFonts w:ascii="Book Antiqua" w:hAnsi="Book Antiqua"/>
        </w:rPr>
      </w:pPr>
    </w:p>
    <w:p w14:paraId="5827D984" w14:textId="77777777" w:rsidR="001653FC" w:rsidRPr="0019049A" w:rsidRDefault="001653FC">
      <w:pPr>
        <w:spacing w:line="360" w:lineRule="auto"/>
        <w:jc w:val="both"/>
        <w:rPr>
          <w:rFonts w:ascii="Book Antiqua" w:hAnsi="Book Antiqua"/>
        </w:rPr>
      </w:pPr>
    </w:p>
    <w:p w14:paraId="0BD08063" w14:textId="77777777" w:rsidR="001653FC" w:rsidRPr="0019049A" w:rsidRDefault="008C2E61">
      <w:pPr>
        <w:spacing w:line="360" w:lineRule="auto"/>
        <w:ind w:left="708" w:hanging="708"/>
        <w:jc w:val="both"/>
        <w:rPr>
          <w:rFonts w:ascii="Book Antiqua" w:hAnsi="Book Antiqua"/>
        </w:rPr>
      </w:pPr>
      <w:r w:rsidRPr="0019049A">
        <w:rPr>
          <w:rFonts w:ascii="Book Antiqua" w:hAnsi="Book Antiqua"/>
        </w:rPr>
        <w:br w:type="page"/>
      </w:r>
      <w:r w:rsidRPr="0019049A">
        <w:rPr>
          <w:rFonts w:ascii="Book Antiqua" w:hAnsi="Book Antiqua"/>
          <w:b/>
        </w:rPr>
        <w:lastRenderedPageBreak/>
        <w:t>Table 2</w:t>
      </w:r>
      <w:r w:rsidRPr="0019049A">
        <w:rPr>
          <w:rFonts w:ascii="Book Antiqua" w:hAnsi="Book Antiqua"/>
        </w:rPr>
        <w:t xml:space="preserve"> </w:t>
      </w:r>
      <w:r w:rsidRPr="0019049A">
        <w:rPr>
          <w:rFonts w:ascii="Book Antiqua" w:hAnsi="Book Antiqua"/>
          <w:b/>
        </w:rPr>
        <w:t>Pharmacokinetics of currently used direct aging antivirals</w:t>
      </w:r>
    </w:p>
    <w:tbl>
      <w:tblPr>
        <w:tblStyle w:val="ad"/>
        <w:tblW w:w="9879" w:type="dxa"/>
        <w:tblInd w:w="-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313"/>
        <w:gridCol w:w="813"/>
        <w:gridCol w:w="851"/>
        <w:gridCol w:w="850"/>
        <w:gridCol w:w="1134"/>
        <w:gridCol w:w="780"/>
        <w:gridCol w:w="1063"/>
        <w:gridCol w:w="1210"/>
        <w:gridCol w:w="1014"/>
      </w:tblGrid>
      <w:tr w:rsidR="001653FC" w:rsidRPr="0019049A" w14:paraId="398AB14E" w14:textId="77777777">
        <w:tc>
          <w:tcPr>
            <w:tcW w:w="2164" w:type="dxa"/>
            <w:gridSpan w:val="2"/>
            <w:tcBorders>
              <w:top w:val="single" w:sz="4" w:space="0" w:color="auto"/>
              <w:bottom w:val="single" w:sz="4" w:space="0" w:color="auto"/>
            </w:tcBorders>
          </w:tcPr>
          <w:p w14:paraId="58DA0ADD" w14:textId="77777777" w:rsidR="001653FC" w:rsidRPr="0019049A" w:rsidRDefault="008C2E61">
            <w:pPr>
              <w:spacing w:line="360" w:lineRule="auto"/>
              <w:jc w:val="both"/>
              <w:rPr>
                <w:rFonts w:ascii="Book Antiqua" w:hAnsi="Book Antiqua"/>
                <w:b/>
              </w:rPr>
            </w:pPr>
            <w:r w:rsidRPr="0019049A">
              <w:rPr>
                <w:rFonts w:ascii="Book Antiqua" w:hAnsi="Book Antiqua"/>
                <w:b/>
              </w:rPr>
              <w:t>DAAs</w:t>
            </w:r>
          </w:p>
        </w:tc>
        <w:tc>
          <w:tcPr>
            <w:tcW w:w="3648" w:type="dxa"/>
            <w:gridSpan w:val="4"/>
            <w:tcBorders>
              <w:top w:val="single" w:sz="4" w:space="0" w:color="auto"/>
              <w:bottom w:val="single" w:sz="4" w:space="0" w:color="auto"/>
            </w:tcBorders>
          </w:tcPr>
          <w:p w14:paraId="3FDFA344" w14:textId="77777777" w:rsidR="001653FC" w:rsidRPr="0019049A" w:rsidRDefault="008C2E61">
            <w:pPr>
              <w:spacing w:line="360" w:lineRule="auto"/>
              <w:jc w:val="both"/>
              <w:rPr>
                <w:rFonts w:ascii="Book Antiqua" w:hAnsi="Book Antiqua"/>
                <w:b/>
              </w:rPr>
            </w:pPr>
            <w:r w:rsidRPr="0019049A">
              <w:rPr>
                <w:rFonts w:ascii="Book Antiqua" w:hAnsi="Book Antiqua"/>
                <w:b/>
              </w:rPr>
              <w:t>Absorption</w:t>
            </w:r>
          </w:p>
        </w:tc>
        <w:tc>
          <w:tcPr>
            <w:tcW w:w="1843" w:type="dxa"/>
            <w:gridSpan w:val="2"/>
            <w:tcBorders>
              <w:top w:val="single" w:sz="4" w:space="0" w:color="auto"/>
              <w:bottom w:val="single" w:sz="4" w:space="0" w:color="auto"/>
            </w:tcBorders>
          </w:tcPr>
          <w:p w14:paraId="01873F86" w14:textId="77777777" w:rsidR="001653FC" w:rsidRPr="0019049A" w:rsidRDefault="008C2E61">
            <w:pPr>
              <w:spacing w:line="360" w:lineRule="auto"/>
              <w:jc w:val="both"/>
              <w:rPr>
                <w:rFonts w:ascii="Book Antiqua" w:hAnsi="Book Antiqua"/>
                <w:b/>
              </w:rPr>
            </w:pPr>
            <w:r w:rsidRPr="0019049A">
              <w:rPr>
                <w:rFonts w:ascii="Book Antiqua" w:hAnsi="Book Antiqua"/>
                <w:b/>
              </w:rPr>
              <w:t>Distribution</w:t>
            </w:r>
          </w:p>
        </w:tc>
        <w:tc>
          <w:tcPr>
            <w:tcW w:w="1210" w:type="dxa"/>
            <w:tcBorders>
              <w:top w:val="single" w:sz="4" w:space="0" w:color="auto"/>
              <w:bottom w:val="single" w:sz="4" w:space="0" w:color="auto"/>
            </w:tcBorders>
          </w:tcPr>
          <w:p w14:paraId="3C9CA6A9" w14:textId="77777777" w:rsidR="001653FC" w:rsidRPr="0019049A" w:rsidRDefault="008C2E61">
            <w:pPr>
              <w:spacing w:line="360" w:lineRule="auto"/>
              <w:jc w:val="both"/>
              <w:rPr>
                <w:rFonts w:ascii="Book Antiqua" w:hAnsi="Book Antiqua"/>
                <w:b/>
              </w:rPr>
            </w:pPr>
            <w:r w:rsidRPr="0019049A">
              <w:rPr>
                <w:rFonts w:ascii="Book Antiqua" w:hAnsi="Book Antiqua"/>
                <w:b/>
              </w:rPr>
              <w:t>Metabolism</w:t>
            </w:r>
          </w:p>
        </w:tc>
        <w:tc>
          <w:tcPr>
            <w:tcW w:w="1014" w:type="dxa"/>
            <w:tcBorders>
              <w:top w:val="single" w:sz="4" w:space="0" w:color="auto"/>
              <w:bottom w:val="single" w:sz="4" w:space="0" w:color="auto"/>
            </w:tcBorders>
          </w:tcPr>
          <w:p w14:paraId="60B276F6" w14:textId="77777777" w:rsidR="001653FC" w:rsidRPr="0019049A" w:rsidRDefault="008C2E61">
            <w:pPr>
              <w:spacing w:line="360" w:lineRule="auto"/>
              <w:jc w:val="both"/>
              <w:rPr>
                <w:rFonts w:ascii="Book Antiqua" w:hAnsi="Book Antiqua"/>
                <w:b/>
              </w:rPr>
            </w:pPr>
            <w:r w:rsidRPr="0019049A">
              <w:rPr>
                <w:rFonts w:ascii="Book Antiqua" w:hAnsi="Book Antiqua"/>
                <w:b/>
              </w:rPr>
              <w:t>Excretion</w:t>
            </w:r>
          </w:p>
        </w:tc>
      </w:tr>
      <w:tr w:rsidR="001653FC" w:rsidRPr="0019049A" w14:paraId="139C4FFB" w14:textId="77777777">
        <w:trPr>
          <w:trHeight w:val="1201"/>
        </w:trPr>
        <w:tc>
          <w:tcPr>
            <w:tcW w:w="851" w:type="dxa"/>
            <w:tcBorders>
              <w:top w:val="single" w:sz="4" w:space="0" w:color="auto"/>
            </w:tcBorders>
          </w:tcPr>
          <w:p w14:paraId="18C0D36E" w14:textId="77777777" w:rsidR="001653FC" w:rsidRPr="0019049A" w:rsidRDefault="008C2E61">
            <w:pPr>
              <w:spacing w:line="360" w:lineRule="auto"/>
              <w:jc w:val="both"/>
              <w:rPr>
                <w:rFonts w:ascii="Book Antiqua" w:hAnsi="Book Antiqua"/>
              </w:rPr>
            </w:pPr>
            <w:r w:rsidRPr="0019049A">
              <w:rPr>
                <w:rFonts w:ascii="Book Antiqua" w:hAnsi="Book Antiqua"/>
              </w:rPr>
              <w:t>Trade</w:t>
            </w:r>
          </w:p>
          <w:p w14:paraId="387BF17D" w14:textId="77777777" w:rsidR="001653FC" w:rsidRPr="0019049A" w:rsidRDefault="008C2E61">
            <w:pPr>
              <w:spacing w:line="360" w:lineRule="auto"/>
              <w:jc w:val="both"/>
              <w:rPr>
                <w:rFonts w:ascii="Book Antiqua" w:hAnsi="Book Antiqua"/>
              </w:rPr>
            </w:pPr>
            <w:r w:rsidRPr="0019049A">
              <w:rPr>
                <w:rFonts w:ascii="Book Antiqua" w:hAnsi="Book Antiqua"/>
              </w:rPr>
              <w:t>name</w:t>
            </w:r>
          </w:p>
        </w:tc>
        <w:tc>
          <w:tcPr>
            <w:tcW w:w="1313" w:type="dxa"/>
            <w:tcBorders>
              <w:top w:val="single" w:sz="4" w:space="0" w:color="auto"/>
            </w:tcBorders>
          </w:tcPr>
          <w:p w14:paraId="05EC09AD" w14:textId="77777777" w:rsidR="001653FC" w:rsidRPr="0019049A" w:rsidRDefault="008C2E61">
            <w:pPr>
              <w:spacing w:line="360" w:lineRule="auto"/>
              <w:jc w:val="both"/>
              <w:rPr>
                <w:rFonts w:ascii="Book Antiqua" w:hAnsi="Book Antiqua"/>
              </w:rPr>
            </w:pPr>
            <w:r w:rsidRPr="0019049A">
              <w:rPr>
                <w:rFonts w:ascii="Book Antiqua" w:hAnsi="Book Antiqua"/>
              </w:rPr>
              <w:t>Compound</w:t>
            </w:r>
          </w:p>
        </w:tc>
        <w:tc>
          <w:tcPr>
            <w:tcW w:w="813" w:type="dxa"/>
            <w:tcBorders>
              <w:top w:val="single" w:sz="4" w:space="0" w:color="auto"/>
            </w:tcBorders>
          </w:tcPr>
          <w:p w14:paraId="4B3BED57" w14:textId="77777777" w:rsidR="001653FC" w:rsidRPr="0019049A" w:rsidRDefault="008C2E61">
            <w:pPr>
              <w:spacing w:line="360" w:lineRule="auto"/>
              <w:jc w:val="both"/>
              <w:rPr>
                <w:rFonts w:ascii="Book Antiqua" w:hAnsi="Book Antiqua"/>
                <w:i/>
              </w:rPr>
            </w:pPr>
            <w:r w:rsidRPr="0019049A">
              <w:rPr>
                <w:rFonts w:ascii="Book Antiqua" w:hAnsi="Book Antiqua"/>
                <w:i/>
              </w:rPr>
              <w:t>Tmax</w:t>
            </w:r>
            <w:r w:rsidRPr="0019049A">
              <w:rPr>
                <w:rFonts w:ascii="Book Antiqua" w:hAnsi="Book Antiqua" w:hint="eastAsia"/>
                <w:i/>
                <w:lang w:eastAsia="zh-CN"/>
              </w:rPr>
              <w:t xml:space="preserve"> </w:t>
            </w:r>
            <w:r w:rsidRPr="0019049A">
              <w:rPr>
                <w:rFonts w:ascii="Book Antiqua" w:hAnsi="Book Antiqua"/>
              </w:rPr>
              <w:t>(h)</w:t>
            </w:r>
          </w:p>
        </w:tc>
        <w:tc>
          <w:tcPr>
            <w:tcW w:w="851" w:type="dxa"/>
            <w:tcBorders>
              <w:top w:val="single" w:sz="4" w:space="0" w:color="auto"/>
            </w:tcBorders>
          </w:tcPr>
          <w:p w14:paraId="550D04FC" w14:textId="77777777" w:rsidR="001653FC" w:rsidRPr="0019049A" w:rsidRDefault="008C2E61">
            <w:pPr>
              <w:spacing w:line="360" w:lineRule="auto"/>
              <w:ind w:left="120" w:hangingChars="50" w:hanging="120"/>
              <w:jc w:val="both"/>
              <w:rPr>
                <w:rFonts w:ascii="Book Antiqua" w:hAnsi="Book Antiqua"/>
                <w:i/>
              </w:rPr>
            </w:pPr>
            <w:r w:rsidRPr="0019049A">
              <w:rPr>
                <w:rFonts w:ascii="Book Antiqua" w:hAnsi="Book Antiqua"/>
                <w:i/>
              </w:rPr>
              <w:t>Cmax</w:t>
            </w:r>
            <w:r w:rsidRPr="0019049A">
              <w:rPr>
                <w:rFonts w:ascii="Book Antiqua" w:hAnsi="Book Antiqua" w:hint="eastAsia"/>
                <w:i/>
                <w:lang w:eastAsia="zh-CN"/>
              </w:rPr>
              <w:t xml:space="preserve"> </w:t>
            </w:r>
            <w:r w:rsidRPr="0019049A">
              <w:rPr>
                <w:rFonts w:ascii="Book Antiqua" w:hAnsi="Book Antiqua"/>
              </w:rPr>
              <w:t>(ng/mL)</w:t>
            </w:r>
          </w:p>
        </w:tc>
        <w:tc>
          <w:tcPr>
            <w:tcW w:w="850" w:type="dxa"/>
            <w:tcBorders>
              <w:top w:val="single" w:sz="4" w:space="0" w:color="auto"/>
            </w:tcBorders>
          </w:tcPr>
          <w:p w14:paraId="6F852457" w14:textId="77777777" w:rsidR="001653FC" w:rsidRPr="0019049A" w:rsidRDefault="008C2E61">
            <w:pPr>
              <w:spacing w:line="360" w:lineRule="auto"/>
              <w:jc w:val="both"/>
              <w:rPr>
                <w:rFonts w:ascii="Book Antiqua" w:hAnsi="Book Antiqua"/>
                <w:i/>
              </w:rPr>
            </w:pPr>
            <w:r w:rsidRPr="0019049A">
              <w:rPr>
                <w:rFonts w:ascii="Book Antiqua" w:hAnsi="Book Antiqua"/>
                <w:i/>
              </w:rPr>
              <w:t>Cmin</w:t>
            </w:r>
            <w:r w:rsidRPr="0019049A">
              <w:rPr>
                <w:rFonts w:ascii="Book Antiqua" w:hAnsi="Book Antiqua" w:hint="eastAsia"/>
                <w:i/>
                <w:lang w:eastAsia="zh-CN"/>
              </w:rPr>
              <w:t xml:space="preserve"> </w:t>
            </w:r>
            <w:r w:rsidRPr="0019049A">
              <w:rPr>
                <w:rFonts w:ascii="Book Antiqua" w:hAnsi="Book Antiqua"/>
              </w:rPr>
              <w:t xml:space="preserve">(ng/mL) </w:t>
            </w:r>
          </w:p>
        </w:tc>
        <w:tc>
          <w:tcPr>
            <w:tcW w:w="1134" w:type="dxa"/>
            <w:tcBorders>
              <w:top w:val="single" w:sz="4" w:space="0" w:color="auto"/>
            </w:tcBorders>
          </w:tcPr>
          <w:p w14:paraId="61D013EA" w14:textId="77777777" w:rsidR="001653FC" w:rsidRPr="0019049A" w:rsidRDefault="008C2E61">
            <w:pPr>
              <w:spacing w:line="360" w:lineRule="auto"/>
              <w:jc w:val="both"/>
              <w:rPr>
                <w:rFonts w:ascii="Book Antiqua" w:hAnsi="Book Antiqua"/>
              </w:rPr>
            </w:pPr>
            <w:r w:rsidRPr="0019049A">
              <w:rPr>
                <w:rFonts w:ascii="Book Antiqua" w:hAnsi="Book Antiqua"/>
              </w:rPr>
              <w:t>AUC</w:t>
            </w:r>
            <w:r w:rsidRPr="0019049A">
              <w:rPr>
                <w:rFonts w:ascii="Book Antiqua" w:hAnsi="Book Antiqua" w:hint="eastAsia"/>
                <w:lang w:eastAsia="zh-CN"/>
              </w:rPr>
              <w:t xml:space="preserve"> </w:t>
            </w:r>
            <w:r w:rsidRPr="0019049A">
              <w:rPr>
                <w:rFonts w:ascii="Book Antiqua" w:hAnsi="Book Antiqua" w:cs="Times"/>
                <w:color w:val="000000"/>
              </w:rPr>
              <w:t>(ng</w:t>
            </w:r>
            <w:r w:rsidRPr="0019049A">
              <w:rPr>
                <w:rFonts w:ascii="Book Antiqua" w:eastAsia="Calibri" w:hAnsi="Book Antiqua" w:cs="Calibri"/>
                <w:color w:val="000000"/>
              </w:rPr>
              <w:t>∙</w:t>
            </w:r>
            <w:r w:rsidRPr="0019049A">
              <w:rPr>
                <w:rFonts w:ascii="Book Antiqua" w:hAnsi="Book Antiqua" w:cs="Times"/>
                <w:color w:val="000000"/>
              </w:rPr>
              <w:t>h/mL)</w:t>
            </w:r>
          </w:p>
          <w:p w14:paraId="0698F105" w14:textId="77777777" w:rsidR="001653FC" w:rsidRPr="0019049A" w:rsidRDefault="001653FC">
            <w:pPr>
              <w:spacing w:line="360" w:lineRule="auto"/>
              <w:jc w:val="both"/>
              <w:rPr>
                <w:rFonts w:ascii="Book Antiqua" w:hAnsi="Book Antiqua"/>
                <w:i/>
              </w:rPr>
            </w:pPr>
          </w:p>
        </w:tc>
        <w:tc>
          <w:tcPr>
            <w:tcW w:w="780" w:type="dxa"/>
            <w:tcBorders>
              <w:top w:val="single" w:sz="4" w:space="0" w:color="auto"/>
            </w:tcBorders>
          </w:tcPr>
          <w:p w14:paraId="34630DB5" w14:textId="77777777" w:rsidR="001653FC" w:rsidRPr="0019049A" w:rsidRDefault="008C2E61">
            <w:pPr>
              <w:spacing w:line="360" w:lineRule="auto"/>
              <w:jc w:val="both"/>
              <w:rPr>
                <w:rFonts w:ascii="Book Antiqua" w:hAnsi="Book Antiqua"/>
              </w:rPr>
            </w:pPr>
            <w:r w:rsidRPr="0019049A">
              <w:rPr>
                <w:rFonts w:ascii="Book Antiqua" w:hAnsi="Book Antiqua"/>
              </w:rPr>
              <w:t>Vd/F</w:t>
            </w:r>
          </w:p>
        </w:tc>
        <w:tc>
          <w:tcPr>
            <w:tcW w:w="1063" w:type="dxa"/>
            <w:tcBorders>
              <w:top w:val="single" w:sz="4" w:space="0" w:color="auto"/>
            </w:tcBorders>
          </w:tcPr>
          <w:p w14:paraId="571197C4" w14:textId="77777777" w:rsidR="001653FC" w:rsidRPr="0019049A" w:rsidRDefault="008C2E61">
            <w:pPr>
              <w:spacing w:line="360" w:lineRule="auto"/>
              <w:jc w:val="both"/>
              <w:rPr>
                <w:rFonts w:ascii="Book Antiqua" w:hAnsi="Book Antiqua"/>
              </w:rPr>
            </w:pPr>
            <w:r w:rsidRPr="0019049A">
              <w:rPr>
                <w:rFonts w:ascii="Book Antiqua" w:hAnsi="Book Antiqua"/>
              </w:rPr>
              <w:t>Protein binding (%)</w:t>
            </w:r>
          </w:p>
        </w:tc>
        <w:tc>
          <w:tcPr>
            <w:tcW w:w="1210" w:type="dxa"/>
            <w:tcBorders>
              <w:top w:val="single" w:sz="4" w:space="0" w:color="auto"/>
            </w:tcBorders>
          </w:tcPr>
          <w:p w14:paraId="58F83130" w14:textId="77777777" w:rsidR="001653FC" w:rsidRPr="0019049A" w:rsidRDefault="008C2E61">
            <w:pPr>
              <w:spacing w:line="360" w:lineRule="auto"/>
              <w:jc w:val="both"/>
              <w:rPr>
                <w:rFonts w:ascii="Book Antiqua" w:hAnsi="Book Antiqua"/>
              </w:rPr>
            </w:pPr>
            <w:r w:rsidRPr="0019049A">
              <w:rPr>
                <w:rFonts w:ascii="Book Antiqua" w:hAnsi="Book Antiqua"/>
              </w:rPr>
              <w:t>Substrate of</w:t>
            </w:r>
          </w:p>
        </w:tc>
        <w:tc>
          <w:tcPr>
            <w:tcW w:w="1014" w:type="dxa"/>
            <w:tcBorders>
              <w:top w:val="single" w:sz="4" w:space="0" w:color="auto"/>
            </w:tcBorders>
          </w:tcPr>
          <w:p w14:paraId="4483E95C" w14:textId="77777777" w:rsidR="001653FC" w:rsidRPr="0019049A" w:rsidRDefault="008C2E61">
            <w:pPr>
              <w:spacing w:line="360" w:lineRule="auto"/>
              <w:jc w:val="both"/>
              <w:rPr>
                <w:rFonts w:ascii="Book Antiqua" w:hAnsi="Book Antiqua"/>
              </w:rPr>
            </w:pPr>
            <w:r w:rsidRPr="0019049A">
              <w:rPr>
                <w:rFonts w:ascii="Book Antiqua" w:hAnsi="Book Antiqua"/>
              </w:rPr>
              <w:t>T ½</w:t>
            </w:r>
            <w:r w:rsidRPr="0019049A">
              <w:rPr>
                <w:rFonts w:ascii="Book Antiqua" w:hAnsi="Book Antiqua" w:hint="eastAsia"/>
                <w:lang w:eastAsia="zh-CN"/>
              </w:rPr>
              <w:t>,</w:t>
            </w:r>
            <w:r w:rsidRPr="0019049A">
              <w:rPr>
                <w:rFonts w:ascii="Book Antiqua" w:hAnsi="Book Antiqua"/>
                <w:lang w:eastAsia="zh-CN"/>
              </w:rPr>
              <w:t xml:space="preserve"> </w:t>
            </w:r>
            <w:r w:rsidRPr="0019049A">
              <w:rPr>
                <w:rFonts w:ascii="Book Antiqua" w:hAnsi="Book Antiqua"/>
              </w:rPr>
              <w:t>(h)</w:t>
            </w:r>
          </w:p>
        </w:tc>
      </w:tr>
      <w:tr w:rsidR="001653FC" w:rsidRPr="0019049A" w14:paraId="77A585B6" w14:textId="77777777">
        <w:trPr>
          <w:trHeight w:val="297"/>
        </w:trPr>
        <w:tc>
          <w:tcPr>
            <w:tcW w:w="851" w:type="dxa"/>
            <w:vMerge w:val="restart"/>
          </w:tcPr>
          <w:p w14:paraId="6EB516B0" w14:textId="77777777" w:rsidR="001653FC" w:rsidRPr="0019049A" w:rsidRDefault="008C2E61">
            <w:pPr>
              <w:spacing w:line="360" w:lineRule="auto"/>
              <w:jc w:val="both"/>
              <w:rPr>
                <w:rFonts w:ascii="Book Antiqua" w:hAnsi="Book Antiqua"/>
              </w:rPr>
            </w:pPr>
            <w:r w:rsidRPr="0019049A">
              <w:rPr>
                <w:rFonts w:ascii="Book Antiqua" w:hAnsi="Book Antiqua"/>
              </w:rPr>
              <w:t>Zepatier</w:t>
            </w:r>
          </w:p>
        </w:tc>
        <w:tc>
          <w:tcPr>
            <w:tcW w:w="1313" w:type="dxa"/>
          </w:tcPr>
          <w:p w14:paraId="34345B38" w14:textId="77777777" w:rsidR="001653FC" w:rsidRPr="0019049A" w:rsidRDefault="008C2E61">
            <w:pPr>
              <w:spacing w:line="360" w:lineRule="auto"/>
              <w:jc w:val="both"/>
              <w:rPr>
                <w:rFonts w:ascii="Book Antiqua" w:hAnsi="Book Antiqua"/>
              </w:rPr>
            </w:pPr>
            <w:r w:rsidRPr="0019049A">
              <w:rPr>
                <w:rFonts w:ascii="Book Antiqua" w:hAnsi="Book Antiqua"/>
              </w:rPr>
              <w:t>Elbasvir</w:t>
            </w:r>
          </w:p>
        </w:tc>
        <w:tc>
          <w:tcPr>
            <w:tcW w:w="813" w:type="dxa"/>
          </w:tcPr>
          <w:p w14:paraId="579C41CB" w14:textId="77777777" w:rsidR="001653FC" w:rsidRPr="0019049A" w:rsidRDefault="008C2E61">
            <w:pPr>
              <w:spacing w:line="360" w:lineRule="auto"/>
              <w:jc w:val="both"/>
              <w:rPr>
                <w:rFonts w:ascii="Book Antiqua" w:hAnsi="Book Antiqua"/>
              </w:rPr>
            </w:pPr>
            <w:r w:rsidRPr="0019049A">
              <w:rPr>
                <w:rFonts w:ascii="Book Antiqua" w:hAnsi="Book Antiqua"/>
              </w:rPr>
              <w:t>3</w:t>
            </w:r>
          </w:p>
        </w:tc>
        <w:tc>
          <w:tcPr>
            <w:tcW w:w="851" w:type="dxa"/>
          </w:tcPr>
          <w:p w14:paraId="2094E968" w14:textId="77777777" w:rsidR="001653FC" w:rsidRPr="0019049A" w:rsidRDefault="008C2E61">
            <w:pPr>
              <w:spacing w:line="360" w:lineRule="auto"/>
              <w:jc w:val="both"/>
              <w:rPr>
                <w:rFonts w:ascii="Book Antiqua" w:hAnsi="Book Antiqua"/>
              </w:rPr>
            </w:pPr>
            <w:r w:rsidRPr="0019049A">
              <w:rPr>
                <w:rFonts w:ascii="Book Antiqua" w:hAnsi="Book Antiqua"/>
              </w:rPr>
              <w:t>121</w:t>
            </w:r>
          </w:p>
        </w:tc>
        <w:tc>
          <w:tcPr>
            <w:tcW w:w="850" w:type="dxa"/>
          </w:tcPr>
          <w:p w14:paraId="0BCAFA66" w14:textId="77777777" w:rsidR="001653FC" w:rsidRPr="0019049A" w:rsidRDefault="008C2E61">
            <w:pPr>
              <w:spacing w:line="360" w:lineRule="auto"/>
              <w:jc w:val="both"/>
              <w:rPr>
                <w:rFonts w:ascii="Book Antiqua" w:hAnsi="Book Antiqua"/>
              </w:rPr>
            </w:pPr>
            <w:r w:rsidRPr="0019049A">
              <w:rPr>
                <w:rFonts w:ascii="Book Antiqua" w:hAnsi="Book Antiqua"/>
              </w:rPr>
              <w:t>48.4</w:t>
            </w:r>
          </w:p>
        </w:tc>
        <w:tc>
          <w:tcPr>
            <w:tcW w:w="1134" w:type="dxa"/>
          </w:tcPr>
          <w:p w14:paraId="04F4D6B4" w14:textId="77777777" w:rsidR="001653FC" w:rsidRPr="0019049A" w:rsidRDefault="008C2E61">
            <w:pPr>
              <w:spacing w:line="360" w:lineRule="auto"/>
              <w:jc w:val="both"/>
              <w:rPr>
                <w:rFonts w:ascii="Book Antiqua" w:hAnsi="Book Antiqua"/>
              </w:rPr>
            </w:pPr>
            <w:r w:rsidRPr="0019049A">
              <w:rPr>
                <w:rFonts w:ascii="Book Antiqua" w:hAnsi="Book Antiqua"/>
              </w:rPr>
              <w:t>1920</w:t>
            </w:r>
          </w:p>
        </w:tc>
        <w:tc>
          <w:tcPr>
            <w:tcW w:w="780" w:type="dxa"/>
          </w:tcPr>
          <w:p w14:paraId="3FDD5AFB" w14:textId="77777777" w:rsidR="001653FC" w:rsidRPr="0019049A" w:rsidRDefault="008C2E61">
            <w:pPr>
              <w:spacing w:line="360" w:lineRule="auto"/>
              <w:jc w:val="both"/>
              <w:rPr>
                <w:rFonts w:ascii="Book Antiqua" w:hAnsi="Book Antiqua"/>
              </w:rPr>
            </w:pPr>
            <w:r w:rsidRPr="0019049A">
              <w:rPr>
                <w:rFonts w:ascii="Book Antiqua" w:hAnsi="Book Antiqua"/>
              </w:rPr>
              <w:t>680</w:t>
            </w:r>
          </w:p>
        </w:tc>
        <w:tc>
          <w:tcPr>
            <w:tcW w:w="1063" w:type="dxa"/>
          </w:tcPr>
          <w:p w14:paraId="29F833BD" w14:textId="77777777" w:rsidR="001653FC" w:rsidRPr="0019049A" w:rsidRDefault="008C2E61">
            <w:pPr>
              <w:spacing w:line="360" w:lineRule="auto"/>
              <w:jc w:val="both"/>
              <w:rPr>
                <w:rFonts w:ascii="Book Antiqua" w:hAnsi="Book Antiqua"/>
              </w:rPr>
            </w:pPr>
            <w:r w:rsidRPr="0019049A">
              <w:rPr>
                <w:rFonts w:ascii="Book Antiqua" w:hAnsi="Book Antiqua"/>
              </w:rPr>
              <w:t>&gt; 99.9</w:t>
            </w:r>
          </w:p>
        </w:tc>
        <w:tc>
          <w:tcPr>
            <w:tcW w:w="1210" w:type="dxa"/>
          </w:tcPr>
          <w:p w14:paraId="31E5AA5C" w14:textId="77777777" w:rsidR="001653FC" w:rsidRPr="0019049A" w:rsidRDefault="008C2E61">
            <w:pPr>
              <w:spacing w:line="360" w:lineRule="auto"/>
              <w:jc w:val="both"/>
              <w:rPr>
                <w:rFonts w:ascii="Book Antiqua" w:hAnsi="Book Antiqua"/>
              </w:rPr>
            </w:pPr>
            <w:r w:rsidRPr="0019049A">
              <w:rPr>
                <w:rFonts w:ascii="Book Antiqua" w:hAnsi="Book Antiqua"/>
              </w:rPr>
              <w:t>P-gp</w:t>
            </w:r>
          </w:p>
        </w:tc>
        <w:tc>
          <w:tcPr>
            <w:tcW w:w="1014" w:type="dxa"/>
          </w:tcPr>
          <w:p w14:paraId="52C556F3" w14:textId="77777777" w:rsidR="001653FC" w:rsidRPr="0019049A" w:rsidRDefault="008C2E61">
            <w:pPr>
              <w:spacing w:line="360" w:lineRule="auto"/>
              <w:jc w:val="both"/>
              <w:rPr>
                <w:rFonts w:ascii="Book Antiqua" w:hAnsi="Book Antiqua"/>
              </w:rPr>
            </w:pPr>
            <w:r w:rsidRPr="0019049A">
              <w:rPr>
                <w:rFonts w:ascii="Book Antiqua" w:hAnsi="Book Antiqua"/>
              </w:rPr>
              <w:t>31</w:t>
            </w:r>
          </w:p>
        </w:tc>
      </w:tr>
      <w:tr w:rsidR="001653FC" w:rsidRPr="0019049A" w14:paraId="5FA47445" w14:textId="77777777">
        <w:trPr>
          <w:trHeight w:val="297"/>
        </w:trPr>
        <w:tc>
          <w:tcPr>
            <w:tcW w:w="851" w:type="dxa"/>
            <w:vMerge/>
          </w:tcPr>
          <w:p w14:paraId="2407845D" w14:textId="77777777" w:rsidR="001653FC" w:rsidRPr="0019049A" w:rsidRDefault="001653FC">
            <w:pPr>
              <w:spacing w:line="360" w:lineRule="auto"/>
              <w:jc w:val="both"/>
              <w:rPr>
                <w:rFonts w:ascii="Book Antiqua" w:hAnsi="Book Antiqua"/>
              </w:rPr>
            </w:pPr>
          </w:p>
        </w:tc>
        <w:tc>
          <w:tcPr>
            <w:tcW w:w="1313" w:type="dxa"/>
          </w:tcPr>
          <w:p w14:paraId="4F6DB754" w14:textId="77777777" w:rsidR="001653FC" w:rsidRPr="0019049A" w:rsidRDefault="008C2E61">
            <w:pPr>
              <w:spacing w:line="360" w:lineRule="auto"/>
              <w:jc w:val="both"/>
              <w:rPr>
                <w:rFonts w:ascii="Book Antiqua" w:hAnsi="Book Antiqua"/>
              </w:rPr>
            </w:pPr>
            <w:r w:rsidRPr="0019049A">
              <w:rPr>
                <w:rFonts w:ascii="Book Antiqua" w:hAnsi="Book Antiqua"/>
              </w:rPr>
              <w:t>Grazoprevir</w:t>
            </w:r>
          </w:p>
        </w:tc>
        <w:tc>
          <w:tcPr>
            <w:tcW w:w="813" w:type="dxa"/>
          </w:tcPr>
          <w:p w14:paraId="3F1EFFA9" w14:textId="77777777" w:rsidR="001653FC" w:rsidRPr="0019049A" w:rsidRDefault="008C2E61">
            <w:pPr>
              <w:spacing w:line="360" w:lineRule="auto"/>
              <w:jc w:val="both"/>
              <w:rPr>
                <w:rFonts w:ascii="Book Antiqua" w:hAnsi="Book Antiqua"/>
              </w:rPr>
            </w:pPr>
            <w:r w:rsidRPr="0019049A">
              <w:rPr>
                <w:rFonts w:ascii="Book Antiqua" w:hAnsi="Book Antiqua"/>
              </w:rPr>
              <w:t>2</w:t>
            </w:r>
          </w:p>
        </w:tc>
        <w:tc>
          <w:tcPr>
            <w:tcW w:w="851" w:type="dxa"/>
          </w:tcPr>
          <w:p w14:paraId="2342D0AF" w14:textId="77777777" w:rsidR="001653FC" w:rsidRPr="0019049A" w:rsidRDefault="008C2E61">
            <w:pPr>
              <w:spacing w:line="360" w:lineRule="auto"/>
              <w:jc w:val="both"/>
              <w:rPr>
                <w:rFonts w:ascii="Book Antiqua" w:hAnsi="Book Antiqua"/>
              </w:rPr>
            </w:pPr>
            <w:r w:rsidRPr="0019049A">
              <w:rPr>
                <w:rFonts w:ascii="Book Antiqua" w:hAnsi="Book Antiqua"/>
              </w:rPr>
              <w:t>165</w:t>
            </w:r>
          </w:p>
        </w:tc>
        <w:tc>
          <w:tcPr>
            <w:tcW w:w="850" w:type="dxa"/>
          </w:tcPr>
          <w:p w14:paraId="554C9EB1" w14:textId="77777777" w:rsidR="001653FC" w:rsidRPr="0019049A" w:rsidRDefault="008C2E61">
            <w:pPr>
              <w:spacing w:line="360" w:lineRule="auto"/>
              <w:jc w:val="both"/>
              <w:rPr>
                <w:rFonts w:ascii="Book Antiqua" w:hAnsi="Book Antiqua"/>
              </w:rPr>
            </w:pPr>
            <w:r w:rsidRPr="0019049A">
              <w:rPr>
                <w:rFonts w:ascii="Book Antiqua" w:hAnsi="Book Antiqua"/>
              </w:rPr>
              <w:t>18.0</w:t>
            </w:r>
          </w:p>
        </w:tc>
        <w:tc>
          <w:tcPr>
            <w:tcW w:w="1134" w:type="dxa"/>
          </w:tcPr>
          <w:p w14:paraId="7770D353" w14:textId="77777777" w:rsidR="001653FC" w:rsidRPr="0019049A" w:rsidRDefault="008C2E61">
            <w:pPr>
              <w:spacing w:line="360" w:lineRule="auto"/>
              <w:jc w:val="both"/>
              <w:rPr>
                <w:rFonts w:ascii="Book Antiqua" w:hAnsi="Book Antiqua"/>
              </w:rPr>
            </w:pPr>
            <w:r w:rsidRPr="0019049A">
              <w:rPr>
                <w:rFonts w:ascii="Book Antiqua" w:hAnsi="Book Antiqua"/>
              </w:rPr>
              <w:t>1420</w:t>
            </w:r>
          </w:p>
        </w:tc>
        <w:tc>
          <w:tcPr>
            <w:tcW w:w="780" w:type="dxa"/>
          </w:tcPr>
          <w:p w14:paraId="3E680DFD" w14:textId="77777777" w:rsidR="001653FC" w:rsidRPr="0019049A" w:rsidRDefault="008C2E61">
            <w:pPr>
              <w:spacing w:line="360" w:lineRule="auto"/>
              <w:jc w:val="both"/>
              <w:rPr>
                <w:rFonts w:ascii="Book Antiqua" w:hAnsi="Book Antiqua"/>
              </w:rPr>
            </w:pPr>
            <w:r w:rsidRPr="0019049A">
              <w:rPr>
                <w:rFonts w:ascii="Book Antiqua" w:hAnsi="Book Antiqua"/>
              </w:rPr>
              <w:t>1250</w:t>
            </w:r>
          </w:p>
        </w:tc>
        <w:tc>
          <w:tcPr>
            <w:tcW w:w="1063" w:type="dxa"/>
          </w:tcPr>
          <w:p w14:paraId="38ED800C" w14:textId="77777777" w:rsidR="001653FC" w:rsidRPr="0019049A" w:rsidRDefault="008C2E61">
            <w:pPr>
              <w:spacing w:line="360" w:lineRule="auto"/>
              <w:jc w:val="both"/>
              <w:rPr>
                <w:rFonts w:ascii="Book Antiqua" w:hAnsi="Book Antiqua"/>
              </w:rPr>
            </w:pPr>
            <w:r w:rsidRPr="0019049A">
              <w:rPr>
                <w:rFonts w:ascii="Book Antiqua" w:hAnsi="Book Antiqua"/>
              </w:rPr>
              <w:t>&gt; 98.8</w:t>
            </w:r>
          </w:p>
        </w:tc>
        <w:tc>
          <w:tcPr>
            <w:tcW w:w="1210" w:type="dxa"/>
          </w:tcPr>
          <w:p w14:paraId="0A561DBC" w14:textId="77777777" w:rsidR="001653FC" w:rsidRPr="0019049A" w:rsidRDefault="008C2E61">
            <w:pPr>
              <w:spacing w:line="360" w:lineRule="auto"/>
              <w:jc w:val="both"/>
              <w:rPr>
                <w:rFonts w:ascii="Book Antiqua" w:hAnsi="Book Antiqua"/>
              </w:rPr>
            </w:pPr>
            <w:r w:rsidRPr="0019049A">
              <w:rPr>
                <w:rFonts w:ascii="Book Antiqua" w:hAnsi="Book Antiqua"/>
              </w:rPr>
              <w:t>P-gp</w:t>
            </w:r>
          </w:p>
        </w:tc>
        <w:tc>
          <w:tcPr>
            <w:tcW w:w="1014" w:type="dxa"/>
          </w:tcPr>
          <w:p w14:paraId="24BF72D1" w14:textId="77777777" w:rsidR="001653FC" w:rsidRPr="0019049A" w:rsidRDefault="008C2E61">
            <w:pPr>
              <w:spacing w:line="360" w:lineRule="auto"/>
              <w:jc w:val="both"/>
              <w:rPr>
                <w:rFonts w:ascii="Book Antiqua" w:hAnsi="Book Antiqua"/>
              </w:rPr>
            </w:pPr>
            <w:r w:rsidRPr="0019049A">
              <w:rPr>
                <w:rFonts w:ascii="Book Antiqua" w:hAnsi="Book Antiqua"/>
              </w:rPr>
              <w:t>24</w:t>
            </w:r>
          </w:p>
        </w:tc>
      </w:tr>
      <w:tr w:rsidR="001653FC" w:rsidRPr="0019049A" w14:paraId="251D8C27" w14:textId="77777777">
        <w:trPr>
          <w:trHeight w:val="368"/>
        </w:trPr>
        <w:tc>
          <w:tcPr>
            <w:tcW w:w="851" w:type="dxa"/>
            <w:vMerge w:val="restart"/>
          </w:tcPr>
          <w:p w14:paraId="430D6BAF" w14:textId="77777777" w:rsidR="001653FC" w:rsidRPr="0019049A" w:rsidRDefault="008C2E61">
            <w:pPr>
              <w:spacing w:line="360" w:lineRule="auto"/>
              <w:jc w:val="both"/>
              <w:rPr>
                <w:rFonts w:ascii="Book Antiqua" w:hAnsi="Book Antiqua"/>
              </w:rPr>
            </w:pPr>
            <w:r w:rsidRPr="0019049A">
              <w:rPr>
                <w:rFonts w:ascii="Book Antiqua" w:hAnsi="Book Antiqua"/>
              </w:rPr>
              <w:t>Epclusa</w:t>
            </w:r>
          </w:p>
        </w:tc>
        <w:tc>
          <w:tcPr>
            <w:tcW w:w="1313" w:type="dxa"/>
          </w:tcPr>
          <w:p w14:paraId="74E8F2A3" w14:textId="77777777" w:rsidR="001653FC" w:rsidRPr="0019049A" w:rsidRDefault="008C2E61">
            <w:pPr>
              <w:spacing w:line="360" w:lineRule="auto"/>
              <w:jc w:val="both"/>
              <w:rPr>
                <w:rFonts w:ascii="Book Antiqua" w:hAnsi="Book Antiqua"/>
              </w:rPr>
            </w:pPr>
            <w:r w:rsidRPr="0019049A">
              <w:rPr>
                <w:rFonts w:ascii="Book Antiqua" w:hAnsi="Book Antiqua"/>
              </w:rPr>
              <w:t>Sofosbuvir</w:t>
            </w:r>
          </w:p>
        </w:tc>
        <w:tc>
          <w:tcPr>
            <w:tcW w:w="813" w:type="dxa"/>
          </w:tcPr>
          <w:p w14:paraId="27B13DCB" w14:textId="77777777" w:rsidR="001653FC" w:rsidRPr="0019049A" w:rsidRDefault="008C2E61">
            <w:pPr>
              <w:spacing w:line="360" w:lineRule="auto"/>
              <w:jc w:val="both"/>
              <w:rPr>
                <w:rFonts w:ascii="Book Antiqua" w:hAnsi="Book Antiqua"/>
              </w:rPr>
            </w:pPr>
            <w:r w:rsidRPr="0019049A">
              <w:rPr>
                <w:rFonts w:ascii="Book Antiqua" w:hAnsi="Book Antiqua"/>
              </w:rPr>
              <w:t>0.5-1/3</w:t>
            </w:r>
          </w:p>
        </w:tc>
        <w:tc>
          <w:tcPr>
            <w:tcW w:w="851" w:type="dxa"/>
          </w:tcPr>
          <w:p w14:paraId="559C61D9" w14:textId="77777777" w:rsidR="001653FC" w:rsidRPr="0019049A" w:rsidRDefault="008C2E61">
            <w:pPr>
              <w:spacing w:line="360" w:lineRule="auto"/>
              <w:jc w:val="both"/>
              <w:rPr>
                <w:rFonts w:ascii="Book Antiqua" w:hAnsi="Book Antiqua"/>
              </w:rPr>
            </w:pPr>
            <w:r w:rsidRPr="0019049A">
              <w:rPr>
                <w:rFonts w:ascii="Book Antiqua" w:hAnsi="Book Antiqua"/>
              </w:rPr>
              <w:t>566/868</w:t>
            </w:r>
          </w:p>
        </w:tc>
        <w:tc>
          <w:tcPr>
            <w:tcW w:w="850" w:type="dxa"/>
          </w:tcPr>
          <w:p w14:paraId="6B629826" w14:textId="77777777" w:rsidR="001653FC" w:rsidRPr="0019049A" w:rsidRDefault="008C2E61">
            <w:pPr>
              <w:spacing w:line="360" w:lineRule="auto"/>
              <w:jc w:val="both"/>
              <w:rPr>
                <w:rFonts w:ascii="Book Antiqua" w:hAnsi="Book Antiqua"/>
              </w:rPr>
            </w:pPr>
            <w:r w:rsidRPr="0019049A">
              <w:rPr>
                <w:rFonts w:ascii="Book Antiqua" w:hAnsi="Book Antiqua"/>
              </w:rPr>
              <w:t>NR</w:t>
            </w:r>
          </w:p>
        </w:tc>
        <w:tc>
          <w:tcPr>
            <w:tcW w:w="1134" w:type="dxa"/>
          </w:tcPr>
          <w:p w14:paraId="4073CD3C" w14:textId="77777777" w:rsidR="001653FC" w:rsidRPr="0019049A" w:rsidRDefault="008C2E61">
            <w:pPr>
              <w:spacing w:line="360" w:lineRule="auto"/>
              <w:jc w:val="both"/>
              <w:rPr>
                <w:rFonts w:ascii="Book Antiqua" w:hAnsi="Book Antiqua"/>
              </w:rPr>
            </w:pPr>
            <w:r w:rsidRPr="0019049A">
              <w:rPr>
                <w:rFonts w:ascii="Book Antiqua" w:hAnsi="Book Antiqua"/>
              </w:rPr>
              <w:t>1260/13970</w:t>
            </w:r>
          </w:p>
        </w:tc>
        <w:tc>
          <w:tcPr>
            <w:tcW w:w="780" w:type="dxa"/>
          </w:tcPr>
          <w:p w14:paraId="35955223" w14:textId="77777777" w:rsidR="001653FC" w:rsidRPr="0019049A" w:rsidRDefault="008C2E61">
            <w:pPr>
              <w:spacing w:line="360" w:lineRule="auto"/>
              <w:jc w:val="both"/>
              <w:rPr>
                <w:rFonts w:ascii="Book Antiqua" w:hAnsi="Book Antiqua"/>
              </w:rPr>
            </w:pPr>
            <w:r w:rsidRPr="0019049A">
              <w:rPr>
                <w:rFonts w:ascii="Book Antiqua" w:hAnsi="Book Antiqua"/>
              </w:rPr>
              <w:t>NR</w:t>
            </w:r>
          </w:p>
        </w:tc>
        <w:tc>
          <w:tcPr>
            <w:tcW w:w="1063" w:type="dxa"/>
          </w:tcPr>
          <w:p w14:paraId="3C7CCC4D" w14:textId="77777777" w:rsidR="001653FC" w:rsidRPr="0019049A" w:rsidRDefault="008C2E61">
            <w:pPr>
              <w:spacing w:line="360" w:lineRule="auto"/>
              <w:jc w:val="both"/>
              <w:rPr>
                <w:rFonts w:ascii="Book Antiqua" w:hAnsi="Book Antiqua"/>
              </w:rPr>
            </w:pPr>
            <w:r w:rsidRPr="0019049A">
              <w:rPr>
                <w:rFonts w:ascii="Book Antiqua" w:hAnsi="Book Antiqua"/>
              </w:rPr>
              <w:t>61-65 minim</w:t>
            </w:r>
          </w:p>
        </w:tc>
        <w:tc>
          <w:tcPr>
            <w:tcW w:w="1210" w:type="dxa"/>
          </w:tcPr>
          <w:p w14:paraId="1AB679AC"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P-gp and BCRP</w:t>
            </w:r>
          </w:p>
        </w:tc>
        <w:tc>
          <w:tcPr>
            <w:tcW w:w="1014" w:type="dxa"/>
          </w:tcPr>
          <w:p w14:paraId="65666AD6" w14:textId="77777777" w:rsidR="001653FC" w:rsidRPr="0019049A" w:rsidRDefault="008C2E61">
            <w:pPr>
              <w:spacing w:line="360" w:lineRule="auto"/>
              <w:jc w:val="both"/>
              <w:rPr>
                <w:rFonts w:ascii="Book Antiqua" w:hAnsi="Book Antiqua"/>
              </w:rPr>
            </w:pPr>
            <w:r w:rsidRPr="0019049A">
              <w:rPr>
                <w:rFonts w:ascii="Book Antiqua" w:hAnsi="Book Antiqua"/>
              </w:rPr>
              <w:t>0.5/25</w:t>
            </w:r>
          </w:p>
        </w:tc>
      </w:tr>
      <w:tr w:rsidR="001653FC" w:rsidRPr="0019049A" w14:paraId="6B5C96DD" w14:textId="77777777">
        <w:trPr>
          <w:trHeight w:val="367"/>
        </w:trPr>
        <w:tc>
          <w:tcPr>
            <w:tcW w:w="851" w:type="dxa"/>
            <w:vMerge/>
          </w:tcPr>
          <w:p w14:paraId="79968A08" w14:textId="77777777" w:rsidR="001653FC" w:rsidRPr="0019049A" w:rsidRDefault="001653FC">
            <w:pPr>
              <w:spacing w:line="360" w:lineRule="auto"/>
              <w:jc w:val="both"/>
              <w:rPr>
                <w:rFonts w:ascii="Book Antiqua" w:hAnsi="Book Antiqua"/>
              </w:rPr>
            </w:pPr>
          </w:p>
        </w:tc>
        <w:tc>
          <w:tcPr>
            <w:tcW w:w="1313" w:type="dxa"/>
          </w:tcPr>
          <w:p w14:paraId="1F3A5B41" w14:textId="77777777" w:rsidR="001653FC" w:rsidRPr="0019049A" w:rsidRDefault="008C2E61">
            <w:pPr>
              <w:spacing w:line="360" w:lineRule="auto"/>
              <w:jc w:val="both"/>
              <w:rPr>
                <w:rFonts w:ascii="Book Antiqua" w:hAnsi="Book Antiqua"/>
              </w:rPr>
            </w:pPr>
            <w:r w:rsidRPr="0019049A">
              <w:rPr>
                <w:rFonts w:ascii="Book Antiqua" w:hAnsi="Book Antiqua"/>
              </w:rPr>
              <w:t>Velpatasvir</w:t>
            </w:r>
          </w:p>
        </w:tc>
        <w:tc>
          <w:tcPr>
            <w:tcW w:w="813" w:type="dxa"/>
          </w:tcPr>
          <w:p w14:paraId="1CCB9A51" w14:textId="77777777" w:rsidR="001653FC" w:rsidRPr="0019049A" w:rsidRDefault="008C2E61">
            <w:pPr>
              <w:spacing w:line="360" w:lineRule="auto"/>
              <w:jc w:val="both"/>
              <w:rPr>
                <w:rFonts w:ascii="Book Antiqua" w:hAnsi="Book Antiqua"/>
              </w:rPr>
            </w:pPr>
            <w:r w:rsidRPr="0019049A">
              <w:rPr>
                <w:rFonts w:ascii="Book Antiqua" w:hAnsi="Book Antiqua"/>
              </w:rPr>
              <w:t>4</w:t>
            </w:r>
          </w:p>
        </w:tc>
        <w:tc>
          <w:tcPr>
            <w:tcW w:w="851" w:type="dxa"/>
          </w:tcPr>
          <w:p w14:paraId="49EBD6C3" w14:textId="77777777" w:rsidR="001653FC" w:rsidRPr="0019049A" w:rsidRDefault="008C2E61">
            <w:pPr>
              <w:spacing w:line="360" w:lineRule="auto"/>
              <w:jc w:val="both"/>
              <w:rPr>
                <w:rFonts w:ascii="Book Antiqua" w:hAnsi="Book Antiqua"/>
              </w:rPr>
            </w:pPr>
            <w:r w:rsidRPr="0019049A">
              <w:rPr>
                <w:rFonts w:ascii="Book Antiqua" w:hAnsi="Book Antiqua"/>
              </w:rPr>
              <w:t>311</w:t>
            </w:r>
          </w:p>
        </w:tc>
        <w:tc>
          <w:tcPr>
            <w:tcW w:w="850" w:type="dxa"/>
          </w:tcPr>
          <w:p w14:paraId="779ADFA9" w14:textId="77777777" w:rsidR="001653FC" w:rsidRPr="0019049A" w:rsidRDefault="008C2E61">
            <w:pPr>
              <w:spacing w:line="360" w:lineRule="auto"/>
              <w:jc w:val="both"/>
              <w:rPr>
                <w:rFonts w:ascii="Book Antiqua" w:hAnsi="Book Antiqua"/>
              </w:rPr>
            </w:pPr>
            <w:r w:rsidRPr="0019049A">
              <w:rPr>
                <w:rFonts w:ascii="Book Antiqua" w:hAnsi="Book Antiqua"/>
              </w:rPr>
              <w:t>NR</w:t>
            </w:r>
          </w:p>
        </w:tc>
        <w:tc>
          <w:tcPr>
            <w:tcW w:w="1134" w:type="dxa"/>
          </w:tcPr>
          <w:p w14:paraId="0B835B05" w14:textId="77777777" w:rsidR="001653FC" w:rsidRPr="0019049A" w:rsidRDefault="008C2E61">
            <w:pPr>
              <w:spacing w:line="360" w:lineRule="auto"/>
              <w:jc w:val="both"/>
              <w:rPr>
                <w:rFonts w:ascii="Book Antiqua" w:hAnsi="Book Antiqua"/>
              </w:rPr>
            </w:pPr>
            <w:r w:rsidRPr="0019049A">
              <w:rPr>
                <w:rFonts w:ascii="Book Antiqua" w:hAnsi="Book Antiqua"/>
              </w:rPr>
              <w:t>2970</w:t>
            </w:r>
          </w:p>
        </w:tc>
        <w:tc>
          <w:tcPr>
            <w:tcW w:w="780" w:type="dxa"/>
          </w:tcPr>
          <w:p w14:paraId="494795C6" w14:textId="77777777" w:rsidR="001653FC" w:rsidRPr="0019049A" w:rsidRDefault="008C2E61">
            <w:pPr>
              <w:spacing w:line="360" w:lineRule="auto"/>
              <w:jc w:val="both"/>
              <w:rPr>
                <w:rFonts w:ascii="Book Antiqua" w:hAnsi="Book Antiqua"/>
              </w:rPr>
            </w:pPr>
            <w:r w:rsidRPr="0019049A">
              <w:rPr>
                <w:rFonts w:ascii="Book Antiqua" w:hAnsi="Book Antiqua"/>
              </w:rPr>
              <w:t>NR</w:t>
            </w:r>
          </w:p>
        </w:tc>
        <w:tc>
          <w:tcPr>
            <w:tcW w:w="1063" w:type="dxa"/>
          </w:tcPr>
          <w:p w14:paraId="5A49A74B" w14:textId="77777777" w:rsidR="001653FC" w:rsidRPr="0019049A" w:rsidRDefault="008C2E61">
            <w:pPr>
              <w:spacing w:line="360" w:lineRule="auto"/>
              <w:jc w:val="both"/>
              <w:rPr>
                <w:rFonts w:ascii="Book Antiqua" w:hAnsi="Book Antiqua"/>
              </w:rPr>
            </w:pPr>
            <w:r w:rsidRPr="0019049A">
              <w:rPr>
                <w:rFonts w:ascii="Book Antiqua" w:hAnsi="Book Antiqua"/>
              </w:rPr>
              <w:t>&gt; 99.5</w:t>
            </w:r>
          </w:p>
        </w:tc>
        <w:tc>
          <w:tcPr>
            <w:tcW w:w="1210" w:type="dxa"/>
          </w:tcPr>
          <w:p w14:paraId="56A3C455"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P-gp, OATP1B, and BCRP</w:t>
            </w:r>
          </w:p>
        </w:tc>
        <w:tc>
          <w:tcPr>
            <w:tcW w:w="1014" w:type="dxa"/>
          </w:tcPr>
          <w:p w14:paraId="63AFD3C8" w14:textId="77777777" w:rsidR="001653FC" w:rsidRPr="0019049A" w:rsidRDefault="008C2E61">
            <w:pPr>
              <w:spacing w:line="360" w:lineRule="auto"/>
              <w:jc w:val="both"/>
              <w:rPr>
                <w:rFonts w:ascii="Book Antiqua" w:hAnsi="Book Antiqua"/>
              </w:rPr>
            </w:pPr>
            <w:r w:rsidRPr="0019049A">
              <w:rPr>
                <w:rFonts w:ascii="Book Antiqua" w:hAnsi="Book Antiqua"/>
              </w:rPr>
              <w:t>15</w:t>
            </w:r>
          </w:p>
        </w:tc>
      </w:tr>
      <w:tr w:rsidR="001653FC" w:rsidRPr="0019049A" w14:paraId="2890FD07" w14:textId="77777777">
        <w:trPr>
          <w:trHeight w:val="368"/>
        </w:trPr>
        <w:tc>
          <w:tcPr>
            <w:tcW w:w="851" w:type="dxa"/>
            <w:vMerge w:val="restart"/>
          </w:tcPr>
          <w:p w14:paraId="5A149C1D" w14:textId="77777777" w:rsidR="001653FC" w:rsidRPr="0019049A" w:rsidRDefault="008C2E61">
            <w:pPr>
              <w:spacing w:line="360" w:lineRule="auto"/>
              <w:jc w:val="both"/>
              <w:rPr>
                <w:rFonts w:ascii="Book Antiqua" w:hAnsi="Book Antiqua"/>
              </w:rPr>
            </w:pPr>
            <w:r w:rsidRPr="0019049A">
              <w:rPr>
                <w:rFonts w:ascii="Book Antiqua" w:hAnsi="Book Antiqua"/>
              </w:rPr>
              <w:t>Maviret</w:t>
            </w:r>
          </w:p>
        </w:tc>
        <w:tc>
          <w:tcPr>
            <w:tcW w:w="1313" w:type="dxa"/>
          </w:tcPr>
          <w:p w14:paraId="63B5D9E0" w14:textId="77777777" w:rsidR="001653FC" w:rsidRPr="0019049A" w:rsidRDefault="008C2E61">
            <w:pPr>
              <w:spacing w:line="360" w:lineRule="auto"/>
              <w:jc w:val="both"/>
              <w:rPr>
                <w:rFonts w:ascii="Book Antiqua" w:hAnsi="Book Antiqua"/>
              </w:rPr>
            </w:pPr>
            <w:r w:rsidRPr="0019049A">
              <w:rPr>
                <w:rFonts w:ascii="Book Antiqua" w:hAnsi="Book Antiqua"/>
              </w:rPr>
              <w:t>Glecaprevir</w:t>
            </w:r>
          </w:p>
        </w:tc>
        <w:tc>
          <w:tcPr>
            <w:tcW w:w="813" w:type="dxa"/>
          </w:tcPr>
          <w:p w14:paraId="5274624E" w14:textId="77777777" w:rsidR="001653FC" w:rsidRPr="0019049A" w:rsidRDefault="008C2E61">
            <w:pPr>
              <w:spacing w:line="360" w:lineRule="auto"/>
              <w:jc w:val="both"/>
              <w:rPr>
                <w:rFonts w:ascii="Book Antiqua" w:hAnsi="Book Antiqua"/>
              </w:rPr>
            </w:pPr>
            <w:r w:rsidRPr="0019049A">
              <w:rPr>
                <w:rFonts w:ascii="Book Antiqua" w:hAnsi="Book Antiqua"/>
              </w:rPr>
              <w:t>5.0</w:t>
            </w:r>
          </w:p>
        </w:tc>
        <w:tc>
          <w:tcPr>
            <w:tcW w:w="851" w:type="dxa"/>
          </w:tcPr>
          <w:p w14:paraId="55EC34CF" w14:textId="77777777" w:rsidR="001653FC" w:rsidRPr="0019049A" w:rsidRDefault="008C2E61">
            <w:pPr>
              <w:spacing w:line="360" w:lineRule="auto"/>
              <w:jc w:val="both"/>
              <w:rPr>
                <w:rFonts w:ascii="Book Antiqua" w:hAnsi="Book Antiqua"/>
              </w:rPr>
            </w:pPr>
            <w:r w:rsidRPr="0019049A">
              <w:rPr>
                <w:rFonts w:ascii="Book Antiqua" w:hAnsi="Book Antiqua"/>
              </w:rPr>
              <w:t>597</w:t>
            </w:r>
          </w:p>
        </w:tc>
        <w:tc>
          <w:tcPr>
            <w:tcW w:w="850" w:type="dxa"/>
          </w:tcPr>
          <w:p w14:paraId="61B2C74F" w14:textId="77777777" w:rsidR="001653FC" w:rsidRPr="0019049A" w:rsidRDefault="008C2E61">
            <w:pPr>
              <w:spacing w:line="360" w:lineRule="auto"/>
              <w:jc w:val="both"/>
              <w:rPr>
                <w:rFonts w:ascii="Book Antiqua" w:hAnsi="Book Antiqua"/>
              </w:rPr>
            </w:pPr>
            <w:r w:rsidRPr="0019049A">
              <w:rPr>
                <w:rFonts w:ascii="Book Antiqua" w:hAnsi="Book Antiqua"/>
              </w:rPr>
              <w:t>NR</w:t>
            </w:r>
          </w:p>
        </w:tc>
        <w:tc>
          <w:tcPr>
            <w:tcW w:w="1134" w:type="dxa"/>
          </w:tcPr>
          <w:p w14:paraId="229500EF" w14:textId="77777777" w:rsidR="001653FC" w:rsidRPr="0019049A" w:rsidRDefault="008C2E61">
            <w:pPr>
              <w:spacing w:line="360" w:lineRule="auto"/>
              <w:jc w:val="both"/>
              <w:rPr>
                <w:rFonts w:ascii="Book Antiqua" w:hAnsi="Book Antiqua"/>
              </w:rPr>
            </w:pPr>
            <w:r w:rsidRPr="0019049A">
              <w:rPr>
                <w:rFonts w:ascii="Book Antiqua" w:hAnsi="Book Antiqua"/>
              </w:rPr>
              <w:t>4800</w:t>
            </w:r>
          </w:p>
        </w:tc>
        <w:tc>
          <w:tcPr>
            <w:tcW w:w="780" w:type="dxa"/>
          </w:tcPr>
          <w:p w14:paraId="4951A57E" w14:textId="77777777" w:rsidR="001653FC" w:rsidRPr="0019049A" w:rsidRDefault="008C2E61">
            <w:pPr>
              <w:spacing w:line="360" w:lineRule="auto"/>
              <w:jc w:val="both"/>
              <w:rPr>
                <w:rFonts w:ascii="Book Antiqua" w:hAnsi="Book Antiqua"/>
              </w:rPr>
            </w:pPr>
            <w:r w:rsidRPr="0019049A">
              <w:rPr>
                <w:rFonts w:ascii="Book Antiqua" w:hAnsi="Book Antiqua"/>
              </w:rPr>
              <w:t>NR</w:t>
            </w:r>
          </w:p>
        </w:tc>
        <w:tc>
          <w:tcPr>
            <w:tcW w:w="1063" w:type="dxa"/>
          </w:tcPr>
          <w:p w14:paraId="5C46B65A" w14:textId="77777777" w:rsidR="001653FC" w:rsidRPr="0019049A" w:rsidRDefault="008C2E61">
            <w:pPr>
              <w:spacing w:line="360" w:lineRule="auto"/>
              <w:jc w:val="both"/>
              <w:rPr>
                <w:rFonts w:ascii="Book Antiqua" w:hAnsi="Book Antiqua"/>
              </w:rPr>
            </w:pPr>
            <w:r w:rsidRPr="0019049A">
              <w:rPr>
                <w:rFonts w:ascii="Book Antiqua" w:hAnsi="Book Antiqua"/>
              </w:rPr>
              <w:t>97</w:t>
            </w:r>
          </w:p>
        </w:tc>
        <w:tc>
          <w:tcPr>
            <w:tcW w:w="1210" w:type="dxa"/>
          </w:tcPr>
          <w:p w14:paraId="1FCE83E6" w14:textId="77777777" w:rsidR="001653FC" w:rsidRPr="0019049A" w:rsidRDefault="008C2E61">
            <w:pPr>
              <w:spacing w:line="360" w:lineRule="auto"/>
              <w:jc w:val="both"/>
              <w:rPr>
                <w:rFonts w:ascii="Book Antiqua" w:hAnsi="Book Antiqua"/>
              </w:rPr>
            </w:pPr>
            <w:r w:rsidRPr="0019049A">
              <w:rPr>
                <w:rFonts w:ascii="Book Antiqua" w:hAnsi="Book Antiqua" w:cs="Times"/>
                <w:color w:val="000000"/>
              </w:rPr>
              <w:t>P-gp</w:t>
            </w:r>
          </w:p>
        </w:tc>
        <w:tc>
          <w:tcPr>
            <w:tcW w:w="1014" w:type="dxa"/>
          </w:tcPr>
          <w:p w14:paraId="50A6C2EE" w14:textId="77777777" w:rsidR="001653FC" w:rsidRPr="0019049A" w:rsidRDefault="008C2E61">
            <w:pPr>
              <w:spacing w:line="360" w:lineRule="auto"/>
              <w:jc w:val="both"/>
              <w:rPr>
                <w:rFonts w:ascii="Book Antiqua" w:hAnsi="Book Antiqua"/>
              </w:rPr>
            </w:pPr>
            <w:r w:rsidRPr="0019049A">
              <w:rPr>
                <w:rFonts w:ascii="Book Antiqua" w:hAnsi="Book Antiqua"/>
              </w:rPr>
              <w:t>6-9</w:t>
            </w:r>
          </w:p>
        </w:tc>
      </w:tr>
      <w:tr w:rsidR="001653FC" w:rsidRPr="0019049A" w14:paraId="40CAA904" w14:textId="77777777">
        <w:trPr>
          <w:trHeight w:val="367"/>
        </w:trPr>
        <w:tc>
          <w:tcPr>
            <w:tcW w:w="851" w:type="dxa"/>
            <w:vMerge/>
          </w:tcPr>
          <w:p w14:paraId="5D47C3D7" w14:textId="77777777" w:rsidR="001653FC" w:rsidRPr="0019049A" w:rsidRDefault="001653FC">
            <w:pPr>
              <w:spacing w:line="360" w:lineRule="auto"/>
              <w:jc w:val="both"/>
              <w:rPr>
                <w:rFonts w:ascii="Book Antiqua" w:hAnsi="Book Antiqua"/>
              </w:rPr>
            </w:pPr>
          </w:p>
        </w:tc>
        <w:tc>
          <w:tcPr>
            <w:tcW w:w="1313" w:type="dxa"/>
          </w:tcPr>
          <w:p w14:paraId="25310831" w14:textId="77777777" w:rsidR="001653FC" w:rsidRPr="0019049A" w:rsidRDefault="008C2E61">
            <w:pPr>
              <w:spacing w:line="360" w:lineRule="auto"/>
              <w:jc w:val="both"/>
              <w:rPr>
                <w:rFonts w:ascii="Book Antiqua" w:hAnsi="Book Antiqua"/>
              </w:rPr>
            </w:pPr>
            <w:r w:rsidRPr="0019049A">
              <w:rPr>
                <w:rFonts w:ascii="Book Antiqua" w:hAnsi="Book Antiqua"/>
              </w:rPr>
              <w:t>Pibrentasvir</w:t>
            </w:r>
          </w:p>
        </w:tc>
        <w:tc>
          <w:tcPr>
            <w:tcW w:w="813" w:type="dxa"/>
          </w:tcPr>
          <w:p w14:paraId="651407A8" w14:textId="77777777" w:rsidR="001653FC" w:rsidRPr="0019049A" w:rsidRDefault="008C2E61">
            <w:pPr>
              <w:spacing w:line="360" w:lineRule="auto"/>
              <w:jc w:val="both"/>
              <w:rPr>
                <w:rFonts w:ascii="Book Antiqua" w:hAnsi="Book Antiqua"/>
              </w:rPr>
            </w:pPr>
            <w:r w:rsidRPr="0019049A">
              <w:rPr>
                <w:rFonts w:ascii="Book Antiqua" w:hAnsi="Book Antiqua"/>
              </w:rPr>
              <w:t>5.0</w:t>
            </w:r>
          </w:p>
        </w:tc>
        <w:tc>
          <w:tcPr>
            <w:tcW w:w="851" w:type="dxa"/>
          </w:tcPr>
          <w:p w14:paraId="4C76994A" w14:textId="77777777" w:rsidR="001653FC" w:rsidRPr="0019049A" w:rsidRDefault="008C2E61">
            <w:pPr>
              <w:spacing w:line="360" w:lineRule="auto"/>
              <w:jc w:val="both"/>
              <w:rPr>
                <w:rFonts w:ascii="Book Antiqua" w:hAnsi="Book Antiqua"/>
              </w:rPr>
            </w:pPr>
            <w:r w:rsidRPr="0019049A">
              <w:rPr>
                <w:rFonts w:ascii="Book Antiqua" w:hAnsi="Book Antiqua"/>
              </w:rPr>
              <w:t>110</w:t>
            </w:r>
          </w:p>
        </w:tc>
        <w:tc>
          <w:tcPr>
            <w:tcW w:w="850" w:type="dxa"/>
          </w:tcPr>
          <w:p w14:paraId="7CE37CE0" w14:textId="77777777" w:rsidR="001653FC" w:rsidRPr="0019049A" w:rsidRDefault="008C2E61">
            <w:pPr>
              <w:spacing w:line="360" w:lineRule="auto"/>
              <w:jc w:val="both"/>
              <w:rPr>
                <w:rFonts w:ascii="Book Antiqua" w:hAnsi="Book Antiqua"/>
              </w:rPr>
            </w:pPr>
            <w:r w:rsidRPr="0019049A">
              <w:rPr>
                <w:rFonts w:ascii="Book Antiqua" w:hAnsi="Book Antiqua"/>
              </w:rPr>
              <w:t>NR</w:t>
            </w:r>
          </w:p>
        </w:tc>
        <w:tc>
          <w:tcPr>
            <w:tcW w:w="1134" w:type="dxa"/>
          </w:tcPr>
          <w:p w14:paraId="3E3AAB24" w14:textId="77777777" w:rsidR="001653FC" w:rsidRPr="0019049A" w:rsidRDefault="008C2E61">
            <w:pPr>
              <w:spacing w:line="360" w:lineRule="auto"/>
              <w:jc w:val="both"/>
              <w:rPr>
                <w:rFonts w:ascii="Book Antiqua" w:hAnsi="Book Antiqua"/>
              </w:rPr>
            </w:pPr>
            <w:r w:rsidRPr="0019049A">
              <w:rPr>
                <w:rFonts w:ascii="Book Antiqua" w:hAnsi="Book Antiqua"/>
              </w:rPr>
              <w:t>1430</w:t>
            </w:r>
          </w:p>
        </w:tc>
        <w:tc>
          <w:tcPr>
            <w:tcW w:w="780" w:type="dxa"/>
          </w:tcPr>
          <w:p w14:paraId="6BC45107" w14:textId="77777777" w:rsidR="001653FC" w:rsidRPr="0019049A" w:rsidRDefault="008C2E61">
            <w:pPr>
              <w:spacing w:line="360" w:lineRule="auto"/>
              <w:jc w:val="both"/>
              <w:rPr>
                <w:rFonts w:ascii="Book Antiqua" w:hAnsi="Book Antiqua"/>
              </w:rPr>
            </w:pPr>
            <w:r w:rsidRPr="0019049A">
              <w:rPr>
                <w:rFonts w:ascii="Book Antiqua" w:hAnsi="Book Antiqua"/>
              </w:rPr>
              <w:t>NR</w:t>
            </w:r>
          </w:p>
        </w:tc>
        <w:tc>
          <w:tcPr>
            <w:tcW w:w="1063" w:type="dxa"/>
          </w:tcPr>
          <w:p w14:paraId="65656849" w14:textId="77777777" w:rsidR="001653FC" w:rsidRPr="0019049A" w:rsidRDefault="008C2E61">
            <w:pPr>
              <w:spacing w:line="360" w:lineRule="auto"/>
              <w:jc w:val="both"/>
              <w:rPr>
                <w:rFonts w:ascii="Book Antiqua" w:hAnsi="Book Antiqua"/>
              </w:rPr>
            </w:pPr>
            <w:r w:rsidRPr="0019049A">
              <w:rPr>
                <w:rFonts w:ascii="Book Antiqua" w:hAnsi="Book Antiqua"/>
              </w:rPr>
              <w:t>&gt; 99.9</w:t>
            </w:r>
          </w:p>
        </w:tc>
        <w:tc>
          <w:tcPr>
            <w:tcW w:w="1210" w:type="dxa"/>
          </w:tcPr>
          <w:p w14:paraId="7E5EA456" w14:textId="77777777" w:rsidR="001653FC" w:rsidRPr="0019049A" w:rsidRDefault="008C2E61">
            <w:pPr>
              <w:spacing w:line="360" w:lineRule="auto"/>
              <w:jc w:val="both"/>
              <w:rPr>
                <w:rFonts w:ascii="Book Antiqua" w:hAnsi="Book Antiqua"/>
              </w:rPr>
            </w:pPr>
            <w:r w:rsidRPr="0019049A">
              <w:rPr>
                <w:rFonts w:ascii="Book Antiqua" w:hAnsi="Book Antiqua" w:cs="Times"/>
                <w:color w:val="000000"/>
              </w:rPr>
              <w:t>P-gp</w:t>
            </w:r>
          </w:p>
        </w:tc>
        <w:tc>
          <w:tcPr>
            <w:tcW w:w="1014" w:type="dxa"/>
          </w:tcPr>
          <w:p w14:paraId="0FD3860F" w14:textId="77777777" w:rsidR="001653FC" w:rsidRPr="0019049A" w:rsidRDefault="008C2E61">
            <w:pPr>
              <w:spacing w:line="360" w:lineRule="auto"/>
              <w:jc w:val="both"/>
              <w:rPr>
                <w:rFonts w:ascii="Book Antiqua" w:hAnsi="Book Antiqua"/>
              </w:rPr>
            </w:pPr>
            <w:r w:rsidRPr="0019049A">
              <w:rPr>
                <w:rFonts w:ascii="Book Antiqua" w:hAnsi="Book Antiqua"/>
              </w:rPr>
              <w:t>23-29</w:t>
            </w:r>
          </w:p>
        </w:tc>
      </w:tr>
      <w:tr w:rsidR="001653FC" w:rsidRPr="0019049A" w14:paraId="3CEA2ADF" w14:textId="77777777">
        <w:trPr>
          <w:trHeight w:val="347"/>
        </w:trPr>
        <w:tc>
          <w:tcPr>
            <w:tcW w:w="851" w:type="dxa"/>
            <w:vMerge w:val="restart"/>
          </w:tcPr>
          <w:p w14:paraId="39C2E7CE" w14:textId="77777777" w:rsidR="001653FC" w:rsidRPr="0019049A" w:rsidRDefault="008C2E61">
            <w:pPr>
              <w:spacing w:line="360" w:lineRule="auto"/>
              <w:jc w:val="both"/>
              <w:rPr>
                <w:rFonts w:ascii="Book Antiqua" w:hAnsi="Book Antiqua"/>
              </w:rPr>
            </w:pPr>
            <w:r w:rsidRPr="0019049A">
              <w:rPr>
                <w:rFonts w:ascii="Book Antiqua" w:hAnsi="Book Antiqua"/>
              </w:rPr>
              <w:t>Vosevi</w:t>
            </w:r>
          </w:p>
        </w:tc>
        <w:tc>
          <w:tcPr>
            <w:tcW w:w="1313" w:type="dxa"/>
          </w:tcPr>
          <w:p w14:paraId="05438C27" w14:textId="77777777" w:rsidR="001653FC" w:rsidRPr="0019049A" w:rsidRDefault="008C2E61">
            <w:pPr>
              <w:spacing w:line="360" w:lineRule="auto"/>
              <w:jc w:val="both"/>
              <w:rPr>
                <w:rFonts w:ascii="Book Antiqua" w:hAnsi="Book Antiqua"/>
              </w:rPr>
            </w:pPr>
            <w:r w:rsidRPr="0019049A">
              <w:rPr>
                <w:rFonts w:ascii="Book Antiqua" w:hAnsi="Book Antiqua"/>
              </w:rPr>
              <w:t>Sofosbuvir</w:t>
            </w:r>
          </w:p>
        </w:tc>
        <w:tc>
          <w:tcPr>
            <w:tcW w:w="813" w:type="dxa"/>
          </w:tcPr>
          <w:p w14:paraId="0B645E22" w14:textId="77777777" w:rsidR="001653FC" w:rsidRPr="0019049A" w:rsidRDefault="008C2E61">
            <w:pPr>
              <w:spacing w:line="360" w:lineRule="auto"/>
              <w:jc w:val="both"/>
              <w:rPr>
                <w:rFonts w:ascii="Book Antiqua" w:hAnsi="Book Antiqua"/>
              </w:rPr>
            </w:pPr>
            <w:r w:rsidRPr="0019049A">
              <w:rPr>
                <w:rFonts w:ascii="Book Antiqua" w:hAnsi="Book Antiqua"/>
              </w:rPr>
              <w:t>2/4</w:t>
            </w:r>
          </w:p>
        </w:tc>
        <w:tc>
          <w:tcPr>
            <w:tcW w:w="851" w:type="dxa"/>
          </w:tcPr>
          <w:p w14:paraId="247BE70A" w14:textId="77777777" w:rsidR="001653FC" w:rsidRPr="0019049A" w:rsidRDefault="008C2E61">
            <w:pPr>
              <w:spacing w:line="360" w:lineRule="auto"/>
              <w:jc w:val="both"/>
              <w:rPr>
                <w:rFonts w:ascii="Book Antiqua" w:hAnsi="Book Antiqua"/>
              </w:rPr>
            </w:pPr>
            <w:r w:rsidRPr="0019049A">
              <w:rPr>
                <w:rFonts w:ascii="Book Antiqua" w:hAnsi="Book Antiqua"/>
              </w:rPr>
              <w:t>678/744</w:t>
            </w:r>
          </w:p>
        </w:tc>
        <w:tc>
          <w:tcPr>
            <w:tcW w:w="850" w:type="dxa"/>
          </w:tcPr>
          <w:p w14:paraId="405B3650" w14:textId="77777777" w:rsidR="001653FC" w:rsidRPr="0019049A" w:rsidRDefault="008C2E61">
            <w:pPr>
              <w:spacing w:line="360" w:lineRule="auto"/>
              <w:jc w:val="both"/>
              <w:rPr>
                <w:rFonts w:ascii="Book Antiqua" w:hAnsi="Book Antiqua"/>
              </w:rPr>
            </w:pPr>
            <w:r w:rsidRPr="0019049A">
              <w:rPr>
                <w:rFonts w:ascii="Book Antiqua" w:hAnsi="Book Antiqua"/>
              </w:rPr>
              <w:t>NR</w:t>
            </w:r>
          </w:p>
        </w:tc>
        <w:tc>
          <w:tcPr>
            <w:tcW w:w="1134" w:type="dxa"/>
          </w:tcPr>
          <w:p w14:paraId="063F6013" w14:textId="77777777" w:rsidR="001653FC" w:rsidRPr="0019049A" w:rsidRDefault="008C2E61">
            <w:pPr>
              <w:spacing w:line="360" w:lineRule="auto"/>
              <w:jc w:val="both"/>
              <w:rPr>
                <w:rFonts w:ascii="Book Antiqua" w:hAnsi="Book Antiqua"/>
              </w:rPr>
            </w:pPr>
            <w:r w:rsidRPr="0019049A">
              <w:rPr>
                <w:rFonts w:ascii="Book Antiqua" w:hAnsi="Book Antiqua"/>
              </w:rPr>
              <w:t>1665/12,834</w:t>
            </w:r>
          </w:p>
        </w:tc>
        <w:tc>
          <w:tcPr>
            <w:tcW w:w="780" w:type="dxa"/>
          </w:tcPr>
          <w:p w14:paraId="4855778B" w14:textId="77777777" w:rsidR="001653FC" w:rsidRPr="0019049A" w:rsidRDefault="008C2E61">
            <w:pPr>
              <w:spacing w:line="360" w:lineRule="auto"/>
              <w:jc w:val="both"/>
              <w:rPr>
                <w:rFonts w:ascii="Book Antiqua" w:hAnsi="Book Antiqua"/>
              </w:rPr>
            </w:pPr>
            <w:r w:rsidRPr="0019049A">
              <w:rPr>
                <w:rFonts w:ascii="Book Antiqua" w:hAnsi="Book Antiqua"/>
              </w:rPr>
              <w:t>NR</w:t>
            </w:r>
          </w:p>
        </w:tc>
        <w:tc>
          <w:tcPr>
            <w:tcW w:w="1063" w:type="dxa"/>
          </w:tcPr>
          <w:p w14:paraId="11D7E3A5" w14:textId="77777777" w:rsidR="001653FC" w:rsidRPr="0019049A" w:rsidRDefault="008C2E61">
            <w:pPr>
              <w:spacing w:line="360" w:lineRule="auto"/>
              <w:jc w:val="both"/>
              <w:rPr>
                <w:rFonts w:ascii="Book Antiqua" w:hAnsi="Book Antiqua"/>
              </w:rPr>
            </w:pPr>
            <w:r w:rsidRPr="0019049A">
              <w:rPr>
                <w:rFonts w:ascii="Book Antiqua" w:hAnsi="Book Antiqua"/>
              </w:rPr>
              <w:t>61-65 minim</w:t>
            </w:r>
          </w:p>
        </w:tc>
        <w:tc>
          <w:tcPr>
            <w:tcW w:w="1210" w:type="dxa"/>
          </w:tcPr>
          <w:p w14:paraId="2244E3BF"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P-gp and BCRP</w:t>
            </w:r>
          </w:p>
        </w:tc>
        <w:tc>
          <w:tcPr>
            <w:tcW w:w="1014" w:type="dxa"/>
          </w:tcPr>
          <w:p w14:paraId="47E1CFB5" w14:textId="77777777" w:rsidR="001653FC" w:rsidRPr="0019049A" w:rsidRDefault="008C2E61">
            <w:pPr>
              <w:spacing w:line="360" w:lineRule="auto"/>
              <w:jc w:val="both"/>
              <w:rPr>
                <w:rFonts w:ascii="Book Antiqua" w:hAnsi="Book Antiqua"/>
              </w:rPr>
            </w:pPr>
            <w:r w:rsidRPr="0019049A">
              <w:rPr>
                <w:rFonts w:ascii="Book Antiqua" w:hAnsi="Book Antiqua"/>
              </w:rPr>
              <w:t>0.5/29</w:t>
            </w:r>
          </w:p>
        </w:tc>
      </w:tr>
      <w:tr w:rsidR="001653FC" w:rsidRPr="0019049A" w14:paraId="765ACA9D" w14:textId="77777777">
        <w:trPr>
          <w:trHeight w:val="345"/>
        </w:trPr>
        <w:tc>
          <w:tcPr>
            <w:tcW w:w="851" w:type="dxa"/>
            <w:vMerge/>
          </w:tcPr>
          <w:p w14:paraId="7E7B77DD" w14:textId="77777777" w:rsidR="001653FC" w:rsidRPr="0019049A" w:rsidRDefault="001653FC">
            <w:pPr>
              <w:spacing w:line="360" w:lineRule="auto"/>
              <w:jc w:val="both"/>
              <w:rPr>
                <w:rFonts w:ascii="Book Antiqua" w:hAnsi="Book Antiqua"/>
              </w:rPr>
            </w:pPr>
          </w:p>
        </w:tc>
        <w:tc>
          <w:tcPr>
            <w:tcW w:w="1313" w:type="dxa"/>
          </w:tcPr>
          <w:p w14:paraId="61B244BB" w14:textId="77777777" w:rsidR="001653FC" w:rsidRPr="0019049A" w:rsidRDefault="008C2E61">
            <w:pPr>
              <w:spacing w:line="360" w:lineRule="auto"/>
              <w:jc w:val="both"/>
              <w:rPr>
                <w:rFonts w:ascii="Book Antiqua" w:hAnsi="Book Antiqua"/>
              </w:rPr>
            </w:pPr>
            <w:r w:rsidRPr="0019049A">
              <w:rPr>
                <w:rFonts w:ascii="Book Antiqua" w:hAnsi="Book Antiqua"/>
              </w:rPr>
              <w:t>Velpatasvir</w:t>
            </w:r>
          </w:p>
        </w:tc>
        <w:tc>
          <w:tcPr>
            <w:tcW w:w="813" w:type="dxa"/>
          </w:tcPr>
          <w:p w14:paraId="0F03A60F" w14:textId="77777777" w:rsidR="001653FC" w:rsidRPr="0019049A" w:rsidRDefault="008C2E61">
            <w:pPr>
              <w:spacing w:line="360" w:lineRule="auto"/>
              <w:jc w:val="both"/>
              <w:rPr>
                <w:rFonts w:ascii="Book Antiqua" w:hAnsi="Book Antiqua"/>
              </w:rPr>
            </w:pPr>
            <w:r w:rsidRPr="0019049A">
              <w:rPr>
                <w:rFonts w:ascii="Book Antiqua" w:hAnsi="Book Antiqua"/>
              </w:rPr>
              <w:t>4</w:t>
            </w:r>
          </w:p>
        </w:tc>
        <w:tc>
          <w:tcPr>
            <w:tcW w:w="851" w:type="dxa"/>
          </w:tcPr>
          <w:p w14:paraId="1A06450C" w14:textId="77777777" w:rsidR="001653FC" w:rsidRPr="0019049A" w:rsidRDefault="008C2E61">
            <w:pPr>
              <w:spacing w:line="360" w:lineRule="auto"/>
              <w:jc w:val="both"/>
              <w:rPr>
                <w:rFonts w:ascii="Book Antiqua" w:hAnsi="Book Antiqua"/>
              </w:rPr>
            </w:pPr>
            <w:r w:rsidRPr="0019049A">
              <w:rPr>
                <w:rFonts w:ascii="Book Antiqua" w:hAnsi="Book Antiqua"/>
              </w:rPr>
              <w:t>311</w:t>
            </w:r>
          </w:p>
        </w:tc>
        <w:tc>
          <w:tcPr>
            <w:tcW w:w="850" w:type="dxa"/>
          </w:tcPr>
          <w:p w14:paraId="7D93AEA7" w14:textId="77777777" w:rsidR="001653FC" w:rsidRPr="0019049A" w:rsidRDefault="008C2E61">
            <w:pPr>
              <w:spacing w:line="360" w:lineRule="auto"/>
              <w:jc w:val="both"/>
              <w:rPr>
                <w:rFonts w:ascii="Book Antiqua" w:hAnsi="Book Antiqua"/>
              </w:rPr>
            </w:pPr>
            <w:r w:rsidRPr="0019049A">
              <w:rPr>
                <w:rFonts w:ascii="Book Antiqua" w:hAnsi="Book Antiqua"/>
              </w:rPr>
              <w:t>NR</w:t>
            </w:r>
          </w:p>
        </w:tc>
        <w:tc>
          <w:tcPr>
            <w:tcW w:w="1134" w:type="dxa"/>
          </w:tcPr>
          <w:p w14:paraId="25A03FF2" w14:textId="77777777" w:rsidR="001653FC" w:rsidRPr="0019049A" w:rsidRDefault="008C2E61">
            <w:pPr>
              <w:spacing w:line="360" w:lineRule="auto"/>
              <w:jc w:val="both"/>
              <w:rPr>
                <w:rFonts w:ascii="Book Antiqua" w:hAnsi="Book Antiqua"/>
              </w:rPr>
            </w:pPr>
            <w:r w:rsidRPr="0019049A">
              <w:rPr>
                <w:rFonts w:ascii="Book Antiqua" w:hAnsi="Book Antiqua"/>
              </w:rPr>
              <w:t>4041</w:t>
            </w:r>
          </w:p>
        </w:tc>
        <w:tc>
          <w:tcPr>
            <w:tcW w:w="780" w:type="dxa"/>
          </w:tcPr>
          <w:p w14:paraId="0FC1E362" w14:textId="77777777" w:rsidR="001653FC" w:rsidRPr="0019049A" w:rsidRDefault="008C2E61">
            <w:pPr>
              <w:spacing w:line="360" w:lineRule="auto"/>
              <w:jc w:val="both"/>
              <w:rPr>
                <w:rFonts w:ascii="Book Antiqua" w:hAnsi="Book Antiqua"/>
              </w:rPr>
            </w:pPr>
            <w:r w:rsidRPr="0019049A">
              <w:rPr>
                <w:rFonts w:ascii="Book Antiqua" w:hAnsi="Book Antiqua"/>
              </w:rPr>
              <w:t>NR</w:t>
            </w:r>
          </w:p>
        </w:tc>
        <w:tc>
          <w:tcPr>
            <w:tcW w:w="1063" w:type="dxa"/>
          </w:tcPr>
          <w:p w14:paraId="1C3CF07C" w14:textId="77777777" w:rsidR="001653FC" w:rsidRPr="0019049A" w:rsidRDefault="008C2E61">
            <w:pPr>
              <w:spacing w:line="360" w:lineRule="auto"/>
              <w:jc w:val="both"/>
              <w:rPr>
                <w:rFonts w:ascii="Book Antiqua" w:hAnsi="Book Antiqua"/>
              </w:rPr>
            </w:pPr>
            <w:r w:rsidRPr="0019049A">
              <w:rPr>
                <w:rFonts w:ascii="Book Antiqua" w:hAnsi="Book Antiqua"/>
              </w:rPr>
              <w:t>&gt; 99</w:t>
            </w:r>
          </w:p>
        </w:tc>
        <w:tc>
          <w:tcPr>
            <w:tcW w:w="1210" w:type="dxa"/>
          </w:tcPr>
          <w:p w14:paraId="68E27C44"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P-gp, OATP1B1/3, and BCRP</w:t>
            </w:r>
          </w:p>
        </w:tc>
        <w:tc>
          <w:tcPr>
            <w:tcW w:w="1014" w:type="dxa"/>
          </w:tcPr>
          <w:p w14:paraId="53C637E2" w14:textId="77777777" w:rsidR="001653FC" w:rsidRPr="0019049A" w:rsidRDefault="008C2E61">
            <w:pPr>
              <w:spacing w:line="360" w:lineRule="auto"/>
              <w:jc w:val="both"/>
              <w:rPr>
                <w:rFonts w:ascii="Book Antiqua" w:hAnsi="Book Antiqua"/>
              </w:rPr>
            </w:pPr>
            <w:r w:rsidRPr="0019049A">
              <w:rPr>
                <w:rFonts w:ascii="Book Antiqua" w:hAnsi="Book Antiqua"/>
              </w:rPr>
              <w:t>17</w:t>
            </w:r>
          </w:p>
        </w:tc>
      </w:tr>
      <w:tr w:rsidR="001653FC" w:rsidRPr="0019049A" w14:paraId="05787C65" w14:textId="77777777">
        <w:trPr>
          <w:trHeight w:val="345"/>
        </w:trPr>
        <w:tc>
          <w:tcPr>
            <w:tcW w:w="851" w:type="dxa"/>
            <w:vMerge/>
          </w:tcPr>
          <w:p w14:paraId="141BF05C" w14:textId="77777777" w:rsidR="001653FC" w:rsidRPr="0019049A" w:rsidRDefault="001653FC">
            <w:pPr>
              <w:spacing w:line="360" w:lineRule="auto"/>
              <w:jc w:val="both"/>
              <w:rPr>
                <w:rFonts w:ascii="Book Antiqua" w:hAnsi="Book Antiqua"/>
              </w:rPr>
            </w:pPr>
          </w:p>
        </w:tc>
        <w:tc>
          <w:tcPr>
            <w:tcW w:w="1313" w:type="dxa"/>
          </w:tcPr>
          <w:p w14:paraId="0EE0AEB3" w14:textId="77777777" w:rsidR="001653FC" w:rsidRPr="0019049A" w:rsidRDefault="008C2E61">
            <w:pPr>
              <w:spacing w:line="360" w:lineRule="auto"/>
              <w:jc w:val="both"/>
              <w:rPr>
                <w:rFonts w:ascii="Book Antiqua" w:hAnsi="Book Antiqua"/>
              </w:rPr>
            </w:pPr>
            <w:r w:rsidRPr="0019049A">
              <w:rPr>
                <w:rFonts w:ascii="Book Antiqua" w:hAnsi="Book Antiqua"/>
              </w:rPr>
              <w:t>Voxilaprevir</w:t>
            </w:r>
          </w:p>
        </w:tc>
        <w:tc>
          <w:tcPr>
            <w:tcW w:w="813" w:type="dxa"/>
          </w:tcPr>
          <w:p w14:paraId="5C9AC21F" w14:textId="77777777" w:rsidR="001653FC" w:rsidRPr="0019049A" w:rsidRDefault="008C2E61">
            <w:pPr>
              <w:spacing w:line="360" w:lineRule="auto"/>
              <w:jc w:val="both"/>
              <w:rPr>
                <w:rFonts w:ascii="Book Antiqua" w:hAnsi="Book Antiqua"/>
              </w:rPr>
            </w:pPr>
            <w:r w:rsidRPr="0019049A">
              <w:rPr>
                <w:rFonts w:ascii="Book Antiqua" w:hAnsi="Book Antiqua"/>
              </w:rPr>
              <w:t>4</w:t>
            </w:r>
          </w:p>
        </w:tc>
        <w:tc>
          <w:tcPr>
            <w:tcW w:w="851" w:type="dxa"/>
          </w:tcPr>
          <w:p w14:paraId="381608D6" w14:textId="77777777" w:rsidR="001653FC" w:rsidRPr="0019049A" w:rsidRDefault="008C2E61">
            <w:pPr>
              <w:spacing w:line="360" w:lineRule="auto"/>
              <w:jc w:val="both"/>
              <w:rPr>
                <w:rFonts w:ascii="Book Antiqua" w:hAnsi="Book Antiqua"/>
              </w:rPr>
            </w:pPr>
            <w:r w:rsidRPr="0019049A">
              <w:rPr>
                <w:rFonts w:ascii="Book Antiqua" w:hAnsi="Book Antiqua"/>
              </w:rPr>
              <w:t>192</w:t>
            </w:r>
          </w:p>
        </w:tc>
        <w:tc>
          <w:tcPr>
            <w:tcW w:w="850" w:type="dxa"/>
          </w:tcPr>
          <w:p w14:paraId="405DD0F6" w14:textId="77777777" w:rsidR="001653FC" w:rsidRPr="0019049A" w:rsidRDefault="008C2E61">
            <w:pPr>
              <w:spacing w:line="360" w:lineRule="auto"/>
              <w:jc w:val="both"/>
              <w:rPr>
                <w:rFonts w:ascii="Book Antiqua" w:hAnsi="Book Antiqua"/>
              </w:rPr>
            </w:pPr>
            <w:r w:rsidRPr="0019049A">
              <w:rPr>
                <w:rFonts w:ascii="Book Antiqua" w:hAnsi="Book Antiqua"/>
              </w:rPr>
              <w:t>47</w:t>
            </w:r>
          </w:p>
        </w:tc>
        <w:tc>
          <w:tcPr>
            <w:tcW w:w="1134" w:type="dxa"/>
          </w:tcPr>
          <w:p w14:paraId="6A263153" w14:textId="77777777" w:rsidR="001653FC" w:rsidRPr="0019049A" w:rsidRDefault="008C2E61">
            <w:pPr>
              <w:spacing w:line="360" w:lineRule="auto"/>
              <w:jc w:val="both"/>
              <w:rPr>
                <w:rFonts w:ascii="Book Antiqua" w:hAnsi="Book Antiqua"/>
              </w:rPr>
            </w:pPr>
            <w:r w:rsidRPr="0019049A">
              <w:rPr>
                <w:rFonts w:ascii="Book Antiqua" w:hAnsi="Book Antiqua"/>
              </w:rPr>
              <w:t>2577</w:t>
            </w:r>
          </w:p>
        </w:tc>
        <w:tc>
          <w:tcPr>
            <w:tcW w:w="780" w:type="dxa"/>
          </w:tcPr>
          <w:p w14:paraId="563F33B0" w14:textId="77777777" w:rsidR="001653FC" w:rsidRPr="0019049A" w:rsidRDefault="008C2E61">
            <w:pPr>
              <w:spacing w:line="360" w:lineRule="auto"/>
              <w:jc w:val="both"/>
              <w:rPr>
                <w:rFonts w:ascii="Book Antiqua" w:hAnsi="Book Antiqua"/>
              </w:rPr>
            </w:pPr>
            <w:r w:rsidRPr="0019049A">
              <w:rPr>
                <w:rFonts w:ascii="Book Antiqua" w:hAnsi="Book Antiqua"/>
              </w:rPr>
              <w:t>NR</w:t>
            </w:r>
          </w:p>
        </w:tc>
        <w:tc>
          <w:tcPr>
            <w:tcW w:w="1063" w:type="dxa"/>
          </w:tcPr>
          <w:p w14:paraId="51AECE6A" w14:textId="77777777" w:rsidR="001653FC" w:rsidRPr="0019049A" w:rsidRDefault="008C2E61">
            <w:pPr>
              <w:spacing w:line="360" w:lineRule="auto"/>
              <w:jc w:val="both"/>
              <w:rPr>
                <w:rFonts w:ascii="Book Antiqua" w:hAnsi="Book Antiqua"/>
              </w:rPr>
            </w:pPr>
            <w:r w:rsidRPr="0019049A">
              <w:rPr>
                <w:rFonts w:ascii="Book Antiqua" w:hAnsi="Book Antiqua"/>
              </w:rPr>
              <w:t>&gt; 99</w:t>
            </w:r>
          </w:p>
        </w:tc>
        <w:tc>
          <w:tcPr>
            <w:tcW w:w="1210" w:type="dxa"/>
          </w:tcPr>
          <w:p w14:paraId="3A318C6E" w14:textId="77777777" w:rsidR="001653FC" w:rsidRPr="0019049A" w:rsidRDefault="008C2E61">
            <w:pPr>
              <w:widowControl w:val="0"/>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P-gp and BCRP</w:t>
            </w:r>
          </w:p>
        </w:tc>
        <w:tc>
          <w:tcPr>
            <w:tcW w:w="1014" w:type="dxa"/>
          </w:tcPr>
          <w:p w14:paraId="19E51C39" w14:textId="77777777" w:rsidR="001653FC" w:rsidRPr="0019049A" w:rsidRDefault="008C2E61">
            <w:pPr>
              <w:spacing w:line="360" w:lineRule="auto"/>
              <w:jc w:val="both"/>
              <w:rPr>
                <w:rFonts w:ascii="Book Antiqua" w:hAnsi="Book Antiqua"/>
              </w:rPr>
            </w:pPr>
            <w:r w:rsidRPr="0019049A">
              <w:rPr>
                <w:rFonts w:ascii="Book Antiqua" w:hAnsi="Book Antiqua"/>
              </w:rPr>
              <w:t>33</w:t>
            </w:r>
          </w:p>
        </w:tc>
      </w:tr>
    </w:tbl>
    <w:p w14:paraId="7A48DF51" w14:textId="77777777" w:rsidR="001653FC" w:rsidRPr="0019049A" w:rsidRDefault="008C2E61">
      <w:pPr>
        <w:pStyle w:val="a3"/>
      </w:pPr>
      <w:r w:rsidRPr="0019049A">
        <w:rPr>
          <w:rFonts w:ascii="Book Antiqua" w:hAnsi="Book Antiqua"/>
        </w:rPr>
        <w:lastRenderedPageBreak/>
        <w:t>DAAs</w:t>
      </w:r>
      <w:r w:rsidRPr="0019049A">
        <w:rPr>
          <w:rFonts w:ascii="Book Antiqua" w:eastAsia="Book Antiqua" w:hAnsi="Book Antiqua" w:cs="Book Antiqua"/>
          <w:color w:val="000000"/>
        </w:rPr>
        <w:t xml:space="preserve">: Direct aging antivirals; </w:t>
      </w:r>
      <w:r w:rsidRPr="0019049A">
        <w:rPr>
          <w:rFonts w:ascii="Book Antiqua" w:hAnsi="Book Antiqua"/>
        </w:rPr>
        <w:t xml:space="preserve">NR: Data not reported and/or available; T ½: </w:t>
      </w:r>
      <w:r w:rsidRPr="0019049A">
        <w:t>Elimination half time</w:t>
      </w:r>
      <w:r w:rsidRPr="0019049A">
        <w:rPr>
          <w:rFonts w:ascii="Book Antiqua" w:hAnsi="Book Antiqua"/>
        </w:rPr>
        <w:t>.</w:t>
      </w:r>
    </w:p>
    <w:p w14:paraId="58AC2235" w14:textId="77777777" w:rsidR="001653FC" w:rsidRPr="0019049A" w:rsidRDefault="001653FC">
      <w:pPr>
        <w:spacing w:line="360" w:lineRule="auto"/>
        <w:ind w:left="708" w:hanging="708"/>
        <w:jc w:val="both"/>
        <w:rPr>
          <w:rFonts w:ascii="Book Antiqua" w:hAnsi="Book Antiqua"/>
        </w:rPr>
      </w:pPr>
    </w:p>
    <w:p w14:paraId="5EA927CA" w14:textId="77777777" w:rsidR="001653FC" w:rsidRPr="0019049A" w:rsidRDefault="008C2E61">
      <w:pPr>
        <w:spacing w:line="360" w:lineRule="auto"/>
        <w:ind w:left="708" w:hanging="708"/>
        <w:jc w:val="both"/>
        <w:rPr>
          <w:rFonts w:ascii="Book Antiqua" w:hAnsi="Book Antiqua"/>
          <w:b/>
        </w:rPr>
      </w:pPr>
      <w:r w:rsidRPr="0019049A">
        <w:rPr>
          <w:rFonts w:ascii="Book Antiqua" w:hAnsi="Book Antiqua"/>
        </w:rPr>
        <w:br w:type="page"/>
      </w:r>
      <w:r w:rsidRPr="0019049A">
        <w:rPr>
          <w:rFonts w:ascii="Book Antiqua" w:hAnsi="Book Antiqua"/>
          <w:b/>
        </w:rPr>
        <w:lastRenderedPageBreak/>
        <w:t>Table 3 Pharmacodynamics of currently used direct aging antivirals</w:t>
      </w:r>
    </w:p>
    <w:tbl>
      <w:tblPr>
        <w:tblStyle w:val="a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4144"/>
        <w:gridCol w:w="1943"/>
        <w:gridCol w:w="1986"/>
      </w:tblGrid>
      <w:tr w:rsidR="001653FC" w:rsidRPr="0019049A" w14:paraId="33E254EE" w14:textId="77777777">
        <w:trPr>
          <w:jc w:val="center"/>
        </w:trPr>
        <w:tc>
          <w:tcPr>
            <w:tcW w:w="1419" w:type="dxa"/>
            <w:tcBorders>
              <w:top w:val="single" w:sz="4" w:space="0" w:color="auto"/>
              <w:bottom w:val="single" w:sz="4" w:space="0" w:color="auto"/>
            </w:tcBorders>
          </w:tcPr>
          <w:p w14:paraId="1A6856BD" w14:textId="77777777" w:rsidR="001653FC" w:rsidRPr="0019049A" w:rsidRDefault="008C2E61">
            <w:pPr>
              <w:spacing w:line="360" w:lineRule="auto"/>
              <w:jc w:val="both"/>
              <w:rPr>
                <w:rFonts w:ascii="Book Antiqua" w:hAnsi="Book Antiqua"/>
                <w:b/>
              </w:rPr>
            </w:pPr>
            <w:r w:rsidRPr="0019049A">
              <w:rPr>
                <w:rFonts w:ascii="Book Antiqua" w:hAnsi="Book Antiqua"/>
                <w:b/>
              </w:rPr>
              <w:t>Trade name</w:t>
            </w:r>
          </w:p>
        </w:tc>
        <w:tc>
          <w:tcPr>
            <w:tcW w:w="4144" w:type="dxa"/>
            <w:tcBorders>
              <w:top w:val="single" w:sz="4" w:space="0" w:color="auto"/>
              <w:bottom w:val="single" w:sz="4" w:space="0" w:color="auto"/>
            </w:tcBorders>
          </w:tcPr>
          <w:p w14:paraId="2FD448C8" w14:textId="77777777" w:rsidR="001653FC" w:rsidRPr="0019049A" w:rsidRDefault="008C2E61">
            <w:pPr>
              <w:spacing w:line="360" w:lineRule="auto"/>
              <w:jc w:val="both"/>
              <w:rPr>
                <w:rFonts w:ascii="Book Antiqua" w:hAnsi="Book Antiqua"/>
                <w:b/>
              </w:rPr>
            </w:pPr>
            <w:r w:rsidRPr="0019049A">
              <w:rPr>
                <w:rFonts w:ascii="Book Antiqua" w:hAnsi="Book Antiqua"/>
                <w:b/>
              </w:rPr>
              <w:t>Compound</w:t>
            </w:r>
          </w:p>
        </w:tc>
        <w:tc>
          <w:tcPr>
            <w:tcW w:w="1988" w:type="dxa"/>
            <w:tcBorders>
              <w:top w:val="single" w:sz="4" w:space="0" w:color="auto"/>
              <w:bottom w:val="single" w:sz="4" w:space="0" w:color="auto"/>
            </w:tcBorders>
          </w:tcPr>
          <w:p w14:paraId="7DF8FC5D" w14:textId="77777777" w:rsidR="001653FC" w:rsidRPr="0019049A" w:rsidRDefault="008C2E61">
            <w:pPr>
              <w:spacing w:line="360" w:lineRule="auto"/>
              <w:jc w:val="both"/>
              <w:rPr>
                <w:rFonts w:ascii="Book Antiqua" w:hAnsi="Book Antiqua"/>
                <w:b/>
              </w:rPr>
            </w:pPr>
            <w:r w:rsidRPr="0019049A">
              <w:rPr>
                <w:rFonts w:ascii="Book Antiqua" w:hAnsi="Book Antiqua"/>
                <w:b/>
              </w:rPr>
              <w:t>Efficacy</w:t>
            </w:r>
          </w:p>
        </w:tc>
        <w:tc>
          <w:tcPr>
            <w:tcW w:w="2025" w:type="dxa"/>
            <w:tcBorders>
              <w:top w:val="single" w:sz="4" w:space="0" w:color="auto"/>
              <w:bottom w:val="single" w:sz="4" w:space="0" w:color="auto"/>
            </w:tcBorders>
          </w:tcPr>
          <w:p w14:paraId="53F68893" w14:textId="77777777" w:rsidR="001653FC" w:rsidRPr="0019049A" w:rsidRDefault="008C2E61">
            <w:pPr>
              <w:spacing w:line="360" w:lineRule="auto"/>
              <w:jc w:val="both"/>
              <w:rPr>
                <w:rFonts w:ascii="Book Antiqua" w:hAnsi="Book Antiqua"/>
                <w:b/>
              </w:rPr>
            </w:pPr>
            <w:r w:rsidRPr="0019049A">
              <w:rPr>
                <w:rFonts w:ascii="Book Antiqua" w:hAnsi="Book Antiqua"/>
                <w:b/>
              </w:rPr>
              <w:t>Toxicity</w:t>
            </w:r>
          </w:p>
        </w:tc>
      </w:tr>
      <w:tr w:rsidR="001653FC" w:rsidRPr="0019049A" w14:paraId="381810E2" w14:textId="77777777">
        <w:trPr>
          <w:trHeight w:val="6163"/>
          <w:jc w:val="center"/>
        </w:trPr>
        <w:tc>
          <w:tcPr>
            <w:tcW w:w="1419" w:type="dxa"/>
            <w:tcBorders>
              <w:top w:val="single" w:sz="4" w:space="0" w:color="auto"/>
            </w:tcBorders>
          </w:tcPr>
          <w:p w14:paraId="0CE10D06" w14:textId="77777777" w:rsidR="001653FC" w:rsidRPr="0019049A" w:rsidRDefault="008C2E61">
            <w:pPr>
              <w:spacing w:line="360" w:lineRule="auto"/>
              <w:jc w:val="both"/>
              <w:rPr>
                <w:rFonts w:ascii="Book Antiqua" w:hAnsi="Book Antiqua"/>
              </w:rPr>
            </w:pPr>
            <w:r w:rsidRPr="0019049A">
              <w:rPr>
                <w:rFonts w:ascii="Book Antiqua" w:hAnsi="Book Antiqua"/>
              </w:rPr>
              <w:t>Zepatier</w:t>
            </w:r>
          </w:p>
        </w:tc>
        <w:tc>
          <w:tcPr>
            <w:tcW w:w="4144" w:type="dxa"/>
            <w:tcBorders>
              <w:top w:val="single" w:sz="4" w:space="0" w:color="auto"/>
            </w:tcBorders>
          </w:tcPr>
          <w:p w14:paraId="30BD5B80" w14:textId="77777777" w:rsidR="001653FC" w:rsidRPr="0019049A" w:rsidRDefault="008C2E61">
            <w:pPr>
              <w:spacing w:line="360" w:lineRule="auto"/>
              <w:jc w:val="both"/>
              <w:rPr>
                <w:rFonts w:ascii="Book Antiqua" w:hAnsi="Book Antiqua"/>
              </w:rPr>
            </w:pPr>
            <w:r w:rsidRPr="0019049A">
              <w:rPr>
                <w:rFonts w:ascii="Book Antiqua" w:hAnsi="Book Antiqua"/>
              </w:rPr>
              <w:t>Elbasvir/grazoprevir</w:t>
            </w:r>
          </w:p>
        </w:tc>
        <w:tc>
          <w:tcPr>
            <w:tcW w:w="1988" w:type="dxa"/>
            <w:tcBorders>
              <w:top w:val="single" w:sz="4" w:space="0" w:color="auto"/>
            </w:tcBorders>
          </w:tcPr>
          <w:p w14:paraId="6B6BF971" w14:textId="77777777" w:rsidR="001653FC" w:rsidRPr="0019049A" w:rsidRDefault="008C2E61">
            <w:pPr>
              <w:spacing w:line="360" w:lineRule="auto"/>
              <w:jc w:val="both"/>
              <w:rPr>
                <w:rFonts w:ascii="Book Antiqua" w:hAnsi="Book Antiqua"/>
              </w:rPr>
            </w:pPr>
            <w:r w:rsidRPr="0019049A">
              <w:rPr>
                <w:rFonts w:ascii="Book Antiqua" w:hAnsi="Book Antiqua"/>
              </w:rPr>
              <w:t>Effective regimen used for 12 wk against HCV genotype 1 and 4. Approved for patients with renal insufficiency and compensated cirrhosis.</w:t>
            </w:r>
            <w:r w:rsidRPr="0019049A">
              <w:rPr>
                <w:rFonts w:ascii="Book Antiqua" w:hAnsi="Book Antiqua" w:hint="eastAsia"/>
                <w:lang w:eastAsia="zh-CN"/>
              </w:rPr>
              <w:t xml:space="preserve"> </w:t>
            </w:r>
            <w:r w:rsidRPr="0019049A">
              <w:rPr>
                <w:rFonts w:ascii="Book Antiqua" w:hAnsi="Book Antiqua"/>
              </w:rPr>
              <w:t>Fixed dose combination of 50 mg/100 mg once daily.</w:t>
            </w:r>
            <w:r w:rsidRPr="0019049A">
              <w:rPr>
                <w:rFonts w:ascii="Book Antiqua" w:hAnsi="Book Antiqua" w:hint="eastAsia"/>
                <w:lang w:eastAsia="zh-CN"/>
              </w:rPr>
              <w:t xml:space="preserve"> </w:t>
            </w:r>
            <w:r w:rsidRPr="0019049A">
              <w:rPr>
                <w:rFonts w:ascii="Book Antiqua" w:hAnsi="Book Antiqua"/>
              </w:rPr>
              <w:t>Favourable safety profile with low discontinuation rates (&lt; 5%)</w:t>
            </w:r>
          </w:p>
        </w:tc>
        <w:tc>
          <w:tcPr>
            <w:tcW w:w="2025" w:type="dxa"/>
            <w:tcBorders>
              <w:top w:val="single" w:sz="4" w:space="0" w:color="auto"/>
            </w:tcBorders>
          </w:tcPr>
          <w:p w14:paraId="284D49E1" w14:textId="77777777" w:rsidR="001653FC" w:rsidRPr="0019049A" w:rsidRDefault="008C2E61">
            <w:pPr>
              <w:spacing w:line="360" w:lineRule="auto"/>
              <w:jc w:val="both"/>
              <w:rPr>
                <w:rFonts w:ascii="Book Antiqua" w:hAnsi="Book Antiqua"/>
              </w:rPr>
            </w:pPr>
            <w:r w:rsidRPr="0019049A">
              <w:rPr>
                <w:rFonts w:ascii="Book Antiqua" w:hAnsi="Book Antiqua"/>
              </w:rPr>
              <w:t>Fatigue,</w:t>
            </w:r>
            <w:r w:rsidRPr="0019049A">
              <w:rPr>
                <w:rFonts w:ascii="Book Antiqua" w:hAnsi="Book Antiqua" w:hint="eastAsia"/>
                <w:lang w:eastAsia="zh-CN"/>
              </w:rPr>
              <w:t xml:space="preserve"> </w:t>
            </w:r>
            <w:r w:rsidRPr="0019049A">
              <w:rPr>
                <w:rFonts w:ascii="Book Antiqua" w:hAnsi="Book Antiqua"/>
              </w:rPr>
              <w:t>headache,</w:t>
            </w:r>
            <w:r w:rsidRPr="0019049A">
              <w:rPr>
                <w:rFonts w:ascii="Book Antiqua" w:hAnsi="Book Antiqua" w:hint="eastAsia"/>
                <w:lang w:eastAsia="zh-CN"/>
              </w:rPr>
              <w:t xml:space="preserve"> </w:t>
            </w:r>
            <w:r w:rsidRPr="0019049A">
              <w:rPr>
                <w:rFonts w:ascii="Book Antiqua" w:hAnsi="Book Antiqua"/>
              </w:rPr>
              <w:t>asthenia,</w:t>
            </w:r>
            <w:r w:rsidRPr="0019049A">
              <w:rPr>
                <w:rFonts w:ascii="Book Antiqua" w:hAnsi="Book Antiqua" w:hint="eastAsia"/>
                <w:lang w:eastAsia="zh-CN"/>
              </w:rPr>
              <w:t xml:space="preserve"> </w:t>
            </w:r>
            <w:r w:rsidRPr="0019049A">
              <w:rPr>
                <w:rFonts w:ascii="Book Antiqua" w:hAnsi="Book Antiqua"/>
              </w:rPr>
              <w:t>nausea,</w:t>
            </w:r>
            <w:r w:rsidRPr="0019049A">
              <w:rPr>
                <w:rFonts w:ascii="Book Antiqua" w:hAnsi="Book Antiqua" w:hint="eastAsia"/>
                <w:lang w:eastAsia="zh-CN"/>
              </w:rPr>
              <w:t xml:space="preserve"> </w:t>
            </w:r>
            <w:r w:rsidRPr="0019049A">
              <w:rPr>
                <w:rFonts w:ascii="Book Antiqua" w:hAnsi="Book Antiqua"/>
              </w:rPr>
              <w:t>rash,</w:t>
            </w:r>
            <w:r w:rsidRPr="0019049A">
              <w:rPr>
                <w:rFonts w:ascii="Book Antiqua" w:hAnsi="Book Antiqua" w:hint="eastAsia"/>
                <w:lang w:eastAsia="zh-CN"/>
              </w:rPr>
              <w:t xml:space="preserve"> </w:t>
            </w:r>
            <w:r w:rsidRPr="0019049A">
              <w:rPr>
                <w:rFonts w:ascii="Book Antiqua" w:hAnsi="Book Antiqua"/>
              </w:rPr>
              <w:t>ALT/AST and</w:t>
            </w:r>
            <w:r w:rsidRPr="0019049A">
              <w:rPr>
                <w:rFonts w:ascii="Book Antiqua" w:hAnsi="Book Antiqua" w:hint="eastAsia"/>
                <w:lang w:eastAsia="zh-CN"/>
              </w:rPr>
              <w:t xml:space="preserve"> </w:t>
            </w:r>
            <w:r w:rsidRPr="0019049A">
              <w:rPr>
                <w:rFonts w:ascii="Book Antiqua" w:hAnsi="Book Antiqua"/>
              </w:rPr>
              <w:t>ALP increase</w:t>
            </w:r>
          </w:p>
        </w:tc>
      </w:tr>
      <w:tr w:rsidR="001653FC" w:rsidRPr="0019049A" w14:paraId="6A79AF21" w14:textId="77777777">
        <w:trPr>
          <w:jc w:val="center"/>
        </w:trPr>
        <w:tc>
          <w:tcPr>
            <w:tcW w:w="1419" w:type="dxa"/>
          </w:tcPr>
          <w:p w14:paraId="0E4C8745" w14:textId="77777777" w:rsidR="001653FC" w:rsidRPr="0019049A" w:rsidRDefault="008C2E61">
            <w:pPr>
              <w:spacing w:line="360" w:lineRule="auto"/>
              <w:jc w:val="both"/>
              <w:rPr>
                <w:rFonts w:ascii="Book Antiqua" w:hAnsi="Book Antiqua"/>
              </w:rPr>
            </w:pPr>
            <w:r w:rsidRPr="0019049A">
              <w:rPr>
                <w:rFonts w:ascii="Book Antiqua" w:hAnsi="Book Antiqua"/>
              </w:rPr>
              <w:t>Epclusa</w:t>
            </w:r>
          </w:p>
        </w:tc>
        <w:tc>
          <w:tcPr>
            <w:tcW w:w="4144" w:type="dxa"/>
          </w:tcPr>
          <w:p w14:paraId="28EE1B63" w14:textId="77777777" w:rsidR="001653FC" w:rsidRPr="0019049A" w:rsidRDefault="008C2E61">
            <w:pPr>
              <w:spacing w:line="360" w:lineRule="auto"/>
              <w:jc w:val="both"/>
              <w:rPr>
                <w:rFonts w:ascii="Book Antiqua" w:hAnsi="Book Antiqua"/>
              </w:rPr>
            </w:pPr>
            <w:r w:rsidRPr="0019049A">
              <w:rPr>
                <w:rFonts w:ascii="Book Antiqua" w:hAnsi="Book Antiqua"/>
              </w:rPr>
              <w:t>Sofosbuvir/velpatasvir</w:t>
            </w:r>
          </w:p>
        </w:tc>
        <w:tc>
          <w:tcPr>
            <w:tcW w:w="1988" w:type="dxa"/>
          </w:tcPr>
          <w:p w14:paraId="519D7D14" w14:textId="77777777" w:rsidR="001653FC" w:rsidRPr="0019049A" w:rsidRDefault="008C2E61">
            <w:pPr>
              <w:spacing w:line="360" w:lineRule="auto"/>
              <w:jc w:val="both"/>
              <w:rPr>
                <w:rFonts w:ascii="Book Antiqua" w:hAnsi="Book Antiqua"/>
              </w:rPr>
            </w:pPr>
            <w:r w:rsidRPr="0019049A">
              <w:rPr>
                <w:rFonts w:ascii="Book Antiqua" w:hAnsi="Book Antiqua"/>
              </w:rPr>
              <w:t>Treatment for 12 wk highly effective in both treatment-</w:t>
            </w:r>
            <w:r w:rsidRPr="0019049A">
              <w:rPr>
                <w:rFonts w:ascii="Book Antiqua" w:hAnsi="Book Antiqua"/>
              </w:rPr>
              <w:lastRenderedPageBreak/>
              <w:t>experienced and treatment-naïve HCV pangenotypic patients</w:t>
            </w:r>
          </w:p>
        </w:tc>
        <w:tc>
          <w:tcPr>
            <w:tcW w:w="2025" w:type="dxa"/>
          </w:tcPr>
          <w:p w14:paraId="21D4597C" w14:textId="77777777" w:rsidR="001653FC" w:rsidRPr="0019049A" w:rsidRDefault="008C2E61">
            <w:pPr>
              <w:spacing w:line="360" w:lineRule="auto"/>
              <w:jc w:val="both"/>
              <w:rPr>
                <w:rFonts w:ascii="Book Antiqua" w:hAnsi="Book Antiqua"/>
                <w:lang w:eastAsia="zh-CN"/>
              </w:rPr>
            </w:pPr>
            <w:r w:rsidRPr="0019049A">
              <w:rPr>
                <w:rFonts w:ascii="Book Antiqua" w:hAnsi="Book Antiqua"/>
              </w:rPr>
              <w:lastRenderedPageBreak/>
              <w:t>fatigue, headache, nausea and insomnia</w:t>
            </w:r>
            <w:r w:rsidRPr="0019049A">
              <w:rPr>
                <w:rFonts w:ascii="Book Antiqua" w:hAnsi="Book Antiqua"/>
                <w:lang w:eastAsia="zh-CN"/>
              </w:rPr>
              <w:t>.</w:t>
            </w:r>
            <w:r w:rsidRPr="0019049A">
              <w:rPr>
                <w:rFonts w:ascii="Book Antiqua" w:hAnsi="Book Antiqua" w:hint="eastAsia"/>
                <w:lang w:eastAsia="zh-CN"/>
              </w:rPr>
              <w:t xml:space="preserve"> </w:t>
            </w:r>
            <w:r w:rsidRPr="0019049A">
              <w:rPr>
                <w:rFonts w:ascii="Book Antiqua" w:hAnsi="Book Antiqua"/>
              </w:rPr>
              <w:lastRenderedPageBreak/>
              <w:t>Combination therapy with ribavirin led to anaemia in over 10% of patients</w:t>
            </w:r>
          </w:p>
        </w:tc>
      </w:tr>
      <w:tr w:rsidR="001653FC" w:rsidRPr="0019049A" w14:paraId="4C949D13" w14:textId="77777777">
        <w:trPr>
          <w:jc w:val="center"/>
        </w:trPr>
        <w:tc>
          <w:tcPr>
            <w:tcW w:w="1419" w:type="dxa"/>
          </w:tcPr>
          <w:p w14:paraId="594070F5" w14:textId="77777777" w:rsidR="001653FC" w:rsidRPr="0019049A" w:rsidRDefault="008C2E61">
            <w:pPr>
              <w:spacing w:line="360" w:lineRule="auto"/>
              <w:jc w:val="both"/>
              <w:rPr>
                <w:rFonts w:ascii="Book Antiqua" w:hAnsi="Book Antiqua"/>
              </w:rPr>
            </w:pPr>
            <w:r w:rsidRPr="0019049A">
              <w:rPr>
                <w:rFonts w:ascii="Book Antiqua" w:hAnsi="Book Antiqua"/>
              </w:rPr>
              <w:lastRenderedPageBreak/>
              <w:t>Maviret</w:t>
            </w:r>
          </w:p>
        </w:tc>
        <w:tc>
          <w:tcPr>
            <w:tcW w:w="4144" w:type="dxa"/>
          </w:tcPr>
          <w:p w14:paraId="183A5D65" w14:textId="77777777" w:rsidR="001653FC" w:rsidRPr="0019049A" w:rsidRDefault="008C2E61">
            <w:pPr>
              <w:spacing w:line="360" w:lineRule="auto"/>
              <w:jc w:val="both"/>
              <w:rPr>
                <w:rFonts w:ascii="Book Antiqua" w:hAnsi="Book Antiqua"/>
              </w:rPr>
            </w:pPr>
            <w:r w:rsidRPr="0019049A">
              <w:rPr>
                <w:rFonts w:ascii="Book Antiqua" w:hAnsi="Book Antiqua"/>
              </w:rPr>
              <w:t>Glecaprevir/pibrentasvir</w:t>
            </w:r>
          </w:p>
        </w:tc>
        <w:tc>
          <w:tcPr>
            <w:tcW w:w="1988" w:type="dxa"/>
          </w:tcPr>
          <w:p w14:paraId="121D9EDF" w14:textId="77777777" w:rsidR="001653FC" w:rsidRPr="0019049A" w:rsidRDefault="008C2E61">
            <w:pPr>
              <w:spacing w:line="360" w:lineRule="auto"/>
              <w:jc w:val="both"/>
              <w:rPr>
                <w:rFonts w:ascii="Book Antiqua" w:hAnsi="Book Antiqua"/>
              </w:rPr>
            </w:pPr>
            <w:r w:rsidRPr="0019049A">
              <w:rPr>
                <w:rFonts w:ascii="Book Antiqua" w:hAnsi="Book Antiqua"/>
              </w:rPr>
              <w:t>Pangenotypic highly effective regimen</w:t>
            </w:r>
            <w:r w:rsidRPr="0019049A">
              <w:rPr>
                <w:rFonts w:ascii="Book Antiqua" w:hAnsi="Book Antiqua" w:hint="eastAsia"/>
                <w:lang w:eastAsia="zh-CN"/>
              </w:rPr>
              <w:t>.</w:t>
            </w:r>
            <w:r w:rsidRPr="0019049A">
              <w:rPr>
                <w:rFonts w:ascii="Book Antiqua" w:hAnsi="Book Antiqua"/>
                <w:lang w:eastAsia="zh-CN"/>
              </w:rPr>
              <w:t xml:space="preserve"> </w:t>
            </w:r>
            <w:r w:rsidRPr="0019049A">
              <w:rPr>
                <w:rFonts w:ascii="Book Antiqua" w:hAnsi="Book Antiqua"/>
              </w:rPr>
              <w:t>Administered for 8 to 12 wk once daily at doses of 100 mg/40 mg.</w:t>
            </w:r>
            <w:r w:rsidRPr="0019049A">
              <w:rPr>
                <w:rFonts w:ascii="Book Antiqua" w:hAnsi="Book Antiqua" w:hint="eastAsia"/>
                <w:lang w:eastAsia="zh-CN"/>
              </w:rPr>
              <w:t xml:space="preserve"> </w:t>
            </w:r>
            <w:r w:rsidRPr="0019049A">
              <w:rPr>
                <w:rFonts w:ascii="Book Antiqua" w:hAnsi="Book Antiqua"/>
              </w:rPr>
              <w:t>Naïve and experienced patients with or without cirrhosis</w:t>
            </w:r>
          </w:p>
        </w:tc>
        <w:tc>
          <w:tcPr>
            <w:tcW w:w="2025" w:type="dxa"/>
          </w:tcPr>
          <w:p w14:paraId="156486D0" w14:textId="77777777" w:rsidR="001653FC" w:rsidRPr="0019049A" w:rsidRDefault="008C2E61">
            <w:pPr>
              <w:spacing w:line="360" w:lineRule="auto"/>
              <w:jc w:val="both"/>
              <w:rPr>
                <w:rFonts w:ascii="Book Antiqua" w:hAnsi="Book Antiqua"/>
              </w:rPr>
            </w:pPr>
            <w:r w:rsidRPr="0019049A">
              <w:rPr>
                <w:rFonts w:ascii="Book Antiqua" w:hAnsi="Book Antiqua"/>
              </w:rPr>
              <w:t>Headache, fatigue, nasopharyngitis and nausea</w:t>
            </w:r>
          </w:p>
        </w:tc>
      </w:tr>
      <w:tr w:rsidR="001653FC" w:rsidRPr="0019049A" w14:paraId="35043722" w14:textId="77777777">
        <w:trPr>
          <w:trHeight w:val="284"/>
          <w:jc w:val="center"/>
        </w:trPr>
        <w:tc>
          <w:tcPr>
            <w:tcW w:w="1419" w:type="dxa"/>
          </w:tcPr>
          <w:p w14:paraId="7C5AAEA0" w14:textId="77777777" w:rsidR="001653FC" w:rsidRPr="0019049A" w:rsidRDefault="008C2E61">
            <w:pPr>
              <w:spacing w:line="360" w:lineRule="auto"/>
              <w:jc w:val="both"/>
              <w:rPr>
                <w:rFonts w:ascii="Book Antiqua" w:hAnsi="Book Antiqua"/>
              </w:rPr>
            </w:pPr>
            <w:r w:rsidRPr="0019049A">
              <w:rPr>
                <w:rFonts w:ascii="Book Antiqua" w:hAnsi="Book Antiqua"/>
              </w:rPr>
              <w:t>Vosevi</w:t>
            </w:r>
          </w:p>
        </w:tc>
        <w:tc>
          <w:tcPr>
            <w:tcW w:w="4144" w:type="dxa"/>
          </w:tcPr>
          <w:p w14:paraId="3DEA3054" w14:textId="77777777" w:rsidR="001653FC" w:rsidRPr="0019049A" w:rsidRDefault="008C2E61">
            <w:pPr>
              <w:spacing w:line="360" w:lineRule="auto"/>
              <w:jc w:val="both"/>
              <w:rPr>
                <w:rFonts w:ascii="Book Antiqua" w:hAnsi="Book Antiqua"/>
              </w:rPr>
            </w:pPr>
            <w:r w:rsidRPr="0019049A">
              <w:rPr>
                <w:rFonts w:ascii="Book Antiqua" w:hAnsi="Book Antiqua"/>
              </w:rPr>
              <w:t>Sofosbuvir/velpatasvir/voxilaprevir</w:t>
            </w:r>
          </w:p>
        </w:tc>
        <w:tc>
          <w:tcPr>
            <w:tcW w:w="1988" w:type="dxa"/>
          </w:tcPr>
          <w:p w14:paraId="5C4CD843" w14:textId="77777777" w:rsidR="001653FC" w:rsidRPr="0019049A" w:rsidRDefault="008C2E61">
            <w:pPr>
              <w:spacing w:line="360" w:lineRule="auto"/>
              <w:jc w:val="both"/>
              <w:rPr>
                <w:rFonts w:ascii="Book Antiqua" w:hAnsi="Book Antiqua"/>
              </w:rPr>
            </w:pPr>
            <w:r w:rsidRPr="0019049A">
              <w:rPr>
                <w:rFonts w:ascii="Book Antiqua" w:hAnsi="Book Antiqua"/>
              </w:rPr>
              <w:t xml:space="preserve">Pangenotypic, highly effective, licenced for patients in whom IFN/riba and DAAs </w:t>
            </w:r>
            <w:r w:rsidRPr="0019049A">
              <w:rPr>
                <w:rFonts w:ascii="Book Antiqua" w:hAnsi="Book Antiqua"/>
                <w:bCs/>
                <w:i/>
                <w:iCs/>
              </w:rPr>
              <w:t>failed</w:t>
            </w:r>
          </w:p>
        </w:tc>
        <w:tc>
          <w:tcPr>
            <w:tcW w:w="2025" w:type="dxa"/>
          </w:tcPr>
          <w:p w14:paraId="0B1162B4" w14:textId="77777777" w:rsidR="001653FC" w:rsidRPr="0019049A" w:rsidRDefault="008C2E61">
            <w:pPr>
              <w:spacing w:line="360" w:lineRule="auto"/>
              <w:jc w:val="both"/>
              <w:rPr>
                <w:rFonts w:ascii="Book Antiqua" w:hAnsi="Book Antiqua"/>
              </w:rPr>
            </w:pPr>
            <w:r w:rsidRPr="0019049A">
              <w:rPr>
                <w:rFonts w:ascii="Book Antiqua" w:hAnsi="Book Antiqua"/>
              </w:rPr>
              <w:t>Headache, diarrhoea, fatigue, nausea and constipation</w:t>
            </w:r>
          </w:p>
        </w:tc>
      </w:tr>
    </w:tbl>
    <w:p w14:paraId="7DC3DF7A" w14:textId="77777777" w:rsidR="001653FC" w:rsidRPr="0019049A" w:rsidRDefault="008C2E61">
      <w:pPr>
        <w:spacing w:line="360" w:lineRule="auto"/>
        <w:jc w:val="both"/>
        <w:rPr>
          <w:rFonts w:ascii="Book Antiqua" w:hAnsi="Book Antiqua"/>
          <w:lang w:eastAsia="zh-CN"/>
        </w:rPr>
      </w:pPr>
      <w:r w:rsidRPr="0019049A">
        <w:rPr>
          <w:rFonts w:ascii="Book Antiqua" w:hAnsi="Book Antiqua"/>
        </w:rPr>
        <w:t>ALT: Alanine transaminase; AST: Aspartate transaminase; DAAs</w:t>
      </w:r>
      <w:r w:rsidRPr="0019049A">
        <w:rPr>
          <w:rFonts w:ascii="Book Antiqua" w:eastAsia="Book Antiqua" w:hAnsi="Book Antiqua" w:cs="Book Antiqua"/>
          <w:color w:val="000000"/>
        </w:rPr>
        <w:t xml:space="preserve">: Direct aging antivirals; </w:t>
      </w:r>
      <w:r w:rsidRPr="0019049A">
        <w:rPr>
          <w:rFonts w:ascii="Book Antiqua" w:hAnsi="Book Antiqua"/>
        </w:rPr>
        <w:t>HCV</w:t>
      </w:r>
      <w:r w:rsidRPr="0019049A">
        <w:rPr>
          <w:rFonts w:ascii="Book Antiqua" w:hAnsi="Book Antiqua" w:hint="eastAsia"/>
          <w:lang w:eastAsia="zh-CN"/>
        </w:rPr>
        <w:t>:</w:t>
      </w:r>
      <w:r w:rsidRPr="0019049A">
        <w:rPr>
          <w:rFonts w:ascii="Book Antiqua" w:hAnsi="Book Antiqua"/>
          <w:lang w:eastAsia="zh-CN"/>
        </w:rPr>
        <w:t xml:space="preserve"> </w:t>
      </w:r>
      <w:r w:rsidRPr="0019049A">
        <w:rPr>
          <w:rFonts w:ascii="Book Antiqua" w:eastAsia="Book Antiqua" w:hAnsi="Book Antiqua" w:cs="Book Antiqua"/>
          <w:color w:val="000000"/>
        </w:rPr>
        <w:t xml:space="preserve">Hepatitis C virus; </w:t>
      </w:r>
      <w:r w:rsidRPr="0019049A">
        <w:rPr>
          <w:rFonts w:ascii="Book Antiqua" w:hAnsi="Book Antiqua"/>
        </w:rPr>
        <w:t>IFN</w:t>
      </w:r>
      <w:r w:rsidRPr="0019049A">
        <w:rPr>
          <w:rFonts w:ascii="Book Antiqua" w:eastAsia="Book Antiqua" w:hAnsi="Book Antiqua" w:cs="Book Antiqua"/>
          <w:color w:val="000000"/>
        </w:rPr>
        <w:t>: Interferon.</w:t>
      </w:r>
    </w:p>
    <w:p w14:paraId="5E613A23" w14:textId="77777777" w:rsidR="001653FC" w:rsidRPr="0019049A" w:rsidRDefault="008C2E61">
      <w:pPr>
        <w:spacing w:line="360" w:lineRule="auto"/>
        <w:jc w:val="both"/>
        <w:rPr>
          <w:rFonts w:ascii="Book Antiqua" w:hAnsi="Book Antiqua" w:cs="Times"/>
          <w:color w:val="000000"/>
        </w:rPr>
      </w:pPr>
      <w:r w:rsidRPr="0019049A">
        <w:rPr>
          <w:rFonts w:ascii="Book Antiqua" w:hAnsi="Book Antiqua"/>
        </w:rPr>
        <w:br w:type="page"/>
      </w:r>
      <w:r w:rsidRPr="0019049A">
        <w:rPr>
          <w:rFonts w:ascii="Book Antiqua" w:hAnsi="Book Antiqua" w:cs="Times"/>
          <w:b/>
          <w:color w:val="000000"/>
        </w:rPr>
        <w:lastRenderedPageBreak/>
        <w:t>Table 4 Chemotherapy drug classes employed</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1653FC" w:rsidRPr="0019049A" w14:paraId="29A42011" w14:textId="77777777">
        <w:tc>
          <w:tcPr>
            <w:tcW w:w="4886" w:type="dxa"/>
            <w:tcBorders>
              <w:top w:val="single" w:sz="4" w:space="0" w:color="auto"/>
              <w:bottom w:val="single" w:sz="4" w:space="0" w:color="auto"/>
            </w:tcBorders>
          </w:tcPr>
          <w:p w14:paraId="5300436E" w14:textId="77777777" w:rsidR="001653FC" w:rsidRPr="0019049A" w:rsidRDefault="008C2E61">
            <w:pPr>
              <w:autoSpaceDE w:val="0"/>
              <w:autoSpaceDN w:val="0"/>
              <w:adjustRightInd w:val="0"/>
              <w:spacing w:line="360" w:lineRule="auto"/>
              <w:jc w:val="both"/>
              <w:rPr>
                <w:rFonts w:ascii="Book Antiqua" w:hAnsi="Book Antiqua"/>
                <w:b/>
              </w:rPr>
            </w:pPr>
            <w:r w:rsidRPr="0019049A">
              <w:rPr>
                <w:rFonts w:ascii="Book Antiqua" w:hAnsi="Book Antiqua"/>
                <w:b/>
              </w:rPr>
              <w:t>C</w:t>
            </w:r>
            <w:r w:rsidRPr="0019049A">
              <w:rPr>
                <w:rFonts w:ascii="Book Antiqua" w:hAnsi="Book Antiqua" w:cs="Times"/>
                <w:b/>
                <w:color w:val="000000"/>
              </w:rPr>
              <w:t>hemotherapy drug classes</w:t>
            </w:r>
          </w:p>
        </w:tc>
        <w:tc>
          <w:tcPr>
            <w:tcW w:w="4886" w:type="dxa"/>
            <w:tcBorders>
              <w:top w:val="single" w:sz="4" w:space="0" w:color="auto"/>
              <w:bottom w:val="single" w:sz="4" w:space="0" w:color="auto"/>
            </w:tcBorders>
          </w:tcPr>
          <w:p w14:paraId="4C27B052" w14:textId="77777777" w:rsidR="001653FC" w:rsidRPr="0019049A" w:rsidRDefault="008C2E61">
            <w:pPr>
              <w:autoSpaceDE w:val="0"/>
              <w:autoSpaceDN w:val="0"/>
              <w:adjustRightInd w:val="0"/>
              <w:spacing w:line="360" w:lineRule="auto"/>
              <w:jc w:val="both"/>
              <w:rPr>
                <w:rFonts w:ascii="Book Antiqua" w:hAnsi="Book Antiqua"/>
                <w:b/>
              </w:rPr>
            </w:pPr>
            <w:r w:rsidRPr="0019049A">
              <w:rPr>
                <w:rFonts w:ascii="Book Antiqua" w:hAnsi="Book Antiqua"/>
                <w:b/>
              </w:rPr>
              <w:t>Examples</w:t>
            </w:r>
          </w:p>
        </w:tc>
      </w:tr>
      <w:tr w:rsidR="001653FC" w:rsidRPr="0019049A" w14:paraId="32E66768" w14:textId="77777777">
        <w:tc>
          <w:tcPr>
            <w:tcW w:w="4886" w:type="dxa"/>
            <w:tcBorders>
              <w:top w:val="single" w:sz="4" w:space="0" w:color="auto"/>
            </w:tcBorders>
          </w:tcPr>
          <w:p w14:paraId="186F03B2" w14:textId="77777777" w:rsidR="001653FC" w:rsidRPr="0019049A" w:rsidRDefault="008C2E61">
            <w:pPr>
              <w:autoSpaceDE w:val="0"/>
              <w:autoSpaceDN w:val="0"/>
              <w:adjustRightInd w:val="0"/>
              <w:spacing w:line="360" w:lineRule="auto"/>
              <w:jc w:val="both"/>
              <w:rPr>
                <w:rFonts w:ascii="Book Antiqua" w:hAnsi="Book Antiqua"/>
              </w:rPr>
            </w:pPr>
            <w:r w:rsidRPr="0019049A">
              <w:rPr>
                <w:rFonts w:ascii="Book Antiqua" w:hAnsi="Book Antiqua" w:cs="Times"/>
                <w:color w:val="000000"/>
              </w:rPr>
              <w:t>Platinum-containing agents</w:t>
            </w:r>
          </w:p>
        </w:tc>
        <w:tc>
          <w:tcPr>
            <w:tcW w:w="4886" w:type="dxa"/>
            <w:tcBorders>
              <w:top w:val="single" w:sz="4" w:space="0" w:color="auto"/>
            </w:tcBorders>
          </w:tcPr>
          <w:p w14:paraId="75ED7D22" w14:textId="49EC2AD3" w:rsidR="001653FC" w:rsidRPr="0019049A" w:rsidRDefault="008C2E61">
            <w:pPr>
              <w:autoSpaceDE w:val="0"/>
              <w:autoSpaceDN w:val="0"/>
              <w:adjustRightInd w:val="0"/>
              <w:spacing w:line="360" w:lineRule="auto"/>
              <w:jc w:val="both"/>
              <w:rPr>
                <w:rFonts w:ascii="Book Antiqua" w:hAnsi="Book Antiqua"/>
              </w:rPr>
            </w:pPr>
            <w:r w:rsidRPr="0019049A">
              <w:rPr>
                <w:rFonts w:ascii="Book Antiqua" w:hAnsi="Book Antiqua" w:cs="Times"/>
                <w:color w:val="000000"/>
              </w:rPr>
              <w:t>(</w:t>
            </w:r>
            <w:r w:rsidR="000E2323">
              <w:rPr>
                <w:rFonts w:ascii="Book Antiqua" w:hAnsi="Book Antiqua" w:cs="Times"/>
                <w:color w:val="000000"/>
              </w:rPr>
              <w:t>C</w:t>
            </w:r>
            <w:r w:rsidRPr="0019049A">
              <w:rPr>
                <w:rFonts w:ascii="Book Antiqua" w:hAnsi="Book Antiqua" w:cs="Times"/>
                <w:color w:val="000000"/>
              </w:rPr>
              <w:t>isplatin, carboplatin, oxaliplatin)</w:t>
            </w:r>
          </w:p>
        </w:tc>
      </w:tr>
      <w:tr w:rsidR="001653FC" w:rsidRPr="0019049A" w14:paraId="37723064" w14:textId="77777777">
        <w:tc>
          <w:tcPr>
            <w:tcW w:w="4886" w:type="dxa"/>
          </w:tcPr>
          <w:p w14:paraId="4C19C38B" w14:textId="77777777" w:rsidR="001653FC" w:rsidRPr="0019049A" w:rsidRDefault="008C2E61">
            <w:pPr>
              <w:autoSpaceDE w:val="0"/>
              <w:autoSpaceDN w:val="0"/>
              <w:adjustRightInd w:val="0"/>
              <w:spacing w:line="360" w:lineRule="auto"/>
              <w:jc w:val="both"/>
              <w:rPr>
                <w:rFonts w:ascii="Book Antiqua" w:hAnsi="Book Antiqua"/>
              </w:rPr>
            </w:pPr>
            <w:r w:rsidRPr="0019049A">
              <w:rPr>
                <w:rFonts w:ascii="Book Antiqua" w:hAnsi="Book Antiqua" w:cs="Times"/>
                <w:color w:val="000000"/>
              </w:rPr>
              <w:t>Folate antagonists</w:t>
            </w:r>
          </w:p>
        </w:tc>
        <w:tc>
          <w:tcPr>
            <w:tcW w:w="4886" w:type="dxa"/>
          </w:tcPr>
          <w:p w14:paraId="136F7F45" w14:textId="2F521854" w:rsidR="001653FC" w:rsidRPr="0019049A" w:rsidRDefault="008C2E61">
            <w:pPr>
              <w:autoSpaceDE w:val="0"/>
              <w:autoSpaceDN w:val="0"/>
              <w:adjustRightInd w:val="0"/>
              <w:spacing w:line="360" w:lineRule="auto"/>
              <w:jc w:val="both"/>
              <w:rPr>
                <w:rFonts w:ascii="Book Antiqua" w:hAnsi="Book Antiqua"/>
              </w:rPr>
            </w:pPr>
            <w:r w:rsidRPr="0019049A">
              <w:rPr>
                <w:rFonts w:ascii="Book Antiqua" w:hAnsi="Book Antiqua" w:cs="Times"/>
                <w:color w:val="000000"/>
              </w:rPr>
              <w:t>(</w:t>
            </w:r>
            <w:r w:rsidR="000E2323">
              <w:rPr>
                <w:rFonts w:ascii="Book Antiqua" w:hAnsi="Book Antiqua" w:cs="Times"/>
                <w:color w:val="000000"/>
              </w:rPr>
              <w:t>M</w:t>
            </w:r>
            <w:r w:rsidRPr="0019049A">
              <w:rPr>
                <w:rFonts w:ascii="Book Antiqua" w:hAnsi="Book Antiqua" w:cs="Times"/>
                <w:color w:val="000000"/>
              </w:rPr>
              <w:t>ethotrexate, pemetrexed)</w:t>
            </w:r>
          </w:p>
        </w:tc>
      </w:tr>
      <w:tr w:rsidR="001653FC" w:rsidRPr="0019049A" w14:paraId="29E19F06" w14:textId="77777777">
        <w:tc>
          <w:tcPr>
            <w:tcW w:w="4886" w:type="dxa"/>
          </w:tcPr>
          <w:p w14:paraId="32B73A41" w14:textId="77777777" w:rsidR="001653FC" w:rsidRPr="0019049A" w:rsidRDefault="008C2E61">
            <w:pPr>
              <w:autoSpaceDE w:val="0"/>
              <w:autoSpaceDN w:val="0"/>
              <w:adjustRightInd w:val="0"/>
              <w:spacing w:line="360" w:lineRule="auto"/>
              <w:jc w:val="both"/>
              <w:rPr>
                <w:rFonts w:ascii="Book Antiqua" w:hAnsi="Book Antiqua"/>
              </w:rPr>
            </w:pPr>
            <w:r w:rsidRPr="0019049A">
              <w:rPr>
                <w:rFonts w:ascii="Book Antiqua" w:hAnsi="Book Antiqua" w:cs="Times"/>
                <w:color w:val="000000"/>
              </w:rPr>
              <w:t>Pyrimidine compounds</w:t>
            </w:r>
          </w:p>
        </w:tc>
        <w:tc>
          <w:tcPr>
            <w:tcW w:w="4886" w:type="dxa"/>
          </w:tcPr>
          <w:p w14:paraId="3A42A5DB" w14:textId="636D3084" w:rsidR="001653FC" w:rsidRPr="0019049A" w:rsidRDefault="008C2E61">
            <w:pPr>
              <w:autoSpaceDE w:val="0"/>
              <w:autoSpaceDN w:val="0"/>
              <w:adjustRightInd w:val="0"/>
              <w:spacing w:line="360" w:lineRule="auto"/>
              <w:jc w:val="both"/>
              <w:rPr>
                <w:rFonts w:ascii="Book Antiqua" w:hAnsi="Book Antiqua"/>
              </w:rPr>
            </w:pPr>
            <w:r w:rsidRPr="0019049A">
              <w:rPr>
                <w:rFonts w:ascii="Book Antiqua" w:hAnsi="Book Antiqua" w:cs="Times"/>
                <w:color w:val="000000"/>
              </w:rPr>
              <w:t>(</w:t>
            </w:r>
            <w:r w:rsidR="000E2323">
              <w:rPr>
                <w:rFonts w:ascii="Book Antiqua" w:hAnsi="Book Antiqua" w:cs="Times"/>
                <w:color w:val="000000"/>
              </w:rPr>
              <w:t>F</w:t>
            </w:r>
            <w:r w:rsidRPr="0019049A">
              <w:rPr>
                <w:rFonts w:ascii="Book Antiqua" w:hAnsi="Book Antiqua" w:cs="Times"/>
                <w:color w:val="000000"/>
              </w:rPr>
              <w:t>luorouracil, capecitabine, cytarabine, gemcitabine, decitabine)</w:t>
            </w:r>
          </w:p>
        </w:tc>
      </w:tr>
      <w:tr w:rsidR="001653FC" w:rsidRPr="0019049A" w14:paraId="0D45F0B1" w14:textId="77777777">
        <w:tc>
          <w:tcPr>
            <w:tcW w:w="4886" w:type="dxa"/>
          </w:tcPr>
          <w:p w14:paraId="4F9E6233" w14:textId="77777777" w:rsidR="001653FC" w:rsidRPr="0019049A" w:rsidRDefault="008C2E61">
            <w:pPr>
              <w:autoSpaceDE w:val="0"/>
              <w:autoSpaceDN w:val="0"/>
              <w:adjustRightInd w:val="0"/>
              <w:spacing w:line="360" w:lineRule="auto"/>
              <w:jc w:val="both"/>
              <w:rPr>
                <w:rFonts w:ascii="Book Antiqua" w:hAnsi="Book Antiqua"/>
              </w:rPr>
            </w:pPr>
            <w:r w:rsidRPr="0019049A">
              <w:rPr>
                <w:rFonts w:ascii="Book Antiqua" w:hAnsi="Book Antiqua" w:cs="Times"/>
                <w:color w:val="000000"/>
              </w:rPr>
              <w:t>Purine analogues</w:t>
            </w:r>
          </w:p>
        </w:tc>
        <w:tc>
          <w:tcPr>
            <w:tcW w:w="4886" w:type="dxa"/>
          </w:tcPr>
          <w:p w14:paraId="0A2A2123" w14:textId="4D890E39" w:rsidR="001653FC" w:rsidRPr="0019049A" w:rsidRDefault="008C2E61">
            <w:pPr>
              <w:autoSpaceDE w:val="0"/>
              <w:autoSpaceDN w:val="0"/>
              <w:adjustRightInd w:val="0"/>
              <w:spacing w:line="360" w:lineRule="auto"/>
              <w:jc w:val="both"/>
              <w:rPr>
                <w:rFonts w:ascii="Book Antiqua" w:hAnsi="Book Antiqua"/>
              </w:rPr>
            </w:pPr>
            <w:r w:rsidRPr="0019049A">
              <w:rPr>
                <w:rFonts w:ascii="Book Antiqua" w:hAnsi="Book Antiqua" w:cs="Times"/>
                <w:color w:val="000000"/>
              </w:rPr>
              <w:t>(</w:t>
            </w:r>
            <w:r w:rsidR="000E2323">
              <w:rPr>
                <w:rFonts w:ascii="Book Antiqua" w:hAnsi="Book Antiqua" w:cs="Times"/>
                <w:color w:val="000000"/>
              </w:rPr>
              <w:t>M</w:t>
            </w:r>
            <w:r w:rsidRPr="0019049A">
              <w:rPr>
                <w:rFonts w:ascii="Book Antiqua" w:hAnsi="Book Antiqua" w:cs="Times"/>
                <w:color w:val="000000"/>
              </w:rPr>
              <w:t>ercaptopurine, fludarabine, cladribine, clofarabine)</w:t>
            </w:r>
          </w:p>
        </w:tc>
      </w:tr>
      <w:tr w:rsidR="001653FC" w:rsidRPr="0019049A" w14:paraId="6EC2739C" w14:textId="77777777">
        <w:tc>
          <w:tcPr>
            <w:tcW w:w="4886" w:type="dxa"/>
          </w:tcPr>
          <w:p w14:paraId="4F2F79E3" w14:textId="77777777" w:rsidR="001653FC" w:rsidRPr="0019049A" w:rsidRDefault="008C2E61">
            <w:pPr>
              <w:autoSpaceDE w:val="0"/>
              <w:autoSpaceDN w:val="0"/>
              <w:adjustRightInd w:val="0"/>
              <w:spacing w:line="360" w:lineRule="auto"/>
              <w:jc w:val="both"/>
              <w:rPr>
                <w:rFonts w:ascii="Book Antiqua" w:hAnsi="Book Antiqua"/>
              </w:rPr>
            </w:pPr>
            <w:r w:rsidRPr="0019049A">
              <w:rPr>
                <w:rFonts w:ascii="Book Antiqua" w:hAnsi="Book Antiqua" w:cs="Times"/>
                <w:color w:val="000000"/>
              </w:rPr>
              <w:t>Alkylating agents</w:t>
            </w:r>
          </w:p>
        </w:tc>
        <w:tc>
          <w:tcPr>
            <w:tcW w:w="4886" w:type="dxa"/>
          </w:tcPr>
          <w:p w14:paraId="6B63CD28" w14:textId="23F878C5" w:rsidR="001653FC" w:rsidRPr="0019049A" w:rsidRDefault="008C2E61">
            <w:pPr>
              <w:autoSpaceDE w:val="0"/>
              <w:autoSpaceDN w:val="0"/>
              <w:adjustRightInd w:val="0"/>
              <w:spacing w:line="360" w:lineRule="auto"/>
              <w:jc w:val="both"/>
              <w:rPr>
                <w:rFonts w:ascii="Book Antiqua" w:hAnsi="Book Antiqua"/>
              </w:rPr>
            </w:pPr>
            <w:r w:rsidRPr="0019049A">
              <w:rPr>
                <w:rFonts w:ascii="Book Antiqua" w:hAnsi="Book Antiqua" w:cs="Times"/>
                <w:color w:val="000000"/>
              </w:rPr>
              <w:t>(</w:t>
            </w:r>
            <w:r w:rsidR="000E2323">
              <w:rPr>
                <w:rFonts w:ascii="Book Antiqua" w:hAnsi="Book Antiqua" w:cs="Times"/>
                <w:color w:val="000000"/>
              </w:rPr>
              <w:t>C</w:t>
            </w:r>
            <w:r w:rsidRPr="0019049A">
              <w:rPr>
                <w:rFonts w:ascii="Book Antiqua" w:hAnsi="Book Antiqua" w:cs="Times"/>
                <w:color w:val="000000"/>
              </w:rPr>
              <w:t>yclophosphamide, ifosfamide, melphalan, bendamustine, busulfan)</w:t>
            </w:r>
          </w:p>
        </w:tc>
      </w:tr>
      <w:tr w:rsidR="001653FC" w:rsidRPr="0019049A" w14:paraId="381616FE" w14:textId="77777777">
        <w:tc>
          <w:tcPr>
            <w:tcW w:w="4886" w:type="dxa"/>
          </w:tcPr>
          <w:p w14:paraId="34DA2015" w14:textId="77777777" w:rsidR="001653FC" w:rsidRPr="0019049A" w:rsidRDefault="008C2E61">
            <w:pPr>
              <w:autoSpaceDE w:val="0"/>
              <w:autoSpaceDN w:val="0"/>
              <w:adjustRightInd w:val="0"/>
              <w:spacing w:line="360" w:lineRule="auto"/>
              <w:jc w:val="both"/>
              <w:rPr>
                <w:rFonts w:ascii="Book Antiqua" w:hAnsi="Book Antiqua"/>
              </w:rPr>
            </w:pPr>
            <w:r w:rsidRPr="0019049A">
              <w:rPr>
                <w:rFonts w:ascii="Book Antiqua" w:hAnsi="Book Antiqua" w:cs="Times"/>
                <w:color w:val="000000"/>
              </w:rPr>
              <w:t>Anthracyclines</w:t>
            </w:r>
          </w:p>
        </w:tc>
        <w:tc>
          <w:tcPr>
            <w:tcW w:w="4886" w:type="dxa"/>
          </w:tcPr>
          <w:p w14:paraId="2F0D9B93" w14:textId="781B7B8A" w:rsidR="001653FC" w:rsidRPr="0019049A" w:rsidRDefault="008C2E61">
            <w:pPr>
              <w:autoSpaceDE w:val="0"/>
              <w:autoSpaceDN w:val="0"/>
              <w:adjustRightInd w:val="0"/>
              <w:spacing w:line="360" w:lineRule="auto"/>
              <w:jc w:val="both"/>
              <w:rPr>
                <w:rFonts w:ascii="Book Antiqua" w:hAnsi="Book Antiqua"/>
              </w:rPr>
            </w:pPr>
            <w:r w:rsidRPr="0019049A">
              <w:rPr>
                <w:rFonts w:ascii="Book Antiqua" w:hAnsi="Book Antiqua" w:cs="Times"/>
                <w:color w:val="000000"/>
              </w:rPr>
              <w:t>(</w:t>
            </w:r>
            <w:r w:rsidR="000E2323">
              <w:rPr>
                <w:rFonts w:ascii="Book Antiqua" w:hAnsi="Book Antiqua" w:cs="Times"/>
                <w:color w:val="000000"/>
              </w:rPr>
              <w:t>D</w:t>
            </w:r>
            <w:r w:rsidRPr="0019049A">
              <w:rPr>
                <w:rFonts w:ascii="Book Antiqua" w:hAnsi="Book Antiqua" w:cs="Times"/>
                <w:color w:val="000000"/>
              </w:rPr>
              <w:t>aunorubicin, doxorubicin, epirubicin, idarubicin, bleomycin)</w:t>
            </w:r>
          </w:p>
        </w:tc>
      </w:tr>
      <w:tr w:rsidR="001653FC" w:rsidRPr="0019049A" w14:paraId="17F1087B" w14:textId="77777777">
        <w:tc>
          <w:tcPr>
            <w:tcW w:w="4886" w:type="dxa"/>
          </w:tcPr>
          <w:p w14:paraId="427CD7C7" w14:textId="77777777" w:rsidR="001653FC" w:rsidRPr="0019049A" w:rsidRDefault="008C2E61">
            <w:pPr>
              <w:autoSpaceDE w:val="0"/>
              <w:autoSpaceDN w:val="0"/>
              <w:adjustRightInd w:val="0"/>
              <w:spacing w:line="360" w:lineRule="auto"/>
              <w:jc w:val="both"/>
              <w:rPr>
                <w:rFonts w:ascii="Book Antiqua" w:hAnsi="Book Antiqua"/>
              </w:rPr>
            </w:pPr>
            <w:r w:rsidRPr="0019049A">
              <w:rPr>
                <w:rFonts w:ascii="Book Antiqua" w:hAnsi="Book Antiqua" w:cs="Times"/>
                <w:color w:val="000000"/>
              </w:rPr>
              <w:t>Topoisomerases</w:t>
            </w:r>
          </w:p>
        </w:tc>
        <w:tc>
          <w:tcPr>
            <w:tcW w:w="4886" w:type="dxa"/>
          </w:tcPr>
          <w:p w14:paraId="4A6ECE66" w14:textId="59CBB639" w:rsidR="001653FC" w:rsidRPr="0019049A" w:rsidRDefault="008C2E61">
            <w:pPr>
              <w:autoSpaceDE w:val="0"/>
              <w:autoSpaceDN w:val="0"/>
              <w:adjustRightInd w:val="0"/>
              <w:spacing w:line="360" w:lineRule="auto"/>
              <w:jc w:val="both"/>
              <w:rPr>
                <w:rFonts w:ascii="Book Antiqua" w:hAnsi="Book Antiqua"/>
              </w:rPr>
            </w:pPr>
            <w:r w:rsidRPr="0019049A">
              <w:rPr>
                <w:rFonts w:ascii="Book Antiqua" w:hAnsi="Book Antiqua" w:cs="Times"/>
                <w:color w:val="000000"/>
              </w:rPr>
              <w:t>(</w:t>
            </w:r>
            <w:r w:rsidR="000E2323">
              <w:rPr>
                <w:rFonts w:ascii="Book Antiqua" w:hAnsi="Book Antiqua" w:cs="Times"/>
                <w:color w:val="000000"/>
              </w:rPr>
              <w:t>T</w:t>
            </w:r>
            <w:r w:rsidRPr="0019049A">
              <w:rPr>
                <w:rFonts w:ascii="Book Antiqua" w:hAnsi="Book Antiqua" w:cs="Times"/>
                <w:color w:val="000000"/>
              </w:rPr>
              <w:t>opotecan, etoposide, irinotecan)</w:t>
            </w:r>
          </w:p>
        </w:tc>
      </w:tr>
      <w:tr w:rsidR="001653FC" w:rsidRPr="0019049A" w14:paraId="1F152A40" w14:textId="77777777">
        <w:tc>
          <w:tcPr>
            <w:tcW w:w="4886" w:type="dxa"/>
          </w:tcPr>
          <w:p w14:paraId="14DF1FF7" w14:textId="77777777" w:rsidR="001653FC" w:rsidRPr="0019049A" w:rsidRDefault="008C2E61">
            <w:pPr>
              <w:autoSpaceDE w:val="0"/>
              <w:autoSpaceDN w:val="0"/>
              <w:adjustRightInd w:val="0"/>
              <w:spacing w:line="360" w:lineRule="auto"/>
              <w:jc w:val="both"/>
              <w:rPr>
                <w:rFonts w:ascii="Book Antiqua" w:hAnsi="Book Antiqua"/>
              </w:rPr>
            </w:pPr>
            <w:r w:rsidRPr="0019049A">
              <w:rPr>
                <w:rFonts w:ascii="Book Antiqua" w:hAnsi="Book Antiqua" w:cs="Times"/>
                <w:color w:val="000000"/>
              </w:rPr>
              <w:t>Cytidine analogues</w:t>
            </w:r>
          </w:p>
        </w:tc>
        <w:tc>
          <w:tcPr>
            <w:tcW w:w="4886" w:type="dxa"/>
          </w:tcPr>
          <w:p w14:paraId="4EDA12EF" w14:textId="519E690B" w:rsidR="001653FC" w:rsidRPr="0019049A" w:rsidRDefault="008C2E61">
            <w:pPr>
              <w:autoSpaceDE w:val="0"/>
              <w:autoSpaceDN w:val="0"/>
              <w:adjustRightInd w:val="0"/>
              <w:spacing w:line="360" w:lineRule="auto"/>
              <w:jc w:val="both"/>
              <w:rPr>
                <w:rFonts w:ascii="Book Antiqua" w:hAnsi="Book Antiqua"/>
              </w:rPr>
            </w:pPr>
            <w:r w:rsidRPr="0019049A">
              <w:rPr>
                <w:rFonts w:ascii="Book Antiqua" w:hAnsi="Book Antiqua" w:cs="Times"/>
                <w:color w:val="000000"/>
              </w:rPr>
              <w:t>(</w:t>
            </w:r>
            <w:r w:rsidR="000E2323">
              <w:rPr>
                <w:rFonts w:ascii="Book Antiqua" w:hAnsi="Book Antiqua" w:cs="Times"/>
                <w:color w:val="000000"/>
              </w:rPr>
              <w:t>A</w:t>
            </w:r>
            <w:r w:rsidRPr="0019049A">
              <w:rPr>
                <w:rFonts w:ascii="Book Antiqua" w:hAnsi="Book Antiqua" w:cs="Times"/>
                <w:color w:val="000000"/>
              </w:rPr>
              <w:t>zacytidine, decitabine)</w:t>
            </w:r>
          </w:p>
        </w:tc>
      </w:tr>
      <w:tr w:rsidR="001653FC" w:rsidRPr="0019049A" w14:paraId="186A86BD" w14:textId="77777777">
        <w:tc>
          <w:tcPr>
            <w:tcW w:w="4886" w:type="dxa"/>
          </w:tcPr>
          <w:p w14:paraId="0A02A169" w14:textId="77777777" w:rsidR="001653FC" w:rsidRPr="0019049A" w:rsidRDefault="008C2E61">
            <w:pPr>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Immunosuppressants</w:t>
            </w:r>
          </w:p>
        </w:tc>
        <w:tc>
          <w:tcPr>
            <w:tcW w:w="4886" w:type="dxa"/>
          </w:tcPr>
          <w:p w14:paraId="21F6E98D" w14:textId="7910564E" w:rsidR="001653FC" w:rsidRPr="0019049A" w:rsidRDefault="008C2E61">
            <w:pPr>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w:t>
            </w:r>
            <w:r w:rsidR="000E2323">
              <w:rPr>
                <w:rFonts w:ascii="Book Antiqua" w:hAnsi="Book Antiqua" w:cs="Times"/>
                <w:color w:val="000000"/>
              </w:rPr>
              <w:t>T</w:t>
            </w:r>
            <w:r w:rsidRPr="0019049A">
              <w:rPr>
                <w:rFonts w:ascii="Book Antiqua" w:hAnsi="Book Antiqua" w:cs="Times"/>
                <w:color w:val="000000"/>
              </w:rPr>
              <w:t>acrolimus, cyclosporine)</w:t>
            </w:r>
          </w:p>
        </w:tc>
      </w:tr>
      <w:tr w:rsidR="001653FC" w:rsidRPr="0019049A" w14:paraId="6FBCF760" w14:textId="77777777">
        <w:tc>
          <w:tcPr>
            <w:tcW w:w="4886" w:type="dxa"/>
          </w:tcPr>
          <w:p w14:paraId="49BFC332" w14:textId="77777777" w:rsidR="001653FC" w:rsidRPr="0019049A" w:rsidRDefault="008C2E61">
            <w:pPr>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Immunomodulatory drugs</w:t>
            </w:r>
          </w:p>
        </w:tc>
        <w:tc>
          <w:tcPr>
            <w:tcW w:w="4886" w:type="dxa"/>
          </w:tcPr>
          <w:p w14:paraId="5CB03A64" w14:textId="6199D7C3" w:rsidR="001653FC" w:rsidRPr="0019049A" w:rsidRDefault="008C2E61">
            <w:pPr>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w:t>
            </w:r>
            <w:r w:rsidR="000E2323">
              <w:rPr>
                <w:rFonts w:ascii="Book Antiqua" w:hAnsi="Book Antiqua" w:cs="Times"/>
                <w:color w:val="000000"/>
              </w:rPr>
              <w:t>L</w:t>
            </w:r>
            <w:r w:rsidRPr="0019049A">
              <w:rPr>
                <w:rFonts w:ascii="Book Antiqua" w:hAnsi="Book Antiqua" w:cs="Times"/>
                <w:color w:val="000000"/>
              </w:rPr>
              <w:t>enalidomide, thalidomide)</w:t>
            </w:r>
          </w:p>
        </w:tc>
      </w:tr>
      <w:tr w:rsidR="001653FC" w:rsidRPr="0019049A" w14:paraId="1736D57A" w14:textId="77777777">
        <w:tc>
          <w:tcPr>
            <w:tcW w:w="4886" w:type="dxa"/>
          </w:tcPr>
          <w:p w14:paraId="3F6B110A" w14:textId="77777777" w:rsidR="001653FC" w:rsidRPr="0019049A" w:rsidRDefault="008C2E61">
            <w:pPr>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Mitotic inhibitors</w:t>
            </w:r>
          </w:p>
        </w:tc>
        <w:tc>
          <w:tcPr>
            <w:tcW w:w="4886" w:type="dxa"/>
          </w:tcPr>
          <w:p w14:paraId="09798D85" w14:textId="586F2010" w:rsidR="001653FC" w:rsidRPr="0019049A" w:rsidRDefault="008C2E61">
            <w:pPr>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w:t>
            </w:r>
            <w:r w:rsidR="000E2323">
              <w:rPr>
                <w:rFonts w:ascii="Book Antiqua" w:hAnsi="Book Antiqua" w:cs="Times"/>
                <w:color w:val="000000"/>
              </w:rPr>
              <w:t>P</w:t>
            </w:r>
            <w:r w:rsidRPr="0019049A">
              <w:rPr>
                <w:rFonts w:ascii="Book Antiqua" w:hAnsi="Book Antiqua" w:cs="Times"/>
                <w:color w:val="000000"/>
              </w:rPr>
              <w:t>aclitaxel, docetaxel, vinblastine, vincristine)</w:t>
            </w:r>
          </w:p>
        </w:tc>
      </w:tr>
      <w:tr w:rsidR="001653FC" w:rsidRPr="0019049A" w14:paraId="1454DB2C" w14:textId="77777777">
        <w:tc>
          <w:tcPr>
            <w:tcW w:w="4886" w:type="dxa"/>
          </w:tcPr>
          <w:p w14:paraId="2DA8589A" w14:textId="77777777" w:rsidR="001653FC" w:rsidRPr="0019049A" w:rsidRDefault="008C2E61">
            <w:pPr>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Hormonal therapies</w:t>
            </w:r>
          </w:p>
        </w:tc>
        <w:tc>
          <w:tcPr>
            <w:tcW w:w="4886" w:type="dxa"/>
          </w:tcPr>
          <w:p w14:paraId="2E5BD706" w14:textId="0F8A7D15" w:rsidR="001653FC" w:rsidRPr="0019049A" w:rsidRDefault="008C2E61">
            <w:pPr>
              <w:autoSpaceDE w:val="0"/>
              <w:autoSpaceDN w:val="0"/>
              <w:adjustRightInd w:val="0"/>
              <w:spacing w:line="360" w:lineRule="auto"/>
              <w:jc w:val="both"/>
              <w:rPr>
                <w:rFonts w:ascii="Book Antiqua" w:hAnsi="Book Antiqua" w:cs="Times"/>
                <w:color w:val="000000"/>
              </w:rPr>
            </w:pPr>
            <w:r w:rsidRPr="0019049A">
              <w:rPr>
                <w:rFonts w:ascii="Book Antiqua" w:hAnsi="Book Antiqua" w:cs="VarelaRound-Regular"/>
                <w:color w:val="383838"/>
              </w:rPr>
              <w:t>(</w:t>
            </w:r>
            <w:r w:rsidR="000E2323">
              <w:rPr>
                <w:rFonts w:ascii="Book Antiqua" w:hAnsi="Book Antiqua" w:cs="Times"/>
                <w:color w:val="000000"/>
              </w:rPr>
              <w:t>T</w:t>
            </w:r>
            <w:r w:rsidRPr="0019049A">
              <w:rPr>
                <w:rFonts w:ascii="Book Antiqua" w:hAnsi="Book Antiqua" w:cs="Times"/>
                <w:color w:val="000000"/>
              </w:rPr>
              <w:t>amoxifen)</w:t>
            </w:r>
          </w:p>
        </w:tc>
      </w:tr>
      <w:tr w:rsidR="001653FC" w:rsidRPr="0019049A" w14:paraId="4EA90B1A" w14:textId="77777777">
        <w:tc>
          <w:tcPr>
            <w:tcW w:w="4886" w:type="dxa"/>
          </w:tcPr>
          <w:p w14:paraId="1668E03C" w14:textId="77777777" w:rsidR="001653FC" w:rsidRPr="0019049A" w:rsidRDefault="008C2E61">
            <w:pPr>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Targeted therapies other than rituximab</w:t>
            </w:r>
          </w:p>
        </w:tc>
        <w:tc>
          <w:tcPr>
            <w:tcW w:w="4886" w:type="dxa"/>
          </w:tcPr>
          <w:p w14:paraId="506F0895" w14:textId="77777777" w:rsidR="001653FC" w:rsidRPr="0019049A" w:rsidRDefault="008C2E61">
            <w:pPr>
              <w:autoSpaceDE w:val="0"/>
              <w:autoSpaceDN w:val="0"/>
              <w:adjustRightInd w:val="0"/>
              <w:spacing w:line="360" w:lineRule="auto"/>
              <w:jc w:val="both"/>
              <w:rPr>
                <w:rFonts w:ascii="Book Antiqua" w:hAnsi="Book Antiqua" w:cs="Times"/>
                <w:color w:val="000000"/>
              </w:rPr>
            </w:pPr>
            <w:r w:rsidRPr="0019049A">
              <w:rPr>
                <w:rFonts w:ascii="Book Antiqua" w:hAnsi="Book Antiqua" w:cs="Times"/>
                <w:color w:val="000000"/>
              </w:rPr>
              <w:t>(</w:t>
            </w:r>
            <w:r w:rsidRPr="0019049A">
              <w:rPr>
                <w:rFonts w:ascii="Book Antiqua" w:hAnsi="Book Antiqua" w:cs="Times"/>
                <w:i/>
                <w:color w:val="000000"/>
              </w:rPr>
              <w:t>e.g</w:t>
            </w:r>
            <w:r w:rsidRPr="0019049A">
              <w:rPr>
                <w:rFonts w:ascii="Book Antiqua" w:hAnsi="Book Antiqua" w:cs="Times"/>
                <w:color w:val="000000"/>
              </w:rPr>
              <w:t>., cetuximab, bortezomib, alemtuzumab)</w:t>
            </w:r>
          </w:p>
        </w:tc>
      </w:tr>
    </w:tbl>
    <w:p w14:paraId="461BCF85" w14:textId="77777777" w:rsidR="001653FC" w:rsidRPr="0019049A" w:rsidRDefault="001653FC">
      <w:pPr>
        <w:spacing w:line="360" w:lineRule="auto"/>
        <w:jc w:val="both"/>
        <w:rPr>
          <w:rFonts w:ascii="Book Antiqua" w:hAnsi="Book Antiqua" w:cs="Times"/>
          <w:color w:val="000000"/>
        </w:rPr>
      </w:pPr>
    </w:p>
    <w:p w14:paraId="33F4EA73" w14:textId="77777777" w:rsidR="001653FC" w:rsidRPr="0019049A" w:rsidRDefault="001653FC">
      <w:pPr>
        <w:spacing w:line="360" w:lineRule="auto"/>
        <w:jc w:val="both"/>
        <w:rPr>
          <w:rFonts w:ascii="Book Antiqua" w:hAnsi="Book Antiqua"/>
        </w:rPr>
      </w:pPr>
    </w:p>
    <w:p w14:paraId="55D2FC0B" w14:textId="77777777" w:rsidR="001653FC" w:rsidRPr="0019049A" w:rsidRDefault="001653FC">
      <w:pPr>
        <w:spacing w:line="360" w:lineRule="auto"/>
        <w:ind w:left="708" w:hanging="708"/>
        <w:jc w:val="both"/>
        <w:rPr>
          <w:rFonts w:ascii="Book Antiqua" w:hAnsi="Book Antiqua"/>
        </w:rPr>
      </w:pPr>
    </w:p>
    <w:p w14:paraId="1E61E2D4" w14:textId="77777777" w:rsidR="00104E14" w:rsidRPr="0019049A" w:rsidRDefault="008C2E61">
      <w:pPr>
        <w:widowControl w:val="0"/>
        <w:autoSpaceDE w:val="0"/>
        <w:autoSpaceDN w:val="0"/>
        <w:adjustRightInd w:val="0"/>
        <w:spacing w:line="360" w:lineRule="auto"/>
        <w:jc w:val="both"/>
        <w:rPr>
          <w:rFonts w:ascii="Book Antiqua" w:hAnsi="Book Antiqua"/>
        </w:rPr>
        <w:sectPr w:rsidR="00104E14" w:rsidRPr="0019049A">
          <w:pgSz w:w="12240" w:h="15840"/>
          <w:pgMar w:top="1440" w:right="1440" w:bottom="1440" w:left="1440" w:header="720" w:footer="720" w:gutter="0"/>
          <w:cols w:space="720"/>
          <w:docGrid w:linePitch="360"/>
        </w:sectPr>
      </w:pPr>
      <w:r w:rsidRPr="0019049A">
        <w:rPr>
          <w:rFonts w:ascii="Book Antiqua" w:hAnsi="Book Antiqua"/>
        </w:rPr>
        <w:t xml:space="preserve"> </w:t>
      </w:r>
    </w:p>
    <w:p w14:paraId="471ABF27" w14:textId="77777777" w:rsidR="00104E14" w:rsidRPr="0019049A" w:rsidRDefault="00104E14" w:rsidP="00104E14">
      <w:pPr>
        <w:jc w:val="center"/>
        <w:rPr>
          <w:rFonts w:ascii="Book Antiqua" w:hAnsi="Book Antiqua"/>
        </w:rPr>
      </w:pPr>
    </w:p>
    <w:p w14:paraId="6824069E" w14:textId="77777777" w:rsidR="00104E14" w:rsidRPr="0019049A" w:rsidRDefault="00104E14" w:rsidP="00104E14">
      <w:pPr>
        <w:jc w:val="center"/>
        <w:rPr>
          <w:rFonts w:ascii="Book Antiqua" w:hAnsi="Book Antiqua"/>
        </w:rPr>
      </w:pPr>
    </w:p>
    <w:p w14:paraId="491ED83B" w14:textId="77777777" w:rsidR="00104E14" w:rsidRPr="0019049A" w:rsidRDefault="00104E14" w:rsidP="00104E14">
      <w:pPr>
        <w:jc w:val="center"/>
        <w:rPr>
          <w:rFonts w:ascii="Book Antiqua" w:hAnsi="Book Antiqua"/>
        </w:rPr>
      </w:pPr>
    </w:p>
    <w:p w14:paraId="3F5A1A70" w14:textId="77777777" w:rsidR="00104E14" w:rsidRPr="0019049A" w:rsidRDefault="00104E14" w:rsidP="00104E14">
      <w:pPr>
        <w:jc w:val="center"/>
        <w:rPr>
          <w:rFonts w:ascii="Book Antiqua" w:hAnsi="Book Antiqua"/>
        </w:rPr>
      </w:pPr>
    </w:p>
    <w:p w14:paraId="7EB50DB4" w14:textId="7567C921" w:rsidR="00104E14" w:rsidRPr="0019049A" w:rsidRDefault="00104E14" w:rsidP="00104E14">
      <w:pPr>
        <w:jc w:val="center"/>
        <w:rPr>
          <w:rFonts w:ascii="Book Antiqua" w:hAnsi="Book Antiqua"/>
        </w:rPr>
      </w:pPr>
      <w:r w:rsidRPr="0019049A">
        <w:rPr>
          <w:rFonts w:ascii="Book Antiqua" w:hAnsi="Book Antiqua"/>
          <w:noProof/>
        </w:rPr>
        <w:drawing>
          <wp:inline distT="0" distB="0" distL="0" distR="0" wp14:anchorId="5592AA8B" wp14:editId="0D6BA363">
            <wp:extent cx="2514600" cy="144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447800"/>
                    </a:xfrm>
                    <a:prstGeom prst="rect">
                      <a:avLst/>
                    </a:prstGeom>
                    <a:noFill/>
                    <a:ln>
                      <a:noFill/>
                    </a:ln>
                  </pic:spPr>
                </pic:pic>
              </a:graphicData>
            </a:graphic>
          </wp:inline>
        </w:drawing>
      </w:r>
    </w:p>
    <w:p w14:paraId="02DBBC7D" w14:textId="77777777" w:rsidR="00104E14" w:rsidRPr="0019049A" w:rsidRDefault="00104E14" w:rsidP="00104E14">
      <w:pPr>
        <w:jc w:val="center"/>
        <w:rPr>
          <w:rFonts w:ascii="Book Antiqua" w:hAnsi="Book Antiqua"/>
        </w:rPr>
      </w:pPr>
    </w:p>
    <w:p w14:paraId="42DAB1E5" w14:textId="77777777" w:rsidR="00104E14" w:rsidRPr="0019049A" w:rsidRDefault="00104E14" w:rsidP="00104E14">
      <w:pPr>
        <w:autoSpaceDE w:val="0"/>
        <w:autoSpaceDN w:val="0"/>
        <w:adjustRightInd w:val="0"/>
        <w:jc w:val="center"/>
        <w:rPr>
          <w:rFonts w:ascii="Book Antiqua" w:eastAsia="Garamond-Bold" w:hAnsi="Book Antiqua" w:cs="Garamond-Bold"/>
          <w:b/>
          <w:bCs/>
          <w:color w:val="000000"/>
          <w:sz w:val="28"/>
          <w:szCs w:val="28"/>
        </w:rPr>
      </w:pPr>
      <w:r w:rsidRPr="0019049A">
        <w:rPr>
          <w:rFonts w:ascii="Book Antiqua" w:eastAsia="TimesNewRomanPSMT" w:hAnsi="Book Antiqua" w:cs="TimesNewRomanPSMT"/>
          <w:color w:val="000000"/>
          <w:sz w:val="28"/>
          <w:szCs w:val="28"/>
        </w:rPr>
        <w:t xml:space="preserve">Published by </w:t>
      </w:r>
      <w:r w:rsidRPr="0019049A">
        <w:rPr>
          <w:rFonts w:ascii="Book Antiqua" w:eastAsia="Garamond-Bold" w:hAnsi="Book Antiqua" w:cs="Garamond-Bold"/>
          <w:b/>
          <w:bCs/>
          <w:color w:val="000000"/>
          <w:sz w:val="28"/>
          <w:szCs w:val="28"/>
        </w:rPr>
        <w:t>Baishideng Publishing Group Inc</w:t>
      </w:r>
    </w:p>
    <w:p w14:paraId="5AE777A8" w14:textId="77777777" w:rsidR="00104E14" w:rsidRPr="0019049A" w:rsidRDefault="00104E14" w:rsidP="00104E14">
      <w:pPr>
        <w:autoSpaceDE w:val="0"/>
        <w:autoSpaceDN w:val="0"/>
        <w:adjustRightInd w:val="0"/>
        <w:jc w:val="center"/>
        <w:rPr>
          <w:rFonts w:ascii="Book Antiqua" w:eastAsia="TimesNewRomanPSMT" w:hAnsi="Book Antiqua" w:cs="Garamond"/>
          <w:color w:val="000000"/>
          <w:sz w:val="28"/>
          <w:szCs w:val="28"/>
        </w:rPr>
      </w:pPr>
      <w:r w:rsidRPr="0019049A">
        <w:rPr>
          <w:rFonts w:ascii="Book Antiqua" w:eastAsia="TimesNewRomanPSMT" w:hAnsi="Book Antiqua" w:cs="Garamond"/>
          <w:color w:val="000000"/>
          <w:sz w:val="28"/>
          <w:szCs w:val="28"/>
        </w:rPr>
        <w:t>7041 Koll Center Parkway, Suite 160, Pleasanton, CA 94566, USA</w:t>
      </w:r>
    </w:p>
    <w:p w14:paraId="7CE65439" w14:textId="77777777" w:rsidR="00104E14" w:rsidRPr="0019049A" w:rsidRDefault="00104E14" w:rsidP="00104E14">
      <w:pPr>
        <w:autoSpaceDE w:val="0"/>
        <w:autoSpaceDN w:val="0"/>
        <w:adjustRightInd w:val="0"/>
        <w:jc w:val="center"/>
        <w:rPr>
          <w:rFonts w:ascii="Book Antiqua" w:eastAsia="TimesNewRomanPSMT" w:hAnsi="Book Antiqua" w:cs="Garamond"/>
          <w:color w:val="000000"/>
          <w:sz w:val="28"/>
          <w:szCs w:val="28"/>
        </w:rPr>
      </w:pPr>
      <w:r w:rsidRPr="0019049A">
        <w:rPr>
          <w:rFonts w:ascii="Book Antiqua" w:eastAsia="Garamond-Bold" w:hAnsi="Book Antiqua" w:cs="Garamond-Bold"/>
          <w:b/>
          <w:bCs/>
          <w:color w:val="000000"/>
          <w:sz w:val="28"/>
          <w:szCs w:val="28"/>
        </w:rPr>
        <w:t xml:space="preserve">Telephone: </w:t>
      </w:r>
      <w:r w:rsidRPr="0019049A">
        <w:rPr>
          <w:rFonts w:ascii="Book Antiqua" w:eastAsia="TimesNewRomanPSMT" w:hAnsi="Book Antiqua" w:cs="Garamond"/>
          <w:color w:val="000000"/>
          <w:sz w:val="28"/>
          <w:szCs w:val="28"/>
        </w:rPr>
        <w:t>+1-925-3991568</w:t>
      </w:r>
    </w:p>
    <w:p w14:paraId="2B3A1A00" w14:textId="77777777" w:rsidR="00104E14" w:rsidRPr="0019049A" w:rsidRDefault="00104E14" w:rsidP="00104E14">
      <w:pPr>
        <w:autoSpaceDE w:val="0"/>
        <w:autoSpaceDN w:val="0"/>
        <w:adjustRightInd w:val="0"/>
        <w:jc w:val="center"/>
        <w:rPr>
          <w:rFonts w:ascii="Book Antiqua" w:eastAsia="TimesNewRomanPSMT" w:hAnsi="Book Antiqua" w:cs="Garamond"/>
          <w:color w:val="D56400"/>
          <w:sz w:val="28"/>
          <w:szCs w:val="28"/>
        </w:rPr>
      </w:pPr>
      <w:r w:rsidRPr="0019049A">
        <w:rPr>
          <w:rFonts w:ascii="Book Antiqua" w:eastAsia="Garamond-Bold" w:hAnsi="Book Antiqua" w:cs="Garamond-Bold"/>
          <w:b/>
          <w:bCs/>
          <w:color w:val="000000"/>
          <w:sz w:val="28"/>
          <w:szCs w:val="28"/>
        </w:rPr>
        <w:t xml:space="preserve">E-mail: </w:t>
      </w:r>
      <w:r w:rsidRPr="0019049A">
        <w:rPr>
          <w:rFonts w:ascii="Book Antiqua" w:eastAsia="TimesNewRomanPSMT" w:hAnsi="Book Antiqua" w:cs="Garamond"/>
          <w:color w:val="D56400"/>
          <w:sz w:val="28"/>
          <w:szCs w:val="28"/>
        </w:rPr>
        <w:t>bpgoffice@wjgnet.com</w:t>
      </w:r>
    </w:p>
    <w:p w14:paraId="6F043F40" w14:textId="77777777" w:rsidR="00104E14" w:rsidRPr="0019049A" w:rsidRDefault="00104E14" w:rsidP="00104E14">
      <w:pPr>
        <w:autoSpaceDE w:val="0"/>
        <w:autoSpaceDN w:val="0"/>
        <w:adjustRightInd w:val="0"/>
        <w:jc w:val="center"/>
        <w:rPr>
          <w:rFonts w:ascii="Book Antiqua" w:eastAsia="TimesNewRomanPSMT" w:hAnsi="Book Antiqua" w:cs="Garamond"/>
          <w:color w:val="D56400"/>
          <w:sz w:val="28"/>
          <w:szCs w:val="28"/>
        </w:rPr>
      </w:pPr>
      <w:r w:rsidRPr="0019049A">
        <w:rPr>
          <w:rFonts w:ascii="Book Antiqua" w:eastAsia="Garamond-Bold" w:hAnsi="Book Antiqua" w:cs="Garamond-Bold"/>
          <w:b/>
          <w:bCs/>
          <w:color w:val="000000"/>
          <w:sz w:val="28"/>
          <w:szCs w:val="28"/>
        </w:rPr>
        <w:t xml:space="preserve">Help Desk: </w:t>
      </w:r>
      <w:r w:rsidRPr="0019049A">
        <w:rPr>
          <w:rFonts w:ascii="Book Antiqua" w:eastAsia="TimesNewRomanPSMT" w:hAnsi="Book Antiqua" w:cs="Garamond"/>
          <w:color w:val="D56400"/>
          <w:sz w:val="28"/>
          <w:szCs w:val="28"/>
        </w:rPr>
        <w:t>https://www.f6publishing.com/helpdesk</w:t>
      </w:r>
    </w:p>
    <w:p w14:paraId="10FB5E82" w14:textId="77777777" w:rsidR="00104E14" w:rsidRPr="0019049A" w:rsidRDefault="00104E14" w:rsidP="00104E14">
      <w:pPr>
        <w:jc w:val="center"/>
        <w:rPr>
          <w:rFonts w:ascii="Book Antiqua" w:hAnsi="Book Antiqua"/>
        </w:rPr>
      </w:pPr>
      <w:r w:rsidRPr="0019049A">
        <w:rPr>
          <w:rFonts w:ascii="Book Antiqua" w:eastAsia="TimesNewRomanPSMT" w:hAnsi="Book Antiqua" w:cs="Garamond"/>
          <w:color w:val="D56400"/>
          <w:sz w:val="28"/>
          <w:szCs w:val="28"/>
        </w:rPr>
        <w:t>https://www.wjgnet.com</w:t>
      </w:r>
    </w:p>
    <w:p w14:paraId="16655634" w14:textId="77777777" w:rsidR="00104E14" w:rsidRPr="0019049A" w:rsidRDefault="00104E14" w:rsidP="00104E14">
      <w:pPr>
        <w:jc w:val="center"/>
        <w:rPr>
          <w:rFonts w:ascii="Book Antiqua" w:hAnsi="Book Antiqua"/>
        </w:rPr>
      </w:pPr>
    </w:p>
    <w:p w14:paraId="48A8CC7A" w14:textId="77777777" w:rsidR="00104E14" w:rsidRPr="0019049A" w:rsidRDefault="00104E14" w:rsidP="00104E14">
      <w:pPr>
        <w:jc w:val="center"/>
        <w:rPr>
          <w:rFonts w:ascii="Book Antiqua" w:hAnsi="Book Antiqua"/>
        </w:rPr>
      </w:pPr>
    </w:p>
    <w:p w14:paraId="0EB93805" w14:textId="77777777" w:rsidR="00104E14" w:rsidRPr="0019049A" w:rsidRDefault="00104E14" w:rsidP="00104E14">
      <w:pPr>
        <w:jc w:val="center"/>
        <w:rPr>
          <w:rFonts w:ascii="Book Antiqua" w:hAnsi="Book Antiqua"/>
        </w:rPr>
      </w:pPr>
    </w:p>
    <w:p w14:paraId="72A6C72B" w14:textId="036807BB" w:rsidR="00104E14" w:rsidRPr="0019049A" w:rsidRDefault="00104E14" w:rsidP="00104E14">
      <w:pPr>
        <w:jc w:val="center"/>
        <w:rPr>
          <w:rFonts w:ascii="Book Antiqua" w:hAnsi="Book Antiqua"/>
        </w:rPr>
      </w:pPr>
      <w:r w:rsidRPr="0019049A">
        <w:rPr>
          <w:rFonts w:ascii="Book Antiqua" w:hAnsi="Book Antiqua"/>
          <w:noProof/>
        </w:rPr>
        <w:drawing>
          <wp:inline distT="0" distB="0" distL="0" distR="0" wp14:anchorId="76A58636" wp14:editId="70F1B2DF">
            <wp:extent cx="1447800" cy="1447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0333B509" w14:textId="77777777" w:rsidR="00104E14" w:rsidRPr="0019049A" w:rsidRDefault="00104E14" w:rsidP="00104E14">
      <w:pPr>
        <w:jc w:val="center"/>
        <w:rPr>
          <w:rFonts w:ascii="Book Antiqua" w:hAnsi="Book Antiqua"/>
        </w:rPr>
      </w:pPr>
    </w:p>
    <w:p w14:paraId="71B4C9D9" w14:textId="77777777" w:rsidR="00104E14" w:rsidRPr="0019049A" w:rsidRDefault="00104E14" w:rsidP="00104E14">
      <w:pPr>
        <w:jc w:val="center"/>
        <w:rPr>
          <w:rFonts w:ascii="Book Antiqua" w:hAnsi="Book Antiqua"/>
        </w:rPr>
      </w:pPr>
    </w:p>
    <w:p w14:paraId="3FB070C9" w14:textId="77777777" w:rsidR="00104E14" w:rsidRPr="0019049A" w:rsidRDefault="00104E14" w:rsidP="00104E14">
      <w:pPr>
        <w:jc w:val="center"/>
        <w:rPr>
          <w:rFonts w:ascii="Book Antiqua" w:hAnsi="Book Antiqua"/>
        </w:rPr>
      </w:pPr>
    </w:p>
    <w:p w14:paraId="6EE3AF99" w14:textId="77777777" w:rsidR="00104E14" w:rsidRPr="0019049A" w:rsidRDefault="00104E14" w:rsidP="00104E14">
      <w:pPr>
        <w:jc w:val="center"/>
        <w:rPr>
          <w:rFonts w:ascii="Book Antiqua" w:hAnsi="Book Antiqua"/>
        </w:rPr>
      </w:pPr>
    </w:p>
    <w:p w14:paraId="2FD485F5" w14:textId="77777777" w:rsidR="00104E14" w:rsidRPr="0019049A" w:rsidRDefault="00104E14" w:rsidP="00104E14">
      <w:pPr>
        <w:jc w:val="center"/>
        <w:rPr>
          <w:rFonts w:ascii="Book Antiqua" w:hAnsi="Book Antiqua"/>
        </w:rPr>
      </w:pPr>
    </w:p>
    <w:p w14:paraId="0723C7C6" w14:textId="77777777" w:rsidR="00104E14" w:rsidRPr="0019049A" w:rsidRDefault="00104E14" w:rsidP="00104E14">
      <w:pPr>
        <w:jc w:val="center"/>
        <w:rPr>
          <w:rFonts w:ascii="Book Antiqua" w:hAnsi="Book Antiqua"/>
        </w:rPr>
      </w:pPr>
    </w:p>
    <w:p w14:paraId="02B39A26" w14:textId="77777777" w:rsidR="00104E14" w:rsidRPr="0019049A" w:rsidRDefault="00104E14" w:rsidP="00104E14">
      <w:pPr>
        <w:jc w:val="center"/>
        <w:rPr>
          <w:rFonts w:ascii="Book Antiqua" w:hAnsi="Book Antiqua"/>
        </w:rPr>
      </w:pPr>
    </w:p>
    <w:p w14:paraId="3F2D6584" w14:textId="77777777" w:rsidR="00104E14" w:rsidRPr="0019049A" w:rsidRDefault="00104E14" w:rsidP="00104E14">
      <w:pPr>
        <w:jc w:val="center"/>
        <w:rPr>
          <w:rFonts w:ascii="Book Antiqua" w:hAnsi="Book Antiqua"/>
        </w:rPr>
      </w:pPr>
    </w:p>
    <w:p w14:paraId="4B9C5E42" w14:textId="77777777" w:rsidR="00104E14" w:rsidRPr="0019049A" w:rsidRDefault="00104E14" w:rsidP="00104E14">
      <w:pPr>
        <w:jc w:val="center"/>
        <w:rPr>
          <w:rFonts w:ascii="Book Antiqua" w:hAnsi="Book Antiqua"/>
        </w:rPr>
      </w:pPr>
    </w:p>
    <w:p w14:paraId="48D8EAA2" w14:textId="77777777" w:rsidR="00104E14" w:rsidRPr="0019049A" w:rsidRDefault="00104E14" w:rsidP="00104E14">
      <w:pPr>
        <w:jc w:val="right"/>
        <w:rPr>
          <w:rFonts w:ascii="Book Antiqua" w:hAnsi="Book Antiqua"/>
          <w:color w:val="000000" w:themeColor="text1"/>
        </w:rPr>
      </w:pPr>
    </w:p>
    <w:p w14:paraId="44AE2ED4" w14:textId="77777777" w:rsidR="00104E14" w:rsidRDefault="00104E14" w:rsidP="00104E14">
      <w:pPr>
        <w:jc w:val="center"/>
        <w:rPr>
          <w:rFonts w:ascii="Book Antiqua" w:eastAsia="BookAntiqua-Bold" w:hAnsi="Book Antiqua" w:cs="BookAntiqua-Bold"/>
          <w:b/>
          <w:bCs/>
          <w:color w:val="000000" w:themeColor="text1"/>
        </w:rPr>
      </w:pPr>
      <w:r w:rsidRPr="0019049A">
        <w:rPr>
          <w:rFonts w:ascii="Book Antiqua" w:eastAsia="BookAntiqua-Bold" w:hAnsi="Book Antiqua" w:cs="BookAntiqua-Bold"/>
          <w:b/>
          <w:bCs/>
          <w:color w:val="000000" w:themeColor="text1"/>
        </w:rPr>
        <w:t>© 2022 Baishideng Publishing Group Inc. All rights reserved.</w:t>
      </w:r>
      <w:r>
        <w:rPr>
          <w:rFonts w:ascii="Book Antiqua" w:eastAsia="BookAntiqua-Bold" w:hAnsi="Book Antiqua" w:cs="BookAntiqua-Bold"/>
          <w:b/>
          <w:bCs/>
          <w:color w:val="000000" w:themeColor="text1"/>
        </w:rPr>
        <w:t xml:space="preserve"> </w:t>
      </w:r>
    </w:p>
    <w:p w14:paraId="1A1C09AA" w14:textId="77777777" w:rsidR="001653FC" w:rsidRDefault="001653FC">
      <w:pPr>
        <w:widowControl w:val="0"/>
        <w:autoSpaceDE w:val="0"/>
        <w:autoSpaceDN w:val="0"/>
        <w:adjustRightInd w:val="0"/>
        <w:spacing w:line="360" w:lineRule="auto"/>
        <w:jc w:val="both"/>
        <w:rPr>
          <w:rFonts w:ascii="Book Antiqua" w:hAnsi="Book Antiqua"/>
        </w:rPr>
      </w:pPr>
    </w:p>
    <w:sectPr w:rsidR="001653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3518" w14:textId="77777777" w:rsidR="00E80E9A" w:rsidRDefault="00E80E9A">
      <w:r>
        <w:separator/>
      </w:r>
    </w:p>
  </w:endnote>
  <w:endnote w:type="continuationSeparator" w:id="0">
    <w:p w14:paraId="275D84DE" w14:textId="77777777" w:rsidR="00E80E9A" w:rsidRDefault="00E8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VarelaRound-Regular">
    <w:altName w:val="Calibri"/>
    <w:charset w:val="00"/>
    <w:family w:val="auto"/>
    <w:pitch w:val="default"/>
    <w:sig w:usb0="00000000" w:usb1="00000000" w:usb2="00000000" w:usb3="00000000" w:csb0="00000001" w:csb1="00000000"/>
  </w:font>
  <w:font w:name="TimesNewRomanPSMT">
    <w:altName w:val="等线"/>
    <w:charset w:val="86"/>
    <w:family w:val="auto"/>
    <w:pitch w:val="default"/>
    <w:sig w:usb0="00000005" w:usb1="080F0000" w:usb2="00000010" w:usb3="00000000" w:csb0="00060002" w:csb1="00000000"/>
  </w:font>
  <w:font w:name="Garamond-Bold">
    <w:altName w:val="Roanoke Scrip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878682"/>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5FAFF2BD" w14:textId="77777777" w:rsidR="001653FC" w:rsidRDefault="008C2E61">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sdtContent>
      </w:sdt>
    </w:sdtContent>
  </w:sdt>
  <w:p w14:paraId="7C002CF9" w14:textId="77777777" w:rsidR="001653FC" w:rsidRDefault="001653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F20E" w14:textId="77777777" w:rsidR="00E80E9A" w:rsidRDefault="00E80E9A">
      <w:r>
        <w:separator/>
      </w:r>
    </w:p>
  </w:footnote>
  <w:footnote w:type="continuationSeparator" w:id="0">
    <w:p w14:paraId="60B9029A" w14:textId="77777777" w:rsidR="00E80E9A" w:rsidRDefault="00E80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CA2"/>
    <w:rsid w:val="00007180"/>
    <w:rsid w:val="00021369"/>
    <w:rsid w:val="000327E1"/>
    <w:rsid w:val="00036861"/>
    <w:rsid w:val="00040905"/>
    <w:rsid w:val="00042819"/>
    <w:rsid w:val="00051DD3"/>
    <w:rsid w:val="000528D6"/>
    <w:rsid w:val="00062425"/>
    <w:rsid w:val="00075949"/>
    <w:rsid w:val="000841D0"/>
    <w:rsid w:val="000A35FE"/>
    <w:rsid w:val="000D0D4B"/>
    <w:rsid w:val="000E2323"/>
    <w:rsid w:val="000F33DC"/>
    <w:rsid w:val="00104E14"/>
    <w:rsid w:val="00106FC5"/>
    <w:rsid w:val="00117C06"/>
    <w:rsid w:val="0012236D"/>
    <w:rsid w:val="00124273"/>
    <w:rsid w:val="001342F1"/>
    <w:rsid w:val="00143F97"/>
    <w:rsid w:val="001443C1"/>
    <w:rsid w:val="00145471"/>
    <w:rsid w:val="00150923"/>
    <w:rsid w:val="0015295B"/>
    <w:rsid w:val="00163B98"/>
    <w:rsid w:val="001653FC"/>
    <w:rsid w:val="00175C49"/>
    <w:rsid w:val="00184AAD"/>
    <w:rsid w:val="00185D0C"/>
    <w:rsid w:val="0019049A"/>
    <w:rsid w:val="001A10C2"/>
    <w:rsid w:val="001A139E"/>
    <w:rsid w:val="001A1577"/>
    <w:rsid w:val="001B0060"/>
    <w:rsid w:val="001B22E2"/>
    <w:rsid w:val="001D6317"/>
    <w:rsid w:val="001D7B58"/>
    <w:rsid w:val="001E374E"/>
    <w:rsid w:val="001E55E3"/>
    <w:rsid w:val="001F1318"/>
    <w:rsid w:val="001F42AB"/>
    <w:rsid w:val="00201111"/>
    <w:rsid w:val="0021203B"/>
    <w:rsid w:val="002174D2"/>
    <w:rsid w:val="00222853"/>
    <w:rsid w:val="002249F4"/>
    <w:rsid w:val="00233FC0"/>
    <w:rsid w:val="00236F08"/>
    <w:rsid w:val="00243EB8"/>
    <w:rsid w:val="00271875"/>
    <w:rsid w:val="002727FB"/>
    <w:rsid w:val="00273DB0"/>
    <w:rsid w:val="002746FF"/>
    <w:rsid w:val="00276362"/>
    <w:rsid w:val="00283803"/>
    <w:rsid w:val="00295AFA"/>
    <w:rsid w:val="002A7227"/>
    <w:rsid w:val="002B72D3"/>
    <w:rsid w:val="002C7B23"/>
    <w:rsid w:val="002F5D7E"/>
    <w:rsid w:val="00334225"/>
    <w:rsid w:val="003353A2"/>
    <w:rsid w:val="00350048"/>
    <w:rsid w:val="00361BF2"/>
    <w:rsid w:val="0036205F"/>
    <w:rsid w:val="00375962"/>
    <w:rsid w:val="0038147A"/>
    <w:rsid w:val="00392B57"/>
    <w:rsid w:val="003943D2"/>
    <w:rsid w:val="003A736E"/>
    <w:rsid w:val="003B1D90"/>
    <w:rsid w:val="003B64BB"/>
    <w:rsid w:val="003C03AB"/>
    <w:rsid w:val="003C3DF9"/>
    <w:rsid w:val="003C4454"/>
    <w:rsid w:val="003C6D3F"/>
    <w:rsid w:val="003D4F4B"/>
    <w:rsid w:val="003E27B2"/>
    <w:rsid w:val="003E6977"/>
    <w:rsid w:val="00404D76"/>
    <w:rsid w:val="00406CCC"/>
    <w:rsid w:val="004136C8"/>
    <w:rsid w:val="00415CF3"/>
    <w:rsid w:val="00415D92"/>
    <w:rsid w:val="00426D84"/>
    <w:rsid w:val="0042785D"/>
    <w:rsid w:val="00432B00"/>
    <w:rsid w:val="00440DF2"/>
    <w:rsid w:val="00443856"/>
    <w:rsid w:val="00476751"/>
    <w:rsid w:val="0049607A"/>
    <w:rsid w:val="004A5434"/>
    <w:rsid w:val="004A6CCF"/>
    <w:rsid w:val="004B098A"/>
    <w:rsid w:val="004C42D7"/>
    <w:rsid w:val="004C55E6"/>
    <w:rsid w:val="004C6871"/>
    <w:rsid w:val="004D067E"/>
    <w:rsid w:val="004D365A"/>
    <w:rsid w:val="004F2CBF"/>
    <w:rsid w:val="004F7B98"/>
    <w:rsid w:val="00510911"/>
    <w:rsid w:val="00512A4F"/>
    <w:rsid w:val="00520121"/>
    <w:rsid w:val="005211B9"/>
    <w:rsid w:val="005225E4"/>
    <w:rsid w:val="0053232C"/>
    <w:rsid w:val="005411D5"/>
    <w:rsid w:val="00541A1A"/>
    <w:rsid w:val="0054741D"/>
    <w:rsid w:val="00574552"/>
    <w:rsid w:val="00582290"/>
    <w:rsid w:val="005A74DC"/>
    <w:rsid w:val="005B4813"/>
    <w:rsid w:val="005F24C3"/>
    <w:rsid w:val="005F3DC5"/>
    <w:rsid w:val="005F60ED"/>
    <w:rsid w:val="0061038C"/>
    <w:rsid w:val="00614BF6"/>
    <w:rsid w:val="00614FAD"/>
    <w:rsid w:val="00616001"/>
    <w:rsid w:val="006165B8"/>
    <w:rsid w:val="00620674"/>
    <w:rsid w:val="006211A4"/>
    <w:rsid w:val="00622E85"/>
    <w:rsid w:val="00625E27"/>
    <w:rsid w:val="00627CF0"/>
    <w:rsid w:val="00633FA4"/>
    <w:rsid w:val="00640933"/>
    <w:rsid w:val="00641BB1"/>
    <w:rsid w:val="00642107"/>
    <w:rsid w:val="00653B59"/>
    <w:rsid w:val="00672BA5"/>
    <w:rsid w:val="006839DE"/>
    <w:rsid w:val="00684721"/>
    <w:rsid w:val="00696301"/>
    <w:rsid w:val="006A7028"/>
    <w:rsid w:val="006B0C78"/>
    <w:rsid w:val="006B3591"/>
    <w:rsid w:val="006B51A5"/>
    <w:rsid w:val="006C0564"/>
    <w:rsid w:val="006C0D0B"/>
    <w:rsid w:val="006C7078"/>
    <w:rsid w:val="006D0E19"/>
    <w:rsid w:val="006D286D"/>
    <w:rsid w:val="006D5213"/>
    <w:rsid w:val="006D5B63"/>
    <w:rsid w:val="006D6F6F"/>
    <w:rsid w:val="006E1C04"/>
    <w:rsid w:val="006E5E89"/>
    <w:rsid w:val="006F1F84"/>
    <w:rsid w:val="006F31E3"/>
    <w:rsid w:val="00702FC5"/>
    <w:rsid w:val="00711174"/>
    <w:rsid w:val="00720054"/>
    <w:rsid w:val="007215AB"/>
    <w:rsid w:val="00726384"/>
    <w:rsid w:val="00727307"/>
    <w:rsid w:val="00731B75"/>
    <w:rsid w:val="00732866"/>
    <w:rsid w:val="007361CE"/>
    <w:rsid w:val="00747D16"/>
    <w:rsid w:val="00750B98"/>
    <w:rsid w:val="0075310B"/>
    <w:rsid w:val="00763F97"/>
    <w:rsid w:val="00766E90"/>
    <w:rsid w:val="00770B14"/>
    <w:rsid w:val="00780A0F"/>
    <w:rsid w:val="00785F25"/>
    <w:rsid w:val="0078663B"/>
    <w:rsid w:val="00794445"/>
    <w:rsid w:val="007A4CEB"/>
    <w:rsid w:val="007B2A4A"/>
    <w:rsid w:val="007C0702"/>
    <w:rsid w:val="007C2148"/>
    <w:rsid w:val="007C3353"/>
    <w:rsid w:val="007C76A2"/>
    <w:rsid w:val="007D5126"/>
    <w:rsid w:val="007D5EA3"/>
    <w:rsid w:val="007D6AE3"/>
    <w:rsid w:val="007E02E4"/>
    <w:rsid w:val="007E2AFE"/>
    <w:rsid w:val="007F5A5E"/>
    <w:rsid w:val="007F7B95"/>
    <w:rsid w:val="008034D4"/>
    <w:rsid w:val="00807E8E"/>
    <w:rsid w:val="0081089B"/>
    <w:rsid w:val="00810973"/>
    <w:rsid w:val="00813FBE"/>
    <w:rsid w:val="008161A3"/>
    <w:rsid w:val="008302B4"/>
    <w:rsid w:val="0083162A"/>
    <w:rsid w:val="00831BAD"/>
    <w:rsid w:val="00833C43"/>
    <w:rsid w:val="008355BF"/>
    <w:rsid w:val="00837BB3"/>
    <w:rsid w:val="00843B2C"/>
    <w:rsid w:val="00844DCC"/>
    <w:rsid w:val="00845205"/>
    <w:rsid w:val="008520C6"/>
    <w:rsid w:val="00854C1A"/>
    <w:rsid w:val="00863AD1"/>
    <w:rsid w:val="00891A1D"/>
    <w:rsid w:val="00896D52"/>
    <w:rsid w:val="008A400B"/>
    <w:rsid w:val="008B7D57"/>
    <w:rsid w:val="008C2E61"/>
    <w:rsid w:val="008D0863"/>
    <w:rsid w:val="008D689B"/>
    <w:rsid w:val="008E1DC2"/>
    <w:rsid w:val="009028C8"/>
    <w:rsid w:val="009054FB"/>
    <w:rsid w:val="00910B92"/>
    <w:rsid w:val="00920EA1"/>
    <w:rsid w:val="00925E95"/>
    <w:rsid w:val="00931DC6"/>
    <w:rsid w:val="00934E1B"/>
    <w:rsid w:val="0094259B"/>
    <w:rsid w:val="009522D2"/>
    <w:rsid w:val="00962725"/>
    <w:rsid w:val="00964265"/>
    <w:rsid w:val="00965B2E"/>
    <w:rsid w:val="009674FE"/>
    <w:rsid w:val="009761AB"/>
    <w:rsid w:val="00992C8A"/>
    <w:rsid w:val="009944C4"/>
    <w:rsid w:val="009C394C"/>
    <w:rsid w:val="009D0B17"/>
    <w:rsid w:val="009D1DA5"/>
    <w:rsid w:val="009D24C9"/>
    <w:rsid w:val="009D4F9E"/>
    <w:rsid w:val="009E09B7"/>
    <w:rsid w:val="009E3F48"/>
    <w:rsid w:val="009E73F1"/>
    <w:rsid w:val="009F324A"/>
    <w:rsid w:val="009F677C"/>
    <w:rsid w:val="00A04DB2"/>
    <w:rsid w:val="00A113BE"/>
    <w:rsid w:val="00A137A7"/>
    <w:rsid w:val="00A213B7"/>
    <w:rsid w:val="00A21F5E"/>
    <w:rsid w:val="00A325DA"/>
    <w:rsid w:val="00A41D91"/>
    <w:rsid w:val="00A45158"/>
    <w:rsid w:val="00A53950"/>
    <w:rsid w:val="00A54374"/>
    <w:rsid w:val="00A5587C"/>
    <w:rsid w:val="00A56DDF"/>
    <w:rsid w:val="00A6265F"/>
    <w:rsid w:val="00A66A5F"/>
    <w:rsid w:val="00A77B3E"/>
    <w:rsid w:val="00A868A1"/>
    <w:rsid w:val="00A96D14"/>
    <w:rsid w:val="00A9779F"/>
    <w:rsid w:val="00AA3961"/>
    <w:rsid w:val="00AA4D55"/>
    <w:rsid w:val="00AB3AEE"/>
    <w:rsid w:val="00AB7B3F"/>
    <w:rsid w:val="00AC012E"/>
    <w:rsid w:val="00AE0996"/>
    <w:rsid w:val="00AE47D6"/>
    <w:rsid w:val="00AE4AA3"/>
    <w:rsid w:val="00AE4D94"/>
    <w:rsid w:val="00AF1F4A"/>
    <w:rsid w:val="00AF7620"/>
    <w:rsid w:val="00B116E4"/>
    <w:rsid w:val="00B15270"/>
    <w:rsid w:val="00B17C42"/>
    <w:rsid w:val="00B20D86"/>
    <w:rsid w:val="00B21FF7"/>
    <w:rsid w:val="00B22F95"/>
    <w:rsid w:val="00B2575B"/>
    <w:rsid w:val="00B317CA"/>
    <w:rsid w:val="00B33C96"/>
    <w:rsid w:val="00B410FD"/>
    <w:rsid w:val="00B44DA2"/>
    <w:rsid w:val="00B513FD"/>
    <w:rsid w:val="00B62D2F"/>
    <w:rsid w:val="00B64EF9"/>
    <w:rsid w:val="00B71B2D"/>
    <w:rsid w:val="00B760A4"/>
    <w:rsid w:val="00B77C75"/>
    <w:rsid w:val="00B84E26"/>
    <w:rsid w:val="00B85DF4"/>
    <w:rsid w:val="00B90CE6"/>
    <w:rsid w:val="00B94F02"/>
    <w:rsid w:val="00B94F30"/>
    <w:rsid w:val="00B96F14"/>
    <w:rsid w:val="00BA7F4E"/>
    <w:rsid w:val="00BD4CA9"/>
    <w:rsid w:val="00BD634E"/>
    <w:rsid w:val="00BE2628"/>
    <w:rsid w:val="00BE2A76"/>
    <w:rsid w:val="00BE47C8"/>
    <w:rsid w:val="00BF48E8"/>
    <w:rsid w:val="00C0151A"/>
    <w:rsid w:val="00C17B34"/>
    <w:rsid w:val="00C30602"/>
    <w:rsid w:val="00C328E8"/>
    <w:rsid w:val="00C354E9"/>
    <w:rsid w:val="00C35FD2"/>
    <w:rsid w:val="00C52274"/>
    <w:rsid w:val="00C60699"/>
    <w:rsid w:val="00C60DAD"/>
    <w:rsid w:val="00C63416"/>
    <w:rsid w:val="00C6387B"/>
    <w:rsid w:val="00C63F18"/>
    <w:rsid w:val="00C6543F"/>
    <w:rsid w:val="00C673E6"/>
    <w:rsid w:val="00C71F2F"/>
    <w:rsid w:val="00C752AB"/>
    <w:rsid w:val="00C8757F"/>
    <w:rsid w:val="00C928F2"/>
    <w:rsid w:val="00CA086E"/>
    <w:rsid w:val="00CA2A55"/>
    <w:rsid w:val="00CA447D"/>
    <w:rsid w:val="00CA78A6"/>
    <w:rsid w:val="00CB065D"/>
    <w:rsid w:val="00CB14E9"/>
    <w:rsid w:val="00CB1A46"/>
    <w:rsid w:val="00CB28BA"/>
    <w:rsid w:val="00CB522F"/>
    <w:rsid w:val="00CC00CE"/>
    <w:rsid w:val="00CC177D"/>
    <w:rsid w:val="00CC6B00"/>
    <w:rsid w:val="00CD6389"/>
    <w:rsid w:val="00CE3291"/>
    <w:rsid w:val="00CE7A11"/>
    <w:rsid w:val="00CF26D5"/>
    <w:rsid w:val="00D0315A"/>
    <w:rsid w:val="00D078A1"/>
    <w:rsid w:val="00D13187"/>
    <w:rsid w:val="00D1335D"/>
    <w:rsid w:val="00D1336C"/>
    <w:rsid w:val="00D421E8"/>
    <w:rsid w:val="00D47E66"/>
    <w:rsid w:val="00D52AA1"/>
    <w:rsid w:val="00D60CB6"/>
    <w:rsid w:val="00D83CEE"/>
    <w:rsid w:val="00D85C44"/>
    <w:rsid w:val="00D97FB6"/>
    <w:rsid w:val="00DA5385"/>
    <w:rsid w:val="00DA6EAD"/>
    <w:rsid w:val="00DB0CF1"/>
    <w:rsid w:val="00DC078B"/>
    <w:rsid w:val="00DC1743"/>
    <w:rsid w:val="00DC60DE"/>
    <w:rsid w:val="00DD4CE2"/>
    <w:rsid w:val="00DD5053"/>
    <w:rsid w:val="00DF13FF"/>
    <w:rsid w:val="00DF4556"/>
    <w:rsid w:val="00DF6FEC"/>
    <w:rsid w:val="00E13A56"/>
    <w:rsid w:val="00E224E6"/>
    <w:rsid w:val="00E22C18"/>
    <w:rsid w:val="00E24040"/>
    <w:rsid w:val="00E25930"/>
    <w:rsid w:val="00E33823"/>
    <w:rsid w:val="00E35DCD"/>
    <w:rsid w:val="00E3671B"/>
    <w:rsid w:val="00E36D87"/>
    <w:rsid w:val="00E41554"/>
    <w:rsid w:val="00E51D29"/>
    <w:rsid w:val="00E56173"/>
    <w:rsid w:val="00E62199"/>
    <w:rsid w:val="00E62E8D"/>
    <w:rsid w:val="00E63478"/>
    <w:rsid w:val="00E80E9A"/>
    <w:rsid w:val="00E91922"/>
    <w:rsid w:val="00EA4DEC"/>
    <w:rsid w:val="00EA7C89"/>
    <w:rsid w:val="00EA7DEB"/>
    <w:rsid w:val="00EB10F8"/>
    <w:rsid w:val="00EB45EC"/>
    <w:rsid w:val="00EC152C"/>
    <w:rsid w:val="00EC3E71"/>
    <w:rsid w:val="00ED6C27"/>
    <w:rsid w:val="00ED789D"/>
    <w:rsid w:val="00EE21C8"/>
    <w:rsid w:val="00EE60E3"/>
    <w:rsid w:val="00EF1CC0"/>
    <w:rsid w:val="00EF1FB2"/>
    <w:rsid w:val="00EF46B4"/>
    <w:rsid w:val="00EF5AD8"/>
    <w:rsid w:val="00F25E42"/>
    <w:rsid w:val="00F3207D"/>
    <w:rsid w:val="00F42011"/>
    <w:rsid w:val="00F445BB"/>
    <w:rsid w:val="00F47E69"/>
    <w:rsid w:val="00F47E74"/>
    <w:rsid w:val="00F5032B"/>
    <w:rsid w:val="00F71753"/>
    <w:rsid w:val="00FD1DC9"/>
    <w:rsid w:val="00FE7668"/>
    <w:rsid w:val="00FE7DBF"/>
    <w:rsid w:val="6CFA1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D63AE"/>
  <w15:docId w15:val="{ECAE843C-2A6C-4513-8618-242B67E6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qFormat/>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sz w:val="24"/>
      <w:szCs w:val="24"/>
      <w:lang w:eastAsia="en-US"/>
    </w:rPr>
  </w:style>
  <w:style w:type="paragraph" w:styleId="af">
    <w:name w:val="Revision"/>
    <w:hidden/>
    <w:uiPriority w:val="99"/>
    <w:semiHidden/>
    <w:rsid w:val="00C928F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57397">
      <w:bodyDiv w:val="1"/>
      <w:marLeft w:val="0"/>
      <w:marRight w:val="0"/>
      <w:marTop w:val="0"/>
      <w:marBottom w:val="0"/>
      <w:divBdr>
        <w:top w:val="none" w:sz="0" w:space="0" w:color="auto"/>
        <w:left w:val="none" w:sz="0" w:space="0" w:color="auto"/>
        <w:bottom w:val="none" w:sz="0" w:space="0" w:color="auto"/>
        <w:right w:val="none" w:sz="0" w:space="0" w:color="auto"/>
      </w:divBdr>
    </w:div>
    <w:div w:id="932861092">
      <w:bodyDiv w:val="1"/>
      <w:marLeft w:val="0"/>
      <w:marRight w:val="0"/>
      <w:marTop w:val="0"/>
      <w:marBottom w:val="0"/>
      <w:divBdr>
        <w:top w:val="none" w:sz="0" w:space="0" w:color="auto"/>
        <w:left w:val="none" w:sz="0" w:space="0" w:color="auto"/>
        <w:bottom w:val="none" w:sz="0" w:space="0" w:color="auto"/>
        <w:right w:val="none" w:sz="0" w:space="0" w:color="auto"/>
      </w:divBdr>
    </w:div>
    <w:div w:id="1584215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27</Pages>
  <Words>6098</Words>
  <Characters>34764</Characters>
  <Application>Microsoft Office Word</Application>
  <DocSecurity>0</DocSecurity>
  <Lines>289</Lines>
  <Paragraphs>81</Paragraphs>
  <ScaleCrop>false</ScaleCrop>
  <Company/>
  <LinksUpToDate>false</LinksUpToDate>
  <CharactersWithSpaces>40781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36</cp:revision>
  <dcterms:created xsi:type="dcterms:W3CDTF">2022-02-15T16:21:00Z</dcterms:created>
  <dcterms:modified xsi:type="dcterms:W3CDTF">2022-03-24T14:44:00Z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A754DCC077EF429E8E7F667A62D4CA54</vt:lpwstr>
  </property>
</Properties>
</file>