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ECDCC"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Name of Journal: </w:t>
      </w:r>
      <w:r w:rsidRPr="00C66771">
        <w:rPr>
          <w:rFonts w:ascii="Book Antiqua" w:eastAsia="Book Antiqua" w:hAnsi="Book Antiqua" w:cs="Book Antiqua"/>
          <w:i/>
          <w:color w:val="000000"/>
        </w:rPr>
        <w:t>World Journal of Clinical Cases</w:t>
      </w:r>
    </w:p>
    <w:p w14:paraId="2589FD61"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Manuscript NO: </w:t>
      </w:r>
      <w:r w:rsidRPr="00C66771">
        <w:rPr>
          <w:rFonts w:ascii="Book Antiqua" w:eastAsia="Book Antiqua" w:hAnsi="Book Antiqua" w:cs="Book Antiqua"/>
          <w:color w:val="000000"/>
        </w:rPr>
        <w:t>73468</w:t>
      </w:r>
    </w:p>
    <w:p w14:paraId="39CA25CA"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Manuscript Type: </w:t>
      </w:r>
      <w:r w:rsidRPr="00C66771">
        <w:rPr>
          <w:rFonts w:ascii="Book Antiqua" w:eastAsia="Book Antiqua" w:hAnsi="Book Antiqua" w:cs="Book Antiqua"/>
          <w:color w:val="000000"/>
        </w:rPr>
        <w:t>CASE REPORT</w:t>
      </w:r>
    </w:p>
    <w:p w14:paraId="1B188F07" w14:textId="77777777" w:rsidR="00B63A21" w:rsidRPr="00C66771" w:rsidRDefault="00B63A21">
      <w:pPr>
        <w:adjustRightInd w:val="0"/>
        <w:snapToGrid w:val="0"/>
        <w:spacing w:line="360" w:lineRule="auto"/>
        <w:jc w:val="both"/>
        <w:rPr>
          <w:rFonts w:ascii="Book Antiqua" w:hAnsi="Book Antiqua"/>
        </w:rPr>
      </w:pPr>
    </w:p>
    <w:p w14:paraId="1833AE73" w14:textId="3F72603D"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Epstein–Barr-virus-associated hepatitis with aplastic anemia: A case report</w:t>
      </w:r>
    </w:p>
    <w:p w14:paraId="11B84061" w14:textId="77777777" w:rsidR="00B63A21" w:rsidRPr="00C66771" w:rsidRDefault="00B63A21">
      <w:pPr>
        <w:adjustRightInd w:val="0"/>
        <w:snapToGrid w:val="0"/>
        <w:spacing w:line="360" w:lineRule="auto"/>
        <w:jc w:val="both"/>
        <w:rPr>
          <w:rFonts w:ascii="Book Antiqua" w:hAnsi="Book Antiqua"/>
        </w:rPr>
      </w:pPr>
    </w:p>
    <w:p w14:paraId="648A9178" w14:textId="21E2CD5E"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Zhang WJ</w:t>
      </w:r>
      <w:r w:rsidRPr="00C66771">
        <w:rPr>
          <w:rFonts w:ascii="Book Antiqua" w:eastAsia="Book Antiqua" w:hAnsi="Book Antiqua" w:cs="Book Antiqua"/>
          <w:i/>
          <w:iCs/>
          <w:color w:val="000000"/>
        </w:rPr>
        <w:t xml:space="preserve"> </w:t>
      </w:r>
      <w:r w:rsidRPr="00C66771">
        <w:rPr>
          <w:rFonts w:ascii="Book Antiqua" w:eastAsia="宋体" w:hAnsi="Book Antiqua" w:cs="宋体"/>
          <w:i/>
          <w:iCs/>
          <w:color w:val="000000"/>
          <w:lang w:eastAsia="zh-CN"/>
        </w:rPr>
        <w:t>et al</w:t>
      </w:r>
      <w:r w:rsidRPr="00C66771">
        <w:rPr>
          <w:rFonts w:ascii="Book Antiqua" w:eastAsia="宋体" w:hAnsi="Book Antiqua" w:cs="宋体"/>
          <w:color w:val="000000"/>
          <w:lang w:eastAsia="zh-CN"/>
        </w:rPr>
        <w:t xml:space="preserve">. </w:t>
      </w:r>
      <w:r w:rsidRPr="00C66771">
        <w:rPr>
          <w:rFonts w:ascii="Book Antiqua" w:eastAsia="Book Antiqua" w:hAnsi="Book Antiqua" w:cs="Book Antiqua"/>
          <w:color w:val="000000"/>
        </w:rPr>
        <w:t>EBV-associated HAAA</w:t>
      </w:r>
    </w:p>
    <w:p w14:paraId="32FB8655" w14:textId="77777777" w:rsidR="00B63A21" w:rsidRPr="00C66771" w:rsidRDefault="00B63A21">
      <w:pPr>
        <w:adjustRightInd w:val="0"/>
        <w:snapToGrid w:val="0"/>
        <w:spacing w:line="360" w:lineRule="auto"/>
        <w:jc w:val="both"/>
        <w:rPr>
          <w:rFonts w:ascii="Book Antiqua" w:hAnsi="Book Antiqua"/>
        </w:rPr>
      </w:pPr>
    </w:p>
    <w:p w14:paraId="765D2745"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Wan-Jun Zhang, Li-</w:t>
      </w:r>
      <w:proofErr w:type="spellStart"/>
      <w:r w:rsidRPr="00C66771">
        <w:rPr>
          <w:rFonts w:ascii="Book Antiqua" w:eastAsia="Book Antiqua" w:hAnsi="Book Antiqua" w:cs="Book Antiqua"/>
          <w:color w:val="000000"/>
        </w:rPr>
        <w:t>Qiang</w:t>
      </w:r>
      <w:proofErr w:type="spellEnd"/>
      <w:r w:rsidRPr="00C66771">
        <w:rPr>
          <w:rFonts w:ascii="Book Antiqua" w:eastAsia="Book Antiqua" w:hAnsi="Book Antiqua" w:cs="Book Antiqua"/>
          <w:color w:val="000000"/>
        </w:rPr>
        <w:t xml:space="preserve"> Wu, Jun Wang, Sheng-Yun Lin, Bo Wang</w:t>
      </w:r>
    </w:p>
    <w:p w14:paraId="6EB86B57" w14:textId="77777777" w:rsidR="00B63A21" w:rsidRPr="00C66771" w:rsidRDefault="00B63A21">
      <w:pPr>
        <w:adjustRightInd w:val="0"/>
        <w:snapToGrid w:val="0"/>
        <w:spacing w:line="360" w:lineRule="auto"/>
        <w:jc w:val="both"/>
        <w:rPr>
          <w:rFonts w:ascii="Book Antiqua" w:hAnsi="Book Antiqua"/>
        </w:rPr>
      </w:pPr>
    </w:p>
    <w:p w14:paraId="33FACA63"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Wan-Jun Zhang, Li-</w:t>
      </w:r>
      <w:proofErr w:type="spellStart"/>
      <w:r w:rsidRPr="00C66771">
        <w:rPr>
          <w:rFonts w:ascii="Book Antiqua" w:eastAsia="Book Antiqua" w:hAnsi="Book Antiqua" w:cs="Book Antiqua"/>
          <w:b/>
          <w:bCs/>
          <w:color w:val="000000"/>
        </w:rPr>
        <w:t>Qiang</w:t>
      </w:r>
      <w:proofErr w:type="spellEnd"/>
      <w:r w:rsidRPr="00C66771">
        <w:rPr>
          <w:rFonts w:ascii="Book Antiqua" w:eastAsia="Book Antiqua" w:hAnsi="Book Antiqua" w:cs="Book Antiqua"/>
          <w:b/>
          <w:bCs/>
          <w:color w:val="000000"/>
        </w:rPr>
        <w:t xml:space="preserve"> Wu, Jun Wang, Sheng-Yun Lin, Bo Wang, </w:t>
      </w:r>
      <w:r w:rsidRPr="00C66771">
        <w:rPr>
          <w:rFonts w:ascii="Book Antiqua" w:eastAsia="Book Antiqua" w:hAnsi="Book Antiqua" w:cs="Book Antiqua"/>
          <w:color w:val="000000"/>
        </w:rPr>
        <w:t>Department of Hematology, The First Affiliated Hospital, Zhejiang Chinese Medical University</w:t>
      </w:r>
      <w:r w:rsidRPr="00C66771">
        <w:rPr>
          <w:rFonts w:ascii="Book Antiqua" w:hAnsi="Book Antiqua" w:cs="Book Antiqua"/>
          <w:color w:val="000000"/>
          <w:lang w:eastAsia="zh-CN"/>
        </w:rPr>
        <w:t xml:space="preserve">, </w:t>
      </w:r>
      <w:r w:rsidRPr="00C66771">
        <w:rPr>
          <w:rFonts w:ascii="Book Antiqua" w:eastAsia="Book Antiqua" w:hAnsi="Book Antiqua" w:cs="Book Antiqua"/>
          <w:color w:val="000000"/>
        </w:rPr>
        <w:t>Hangzhou 310006, Zhejiang Province, China</w:t>
      </w:r>
    </w:p>
    <w:p w14:paraId="37331374" w14:textId="77777777" w:rsidR="00B63A21" w:rsidRPr="00C66771" w:rsidRDefault="00B63A21">
      <w:pPr>
        <w:adjustRightInd w:val="0"/>
        <w:snapToGrid w:val="0"/>
        <w:spacing w:line="360" w:lineRule="auto"/>
        <w:jc w:val="both"/>
        <w:rPr>
          <w:rFonts w:ascii="Book Antiqua" w:hAnsi="Book Antiqua"/>
        </w:rPr>
      </w:pPr>
    </w:p>
    <w:p w14:paraId="3D7E1AAA"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Author contributions: </w:t>
      </w:r>
      <w:r w:rsidRPr="00C66771">
        <w:rPr>
          <w:rFonts w:ascii="Book Antiqua" w:eastAsia="Book Antiqua" w:hAnsi="Book Antiqua" w:cs="Book Antiqua"/>
          <w:color w:val="000000"/>
        </w:rPr>
        <w:t xml:space="preserve">Zhang WJ collected, analyzed the </w:t>
      </w:r>
      <w:proofErr w:type="gramStart"/>
      <w:r w:rsidRPr="00C66771">
        <w:rPr>
          <w:rFonts w:ascii="Book Antiqua" w:eastAsia="Book Antiqua" w:hAnsi="Book Antiqua" w:cs="Book Antiqua"/>
          <w:color w:val="000000"/>
        </w:rPr>
        <w:t>data</w:t>
      </w:r>
      <w:proofErr w:type="gramEnd"/>
      <w:r w:rsidRPr="00C66771">
        <w:rPr>
          <w:rFonts w:ascii="Book Antiqua" w:eastAsia="Book Antiqua" w:hAnsi="Book Antiqua" w:cs="Book Antiqua"/>
          <w:color w:val="000000"/>
        </w:rPr>
        <w:t xml:space="preserve"> and wrote the manuscript; Wu LQ, Wang J, Lin SY and Wang B made the treatment plan of the patient and participated in the whole process of patient treatment; and </w:t>
      </w:r>
      <w:r w:rsidRPr="00C66771">
        <w:rPr>
          <w:rFonts w:ascii="Book Antiqua" w:eastAsia="Book Antiqua" w:hAnsi="Book Antiqua" w:cs="Book Antiqua"/>
          <w:color w:val="000000"/>
          <w:shd w:val="clear" w:color="auto" w:fill="FFFFFF"/>
        </w:rPr>
        <w:t>all authors have read and approve the final manuscript.</w:t>
      </w:r>
    </w:p>
    <w:p w14:paraId="29D1B736" w14:textId="77777777" w:rsidR="00B63A21" w:rsidRPr="00C66771" w:rsidRDefault="00B63A21">
      <w:pPr>
        <w:adjustRightInd w:val="0"/>
        <w:snapToGrid w:val="0"/>
        <w:spacing w:line="360" w:lineRule="auto"/>
        <w:jc w:val="both"/>
        <w:rPr>
          <w:rFonts w:ascii="Book Antiqua" w:hAnsi="Book Antiqua"/>
        </w:rPr>
      </w:pPr>
    </w:p>
    <w:p w14:paraId="6D6E6915"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Corresponding author: Bo Wang, MM, Attending Doctor, </w:t>
      </w:r>
      <w:r w:rsidRPr="00C66771">
        <w:rPr>
          <w:rFonts w:ascii="Book Antiqua" w:eastAsia="Book Antiqua" w:hAnsi="Book Antiqua" w:cs="Book Antiqua"/>
          <w:color w:val="000000"/>
        </w:rPr>
        <w:t>Department of Hematology, The First Affiliated Hospital, Zhejiang Chinese Medical University</w:t>
      </w:r>
      <w:r w:rsidRPr="00C66771">
        <w:rPr>
          <w:rFonts w:ascii="Book Antiqua" w:hAnsi="Book Antiqua" w:cs="Book Antiqua"/>
          <w:color w:val="000000"/>
          <w:lang w:eastAsia="zh-CN"/>
        </w:rPr>
        <w:t xml:space="preserve">, No. 54 </w:t>
      </w:r>
      <w:proofErr w:type="spellStart"/>
      <w:r w:rsidRPr="00C66771">
        <w:rPr>
          <w:rFonts w:ascii="Book Antiqua" w:hAnsi="Book Antiqua" w:cs="Book Antiqua"/>
          <w:color w:val="000000"/>
          <w:lang w:eastAsia="zh-CN"/>
        </w:rPr>
        <w:t>Youdian</w:t>
      </w:r>
      <w:proofErr w:type="spellEnd"/>
      <w:r w:rsidRPr="00C66771">
        <w:rPr>
          <w:rFonts w:ascii="Book Antiqua" w:hAnsi="Book Antiqua" w:cs="Book Antiqua"/>
          <w:color w:val="000000"/>
          <w:lang w:eastAsia="zh-CN"/>
        </w:rPr>
        <w:t xml:space="preserve"> Road, </w:t>
      </w:r>
      <w:r w:rsidRPr="00C66771">
        <w:rPr>
          <w:rFonts w:ascii="Book Antiqua" w:eastAsia="Book Antiqua" w:hAnsi="Book Antiqua" w:cs="Book Antiqua"/>
          <w:color w:val="000000"/>
        </w:rPr>
        <w:t>Hangzhou 310006, China. w_bo1223@163.com</w:t>
      </w:r>
    </w:p>
    <w:p w14:paraId="3FC23BFF" w14:textId="77777777" w:rsidR="00B63A21" w:rsidRPr="00C66771" w:rsidRDefault="00B63A21">
      <w:pPr>
        <w:adjustRightInd w:val="0"/>
        <w:snapToGrid w:val="0"/>
        <w:spacing w:line="360" w:lineRule="auto"/>
        <w:jc w:val="both"/>
        <w:rPr>
          <w:rFonts w:ascii="Book Antiqua" w:hAnsi="Book Antiqua"/>
        </w:rPr>
      </w:pPr>
    </w:p>
    <w:p w14:paraId="198478BC"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Received: </w:t>
      </w:r>
      <w:r w:rsidRPr="00C66771">
        <w:rPr>
          <w:rFonts w:ascii="Book Antiqua" w:eastAsia="Book Antiqua" w:hAnsi="Book Antiqua" w:cs="Book Antiqua"/>
          <w:color w:val="000000"/>
        </w:rPr>
        <w:t>December 28, 2021</w:t>
      </w:r>
    </w:p>
    <w:p w14:paraId="0A1888A3"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Revised: </w:t>
      </w:r>
      <w:r w:rsidRPr="00C66771">
        <w:rPr>
          <w:rFonts w:ascii="Book Antiqua" w:eastAsia="Book Antiqua" w:hAnsi="Book Antiqua" w:cs="Book Antiqua"/>
          <w:color w:val="000000"/>
        </w:rPr>
        <w:t>April 19, 2022</w:t>
      </w:r>
    </w:p>
    <w:p w14:paraId="6A3E7B80" w14:textId="77777777" w:rsidR="00B63A21" w:rsidRPr="00C66771" w:rsidRDefault="00000000">
      <w:pPr>
        <w:adjustRightInd w:val="0"/>
        <w:snapToGrid w:val="0"/>
        <w:spacing w:line="360" w:lineRule="auto"/>
        <w:jc w:val="both"/>
        <w:rPr>
          <w:rFonts w:ascii="Book Antiqua" w:hAnsi="Book Antiqua"/>
          <w:lang w:eastAsia="zh-CN"/>
        </w:rPr>
      </w:pPr>
      <w:r w:rsidRPr="00C66771">
        <w:rPr>
          <w:rFonts w:ascii="Book Antiqua" w:eastAsia="Book Antiqua" w:hAnsi="Book Antiqua" w:cs="Book Antiqua"/>
          <w:b/>
          <w:bCs/>
          <w:color w:val="000000"/>
        </w:rPr>
        <w:t xml:space="preserve">Accepted: </w:t>
      </w:r>
      <w:r w:rsidRPr="00C66771">
        <w:rPr>
          <w:rFonts w:ascii="Book Antiqua" w:eastAsia="Book Antiqua" w:hAnsi="Book Antiqua" w:cs="Book Antiqua"/>
          <w:color w:val="000000"/>
        </w:rPr>
        <w:t>June 27, 2022</w:t>
      </w:r>
    </w:p>
    <w:p w14:paraId="7A14D6BB" w14:textId="43590DE0"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Published online: </w:t>
      </w:r>
      <w:r w:rsidR="00AF66CE" w:rsidRPr="00C66771">
        <w:rPr>
          <w:rFonts w:ascii="Book Antiqua" w:hAnsi="Book Antiqua"/>
          <w:color w:val="000000"/>
          <w:shd w:val="clear" w:color="auto" w:fill="FFFFFF"/>
        </w:rPr>
        <w:t>August 16, 2022</w:t>
      </w:r>
    </w:p>
    <w:p w14:paraId="3B88195D" w14:textId="77777777" w:rsidR="00B63A21" w:rsidRPr="00C66771" w:rsidRDefault="00B63A21">
      <w:pPr>
        <w:adjustRightInd w:val="0"/>
        <w:snapToGrid w:val="0"/>
        <w:spacing w:line="360" w:lineRule="auto"/>
        <w:jc w:val="both"/>
        <w:rPr>
          <w:rFonts w:ascii="Book Antiqua" w:hAnsi="Book Antiqua"/>
        </w:rPr>
        <w:sectPr w:rsidR="00B63A21" w:rsidRPr="00C66771">
          <w:footerReference w:type="default" r:id="rId6"/>
          <w:pgSz w:w="12240" w:h="15840"/>
          <w:pgMar w:top="1440" w:right="1440" w:bottom="1440" w:left="1440" w:header="720" w:footer="720" w:gutter="0"/>
          <w:cols w:space="720"/>
          <w:docGrid w:linePitch="360"/>
        </w:sectPr>
      </w:pPr>
    </w:p>
    <w:p w14:paraId="6F41CC0A"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lastRenderedPageBreak/>
        <w:t>ABSTRACT</w:t>
      </w:r>
    </w:p>
    <w:p w14:paraId="4A3D91DF" w14:textId="77777777" w:rsidR="00B63A21" w:rsidRPr="00C66771" w:rsidRDefault="00000000">
      <w:pPr>
        <w:adjustRightInd w:val="0"/>
        <w:snapToGrid w:val="0"/>
        <w:spacing w:line="360" w:lineRule="auto"/>
        <w:jc w:val="both"/>
        <w:rPr>
          <w:rFonts w:ascii="Book Antiqua" w:hAnsi="Book Antiqua"/>
          <w:b/>
          <w:bCs/>
          <w:i/>
          <w:iCs/>
        </w:rPr>
      </w:pPr>
      <w:r w:rsidRPr="00C66771">
        <w:rPr>
          <w:rFonts w:ascii="Book Antiqua" w:eastAsia="Book Antiqua" w:hAnsi="Book Antiqua" w:cs="Book Antiqua"/>
          <w:b/>
          <w:bCs/>
          <w:i/>
          <w:iCs/>
          <w:color w:val="000000"/>
        </w:rPr>
        <w:t>BACKGROUND</w:t>
      </w:r>
    </w:p>
    <w:p w14:paraId="3711E3C4" w14:textId="657299AC"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 xml:space="preserve">Hepatitis-associated aplastic anemia (HAAA) is a rare condition. Patients with HAAA usually present with acute hepatitis, </w:t>
      </w:r>
      <w:proofErr w:type="gramStart"/>
      <w:r w:rsidRPr="00C66771">
        <w:rPr>
          <w:rFonts w:ascii="Book Antiqua" w:eastAsia="Book Antiqua" w:hAnsi="Book Antiqua" w:cs="Book Antiqua"/>
          <w:color w:val="000000"/>
        </w:rPr>
        <w:t>jaundice</w:t>
      </w:r>
      <w:proofErr w:type="gramEnd"/>
      <w:r w:rsidRPr="00C66771">
        <w:rPr>
          <w:rFonts w:ascii="Book Antiqua" w:eastAsia="Book Antiqua" w:hAnsi="Book Antiqua" w:cs="Book Antiqua"/>
          <w:color w:val="000000"/>
        </w:rPr>
        <w:t xml:space="preserve"> and significantly increased transaminase. After 1–2 </w:t>
      </w:r>
      <w:proofErr w:type="spellStart"/>
      <w:r w:rsidRPr="00C66771">
        <w:rPr>
          <w:rFonts w:ascii="Book Antiqua" w:eastAsia="Book Antiqua" w:hAnsi="Book Antiqua" w:cs="Book Antiqua"/>
          <w:color w:val="000000"/>
        </w:rPr>
        <w:t>mo</w:t>
      </w:r>
      <w:proofErr w:type="spellEnd"/>
      <w:r w:rsidRPr="00C66771">
        <w:rPr>
          <w:rFonts w:ascii="Book Antiqua" w:eastAsia="Book Antiqua" w:hAnsi="Book Antiqua" w:cs="Book Antiqua"/>
          <w:color w:val="000000"/>
        </w:rPr>
        <w:t>, hepatitis gradually improves, but progressive hemocytopenia, bone marrow hematopoietic failure, and severe or extremely severe aplastic anemia are manifest. Most cases of HAAA are fulminant and usually lethal if left untreated. The literature on Epstein–Barr virus (EBV)-associated HAAA is sparse.</w:t>
      </w:r>
    </w:p>
    <w:p w14:paraId="445BA22E" w14:textId="77777777" w:rsidR="00B63A21" w:rsidRPr="00C66771" w:rsidRDefault="00B63A21">
      <w:pPr>
        <w:adjustRightInd w:val="0"/>
        <w:snapToGrid w:val="0"/>
        <w:spacing w:line="360" w:lineRule="auto"/>
        <w:jc w:val="both"/>
        <w:rPr>
          <w:rFonts w:ascii="Book Antiqua" w:hAnsi="Book Antiqua"/>
        </w:rPr>
      </w:pPr>
    </w:p>
    <w:p w14:paraId="0A699F99" w14:textId="77777777" w:rsidR="00B63A21" w:rsidRPr="00C66771" w:rsidRDefault="00000000">
      <w:pPr>
        <w:adjustRightInd w:val="0"/>
        <w:snapToGrid w:val="0"/>
        <w:spacing w:line="360" w:lineRule="auto"/>
        <w:jc w:val="both"/>
        <w:rPr>
          <w:rFonts w:ascii="Book Antiqua" w:hAnsi="Book Antiqua"/>
          <w:b/>
          <w:bCs/>
          <w:i/>
          <w:iCs/>
        </w:rPr>
      </w:pPr>
      <w:r w:rsidRPr="00C66771">
        <w:rPr>
          <w:rFonts w:ascii="Book Antiqua" w:eastAsia="Book Antiqua" w:hAnsi="Book Antiqua" w:cs="Book Antiqua"/>
          <w:b/>
          <w:bCs/>
          <w:i/>
          <w:iCs/>
          <w:color w:val="000000"/>
        </w:rPr>
        <w:t>CASE SUMMARY</w:t>
      </w:r>
    </w:p>
    <w:p w14:paraId="111C5EBE" w14:textId="1D0FBFFB"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 xml:space="preserve">We report a 30-year-old man who was admitted to our hospital because of pale yellow urine and skin with a simultaneous decrease in peripheral blood ternary cells. We made a diagnosis of EBV-associated HAAA. The treatment strategy for this patient included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an immunosuppressive regimen of rabbit anti-human thymocyte immunoglobulin, cyclosporine, and supportive care. The patient was discharged in normal physical condition after five months. A hemogram performed on follow-up revealed that he had achieved a complete response.</w:t>
      </w:r>
    </w:p>
    <w:p w14:paraId="086B4E4F" w14:textId="77777777" w:rsidR="00B63A21" w:rsidRPr="00C66771" w:rsidRDefault="00B63A21">
      <w:pPr>
        <w:adjustRightInd w:val="0"/>
        <w:snapToGrid w:val="0"/>
        <w:spacing w:line="360" w:lineRule="auto"/>
        <w:jc w:val="both"/>
        <w:rPr>
          <w:rFonts w:ascii="Book Antiqua" w:hAnsi="Book Antiqua"/>
        </w:rPr>
      </w:pPr>
    </w:p>
    <w:p w14:paraId="17A7D16B" w14:textId="77777777" w:rsidR="00B63A21" w:rsidRPr="00C66771" w:rsidRDefault="00000000">
      <w:pPr>
        <w:adjustRightInd w:val="0"/>
        <w:snapToGrid w:val="0"/>
        <w:spacing w:line="360" w:lineRule="auto"/>
        <w:jc w:val="both"/>
        <w:rPr>
          <w:rFonts w:ascii="Book Antiqua" w:hAnsi="Book Antiqua"/>
          <w:b/>
          <w:bCs/>
          <w:i/>
          <w:iCs/>
        </w:rPr>
      </w:pPr>
      <w:r w:rsidRPr="00C66771">
        <w:rPr>
          <w:rFonts w:ascii="Book Antiqua" w:eastAsia="Book Antiqua" w:hAnsi="Book Antiqua" w:cs="Book Antiqua"/>
          <w:b/>
          <w:bCs/>
          <w:i/>
          <w:iCs/>
          <w:color w:val="000000"/>
        </w:rPr>
        <w:t>CONCLUSION</w:t>
      </w:r>
    </w:p>
    <w:p w14:paraId="35EEB2BF" w14:textId="5A7B3C1B" w:rsidR="00B63A21" w:rsidRPr="00C66771" w:rsidRDefault="00000000">
      <w:pPr>
        <w:adjustRightInd w:val="0"/>
        <w:snapToGrid w:val="0"/>
        <w:spacing w:line="360" w:lineRule="auto"/>
        <w:jc w:val="both"/>
        <w:rPr>
          <w:rFonts w:ascii="Book Antiqua" w:hAnsi="Book Antiqua"/>
        </w:rPr>
      </w:pPr>
      <w:proofErr w:type="spellStart"/>
      <w:r w:rsidRPr="00C66771">
        <w:rPr>
          <w:rFonts w:ascii="Book Antiqua" w:eastAsia="宋体" w:hAnsi="Book Antiqua" w:cs="Book Antiqua" w:hint="eastAsia"/>
          <w:color w:val="000000"/>
          <w:lang w:eastAsia="zh-CN"/>
        </w:rPr>
        <w:t>Eltrombopag</w:t>
      </w:r>
      <w:proofErr w:type="spellEnd"/>
      <w:r w:rsidRPr="00C66771">
        <w:rPr>
          <w:rFonts w:ascii="Book Antiqua" w:eastAsia="宋体" w:hAnsi="Book Antiqua" w:cs="Book Antiqua" w:hint="eastAsia"/>
          <w:color w:val="000000"/>
          <w:lang w:eastAsia="zh-CN"/>
        </w:rPr>
        <w:t xml:space="preserve"> plus anti-thymocyte </w:t>
      </w:r>
      <w:proofErr w:type="spellStart"/>
      <w:r w:rsidRPr="00C66771">
        <w:rPr>
          <w:rFonts w:ascii="Book Antiqua" w:eastAsia="宋体" w:hAnsi="Book Antiqua" w:cs="Book Antiqua" w:hint="eastAsia"/>
          <w:color w:val="000000"/>
          <w:lang w:eastAsia="zh-CN"/>
        </w:rPr>
        <w:t>globubin</w:t>
      </w:r>
      <w:proofErr w:type="spellEnd"/>
      <w:r w:rsidRPr="00C66771">
        <w:rPr>
          <w:rFonts w:ascii="Book Antiqua" w:eastAsia="宋体" w:hAnsi="Book Antiqua" w:cs="Book Antiqua" w:hint="eastAsia"/>
          <w:color w:val="000000"/>
          <w:lang w:eastAsia="zh-CN"/>
        </w:rPr>
        <w:t xml:space="preserve"> and cyclosporine may be a therapeutic option for EBV-associated </w:t>
      </w:r>
      <w:proofErr w:type="spellStart"/>
      <w:r w:rsidRPr="00C66771">
        <w:rPr>
          <w:rFonts w:ascii="Book Antiqua" w:eastAsia="宋体" w:hAnsi="Book Antiqua" w:cs="Book Antiqua" w:hint="eastAsia"/>
          <w:color w:val="000000"/>
          <w:lang w:eastAsia="zh-CN"/>
        </w:rPr>
        <w:t>HAAA.Larger</w:t>
      </w:r>
      <w:proofErr w:type="spellEnd"/>
      <w:r w:rsidRPr="00C66771">
        <w:rPr>
          <w:rFonts w:ascii="Book Antiqua" w:eastAsia="宋体" w:hAnsi="Book Antiqua" w:cs="Book Antiqua" w:hint="eastAsia"/>
          <w:color w:val="000000"/>
          <w:lang w:eastAsia="zh-CN"/>
        </w:rPr>
        <w:t xml:space="preserve"> studies are warranted to confirm. </w:t>
      </w:r>
    </w:p>
    <w:p w14:paraId="214C0E19" w14:textId="77777777" w:rsidR="00B63A21" w:rsidRPr="00C66771" w:rsidRDefault="00B63A21">
      <w:pPr>
        <w:adjustRightInd w:val="0"/>
        <w:snapToGrid w:val="0"/>
        <w:spacing w:line="360" w:lineRule="auto"/>
        <w:jc w:val="both"/>
        <w:rPr>
          <w:rFonts w:ascii="Book Antiqua" w:eastAsia="Book Antiqua" w:hAnsi="Book Antiqua" w:cs="Book Antiqua"/>
          <w:b/>
          <w:bCs/>
          <w:color w:val="000000"/>
        </w:rPr>
      </w:pPr>
    </w:p>
    <w:p w14:paraId="7DC59E35" w14:textId="44BDBF82"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Key Words: </w:t>
      </w:r>
      <w:r w:rsidRPr="00C66771">
        <w:rPr>
          <w:rFonts w:ascii="Book Antiqua" w:eastAsia="Book Antiqua" w:hAnsi="Book Antiqua" w:cs="Book Antiqua"/>
          <w:color w:val="000000"/>
        </w:rPr>
        <w:t xml:space="preserve">Epstein–Barr virus; Hepatitis-associated aplastic anemia; Immunosuppressive therapy;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Case report</w:t>
      </w:r>
    </w:p>
    <w:p w14:paraId="21536240" w14:textId="77777777" w:rsidR="00B63A21" w:rsidRPr="00C66771" w:rsidRDefault="00B63A21">
      <w:pPr>
        <w:adjustRightInd w:val="0"/>
        <w:snapToGrid w:val="0"/>
        <w:spacing w:line="360" w:lineRule="auto"/>
        <w:jc w:val="both"/>
        <w:rPr>
          <w:rFonts w:ascii="Book Antiqua" w:hAnsi="Book Antiqua"/>
        </w:rPr>
      </w:pPr>
    </w:p>
    <w:p w14:paraId="3FCA989E" w14:textId="77777777" w:rsidR="001876E3" w:rsidRPr="00C66771" w:rsidRDefault="001876E3" w:rsidP="001876E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C66771">
        <w:rPr>
          <w:rFonts w:ascii="Book Antiqua" w:eastAsia="Book Antiqua" w:hAnsi="Book Antiqua" w:cs="Book Antiqua" w:hint="eastAsia"/>
          <w:b/>
          <w:color w:val="000000"/>
        </w:rPr>
        <w:t>©</w:t>
      </w:r>
      <w:r w:rsidRPr="00C66771">
        <w:rPr>
          <w:rFonts w:ascii="Book Antiqua" w:eastAsia="Book Antiqua" w:hAnsi="Book Antiqua" w:cs="Book Antiqua"/>
          <w:b/>
          <w:color w:val="000000"/>
        </w:rPr>
        <w:t>The</w:t>
      </w:r>
      <w:r w:rsidRPr="00C66771">
        <w:rPr>
          <w:rFonts w:ascii="Book Antiqua" w:eastAsia="Book Antiqua" w:hAnsi="Book Antiqua" w:cs="Book Antiqua"/>
          <w:color w:val="000000"/>
        </w:rPr>
        <w:t xml:space="preserve"> </w:t>
      </w:r>
      <w:r w:rsidRPr="00C66771">
        <w:rPr>
          <w:rFonts w:ascii="Book Antiqua" w:eastAsia="Book Antiqua" w:hAnsi="Book Antiqua" w:cs="Book Antiqua"/>
          <w:b/>
          <w:color w:val="000000"/>
        </w:rPr>
        <w:t xml:space="preserve">Author(s) 2022. </w:t>
      </w:r>
      <w:r w:rsidRPr="00C66771">
        <w:rPr>
          <w:rFonts w:ascii="Book Antiqua" w:eastAsia="Book Antiqua" w:hAnsi="Book Antiqua" w:cs="Book Antiqua"/>
          <w:color w:val="000000"/>
        </w:rPr>
        <w:t xml:space="preserve">Published by </w:t>
      </w:r>
      <w:proofErr w:type="spellStart"/>
      <w:r w:rsidRPr="00C66771">
        <w:rPr>
          <w:rFonts w:ascii="Book Antiqua" w:eastAsia="Book Antiqua" w:hAnsi="Book Antiqua" w:cs="Book Antiqua"/>
          <w:color w:val="000000"/>
        </w:rPr>
        <w:t>Baishideng</w:t>
      </w:r>
      <w:proofErr w:type="spellEnd"/>
      <w:r w:rsidRPr="00C66771">
        <w:rPr>
          <w:rFonts w:ascii="Book Antiqua" w:eastAsia="Book Antiqua" w:hAnsi="Book Antiqua" w:cs="Book Antiqua"/>
          <w:color w:val="000000"/>
        </w:rPr>
        <w:t xml:space="preserve"> Publishing Group Inc. All rights reserved.</w:t>
      </w:r>
      <w:bookmarkEnd w:id="0"/>
      <w:r w:rsidRPr="00C66771">
        <w:rPr>
          <w:rFonts w:ascii="Book Antiqua" w:eastAsia="Book Antiqua" w:hAnsi="Book Antiqua" w:cs="Book Antiqua"/>
          <w:color w:val="000000"/>
        </w:rPr>
        <w:t xml:space="preserve"> </w:t>
      </w:r>
    </w:p>
    <w:bookmarkEnd w:id="1"/>
    <w:p w14:paraId="5A4DB246" w14:textId="77777777" w:rsidR="001876E3" w:rsidRPr="00C66771" w:rsidRDefault="001876E3" w:rsidP="001876E3">
      <w:pPr>
        <w:spacing w:line="360" w:lineRule="auto"/>
        <w:jc w:val="both"/>
        <w:rPr>
          <w:lang w:eastAsia="zh-CN"/>
        </w:rPr>
      </w:pPr>
    </w:p>
    <w:p w14:paraId="5BF06D64" w14:textId="77777777" w:rsidR="001876E3" w:rsidRPr="00C66771" w:rsidRDefault="001876E3" w:rsidP="001876E3">
      <w:pPr>
        <w:adjustRightInd w:val="0"/>
        <w:snapToGrid w:val="0"/>
        <w:spacing w:line="360" w:lineRule="auto"/>
        <w:jc w:val="both"/>
        <w:rPr>
          <w:rFonts w:ascii="Book Antiqua" w:eastAsia="Book Antiqua" w:hAnsi="Book Antiqua" w:cs="Book Antiqua"/>
          <w:color w:val="000000"/>
        </w:rPr>
      </w:pPr>
      <w:bookmarkStart w:id="4" w:name="_Hlk88512899"/>
      <w:bookmarkStart w:id="5" w:name="_Hlk88512352"/>
      <w:bookmarkEnd w:id="2"/>
      <w:r w:rsidRPr="00C66771">
        <w:rPr>
          <w:rFonts w:ascii="Book Antiqua" w:hAnsi="Book Antiqua" w:cs="Book Antiqua" w:hint="eastAsia"/>
          <w:b/>
          <w:color w:val="000000"/>
          <w:lang w:eastAsia="zh-CN"/>
        </w:rPr>
        <w:t>Citation:</w:t>
      </w:r>
      <w:bookmarkEnd w:id="3"/>
      <w:bookmarkEnd w:id="4"/>
      <w:r w:rsidRPr="00C66771">
        <w:rPr>
          <w:rFonts w:ascii="Book Antiqua" w:hAnsi="Book Antiqua" w:cs="Book Antiqua" w:hint="eastAsia"/>
          <w:color w:val="000000"/>
          <w:lang w:eastAsia="zh-CN"/>
        </w:rPr>
        <w:t xml:space="preserve"> </w:t>
      </w:r>
      <w:bookmarkEnd w:id="5"/>
      <w:r w:rsidRPr="00C66771">
        <w:rPr>
          <w:rFonts w:ascii="Book Antiqua" w:eastAsia="Book Antiqua" w:hAnsi="Book Antiqua" w:cs="Book Antiqua"/>
          <w:color w:val="000000"/>
        </w:rPr>
        <w:t xml:space="preserve">Zhang WJ, Wu LQ, Wang J, Lin SY, Wang B. Epstein-Barr virus–associated hepatitis with aplastic </w:t>
      </w:r>
      <w:proofErr w:type="spellStart"/>
      <w:r w:rsidRPr="00C66771">
        <w:rPr>
          <w:rFonts w:ascii="Book Antiqua" w:eastAsia="Book Antiqua" w:hAnsi="Book Antiqua" w:cs="Book Antiqua"/>
          <w:color w:val="000000"/>
        </w:rPr>
        <w:t>anaemia</w:t>
      </w:r>
      <w:proofErr w:type="spellEnd"/>
      <w:r w:rsidRPr="00C66771">
        <w:rPr>
          <w:rFonts w:ascii="Book Antiqua" w:eastAsia="Book Antiqua" w:hAnsi="Book Antiqua" w:cs="Book Antiqua"/>
          <w:color w:val="000000"/>
        </w:rPr>
        <w:t xml:space="preserve">: A case report. </w:t>
      </w:r>
      <w:r w:rsidRPr="00C66771">
        <w:rPr>
          <w:rFonts w:ascii="Book Antiqua" w:eastAsia="Book Antiqua" w:hAnsi="Book Antiqua" w:cs="Book Antiqua"/>
          <w:i/>
          <w:iCs/>
          <w:color w:val="000000"/>
        </w:rPr>
        <w:t>World J Clin Cases</w:t>
      </w:r>
      <w:r w:rsidRPr="00C66771">
        <w:rPr>
          <w:rFonts w:ascii="Book Antiqua" w:eastAsia="Book Antiqua" w:hAnsi="Book Antiqua" w:cs="Book Antiqua"/>
          <w:color w:val="000000"/>
        </w:rPr>
        <w:t xml:space="preserve"> 2022; </w:t>
      </w:r>
      <w:bookmarkStart w:id="6" w:name="_Hlk109029542"/>
      <w:r w:rsidR="00033D24" w:rsidRPr="00C66771">
        <w:rPr>
          <w:rFonts w:ascii="Book Antiqua" w:eastAsia="Book Antiqua" w:hAnsi="Book Antiqua" w:cs="Book Antiqua"/>
          <w:color w:val="000000"/>
        </w:rPr>
        <w:t xml:space="preserve">10(23): </w:t>
      </w:r>
      <w:r w:rsidRPr="00C66771">
        <w:rPr>
          <w:rFonts w:ascii="Book Antiqua" w:eastAsia="Book Antiqua" w:hAnsi="Book Antiqua" w:cs="Book Antiqua"/>
          <w:color w:val="000000"/>
        </w:rPr>
        <w:t>8242</w:t>
      </w:r>
      <w:r w:rsidR="00033D24" w:rsidRPr="00C66771">
        <w:rPr>
          <w:rFonts w:ascii="Book Antiqua" w:eastAsia="Book Antiqua" w:hAnsi="Book Antiqua" w:cs="Book Antiqua"/>
          <w:color w:val="000000"/>
        </w:rPr>
        <w:t>-</w:t>
      </w:r>
      <w:r w:rsidRPr="00C66771">
        <w:rPr>
          <w:rFonts w:ascii="Book Antiqua" w:eastAsia="Book Antiqua" w:hAnsi="Book Antiqua" w:cs="Book Antiqua"/>
          <w:color w:val="000000"/>
        </w:rPr>
        <w:t>8248</w:t>
      </w:r>
    </w:p>
    <w:p w14:paraId="5D0E66A7" w14:textId="63C01B9E" w:rsidR="001876E3" w:rsidRPr="00C66771" w:rsidRDefault="00033D24" w:rsidP="001876E3">
      <w:pPr>
        <w:adjustRightInd w:val="0"/>
        <w:snapToGrid w:val="0"/>
        <w:spacing w:line="360" w:lineRule="auto"/>
        <w:jc w:val="both"/>
        <w:rPr>
          <w:rFonts w:ascii="Book Antiqua" w:eastAsia="Book Antiqua" w:hAnsi="Book Antiqua" w:cs="Book Antiqua"/>
          <w:color w:val="000000"/>
        </w:rPr>
      </w:pPr>
      <w:r w:rsidRPr="00C66771">
        <w:rPr>
          <w:rFonts w:ascii="Book Antiqua" w:eastAsia="Book Antiqua" w:hAnsi="Book Antiqua" w:cs="Book Antiqua"/>
          <w:b/>
          <w:bCs/>
          <w:color w:val="000000"/>
        </w:rPr>
        <w:lastRenderedPageBreak/>
        <w:t xml:space="preserve">URL: </w:t>
      </w:r>
      <w:hyperlink r:id="rId7" w:history="1">
        <w:r w:rsidR="001876E3" w:rsidRPr="00C66771">
          <w:rPr>
            <w:rStyle w:val="ad"/>
            <w:rFonts w:ascii="Book Antiqua" w:eastAsia="Book Antiqua" w:hAnsi="Book Antiqua" w:cs="Book Antiqua"/>
          </w:rPr>
          <w:t>https://www.wjgnet.com/2307-8960/full/v10/i23/8242.htm</w:t>
        </w:r>
      </w:hyperlink>
    </w:p>
    <w:p w14:paraId="16ECE2A1" w14:textId="58EB7C5A" w:rsidR="00B63A21" w:rsidRPr="00C66771" w:rsidRDefault="00033D24" w:rsidP="001876E3">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DOI: </w:t>
      </w:r>
      <w:r w:rsidRPr="00C66771">
        <w:rPr>
          <w:rFonts w:ascii="Book Antiqua" w:eastAsia="Book Antiqua" w:hAnsi="Book Antiqua" w:cs="Book Antiqua"/>
          <w:color w:val="000000"/>
        </w:rPr>
        <w:t>https://dx.doi.org/10.12998/wjcc.v10.i23.</w:t>
      </w:r>
      <w:r w:rsidR="001876E3" w:rsidRPr="00C66771">
        <w:rPr>
          <w:rFonts w:ascii="Book Antiqua" w:eastAsia="Book Antiqua" w:hAnsi="Book Antiqua" w:cs="Book Antiqua"/>
          <w:color w:val="000000"/>
        </w:rPr>
        <w:t>8242</w:t>
      </w:r>
    </w:p>
    <w:bookmarkEnd w:id="6"/>
    <w:p w14:paraId="18BF08DE" w14:textId="77777777" w:rsidR="00B63A21" w:rsidRPr="00C66771" w:rsidRDefault="00B63A21">
      <w:pPr>
        <w:adjustRightInd w:val="0"/>
        <w:snapToGrid w:val="0"/>
        <w:spacing w:line="360" w:lineRule="auto"/>
        <w:jc w:val="both"/>
        <w:rPr>
          <w:rFonts w:ascii="Book Antiqua" w:hAnsi="Book Antiqua"/>
        </w:rPr>
      </w:pPr>
    </w:p>
    <w:p w14:paraId="73C3DFF9" w14:textId="76A3595A"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Core tip: </w:t>
      </w:r>
      <w:r w:rsidRPr="00C66771">
        <w:rPr>
          <w:rFonts w:ascii="Book Antiqua" w:eastAsia="Book Antiqua" w:hAnsi="Book Antiqua" w:cs="Book Antiqua"/>
          <w:color w:val="000000"/>
        </w:rPr>
        <w:t>We found an unexpected association between Epstein–Barr virus (EBV) and hepatitis-associated aplastic anemia (HAAA). Reports on EBV-associated HAAA are sparse. HAAA is a type of severe AA, and the treatment strategy pursued was in accordance with the 2016 British guidelines for AA. The patient achieved a complete response after immunosuppressive therapy. This current study highlights the importance of early diagnosis and timely therapy for EBV-associated HAAA.</w:t>
      </w:r>
    </w:p>
    <w:p w14:paraId="3C743D8E" w14:textId="77777777" w:rsidR="00B63A21" w:rsidRPr="00C66771" w:rsidRDefault="00B63A21">
      <w:pPr>
        <w:adjustRightInd w:val="0"/>
        <w:snapToGrid w:val="0"/>
        <w:spacing w:line="360" w:lineRule="auto"/>
        <w:jc w:val="both"/>
        <w:rPr>
          <w:rFonts w:ascii="Book Antiqua" w:hAnsi="Book Antiqua"/>
        </w:rPr>
      </w:pPr>
    </w:p>
    <w:p w14:paraId="526A5237"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aps/>
          <w:color w:val="000000"/>
          <w:u w:val="single"/>
        </w:rPr>
        <w:t>INTRODUCTION</w:t>
      </w:r>
    </w:p>
    <w:p w14:paraId="53E0FBD2" w14:textId="21FDB6E3"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 xml:space="preserve">Hepatitis-associated aplastic anemia (HAAA) was first reported by Lorenz and </w:t>
      </w:r>
      <w:proofErr w:type="spellStart"/>
      <w:r w:rsidRPr="00C66771">
        <w:rPr>
          <w:rFonts w:ascii="Book Antiqua" w:eastAsia="Book Antiqua" w:hAnsi="Book Antiqua" w:cs="Book Antiqua"/>
          <w:color w:val="000000"/>
        </w:rPr>
        <w:t>Quaiser</w:t>
      </w:r>
      <w:proofErr w:type="spellEnd"/>
      <w:r w:rsidRPr="00C66771">
        <w:rPr>
          <w:rFonts w:ascii="Book Antiqua" w:eastAsia="Book Antiqua" w:hAnsi="Book Antiqua" w:cs="Book Antiqua"/>
          <w:color w:val="000000"/>
        </w:rPr>
        <w:t xml:space="preserve"> in 1955</w:t>
      </w:r>
      <w:r w:rsidRPr="00C66771">
        <w:rPr>
          <w:rFonts w:ascii="Book Antiqua" w:eastAsia="Book Antiqua" w:hAnsi="Book Antiqua" w:cs="Book Antiqua"/>
          <w:color w:val="000000"/>
          <w:vertAlign w:val="superscript"/>
        </w:rPr>
        <w:t>[1]</w:t>
      </w:r>
      <w:r w:rsidRPr="00C66771">
        <w:rPr>
          <w:rFonts w:ascii="Book Antiqua" w:eastAsia="Book Antiqua" w:hAnsi="Book Antiqua" w:cs="Book Antiqua"/>
          <w:color w:val="000000"/>
        </w:rPr>
        <w:t xml:space="preserve">. This subtype of AA results in bone marrow failure because of the progression of hepatitis and usually appears 2–3 </w:t>
      </w:r>
      <w:proofErr w:type="spellStart"/>
      <w:r w:rsidRPr="00C66771">
        <w:rPr>
          <w:rFonts w:ascii="Book Antiqua" w:eastAsia="Book Antiqua" w:hAnsi="Book Antiqua" w:cs="Book Antiqua"/>
          <w:color w:val="000000"/>
        </w:rPr>
        <w:t>mo</w:t>
      </w:r>
      <w:proofErr w:type="spellEnd"/>
      <w:r w:rsidRPr="00C66771">
        <w:rPr>
          <w:rFonts w:ascii="Book Antiqua" w:eastAsia="Book Antiqua" w:hAnsi="Book Antiqua" w:cs="Book Antiqua"/>
          <w:color w:val="000000"/>
        </w:rPr>
        <w:t xml:space="preserve"> after an acute attack</w:t>
      </w:r>
      <w:r w:rsidRPr="00C66771">
        <w:rPr>
          <w:rFonts w:ascii="Book Antiqua" w:eastAsia="Book Antiqua" w:hAnsi="Book Antiqua" w:cs="Book Antiqua"/>
          <w:color w:val="000000"/>
          <w:vertAlign w:val="superscript"/>
        </w:rPr>
        <w:t>[2]</w:t>
      </w:r>
      <w:r w:rsidRPr="00C66771">
        <w:rPr>
          <w:rFonts w:ascii="Book Antiqua" w:eastAsia="Book Antiqua" w:hAnsi="Book Antiqua" w:cs="Book Antiqua"/>
          <w:color w:val="000000"/>
        </w:rPr>
        <w:t>. In most cases, HAAA is fulminant and usually lethal if left untreated</w:t>
      </w:r>
      <w:r w:rsidRPr="00C66771">
        <w:rPr>
          <w:rFonts w:ascii="Book Antiqua" w:eastAsia="Book Antiqua" w:hAnsi="Book Antiqua" w:cs="Book Antiqua"/>
          <w:color w:val="000000"/>
          <w:vertAlign w:val="superscript"/>
        </w:rPr>
        <w:t>[3,4]</w:t>
      </w:r>
      <w:r w:rsidRPr="00C66771">
        <w:rPr>
          <w:rFonts w:ascii="Book Antiqua" w:eastAsia="Book Antiqua" w:hAnsi="Book Antiqua" w:cs="Book Antiqua"/>
          <w:color w:val="000000"/>
        </w:rPr>
        <w:t xml:space="preserve">. Furthermore, it is </w:t>
      </w:r>
      <w:proofErr w:type="gramStart"/>
      <w:r w:rsidRPr="00C66771">
        <w:rPr>
          <w:rFonts w:ascii="Book Antiqua" w:eastAsia="Book Antiqua" w:hAnsi="Book Antiqua" w:cs="Book Antiqua"/>
          <w:color w:val="000000"/>
        </w:rPr>
        <w:t>most commonly caused</w:t>
      </w:r>
      <w:proofErr w:type="gramEnd"/>
      <w:r w:rsidRPr="00C66771">
        <w:rPr>
          <w:rFonts w:ascii="Book Antiqua" w:eastAsia="Book Antiqua" w:hAnsi="Book Antiqua" w:cs="Book Antiqua"/>
          <w:color w:val="000000"/>
        </w:rPr>
        <w:t xml:space="preserve"> by non-A, non-B, and non-C hepatitis, such as those due to Epstein–Barr virus (EBV), cytomegalovirus (CMV), human immunodeficiency virus, and parvovirus B19</w:t>
      </w:r>
      <w:r w:rsidRPr="00C66771">
        <w:rPr>
          <w:rFonts w:ascii="Book Antiqua" w:eastAsia="Book Antiqua" w:hAnsi="Book Antiqua" w:cs="Book Antiqua"/>
          <w:color w:val="000000"/>
          <w:vertAlign w:val="superscript"/>
        </w:rPr>
        <w:t>[4,5]</w:t>
      </w:r>
      <w:r w:rsidRPr="00C66771">
        <w:rPr>
          <w:rFonts w:ascii="Book Antiqua" w:eastAsia="Book Antiqua" w:hAnsi="Book Antiqua" w:cs="Book Antiqua"/>
          <w:color w:val="000000"/>
        </w:rPr>
        <w:t>. Specific viruses are not detected in most HAAA cases; however, studies have shown that the destruction of hematopoietic stem cells caused by abnormal T lymphocyte immunity is a potential pathogenic mechanism for HAAA</w:t>
      </w:r>
      <w:r w:rsidRPr="00C66771">
        <w:rPr>
          <w:rFonts w:ascii="Book Antiqua" w:eastAsia="Book Antiqua" w:hAnsi="Book Antiqua" w:cs="Book Antiqua"/>
          <w:color w:val="000000"/>
          <w:vertAlign w:val="superscript"/>
        </w:rPr>
        <w:t>[3]</w:t>
      </w:r>
      <w:r w:rsidRPr="00C66771">
        <w:rPr>
          <w:rFonts w:ascii="Book Antiqua" w:eastAsia="Book Antiqua" w:hAnsi="Book Antiqua" w:cs="Book Antiqua"/>
          <w:color w:val="000000"/>
        </w:rPr>
        <w:t xml:space="preserve">. In the current study, we report a case of a patient with EBV-associated HAAA who received </w:t>
      </w:r>
      <w:proofErr w:type="spellStart"/>
      <w:r w:rsidRPr="00C66771">
        <w:rPr>
          <w:rFonts w:ascii="Book Antiqua" w:eastAsia="Book Antiqua" w:hAnsi="Book Antiqua" w:cs="Book Antiqua"/>
          <w:color w:val="000000"/>
        </w:rPr>
        <w:t>antithymocyte</w:t>
      </w:r>
      <w:proofErr w:type="spellEnd"/>
      <w:r w:rsidRPr="00C66771">
        <w:rPr>
          <w:rFonts w:ascii="Book Antiqua" w:eastAsia="Book Antiqua" w:hAnsi="Book Antiqua" w:cs="Book Antiqua"/>
          <w:color w:val="000000"/>
        </w:rPr>
        <w:t xml:space="preserve"> globulin (ATG), cyclosporine (</w:t>
      </w:r>
      <w:proofErr w:type="spellStart"/>
      <w:r w:rsidRPr="00C66771">
        <w:rPr>
          <w:rFonts w:ascii="Book Antiqua" w:eastAsia="Book Antiqua" w:hAnsi="Book Antiqua" w:cs="Book Antiqua"/>
          <w:color w:val="000000"/>
        </w:rPr>
        <w:t>CsA</w:t>
      </w:r>
      <w:proofErr w:type="spellEnd"/>
      <w:r w:rsidRPr="00C66771">
        <w:rPr>
          <w:rFonts w:ascii="Book Antiqua" w:eastAsia="Book Antiqua" w:hAnsi="Book Antiqua" w:cs="Book Antiqua"/>
          <w:color w:val="000000"/>
        </w:rPr>
        <w:t xml:space="preserve">), and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Effective recovery was observed after the treatment.</w:t>
      </w:r>
    </w:p>
    <w:p w14:paraId="79297A15" w14:textId="77777777" w:rsidR="00B63A21" w:rsidRPr="00C66771" w:rsidRDefault="00B63A21">
      <w:pPr>
        <w:adjustRightInd w:val="0"/>
        <w:snapToGrid w:val="0"/>
        <w:spacing w:line="360" w:lineRule="auto"/>
        <w:jc w:val="both"/>
        <w:rPr>
          <w:rFonts w:ascii="Book Antiqua" w:hAnsi="Book Antiqua"/>
        </w:rPr>
      </w:pPr>
    </w:p>
    <w:p w14:paraId="473D6CD1"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aps/>
          <w:color w:val="000000"/>
          <w:u w:val="single"/>
        </w:rPr>
        <w:t>CASE PRESENTATION</w:t>
      </w:r>
    </w:p>
    <w:p w14:paraId="1A846B10"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i/>
          <w:color w:val="000000"/>
        </w:rPr>
        <w:t>Chief complaints</w:t>
      </w:r>
    </w:p>
    <w:p w14:paraId="650C162F"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 xml:space="preserve">A 30-year-old man was admitted to our hospital because of pale yellow urine and skin for approximately 2 </w:t>
      </w:r>
      <w:proofErr w:type="spellStart"/>
      <w:r w:rsidRPr="00C66771">
        <w:rPr>
          <w:rFonts w:ascii="Book Antiqua" w:eastAsia="Book Antiqua" w:hAnsi="Book Antiqua" w:cs="Book Antiqua"/>
          <w:color w:val="000000"/>
        </w:rPr>
        <w:t>mo</w:t>
      </w:r>
      <w:proofErr w:type="spellEnd"/>
      <w:r w:rsidRPr="00C66771">
        <w:rPr>
          <w:rFonts w:ascii="Book Antiqua" w:eastAsia="Book Antiqua" w:hAnsi="Book Antiqua" w:cs="Book Antiqua"/>
          <w:color w:val="000000"/>
        </w:rPr>
        <w:t xml:space="preserve"> with a simultaneous decrease in peripheral blood ternary cells for nearly 1 mo.</w:t>
      </w:r>
    </w:p>
    <w:p w14:paraId="1BBBECF5" w14:textId="77777777" w:rsidR="00B63A21" w:rsidRPr="00C66771" w:rsidRDefault="00B63A21">
      <w:pPr>
        <w:adjustRightInd w:val="0"/>
        <w:snapToGrid w:val="0"/>
        <w:spacing w:line="360" w:lineRule="auto"/>
        <w:jc w:val="both"/>
        <w:rPr>
          <w:rFonts w:ascii="Book Antiqua" w:hAnsi="Book Antiqua"/>
        </w:rPr>
      </w:pPr>
    </w:p>
    <w:p w14:paraId="137E2B5A"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i/>
          <w:color w:val="000000"/>
        </w:rPr>
        <w:t>History of present illness</w:t>
      </w:r>
    </w:p>
    <w:p w14:paraId="6A51E5F2" w14:textId="35EAB8F2"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The patient presented with pale yellow urine and skin, fatigue, nausea and vomiting in June 2019. Biochemical tests showed elevated liver enzymes and bilirubin, negative test results for hepatitis and CMV DNA, and a high EBV-DNA load. A liver biopsy revealed hepatitis lesions (unknown viruses). Treatment was aimed at protecting his liver by lowering the transaminase regimen and performing artificial liver therapy. His symptoms improved after the treatment.</w:t>
      </w:r>
    </w:p>
    <w:p w14:paraId="62EF7557" w14:textId="2B7215CF" w:rsidR="00B63A21" w:rsidRPr="00C66771" w:rsidRDefault="00000000">
      <w:pPr>
        <w:adjustRightInd w:val="0"/>
        <w:snapToGrid w:val="0"/>
        <w:spacing w:line="360" w:lineRule="auto"/>
        <w:ind w:firstLineChars="100" w:firstLine="240"/>
        <w:jc w:val="both"/>
        <w:rPr>
          <w:rFonts w:ascii="Book Antiqua" w:hAnsi="Book Antiqua"/>
        </w:rPr>
      </w:pPr>
      <w:r w:rsidRPr="00C66771">
        <w:rPr>
          <w:rFonts w:ascii="Book Antiqua" w:eastAsia="Book Antiqua" w:hAnsi="Book Antiqua" w:cs="Book Antiqua"/>
          <w:color w:val="000000"/>
        </w:rPr>
        <w:t>In August 2019, a routine blood examination revealed thrombocytopenia; however, it was ignored. On 16 August 2019, he developed fever and scattered hemorrhagic points on the skin all over his body. A routine blood examination showed a decrease in peripheral blood ternary cells, and a routine bone marrow examination indicated a hyperplastic marrow with active granulocytes and erythrocytes. The distribution of megakaryocytes was reduced, and platelets were scattered. On 3 September 2019, he was transferred to the hematology department of our hospital for further treatment.</w:t>
      </w:r>
    </w:p>
    <w:p w14:paraId="1775712F" w14:textId="77777777" w:rsidR="00B63A21" w:rsidRPr="00C66771" w:rsidRDefault="00B63A21">
      <w:pPr>
        <w:adjustRightInd w:val="0"/>
        <w:snapToGrid w:val="0"/>
        <w:spacing w:line="360" w:lineRule="auto"/>
        <w:jc w:val="both"/>
        <w:rPr>
          <w:rFonts w:ascii="Book Antiqua" w:hAnsi="Book Antiqua"/>
        </w:rPr>
      </w:pPr>
    </w:p>
    <w:p w14:paraId="0F83E51B"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i/>
          <w:color w:val="000000"/>
        </w:rPr>
        <w:t>History of past illness</w:t>
      </w:r>
    </w:p>
    <w:p w14:paraId="51F8E5CB"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The patient had no previous medical history.</w:t>
      </w:r>
    </w:p>
    <w:p w14:paraId="5494844C" w14:textId="77777777" w:rsidR="00B63A21" w:rsidRPr="00C66771" w:rsidRDefault="00B63A21">
      <w:pPr>
        <w:adjustRightInd w:val="0"/>
        <w:snapToGrid w:val="0"/>
        <w:spacing w:line="360" w:lineRule="auto"/>
        <w:jc w:val="both"/>
        <w:rPr>
          <w:rFonts w:ascii="Book Antiqua" w:hAnsi="Book Antiqua"/>
        </w:rPr>
      </w:pPr>
    </w:p>
    <w:p w14:paraId="60A4327F"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i/>
          <w:color w:val="000000"/>
        </w:rPr>
        <w:t>Personal and family history</w:t>
      </w:r>
    </w:p>
    <w:p w14:paraId="163218A4"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The patient had no specific personal or family history.</w:t>
      </w:r>
    </w:p>
    <w:p w14:paraId="1AE811A3" w14:textId="77777777" w:rsidR="00B63A21" w:rsidRPr="00C66771" w:rsidRDefault="00B63A21">
      <w:pPr>
        <w:adjustRightInd w:val="0"/>
        <w:snapToGrid w:val="0"/>
        <w:spacing w:line="360" w:lineRule="auto"/>
        <w:jc w:val="both"/>
        <w:rPr>
          <w:rFonts w:ascii="Book Antiqua" w:hAnsi="Book Antiqua"/>
        </w:rPr>
      </w:pPr>
    </w:p>
    <w:p w14:paraId="53F96DAF"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i/>
          <w:color w:val="000000"/>
        </w:rPr>
        <w:t>Physical examination</w:t>
      </w:r>
    </w:p>
    <w:p w14:paraId="22F1B9C1" w14:textId="5BB2B2FE"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 xml:space="preserve">His temperature was 38.5°C. The patient had anemia and scattered hemorrhagic spots on the skin all over his body. There was no yellow staining of the sclera, and the liver and spleen were not palpable </w:t>
      </w:r>
      <w:r w:rsidRPr="00C66771">
        <w:rPr>
          <w:rFonts w:ascii="Book Antiqua" w:eastAsia="宋体" w:hAnsi="Book Antiqua" w:cs="Book Antiqua" w:hint="eastAsia"/>
          <w:color w:val="000000"/>
          <w:lang w:eastAsia="zh-CN"/>
        </w:rPr>
        <w:t>under ribs</w:t>
      </w:r>
      <w:r w:rsidRPr="00C66771">
        <w:rPr>
          <w:rFonts w:ascii="Book Antiqua" w:eastAsia="Book Antiqua" w:hAnsi="Book Antiqua" w:cs="Book Antiqua"/>
          <w:color w:val="000000"/>
        </w:rPr>
        <w:t>.</w:t>
      </w:r>
    </w:p>
    <w:p w14:paraId="2E6FD929" w14:textId="77777777" w:rsidR="00B63A21" w:rsidRPr="00C66771" w:rsidRDefault="00B63A21">
      <w:pPr>
        <w:adjustRightInd w:val="0"/>
        <w:snapToGrid w:val="0"/>
        <w:spacing w:line="360" w:lineRule="auto"/>
        <w:jc w:val="both"/>
        <w:rPr>
          <w:rFonts w:ascii="Book Antiqua" w:hAnsi="Book Antiqua"/>
        </w:rPr>
      </w:pPr>
    </w:p>
    <w:p w14:paraId="13EACEA4"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i/>
          <w:color w:val="000000"/>
        </w:rPr>
        <w:t>Laboratory examinations</w:t>
      </w:r>
    </w:p>
    <w:p w14:paraId="32062DC4" w14:textId="57BA7FEB"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lastRenderedPageBreak/>
        <w:t>Bone marrow aspiration revealed a hyperplastic marrow with 70% granulocytes and 16% erythrocytes. A routine blood test indicated a white blood cell (WBC) count of 1100 cells/mm</w:t>
      </w:r>
      <w:r w:rsidRPr="00C66771">
        <w:rPr>
          <w:rFonts w:ascii="Book Antiqua" w:eastAsia="Book Antiqua" w:hAnsi="Book Antiqua" w:cs="Book Antiqua"/>
          <w:color w:val="000000"/>
          <w:vertAlign w:val="superscript"/>
        </w:rPr>
        <w:t>3</w:t>
      </w:r>
      <w:r w:rsidRPr="00C66771">
        <w:rPr>
          <w:rFonts w:ascii="Book Antiqua" w:eastAsia="Book Antiqua" w:hAnsi="Book Antiqua" w:cs="Book Antiqua"/>
          <w:color w:val="000000"/>
        </w:rPr>
        <w:t>, absolute neutrophil count (ANC) of 800 cells/mm</w:t>
      </w:r>
      <w:r w:rsidRPr="00C66771">
        <w:rPr>
          <w:rFonts w:ascii="Book Antiqua" w:eastAsia="Book Antiqua" w:hAnsi="Book Antiqua" w:cs="Book Antiqua"/>
          <w:color w:val="000000"/>
          <w:vertAlign w:val="superscript"/>
        </w:rPr>
        <w:t>3</w:t>
      </w:r>
      <w:r w:rsidRPr="00C66771">
        <w:rPr>
          <w:rFonts w:ascii="Book Antiqua" w:eastAsia="Book Antiqua" w:hAnsi="Book Antiqua" w:cs="Book Antiqua"/>
          <w:color w:val="000000"/>
        </w:rPr>
        <w:t>, hemoglobin level of 6.4 g/dL, platelet count of 37 × 10</w:t>
      </w:r>
      <w:r w:rsidRPr="00C66771">
        <w:rPr>
          <w:rFonts w:ascii="Book Antiqua" w:eastAsia="Book Antiqua" w:hAnsi="Book Antiqua" w:cs="Book Antiqua"/>
          <w:color w:val="000000"/>
          <w:vertAlign w:val="superscript"/>
        </w:rPr>
        <w:t>9</w:t>
      </w:r>
      <w:r w:rsidRPr="00C66771">
        <w:rPr>
          <w:rFonts w:ascii="Book Antiqua" w:eastAsia="Book Antiqua" w:hAnsi="Book Antiqua" w:cs="Book Antiqua"/>
          <w:color w:val="000000"/>
        </w:rPr>
        <w:t xml:space="preserve">/L, and reticulocyte percentage (Ret%) of 1.80%. Additionally, biochemical tests showed a total bilirubin count of 21.6 </w:t>
      </w:r>
      <w:proofErr w:type="spellStart"/>
      <w:r w:rsidRPr="00C66771">
        <w:rPr>
          <w:rFonts w:ascii="Book Antiqua" w:eastAsia="Book Antiqua" w:hAnsi="Book Antiqua" w:cs="Book Antiqua"/>
          <w:color w:val="000000"/>
        </w:rPr>
        <w:t>μmol</w:t>
      </w:r>
      <w:proofErr w:type="spellEnd"/>
      <w:r w:rsidRPr="00C66771">
        <w:rPr>
          <w:rFonts w:ascii="Book Antiqua" w:eastAsia="Book Antiqua" w:hAnsi="Book Antiqua" w:cs="Book Antiqua"/>
          <w:color w:val="000000"/>
        </w:rPr>
        <w:t xml:space="preserve">/L, direct bilirubin count of 9.2 </w:t>
      </w:r>
      <w:proofErr w:type="spellStart"/>
      <w:r w:rsidRPr="00C66771">
        <w:rPr>
          <w:rFonts w:ascii="Book Antiqua" w:eastAsia="Book Antiqua" w:hAnsi="Book Antiqua" w:cs="Book Antiqua"/>
          <w:color w:val="000000"/>
        </w:rPr>
        <w:t>μmol</w:t>
      </w:r>
      <w:proofErr w:type="spellEnd"/>
      <w:r w:rsidRPr="00C66771">
        <w:rPr>
          <w:rFonts w:ascii="Book Antiqua" w:eastAsia="Book Antiqua" w:hAnsi="Book Antiqua" w:cs="Book Antiqua"/>
          <w:color w:val="000000"/>
        </w:rPr>
        <w:t xml:space="preserve">/L, indirect bilirubin of 12.4 </w:t>
      </w:r>
      <w:proofErr w:type="spellStart"/>
      <w:r w:rsidRPr="00C66771">
        <w:rPr>
          <w:rFonts w:ascii="Book Antiqua" w:eastAsia="Book Antiqua" w:hAnsi="Book Antiqua" w:cs="Book Antiqua"/>
          <w:color w:val="000000"/>
        </w:rPr>
        <w:t>μmol</w:t>
      </w:r>
      <w:proofErr w:type="spellEnd"/>
      <w:r w:rsidRPr="00C66771">
        <w:rPr>
          <w:rFonts w:ascii="Book Antiqua" w:eastAsia="Book Antiqua" w:hAnsi="Book Antiqua" w:cs="Book Antiqua"/>
          <w:color w:val="000000"/>
        </w:rPr>
        <w:t>/L, aspartate aminotransferase level of 35 U/L, alanine aminotransferase level of 133 U/L, and γ-glutamyl transpeptidase level of 68 U/L. The percentage of CD3</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CD45</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cells was 91.90%, with 65.63% CD3</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CD8</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cells, 17.74% CD3</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CD4</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cells, 4.62% CD19</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cells, 0.5% natural killer cells (CD3</w:t>
      </w:r>
      <w:r w:rsidRPr="00C66771">
        <w:rPr>
          <w:rFonts w:ascii="Book Antiqua" w:eastAsia="Book Antiqua" w:hAnsi="Book Antiqua" w:cs="Book Antiqua"/>
          <w:color w:val="000000"/>
          <w:vertAlign w:val="superscript"/>
        </w:rPr>
        <w:sym w:font="Symbol" w:char="F02D"/>
      </w:r>
      <w:r w:rsidRPr="00C66771">
        <w:rPr>
          <w:rFonts w:ascii="Book Antiqua" w:eastAsia="Book Antiqua" w:hAnsi="Book Antiqua" w:cs="Book Antiqua"/>
          <w:color w:val="000000"/>
        </w:rPr>
        <w:t>/CD16</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CD56</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and a 0.27 CD4/CD8 ratio. On quantitative detection, HBV DNA was lower than the minimum detection limit. The EBV-DNA count was 1.91 × 10</w:t>
      </w:r>
      <w:r w:rsidRPr="00C66771">
        <w:rPr>
          <w:rFonts w:ascii="Book Antiqua" w:eastAsia="Book Antiqua" w:hAnsi="Book Antiqua" w:cs="Book Antiqua"/>
          <w:color w:val="000000"/>
          <w:vertAlign w:val="superscript"/>
        </w:rPr>
        <w:t>4</w:t>
      </w:r>
      <w:r w:rsidRPr="00C66771">
        <w:rPr>
          <w:rFonts w:ascii="Book Antiqua" w:eastAsia="Book Antiqua" w:hAnsi="Book Antiqua" w:cs="Book Antiqua"/>
          <w:color w:val="000000"/>
        </w:rPr>
        <w:t xml:space="preserve"> copies/mL, and the test result for CMV-DNA was negative. The patient was diagnosed with HAAA and EBV infection.</w:t>
      </w:r>
    </w:p>
    <w:p w14:paraId="321676EB" w14:textId="77777777" w:rsidR="00B63A21" w:rsidRPr="00C66771" w:rsidRDefault="00B63A21">
      <w:pPr>
        <w:adjustRightInd w:val="0"/>
        <w:snapToGrid w:val="0"/>
        <w:spacing w:line="360" w:lineRule="auto"/>
        <w:jc w:val="both"/>
        <w:rPr>
          <w:rFonts w:ascii="Book Antiqua" w:hAnsi="Book Antiqua"/>
        </w:rPr>
      </w:pPr>
    </w:p>
    <w:p w14:paraId="22DCF07C"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i/>
          <w:color w:val="000000"/>
        </w:rPr>
        <w:t>Imaging examinations</w:t>
      </w:r>
    </w:p>
    <w:p w14:paraId="11029A18"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Imaging examination showed no obvious abnormality.</w:t>
      </w:r>
    </w:p>
    <w:p w14:paraId="2BDE446A" w14:textId="77777777" w:rsidR="00B63A21" w:rsidRPr="00C66771" w:rsidRDefault="00B63A21">
      <w:pPr>
        <w:adjustRightInd w:val="0"/>
        <w:snapToGrid w:val="0"/>
        <w:spacing w:line="360" w:lineRule="auto"/>
        <w:jc w:val="both"/>
        <w:rPr>
          <w:rFonts w:ascii="Book Antiqua" w:hAnsi="Book Antiqua"/>
        </w:rPr>
      </w:pPr>
    </w:p>
    <w:p w14:paraId="08F36B1B" w14:textId="77777777" w:rsidR="00B63A21" w:rsidRPr="00C66771" w:rsidRDefault="00000000">
      <w:pPr>
        <w:adjustRightInd w:val="0"/>
        <w:snapToGrid w:val="0"/>
        <w:spacing w:line="360" w:lineRule="auto"/>
        <w:jc w:val="both"/>
        <w:rPr>
          <w:rFonts w:ascii="Book Antiqua" w:hAnsi="Book Antiqua"/>
          <w:b/>
          <w:bCs/>
          <w:i/>
          <w:iCs/>
        </w:rPr>
      </w:pPr>
      <w:r w:rsidRPr="00C66771">
        <w:rPr>
          <w:rFonts w:ascii="Book Antiqua" w:hAnsi="Book Antiqua"/>
          <w:b/>
          <w:bCs/>
          <w:i/>
          <w:iCs/>
        </w:rPr>
        <w:t>Further diagnostic work-up</w:t>
      </w:r>
    </w:p>
    <w:p w14:paraId="7D60A10E" w14:textId="6B497FCF" w:rsidR="00B63A21" w:rsidRPr="00C66771" w:rsidRDefault="00000000">
      <w:pPr>
        <w:widowControl w:val="0"/>
        <w:autoSpaceDE w:val="0"/>
        <w:autoSpaceDN w:val="0"/>
        <w:adjustRightInd w:val="0"/>
        <w:snapToGrid w:val="0"/>
        <w:spacing w:line="360" w:lineRule="auto"/>
        <w:jc w:val="both"/>
        <w:rPr>
          <w:rFonts w:ascii="Book Antiqua" w:eastAsia="TimesNewRomanPSMT" w:hAnsi="Book Antiqua" w:cs="TimesNewRomanPSMT"/>
        </w:rPr>
      </w:pPr>
      <w:r w:rsidRPr="00C66771">
        <w:rPr>
          <w:rFonts w:ascii="Book Antiqua" w:eastAsia="TimesNewRomanPSMT" w:hAnsi="Book Antiqua" w:cs="TimesNewRomanPSMT"/>
        </w:rPr>
        <w:t>A previous liver biopsy specimen was tested again for EBV and showed negative EBV DNA in</w:t>
      </w:r>
      <w:r w:rsidRPr="00C66771">
        <w:rPr>
          <w:rFonts w:ascii="Book Antiqua" w:eastAsia="TimesNewRomanPSMT" w:hAnsi="Book Antiqua" w:cs="TimesNewRomanPSMT"/>
          <w:lang w:eastAsia="zh-CN"/>
        </w:rPr>
        <w:t xml:space="preserve"> </w:t>
      </w:r>
      <w:r w:rsidRPr="00C66771">
        <w:rPr>
          <w:rFonts w:ascii="Book Antiqua" w:eastAsia="TimesNewRomanPSMT" w:hAnsi="Book Antiqua" w:cs="TimesNewRomanPSMT"/>
        </w:rPr>
        <w:t>the liver tissue. On 16 September 2019, a bone marrow biopsy was performed, which showed</w:t>
      </w:r>
      <w:r w:rsidRPr="00C66771">
        <w:rPr>
          <w:rFonts w:ascii="Book Antiqua" w:eastAsia="TimesNewRomanPSMT" w:hAnsi="Book Antiqua" w:cs="TimesNewRomanPSMT"/>
          <w:lang w:eastAsia="zh-CN"/>
        </w:rPr>
        <w:t xml:space="preserve"> </w:t>
      </w:r>
      <w:r w:rsidRPr="00C66771">
        <w:rPr>
          <w:rFonts w:ascii="Book Antiqua" w:eastAsia="TimesNewRomanPSMT" w:hAnsi="Book Antiqua" w:cs="TimesNewRomanPSMT"/>
        </w:rPr>
        <w:t>significantly low myeloid hyperplasia. Immunohistochemical staining of the bone marrow showed</w:t>
      </w:r>
      <w:r w:rsidRPr="00C66771">
        <w:rPr>
          <w:rFonts w:ascii="Book Antiqua" w:eastAsia="TimesNewRomanPSMT" w:hAnsi="Book Antiqua" w:cs="TimesNewRomanPSMT"/>
          <w:lang w:eastAsia="zh-CN"/>
        </w:rPr>
        <w:t xml:space="preserve"> </w:t>
      </w:r>
      <w:r w:rsidRPr="00C66771">
        <w:rPr>
          <w:rFonts w:ascii="Book Antiqua" w:eastAsia="TimesNewRomanPSMT" w:hAnsi="Book Antiqua" w:cs="TimesNewRomanPSMT"/>
        </w:rPr>
        <w:t>CD34 (</w:t>
      </w:r>
      <w:r w:rsidRPr="00C66771">
        <w:rPr>
          <w:rFonts w:ascii="Book Antiqua" w:eastAsia="TimesNewRomanPSMT" w:hAnsi="Book Antiqua" w:cs="TimesNewRomanPSMT"/>
        </w:rPr>
        <w:sym w:font="Symbol" w:char="F02D"/>
      </w:r>
      <w:r w:rsidRPr="00C66771">
        <w:rPr>
          <w:rFonts w:ascii="Book Antiqua" w:eastAsia="TimesNewRomanPSMT" w:hAnsi="Book Antiqua" w:cs="TimesNewRomanPSMT"/>
        </w:rPr>
        <w:t>), CD117 (minority +), MPO (partial +), CD235a (partial +), CD31 (minority +), CD20 (</w:t>
      </w:r>
      <w:r w:rsidRPr="00C66771">
        <w:rPr>
          <w:rFonts w:ascii="Book Antiqua" w:eastAsia="TimesNewRomanPSMT" w:hAnsi="Book Antiqua" w:cs="TimesNewRomanPSMT"/>
        </w:rPr>
        <w:sym w:font="Symbol" w:char="F02D"/>
      </w:r>
      <w:r w:rsidRPr="00C66771">
        <w:rPr>
          <w:rFonts w:ascii="Book Antiqua" w:eastAsia="TimesNewRomanPSMT" w:hAnsi="Book Antiqua" w:cs="TimesNewRomanPSMT"/>
        </w:rPr>
        <w:t>),</w:t>
      </w:r>
      <w:r w:rsidRPr="00C66771">
        <w:rPr>
          <w:rFonts w:ascii="Book Antiqua" w:eastAsia="TimesNewRomanPSMT" w:hAnsi="Book Antiqua" w:cs="TimesNewRomanPSMT"/>
          <w:lang w:eastAsia="zh-CN"/>
        </w:rPr>
        <w:t xml:space="preserve"> </w:t>
      </w:r>
      <w:r w:rsidRPr="00C66771">
        <w:rPr>
          <w:rFonts w:ascii="Book Antiqua" w:eastAsia="TimesNewRomanPSMT" w:hAnsi="Book Antiqua" w:cs="TimesNewRomanPSMT"/>
        </w:rPr>
        <w:t>CD3 (</w:t>
      </w:r>
      <w:r w:rsidRPr="00C66771">
        <w:rPr>
          <w:rFonts w:ascii="Book Antiqua" w:eastAsia="TimesNewRomanPSMT" w:hAnsi="Book Antiqua" w:cs="TimesNewRomanPSMT"/>
        </w:rPr>
        <w:sym w:font="Symbol" w:char="F02D"/>
      </w:r>
      <w:r w:rsidRPr="00C66771">
        <w:rPr>
          <w:rFonts w:ascii="Book Antiqua" w:eastAsia="TimesNewRomanPSMT" w:hAnsi="Book Antiqua" w:cs="TimesNewRomanPSMT"/>
        </w:rPr>
        <w:t>), and CD138 (minority +). Special staining revealed reticular fibers (</w:t>
      </w:r>
      <w:r w:rsidRPr="00C66771">
        <w:rPr>
          <w:rFonts w:ascii="Book Antiqua" w:eastAsia="TimesNewRomanPSMT" w:hAnsi="Book Antiqua" w:cs="TimesNewRomanPSMT"/>
        </w:rPr>
        <w:sym w:font="Symbol" w:char="F02D"/>
      </w:r>
      <w:r w:rsidRPr="00C66771">
        <w:rPr>
          <w:rFonts w:ascii="Book Antiqua" w:eastAsia="TimesNewRomanPSMT" w:hAnsi="Book Antiqua" w:cs="TimesNewRomanPSMT"/>
        </w:rPr>
        <w:t xml:space="preserve">) and </w:t>
      </w:r>
      <w:proofErr w:type="spellStart"/>
      <w:r w:rsidRPr="00C66771">
        <w:rPr>
          <w:rFonts w:ascii="Book Antiqua" w:eastAsia="TimesNewRomanPSMT" w:hAnsi="Book Antiqua" w:cs="TimesNewRomanPSMT"/>
        </w:rPr>
        <w:t>Perls</w:t>
      </w:r>
      <w:proofErr w:type="spellEnd"/>
      <w:r w:rsidRPr="00C66771">
        <w:rPr>
          <w:rFonts w:ascii="Book Antiqua" w:eastAsia="TimesNewRomanPSMT" w:hAnsi="Book Antiqua" w:cs="TimesNewRomanPSMT"/>
        </w:rPr>
        <w:t xml:space="preserve"> (</w:t>
      </w:r>
      <w:r w:rsidRPr="00C66771">
        <w:rPr>
          <w:rFonts w:ascii="Book Antiqua" w:eastAsia="TimesNewRomanPSMT" w:hAnsi="Book Antiqua" w:cs="TimesNewRomanPSMT"/>
        </w:rPr>
        <w:sym w:font="Symbol" w:char="F02D"/>
      </w:r>
      <w:r w:rsidRPr="00C66771">
        <w:rPr>
          <w:rFonts w:ascii="Book Antiqua" w:eastAsia="TimesNewRomanPSMT" w:hAnsi="Book Antiqua" w:cs="TimesNewRomanPSMT"/>
        </w:rPr>
        <w:t>)</w:t>
      </w:r>
      <w:r w:rsidRPr="00C66771">
        <w:rPr>
          <w:rFonts w:ascii="Book Antiqua" w:eastAsia="TimesNewRomanPSMT" w:hAnsi="Book Antiqua" w:cs="TimesNewRomanPSMT"/>
          <w:lang w:eastAsia="zh-CN"/>
        </w:rPr>
        <w:t xml:space="preserve"> </w:t>
      </w:r>
      <w:r w:rsidRPr="00C66771">
        <w:rPr>
          <w:rFonts w:ascii="Book Antiqua" w:eastAsia="TimesNewRomanPSMT" w:hAnsi="Book Antiqua" w:cs="TimesNewRomanPSMT"/>
        </w:rPr>
        <w:t>(Figure 1).</w:t>
      </w:r>
    </w:p>
    <w:p w14:paraId="7F0F8367" w14:textId="77777777" w:rsidR="00B63A21" w:rsidRPr="00C66771" w:rsidRDefault="00B63A21">
      <w:pPr>
        <w:adjustRightInd w:val="0"/>
        <w:snapToGrid w:val="0"/>
        <w:spacing w:line="360" w:lineRule="auto"/>
        <w:jc w:val="both"/>
        <w:rPr>
          <w:rFonts w:ascii="Book Antiqua" w:hAnsi="Book Antiqua"/>
        </w:rPr>
      </w:pPr>
    </w:p>
    <w:p w14:paraId="11310739"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aps/>
          <w:color w:val="000000"/>
          <w:u w:val="single"/>
        </w:rPr>
        <w:t>FINAL DIAGNOSIS</w:t>
      </w:r>
    </w:p>
    <w:p w14:paraId="20EED27A"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The patient was diagnosed with HAAA and EBV infection.</w:t>
      </w:r>
    </w:p>
    <w:p w14:paraId="050D51B7" w14:textId="77777777" w:rsidR="00B63A21" w:rsidRPr="00C66771" w:rsidRDefault="00B63A21">
      <w:pPr>
        <w:adjustRightInd w:val="0"/>
        <w:snapToGrid w:val="0"/>
        <w:spacing w:line="360" w:lineRule="auto"/>
        <w:jc w:val="both"/>
        <w:rPr>
          <w:rFonts w:ascii="Book Antiqua" w:hAnsi="Book Antiqua"/>
        </w:rPr>
      </w:pPr>
    </w:p>
    <w:p w14:paraId="6B048037"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aps/>
          <w:color w:val="000000"/>
          <w:u w:val="single"/>
        </w:rPr>
        <w:t>TREATMENT</w:t>
      </w:r>
    </w:p>
    <w:p w14:paraId="26B7BAAA" w14:textId="6AD9AE3B"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lastRenderedPageBreak/>
        <w:t xml:space="preserve">The patient received symptomatic treatment for liver protection, granulocyte colony-stimulating factor, and blood transfusion. On 21 September 2019, he was treated with rabbit ATG (d1–d2: 225 mg/d; d3–d5: 250 mg/d), 100 mg </w:t>
      </w:r>
      <w:proofErr w:type="spellStart"/>
      <w:r w:rsidRPr="00C66771">
        <w:rPr>
          <w:rFonts w:ascii="Book Antiqua" w:eastAsia="Book Antiqua" w:hAnsi="Book Antiqua" w:cs="Book Antiqua"/>
          <w:color w:val="000000"/>
        </w:rPr>
        <w:t>CsA</w:t>
      </w:r>
      <w:proofErr w:type="spellEnd"/>
      <w:r w:rsidRPr="00C66771">
        <w:rPr>
          <w:rFonts w:ascii="Book Antiqua" w:eastAsia="Book Antiqua" w:hAnsi="Book Antiqua" w:cs="Book Antiqua"/>
          <w:color w:val="000000"/>
        </w:rPr>
        <w:t xml:space="preserve"> twice daily, 50 mg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xml:space="preserve"> twice daily, and cord blood. On 8 October 2019, the CMV-DNA count was 2.53 × 10</w:t>
      </w:r>
      <w:r w:rsidRPr="00C66771">
        <w:rPr>
          <w:rFonts w:ascii="Book Antiqua" w:eastAsia="Book Antiqua" w:hAnsi="Book Antiqua" w:cs="Book Antiqua"/>
          <w:color w:val="000000"/>
          <w:vertAlign w:val="superscript"/>
        </w:rPr>
        <w:t>3</w:t>
      </w:r>
      <w:r w:rsidRPr="00C66771">
        <w:rPr>
          <w:rFonts w:ascii="Book Antiqua" w:eastAsia="Book Antiqua" w:hAnsi="Book Antiqua" w:cs="Book Antiqua"/>
          <w:color w:val="000000"/>
        </w:rPr>
        <w:t xml:space="preserve"> copies/mL, and </w:t>
      </w:r>
      <w:proofErr w:type="spellStart"/>
      <w:r w:rsidRPr="00C66771">
        <w:rPr>
          <w:rFonts w:ascii="Book Antiqua" w:eastAsia="Book Antiqua" w:hAnsi="Book Antiqua" w:cs="Book Antiqua"/>
          <w:color w:val="000000"/>
        </w:rPr>
        <w:t>gammaglobulin</w:t>
      </w:r>
      <w:proofErr w:type="spellEnd"/>
      <w:r w:rsidRPr="00C66771">
        <w:rPr>
          <w:rFonts w:ascii="Book Antiqua" w:eastAsia="Book Antiqua" w:hAnsi="Book Antiqua" w:cs="Book Antiqua"/>
          <w:color w:val="000000"/>
        </w:rPr>
        <w:t xml:space="preserve"> was administered. The EBV-DNA copy number continued to increase during treatment and reached 3.08 × 10</w:t>
      </w:r>
      <w:r w:rsidRPr="00C66771">
        <w:rPr>
          <w:rFonts w:ascii="Book Antiqua" w:eastAsia="Book Antiqua" w:hAnsi="Book Antiqua" w:cs="Book Antiqua"/>
          <w:color w:val="000000"/>
          <w:vertAlign w:val="superscript"/>
        </w:rPr>
        <w:t>5</w:t>
      </w:r>
      <w:r w:rsidRPr="00C66771">
        <w:rPr>
          <w:rFonts w:ascii="Book Antiqua" w:eastAsia="Book Antiqua" w:hAnsi="Book Antiqua" w:cs="Book Antiqua"/>
          <w:color w:val="000000"/>
        </w:rPr>
        <w:t xml:space="preserve"> copies/mL on 4 November 2019 with 3.34 × 10</w:t>
      </w:r>
      <w:r w:rsidRPr="00C66771">
        <w:rPr>
          <w:rFonts w:ascii="Book Antiqua" w:eastAsia="Book Antiqua" w:hAnsi="Book Antiqua" w:cs="Book Antiqua"/>
          <w:color w:val="000000"/>
          <w:vertAlign w:val="superscript"/>
        </w:rPr>
        <w:t>3</w:t>
      </w:r>
      <w:r w:rsidRPr="00C66771">
        <w:rPr>
          <w:rFonts w:ascii="Book Antiqua" w:eastAsia="Book Antiqua" w:hAnsi="Book Antiqua" w:cs="Book Antiqua"/>
          <w:color w:val="000000"/>
        </w:rPr>
        <w:t xml:space="preserve"> copies/mL of CMV DNA. </w:t>
      </w:r>
      <w:proofErr w:type="spellStart"/>
      <w:r w:rsidRPr="00C66771">
        <w:rPr>
          <w:rFonts w:ascii="Book Antiqua" w:eastAsia="Book Antiqua" w:hAnsi="Book Antiqua" w:cs="Book Antiqua"/>
          <w:color w:val="000000"/>
        </w:rPr>
        <w:t>CsA</w:t>
      </w:r>
      <w:proofErr w:type="spellEnd"/>
      <w:r w:rsidRPr="00C66771">
        <w:rPr>
          <w:rFonts w:ascii="Book Antiqua" w:eastAsia="Book Antiqua" w:hAnsi="Book Antiqua" w:cs="Book Antiqua"/>
          <w:color w:val="000000"/>
        </w:rPr>
        <w:t xml:space="preserve"> administration was then stopped. Thereafter, the EBV-DNA copy number showed a decreasing trend but remained high, and the test for CMV DNA became negative. On 3 December 2019, he received anti-EBV therapy with 700 mg (375 mg/m</w:t>
      </w:r>
      <w:r w:rsidRPr="00C66771">
        <w:rPr>
          <w:rFonts w:ascii="Book Antiqua" w:eastAsia="Book Antiqua" w:hAnsi="Book Antiqua" w:cs="Book Antiqua"/>
          <w:color w:val="000000"/>
          <w:vertAlign w:val="superscript"/>
        </w:rPr>
        <w:t>2</w:t>
      </w:r>
      <w:r w:rsidRPr="00C66771">
        <w:rPr>
          <w:rFonts w:ascii="Book Antiqua" w:eastAsia="Book Antiqua" w:hAnsi="Book Antiqua" w:cs="Book Antiqua"/>
          <w:color w:val="000000"/>
        </w:rPr>
        <w:t xml:space="preserve">) rituximab. During regular follow-up after treatment, tests for both EBV DNA and CMV DNA were negative, and </w:t>
      </w:r>
      <w:proofErr w:type="spellStart"/>
      <w:r w:rsidRPr="00C66771">
        <w:rPr>
          <w:rFonts w:ascii="Book Antiqua" w:eastAsia="Book Antiqua" w:hAnsi="Book Antiqua" w:cs="Book Antiqua"/>
          <w:color w:val="000000"/>
        </w:rPr>
        <w:t>CsA</w:t>
      </w:r>
      <w:proofErr w:type="spellEnd"/>
      <w:r w:rsidRPr="00C66771">
        <w:rPr>
          <w:rFonts w:ascii="Book Antiqua" w:eastAsia="Book Antiqua" w:hAnsi="Book Antiqua" w:cs="Book Antiqua"/>
          <w:color w:val="000000"/>
        </w:rPr>
        <w:t xml:space="preserve"> was administered again on 25 December 2019. During another follow-up, liver enzymes and bilirubin levels gradually decreased to normal levels.</w:t>
      </w:r>
    </w:p>
    <w:p w14:paraId="7180C8D2" w14:textId="77777777" w:rsidR="00B63A21" w:rsidRPr="00C66771" w:rsidRDefault="00B63A21">
      <w:pPr>
        <w:adjustRightInd w:val="0"/>
        <w:snapToGrid w:val="0"/>
        <w:spacing w:line="360" w:lineRule="auto"/>
        <w:jc w:val="both"/>
        <w:rPr>
          <w:rFonts w:ascii="Book Antiqua" w:hAnsi="Book Antiqua"/>
        </w:rPr>
      </w:pPr>
    </w:p>
    <w:p w14:paraId="74A521EA"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aps/>
          <w:color w:val="000000"/>
          <w:u w:val="single"/>
        </w:rPr>
        <w:t>OUTCOME AND FOLLOW-UP</w:t>
      </w:r>
    </w:p>
    <w:p w14:paraId="7E12F122" w14:textId="48E41E5D"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After immunosuppressive therapy, transfusion was gradually terminated, and the patient’s condition progressively improved. A bone marrow morphology test was performed again (Figures 2C–F), and the results of the complete blood count changed as the treatment progressed (Figure 3). At the follow-up, the patient’s hemogram revealed that he achieved a complete response and returned to normal. On 30 September 2021, a routine blood test showed a WBC count of 7600 cells/mm</w:t>
      </w:r>
      <w:r w:rsidRPr="00C66771">
        <w:rPr>
          <w:rFonts w:ascii="Book Antiqua" w:eastAsia="Book Antiqua" w:hAnsi="Book Antiqua" w:cs="Book Antiqua"/>
          <w:color w:val="000000"/>
          <w:vertAlign w:val="superscript"/>
        </w:rPr>
        <w:t>3</w:t>
      </w:r>
      <w:r w:rsidRPr="00C66771">
        <w:rPr>
          <w:rFonts w:ascii="Book Antiqua" w:eastAsia="Book Antiqua" w:hAnsi="Book Antiqua" w:cs="Book Antiqua"/>
          <w:color w:val="000000"/>
        </w:rPr>
        <w:t>, ANC of 2400 cells/mm</w:t>
      </w:r>
      <w:r w:rsidRPr="00C66771">
        <w:rPr>
          <w:rFonts w:ascii="Book Antiqua" w:eastAsia="Book Antiqua" w:hAnsi="Book Antiqua" w:cs="Book Antiqua"/>
          <w:color w:val="000000"/>
          <w:vertAlign w:val="superscript"/>
        </w:rPr>
        <w:t>3</w:t>
      </w:r>
      <w:r w:rsidRPr="00C66771">
        <w:rPr>
          <w:rFonts w:ascii="Book Antiqua" w:eastAsia="Book Antiqua" w:hAnsi="Book Antiqua" w:cs="Book Antiqua"/>
          <w:color w:val="000000"/>
        </w:rPr>
        <w:t>, hemoglobin level of 11.6 g/dL, platelet count of 187 × 10</w:t>
      </w:r>
      <w:r w:rsidRPr="00C66771">
        <w:rPr>
          <w:rFonts w:ascii="Book Antiqua" w:eastAsia="Book Antiqua" w:hAnsi="Book Antiqua" w:cs="Book Antiqua"/>
          <w:color w:val="000000"/>
          <w:vertAlign w:val="superscript"/>
        </w:rPr>
        <w:t>9</w:t>
      </w:r>
      <w:r w:rsidRPr="00C66771">
        <w:rPr>
          <w:rFonts w:ascii="Book Antiqua" w:eastAsia="Book Antiqua" w:hAnsi="Book Antiqua" w:cs="Book Antiqua"/>
          <w:color w:val="000000"/>
        </w:rPr>
        <w:t>/L, and Ret% of 1.07%.</w:t>
      </w:r>
    </w:p>
    <w:p w14:paraId="37B9B18B" w14:textId="77777777" w:rsidR="00B63A21" w:rsidRPr="00C66771" w:rsidRDefault="00B63A21">
      <w:pPr>
        <w:adjustRightInd w:val="0"/>
        <w:snapToGrid w:val="0"/>
        <w:spacing w:line="360" w:lineRule="auto"/>
        <w:jc w:val="both"/>
        <w:rPr>
          <w:rFonts w:ascii="Book Antiqua" w:hAnsi="Book Antiqua"/>
        </w:rPr>
      </w:pPr>
    </w:p>
    <w:p w14:paraId="69DCF5A3"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aps/>
          <w:color w:val="000000"/>
          <w:u w:val="single"/>
        </w:rPr>
        <w:t>DISCUSSION</w:t>
      </w:r>
    </w:p>
    <w:p w14:paraId="5CC86DBE" w14:textId="3F8135AE"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Liver injury due to EBV infection is common, with 80%–90% of patients exhibiting mild to moderate transient liver function abnormalities. Although it is a self-limiting disease with a good prognosis, it affects the hematological system and can cause hematopoietic dysfunction in the bone marrow, which eventually manifests as AA</w:t>
      </w:r>
      <w:r w:rsidRPr="00C66771">
        <w:rPr>
          <w:rFonts w:ascii="Book Antiqua" w:eastAsia="Book Antiqua" w:hAnsi="Book Antiqua" w:cs="Book Antiqua"/>
          <w:color w:val="000000"/>
          <w:vertAlign w:val="superscript"/>
        </w:rPr>
        <w:t xml:space="preserve"> [6,7]</w:t>
      </w:r>
      <w:r w:rsidRPr="00C66771">
        <w:rPr>
          <w:rFonts w:ascii="Book Antiqua" w:eastAsia="Book Antiqua" w:hAnsi="Book Antiqua" w:cs="Book Antiqua"/>
          <w:color w:val="000000"/>
        </w:rPr>
        <w:t xml:space="preserve">. In the current study, the EBV-DNA load in the peripheral blood increased during treatment, and liver </w:t>
      </w:r>
      <w:r w:rsidRPr="00C66771">
        <w:rPr>
          <w:rFonts w:ascii="Book Antiqua" w:eastAsia="Book Antiqua" w:hAnsi="Book Antiqua" w:cs="Book Antiqua"/>
          <w:color w:val="000000"/>
        </w:rPr>
        <w:lastRenderedPageBreak/>
        <w:t>biopsy indicated hepatitis. However, tests for hepatitis and other common viruses were negative. The patient was definitively diagnosed with HAAA by peripheral blood and liver enzyme tests, bone marrow biopsy, and other related assessments. It was speculated that the patient might have suffered liver and bone marrow damage because of his persistently high EBV copy number.</w:t>
      </w:r>
    </w:p>
    <w:p w14:paraId="1026F1B6" w14:textId="5AF51F83" w:rsidR="00B63A21" w:rsidRPr="00C66771" w:rsidRDefault="00000000">
      <w:pPr>
        <w:adjustRightInd w:val="0"/>
        <w:snapToGrid w:val="0"/>
        <w:spacing w:line="360" w:lineRule="auto"/>
        <w:ind w:firstLineChars="100" w:firstLine="240"/>
        <w:jc w:val="both"/>
        <w:rPr>
          <w:rFonts w:ascii="Book Antiqua" w:hAnsi="Book Antiqua"/>
        </w:rPr>
      </w:pPr>
      <w:r w:rsidRPr="00C66771">
        <w:rPr>
          <w:rFonts w:ascii="Book Antiqua" w:eastAsia="Book Antiqua" w:hAnsi="Book Antiqua" w:cs="Book Antiqua"/>
          <w:color w:val="000000"/>
        </w:rPr>
        <w:t>The pathogenesis of HAAA is complex. HAAA patients have a decreased CD4</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/CD8</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lymphocyte ratio and a high proportion of CD8</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lymphocytes, which can produce cytotoxicity and inhibit bone marrow hematopoiesis</w:t>
      </w:r>
      <w:r w:rsidRPr="00C66771">
        <w:rPr>
          <w:rFonts w:ascii="Book Antiqua" w:eastAsia="Book Antiqua" w:hAnsi="Book Antiqua" w:cs="Book Antiqua"/>
          <w:color w:val="000000"/>
          <w:vertAlign w:val="superscript"/>
        </w:rPr>
        <w:t>[8]</w:t>
      </w:r>
      <w:r w:rsidRPr="00C66771">
        <w:rPr>
          <w:rFonts w:ascii="Book Antiqua" w:eastAsia="Book Antiqua" w:hAnsi="Book Antiqua" w:cs="Book Antiqua"/>
          <w:color w:val="000000"/>
        </w:rPr>
        <w:t>. Worth</w:t>
      </w:r>
      <w:r w:rsidRPr="00C66771">
        <w:rPr>
          <w:rFonts w:ascii="Book Antiqua" w:eastAsia="Book Antiqua" w:hAnsi="Book Antiqua" w:cs="Book Antiqua"/>
          <w:color w:val="000000"/>
          <w:vertAlign w:val="superscript"/>
        </w:rPr>
        <w:t xml:space="preserve"> </w:t>
      </w:r>
      <w:r w:rsidRPr="00C66771">
        <w:rPr>
          <w:rFonts w:ascii="Book Antiqua" w:eastAsia="Book Antiqua" w:hAnsi="Book Antiqua" w:cs="Book Antiqua"/>
          <w:i/>
          <w:iCs/>
          <w:color w:val="000000"/>
        </w:rPr>
        <w:t>et al</w:t>
      </w:r>
      <w:r w:rsidRPr="00C66771">
        <w:rPr>
          <w:rFonts w:ascii="Book Antiqua" w:eastAsia="Book Antiqua" w:hAnsi="Book Antiqua" w:cs="Book Antiqua"/>
          <w:color w:val="000000"/>
          <w:vertAlign w:val="superscript"/>
        </w:rPr>
        <w:t xml:space="preserve">[9] </w:t>
      </w:r>
      <w:r w:rsidRPr="00C66771">
        <w:rPr>
          <w:rFonts w:ascii="Book Antiqua" w:eastAsia="Book Antiqua" w:hAnsi="Book Antiqua" w:cs="Book Antiqua"/>
          <w:color w:val="000000"/>
        </w:rPr>
        <w:t>found that hepatitis-related symptoms and manifestations after EBV infection were more closely related to CD8</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and CD4</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lymphocyte proliferation than to EBV-DNA load. In our case, the detection of T lymphocyte subsets in the peripheral blood showed that CD4</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lymphocytes and the ratio of CD4</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/CD8</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decreased, but CD8</w:t>
      </w:r>
      <w:r w:rsidRPr="00C66771">
        <w:rPr>
          <w:rFonts w:ascii="Book Antiqua" w:eastAsia="Book Antiqua" w:hAnsi="Book Antiqua" w:cs="Book Antiqua"/>
          <w:color w:val="000000"/>
          <w:vertAlign w:val="superscript"/>
        </w:rPr>
        <w:t>+</w:t>
      </w:r>
      <w:r w:rsidRPr="00C66771">
        <w:rPr>
          <w:rFonts w:ascii="Book Antiqua" w:eastAsia="Book Antiqua" w:hAnsi="Book Antiqua" w:cs="Book Antiqua"/>
          <w:color w:val="000000"/>
        </w:rPr>
        <w:t xml:space="preserve"> cells increased; this finding was consistent with those of previous studies</w:t>
      </w:r>
      <w:r w:rsidRPr="00C66771">
        <w:rPr>
          <w:rFonts w:ascii="Book Antiqua" w:eastAsia="Book Antiqua" w:hAnsi="Book Antiqua" w:cs="Book Antiqua"/>
          <w:color w:val="000000"/>
          <w:vertAlign w:val="superscript"/>
        </w:rPr>
        <w:t>[10,11]</w:t>
      </w:r>
      <w:r w:rsidRPr="00C66771">
        <w:rPr>
          <w:rFonts w:ascii="Book Antiqua" w:eastAsia="Book Antiqua" w:hAnsi="Book Antiqua" w:cs="Book Antiqua"/>
          <w:color w:val="000000"/>
        </w:rPr>
        <w:t>. The imbalance in the proportion of T cells leads to the enhancement of immunosuppression, which is conducive to virus replication and ultimately prevents the effective elimination of the virus. Therefore, it is speculated that the patient may have had HAAA because of abnormal T cell functioning and an immune disorder caused by EBV infection. In this case, EBV may not have been detected in the liver tissue because of the difference in detection concentrations between the peripheral blood and tissue or because the liver biopsy of the patient did not puncture the tissue site infected with EBV. Eventually, the immune disorder caused by EBV-DNA replication and liver damage led to HAAA.</w:t>
      </w:r>
    </w:p>
    <w:p w14:paraId="411384DF" w14:textId="4636798D" w:rsidR="00B63A21" w:rsidRPr="00C66771" w:rsidRDefault="00000000">
      <w:pPr>
        <w:adjustRightInd w:val="0"/>
        <w:snapToGrid w:val="0"/>
        <w:spacing w:line="360" w:lineRule="auto"/>
        <w:ind w:firstLineChars="100" w:firstLine="240"/>
        <w:jc w:val="both"/>
        <w:rPr>
          <w:rFonts w:ascii="Book Antiqua" w:hAnsi="Book Antiqua"/>
        </w:rPr>
      </w:pPr>
      <w:r w:rsidRPr="00C66771">
        <w:rPr>
          <w:rFonts w:ascii="Book Antiqua" w:eastAsia="Book Antiqua" w:hAnsi="Book Antiqua" w:cs="Book Antiqua"/>
          <w:color w:val="000000"/>
        </w:rPr>
        <w:t>HAAA is a type of severe aplastic anemia (SAA) that is characterized by high mortality and rapid progression, thus necessitating early diagnosis and treatment. Guidelines for SAA patients with a matched sibling donor recommend early hematopoietic stem cell transplantation</w:t>
      </w:r>
      <w:r w:rsidRPr="00C66771">
        <w:rPr>
          <w:rFonts w:ascii="Book Antiqua" w:eastAsia="Book Antiqua" w:hAnsi="Book Antiqua" w:cs="Book Antiqua"/>
          <w:color w:val="000000"/>
          <w:vertAlign w:val="superscript"/>
        </w:rPr>
        <w:t>[12]</w:t>
      </w:r>
      <w:r w:rsidRPr="00C66771">
        <w:rPr>
          <w:rFonts w:ascii="Book Antiqua" w:eastAsia="Book Antiqua" w:hAnsi="Book Antiqua" w:cs="Book Antiqua"/>
          <w:color w:val="000000"/>
        </w:rPr>
        <w:t>. In the current study,</w:t>
      </w:r>
      <w:r w:rsidRPr="00C66771">
        <w:rPr>
          <w:rFonts w:ascii="Book Antiqua" w:eastAsia="Book Antiqua" w:hAnsi="Book Antiqua" w:cs="Book Antiqua"/>
          <w:color w:val="000000"/>
          <w:vertAlign w:val="superscript"/>
        </w:rPr>
        <w:t xml:space="preserve"> </w:t>
      </w:r>
      <w:r w:rsidRPr="00C66771">
        <w:rPr>
          <w:rFonts w:ascii="Book Antiqua" w:eastAsia="Book Antiqua" w:hAnsi="Book Antiqua" w:cs="Book Antiqua"/>
          <w:color w:val="000000"/>
        </w:rPr>
        <w:t xml:space="preserve">the patient was treated with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xml:space="preserve"> and an immunosuppressive regimen of rabbit ATG and </w:t>
      </w:r>
      <w:proofErr w:type="spellStart"/>
      <w:r w:rsidRPr="00C66771">
        <w:rPr>
          <w:rFonts w:ascii="Book Antiqua" w:eastAsia="Book Antiqua" w:hAnsi="Book Antiqua" w:cs="Book Antiqua"/>
          <w:color w:val="000000"/>
        </w:rPr>
        <w:t>CsA</w:t>
      </w:r>
      <w:proofErr w:type="spellEnd"/>
      <w:r w:rsidRPr="00C66771">
        <w:rPr>
          <w:rFonts w:ascii="Book Antiqua" w:eastAsia="Book Antiqua" w:hAnsi="Book Antiqua" w:cs="Book Antiqua"/>
          <w:color w:val="000000"/>
        </w:rPr>
        <w:t xml:space="preserve"> to achieve a complete response.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xml:space="preserve"> is a low-molecular-weight, synthetic, nonpeptide, oral thrombopoietin receptor agonist approved by the US Food and Drug Administration in 2008 for the treatment of patients with SAA with poor response to immunosuppressive therapy</w:t>
      </w:r>
      <w:r w:rsidRPr="00C66771">
        <w:rPr>
          <w:rFonts w:ascii="Book Antiqua" w:eastAsia="Book Antiqua" w:hAnsi="Book Antiqua" w:cs="Book Antiqua"/>
          <w:color w:val="000000"/>
          <w:vertAlign w:val="superscript"/>
        </w:rPr>
        <w:t>[13]</w:t>
      </w:r>
      <w:r w:rsidRPr="00C66771">
        <w:rPr>
          <w:rFonts w:ascii="Book Antiqua" w:eastAsia="Book Antiqua" w:hAnsi="Book Antiqua" w:cs="Book Antiqua"/>
          <w:color w:val="000000"/>
        </w:rPr>
        <w:t xml:space="preserve">. </w:t>
      </w:r>
      <w:proofErr w:type="spellStart"/>
      <w:r w:rsidRPr="00C66771">
        <w:rPr>
          <w:rFonts w:ascii="Book Antiqua" w:eastAsia="Book Antiqua" w:hAnsi="Book Antiqua" w:cs="Book Antiqua"/>
          <w:color w:val="000000"/>
        </w:rPr>
        <w:lastRenderedPageBreak/>
        <w:t>Schifferli</w:t>
      </w:r>
      <w:proofErr w:type="spellEnd"/>
      <w:r w:rsidRPr="00C66771">
        <w:rPr>
          <w:rFonts w:ascii="Book Antiqua" w:eastAsia="Book Antiqua" w:hAnsi="Book Antiqua" w:cs="Book Antiqua"/>
          <w:color w:val="000000"/>
        </w:rPr>
        <w:t xml:space="preserve"> </w:t>
      </w:r>
      <w:r w:rsidRPr="00C66771">
        <w:rPr>
          <w:rFonts w:ascii="Book Antiqua" w:eastAsia="Book Antiqua" w:hAnsi="Book Antiqua" w:cs="Book Antiqua"/>
          <w:i/>
          <w:iCs/>
          <w:color w:val="000000"/>
        </w:rPr>
        <w:t>et al</w:t>
      </w:r>
      <w:r w:rsidRPr="00C66771">
        <w:rPr>
          <w:rFonts w:ascii="Book Antiqua" w:eastAsia="Book Antiqua" w:hAnsi="Book Antiqua" w:cs="Book Antiqua"/>
          <w:color w:val="000000"/>
          <w:vertAlign w:val="superscript"/>
        </w:rPr>
        <w:t xml:space="preserve">[14] </w:t>
      </w:r>
      <w:r w:rsidRPr="00C66771">
        <w:rPr>
          <w:rFonts w:ascii="Book Antiqua" w:eastAsia="Book Antiqua" w:hAnsi="Book Antiqua" w:cs="Book Antiqua"/>
          <w:color w:val="000000"/>
        </w:rPr>
        <w:t xml:space="preserve">suggested that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xml:space="preserve"> might improve the hematopoietic microenvironment and promote hematopoiesis by increasing regulatory T and B cells, secreting transforming growth factor-β, impeding dendritic cell differentiation, and reducing the release of interferon-γ and tumor necrosis factor </w:t>
      </w:r>
      <w:r w:rsidRPr="00C66771">
        <w:rPr>
          <w:rFonts w:ascii="Book Antiqua" w:eastAsia="Book Antiqua" w:hAnsi="Book Antiqua" w:cs="Book Antiqua"/>
          <w:color w:val="000000"/>
        </w:rPr>
        <w:sym w:font="Symbol" w:char="F061"/>
      </w:r>
      <w:r w:rsidRPr="00C66771">
        <w:rPr>
          <w:rFonts w:ascii="Book Antiqua" w:eastAsia="Book Antiqua" w:hAnsi="Book Antiqua" w:cs="Book Antiqua"/>
          <w:color w:val="000000"/>
        </w:rPr>
        <w:t>.</w:t>
      </w:r>
    </w:p>
    <w:p w14:paraId="24DD29DE" w14:textId="265C913B" w:rsidR="00B63A21" w:rsidRPr="00C66771" w:rsidRDefault="00000000">
      <w:pPr>
        <w:adjustRightInd w:val="0"/>
        <w:snapToGrid w:val="0"/>
        <w:spacing w:line="360" w:lineRule="auto"/>
        <w:ind w:firstLineChars="100" w:firstLine="240"/>
        <w:jc w:val="both"/>
        <w:rPr>
          <w:rFonts w:ascii="Book Antiqua" w:hAnsi="Book Antiqua"/>
        </w:rPr>
      </w:pPr>
      <w:r w:rsidRPr="00C66771">
        <w:rPr>
          <w:rFonts w:ascii="Book Antiqua" w:eastAsia="Book Antiqua" w:hAnsi="Book Antiqua" w:cs="Book Antiqua"/>
          <w:color w:val="000000"/>
        </w:rPr>
        <w:t xml:space="preserve">Previous studies have shown that the use of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xml:space="preserve"> in AA did not show a significant elevation in abnormal cell clones compared with the use of IST alone</w:t>
      </w:r>
      <w:r w:rsidRPr="00C66771">
        <w:rPr>
          <w:rFonts w:ascii="Book Antiqua" w:eastAsia="Book Antiqua" w:hAnsi="Book Antiqua" w:cs="Book Antiqua"/>
          <w:color w:val="000000"/>
          <w:vertAlign w:val="superscript"/>
        </w:rPr>
        <w:t>[15]</w:t>
      </w:r>
      <w:r w:rsidRPr="00C66771">
        <w:rPr>
          <w:rFonts w:ascii="Book Antiqua" w:eastAsia="Book Antiqua" w:hAnsi="Book Antiqua" w:cs="Book Antiqua"/>
          <w:color w:val="000000"/>
        </w:rPr>
        <w:t xml:space="preserve">. </w:t>
      </w:r>
      <w:proofErr w:type="spellStart"/>
      <w:r w:rsidRPr="00C66771">
        <w:rPr>
          <w:rFonts w:ascii="Book Antiqua" w:eastAsia="Book Antiqua" w:hAnsi="Book Antiqua" w:cs="Book Antiqua"/>
          <w:color w:val="000000"/>
        </w:rPr>
        <w:t>Townsley</w:t>
      </w:r>
      <w:proofErr w:type="spellEnd"/>
      <w:r w:rsidRPr="00C66771">
        <w:rPr>
          <w:rFonts w:ascii="Book Antiqua" w:eastAsia="Book Antiqua" w:hAnsi="Book Antiqua" w:cs="Book Antiqua"/>
          <w:color w:val="000000"/>
        </w:rPr>
        <w:t xml:space="preserve"> </w:t>
      </w:r>
      <w:r w:rsidRPr="00C66771">
        <w:rPr>
          <w:rFonts w:ascii="Book Antiqua" w:eastAsia="Book Antiqua" w:hAnsi="Book Antiqua" w:cs="Book Antiqua"/>
          <w:i/>
          <w:iCs/>
          <w:color w:val="000000"/>
        </w:rPr>
        <w:t>et al</w:t>
      </w:r>
      <w:r w:rsidRPr="00C66771">
        <w:rPr>
          <w:rFonts w:ascii="Book Antiqua" w:eastAsia="Book Antiqua" w:hAnsi="Book Antiqua" w:cs="Book Antiqua"/>
          <w:color w:val="000000"/>
          <w:vertAlign w:val="superscript"/>
        </w:rPr>
        <w:t>[16]</w:t>
      </w:r>
      <w:r w:rsidRPr="00C66771">
        <w:rPr>
          <w:rFonts w:ascii="Book Antiqua" w:eastAsia="Book Antiqua" w:hAnsi="Book Antiqua" w:cs="Book Antiqua"/>
          <w:color w:val="000000"/>
        </w:rPr>
        <w:t xml:space="preserve"> showed that the early combination of immunosuppressive therapy with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xml:space="preserve"> significantly improved the overall serological response rate, hematological complete response rate, and timely rescue and expansion of residual HSPCs in SAA patients, thus accelerating the speed and quality of hematopoietic recovery.</w:t>
      </w:r>
    </w:p>
    <w:p w14:paraId="539BEEBB" w14:textId="77777777" w:rsidR="00B63A21" w:rsidRPr="00C66771" w:rsidRDefault="00B63A21">
      <w:pPr>
        <w:adjustRightInd w:val="0"/>
        <w:snapToGrid w:val="0"/>
        <w:spacing w:line="360" w:lineRule="auto"/>
        <w:jc w:val="both"/>
        <w:rPr>
          <w:rFonts w:ascii="Book Antiqua" w:hAnsi="Book Antiqua"/>
        </w:rPr>
      </w:pPr>
    </w:p>
    <w:p w14:paraId="202267E8"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aps/>
          <w:color w:val="000000"/>
          <w:u w:val="single"/>
        </w:rPr>
        <w:t>CONCLUSION</w:t>
      </w:r>
    </w:p>
    <w:p w14:paraId="62F8FF4E"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 xml:space="preserve">The patient was critically ill and received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xml:space="preserve"> with ATG and </w:t>
      </w:r>
      <w:proofErr w:type="spellStart"/>
      <w:r w:rsidRPr="00C66771">
        <w:rPr>
          <w:rFonts w:ascii="Book Antiqua" w:eastAsia="Book Antiqua" w:hAnsi="Book Antiqua" w:cs="Book Antiqua"/>
          <w:color w:val="000000"/>
        </w:rPr>
        <w:t>CsA</w:t>
      </w:r>
      <w:proofErr w:type="spellEnd"/>
      <w:r w:rsidRPr="00C66771">
        <w:rPr>
          <w:rFonts w:ascii="Book Antiqua" w:eastAsia="Book Antiqua" w:hAnsi="Book Antiqua" w:cs="Book Antiqua"/>
          <w:color w:val="000000"/>
        </w:rPr>
        <w:t xml:space="preserve">, which led to a favorable result. It can be speculated that earlier treatment with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xml:space="preserve"> leads to a better outcome. However, the optimal timing of </w:t>
      </w:r>
      <w:proofErr w:type="spellStart"/>
      <w:r w:rsidRPr="00C66771">
        <w:rPr>
          <w:rFonts w:ascii="Book Antiqua" w:eastAsia="Book Antiqua" w:hAnsi="Book Antiqua" w:cs="Book Antiqua"/>
          <w:color w:val="000000"/>
        </w:rPr>
        <w:t>eltrombopag</w:t>
      </w:r>
      <w:proofErr w:type="spellEnd"/>
      <w:r w:rsidRPr="00C66771">
        <w:rPr>
          <w:rFonts w:ascii="Book Antiqua" w:eastAsia="Book Antiqua" w:hAnsi="Book Antiqua" w:cs="Book Antiqua"/>
          <w:color w:val="000000"/>
        </w:rPr>
        <w:t xml:space="preserve"> for SAA with IST requires further confirmation in studies with large sample sizes.</w:t>
      </w:r>
    </w:p>
    <w:p w14:paraId="05672CE1" w14:textId="77777777" w:rsidR="00B63A21" w:rsidRPr="00C66771" w:rsidRDefault="00B63A21">
      <w:pPr>
        <w:adjustRightInd w:val="0"/>
        <w:snapToGrid w:val="0"/>
        <w:spacing w:line="360" w:lineRule="auto"/>
        <w:jc w:val="both"/>
        <w:rPr>
          <w:rFonts w:ascii="Book Antiqua" w:hAnsi="Book Antiqua"/>
        </w:rPr>
      </w:pPr>
    </w:p>
    <w:p w14:paraId="62316989"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REFERENCES</w:t>
      </w:r>
    </w:p>
    <w:p w14:paraId="1CAA96A5"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1 </w:t>
      </w:r>
      <w:r w:rsidRPr="00C66771">
        <w:rPr>
          <w:rFonts w:ascii="Book Antiqua" w:hAnsi="Book Antiqua"/>
          <w:b/>
          <w:bCs/>
        </w:rPr>
        <w:t>Lorenz E</w:t>
      </w:r>
      <w:r w:rsidRPr="00C66771">
        <w:rPr>
          <w:rFonts w:ascii="Book Antiqua" w:hAnsi="Book Antiqua"/>
        </w:rPr>
        <w:t xml:space="preserve">, </w:t>
      </w:r>
      <w:proofErr w:type="spellStart"/>
      <w:r w:rsidRPr="00C66771">
        <w:rPr>
          <w:rFonts w:ascii="Book Antiqua" w:hAnsi="Book Antiqua"/>
        </w:rPr>
        <w:t>Quaiser</w:t>
      </w:r>
      <w:proofErr w:type="spellEnd"/>
      <w:r w:rsidRPr="00C66771">
        <w:rPr>
          <w:rFonts w:ascii="Book Antiqua" w:hAnsi="Book Antiqua"/>
        </w:rPr>
        <w:t xml:space="preserve"> K. [</w:t>
      </w:r>
      <w:proofErr w:type="spellStart"/>
      <w:r w:rsidRPr="00C66771">
        <w:rPr>
          <w:rFonts w:ascii="Book Antiqua" w:hAnsi="Book Antiqua"/>
        </w:rPr>
        <w:t>Panmyelopathy</w:t>
      </w:r>
      <w:proofErr w:type="spellEnd"/>
      <w:r w:rsidRPr="00C66771">
        <w:rPr>
          <w:rFonts w:ascii="Book Antiqua" w:hAnsi="Book Antiqua"/>
        </w:rPr>
        <w:t xml:space="preserve"> following epidemic hepatitis]. </w:t>
      </w:r>
      <w:r w:rsidRPr="00C66771">
        <w:rPr>
          <w:rFonts w:ascii="Book Antiqua" w:hAnsi="Book Antiqua"/>
          <w:i/>
          <w:iCs/>
        </w:rPr>
        <w:t xml:space="preserve">Wien Med </w:t>
      </w:r>
      <w:proofErr w:type="spellStart"/>
      <w:r w:rsidRPr="00C66771">
        <w:rPr>
          <w:rFonts w:ascii="Book Antiqua" w:hAnsi="Book Antiqua"/>
          <w:i/>
          <w:iCs/>
        </w:rPr>
        <w:t>Wochenschr</w:t>
      </w:r>
      <w:proofErr w:type="spellEnd"/>
      <w:r w:rsidRPr="00C66771">
        <w:rPr>
          <w:rFonts w:ascii="Book Antiqua" w:hAnsi="Book Antiqua"/>
        </w:rPr>
        <w:t xml:space="preserve"> 1955; </w:t>
      </w:r>
      <w:r w:rsidRPr="00C66771">
        <w:rPr>
          <w:rFonts w:ascii="Book Antiqua" w:hAnsi="Book Antiqua"/>
          <w:b/>
          <w:bCs/>
        </w:rPr>
        <w:t>105</w:t>
      </w:r>
      <w:r w:rsidRPr="00C66771">
        <w:rPr>
          <w:rFonts w:ascii="Book Antiqua" w:hAnsi="Book Antiqua"/>
        </w:rPr>
        <w:t>: 19-22 [PMID: 14359977]</w:t>
      </w:r>
    </w:p>
    <w:p w14:paraId="576204AB"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2 </w:t>
      </w:r>
      <w:proofErr w:type="spellStart"/>
      <w:r w:rsidRPr="00C66771">
        <w:rPr>
          <w:rFonts w:ascii="Book Antiqua" w:hAnsi="Book Antiqua"/>
          <w:b/>
          <w:bCs/>
        </w:rPr>
        <w:t>Rauff</w:t>
      </w:r>
      <w:proofErr w:type="spellEnd"/>
      <w:r w:rsidRPr="00C66771">
        <w:rPr>
          <w:rFonts w:ascii="Book Antiqua" w:hAnsi="Book Antiqua"/>
          <w:b/>
          <w:bCs/>
        </w:rPr>
        <w:t xml:space="preserve"> B</w:t>
      </w:r>
      <w:r w:rsidRPr="00C66771">
        <w:rPr>
          <w:rFonts w:ascii="Book Antiqua" w:hAnsi="Book Antiqua"/>
        </w:rPr>
        <w:t xml:space="preserve">, Idrees M, Shah SA, Butt S, Butt AM, Ali L, Hussain A, Irshad-Ur-Rehman, Ali M. Hepatitis associated aplastic anemia: a review. </w:t>
      </w:r>
      <w:proofErr w:type="spellStart"/>
      <w:r w:rsidRPr="00C66771">
        <w:rPr>
          <w:rFonts w:ascii="Book Antiqua" w:hAnsi="Book Antiqua"/>
          <w:i/>
          <w:iCs/>
        </w:rPr>
        <w:t>Virol</w:t>
      </w:r>
      <w:proofErr w:type="spellEnd"/>
      <w:r w:rsidRPr="00C66771">
        <w:rPr>
          <w:rFonts w:ascii="Book Antiqua" w:hAnsi="Book Antiqua"/>
          <w:i/>
          <w:iCs/>
        </w:rPr>
        <w:t xml:space="preserve"> J</w:t>
      </w:r>
      <w:r w:rsidRPr="00C66771">
        <w:rPr>
          <w:rFonts w:ascii="Book Antiqua" w:hAnsi="Book Antiqua"/>
        </w:rPr>
        <w:t xml:space="preserve"> 2011; </w:t>
      </w:r>
      <w:r w:rsidRPr="00C66771">
        <w:rPr>
          <w:rFonts w:ascii="Book Antiqua" w:hAnsi="Book Antiqua"/>
          <w:b/>
          <w:bCs/>
        </w:rPr>
        <w:t>8</w:t>
      </w:r>
      <w:r w:rsidRPr="00C66771">
        <w:rPr>
          <w:rFonts w:ascii="Book Antiqua" w:hAnsi="Book Antiqua"/>
        </w:rPr>
        <w:t>: 87 [PMID: 21352606 DOI: 10.1186/1743-422X-8-87]</w:t>
      </w:r>
    </w:p>
    <w:p w14:paraId="6659EDF5"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3 </w:t>
      </w:r>
      <w:proofErr w:type="spellStart"/>
      <w:r w:rsidRPr="00C66771">
        <w:rPr>
          <w:rFonts w:ascii="Book Antiqua" w:hAnsi="Book Antiqua"/>
          <w:b/>
          <w:bCs/>
        </w:rPr>
        <w:t>Alshaibani</w:t>
      </w:r>
      <w:proofErr w:type="spellEnd"/>
      <w:r w:rsidRPr="00C66771">
        <w:rPr>
          <w:rFonts w:ascii="Book Antiqua" w:hAnsi="Book Antiqua"/>
          <w:b/>
          <w:bCs/>
        </w:rPr>
        <w:t xml:space="preserve"> A</w:t>
      </w:r>
      <w:r w:rsidRPr="00C66771">
        <w:rPr>
          <w:rFonts w:ascii="Book Antiqua" w:hAnsi="Book Antiqua"/>
        </w:rPr>
        <w:t xml:space="preserve">, Dufour C, </w:t>
      </w:r>
      <w:proofErr w:type="spellStart"/>
      <w:r w:rsidRPr="00C66771">
        <w:rPr>
          <w:rFonts w:ascii="Book Antiqua" w:hAnsi="Book Antiqua"/>
        </w:rPr>
        <w:t>Risitano</w:t>
      </w:r>
      <w:proofErr w:type="spellEnd"/>
      <w:r w:rsidRPr="00C66771">
        <w:rPr>
          <w:rFonts w:ascii="Book Antiqua" w:hAnsi="Book Antiqua"/>
        </w:rPr>
        <w:t xml:space="preserve"> A, de Latour R, </w:t>
      </w:r>
      <w:proofErr w:type="spellStart"/>
      <w:r w:rsidRPr="00C66771">
        <w:rPr>
          <w:rFonts w:ascii="Book Antiqua" w:hAnsi="Book Antiqua"/>
        </w:rPr>
        <w:t>Aljurf</w:t>
      </w:r>
      <w:proofErr w:type="spellEnd"/>
      <w:r w:rsidRPr="00C66771">
        <w:rPr>
          <w:rFonts w:ascii="Book Antiqua" w:hAnsi="Book Antiqua"/>
        </w:rPr>
        <w:t xml:space="preserve"> M. Hepatitis-associated aplastic anemia. </w:t>
      </w:r>
      <w:proofErr w:type="spellStart"/>
      <w:r w:rsidRPr="00C66771">
        <w:rPr>
          <w:rFonts w:ascii="Book Antiqua" w:hAnsi="Book Antiqua"/>
          <w:i/>
          <w:iCs/>
        </w:rPr>
        <w:t>Hematol</w:t>
      </w:r>
      <w:proofErr w:type="spellEnd"/>
      <w:r w:rsidRPr="00C66771">
        <w:rPr>
          <w:rFonts w:ascii="Book Antiqua" w:hAnsi="Book Antiqua"/>
          <w:i/>
          <w:iCs/>
        </w:rPr>
        <w:t xml:space="preserve"> Oncol Stem Cell </w:t>
      </w:r>
      <w:proofErr w:type="spellStart"/>
      <w:r w:rsidRPr="00C66771">
        <w:rPr>
          <w:rFonts w:ascii="Book Antiqua" w:hAnsi="Book Antiqua"/>
          <w:i/>
          <w:iCs/>
        </w:rPr>
        <w:t>Ther</w:t>
      </w:r>
      <w:proofErr w:type="spellEnd"/>
      <w:r w:rsidRPr="00C66771">
        <w:rPr>
          <w:rFonts w:ascii="Book Antiqua" w:hAnsi="Book Antiqua"/>
        </w:rPr>
        <w:t xml:space="preserve"> 2020 [PMID: 33197413 DOI: 10.1016/j.hemonc.2020.10.001]</w:t>
      </w:r>
    </w:p>
    <w:p w14:paraId="230AC80B"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4 </w:t>
      </w:r>
      <w:r w:rsidRPr="00C66771">
        <w:rPr>
          <w:rFonts w:ascii="Book Antiqua" w:hAnsi="Book Antiqua"/>
          <w:b/>
          <w:bCs/>
        </w:rPr>
        <w:t>Brown KE</w:t>
      </w:r>
      <w:r w:rsidRPr="00C66771">
        <w:rPr>
          <w:rFonts w:ascii="Book Antiqua" w:hAnsi="Book Antiqua"/>
        </w:rPr>
        <w:t xml:space="preserve">, Tisdale J, Barrett AJ, Dunbar CE, Young NS. Hepatitis-associated aplastic anemia. </w:t>
      </w:r>
      <w:r w:rsidRPr="00C66771">
        <w:rPr>
          <w:rFonts w:ascii="Book Antiqua" w:hAnsi="Book Antiqua"/>
          <w:i/>
          <w:iCs/>
        </w:rPr>
        <w:t xml:space="preserve">N </w:t>
      </w:r>
      <w:proofErr w:type="spellStart"/>
      <w:r w:rsidRPr="00C66771">
        <w:rPr>
          <w:rFonts w:ascii="Book Antiqua" w:hAnsi="Book Antiqua"/>
          <w:i/>
          <w:iCs/>
        </w:rPr>
        <w:t>Engl</w:t>
      </w:r>
      <w:proofErr w:type="spellEnd"/>
      <w:r w:rsidRPr="00C66771">
        <w:rPr>
          <w:rFonts w:ascii="Book Antiqua" w:hAnsi="Book Antiqua"/>
          <w:i/>
          <w:iCs/>
        </w:rPr>
        <w:t xml:space="preserve"> J Med</w:t>
      </w:r>
      <w:r w:rsidRPr="00C66771">
        <w:rPr>
          <w:rFonts w:ascii="Book Antiqua" w:hAnsi="Book Antiqua"/>
        </w:rPr>
        <w:t xml:space="preserve"> 1997; </w:t>
      </w:r>
      <w:r w:rsidRPr="00C66771">
        <w:rPr>
          <w:rFonts w:ascii="Book Antiqua" w:hAnsi="Book Antiqua"/>
          <w:b/>
          <w:bCs/>
        </w:rPr>
        <w:t>336</w:t>
      </w:r>
      <w:r w:rsidRPr="00C66771">
        <w:rPr>
          <w:rFonts w:ascii="Book Antiqua" w:hAnsi="Book Antiqua"/>
        </w:rPr>
        <w:t>: 1059-1064 [PMID: 9091802 DOI: 10.1056/NEJM199704103361504]</w:t>
      </w:r>
    </w:p>
    <w:p w14:paraId="6FA90105"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lastRenderedPageBreak/>
        <w:t xml:space="preserve">5 </w:t>
      </w:r>
      <w:r w:rsidRPr="00C66771">
        <w:rPr>
          <w:rFonts w:ascii="Book Antiqua" w:hAnsi="Book Antiqua"/>
          <w:b/>
          <w:bCs/>
        </w:rPr>
        <w:t>Khurana A</w:t>
      </w:r>
      <w:r w:rsidRPr="00C66771">
        <w:rPr>
          <w:rFonts w:ascii="Book Antiqua" w:hAnsi="Book Antiqua"/>
        </w:rPr>
        <w:t xml:space="preserve">, </w:t>
      </w:r>
      <w:proofErr w:type="spellStart"/>
      <w:r w:rsidRPr="00C66771">
        <w:rPr>
          <w:rFonts w:ascii="Book Antiqua" w:hAnsi="Book Antiqua"/>
        </w:rPr>
        <w:t>Dasanu</w:t>
      </w:r>
      <w:proofErr w:type="spellEnd"/>
      <w:r w:rsidRPr="00C66771">
        <w:rPr>
          <w:rFonts w:ascii="Book Antiqua" w:hAnsi="Book Antiqua"/>
        </w:rPr>
        <w:t xml:space="preserve"> CA. Hepatitis associated aplastic anemia: case report and discussion. </w:t>
      </w:r>
      <w:r w:rsidRPr="00C66771">
        <w:rPr>
          <w:rFonts w:ascii="Book Antiqua" w:hAnsi="Book Antiqua"/>
          <w:i/>
          <w:iCs/>
        </w:rPr>
        <w:t>Conn Med</w:t>
      </w:r>
      <w:r w:rsidRPr="00C66771">
        <w:rPr>
          <w:rFonts w:ascii="Book Antiqua" w:hAnsi="Book Antiqua"/>
        </w:rPr>
        <w:t xml:space="preserve"> 2014; </w:t>
      </w:r>
      <w:r w:rsidRPr="00C66771">
        <w:rPr>
          <w:rFonts w:ascii="Book Antiqua" w:hAnsi="Book Antiqua"/>
          <w:b/>
          <w:bCs/>
        </w:rPr>
        <w:t>78</w:t>
      </w:r>
      <w:r w:rsidRPr="00C66771">
        <w:rPr>
          <w:rFonts w:ascii="Book Antiqua" w:hAnsi="Book Antiqua"/>
        </w:rPr>
        <w:t>: 493-495 [PMID: 25314890]</w:t>
      </w:r>
    </w:p>
    <w:p w14:paraId="41991168"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6 </w:t>
      </w:r>
      <w:proofErr w:type="spellStart"/>
      <w:r w:rsidRPr="00C66771">
        <w:rPr>
          <w:rFonts w:ascii="Book Antiqua" w:hAnsi="Book Antiqua"/>
          <w:b/>
          <w:bCs/>
        </w:rPr>
        <w:t>Kofteridis</w:t>
      </w:r>
      <w:proofErr w:type="spellEnd"/>
      <w:r w:rsidRPr="00C66771">
        <w:rPr>
          <w:rFonts w:ascii="Book Antiqua" w:hAnsi="Book Antiqua"/>
          <w:b/>
          <w:bCs/>
        </w:rPr>
        <w:t xml:space="preserve"> DP</w:t>
      </w:r>
      <w:r w:rsidRPr="00C66771">
        <w:rPr>
          <w:rFonts w:ascii="Book Antiqua" w:hAnsi="Book Antiqua"/>
        </w:rPr>
        <w:t xml:space="preserve">, </w:t>
      </w:r>
      <w:proofErr w:type="spellStart"/>
      <w:r w:rsidRPr="00C66771">
        <w:rPr>
          <w:rFonts w:ascii="Book Antiqua" w:hAnsi="Book Antiqua"/>
        </w:rPr>
        <w:t>Koulentaki</w:t>
      </w:r>
      <w:proofErr w:type="spellEnd"/>
      <w:r w:rsidRPr="00C66771">
        <w:rPr>
          <w:rFonts w:ascii="Book Antiqua" w:hAnsi="Book Antiqua"/>
        </w:rPr>
        <w:t xml:space="preserve"> M, </w:t>
      </w:r>
      <w:proofErr w:type="spellStart"/>
      <w:r w:rsidRPr="00C66771">
        <w:rPr>
          <w:rFonts w:ascii="Book Antiqua" w:hAnsi="Book Antiqua"/>
        </w:rPr>
        <w:t>Valachis</w:t>
      </w:r>
      <w:proofErr w:type="spellEnd"/>
      <w:r w:rsidRPr="00C66771">
        <w:rPr>
          <w:rFonts w:ascii="Book Antiqua" w:hAnsi="Book Antiqua"/>
        </w:rPr>
        <w:t xml:space="preserve"> A, </w:t>
      </w:r>
      <w:proofErr w:type="spellStart"/>
      <w:r w:rsidRPr="00C66771">
        <w:rPr>
          <w:rFonts w:ascii="Book Antiqua" w:hAnsi="Book Antiqua"/>
        </w:rPr>
        <w:t>Christofaki</w:t>
      </w:r>
      <w:proofErr w:type="spellEnd"/>
      <w:r w:rsidRPr="00C66771">
        <w:rPr>
          <w:rFonts w:ascii="Book Antiqua" w:hAnsi="Book Antiqua"/>
        </w:rPr>
        <w:t xml:space="preserve"> M, </w:t>
      </w:r>
      <w:proofErr w:type="spellStart"/>
      <w:r w:rsidRPr="00C66771">
        <w:rPr>
          <w:rFonts w:ascii="Book Antiqua" w:hAnsi="Book Antiqua"/>
        </w:rPr>
        <w:t>Mazokopakis</w:t>
      </w:r>
      <w:proofErr w:type="spellEnd"/>
      <w:r w:rsidRPr="00C66771">
        <w:rPr>
          <w:rFonts w:ascii="Book Antiqua" w:hAnsi="Book Antiqua"/>
        </w:rPr>
        <w:t xml:space="preserve"> E, </w:t>
      </w:r>
      <w:proofErr w:type="spellStart"/>
      <w:r w:rsidRPr="00C66771">
        <w:rPr>
          <w:rFonts w:ascii="Book Antiqua" w:hAnsi="Book Antiqua"/>
        </w:rPr>
        <w:t>Papazoglou</w:t>
      </w:r>
      <w:proofErr w:type="spellEnd"/>
      <w:r w:rsidRPr="00C66771">
        <w:rPr>
          <w:rFonts w:ascii="Book Antiqua" w:hAnsi="Book Antiqua"/>
        </w:rPr>
        <w:t xml:space="preserve"> G, </w:t>
      </w:r>
      <w:proofErr w:type="spellStart"/>
      <w:r w:rsidRPr="00C66771">
        <w:rPr>
          <w:rFonts w:ascii="Book Antiqua" w:hAnsi="Book Antiqua"/>
        </w:rPr>
        <w:t>Samonis</w:t>
      </w:r>
      <w:proofErr w:type="spellEnd"/>
      <w:r w:rsidRPr="00C66771">
        <w:rPr>
          <w:rFonts w:ascii="Book Antiqua" w:hAnsi="Book Antiqua"/>
        </w:rPr>
        <w:t xml:space="preserve"> G. Epstein Barr virus hepatitis. </w:t>
      </w:r>
      <w:proofErr w:type="spellStart"/>
      <w:r w:rsidRPr="00C66771">
        <w:rPr>
          <w:rFonts w:ascii="Book Antiqua" w:hAnsi="Book Antiqua"/>
          <w:i/>
          <w:iCs/>
        </w:rPr>
        <w:t>Eur</w:t>
      </w:r>
      <w:proofErr w:type="spellEnd"/>
      <w:r w:rsidRPr="00C66771">
        <w:rPr>
          <w:rFonts w:ascii="Book Antiqua" w:hAnsi="Book Antiqua"/>
          <w:i/>
          <w:iCs/>
        </w:rPr>
        <w:t xml:space="preserve"> J Intern Med</w:t>
      </w:r>
      <w:r w:rsidRPr="00C66771">
        <w:rPr>
          <w:rFonts w:ascii="Book Antiqua" w:hAnsi="Book Antiqua"/>
        </w:rPr>
        <w:t xml:space="preserve"> 2011; </w:t>
      </w:r>
      <w:r w:rsidRPr="00C66771">
        <w:rPr>
          <w:rFonts w:ascii="Book Antiqua" w:hAnsi="Book Antiqua"/>
          <w:b/>
          <w:bCs/>
        </w:rPr>
        <w:t>22</w:t>
      </w:r>
      <w:r w:rsidRPr="00C66771">
        <w:rPr>
          <w:rFonts w:ascii="Book Antiqua" w:hAnsi="Book Antiqua"/>
        </w:rPr>
        <w:t>: 73-76 [PMID: 21238898 DOI: 10.1016/j.ejim.2010.07.016]</w:t>
      </w:r>
    </w:p>
    <w:p w14:paraId="283D8E89"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7 </w:t>
      </w:r>
      <w:proofErr w:type="spellStart"/>
      <w:r w:rsidRPr="00C66771">
        <w:rPr>
          <w:rFonts w:ascii="Book Antiqua" w:hAnsi="Book Antiqua"/>
          <w:b/>
          <w:bCs/>
        </w:rPr>
        <w:t>Ontanilla</w:t>
      </w:r>
      <w:proofErr w:type="spellEnd"/>
      <w:r w:rsidRPr="00C66771">
        <w:rPr>
          <w:rFonts w:ascii="Book Antiqua" w:hAnsi="Book Antiqua"/>
          <w:b/>
          <w:bCs/>
        </w:rPr>
        <w:t xml:space="preserve"> Clavijo G</w:t>
      </w:r>
      <w:r w:rsidRPr="00C66771">
        <w:rPr>
          <w:rFonts w:ascii="Book Antiqua" w:hAnsi="Book Antiqua"/>
        </w:rPr>
        <w:t xml:space="preserve">, </w:t>
      </w:r>
      <w:proofErr w:type="spellStart"/>
      <w:r w:rsidRPr="00C66771">
        <w:rPr>
          <w:rFonts w:ascii="Book Antiqua" w:hAnsi="Book Antiqua"/>
        </w:rPr>
        <w:t>Praena</w:t>
      </w:r>
      <w:proofErr w:type="spellEnd"/>
      <w:r w:rsidRPr="00C66771">
        <w:rPr>
          <w:rFonts w:ascii="Book Antiqua" w:hAnsi="Book Antiqua"/>
        </w:rPr>
        <w:t xml:space="preserve"> Segovia J, </w:t>
      </w:r>
      <w:proofErr w:type="spellStart"/>
      <w:r w:rsidRPr="00C66771">
        <w:rPr>
          <w:rFonts w:ascii="Book Antiqua" w:hAnsi="Book Antiqua"/>
        </w:rPr>
        <w:t>Giráldez</w:t>
      </w:r>
      <w:proofErr w:type="spellEnd"/>
      <w:r w:rsidRPr="00C66771">
        <w:rPr>
          <w:rFonts w:ascii="Book Antiqua" w:hAnsi="Book Antiqua"/>
        </w:rPr>
        <w:t xml:space="preserve"> Gallego Á, Cordero </w:t>
      </w:r>
      <w:proofErr w:type="spellStart"/>
      <w:r w:rsidRPr="00C66771">
        <w:rPr>
          <w:rFonts w:ascii="Book Antiqua" w:hAnsi="Book Antiqua"/>
        </w:rPr>
        <w:t>Matía</w:t>
      </w:r>
      <w:proofErr w:type="spellEnd"/>
      <w:r w:rsidRPr="00C66771">
        <w:rPr>
          <w:rFonts w:ascii="Book Antiqua" w:hAnsi="Book Antiqua"/>
        </w:rPr>
        <w:t xml:space="preserve"> ME, Sousa Martín JM. Severe acute </w:t>
      </w:r>
      <w:proofErr w:type="gramStart"/>
      <w:r w:rsidRPr="00C66771">
        <w:rPr>
          <w:rFonts w:ascii="Book Antiqua" w:hAnsi="Book Antiqua"/>
        </w:rPr>
        <w:t>hepatitis</w:t>
      </w:r>
      <w:proofErr w:type="gramEnd"/>
      <w:r w:rsidRPr="00C66771">
        <w:rPr>
          <w:rFonts w:ascii="Book Antiqua" w:hAnsi="Book Antiqua"/>
        </w:rPr>
        <w:t xml:space="preserve"> and cold agglutinin-related hemolytic anemia secondary to prime infection with Epstein-Barr virus. </w:t>
      </w:r>
      <w:r w:rsidRPr="00C66771">
        <w:rPr>
          <w:rFonts w:ascii="Book Antiqua" w:hAnsi="Book Antiqua"/>
          <w:i/>
          <w:iCs/>
        </w:rPr>
        <w:t xml:space="preserve">Rev </w:t>
      </w:r>
      <w:proofErr w:type="spellStart"/>
      <w:r w:rsidRPr="00C66771">
        <w:rPr>
          <w:rFonts w:ascii="Book Antiqua" w:hAnsi="Book Antiqua"/>
          <w:i/>
          <w:iCs/>
        </w:rPr>
        <w:t>Esp</w:t>
      </w:r>
      <w:proofErr w:type="spellEnd"/>
      <w:r w:rsidRPr="00C66771">
        <w:rPr>
          <w:rFonts w:ascii="Book Antiqua" w:hAnsi="Book Antiqua"/>
          <w:i/>
          <w:iCs/>
        </w:rPr>
        <w:t xml:space="preserve"> </w:t>
      </w:r>
      <w:proofErr w:type="spellStart"/>
      <w:r w:rsidRPr="00C66771">
        <w:rPr>
          <w:rFonts w:ascii="Book Antiqua" w:hAnsi="Book Antiqua"/>
          <w:i/>
          <w:iCs/>
        </w:rPr>
        <w:t>Enferm</w:t>
      </w:r>
      <w:proofErr w:type="spellEnd"/>
      <w:r w:rsidRPr="00C66771">
        <w:rPr>
          <w:rFonts w:ascii="Book Antiqua" w:hAnsi="Book Antiqua"/>
          <w:i/>
          <w:iCs/>
        </w:rPr>
        <w:t xml:space="preserve"> Dig</w:t>
      </w:r>
      <w:r w:rsidRPr="00C66771">
        <w:rPr>
          <w:rFonts w:ascii="Book Antiqua" w:hAnsi="Book Antiqua"/>
        </w:rPr>
        <w:t xml:space="preserve"> 2017; </w:t>
      </w:r>
      <w:r w:rsidRPr="00C66771">
        <w:rPr>
          <w:rFonts w:ascii="Book Antiqua" w:hAnsi="Book Antiqua"/>
          <w:b/>
          <w:bCs/>
        </w:rPr>
        <w:t>109</w:t>
      </w:r>
      <w:r w:rsidRPr="00C66771">
        <w:rPr>
          <w:rFonts w:ascii="Book Antiqua" w:hAnsi="Book Antiqua"/>
        </w:rPr>
        <w:t>: 388-390 [PMID: 28376627 DOI: 10.17235/reed.2017.4072/2015]</w:t>
      </w:r>
    </w:p>
    <w:p w14:paraId="5C91E9BF"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8 </w:t>
      </w:r>
      <w:r w:rsidRPr="00C66771">
        <w:rPr>
          <w:rFonts w:ascii="Book Antiqua" w:hAnsi="Book Antiqua"/>
          <w:b/>
          <w:bCs/>
        </w:rPr>
        <w:t>Cengiz C</w:t>
      </w:r>
      <w:r w:rsidRPr="00C66771">
        <w:rPr>
          <w:rFonts w:ascii="Book Antiqua" w:hAnsi="Book Antiqua"/>
        </w:rPr>
        <w:t xml:space="preserve">, </w:t>
      </w:r>
      <w:proofErr w:type="spellStart"/>
      <w:r w:rsidRPr="00C66771">
        <w:rPr>
          <w:rFonts w:ascii="Book Antiqua" w:hAnsi="Book Antiqua"/>
        </w:rPr>
        <w:t>Turhan</w:t>
      </w:r>
      <w:proofErr w:type="spellEnd"/>
      <w:r w:rsidRPr="00C66771">
        <w:rPr>
          <w:rFonts w:ascii="Book Antiqua" w:hAnsi="Book Antiqua"/>
        </w:rPr>
        <w:t xml:space="preserve"> N, </w:t>
      </w:r>
      <w:proofErr w:type="spellStart"/>
      <w:r w:rsidRPr="00C66771">
        <w:rPr>
          <w:rFonts w:ascii="Book Antiqua" w:hAnsi="Book Antiqua"/>
        </w:rPr>
        <w:t>Yolcu</w:t>
      </w:r>
      <w:proofErr w:type="spellEnd"/>
      <w:r w:rsidRPr="00C66771">
        <w:rPr>
          <w:rFonts w:ascii="Book Antiqua" w:hAnsi="Book Antiqua"/>
        </w:rPr>
        <w:t xml:space="preserve"> OF, Yilmaz S. Hepatitis associated with aplastic anemia: do CD8(+) </w:t>
      </w:r>
      <w:proofErr w:type="spellStart"/>
      <w:r w:rsidRPr="00C66771">
        <w:rPr>
          <w:rFonts w:ascii="Book Antiqua" w:hAnsi="Book Antiqua"/>
        </w:rPr>
        <w:t>kupffer</w:t>
      </w:r>
      <w:proofErr w:type="spellEnd"/>
      <w:r w:rsidRPr="00C66771">
        <w:rPr>
          <w:rFonts w:ascii="Book Antiqua" w:hAnsi="Book Antiqua"/>
        </w:rPr>
        <w:t xml:space="preserve"> cells have a role in the pathogenesis? </w:t>
      </w:r>
      <w:r w:rsidRPr="00C66771">
        <w:rPr>
          <w:rFonts w:ascii="Book Antiqua" w:hAnsi="Book Antiqua"/>
          <w:i/>
          <w:iCs/>
        </w:rPr>
        <w:t>Dig Dis Sci</w:t>
      </w:r>
      <w:r w:rsidRPr="00C66771">
        <w:rPr>
          <w:rFonts w:ascii="Book Antiqua" w:hAnsi="Book Antiqua"/>
        </w:rPr>
        <w:t xml:space="preserve"> 2007; </w:t>
      </w:r>
      <w:r w:rsidRPr="00C66771">
        <w:rPr>
          <w:rFonts w:ascii="Book Antiqua" w:hAnsi="Book Antiqua"/>
          <w:b/>
          <w:bCs/>
        </w:rPr>
        <w:t>52</w:t>
      </w:r>
      <w:r w:rsidRPr="00C66771">
        <w:rPr>
          <w:rFonts w:ascii="Book Antiqua" w:hAnsi="Book Antiqua"/>
        </w:rPr>
        <w:t>: 2438-2443 [PMID: 17443406 DOI: 10.1007/s10620-006-9280-4]</w:t>
      </w:r>
    </w:p>
    <w:p w14:paraId="64C12544"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9 </w:t>
      </w:r>
      <w:r w:rsidRPr="00C66771">
        <w:rPr>
          <w:rFonts w:ascii="Book Antiqua" w:hAnsi="Book Antiqua"/>
          <w:b/>
          <w:bCs/>
        </w:rPr>
        <w:t>Worth AJ</w:t>
      </w:r>
      <w:r w:rsidRPr="00C66771">
        <w:rPr>
          <w:rFonts w:ascii="Book Antiqua" w:hAnsi="Book Antiqua"/>
        </w:rPr>
        <w:t xml:space="preserve">, </w:t>
      </w:r>
      <w:proofErr w:type="spellStart"/>
      <w:r w:rsidRPr="00C66771">
        <w:rPr>
          <w:rFonts w:ascii="Book Antiqua" w:hAnsi="Book Antiqua"/>
        </w:rPr>
        <w:t>Houldcroft</w:t>
      </w:r>
      <w:proofErr w:type="spellEnd"/>
      <w:r w:rsidRPr="00C66771">
        <w:rPr>
          <w:rFonts w:ascii="Book Antiqua" w:hAnsi="Book Antiqua"/>
        </w:rPr>
        <w:t xml:space="preserve"> CJ, Booth C. Severe Epstein-Barr virus infection in primary immunodeficiency and the normal host. </w:t>
      </w:r>
      <w:r w:rsidRPr="00C66771">
        <w:rPr>
          <w:rFonts w:ascii="Book Antiqua" w:hAnsi="Book Antiqua"/>
          <w:i/>
          <w:iCs/>
        </w:rPr>
        <w:t xml:space="preserve">Br J </w:t>
      </w:r>
      <w:proofErr w:type="spellStart"/>
      <w:r w:rsidRPr="00C66771">
        <w:rPr>
          <w:rFonts w:ascii="Book Antiqua" w:hAnsi="Book Antiqua"/>
          <w:i/>
          <w:iCs/>
        </w:rPr>
        <w:t>Haematol</w:t>
      </w:r>
      <w:proofErr w:type="spellEnd"/>
      <w:r w:rsidRPr="00C66771">
        <w:rPr>
          <w:rFonts w:ascii="Book Antiqua" w:hAnsi="Book Antiqua"/>
        </w:rPr>
        <w:t xml:space="preserve"> 2016; </w:t>
      </w:r>
      <w:r w:rsidRPr="00C66771">
        <w:rPr>
          <w:rFonts w:ascii="Book Antiqua" w:hAnsi="Book Antiqua"/>
          <w:b/>
          <w:bCs/>
        </w:rPr>
        <w:t>175</w:t>
      </w:r>
      <w:r w:rsidRPr="00C66771">
        <w:rPr>
          <w:rFonts w:ascii="Book Antiqua" w:hAnsi="Book Antiqua"/>
        </w:rPr>
        <w:t>: 559-576 [PMID: 27748521 DOI: 10.1111/bjh.14339]</w:t>
      </w:r>
    </w:p>
    <w:p w14:paraId="60BF9C95"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10 </w:t>
      </w:r>
      <w:r w:rsidRPr="00C66771">
        <w:rPr>
          <w:rFonts w:ascii="Book Antiqua" w:hAnsi="Book Antiqua"/>
          <w:b/>
          <w:bCs/>
        </w:rPr>
        <w:t>Tu MF</w:t>
      </w:r>
      <w:r w:rsidRPr="00C66771">
        <w:rPr>
          <w:rFonts w:ascii="Book Antiqua" w:hAnsi="Book Antiqua"/>
        </w:rPr>
        <w:t xml:space="preserve">, Shao ZH, Liu H, He GS, Bai J, Shi J, Cao YR, Wang HQ, Xing LM, Cui ZZ, Sun J, Chen HS, </w:t>
      </w:r>
      <w:proofErr w:type="spellStart"/>
      <w:r w:rsidRPr="00C66771">
        <w:rPr>
          <w:rFonts w:ascii="Book Antiqua" w:hAnsi="Book Antiqua"/>
        </w:rPr>
        <w:t>Xue</w:t>
      </w:r>
      <w:proofErr w:type="spellEnd"/>
      <w:r w:rsidRPr="00C66771">
        <w:rPr>
          <w:rFonts w:ascii="Book Antiqua" w:hAnsi="Book Antiqua"/>
        </w:rPr>
        <w:t xml:space="preserve"> YP, Yang CL. [The clinical features of hepatitis associated aplastic anemia]. </w:t>
      </w:r>
      <w:proofErr w:type="spellStart"/>
      <w:r w:rsidRPr="00C66771">
        <w:rPr>
          <w:rFonts w:ascii="Book Antiqua" w:hAnsi="Book Antiqua"/>
          <w:i/>
          <w:iCs/>
        </w:rPr>
        <w:t>Zhonghua</w:t>
      </w:r>
      <w:proofErr w:type="spellEnd"/>
      <w:r w:rsidRPr="00C66771">
        <w:rPr>
          <w:rFonts w:ascii="Book Antiqua" w:hAnsi="Book Antiqua"/>
          <w:i/>
          <w:iCs/>
        </w:rPr>
        <w:t xml:space="preserve"> </w:t>
      </w:r>
      <w:proofErr w:type="spellStart"/>
      <w:r w:rsidRPr="00C66771">
        <w:rPr>
          <w:rFonts w:ascii="Book Antiqua" w:hAnsi="Book Antiqua"/>
          <w:i/>
          <w:iCs/>
        </w:rPr>
        <w:t>Xue</w:t>
      </w:r>
      <w:proofErr w:type="spellEnd"/>
      <w:r w:rsidRPr="00C66771">
        <w:rPr>
          <w:rFonts w:ascii="Book Antiqua" w:hAnsi="Book Antiqua"/>
          <w:i/>
          <w:iCs/>
        </w:rPr>
        <w:t xml:space="preserve"> Ye </w:t>
      </w:r>
      <w:proofErr w:type="spellStart"/>
      <w:r w:rsidRPr="00C66771">
        <w:rPr>
          <w:rFonts w:ascii="Book Antiqua" w:hAnsi="Book Antiqua"/>
          <w:i/>
          <w:iCs/>
        </w:rPr>
        <w:t>Xue</w:t>
      </w:r>
      <w:proofErr w:type="spellEnd"/>
      <w:r w:rsidRPr="00C66771">
        <w:rPr>
          <w:rFonts w:ascii="Book Antiqua" w:hAnsi="Book Antiqua"/>
          <w:i/>
          <w:iCs/>
        </w:rPr>
        <w:t xml:space="preserve"> Za </w:t>
      </w:r>
      <w:proofErr w:type="spellStart"/>
      <w:r w:rsidRPr="00C66771">
        <w:rPr>
          <w:rFonts w:ascii="Book Antiqua" w:hAnsi="Book Antiqua"/>
          <w:i/>
          <w:iCs/>
        </w:rPr>
        <w:t>Zhi</w:t>
      </w:r>
      <w:proofErr w:type="spellEnd"/>
      <w:r w:rsidRPr="00C66771">
        <w:rPr>
          <w:rFonts w:ascii="Book Antiqua" w:hAnsi="Book Antiqua"/>
        </w:rPr>
        <w:t xml:space="preserve"> 2005; </w:t>
      </w:r>
      <w:r w:rsidRPr="00C66771">
        <w:rPr>
          <w:rFonts w:ascii="Book Antiqua" w:hAnsi="Book Antiqua"/>
          <w:b/>
          <w:bCs/>
        </w:rPr>
        <w:t>26</w:t>
      </w:r>
      <w:r w:rsidRPr="00C66771">
        <w:rPr>
          <w:rFonts w:ascii="Book Antiqua" w:hAnsi="Book Antiqua"/>
        </w:rPr>
        <w:t>: 239-242 [PMID: 15949270]</w:t>
      </w:r>
    </w:p>
    <w:p w14:paraId="31E6FC23"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11 </w:t>
      </w:r>
      <w:r w:rsidRPr="00C66771">
        <w:rPr>
          <w:rFonts w:ascii="Book Antiqua" w:hAnsi="Book Antiqua"/>
          <w:b/>
          <w:bCs/>
        </w:rPr>
        <w:t>Ikeda T</w:t>
      </w:r>
      <w:r w:rsidRPr="00C66771">
        <w:rPr>
          <w:rFonts w:ascii="Book Antiqua" w:hAnsi="Book Antiqua"/>
        </w:rPr>
        <w:t xml:space="preserve">, Morimoto A, Nakamura S, Yokoyama K, </w:t>
      </w:r>
      <w:proofErr w:type="spellStart"/>
      <w:r w:rsidRPr="00C66771">
        <w:rPr>
          <w:rFonts w:ascii="Book Antiqua" w:hAnsi="Book Antiqua"/>
        </w:rPr>
        <w:t>Hayase</w:t>
      </w:r>
      <w:proofErr w:type="spellEnd"/>
      <w:r w:rsidRPr="00C66771">
        <w:rPr>
          <w:rFonts w:ascii="Book Antiqua" w:hAnsi="Book Antiqua"/>
        </w:rPr>
        <w:t xml:space="preserve"> T, Oh Y, </w:t>
      </w:r>
      <w:proofErr w:type="spellStart"/>
      <w:r w:rsidRPr="00C66771">
        <w:rPr>
          <w:rFonts w:ascii="Book Antiqua" w:hAnsi="Book Antiqua"/>
        </w:rPr>
        <w:t>Kashii</w:t>
      </w:r>
      <w:proofErr w:type="spellEnd"/>
      <w:r w:rsidRPr="00C66771">
        <w:rPr>
          <w:rFonts w:ascii="Book Antiqua" w:hAnsi="Book Antiqua"/>
        </w:rPr>
        <w:t xml:space="preserve"> Y, </w:t>
      </w:r>
      <w:proofErr w:type="spellStart"/>
      <w:r w:rsidRPr="00C66771">
        <w:rPr>
          <w:rFonts w:ascii="Book Antiqua" w:hAnsi="Book Antiqua"/>
        </w:rPr>
        <w:t>Yotsumoto</w:t>
      </w:r>
      <w:proofErr w:type="spellEnd"/>
      <w:r w:rsidRPr="00C66771">
        <w:rPr>
          <w:rFonts w:ascii="Book Antiqua" w:hAnsi="Book Antiqua"/>
        </w:rPr>
        <w:t xml:space="preserve"> S, Okamoto H, Y </w:t>
      </w:r>
      <w:proofErr w:type="spellStart"/>
      <w:r w:rsidRPr="00C66771">
        <w:rPr>
          <w:rFonts w:ascii="Book Antiqua" w:hAnsi="Book Antiqua"/>
        </w:rPr>
        <w:t>Momoi</w:t>
      </w:r>
      <w:proofErr w:type="spellEnd"/>
      <w:r w:rsidRPr="00C66771">
        <w:rPr>
          <w:rFonts w:ascii="Book Antiqua" w:hAnsi="Book Antiqua"/>
        </w:rPr>
        <w:t xml:space="preserve"> M. A marked decrease in CD4-positive lymphocytes at the onset of hepatitis in a patient with hepatitis-associated aplastic anemia. </w:t>
      </w:r>
      <w:r w:rsidRPr="00C66771">
        <w:rPr>
          <w:rFonts w:ascii="Book Antiqua" w:hAnsi="Book Antiqua"/>
          <w:i/>
          <w:iCs/>
        </w:rPr>
        <w:t xml:space="preserve">J </w:t>
      </w:r>
      <w:proofErr w:type="spellStart"/>
      <w:r w:rsidRPr="00C66771">
        <w:rPr>
          <w:rFonts w:ascii="Book Antiqua" w:hAnsi="Book Antiqua"/>
          <w:i/>
          <w:iCs/>
        </w:rPr>
        <w:t>Pediatr</w:t>
      </w:r>
      <w:proofErr w:type="spellEnd"/>
      <w:r w:rsidRPr="00C66771">
        <w:rPr>
          <w:rFonts w:ascii="Book Antiqua" w:hAnsi="Book Antiqua"/>
          <w:i/>
          <w:iCs/>
        </w:rPr>
        <w:t xml:space="preserve"> </w:t>
      </w:r>
      <w:proofErr w:type="spellStart"/>
      <w:r w:rsidRPr="00C66771">
        <w:rPr>
          <w:rFonts w:ascii="Book Antiqua" w:hAnsi="Book Antiqua"/>
          <w:i/>
          <w:iCs/>
        </w:rPr>
        <w:t>Hematol</w:t>
      </w:r>
      <w:proofErr w:type="spellEnd"/>
      <w:r w:rsidRPr="00C66771">
        <w:rPr>
          <w:rFonts w:ascii="Book Antiqua" w:hAnsi="Book Antiqua"/>
          <w:i/>
          <w:iCs/>
        </w:rPr>
        <w:t xml:space="preserve"> Oncol</w:t>
      </w:r>
      <w:r w:rsidRPr="00C66771">
        <w:rPr>
          <w:rFonts w:ascii="Book Antiqua" w:hAnsi="Book Antiqua"/>
        </w:rPr>
        <w:t xml:space="preserve"> 2012; </w:t>
      </w:r>
      <w:r w:rsidRPr="00C66771">
        <w:rPr>
          <w:rFonts w:ascii="Book Antiqua" w:hAnsi="Book Antiqua"/>
          <w:b/>
          <w:bCs/>
        </w:rPr>
        <w:t>34</w:t>
      </w:r>
      <w:r w:rsidRPr="00C66771">
        <w:rPr>
          <w:rFonts w:ascii="Book Antiqua" w:hAnsi="Book Antiqua"/>
        </w:rPr>
        <w:t>: 375-377 [PMID: 22246160 DOI: 10.1097/MPH.0b013e31822bf699]</w:t>
      </w:r>
    </w:p>
    <w:p w14:paraId="056395CC"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12 </w:t>
      </w:r>
      <w:r w:rsidRPr="00C66771">
        <w:rPr>
          <w:rFonts w:ascii="Book Antiqua" w:hAnsi="Book Antiqua"/>
          <w:b/>
          <w:bCs/>
        </w:rPr>
        <w:t>Killick SB</w:t>
      </w:r>
      <w:r w:rsidRPr="00C66771">
        <w:rPr>
          <w:rFonts w:ascii="Book Antiqua" w:hAnsi="Book Antiqua"/>
        </w:rPr>
        <w:t xml:space="preserve">, </w:t>
      </w:r>
      <w:proofErr w:type="spellStart"/>
      <w:r w:rsidRPr="00C66771">
        <w:rPr>
          <w:rFonts w:ascii="Book Antiqua" w:hAnsi="Book Antiqua"/>
        </w:rPr>
        <w:t>Bown</w:t>
      </w:r>
      <w:proofErr w:type="spellEnd"/>
      <w:r w:rsidRPr="00C66771">
        <w:rPr>
          <w:rFonts w:ascii="Book Antiqua" w:hAnsi="Book Antiqua"/>
        </w:rPr>
        <w:t xml:space="preserve"> N, </w:t>
      </w:r>
      <w:proofErr w:type="spellStart"/>
      <w:r w:rsidRPr="00C66771">
        <w:rPr>
          <w:rFonts w:ascii="Book Antiqua" w:hAnsi="Book Antiqua"/>
        </w:rPr>
        <w:t>Cavenagh</w:t>
      </w:r>
      <w:proofErr w:type="spellEnd"/>
      <w:r w:rsidRPr="00C66771">
        <w:rPr>
          <w:rFonts w:ascii="Book Antiqua" w:hAnsi="Book Antiqua"/>
        </w:rPr>
        <w:t xml:space="preserve"> J, </w:t>
      </w:r>
      <w:proofErr w:type="spellStart"/>
      <w:r w:rsidRPr="00C66771">
        <w:rPr>
          <w:rFonts w:ascii="Book Antiqua" w:hAnsi="Book Antiqua"/>
        </w:rPr>
        <w:t>Dokal</w:t>
      </w:r>
      <w:proofErr w:type="spellEnd"/>
      <w:r w:rsidRPr="00C66771">
        <w:rPr>
          <w:rFonts w:ascii="Book Antiqua" w:hAnsi="Book Antiqua"/>
        </w:rPr>
        <w:t xml:space="preserve"> I, </w:t>
      </w:r>
      <w:proofErr w:type="spellStart"/>
      <w:r w:rsidRPr="00C66771">
        <w:rPr>
          <w:rFonts w:ascii="Book Antiqua" w:hAnsi="Book Antiqua"/>
        </w:rPr>
        <w:t>Foukaneli</w:t>
      </w:r>
      <w:proofErr w:type="spellEnd"/>
      <w:r w:rsidRPr="00C66771">
        <w:rPr>
          <w:rFonts w:ascii="Book Antiqua" w:hAnsi="Book Antiqua"/>
        </w:rPr>
        <w:t xml:space="preserve"> T, Hill A, Hillmen P, Ireland R, </w:t>
      </w:r>
      <w:proofErr w:type="spellStart"/>
      <w:r w:rsidRPr="00C66771">
        <w:rPr>
          <w:rFonts w:ascii="Book Antiqua" w:hAnsi="Book Antiqua"/>
        </w:rPr>
        <w:t>Kulasekararaj</w:t>
      </w:r>
      <w:proofErr w:type="spellEnd"/>
      <w:r w:rsidRPr="00C66771">
        <w:rPr>
          <w:rFonts w:ascii="Book Antiqua" w:hAnsi="Book Antiqua"/>
        </w:rPr>
        <w:t xml:space="preserve"> A, Mufti G, Snowden JA, Samarasinghe S, Wood A, Marsh JC; British Society for Standards in </w:t>
      </w:r>
      <w:proofErr w:type="spellStart"/>
      <w:r w:rsidRPr="00C66771">
        <w:rPr>
          <w:rFonts w:ascii="Book Antiqua" w:hAnsi="Book Antiqua"/>
        </w:rPr>
        <w:t>Haematology</w:t>
      </w:r>
      <w:proofErr w:type="spellEnd"/>
      <w:r w:rsidRPr="00C66771">
        <w:rPr>
          <w:rFonts w:ascii="Book Antiqua" w:hAnsi="Book Antiqua"/>
        </w:rPr>
        <w:t xml:space="preserve">. Guidelines for the diagnosis and management of adult aplastic </w:t>
      </w:r>
      <w:proofErr w:type="spellStart"/>
      <w:r w:rsidRPr="00C66771">
        <w:rPr>
          <w:rFonts w:ascii="Book Antiqua" w:hAnsi="Book Antiqua"/>
        </w:rPr>
        <w:t>anaemia</w:t>
      </w:r>
      <w:proofErr w:type="spellEnd"/>
      <w:r w:rsidRPr="00C66771">
        <w:rPr>
          <w:rFonts w:ascii="Book Antiqua" w:hAnsi="Book Antiqua"/>
        </w:rPr>
        <w:t xml:space="preserve">. </w:t>
      </w:r>
      <w:r w:rsidRPr="00C66771">
        <w:rPr>
          <w:rFonts w:ascii="Book Antiqua" w:hAnsi="Book Antiqua"/>
          <w:i/>
          <w:iCs/>
        </w:rPr>
        <w:t xml:space="preserve">Br J </w:t>
      </w:r>
      <w:proofErr w:type="spellStart"/>
      <w:r w:rsidRPr="00C66771">
        <w:rPr>
          <w:rFonts w:ascii="Book Antiqua" w:hAnsi="Book Antiqua"/>
          <w:i/>
          <w:iCs/>
        </w:rPr>
        <w:t>Haematol</w:t>
      </w:r>
      <w:proofErr w:type="spellEnd"/>
      <w:r w:rsidRPr="00C66771">
        <w:rPr>
          <w:rFonts w:ascii="Book Antiqua" w:hAnsi="Book Antiqua"/>
        </w:rPr>
        <w:t xml:space="preserve"> 2016; </w:t>
      </w:r>
      <w:r w:rsidRPr="00C66771">
        <w:rPr>
          <w:rFonts w:ascii="Book Antiqua" w:hAnsi="Book Antiqua"/>
          <w:b/>
          <w:bCs/>
        </w:rPr>
        <w:t>172</w:t>
      </w:r>
      <w:r w:rsidRPr="00C66771">
        <w:rPr>
          <w:rFonts w:ascii="Book Antiqua" w:hAnsi="Book Antiqua"/>
        </w:rPr>
        <w:t>: 187-207 [PMID: 26568159 DOI: 10.1111/bjh.13853]</w:t>
      </w:r>
    </w:p>
    <w:p w14:paraId="587666BC"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lastRenderedPageBreak/>
        <w:t xml:space="preserve">13 </w:t>
      </w:r>
      <w:r w:rsidRPr="00C66771">
        <w:rPr>
          <w:rFonts w:ascii="Book Antiqua" w:hAnsi="Book Antiqua"/>
          <w:b/>
          <w:bCs/>
        </w:rPr>
        <w:t>Drexler B</w:t>
      </w:r>
      <w:r w:rsidRPr="00C66771">
        <w:rPr>
          <w:rFonts w:ascii="Book Antiqua" w:hAnsi="Book Antiqua"/>
        </w:rPr>
        <w:t xml:space="preserve">, </w:t>
      </w:r>
      <w:proofErr w:type="spellStart"/>
      <w:r w:rsidRPr="00C66771">
        <w:rPr>
          <w:rFonts w:ascii="Book Antiqua" w:hAnsi="Book Antiqua"/>
        </w:rPr>
        <w:t>Passweg</w:t>
      </w:r>
      <w:proofErr w:type="spellEnd"/>
      <w:r w:rsidRPr="00C66771">
        <w:rPr>
          <w:rFonts w:ascii="Book Antiqua" w:hAnsi="Book Antiqua"/>
        </w:rPr>
        <w:t xml:space="preserve"> J. Current </w:t>
      </w:r>
      <w:proofErr w:type="gramStart"/>
      <w:r w:rsidRPr="00C66771">
        <w:rPr>
          <w:rFonts w:ascii="Book Antiqua" w:hAnsi="Book Antiqua"/>
        </w:rPr>
        <w:t>evidence</w:t>
      </w:r>
      <w:proofErr w:type="gramEnd"/>
      <w:r w:rsidRPr="00C66771">
        <w:rPr>
          <w:rFonts w:ascii="Book Antiqua" w:hAnsi="Book Antiqua"/>
        </w:rPr>
        <w:t xml:space="preserve"> and the emerging role of </w:t>
      </w:r>
      <w:proofErr w:type="spellStart"/>
      <w:r w:rsidRPr="00C66771">
        <w:rPr>
          <w:rFonts w:ascii="Book Antiqua" w:hAnsi="Book Antiqua"/>
        </w:rPr>
        <w:t>eltrombopag</w:t>
      </w:r>
      <w:proofErr w:type="spellEnd"/>
      <w:r w:rsidRPr="00C66771">
        <w:rPr>
          <w:rFonts w:ascii="Book Antiqua" w:hAnsi="Book Antiqua"/>
        </w:rPr>
        <w:t xml:space="preserve"> in severe aplastic anemia. </w:t>
      </w:r>
      <w:proofErr w:type="spellStart"/>
      <w:r w:rsidRPr="00C66771">
        <w:rPr>
          <w:rFonts w:ascii="Book Antiqua" w:hAnsi="Book Antiqua"/>
          <w:i/>
          <w:iCs/>
        </w:rPr>
        <w:t>Ther</w:t>
      </w:r>
      <w:proofErr w:type="spellEnd"/>
      <w:r w:rsidRPr="00C66771">
        <w:rPr>
          <w:rFonts w:ascii="Book Antiqua" w:hAnsi="Book Antiqua"/>
          <w:i/>
          <w:iCs/>
        </w:rPr>
        <w:t xml:space="preserve"> Adv </w:t>
      </w:r>
      <w:proofErr w:type="spellStart"/>
      <w:r w:rsidRPr="00C66771">
        <w:rPr>
          <w:rFonts w:ascii="Book Antiqua" w:hAnsi="Book Antiqua"/>
          <w:i/>
          <w:iCs/>
        </w:rPr>
        <w:t>Hematol</w:t>
      </w:r>
      <w:proofErr w:type="spellEnd"/>
      <w:r w:rsidRPr="00C66771">
        <w:rPr>
          <w:rFonts w:ascii="Book Antiqua" w:hAnsi="Book Antiqua"/>
        </w:rPr>
        <w:t xml:space="preserve"> 2021; </w:t>
      </w:r>
      <w:r w:rsidRPr="00C66771">
        <w:rPr>
          <w:rFonts w:ascii="Book Antiqua" w:hAnsi="Book Antiqua"/>
          <w:b/>
          <w:bCs/>
        </w:rPr>
        <w:t>12</w:t>
      </w:r>
      <w:r w:rsidRPr="00C66771">
        <w:rPr>
          <w:rFonts w:ascii="Book Antiqua" w:hAnsi="Book Antiqua"/>
        </w:rPr>
        <w:t>: 2040620721998126 [PMID: 33747425 DOI: 10.1177/2040620721998126]</w:t>
      </w:r>
    </w:p>
    <w:p w14:paraId="515019E8"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14 </w:t>
      </w:r>
      <w:proofErr w:type="spellStart"/>
      <w:r w:rsidRPr="00C66771">
        <w:rPr>
          <w:rFonts w:ascii="Book Antiqua" w:hAnsi="Book Antiqua"/>
          <w:b/>
          <w:bCs/>
        </w:rPr>
        <w:t>Schifferli</w:t>
      </w:r>
      <w:proofErr w:type="spellEnd"/>
      <w:r w:rsidRPr="00C66771">
        <w:rPr>
          <w:rFonts w:ascii="Book Antiqua" w:hAnsi="Book Antiqua"/>
          <w:b/>
          <w:bCs/>
        </w:rPr>
        <w:t xml:space="preserve"> A</w:t>
      </w:r>
      <w:r w:rsidRPr="00C66771">
        <w:rPr>
          <w:rFonts w:ascii="Book Antiqua" w:hAnsi="Book Antiqua"/>
        </w:rPr>
        <w:t xml:space="preserve">, </w:t>
      </w:r>
      <w:proofErr w:type="spellStart"/>
      <w:r w:rsidRPr="00C66771">
        <w:rPr>
          <w:rFonts w:ascii="Book Antiqua" w:hAnsi="Book Antiqua"/>
        </w:rPr>
        <w:t>Kühne</w:t>
      </w:r>
      <w:proofErr w:type="spellEnd"/>
      <w:r w:rsidRPr="00C66771">
        <w:rPr>
          <w:rFonts w:ascii="Book Antiqua" w:hAnsi="Book Antiqua"/>
        </w:rPr>
        <w:t xml:space="preserve"> T. Thrombopoietin receptor agonists: a new immune modulatory strategy in immune thrombocytopenia? </w:t>
      </w:r>
      <w:r w:rsidRPr="00C66771">
        <w:rPr>
          <w:rFonts w:ascii="Book Antiqua" w:hAnsi="Book Antiqua"/>
          <w:i/>
          <w:iCs/>
        </w:rPr>
        <w:t xml:space="preserve">Semin </w:t>
      </w:r>
      <w:proofErr w:type="spellStart"/>
      <w:r w:rsidRPr="00C66771">
        <w:rPr>
          <w:rFonts w:ascii="Book Antiqua" w:hAnsi="Book Antiqua"/>
          <w:i/>
          <w:iCs/>
        </w:rPr>
        <w:t>Hematol</w:t>
      </w:r>
      <w:proofErr w:type="spellEnd"/>
      <w:r w:rsidRPr="00C66771">
        <w:rPr>
          <w:rFonts w:ascii="Book Antiqua" w:hAnsi="Book Antiqua"/>
        </w:rPr>
        <w:t xml:space="preserve"> 2016; </w:t>
      </w:r>
      <w:r w:rsidRPr="00C66771">
        <w:rPr>
          <w:rFonts w:ascii="Book Antiqua" w:hAnsi="Book Antiqua"/>
          <w:b/>
          <w:bCs/>
        </w:rPr>
        <w:t>53 Suppl 1</w:t>
      </w:r>
      <w:r w:rsidRPr="00C66771">
        <w:rPr>
          <w:rFonts w:ascii="Book Antiqua" w:hAnsi="Book Antiqua"/>
        </w:rPr>
        <w:t>: S31-S34 [PMID: 27312161 DOI: 10.1053/j.seminhematol.2016.04.010]</w:t>
      </w:r>
    </w:p>
    <w:p w14:paraId="08FEAA6F"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15 </w:t>
      </w:r>
      <w:proofErr w:type="spellStart"/>
      <w:r w:rsidRPr="00C66771">
        <w:rPr>
          <w:rFonts w:ascii="Book Antiqua" w:hAnsi="Book Antiqua"/>
          <w:b/>
          <w:bCs/>
        </w:rPr>
        <w:t>Scheinberg</w:t>
      </w:r>
      <w:proofErr w:type="spellEnd"/>
      <w:r w:rsidRPr="00C66771">
        <w:rPr>
          <w:rFonts w:ascii="Book Antiqua" w:hAnsi="Book Antiqua"/>
          <w:b/>
          <w:bCs/>
        </w:rPr>
        <w:t xml:space="preserve"> P</w:t>
      </w:r>
      <w:r w:rsidRPr="00C66771">
        <w:rPr>
          <w:rFonts w:ascii="Book Antiqua" w:hAnsi="Book Antiqua"/>
        </w:rPr>
        <w:t xml:space="preserve">. Activity of </w:t>
      </w:r>
      <w:proofErr w:type="spellStart"/>
      <w:r w:rsidRPr="00C66771">
        <w:rPr>
          <w:rFonts w:ascii="Book Antiqua" w:hAnsi="Book Antiqua"/>
        </w:rPr>
        <w:t>eltrombopag</w:t>
      </w:r>
      <w:proofErr w:type="spellEnd"/>
      <w:r w:rsidRPr="00C66771">
        <w:rPr>
          <w:rFonts w:ascii="Book Antiqua" w:hAnsi="Book Antiqua"/>
        </w:rPr>
        <w:t xml:space="preserve"> in severe aplastic anemia. </w:t>
      </w:r>
      <w:r w:rsidRPr="00C66771">
        <w:rPr>
          <w:rFonts w:ascii="Book Antiqua" w:hAnsi="Book Antiqua"/>
          <w:i/>
          <w:iCs/>
        </w:rPr>
        <w:t xml:space="preserve">Hematology Am Soc </w:t>
      </w:r>
      <w:proofErr w:type="spellStart"/>
      <w:r w:rsidRPr="00C66771">
        <w:rPr>
          <w:rFonts w:ascii="Book Antiqua" w:hAnsi="Book Antiqua"/>
          <w:i/>
          <w:iCs/>
        </w:rPr>
        <w:t>Hematol</w:t>
      </w:r>
      <w:proofErr w:type="spellEnd"/>
      <w:r w:rsidRPr="00C66771">
        <w:rPr>
          <w:rFonts w:ascii="Book Antiqua" w:hAnsi="Book Antiqua"/>
          <w:i/>
          <w:iCs/>
        </w:rPr>
        <w:t xml:space="preserve"> Educ Program</w:t>
      </w:r>
      <w:r w:rsidRPr="00C66771">
        <w:rPr>
          <w:rFonts w:ascii="Book Antiqua" w:hAnsi="Book Antiqua"/>
        </w:rPr>
        <w:t xml:space="preserve"> 2018; </w:t>
      </w:r>
      <w:r w:rsidRPr="00C66771">
        <w:rPr>
          <w:rFonts w:ascii="Book Antiqua" w:hAnsi="Book Antiqua"/>
          <w:b/>
          <w:bCs/>
        </w:rPr>
        <w:t>2018</w:t>
      </w:r>
      <w:r w:rsidRPr="00C66771">
        <w:rPr>
          <w:rFonts w:ascii="Book Antiqua" w:hAnsi="Book Antiqua"/>
        </w:rPr>
        <w:t>: 450-456 [PMID: 30504345 DOI: 10.1182/asheducation-2018.1.450]</w:t>
      </w:r>
    </w:p>
    <w:p w14:paraId="2CDD0CF0" w14:textId="77777777" w:rsidR="00B63A21" w:rsidRPr="00C66771" w:rsidRDefault="00000000">
      <w:pPr>
        <w:adjustRightInd w:val="0"/>
        <w:snapToGrid w:val="0"/>
        <w:spacing w:line="360" w:lineRule="auto"/>
        <w:jc w:val="both"/>
        <w:rPr>
          <w:rFonts w:ascii="Book Antiqua" w:hAnsi="Book Antiqua"/>
        </w:rPr>
      </w:pPr>
      <w:r w:rsidRPr="00C66771">
        <w:rPr>
          <w:rFonts w:ascii="Book Antiqua" w:hAnsi="Book Antiqua"/>
        </w:rPr>
        <w:t xml:space="preserve">16 </w:t>
      </w:r>
      <w:proofErr w:type="spellStart"/>
      <w:r w:rsidRPr="00C66771">
        <w:rPr>
          <w:rFonts w:ascii="Book Antiqua" w:hAnsi="Book Antiqua"/>
          <w:b/>
          <w:bCs/>
        </w:rPr>
        <w:t>Townsley</w:t>
      </w:r>
      <w:proofErr w:type="spellEnd"/>
      <w:r w:rsidRPr="00C66771">
        <w:rPr>
          <w:rFonts w:ascii="Book Antiqua" w:hAnsi="Book Antiqua"/>
          <w:b/>
          <w:bCs/>
        </w:rPr>
        <w:t xml:space="preserve"> DM</w:t>
      </w:r>
      <w:r w:rsidRPr="00C66771">
        <w:rPr>
          <w:rFonts w:ascii="Book Antiqua" w:hAnsi="Book Antiqua"/>
        </w:rPr>
        <w:t xml:space="preserve">, </w:t>
      </w:r>
      <w:proofErr w:type="spellStart"/>
      <w:r w:rsidRPr="00C66771">
        <w:rPr>
          <w:rFonts w:ascii="Book Antiqua" w:hAnsi="Book Antiqua"/>
        </w:rPr>
        <w:t>Scheinberg</w:t>
      </w:r>
      <w:proofErr w:type="spellEnd"/>
      <w:r w:rsidRPr="00C66771">
        <w:rPr>
          <w:rFonts w:ascii="Book Antiqua" w:hAnsi="Book Antiqua"/>
        </w:rPr>
        <w:t xml:space="preserve"> P, Winkler T, Desmond R, </w:t>
      </w:r>
      <w:proofErr w:type="spellStart"/>
      <w:r w:rsidRPr="00C66771">
        <w:rPr>
          <w:rFonts w:ascii="Book Antiqua" w:hAnsi="Book Antiqua"/>
        </w:rPr>
        <w:t>Dumitriu</w:t>
      </w:r>
      <w:proofErr w:type="spellEnd"/>
      <w:r w:rsidRPr="00C66771">
        <w:rPr>
          <w:rFonts w:ascii="Book Antiqua" w:hAnsi="Book Antiqua"/>
        </w:rPr>
        <w:t xml:space="preserve"> B, Rios O, Weinstein B, Valdez J, Lotter J, Feng X, </w:t>
      </w:r>
      <w:proofErr w:type="spellStart"/>
      <w:r w:rsidRPr="00C66771">
        <w:rPr>
          <w:rFonts w:ascii="Book Antiqua" w:hAnsi="Book Antiqua"/>
        </w:rPr>
        <w:t>Desierto</w:t>
      </w:r>
      <w:proofErr w:type="spellEnd"/>
      <w:r w:rsidRPr="00C66771">
        <w:rPr>
          <w:rFonts w:ascii="Book Antiqua" w:hAnsi="Book Antiqua"/>
        </w:rPr>
        <w:t xml:space="preserve"> M, </w:t>
      </w:r>
      <w:proofErr w:type="spellStart"/>
      <w:r w:rsidRPr="00C66771">
        <w:rPr>
          <w:rFonts w:ascii="Book Antiqua" w:hAnsi="Book Antiqua"/>
        </w:rPr>
        <w:t>Leuva</w:t>
      </w:r>
      <w:proofErr w:type="spellEnd"/>
      <w:r w:rsidRPr="00C66771">
        <w:rPr>
          <w:rFonts w:ascii="Book Antiqua" w:hAnsi="Book Antiqua"/>
        </w:rPr>
        <w:t xml:space="preserve"> H, Bevans M, Wu C, Larochelle A, Calvo KR, Dunbar CE, Young NS. </w:t>
      </w:r>
      <w:proofErr w:type="spellStart"/>
      <w:r w:rsidRPr="00C66771">
        <w:rPr>
          <w:rFonts w:ascii="Book Antiqua" w:hAnsi="Book Antiqua"/>
        </w:rPr>
        <w:t>Eltrombopag</w:t>
      </w:r>
      <w:proofErr w:type="spellEnd"/>
      <w:r w:rsidRPr="00C66771">
        <w:rPr>
          <w:rFonts w:ascii="Book Antiqua" w:hAnsi="Book Antiqua"/>
        </w:rPr>
        <w:t xml:space="preserve"> Added to Standard Immunosuppression for Aplastic Anemia. </w:t>
      </w:r>
      <w:r w:rsidRPr="00C66771">
        <w:rPr>
          <w:rFonts w:ascii="Book Antiqua" w:hAnsi="Book Antiqua"/>
          <w:i/>
          <w:iCs/>
        </w:rPr>
        <w:t xml:space="preserve">N </w:t>
      </w:r>
      <w:proofErr w:type="spellStart"/>
      <w:r w:rsidRPr="00C66771">
        <w:rPr>
          <w:rFonts w:ascii="Book Antiqua" w:hAnsi="Book Antiqua"/>
          <w:i/>
          <w:iCs/>
        </w:rPr>
        <w:t>Engl</w:t>
      </w:r>
      <w:proofErr w:type="spellEnd"/>
      <w:r w:rsidRPr="00C66771">
        <w:rPr>
          <w:rFonts w:ascii="Book Antiqua" w:hAnsi="Book Antiqua"/>
          <w:i/>
          <w:iCs/>
        </w:rPr>
        <w:t xml:space="preserve"> J Med</w:t>
      </w:r>
      <w:r w:rsidRPr="00C66771">
        <w:rPr>
          <w:rFonts w:ascii="Book Antiqua" w:hAnsi="Book Antiqua"/>
        </w:rPr>
        <w:t xml:space="preserve"> 2017; </w:t>
      </w:r>
      <w:r w:rsidRPr="00C66771">
        <w:rPr>
          <w:rFonts w:ascii="Book Antiqua" w:hAnsi="Book Antiqua"/>
          <w:b/>
          <w:bCs/>
        </w:rPr>
        <w:t>376</w:t>
      </w:r>
      <w:r w:rsidRPr="00C66771">
        <w:rPr>
          <w:rFonts w:ascii="Book Antiqua" w:hAnsi="Book Antiqua"/>
        </w:rPr>
        <w:t>: 1540-1550 [PMID: 28423296 DOI: 10.1056/NEJMoa1613878]</w:t>
      </w:r>
    </w:p>
    <w:p w14:paraId="374617E6" w14:textId="77777777" w:rsidR="00B63A21" w:rsidRPr="00C66771" w:rsidRDefault="00B63A21">
      <w:pPr>
        <w:adjustRightInd w:val="0"/>
        <w:snapToGrid w:val="0"/>
        <w:spacing w:line="360" w:lineRule="auto"/>
        <w:jc w:val="both"/>
        <w:rPr>
          <w:rFonts w:ascii="Book Antiqua" w:eastAsia="Book Antiqua" w:hAnsi="Book Antiqua" w:cs="Book Antiqua"/>
          <w:b/>
          <w:color w:val="000000"/>
        </w:rPr>
      </w:pPr>
    </w:p>
    <w:p w14:paraId="170F9BB0" w14:textId="77777777" w:rsidR="00B63A21" w:rsidRPr="00C66771" w:rsidRDefault="00B63A21">
      <w:pPr>
        <w:adjustRightInd w:val="0"/>
        <w:snapToGrid w:val="0"/>
        <w:spacing w:line="360" w:lineRule="auto"/>
        <w:jc w:val="both"/>
        <w:rPr>
          <w:rFonts w:ascii="Book Antiqua" w:eastAsia="Book Antiqua" w:hAnsi="Book Antiqua" w:cs="Book Antiqua"/>
          <w:b/>
          <w:color w:val="000000"/>
        </w:rPr>
      </w:pPr>
    </w:p>
    <w:p w14:paraId="4CD46D34"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Footnotes</w:t>
      </w:r>
    </w:p>
    <w:p w14:paraId="0C6E3B8F"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Informed consent statement: </w:t>
      </w:r>
      <w:r w:rsidRPr="00C66771">
        <w:rPr>
          <w:rFonts w:ascii="Book Antiqua" w:eastAsia="Book Antiqua" w:hAnsi="Book Antiqua" w:cs="Book Antiqua"/>
          <w:color w:val="000000"/>
        </w:rPr>
        <w:t>Before treatment, patients and their families have signed informed consent for treatment.</w:t>
      </w:r>
    </w:p>
    <w:p w14:paraId="7BEFA45A" w14:textId="77777777" w:rsidR="00B63A21" w:rsidRPr="00C66771" w:rsidRDefault="00B63A21">
      <w:pPr>
        <w:adjustRightInd w:val="0"/>
        <w:snapToGrid w:val="0"/>
        <w:spacing w:line="360" w:lineRule="auto"/>
        <w:jc w:val="both"/>
        <w:rPr>
          <w:rFonts w:ascii="Book Antiqua" w:hAnsi="Book Antiqua"/>
        </w:rPr>
      </w:pPr>
    </w:p>
    <w:p w14:paraId="338114DF"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Conflict-of-interest statement: </w:t>
      </w:r>
      <w:r w:rsidRPr="00C66771">
        <w:rPr>
          <w:rFonts w:ascii="Book Antiqua" w:eastAsia="Book Antiqua" w:hAnsi="Book Antiqua" w:cs="Book Antiqua"/>
          <w:color w:val="000000"/>
        </w:rPr>
        <w:t>There is no conflict of interest among all authors.</w:t>
      </w:r>
    </w:p>
    <w:p w14:paraId="7A0A725E" w14:textId="77777777" w:rsidR="00B63A21" w:rsidRPr="00C66771" w:rsidRDefault="00B63A21">
      <w:pPr>
        <w:adjustRightInd w:val="0"/>
        <w:snapToGrid w:val="0"/>
        <w:spacing w:line="360" w:lineRule="auto"/>
        <w:jc w:val="both"/>
        <w:rPr>
          <w:rFonts w:ascii="Book Antiqua" w:hAnsi="Book Antiqua"/>
        </w:rPr>
      </w:pPr>
    </w:p>
    <w:p w14:paraId="7DD28BA9"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CARE Checklist (2016) statement: </w:t>
      </w:r>
      <w:r w:rsidRPr="00C66771">
        <w:rPr>
          <w:rFonts w:ascii="Book Antiqua" w:eastAsia="Book Antiqua" w:hAnsi="Book Antiqua" w:cs="Book Antiqua"/>
          <w:color w:val="000000"/>
        </w:rPr>
        <w:t>This manuscript was checked according to the checklist</w:t>
      </w:r>
      <w:r w:rsidRPr="00C66771">
        <w:rPr>
          <w:rFonts w:ascii="Book Antiqua" w:eastAsia="宋体" w:hAnsi="Book Antiqua" w:cs="宋体"/>
          <w:color w:val="000000"/>
          <w:lang w:eastAsia="zh-CN"/>
        </w:rPr>
        <w:t xml:space="preserve"> (</w:t>
      </w:r>
      <w:r w:rsidRPr="00C66771">
        <w:rPr>
          <w:rFonts w:ascii="Book Antiqua" w:eastAsia="Book Antiqua" w:hAnsi="Book Antiqua" w:cs="Book Antiqua"/>
          <w:color w:val="000000"/>
        </w:rPr>
        <w:t>2016</w:t>
      </w:r>
      <w:r w:rsidRPr="00C66771">
        <w:rPr>
          <w:rFonts w:ascii="Book Antiqua" w:eastAsia="宋体" w:hAnsi="Book Antiqua" w:cs="宋体"/>
          <w:color w:val="000000"/>
          <w:lang w:eastAsia="zh-CN"/>
        </w:rPr>
        <w:t xml:space="preserve">) </w:t>
      </w:r>
      <w:r w:rsidRPr="00C66771">
        <w:rPr>
          <w:rFonts w:ascii="Book Antiqua" w:eastAsia="Book Antiqua" w:hAnsi="Book Antiqua" w:cs="Book Antiqua"/>
          <w:color w:val="000000"/>
        </w:rPr>
        <w:t>statement.</w:t>
      </w:r>
    </w:p>
    <w:p w14:paraId="1144DAFE" w14:textId="77777777" w:rsidR="00B63A21" w:rsidRPr="00C66771" w:rsidRDefault="00B63A21">
      <w:pPr>
        <w:adjustRightInd w:val="0"/>
        <w:snapToGrid w:val="0"/>
        <w:spacing w:line="360" w:lineRule="auto"/>
        <w:jc w:val="both"/>
        <w:rPr>
          <w:rFonts w:ascii="Book Antiqua" w:hAnsi="Book Antiqua"/>
        </w:rPr>
      </w:pPr>
    </w:p>
    <w:p w14:paraId="1991FAD9"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bCs/>
          <w:color w:val="000000"/>
        </w:rPr>
        <w:t xml:space="preserve">Open-Access: </w:t>
      </w:r>
      <w:r w:rsidRPr="00C6677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66771">
        <w:rPr>
          <w:rFonts w:ascii="Book Antiqua" w:eastAsia="Book Antiqua" w:hAnsi="Book Antiqua" w:cs="Book Antiqua"/>
          <w:color w:val="000000"/>
        </w:rPr>
        <w:t>NonCommercial</w:t>
      </w:r>
      <w:proofErr w:type="spellEnd"/>
      <w:r w:rsidRPr="00C66771">
        <w:rPr>
          <w:rFonts w:ascii="Book Antiqua" w:eastAsia="Book Antiqua" w:hAnsi="Book Antiqua" w:cs="Book Antiqua"/>
          <w:color w:val="000000"/>
        </w:rPr>
        <w:t xml:space="preserve"> (CC BY-NC 4.0) license, which permits others to distribute, remix, adapt, build upon this work non-commercially, and license </w:t>
      </w:r>
      <w:r w:rsidRPr="00C66771">
        <w:rPr>
          <w:rFonts w:ascii="Book Antiqua" w:eastAsia="Book Antiqua" w:hAnsi="Book Antiqua" w:cs="Book Antiqua"/>
          <w:color w:val="000000"/>
        </w:rPr>
        <w:lastRenderedPageBreak/>
        <w:t>their derivative works on different terms, provided the original work is properly cited and the use is non-commercial. See: https://creativecommons.org/Licenses/by-nc/4.0/</w:t>
      </w:r>
    </w:p>
    <w:p w14:paraId="10510FA2" w14:textId="77777777" w:rsidR="00B63A21" w:rsidRPr="00C66771" w:rsidRDefault="00B63A21">
      <w:pPr>
        <w:adjustRightInd w:val="0"/>
        <w:snapToGrid w:val="0"/>
        <w:spacing w:line="360" w:lineRule="auto"/>
        <w:jc w:val="both"/>
        <w:rPr>
          <w:rFonts w:ascii="Book Antiqua" w:hAnsi="Book Antiqua"/>
        </w:rPr>
      </w:pPr>
    </w:p>
    <w:p w14:paraId="10D16131"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Provenance and peer review: </w:t>
      </w:r>
      <w:r w:rsidRPr="00C66771">
        <w:rPr>
          <w:rFonts w:ascii="Book Antiqua" w:eastAsia="Book Antiqua" w:hAnsi="Book Antiqua" w:cs="Book Antiqua"/>
          <w:color w:val="000000"/>
        </w:rPr>
        <w:t>Unsolicited article; Externally peer reviewed.</w:t>
      </w:r>
    </w:p>
    <w:p w14:paraId="4B8A5623"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Peer-review model: </w:t>
      </w:r>
      <w:r w:rsidRPr="00C66771">
        <w:rPr>
          <w:rFonts w:ascii="Book Antiqua" w:eastAsia="Book Antiqua" w:hAnsi="Book Antiqua" w:cs="Book Antiqua"/>
          <w:color w:val="000000"/>
        </w:rPr>
        <w:t>Single blind</w:t>
      </w:r>
    </w:p>
    <w:p w14:paraId="1517658B" w14:textId="77777777" w:rsidR="00B63A21" w:rsidRPr="00C66771" w:rsidRDefault="00B63A21">
      <w:pPr>
        <w:adjustRightInd w:val="0"/>
        <w:snapToGrid w:val="0"/>
        <w:spacing w:line="360" w:lineRule="auto"/>
        <w:jc w:val="both"/>
        <w:rPr>
          <w:rFonts w:ascii="Book Antiqua" w:hAnsi="Book Antiqua"/>
        </w:rPr>
      </w:pPr>
    </w:p>
    <w:p w14:paraId="3D9F3D65"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Peer-review started: </w:t>
      </w:r>
      <w:r w:rsidRPr="00C66771">
        <w:rPr>
          <w:rFonts w:ascii="Book Antiqua" w:eastAsia="Book Antiqua" w:hAnsi="Book Antiqua" w:cs="Book Antiqua"/>
          <w:color w:val="000000"/>
        </w:rPr>
        <w:t>December 28, 2021</w:t>
      </w:r>
    </w:p>
    <w:p w14:paraId="21031280"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First decision: </w:t>
      </w:r>
      <w:r w:rsidRPr="00C66771">
        <w:rPr>
          <w:rFonts w:ascii="Book Antiqua" w:eastAsia="Book Antiqua" w:hAnsi="Book Antiqua" w:cs="Book Antiqua"/>
          <w:color w:val="000000"/>
        </w:rPr>
        <w:t>April 8, 2022</w:t>
      </w:r>
    </w:p>
    <w:p w14:paraId="0DE984EE" w14:textId="4A1F66F1"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Article in press: </w:t>
      </w:r>
      <w:r w:rsidR="00AF66CE" w:rsidRPr="00C66771">
        <w:rPr>
          <w:rFonts w:ascii="Book Antiqua" w:eastAsia="Book Antiqua" w:hAnsi="Book Antiqua" w:cs="Book Antiqua"/>
          <w:color w:val="000000"/>
        </w:rPr>
        <w:t>June 27, 2022</w:t>
      </w:r>
    </w:p>
    <w:p w14:paraId="529D5C6D" w14:textId="77777777" w:rsidR="00B63A21" w:rsidRPr="00C66771" w:rsidRDefault="00B63A21">
      <w:pPr>
        <w:adjustRightInd w:val="0"/>
        <w:snapToGrid w:val="0"/>
        <w:spacing w:line="360" w:lineRule="auto"/>
        <w:jc w:val="both"/>
        <w:rPr>
          <w:rFonts w:ascii="Book Antiqua" w:hAnsi="Book Antiqua"/>
        </w:rPr>
      </w:pPr>
    </w:p>
    <w:p w14:paraId="79EFA3C0"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Specialty type: </w:t>
      </w:r>
      <w:r w:rsidRPr="00C66771">
        <w:rPr>
          <w:rFonts w:ascii="Book Antiqua" w:eastAsia="Book Antiqua" w:hAnsi="Book Antiqua" w:cs="Book Antiqua"/>
          <w:color w:val="000000"/>
        </w:rPr>
        <w:t>Hematology</w:t>
      </w:r>
    </w:p>
    <w:p w14:paraId="7969FB00"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 xml:space="preserve">Country/Territory of origin: </w:t>
      </w:r>
      <w:r w:rsidRPr="00C66771">
        <w:rPr>
          <w:rFonts w:ascii="Book Antiqua" w:eastAsia="Book Antiqua" w:hAnsi="Book Antiqua" w:cs="Book Antiqua"/>
          <w:color w:val="000000"/>
        </w:rPr>
        <w:t>China</w:t>
      </w:r>
    </w:p>
    <w:p w14:paraId="71CF31BF"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b/>
          <w:color w:val="000000"/>
        </w:rPr>
        <w:t>Peer-review report’s scientific quality classification</w:t>
      </w:r>
    </w:p>
    <w:p w14:paraId="34B46B3E"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Grade A (Excellent): 0</w:t>
      </w:r>
    </w:p>
    <w:p w14:paraId="0882F0EF"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Grade B (Very good): B</w:t>
      </w:r>
    </w:p>
    <w:p w14:paraId="2261B846"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Grade C (Good): 0</w:t>
      </w:r>
    </w:p>
    <w:p w14:paraId="19E718CB"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Grade D (Fair): 0</w:t>
      </w:r>
    </w:p>
    <w:p w14:paraId="51AEE289" w14:textId="77777777" w:rsidR="00B63A21" w:rsidRPr="00C66771" w:rsidRDefault="00000000">
      <w:pPr>
        <w:adjustRightInd w:val="0"/>
        <w:snapToGrid w:val="0"/>
        <w:spacing w:line="360" w:lineRule="auto"/>
        <w:jc w:val="both"/>
        <w:rPr>
          <w:rFonts w:ascii="Book Antiqua" w:hAnsi="Book Antiqua"/>
        </w:rPr>
      </w:pPr>
      <w:r w:rsidRPr="00C66771">
        <w:rPr>
          <w:rFonts w:ascii="Book Antiqua" w:eastAsia="Book Antiqua" w:hAnsi="Book Antiqua" w:cs="Book Antiqua"/>
          <w:color w:val="000000"/>
        </w:rPr>
        <w:t>Grade E (Poor): 0</w:t>
      </w:r>
    </w:p>
    <w:p w14:paraId="3D3583DA" w14:textId="77777777" w:rsidR="00B63A21" w:rsidRPr="00C66771" w:rsidRDefault="00B63A21">
      <w:pPr>
        <w:adjustRightInd w:val="0"/>
        <w:snapToGrid w:val="0"/>
        <w:spacing w:line="360" w:lineRule="auto"/>
        <w:jc w:val="both"/>
        <w:rPr>
          <w:rFonts w:ascii="Book Antiqua" w:hAnsi="Book Antiqua"/>
        </w:rPr>
      </w:pPr>
    </w:p>
    <w:p w14:paraId="4910131E" w14:textId="4A78C8F6" w:rsidR="00B63A21" w:rsidRPr="00C66771" w:rsidRDefault="00000000">
      <w:pPr>
        <w:adjustRightInd w:val="0"/>
        <w:snapToGrid w:val="0"/>
        <w:spacing w:line="360" w:lineRule="auto"/>
        <w:jc w:val="both"/>
        <w:rPr>
          <w:rFonts w:ascii="Book Antiqua" w:eastAsia="Book Antiqua" w:hAnsi="Book Antiqua" w:cs="Book Antiqua"/>
          <w:color w:val="000000"/>
        </w:rPr>
      </w:pPr>
      <w:r w:rsidRPr="00C66771">
        <w:rPr>
          <w:rFonts w:ascii="Book Antiqua" w:eastAsia="Book Antiqua" w:hAnsi="Book Antiqua" w:cs="Book Antiqua"/>
          <w:b/>
          <w:color w:val="000000"/>
        </w:rPr>
        <w:t xml:space="preserve">P-Reviewer: </w:t>
      </w:r>
      <w:r w:rsidRPr="00C66771">
        <w:rPr>
          <w:rFonts w:ascii="Book Antiqua" w:eastAsia="Book Antiqua" w:hAnsi="Book Antiqua" w:cs="Book Antiqua"/>
          <w:color w:val="000000"/>
        </w:rPr>
        <w:t>Silva LD, Brazil</w:t>
      </w:r>
      <w:r w:rsidRPr="00C66771">
        <w:rPr>
          <w:rFonts w:ascii="Book Antiqua" w:eastAsia="Book Antiqua" w:hAnsi="Book Antiqua" w:cs="Book Antiqua"/>
          <w:b/>
          <w:color w:val="000000"/>
        </w:rPr>
        <w:t xml:space="preserve"> S-Editor: </w:t>
      </w:r>
      <w:r w:rsidRPr="00C66771">
        <w:rPr>
          <w:rFonts w:ascii="Book Antiqua" w:eastAsia="Book Antiqua" w:hAnsi="Book Antiqua" w:cs="Book Antiqua"/>
          <w:color w:val="000000"/>
        </w:rPr>
        <w:t>Wang JL</w:t>
      </w:r>
      <w:r w:rsidRPr="00C66771">
        <w:rPr>
          <w:rFonts w:ascii="Book Antiqua" w:eastAsia="Book Antiqua" w:hAnsi="Book Antiqua" w:cs="Book Antiqua"/>
          <w:b/>
          <w:color w:val="000000"/>
        </w:rPr>
        <w:t xml:space="preserve"> L-Editor: </w:t>
      </w:r>
      <w:r w:rsidRPr="00C66771">
        <w:rPr>
          <w:rFonts w:ascii="Book Antiqua" w:eastAsia="Book Antiqua" w:hAnsi="Book Antiqua" w:cs="Book Antiqua"/>
          <w:bCs/>
          <w:color w:val="000000"/>
        </w:rPr>
        <w:t>Kerr C</w:t>
      </w:r>
      <w:r w:rsidRPr="00C66771">
        <w:rPr>
          <w:rFonts w:ascii="Book Antiqua" w:eastAsia="Book Antiqua" w:hAnsi="Book Antiqua" w:cs="Book Antiqua"/>
          <w:b/>
          <w:color w:val="000000"/>
        </w:rPr>
        <w:t xml:space="preserve"> P-Editor: </w:t>
      </w:r>
      <w:r w:rsidRPr="00C66771">
        <w:rPr>
          <w:rFonts w:ascii="Book Antiqua" w:eastAsia="Book Antiqua" w:hAnsi="Book Antiqua" w:cs="Book Antiqua"/>
          <w:color w:val="000000"/>
        </w:rPr>
        <w:t>Wang JL</w:t>
      </w:r>
    </w:p>
    <w:p w14:paraId="08BA4656" w14:textId="77777777" w:rsidR="00B63A21" w:rsidRPr="00C66771" w:rsidRDefault="00B63A21">
      <w:pPr>
        <w:adjustRightInd w:val="0"/>
        <w:snapToGrid w:val="0"/>
        <w:spacing w:line="360" w:lineRule="auto"/>
        <w:jc w:val="both"/>
        <w:rPr>
          <w:rFonts w:ascii="Book Antiqua" w:eastAsia="Book Antiqua" w:hAnsi="Book Antiqua" w:cs="Book Antiqua"/>
          <w:color w:val="000000"/>
        </w:rPr>
      </w:pPr>
    </w:p>
    <w:p w14:paraId="6D28FBF3" w14:textId="77777777" w:rsidR="00B63A21" w:rsidRPr="00C66771" w:rsidRDefault="00000000">
      <w:pPr>
        <w:adjustRightInd w:val="0"/>
        <w:snapToGrid w:val="0"/>
        <w:spacing w:line="360" w:lineRule="auto"/>
        <w:jc w:val="both"/>
        <w:rPr>
          <w:rFonts w:ascii="Book Antiqua" w:eastAsia="Book Antiqua" w:hAnsi="Book Antiqua" w:cs="Book Antiqua"/>
          <w:b/>
          <w:bCs/>
          <w:color w:val="000000"/>
        </w:rPr>
      </w:pPr>
      <w:r w:rsidRPr="00C66771">
        <w:rPr>
          <w:rFonts w:ascii="Book Antiqua" w:eastAsia="Book Antiqua" w:hAnsi="Book Antiqua" w:cs="Book Antiqua"/>
          <w:color w:val="000000"/>
        </w:rPr>
        <w:br w:type="page"/>
      </w:r>
      <w:r w:rsidRPr="00C66771">
        <w:rPr>
          <w:rFonts w:ascii="Book Antiqua" w:eastAsia="Book Antiqua" w:hAnsi="Book Antiqua" w:cs="Book Antiqua"/>
          <w:b/>
          <w:bCs/>
          <w:color w:val="000000"/>
        </w:rPr>
        <w:lastRenderedPageBreak/>
        <w:t>Figure Legends</w:t>
      </w:r>
    </w:p>
    <w:p w14:paraId="585687A5" w14:textId="77777777" w:rsidR="00B63A21" w:rsidRPr="00C66771" w:rsidRDefault="00B63A21">
      <w:pPr>
        <w:adjustRightInd w:val="0"/>
        <w:snapToGrid w:val="0"/>
        <w:spacing w:line="360" w:lineRule="auto"/>
        <w:jc w:val="both"/>
        <w:rPr>
          <w:rFonts w:ascii="Book Antiqua" w:eastAsia="Book Antiqua" w:hAnsi="Book Antiqua" w:cs="Book Antiqua"/>
          <w:b/>
          <w:bCs/>
          <w:color w:val="000000"/>
        </w:rPr>
      </w:pPr>
    </w:p>
    <w:p w14:paraId="0A9EB437" w14:textId="76D5061D" w:rsidR="00B63A21" w:rsidRPr="00C66771" w:rsidRDefault="00843977">
      <w:pPr>
        <w:adjustRightInd w:val="0"/>
        <w:snapToGrid w:val="0"/>
        <w:spacing w:line="360" w:lineRule="auto"/>
        <w:jc w:val="both"/>
        <w:rPr>
          <w:rFonts w:ascii="Book Antiqua" w:hAnsi="Book Antiqua"/>
          <w:b/>
          <w:bCs/>
        </w:rPr>
      </w:pPr>
      <w:r>
        <w:rPr>
          <w:noProof/>
        </w:rPr>
        <w:drawing>
          <wp:inline distT="0" distB="0" distL="0" distR="0" wp14:anchorId="1E9FFFA5" wp14:editId="0BCA9C26">
            <wp:extent cx="4838065" cy="560324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8065" cy="5603240"/>
                    </a:xfrm>
                    <a:prstGeom prst="rect">
                      <a:avLst/>
                    </a:prstGeom>
                    <a:noFill/>
                    <a:ln>
                      <a:noFill/>
                    </a:ln>
                  </pic:spPr>
                </pic:pic>
              </a:graphicData>
            </a:graphic>
          </wp:inline>
        </w:drawing>
      </w:r>
    </w:p>
    <w:p w14:paraId="05744B58" w14:textId="2D7084DB" w:rsidR="00B63A21" w:rsidRPr="00C66771" w:rsidRDefault="00000000">
      <w:pPr>
        <w:adjustRightInd w:val="0"/>
        <w:snapToGrid w:val="0"/>
        <w:spacing w:line="360" w:lineRule="auto"/>
        <w:jc w:val="both"/>
        <w:rPr>
          <w:rFonts w:ascii="Book Antiqua" w:hAnsi="Book Antiqua"/>
        </w:rPr>
      </w:pPr>
      <w:r w:rsidRPr="00C66771">
        <w:rPr>
          <w:rFonts w:ascii="Book Antiqua" w:hAnsi="Book Antiqua"/>
          <w:b/>
          <w:bCs/>
        </w:rPr>
        <w:t>Figure 1 Bone marrow biopsy result.</w:t>
      </w:r>
      <w:r w:rsidRPr="00C66771">
        <w:rPr>
          <w:rFonts w:ascii="Book Antiqua" w:hAnsi="Book Antiqua"/>
        </w:rPr>
        <w:t xml:space="preserve"> A: CD34 (</w:t>
      </w:r>
      <w:r w:rsidRPr="00C66771">
        <w:rPr>
          <w:rFonts w:ascii="Book Antiqua" w:hAnsi="Book Antiqua"/>
        </w:rPr>
        <w:sym w:font="Symbol" w:char="F02D"/>
      </w:r>
      <w:r w:rsidRPr="00C66771">
        <w:rPr>
          <w:rFonts w:ascii="Book Antiqua" w:hAnsi="Book Antiqua"/>
        </w:rPr>
        <w:t>); B: CD117 (minority +); C: myeloperoxidase (partial +); D: Reticular fiber (</w:t>
      </w:r>
      <w:r w:rsidRPr="00C66771">
        <w:rPr>
          <w:rFonts w:ascii="Book Antiqua" w:hAnsi="Book Antiqua"/>
        </w:rPr>
        <w:sym w:font="Symbol" w:char="F02D"/>
      </w:r>
      <w:r w:rsidRPr="00C66771">
        <w:rPr>
          <w:rFonts w:ascii="Book Antiqua" w:hAnsi="Book Antiqua"/>
        </w:rPr>
        <w:t xml:space="preserve">); E: </w:t>
      </w:r>
      <w:proofErr w:type="spellStart"/>
      <w:r w:rsidRPr="00C66771">
        <w:rPr>
          <w:rFonts w:ascii="Book Antiqua" w:hAnsi="Book Antiqua"/>
        </w:rPr>
        <w:t>Perls</w:t>
      </w:r>
      <w:proofErr w:type="spellEnd"/>
      <w:r w:rsidRPr="00C66771">
        <w:rPr>
          <w:rFonts w:ascii="Book Antiqua" w:hAnsi="Book Antiqua"/>
        </w:rPr>
        <w:t xml:space="preserve"> (</w:t>
      </w:r>
      <w:r w:rsidRPr="00C66771">
        <w:rPr>
          <w:rFonts w:ascii="Book Antiqua" w:hAnsi="Book Antiqua"/>
        </w:rPr>
        <w:sym w:font="Symbol" w:char="F02D"/>
      </w:r>
      <w:r w:rsidRPr="00C66771">
        <w:rPr>
          <w:rFonts w:ascii="Book Antiqua" w:hAnsi="Book Antiqua"/>
        </w:rPr>
        <w:t>); F: Eber (</w:t>
      </w:r>
      <w:r w:rsidRPr="00C66771">
        <w:rPr>
          <w:rFonts w:ascii="Book Antiqua" w:hAnsi="Book Antiqua"/>
        </w:rPr>
        <w:sym w:font="Symbol" w:char="F02D"/>
      </w:r>
      <w:r w:rsidRPr="00C66771">
        <w:rPr>
          <w:rFonts w:ascii="Book Antiqua" w:hAnsi="Book Antiqua"/>
        </w:rPr>
        <w:t>).</w:t>
      </w:r>
    </w:p>
    <w:p w14:paraId="597B2CA2" w14:textId="77777777" w:rsidR="00B63A21" w:rsidRPr="00C66771" w:rsidRDefault="00B63A21">
      <w:pPr>
        <w:adjustRightInd w:val="0"/>
        <w:snapToGrid w:val="0"/>
        <w:spacing w:line="360" w:lineRule="auto"/>
        <w:jc w:val="both"/>
        <w:rPr>
          <w:rFonts w:ascii="Book Antiqua" w:hAnsi="Book Antiqua"/>
        </w:rPr>
      </w:pPr>
    </w:p>
    <w:p w14:paraId="656C2F7F" w14:textId="60A177E2" w:rsidR="00B63A21" w:rsidRPr="00C66771" w:rsidRDefault="00843977">
      <w:pPr>
        <w:adjustRightInd w:val="0"/>
        <w:snapToGrid w:val="0"/>
        <w:spacing w:line="360" w:lineRule="auto"/>
        <w:jc w:val="both"/>
        <w:rPr>
          <w:rFonts w:ascii="Book Antiqua" w:hAnsi="Book Antiqua"/>
          <w:b/>
          <w:bCs/>
        </w:rPr>
      </w:pPr>
      <w:r>
        <w:rPr>
          <w:noProof/>
        </w:rPr>
        <w:lastRenderedPageBreak/>
        <w:drawing>
          <wp:inline distT="0" distB="0" distL="0" distR="0" wp14:anchorId="491231D9" wp14:editId="58FC42F4">
            <wp:extent cx="4838065" cy="560324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065" cy="5603240"/>
                    </a:xfrm>
                    <a:prstGeom prst="rect">
                      <a:avLst/>
                    </a:prstGeom>
                    <a:noFill/>
                    <a:ln>
                      <a:noFill/>
                    </a:ln>
                  </pic:spPr>
                </pic:pic>
              </a:graphicData>
            </a:graphic>
          </wp:inline>
        </w:drawing>
      </w:r>
    </w:p>
    <w:p w14:paraId="02670384" w14:textId="6DA4D374" w:rsidR="00B63A21" w:rsidRPr="00C66771" w:rsidRDefault="00000000">
      <w:pPr>
        <w:adjustRightInd w:val="0"/>
        <w:snapToGrid w:val="0"/>
        <w:spacing w:line="360" w:lineRule="auto"/>
        <w:jc w:val="both"/>
        <w:rPr>
          <w:rFonts w:ascii="Book Antiqua" w:hAnsi="Book Antiqua"/>
        </w:rPr>
      </w:pPr>
      <w:r w:rsidRPr="00C66771">
        <w:rPr>
          <w:rFonts w:ascii="Book Antiqua" w:hAnsi="Book Antiqua"/>
          <w:b/>
          <w:bCs/>
        </w:rPr>
        <w:t>Figure 2 Morphological observation of bone marrow cells (100×).</w:t>
      </w:r>
      <w:r w:rsidRPr="00C66771">
        <w:rPr>
          <w:rFonts w:ascii="Book Antiqua" w:hAnsi="Book Antiqua"/>
        </w:rPr>
        <w:t xml:space="preserve"> A, B: Before immunosuppressive therapy; C, D: After immunosuppressive therapy for 6 </w:t>
      </w:r>
      <w:proofErr w:type="spellStart"/>
      <w:r w:rsidRPr="00C66771">
        <w:rPr>
          <w:rFonts w:ascii="Book Antiqua" w:hAnsi="Book Antiqua"/>
        </w:rPr>
        <w:t>mo</w:t>
      </w:r>
      <w:proofErr w:type="spellEnd"/>
      <w:r w:rsidRPr="00C66771">
        <w:rPr>
          <w:rFonts w:ascii="Book Antiqua" w:hAnsi="Book Antiqua"/>
        </w:rPr>
        <w:t>; E, F: After immunosuppressive therapy for 12 mo.</w:t>
      </w:r>
    </w:p>
    <w:p w14:paraId="44FE9367" w14:textId="77777777" w:rsidR="00B63A21" w:rsidRPr="00C66771" w:rsidRDefault="00B63A21">
      <w:pPr>
        <w:adjustRightInd w:val="0"/>
        <w:snapToGrid w:val="0"/>
        <w:spacing w:line="360" w:lineRule="auto"/>
        <w:jc w:val="both"/>
        <w:rPr>
          <w:rFonts w:ascii="Book Antiqua" w:hAnsi="Book Antiqua"/>
        </w:rPr>
      </w:pPr>
    </w:p>
    <w:p w14:paraId="7569B5F3" w14:textId="3FCD515B" w:rsidR="00B63A21" w:rsidRPr="00C66771" w:rsidRDefault="00843977">
      <w:pPr>
        <w:adjustRightInd w:val="0"/>
        <w:snapToGrid w:val="0"/>
        <w:spacing w:line="360" w:lineRule="auto"/>
        <w:jc w:val="both"/>
        <w:rPr>
          <w:rFonts w:ascii="Book Antiqua" w:hAnsi="Book Antiqua"/>
          <w:b/>
          <w:bCs/>
        </w:rPr>
      </w:pPr>
      <w:r>
        <w:rPr>
          <w:noProof/>
        </w:rPr>
        <w:lastRenderedPageBreak/>
        <w:drawing>
          <wp:inline distT="0" distB="0" distL="0" distR="0" wp14:anchorId="282590A2" wp14:editId="7071260A">
            <wp:extent cx="5241925" cy="4603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1925" cy="4603750"/>
                    </a:xfrm>
                    <a:prstGeom prst="rect">
                      <a:avLst/>
                    </a:prstGeom>
                    <a:noFill/>
                    <a:ln>
                      <a:noFill/>
                    </a:ln>
                  </pic:spPr>
                </pic:pic>
              </a:graphicData>
            </a:graphic>
          </wp:inline>
        </w:drawing>
      </w:r>
    </w:p>
    <w:p w14:paraId="737632D2" w14:textId="3D34B20F" w:rsidR="00C66771" w:rsidRPr="00C66771" w:rsidRDefault="00000000">
      <w:pPr>
        <w:adjustRightInd w:val="0"/>
        <w:snapToGrid w:val="0"/>
        <w:spacing w:line="360" w:lineRule="auto"/>
        <w:jc w:val="both"/>
        <w:rPr>
          <w:rFonts w:ascii="Book Antiqua" w:hAnsi="Book Antiqua"/>
        </w:rPr>
      </w:pPr>
      <w:r w:rsidRPr="00C66771">
        <w:rPr>
          <w:rFonts w:ascii="Book Antiqua" w:hAnsi="Book Antiqua"/>
          <w:b/>
          <w:bCs/>
        </w:rPr>
        <w:t xml:space="preserve">Figure 3 Changes in complete blood count as treatment progressed. </w:t>
      </w:r>
      <w:r w:rsidRPr="00C66771">
        <w:rPr>
          <w:rFonts w:ascii="Book Antiqua" w:hAnsi="Book Antiqua"/>
        </w:rPr>
        <w:t xml:space="preserve">A: </w:t>
      </w:r>
      <w:r w:rsidRPr="00C66771">
        <w:rPr>
          <w:rFonts w:ascii="Book Antiqua" w:eastAsia="Book Antiqua" w:hAnsi="Book Antiqua" w:cs="Book Antiqua"/>
          <w:color w:val="000000"/>
        </w:rPr>
        <w:t xml:space="preserve">White blood cell (WBC) </w:t>
      </w:r>
      <w:r w:rsidRPr="00C66771">
        <w:rPr>
          <w:rFonts w:ascii="Book Antiqua" w:hAnsi="Book Antiqua"/>
        </w:rPr>
        <w:t xml:space="preserve">and </w:t>
      </w:r>
      <w:r w:rsidRPr="00C66771">
        <w:rPr>
          <w:rFonts w:ascii="Book Antiqua" w:eastAsia="Book Antiqua" w:hAnsi="Book Antiqua" w:cs="Book Antiqua"/>
          <w:color w:val="000000"/>
        </w:rPr>
        <w:t>absolute neutrophil count (ANC)</w:t>
      </w:r>
      <w:r w:rsidRPr="00C66771">
        <w:rPr>
          <w:rFonts w:ascii="Book Antiqua" w:hAnsi="Book Antiqua"/>
        </w:rPr>
        <w:t xml:space="preserve">; B: </w:t>
      </w:r>
      <w:r w:rsidRPr="00C66771">
        <w:rPr>
          <w:rFonts w:ascii="Book Antiqua" w:eastAsia="Book Antiqua" w:hAnsi="Book Antiqua" w:cs="Book Antiqua"/>
          <w:color w:val="000000"/>
        </w:rPr>
        <w:t>Hemoglobin (Hb)</w:t>
      </w:r>
      <w:r w:rsidRPr="00C66771">
        <w:rPr>
          <w:rFonts w:ascii="Book Antiqua" w:hAnsi="Book Antiqua"/>
        </w:rPr>
        <w:t xml:space="preserve">; C: </w:t>
      </w:r>
      <w:r w:rsidRPr="00C66771">
        <w:rPr>
          <w:rFonts w:ascii="Book Antiqua" w:eastAsia="Book Antiqua" w:hAnsi="Book Antiqua" w:cs="Book Antiqua"/>
          <w:color w:val="000000"/>
        </w:rPr>
        <w:t>Platelets (PLT)</w:t>
      </w:r>
      <w:r w:rsidRPr="00C66771">
        <w:rPr>
          <w:rFonts w:ascii="Book Antiqua" w:hAnsi="Book Antiqua"/>
        </w:rPr>
        <w:t xml:space="preserve">. </w:t>
      </w:r>
    </w:p>
    <w:p w14:paraId="299FC29E" w14:textId="77777777" w:rsidR="00C66771" w:rsidRPr="00C66771" w:rsidRDefault="00C66771">
      <w:pPr>
        <w:rPr>
          <w:rFonts w:ascii="Book Antiqua" w:hAnsi="Book Antiqua"/>
        </w:rPr>
      </w:pPr>
      <w:r w:rsidRPr="00C66771">
        <w:rPr>
          <w:rFonts w:ascii="Book Antiqua" w:hAnsi="Book Antiqua"/>
        </w:rPr>
        <w:br w:type="page"/>
      </w:r>
    </w:p>
    <w:p w14:paraId="70F9E0B7" w14:textId="77777777" w:rsidR="00C66771" w:rsidRPr="00C66771" w:rsidRDefault="00C66771" w:rsidP="00C66771">
      <w:pPr>
        <w:ind w:leftChars="100" w:left="240"/>
        <w:jc w:val="center"/>
        <w:rPr>
          <w:rFonts w:ascii="Book Antiqua" w:hAnsi="Book Antiqua"/>
          <w:lang w:val="pt-BR" w:eastAsia="zh-CN"/>
        </w:rPr>
      </w:pPr>
      <w:bookmarkStart w:id="7" w:name="_Hlk88512952"/>
    </w:p>
    <w:p w14:paraId="3D2ECAF6" w14:textId="77777777" w:rsidR="00C66771" w:rsidRPr="00C66771" w:rsidRDefault="00C66771" w:rsidP="00C66771">
      <w:pPr>
        <w:ind w:leftChars="100" w:left="240"/>
        <w:jc w:val="center"/>
        <w:rPr>
          <w:rFonts w:ascii="Book Antiqua" w:hAnsi="Book Antiqua"/>
          <w:lang w:val="pt-BR" w:eastAsia="zh-CN"/>
        </w:rPr>
      </w:pPr>
    </w:p>
    <w:p w14:paraId="472D0A38" w14:textId="77777777" w:rsidR="00C66771" w:rsidRPr="00C66771" w:rsidRDefault="00C66771" w:rsidP="00C66771">
      <w:pPr>
        <w:ind w:leftChars="100" w:left="240"/>
        <w:jc w:val="center"/>
        <w:rPr>
          <w:rFonts w:ascii="Book Antiqua" w:hAnsi="Book Antiqua"/>
          <w:lang w:val="pt-BR" w:eastAsia="zh-CN"/>
        </w:rPr>
      </w:pPr>
    </w:p>
    <w:p w14:paraId="25EDF1CB" w14:textId="77777777" w:rsidR="00C66771" w:rsidRPr="00C66771" w:rsidRDefault="00C66771" w:rsidP="00C66771">
      <w:pPr>
        <w:ind w:leftChars="100" w:left="240"/>
        <w:jc w:val="center"/>
        <w:rPr>
          <w:rFonts w:ascii="Book Antiqua" w:hAnsi="Book Antiqua"/>
          <w:lang w:val="pt-BR" w:eastAsia="zh-CN"/>
        </w:rPr>
      </w:pPr>
    </w:p>
    <w:p w14:paraId="3461BE5B" w14:textId="77777777" w:rsidR="00C66771" w:rsidRPr="00C66771" w:rsidRDefault="00C66771" w:rsidP="00C66771">
      <w:pPr>
        <w:ind w:leftChars="100" w:left="240"/>
        <w:jc w:val="center"/>
        <w:rPr>
          <w:rFonts w:ascii="Book Antiqua" w:hAnsi="Book Antiqua"/>
          <w:lang w:eastAsia="zh-CN"/>
        </w:rPr>
      </w:pPr>
      <w:r w:rsidRPr="00C66771">
        <w:rPr>
          <w:rFonts w:ascii="Book Antiqua" w:hAnsi="Book Antiqua"/>
          <w:noProof/>
          <w:lang w:eastAsia="zh-CN"/>
        </w:rPr>
        <w:drawing>
          <wp:inline distT="0" distB="0" distL="0" distR="0" wp14:anchorId="0644AE2C" wp14:editId="13DA722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D07916" w14:textId="77777777" w:rsidR="00C66771" w:rsidRPr="00C66771" w:rsidRDefault="00C66771" w:rsidP="00C66771">
      <w:pPr>
        <w:ind w:leftChars="100" w:left="240"/>
        <w:jc w:val="center"/>
        <w:rPr>
          <w:rFonts w:ascii="Book Antiqua" w:hAnsi="Book Antiqua"/>
          <w:lang w:eastAsia="zh-CN"/>
        </w:rPr>
      </w:pPr>
    </w:p>
    <w:p w14:paraId="6CC1F42A" w14:textId="77777777" w:rsidR="00C66771" w:rsidRPr="00C66771" w:rsidRDefault="00C66771" w:rsidP="00C66771">
      <w:pPr>
        <w:autoSpaceDE w:val="0"/>
        <w:autoSpaceDN w:val="0"/>
        <w:adjustRightInd w:val="0"/>
        <w:ind w:leftChars="100" w:left="240"/>
        <w:jc w:val="center"/>
        <w:rPr>
          <w:rFonts w:ascii="Book Antiqua" w:eastAsia="Garamond-Bold" w:hAnsi="Book Antiqua" w:cs="Garamond-Bold"/>
          <w:b/>
          <w:bCs/>
          <w:color w:val="000000"/>
          <w:sz w:val="28"/>
          <w:szCs w:val="28"/>
        </w:rPr>
      </w:pPr>
      <w:r w:rsidRPr="00C66771">
        <w:rPr>
          <w:rFonts w:ascii="Book Antiqua" w:eastAsia="TimesNewRomanPSMT" w:hAnsi="Book Antiqua" w:cs="TimesNewRomanPSMT"/>
          <w:color w:val="000000"/>
          <w:sz w:val="28"/>
          <w:szCs w:val="28"/>
        </w:rPr>
        <w:t xml:space="preserve">Published by </w:t>
      </w:r>
      <w:proofErr w:type="spellStart"/>
      <w:r w:rsidRPr="00C66771">
        <w:rPr>
          <w:rFonts w:ascii="Book Antiqua" w:eastAsia="Garamond-Bold" w:hAnsi="Book Antiqua" w:cs="Garamond-Bold"/>
          <w:b/>
          <w:bCs/>
          <w:color w:val="000000"/>
          <w:sz w:val="28"/>
          <w:szCs w:val="28"/>
        </w:rPr>
        <w:t>Baishideng</w:t>
      </w:r>
      <w:proofErr w:type="spellEnd"/>
      <w:r w:rsidRPr="00C66771">
        <w:rPr>
          <w:rFonts w:ascii="Book Antiqua" w:eastAsia="Garamond-Bold" w:hAnsi="Book Antiqua" w:cs="Garamond-Bold"/>
          <w:b/>
          <w:bCs/>
          <w:color w:val="000000"/>
          <w:sz w:val="28"/>
          <w:szCs w:val="28"/>
        </w:rPr>
        <w:t xml:space="preserve"> Publishing Group Inc</w:t>
      </w:r>
    </w:p>
    <w:p w14:paraId="67C0F1C8" w14:textId="77777777" w:rsidR="00C66771" w:rsidRPr="00C66771" w:rsidRDefault="00C66771" w:rsidP="00C66771">
      <w:pPr>
        <w:autoSpaceDE w:val="0"/>
        <w:autoSpaceDN w:val="0"/>
        <w:adjustRightInd w:val="0"/>
        <w:ind w:leftChars="100" w:left="240"/>
        <w:jc w:val="center"/>
        <w:rPr>
          <w:rFonts w:ascii="Book Antiqua" w:eastAsia="TimesNewRomanPSMT" w:hAnsi="Book Antiqua" w:cs="Garamond"/>
          <w:color w:val="000000"/>
          <w:sz w:val="28"/>
          <w:szCs w:val="28"/>
        </w:rPr>
      </w:pPr>
      <w:r w:rsidRPr="00C66771">
        <w:rPr>
          <w:rFonts w:ascii="Book Antiqua" w:eastAsia="TimesNewRomanPSMT" w:hAnsi="Book Antiqua" w:cs="Garamond"/>
          <w:color w:val="000000"/>
          <w:sz w:val="28"/>
          <w:szCs w:val="28"/>
        </w:rPr>
        <w:t>7041 Koll Center Parkway, Suite 160, Pleasanton, CA 94566, USA</w:t>
      </w:r>
    </w:p>
    <w:p w14:paraId="70086FAD" w14:textId="77777777" w:rsidR="00C66771" w:rsidRPr="00C66771" w:rsidRDefault="00C66771" w:rsidP="00C66771">
      <w:pPr>
        <w:autoSpaceDE w:val="0"/>
        <w:autoSpaceDN w:val="0"/>
        <w:adjustRightInd w:val="0"/>
        <w:ind w:leftChars="100" w:left="240"/>
        <w:jc w:val="center"/>
        <w:rPr>
          <w:rFonts w:ascii="Book Antiqua" w:eastAsia="TimesNewRomanPSMT" w:hAnsi="Book Antiqua" w:cs="Garamond"/>
          <w:color w:val="000000"/>
          <w:sz w:val="28"/>
          <w:szCs w:val="28"/>
        </w:rPr>
      </w:pPr>
      <w:r w:rsidRPr="00C66771">
        <w:rPr>
          <w:rFonts w:ascii="Book Antiqua" w:eastAsia="Garamond-Bold" w:hAnsi="Book Antiqua" w:cs="Garamond-Bold"/>
          <w:b/>
          <w:bCs/>
          <w:color w:val="000000"/>
          <w:sz w:val="28"/>
          <w:szCs w:val="28"/>
        </w:rPr>
        <w:t xml:space="preserve">Telephone: </w:t>
      </w:r>
      <w:r w:rsidRPr="00C66771">
        <w:rPr>
          <w:rFonts w:ascii="Book Antiqua" w:eastAsia="TimesNewRomanPSMT" w:hAnsi="Book Antiqua" w:cs="Garamond"/>
          <w:color w:val="000000"/>
          <w:sz w:val="28"/>
          <w:szCs w:val="28"/>
        </w:rPr>
        <w:t>+1-925-3991568</w:t>
      </w:r>
    </w:p>
    <w:p w14:paraId="0EB140E1" w14:textId="77777777" w:rsidR="00C66771" w:rsidRPr="00C66771" w:rsidRDefault="00C66771" w:rsidP="00C66771">
      <w:pPr>
        <w:autoSpaceDE w:val="0"/>
        <w:autoSpaceDN w:val="0"/>
        <w:adjustRightInd w:val="0"/>
        <w:ind w:leftChars="100" w:left="240"/>
        <w:jc w:val="center"/>
        <w:rPr>
          <w:rFonts w:ascii="Book Antiqua" w:eastAsia="TimesNewRomanPSMT" w:hAnsi="Book Antiqua" w:cs="Garamond"/>
          <w:color w:val="D56400"/>
          <w:sz w:val="28"/>
          <w:szCs w:val="28"/>
        </w:rPr>
      </w:pPr>
      <w:r w:rsidRPr="00C66771">
        <w:rPr>
          <w:rFonts w:ascii="Book Antiqua" w:eastAsia="Garamond-Bold" w:hAnsi="Book Antiqua" w:cs="Garamond-Bold"/>
          <w:b/>
          <w:bCs/>
          <w:color w:val="000000"/>
          <w:sz w:val="28"/>
          <w:szCs w:val="28"/>
        </w:rPr>
        <w:t xml:space="preserve">E-mail: </w:t>
      </w:r>
      <w:r w:rsidRPr="00C66771">
        <w:rPr>
          <w:rFonts w:ascii="Book Antiqua" w:eastAsia="TimesNewRomanPSMT" w:hAnsi="Book Antiqua" w:cs="Garamond"/>
          <w:color w:val="D56400"/>
          <w:sz w:val="28"/>
          <w:szCs w:val="28"/>
        </w:rPr>
        <w:t>bpgoffice@wjgnet.com</w:t>
      </w:r>
    </w:p>
    <w:p w14:paraId="4112A31F" w14:textId="77777777" w:rsidR="00C66771" w:rsidRPr="00C66771" w:rsidRDefault="00C66771" w:rsidP="00C66771">
      <w:pPr>
        <w:autoSpaceDE w:val="0"/>
        <w:autoSpaceDN w:val="0"/>
        <w:adjustRightInd w:val="0"/>
        <w:ind w:leftChars="100" w:left="240"/>
        <w:jc w:val="center"/>
        <w:rPr>
          <w:rFonts w:ascii="Book Antiqua" w:eastAsia="TimesNewRomanPSMT" w:hAnsi="Book Antiqua" w:cs="Garamond"/>
          <w:color w:val="D56400"/>
          <w:sz w:val="28"/>
          <w:szCs w:val="28"/>
        </w:rPr>
      </w:pPr>
      <w:r w:rsidRPr="00C66771">
        <w:rPr>
          <w:rFonts w:ascii="Book Antiqua" w:eastAsia="Garamond-Bold" w:hAnsi="Book Antiqua" w:cs="Garamond-Bold"/>
          <w:b/>
          <w:bCs/>
          <w:color w:val="000000"/>
          <w:sz w:val="28"/>
          <w:szCs w:val="28"/>
        </w:rPr>
        <w:t xml:space="preserve">Help Desk: </w:t>
      </w:r>
      <w:r w:rsidRPr="00C66771">
        <w:rPr>
          <w:rFonts w:ascii="Book Antiqua" w:eastAsia="TimesNewRomanPSMT" w:hAnsi="Book Antiqua" w:cs="Garamond"/>
          <w:color w:val="D56400"/>
          <w:sz w:val="28"/>
          <w:szCs w:val="28"/>
        </w:rPr>
        <w:t>https://www.f6publishing.com/helpdesk</w:t>
      </w:r>
    </w:p>
    <w:p w14:paraId="0308BCA0" w14:textId="77777777" w:rsidR="00C66771" w:rsidRPr="00C66771" w:rsidRDefault="00C66771" w:rsidP="00C66771">
      <w:pPr>
        <w:ind w:leftChars="100" w:left="240"/>
        <w:jc w:val="center"/>
        <w:rPr>
          <w:rFonts w:ascii="Book Antiqua" w:hAnsi="Book Antiqua"/>
          <w:lang w:eastAsia="zh-CN"/>
        </w:rPr>
      </w:pPr>
      <w:r w:rsidRPr="00C66771">
        <w:rPr>
          <w:rFonts w:ascii="Book Antiqua" w:eastAsia="TimesNewRomanPSMT" w:hAnsi="Book Antiqua" w:cs="Garamond"/>
          <w:color w:val="D56400"/>
          <w:sz w:val="28"/>
          <w:szCs w:val="28"/>
        </w:rPr>
        <w:t>https://www.wjgnet.com</w:t>
      </w:r>
    </w:p>
    <w:p w14:paraId="0138E9DF" w14:textId="77777777" w:rsidR="00C66771" w:rsidRPr="00C66771" w:rsidRDefault="00C66771" w:rsidP="00C66771">
      <w:pPr>
        <w:ind w:leftChars="100" w:left="240"/>
        <w:jc w:val="center"/>
        <w:rPr>
          <w:rFonts w:ascii="Book Antiqua" w:hAnsi="Book Antiqua"/>
          <w:lang w:eastAsia="zh-CN"/>
        </w:rPr>
      </w:pPr>
    </w:p>
    <w:p w14:paraId="7F70B5C6" w14:textId="77777777" w:rsidR="00C66771" w:rsidRPr="00C66771" w:rsidRDefault="00C66771" w:rsidP="00C66771">
      <w:pPr>
        <w:ind w:leftChars="100" w:left="240"/>
        <w:jc w:val="center"/>
        <w:rPr>
          <w:rFonts w:ascii="Book Antiqua" w:hAnsi="Book Antiqua"/>
          <w:lang w:eastAsia="zh-CN"/>
        </w:rPr>
      </w:pPr>
    </w:p>
    <w:p w14:paraId="21FA72BF" w14:textId="77777777" w:rsidR="00C66771" w:rsidRPr="00C66771" w:rsidRDefault="00C66771" w:rsidP="00C66771">
      <w:pPr>
        <w:ind w:leftChars="100" w:left="240"/>
        <w:jc w:val="center"/>
        <w:rPr>
          <w:rFonts w:ascii="Book Antiqua" w:hAnsi="Book Antiqua"/>
          <w:lang w:eastAsia="zh-CN"/>
        </w:rPr>
      </w:pPr>
    </w:p>
    <w:p w14:paraId="2010DFEE" w14:textId="77777777" w:rsidR="00C66771" w:rsidRPr="00C66771" w:rsidRDefault="00C66771" w:rsidP="00C66771">
      <w:pPr>
        <w:ind w:leftChars="100" w:left="240"/>
        <w:jc w:val="center"/>
        <w:rPr>
          <w:rFonts w:ascii="Book Antiqua" w:hAnsi="Book Antiqua"/>
          <w:lang w:eastAsia="zh-CN"/>
        </w:rPr>
      </w:pPr>
      <w:r w:rsidRPr="00C66771">
        <w:rPr>
          <w:rFonts w:ascii="Book Antiqua" w:hAnsi="Book Antiqua"/>
          <w:noProof/>
          <w:lang w:eastAsia="zh-CN"/>
        </w:rPr>
        <w:drawing>
          <wp:inline distT="0" distB="0" distL="0" distR="0" wp14:anchorId="3E5AF7EC" wp14:editId="42E5EED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6B7F6F" w14:textId="77777777" w:rsidR="00C66771" w:rsidRPr="00C66771" w:rsidRDefault="00C66771" w:rsidP="00C66771">
      <w:pPr>
        <w:ind w:leftChars="100" w:left="240"/>
        <w:jc w:val="center"/>
        <w:rPr>
          <w:rFonts w:ascii="Book Antiqua" w:hAnsi="Book Antiqua"/>
          <w:lang w:eastAsia="zh-CN"/>
        </w:rPr>
      </w:pPr>
    </w:p>
    <w:p w14:paraId="3104943A" w14:textId="77777777" w:rsidR="00C66771" w:rsidRPr="00C66771" w:rsidRDefault="00C66771" w:rsidP="00C66771">
      <w:pPr>
        <w:ind w:leftChars="100" w:left="240"/>
        <w:jc w:val="center"/>
        <w:rPr>
          <w:rFonts w:ascii="Book Antiqua" w:hAnsi="Book Antiqua"/>
          <w:lang w:eastAsia="zh-CN"/>
        </w:rPr>
      </w:pPr>
    </w:p>
    <w:p w14:paraId="17B732D0" w14:textId="77777777" w:rsidR="00C66771" w:rsidRPr="00C66771" w:rsidRDefault="00C66771" w:rsidP="00C66771">
      <w:pPr>
        <w:ind w:leftChars="100" w:left="240"/>
        <w:jc w:val="center"/>
        <w:rPr>
          <w:rFonts w:ascii="Book Antiqua" w:hAnsi="Book Antiqua"/>
          <w:lang w:eastAsia="zh-CN"/>
        </w:rPr>
      </w:pPr>
    </w:p>
    <w:p w14:paraId="6A2522D0" w14:textId="77777777" w:rsidR="00C66771" w:rsidRPr="00C66771" w:rsidRDefault="00C66771" w:rsidP="00C66771">
      <w:pPr>
        <w:ind w:leftChars="100" w:left="240"/>
        <w:jc w:val="center"/>
        <w:rPr>
          <w:rFonts w:ascii="Book Antiqua" w:hAnsi="Book Antiqua"/>
          <w:lang w:eastAsia="zh-CN"/>
        </w:rPr>
      </w:pPr>
    </w:p>
    <w:p w14:paraId="2DB569D1" w14:textId="77777777" w:rsidR="00C66771" w:rsidRPr="00C66771" w:rsidRDefault="00C66771" w:rsidP="00C66771">
      <w:pPr>
        <w:ind w:leftChars="100" w:left="240"/>
        <w:jc w:val="center"/>
        <w:rPr>
          <w:rFonts w:ascii="Book Antiqua" w:hAnsi="Book Antiqua"/>
          <w:lang w:eastAsia="zh-CN"/>
        </w:rPr>
      </w:pPr>
    </w:p>
    <w:p w14:paraId="23A9521E" w14:textId="77777777" w:rsidR="00C66771" w:rsidRPr="00C66771" w:rsidRDefault="00C66771" w:rsidP="00C66771">
      <w:pPr>
        <w:ind w:leftChars="100" w:left="240"/>
        <w:jc w:val="center"/>
        <w:rPr>
          <w:rFonts w:ascii="Book Antiqua" w:hAnsi="Book Antiqua"/>
          <w:lang w:eastAsia="zh-CN"/>
        </w:rPr>
      </w:pPr>
    </w:p>
    <w:p w14:paraId="31BFFE8C" w14:textId="77777777" w:rsidR="00C66771" w:rsidRPr="00C66771" w:rsidRDefault="00C66771" w:rsidP="00C66771">
      <w:pPr>
        <w:ind w:leftChars="100" w:left="240"/>
        <w:jc w:val="center"/>
        <w:rPr>
          <w:rFonts w:ascii="Book Antiqua" w:hAnsi="Book Antiqua"/>
          <w:lang w:eastAsia="zh-CN"/>
        </w:rPr>
      </w:pPr>
    </w:p>
    <w:p w14:paraId="2D951CCC" w14:textId="77777777" w:rsidR="00C66771" w:rsidRPr="00C66771" w:rsidRDefault="00C66771" w:rsidP="00C66771">
      <w:pPr>
        <w:ind w:leftChars="100" w:left="240"/>
        <w:jc w:val="center"/>
        <w:rPr>
          <w:rFonts w:ascii="Book Antiqua" w:hAnsi="Book Antiqua"/>
          <w:lang w:eastAsia="zh-CN"/>
        </w:rPr>
      </w:pPr>
    </w:p>
    <w:p w14:paraId="4C7E9314" w14:textId="77777777" w:rsidR="00C66771" w:rsidRPr="00C66771" w:rsidRDefault="00C66771" w:rsidP="00C66771">
      <w:pPr>
        <w:ind w:leftChars="100" w:left="240"/>
        <w:jc w:val="center"/>
        <w:rPr>
          <w:rFonts w:ascii="Book Antiqua" w:hAnsi="Book Antiqua"/>
          <w:lang w:eastAsia="zh-CN"/>
        </w:rPr>
      </w:pPr>
    </w:p>
    <w:p w14:paraId="2EDD3F5B" w14:textId="77777777" w:rsidR="00C66771" w:rsidRPr="00C66771" w:rsidRDefault="00C66771" w:rsidP="00C66771">
      <w:pPr>
        <w:ind w:leftChars="100" w:left="240"/>
        <w:jc w:val="right"/>
        <w:rPr>
          <w:rFonts w:ascii="Book Antiqua" w:hAnsi="Book Antiqua"/>
          <w:color w:val="000000" w:themeColor="text1"/>
          <w:lang w:eastAsia="zh-CN"/>
        </w:rPr>
      </w:pPr>
    </w:p>
    <w:p w14:paraId="78D45EC5" w14:textId="77777777" w:rsidR="00C66771" w:rsidRPr="00763D22" w:rsidRDefault="00C66771" w:rsidP="00C66771">
      <w:pPr>
        <w:ind w:leftChars="100" w:left="240"/>
        <w:jc w:val="center"/>
        <w:rPr>
          <w:rFonts w:ascii="Book Antiqua" w:hAnsi="Book Antiqua"/>
          <w:color w:val="000000" w:themeColor="text1"/>
          <w:lang w:eastAsia="zh-CN"/>
        </w:rPr>
      </w:pPr>
      <w:r w:rsidRPr="00C66771">
        <w:rPr>
          <w:rFonts w:ascii="Book Antiqua" w:eastAsia="BookAntiqua-Bold" w:hAnsi="Book Antiqua" w:cs="BookAntiqua-Bold"/>
          <w:b/>
          <w:bCs/>
          <w:color w:val="000000" w:themeColor="text1"/>
        </w:rPr>
        <w:t xml:space="preserve">© 2022 </w:t>
      </w:r>
      <w:proofErr w:type="spellStart"/>
      <w:r w:rsidRPr="00C66771">
        <w:rPr>
          <w:rFonts w:ascii="Book Antiqua" w:eastAsia="BookAntiqua-Bold" w:hAnsi="Book Antiqua" w:cs="BookAntiqua-Bold"/>
          <w:b/>
          <w:bCs/>
          <w:color w:val="000000" w:themeColor="text1"/>
        </w:rPr>
        <w:t>Baishideng</w:t>
      </w:r>
      <w:proofErr w:type="spellEnd"/>
      <w:r w:rsidRPr="00C66771">
        <w:rPr>
          <w:rFonts w:ascii="Book Antiqua" w:eastAsia="BookAntiqua-Bold" w:hAnsi="Book Antiqua" w:cs="BookAntiqua-Bold"/>
          <w:b/>
          <w:bCs/>
          <w:color w:val="000000" w:themeColor="text1"/>
        </w:rPr>
        <w:t xml:space="preserve"> Publishing Group Inc. All rights reserved.</w:t>
      </w:r>
      <w:r w:rsidRPr="00C66771">
        <w:rPr>
          <w:rFonts w:ascii="Book Antiqua" w:hAnsi="Book Antiqua"/>
          <w:color w:val="000000" w:themeColor="text1"/>
          <w:lang w:eastAsia="zh-CN"/>
        </w:rPr>
        <w:fldChar w:fldCharType="begin"/>
      </w:r>
      <w:r w:rsidRPr="00C66771">
        <w:rPr>
          <w:rFonts w:ascii="Book Antiqua" w:hAnsi="Book Antiqua"/>
          <w:color w:val="000000" w:themeColor="text1"/>
          <w:lang w:eastAsia="zh-CN"/>
        </w:rPr>
        <w:instrText xml:space="preserve"> ADDIN EN.REFLIST </w:instrText>
      </w:r>
      <w:r w:rsidRPr="00C66771">
        <w:rPr>
          <w:rFonts w:ascii="Book Antiqua" w:hAnsi="Book Antiqua"/>
          <w:color w:val="000000" w:themeColor="text1"/>
          <w:lang w:eastAsia="zh-CN"/>
        </w:rPr>
        <w:fldChar w:fldCharType="end"/>
      </w:r>
      <w:bookmarkEnd w:id="7"/>
    </w:p>
    <w:p w14:paraId="036462F3" w14:textId="77777777" w:rsidR="00B63A21" w:rsidRDefault="00B63A21">
      <w:pPr>
        <w:adjustRightInd w:val="0"/>
        <w:snapToGrid w:val="0"/>
        <w:spacing w:line="360" w:lineRule="auto"/>
        <w:jc w:val="both"/>
        <w:rPr>
          <w:rFonts w:ascii="Book Antiqua" w:hAnsi="Book Antiqua"/>
        </w:rPr>
      </w:pPr>
    </w:p>
    <w:sectPr w:rsidR="00B63A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CE8C7" w14:textId="77777777" w:rsidR="000422A0" w:rsidRDefault="000422A0">
      <w:r>
        <w:separator/>
      </w:r>
    </w:p>
  </w:endnote>
  <w:endnote w:type="continuationSeparator" w:id="0">
    <w:p w14:paraId="05AEA4AD" w14:textId="77777777" w:rsidR="000422A0" w:rsidRDefault="00042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0" w:usb1="00000000" w:usb2="00000010" w:usb3="00000000" w:csb0="00040000"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115310"/>
      <w:docPartObj>
        <w:docPartGallery w:val="AutoText"/>
      </w:docPartObj>
    </w:sdtPr>
    <w:sdtContent>
      <w:sdt>
        <w:sdtPr>
          <w:id w:val="-1769616900"/>
          <w:docPartObj>
            <w:docPartGallery w:val="AutoText"/>
          </w:docPartObj>
        </w:sdtPr>
        <w:sdtContent>
          <w:p w14:paraId="2AE83F21" w14:textId="77777777" w:rsidR="00B63A21"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ACAA77C" w14:textId="77777777" w:rsidR="00B63A21" w:rsidRDefault="00B63A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C2D6B" w14:textId="77777777" w:rsidR="000422A0" w:rsidRDefault="000422A0">
      <w:r>
        <w:separator/>
      </w:r>
    </w:p>
  </w:footnote>
  <w:footnote w:type="continuationSeparator" w:id="0">
    <w:p w14:paraId="653CCF53" w14:textId="77777777" w:rsidR="000422A0" w:rsidRDefault="000422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RlMzNjNjRhMjA2MWE4N2IxYzExNzYzNTE1MjBmZTIifQ=="/>
  </w:docVars>
  <w:rsids>
    <w:rsidRoot w:val="00A77B3E"/>
    <w:rsid w:val="00017C5A"/>
    <w:rsid w:val="00022A92"/>
    <w:rsid w:val="00033D24"/>
    <w:rsid w:val="000422A0"/>
    <w:rsid w:val="00087369"/>
    <w:rsid w:val="000B23B7"/>
    <w:rsid w:val="000F7743"/>
    <w:rsid w:val="00100E0B"/>
    <w:rsid w:val="00103CB6"/>
    <w:rsid w:val="00116052"/>
    <w:rsid w:val="001876E3"/>
    <w:rsid w:val="001928D0"/>
    <w:rsid w:val="00196AE0"/>
    <w:rsid w:val="00196D19"/>
    <w:rsid w:val="001B7AA1"/>
    <w:rsid w:val="001D1875"/>
    <w:rsid w:val="001D5F42"/>
    <w:rsid w:val="001D7D25"/>
    <w:rsid w:val="001F6707"/>
    <w:rsid w:val="002061F0"/>
    <w:rsid w:val="00297EB9"/>
    <w:rsid w:val="002A0DDA"/>
    <w:rsid w:val="002F04E6"/>
    <w:rsid w:val="0035140E"/>
    <w:rsid w:val="003623CB"/>
    <w:rsid w:val="00365D68"/>
    <w:rsid w:val="003C7E25"/>
    <w:rsid w:val="00451E7D"/>
    <w:rsid w:val="004540EC"/>
    <w:rsid w:val="00454F5C"/>
    <w:rsid w:val="0046219A"/>
    <w:rsid w:val="0047661D"/>
    <w:rsid w:val="004834F2"/>
    <w:rsid w:val="0049596D"/>
    <w:rsid w:val="004A1BEA"/>
    <w:rsid w:val="004C1B4A"/>
    <w:rsid w:val="00503275"/>
    <w:rsid w:val="005569B6"/>
    <w:rsid w:val="00561868"/>
    <w:rsid w:val="00583CEF"/>
    <w:rsid w:val="005B01F3"/>
    <w:rsid w:val="005B198F"/>
    <w:rsid w:val="005B4D11"/>
    <w:rsid w:val="005D17FD"/>
    <w:rsid w:val="005D1ACA"/>
    <w:rsid w:val="00606011"/>
    <w:rsid w:val="006209BD"/>
    <w:rsid w:val="00671004"/>
    <w:rsid w:val="00697BA3"/>
    <w:rsid w:val="006B472B"/>
    <w:rsid w:val="006F1D4A"/>
    <w:rsid w:val="00732C46"/>
    <w:rsid w:val="007474A9"/>
    <w:rsid w:val="007B6BE6"/>
    <w:rsid w:val="007B6D4F"/>
    <w:rsid w:val="00800601"/>
    <w:rsid w:val="00803070"/>
    <w:rsid w:val="008274D9"/>
    <w:rsid w:val="00843977"/>
    <w:rsid w:val="00884A72"/>
    <w:rsid w:val="0089703C"/>
    <w:rsid w:val="008B42E6"/>
    <w:rsid w:val="008E148E"/>
    <w:rsid w:val="009045DE"/>
    <w:rsid w:val="009225AF"/>
    <w:rsid w:val="00957317"/>
    <w:rsid w:val="009713C8"/>
    <w:rsid w:val="00972EFE"/>
    <w:rsid w:val="00976ECD"/>
    <w:rsid w:val="00990A99"/>
    <w:rsid w:val="009A2720"/>
    <w:rsid w:val="009D0B50"/>
    <w:rsid w:val="009E773D"/>
    <w:rsid w:val="00A77B3E"/>
    <w:rsid w:val="00A817CA"/>
    <w:rsid w:val="00A91CCB"/>
    <w:rsid w:val="00AA70A3"/>
    <w:rsid w:val="00AE4E9C"/>
    <w:rsid w:val="00AF66CE"/>
    <w:rsid w:val="00AF72EE"/>
    <w:rsid w:val="00B135AC"/>
    <w:rsid w:val="00B30AFA"/>
    <w:rsid w:val="00B42CFC"/>
    <w:rsid w:val="00B63A21"/>
    <w:rsid w:val="00B67A2C"/>
    <w:rsid w:val="00B77861"/>
    <w:rsid w:val="00BE39E5"/>
    <w:rsid w:val="00BF5B6F"/>
    <w:rsid w:val="00C15BC5"/>
    <w:rsid w:val="00C3503F"/>
    <w:rsid w:val="00C35652"/>
    <w:rsid w:val="00C454AC"/>
    <w:rsid w:val="00C61CA7"/>
    <w:rsid w:val="00C66771"/>
    <w:rsid w:val="00CA2A55"/>
    <w:rsid w:val="00D60CDE"/>
    <w:rsid w:val="00D7732A"/>
    <w:rsid w:val="00D81ED9"/>
    <w:rsid w:val="00DA6C49"/>
    <w:rsid w:val="00DE67B3"/>
    <w:rsid w:val="00E66BEB"/>
    <w:rsid w:val="00E74EF6"/>
    <w:rsid w:val="00E77350"/>
    <w:rsid w:val="00ED6FCA"/>
    <w:rsid w:val="00EE17E3"/>
    <w:rsid w:val="00EE4187"/>
    <w:rsid w:val="00F173D3"/>
    <w:rsid w:val="00F17EE2"/>
    <w:rsid w:val="00F3533A"/>
    <w:rsid w:val="00FC4D9C"/>
    <w:rsid w:val="00FF5583"/>
    <w:rsid w:val="29FF7CD4"/>
    <w:rsid w:val="3BD51050"/>
    <w:rsid w:val="6BFD39ED"/>
    <w:rsid w:val="7FE36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041A78"/>
  <w15:docId w15:val="{42D030A6-A991-1F43-8B94-4B03865CF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sz w:val="20"/>
      <w:szCs w:val="20"/>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rPr>
      <w:sz w:val="16"/>
      <w:szCs w:val="16"/>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Revision1">
    <w:name w:val="Revision1"/>
    <w:hidden/>
    <w:uiPriority w:val="99"/>
    <w:semiHidden/>
    <w:rPr>
      <w:sz w:val="24"/>
      <w:szCs w:val="24"/>
      <w:lang w:val="en-US" w:eastAsia="en-US"/>
    </w:rPr>
  </w:style>
  <w:style w:type="character" w:customStyle="1" w:styleId="a4">
    <w:name w:val="批注文字 字符"/>
    <w:basedOn w:val="a0"/>
    <w:link w:val="a3"/>
    <w:semiHidden/>
  </w:style>
  <w:style w:type="character" w:customStyle="1" w:styleId="aa">
    <w:name w:val="批注主题 字符"/>
    <w:basedOn w:val="a4"/>
    <w:link w:val="a9"/>
    <w:semiHidden/>
    <w:qFormat/>
    <w:rPr>
      <w:b/>
      <w:bCs/>
    </w:rPr>
  </w:style>
  <w:style w:type="paragraph" w:styleId="ac">
    <w:name w:val="Revision"/>
    <w:hidden/>
    <w:uiPriority w:val="99"/>
    <w:semiHidden/>
    <w:rsid w:val="00884A72"/>
    <w:rPr>
      <w:sz w:val="24"/>
      <w:szCs w:val="24"/>
      <w:lang w:val="en-US" w:eastAsia="en-US"/>
    </w:rPr>
  </w:style>
  <w:style w:type="character" w:styleId="ad">
    <w:name w:val="Hyperlink"/>
    <w:basedOn w:val="a0"/>
    <w:unhideWhenUsed/>
    <w:rsid w:val="001876E3"/>
    <w:rPr>
      <w:color w:val="0000FF" w:themeColor="hyperlink"/>
      <w:u w:val="single"/>
    </w:rPr>
  </w:style>
  <w:style w:type="character" w:styleId="ae">
    <w:name w:val="Unresolved Mention"/>
    <w:basedOn w:val="a0"/>
    <w:uiPriority w:val="99"/>
    <w:semiHidden/>
    <w:unhideWhenUsed/>
    <w:rsid w:val="00187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0/i23/8242.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2859</Words>
  <Characters>16298</Characters>
  <Application>Microsoft Office Word</Application>
  <DocSecurity>0</DocSecurity>
  <Lines>135</Lines>
  <Paragraphs>38</Paragraphs>
  <ScaleCrop>false</ScaleCrop>
  <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kingsley</dc:creator>
  <cp:lastModifiedBy>Li Jia-Hui</cp:lastModifiedBy>
  <cp:revision>6</cp:revision>
  <dcterms:created xsi:type="dcterms:W3CDTF">2022-07-08T17:04:00Z</dcterms:created>
  <dcterms:modified xsi:type="dcterms:W3CDTF">2022-07-29T17:16:00Z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50BBF045909F4DC48841D6F348B4C2AE</vt:lpwstr>
  </property>
</Properties>
</file>