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045D1" w14:textId="77777777" w:rsidR="00C53E0F" w:rsidRDefault="0012293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43508C" w14:textId="77777777" w:rsidR="00C53E0F" w:rsidRDefault="0012293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73545</w:t>
      </w:r>
    </w:p>
    <w:p w14:paraId="1675DABC" w14:textId="77777777" w:rsidR="00C53E0F" w:rsidRDefault="0012293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25529E6" w14:textId="77777777" w:rsidR="00C53E0F" w:rsidRDefault="00C53E0F">
      <w:pPr>
        <w:spacing w:line="360" w:lineRule="auto"/>
        <w:jc w:val="both"/>
      </w:pPr>
    </w:p>
    <w:p w14:paraId="583540F5" w14:textId="77777777" w:rsidR="00C53E0F" w:rsidRDefault="00122932">
      <w:pPr>
        <w:spacing w:line="360" w:lineRule="auto"/>
        <w:jc w:val="both"/>
      </w:pPr>
      <w:r>
        <w:rPr>
          <w:rFonts w:ascii="Book Antiqua" w:eastAsia="Book Antiqua" w:hAnsi="Book Antiqua" w:cs="Book Antiqua"/>
          <w:b/>
          <w:color w:val="000000"/>
          <w:lang w:val="en" w:eastAsia="en"/>
        </w:rPr>
        <w:t>PD-1 inhibitor in combination with fruquintinib therapy for initial unresectable colorectal cancer: A case report</w:t>
      </w:r>
    </w:p>
    <w:p w14:paraId="0E09E022" w14:textId="77777777" w:rsidR="00C53E0F" w:rsidRDefault="00C53E0F">
      <w:pPr>
        <w:spacing w:line="360" w:lineRule="auto"/>
        <w:jc w:val="both"/>
      </w:pPr>
    </w:p>
    <w:p w14:paraId="2BE825C2" w14:textId="77777777" w:rsidR="00C53E0F" w:rsidRDefault="00122932">
      <w:pPr>
        <w:spacing w:line="360" w:lineRule="auto"/>
        <w:jc w:val="both"/>
      </w:pPr>
      <w:r>
        <w:rPr>
          <w:rFonts w:ascii="Book Antiqua" w:eastAsia="Book Antiqua" w:hAnsi="Book Antiqua" w:cs="Book Antiqua"/>
          <w:color w:val="000000"/>
        </w:rPr>
        <w:t>Zhang HQ</w:t>
      </w:r>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PD-1 inhibitor in </w:t>
      </w:r>
      <w:r>
        <w:rPr>
          <w:rFonts w:ascii="Book Antiqua" w:eastAsia="Book Antiqua" w:hAnsi="Book Antiqua" w:cs="Book Antiqua"/>
          <w:color w:val="000000"/>
        </w:rPr>
        <w:t>combination with fruquintinib</w:t>
      </w:r>
    </w:p>
    <w:p w14:paraId="03FD602B" w14:textId="77777777" w:rsidR="00C53E0F" w:rsidRDefault="00C53E0F">
      <w:pPr>
        <w:spacing w:line="360" w:lineRule="auto"/>
        <w:jc w:val="both"/>
      </w:pPr>
    </w:p>
    <w:p w14:paraId="2A5EF92F" w14:textId="77777777" w:rsidR="00C53E0F" w:rsidRDefault="00122932">
      <w:pPr>
        <w:spacing w:line="360" w:lineRule="auto"/>
        <w:jc w:val="both"/>
      </w:pPr>
      <w:r>
        <w:rPr>
          <w:rFonts w:ascii="Book Antiqua" w:eastAsia="Book Antiqua" w:hAnsi="Book Antiqua" w:cs="Book Antiqua"/>
          <w:color w:val="000000"/>
        </w:rPr>
        <w:t>Hong-Qiang Zhang, Chang-Zhi Huang, Jing-Yu Wu, Zhen-Ling Wang, Yu Shao, Zan Fu</w:t>
      </w:r>
    </w:p>
    <w:p w14:paraId="188A5652" w14:textId="77777777" w:rsidR="00C53E0F" w:rsidRDefault="00C53E0F">
      <w:pPr>
        <w:spacing w:line="360" w:lineRule="auto"/>
        <w:jc w:val="both"/>
      </w:pPr>
    </w:p>
    <w:p w14:paraId="0E1E3DE4" w14:textId="77777777" w:rsidR="00C53E0F" w:rsidRDefault="00122932">
      <w:pPr>
        <w:spacing w:line="360" w:lineRule="auto"/>
        <w:jc w:val="both"/>
      </w:pPr>
      <w:r>
        <w:rPr>
          <w:rFonts w:ascii="Book Antiqua" w:eastAsia="Book Antiqua" w:hAnsi="Book Antiqua" w:cs="Book Antiqua"/>
          <w:b/>
          <w:bCs/>
          <w:color w:val="000000"/>
        </w:rPr>
        <w:t xml:space="preserve">Hong-Qiang Zhang, Chang-Zhi Huang, Jing-Yu Wu, Zhen-Ling Wang, Yu Shao, Zan Fu, </w:t>
      </w:r>
      <w:r>
        <w:rPr>
          <w:rFonts w:ascii="Book Antiqua" w:eastAsia="Book Antiqua" w:hAnsi="Book Antiqua" w:cs="Book Antiqua"/>
          <w:color w:val="000000"/>
        </w:rPr>
        <w:t>Department of General Surgery, The First Affiliated Hospital of N</w:t>
      </w:r>
      <w:r>
        <w:rPr>
          <w:rFonts w:ascii="Book Antiqua" w:eastAsia="Book Antiqua" w:hAnsi="Book Antiqua" w:cs="Book Antiqua"/>
          <w:color w:val="000000"/>
        </w:rPr>
        <w:t>anjing Medical University, Nanjing 210029, Jiangsu Province, China</w:t>
      </w:r>
    </w:p>
    <w:p w14:paraId="39390CD9" w14:textId="77777777" w:rsidR="00C53E0F" w:rsidRDefault="00C53E0F">
      <w:pPr>
        <w:spacing w:line="360" w:lineRule="auto"/>
        <w:jc w:val="both"/>
      </w:pPr>
    </w:p>
    <w:p w14:paraId="5CAEC370" w14:textId="77777777" w:rsidR="00C53E0F" w:rsidRDefault="00122932">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HQ designed the writing ideas and wrote the manuscript; Huang CZ participated in the operation of the patient as an assistant and made important modifications t</w:t>
      </w:r>
      <w:r>
        <w:rPr>
          <w:rFonts w:ascii="Book Antiqua" w:eastAsia="Book Antiqua" w:hAnsi="Book Antiqua" w:cs="Book Antiqua"/>
          <w:color w:val="000000"/>
        </w:rPr>
        <w:t>o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Wu JY, Wang ZL, and Shao Y collected patient's data and followed the patient; Fu Z performed the surgery and developed the patient's treatment plan; </w:t>
      </w:r>
      <w:r>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approved the final manuscript.</w:t>
      </w:r>
    </w:p>
    <w:p w14:paraId="378C7B07" w14:textId="77777777" w:rsidR="00C53E0F" w:rsidRDefault="00C53E0F">
      <w:pPr>
        <w:spacing w:line="360" w:lineRule="auto"/>
        <w:jc w:val="both"/>
      </w:pPr>
    </w:p>
    <w:p w14:paraId="23587F21" w14:textId="77777777" w:rsidR="00C53E0F" w:rsidRDefault="00122932">
      <w:pPr>
        <w:spacing w:line="360" w:lineRule="auto"/>
        <w:jc w:val="both"/>
      </w:pPr>
      <w:r>
        <w:rPr>
          <w:rFonts w:ascii="Book Antiqua" w:eastAsia="Book Antiqua" w:hAnsi="Book Antiqua" w:cs="Book Antiqua"/>
          <w:b/>
          <w:bCs/>
          <w:color w:val="000000"/>
        </w:rPr>
        <w:t>Corresponding author: Zan Fu, M</w:t>
      </w:r>
      <w:r>
        <w:rPr>
          <w:rFonts w:ascii="Book Antiqua" w:eastAsia="Book Antiqua" w:hAnsi="Book Antiqua" w:cs="Book Antiqua"/>
          <w:b/>
          <w:bCs/>
          <w:color w:val="000000"/>
        </w:rPr>
        <w:t xml:space="preserve">D, Chief Doctor, </w:t>
      </w:r>
      <w:r>
        <w:rPr>
          <w:rFonts w:ascii="Book Antiqua" w:eastAsia="Book Antiqua" w:hAnsi="Book Antiqua" w:cs="Book Antiqua"/>
          <w:color w:val="000000"/>
        </w:rPr>
        <w:t>Department of General Surgery, The First Affiliated Hospital of Nanjing Medical University, No. 300</w:t>
      </w:r>
      <w:r>
        <w:rPr>
          <w:rFonts w:ascii="Book Antiqua" w:hAnsi="Book Antiqua" w:cs="Book Antiqua" w:hint="eastAsia"/>
          <w:color w:val="000000"/>
          <w:lang w:eastAsia="zh-CN"/>
        </w:rPr>
        <w:t xml:space="preserve"> </w:t>
      </w:r>
      <w:r>
        <w:rPr>
          <w:rFonts w:ascii="Book Antiqua" w:eastAsia="Book Antiqua" w:hAnsi="Book Antiqua" w:cs="Book Antiqua"/>
          <w:color w:val="000000"/>
        </w:rPr>
        <w:t>Guangzhou Road, Nanjing 210029, Jiangsu Province, China. fuzan1971@njmu.edu.cn</w:t>
      </w:r>
    </w:p>
    <w:p w14:paraId="1511E8B0" w14:textId="77777777" w:rsidR="00C53E0F" w:rsidRDefault="00C53E0F">
      <w:pPr>
        <w:spacing w:line="360" w:lineRule="auto"/>
        <w:jc w:val="both"/>
      </w:pPr>
    </w:p>
    <w:p w14:paraId="6B18574A" w14:textId="77777777" w:rsidR="00C53E0F" w:rsidRDefault="0012293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2022</w:t>
      </w:r>
    </w:p>
    <w:p w14:paraId="1FD9AA4B" w14:textId="77777777" w:rsidR="00C53E0F" w:rsidRDefault="00122932">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March 3, 2022</w:t>
      </w:r>
    </w:p>
    <w:p w14:paraId="7C66D52F" w14:textId="77777777" w:rsidR="00C53E0F" w:rsidRDefault="00122932">
      <w:pPr>
        <w:spacing w:line="360" w:lineRule="auto"/>
        <w:jc w:val="both"/>
        <w:rPr>
          <w:lang w:eastAsia="zh-CN"/>
        </w:rPr>
      </w:pPr>
      <w:r>
        <w:rPr>
          <w:rFonts w:ascii="Book Antiqua" w:eastAsia="Book Antiqua" w:hAnsi="Book Antiqua" w:cs="Book Antiqua"/>
          <w:b/>
          <w:bCs/>
          <w:color w:val="000000"/>
        </w:rPr>
        <w:t>Accepted:</w:t>
      </w:r>
      <w:r>
        <w:rPr>
          <w:rFonts w:ascii="Book Antiqua" w:hAnsi="Book Antiqua" w:cs="Book Antiqua"/>
          <w:bCs/>
          <w:color w:val="000000"/>
          <w:lang w:eastAsia="zh-CN"/>
        </w:rPr>
        <w:t xml:space="preserve"> </w:t>
      </w:r>
      <w:r>
        <w:rPr>
          <w:rFonts w:ascii="Book Antiqua" w:hAnsi="Book Antiqua" w:cs="Book Antiqua"/>
          <w:bCs/>
          <w:color w:val="000000"/>
          <w:lang w:eastAsia="zh-CN"/>
        </w:rPr>
        <w:t>March 27, 2022</w:t>
      </w:r>
    </w:p>
    <w:p w14:paraId="100D7964" w14:textId="77777777" w:rsidR="00C53E0F" w:rsidRDefault="00122932">
      <w:pPr>
        <w:spacing w:line="360" w:lineRule="auto"/>
        <w:jc w:val="both"/>
        <w:rPr>
          <w:lang w:eastAsia="zh-CN"/>
        </w:rPr>
      </w:pPr>
      <w:r>
        <w:rPr>
          <w:rFonts w:ascii="Book Antiqua" w:eastAsia="Book Antiqua" w:hAnsi="Book Antiqua" w:cs="Book Antiqua"/>
          <w:b/>
          <w:bCs/>
          <w:color w:val="000000"/>
        </w:rPr>
        <w:t>Published online:</w:t>
      </w:r>
      <w:r>
        <w:rPr>
          <w:rFonts w:ascii="Book Antiqua, serif" w:hAnsi="Book Antiqua, serif"/>
        </w:rPr>
        <w:t xml:space="preserve"> May 16, 2022 </w:t>
      </w:r>
      <w:r>
        <w:rPr>
          <w:rFonts w:ascii="Book Antiqua" w:eastAsia="Book Antiqua" w:hAnsi="Book Antiqua" w:cs="Book Antiqua"/>
          <w:b/>
          <w:bCs/>
          <w:color w:val="000000"/>
        </w:rPr>
        <w:t xml:space="preserve"> </w:t>
      </w:r>
    </w:p>
    <w:p w14:paraId="6FF6BAFB" w14:textId="77777777" w:rsidR="00C53E0F" w:rsidRDefault="00C53E0F">
      <w:pPr>
        <w:spacing w:line="360" w:lineRule="auto"/>
        <w:jc w:val="both"/>
      </w:pPr>
    </w:p>
    <w:p w14:paraId="67701E3A" w14:textId="77777777" w:rsidR="00C53E0F" w:rsidRDefault="00C53E0F">
      <w:pPr>
        <w:spacing w:line="360" w:lineRule="auto"/>
        <w:jc w:val="both"/>
        <w:rPr>
          <w:lang w:eastAsia="zh-CN"/>
        </w:rPr>
      </w:pPr>
    </w:p>
    <w:p w14:paraId="53447867" w14:textId="77777777" w:rsidR="00C53E0F" w:rsidRDefault="00C53E0F">
      <w:pPr>
        <w:spacing w:line="360" w:lineRule="auto"/>
        <w:jc w:val="both"/>
        <w:rPr>
          <w:lang w:eastAsia="zh-CN"/>
        </w:rPr>
      </w:pPr>
    </w:p>
    <w:p w14:paraId="04CBDF63" w14:textId="77777777" w:rsidR="00C53E0F" w:rsidRDefault="00C53E0F">
      <w:pPr>
        <w:spacing w:line="360" w:lineRule="auto"/>
        <w:jc w:val="both"/>
        <w:rPr>
          <w:lang w:eastAsia="zh-CN"/>
        </w:rPr>
      </w:pPr>
    </w:p>
    <w:p w14:paraId="1C4595E2" w14:textId="77777777" w:rsidR="00C53E0F" w:rsidRDefault="00122932">
      <w:pPr>
        <w:spacing w:line="360" w:lineRule="auto"/>
        <w:jc w:val="both"/>
      </w:pPr>
      <w:r>
        <w:rPr>
          <w:rFonts w:ascii="Book Antiqua" w:eastAsia="Book Antiqua" w:hAnsi="Book Antiqua" w:cs="Book Antiqua"/>
          <w:b/>
          <w:color w:val="000000"/>
        </w:rPr>
        <w:t>Abstract</w:t>
      </w:r>
    </w:p>
    <w:p w14:paraId="3493CC6E" w14:textId="77777777" w:rsidR="00C53E0F" w:rsidRDefault="00122932">
      <w:pPr>
        <w:spacing w:line="360" w:lineRule="auto"/>
        <w:jc w:val="both"/>
      </w:pPr>
      <w:r>
        <w:rPr>
          <w:rFonts w:ascii="Book Antiqua" w:eastAsia="Book Antiqua" w:hAnsi="Book Antiqua" w:cs="Book Antiqua"/>
          <w:color w:val="000000"/>
        </w:rPr>
        <w:t>BACKGROUND</w:t>
      </w:r>
    </w:p>
    <w:p w14:paraId="25165CD2" w14:textId="77777777" w:rsidR="00C53E0F" w:rsidRDefault="00122932">
      <w:pPr>
        <w:spacing w:line="360" w:lineRule="auto"/>
        <w:jc w:val="both"/>
      </w:pPr>
      <w:r>
        <w:rPr>
          <w:rFonts w:ascii="Book Antiqua" w:eastAsia="Book Antiqua" w:hAnsi="Book Antiqua" w:cs="Book Antiqua"/>
          <w:color w:val="000000"/>
        </w:rPr>
        <w:t xml:space="preserve">PD-1 inhibitors in combination with fruquintinib have not previously been reported as neoadjuvant therapy for patients with colorectal cancer. In this case report, the combination of a PD-1 inhibitor and fruquintinib demonstrated good efficacy in patients </w:t>
      </w:r>
      <w:r>
        <w:rPr>
          <w:rFonts w:ascii="Book Antiqua" w:eastAsia="Book Antiqua" w:hAnsi="Book Antiqua" w:cs="Book Antiqua"/>
          <w:color w:val="000000"/>
        </w:rPr>
        <w:t xml:space="preserve">with MSI-H colorectal cancer. </w:t>
      </w:r>
    </w:p>
    <w:p w14:paraId="65F3BB5B" w14:textId="77777777" w:rsidR="00C53E0F" w:rsidRDefault="00C53E0F">
      <w:pPr>
        <w:spacing w:line="360" w:lineRule="auto"/>
        <w:jc w:val="both"/>
      </w:pPr>
    </w:p>
    <w:p w14:paraId="52676E72" w14:textId="77777777" w:rsidR="00C53E0F" w:rsidRDefault="00122932">
      <w:pPr>
        <w:spacing w:line="360" w:lineRule="auto"/>
        <w:jc w:val="both"/>
      </w:pPr>
      <w:r>
        <w:rPr>
          <w:rFonts w:ascii="Book Antiqua" w:eastAsia="Book Antiqua" w:hAnsi="Book Antiqua" w:cs="Book Antiqua"/>
          <w:color w:val="000000"/>
        </w:rPr>
        <w:t>CASE SUMMARY</w:t>
      </w:r>
    </w:p>
    <w:p w14:paraId="6504E3D4" w14:textId="77777777" w:rsidR="00C53E0F" w:rsidRDefault="00122932">
      <w:pPr>
        <w:spacing w:line="360" w:lineRule="auto"/>
        <w:jc w:val="both"/>
      </w:pPr>
      <w:r>
        <w:rPr>
          <w:rFonts w:ascii="Book Antiqua" w:eastAsia="Book Antiqua" w:hAnsi="Book Antiqua" w:cs="Book Antiqua"/>
          <w:color w:val="000000"/>
          <w:szCs w:val="21"/>
        </w:rPr>
        <w:t xml:space="preserve">The patient was a young man in his 30s who had MSI-H type colon cancer. The patient underwent four cycles of neoadjuvant therapy with a PD-1 inhibitor combined with fruquintinib before surgery, </w:t>
      </w:r>
      <w:r>
        <w:rPr>
          <w:rFonts w:ascii="Book Antiqua" w:eastAsia="Book Antiqua" w:hAnsi="Book Antiqua" w:cs="Book Antiqua"/>
          <w:color w:val="000000"/>
          <w:szCs w:val="21"/>
        </w:rPr>
        <w:t>resulting in regression of the mass and a successful surgery.</w:t>
      </w:r>
    </w:p>
    <w:p w14:paraId="07A522BF" w14:textId="77777777" w:rsidR="00C53E0F" w:rsidRDefault="00C53E0F">
      <w:pPr>
        <w:spacing w:line="360" w:lineRule="auto"/>
        <w:jc w:val="both"/>
      </w:pPr>
    </w:p>
    <w:p w14:paraId="6532ADFC" w14:textId="77777777" w:rsidR="00C53E0F" w:rsidRDefault="00122932">
      <w:pPr>
        <w:spacing w:line="360" w:lineRule="auto"/>
        <w:jc w:val="both"/>
      </w:pPr>
      <w:r>
        <w:rPr>
          <w:rFonts w:ascii="Book Antiqua" w:eastAsia="Book Antiqua" w:hAnsi="Book Antiqua" w:cs="Book Antiqua"/>
          <w:color w:val="000000"/>
        </w:rPr>
        <w:t>CONCLUSION</w:t>
      </w:r>
    </w:p>
    <w:p w14:paraId="64498A04" w14:textId="77777777" w:rsidR="00C53E0F" w:rsidRDefault="00122932">
      <w:pPr>
        <w:spacing w:line="360" w:lineRule="auto"/>
        <w:jc w:val="both"/>
      </w:pPr>
      <w:r>
        <w:rPr>
          <w:rFonts w:ascii="Book Antiqua" w:eastAsia="Book Antiqua" w:hAnsi="Book Antiqua" w:cs="Book Antiqua"/>
          <w:color w:val="000000"/>
          <w:szCs w:val="21"/>
        </w:rPr>
        <w:t>Some patients with colorectal cancer have the MSI-H type, and the first-line chemotherapy regimen is not effective. However, PD-1 monoclonal antibody immunotherapy has a good therape</w:t>
      </w:r>
      <w:r>
        <w:rPr>
          <w:rFonts w:ascii="Book Antiqua" w:eastAsia="Book Antiqua" w:hAnsi="Book Antiqua" w:cs="Book Antiqua"/>
          <w:color w:val="000000"/>
          <w:szCs w:val="21"/>
        </w:rPr>
        <w:t>utic effect, which can be improved by combination therapy with fruquintinib. We recommend that patients with a history of colon or rectal cancer receive universal MSI testing; then, neoadjuvant therapy should be used.</w:t>
      </w:r>
    </w:p>
    <w:p w14:paraId="7440A3C0" w14:textId="77777777" w:rsidR="00C53E0F" w:rsidRDefault="00C53E0F">
      <w:pPr>
        <w:spacing w:line="360" w:lineRule="auto"/>
        <w:jc w:val="both"/>
      </w:pPr>
    </w:p>
    <w:p w14:paraId="6ED6F6F5" w14:textId="77777777" w:rsidR="00C53E0F" w:rsidRDefault="00122932">
      <w:pPr>
        <w:spacing w:line="360" w:lineRule="auto"/>
        <w:jc w:val="both"/>
      </w:pPr>
      <w:r>
        <w:rPr>
          <w:rFonts w:ascii="Book Antiqua" w:eastAsia="Book Antiqua" w:hAnsi="Book Antiqua" w:cs="Book Antiqua"/>
          <w:b/>
          <w:bCs/>
          <w:color w:val="000000"/>
        </w:rPr>
        <w:t>Key Words:</w:t>
      </w:r>
      <w:r>
        <w:rPr>
          <w:rFonts w:ascii="Book Antiqua" w:eastAsia="Book Antiqua" w:hAnsi="Book Antiqua" w:cs="Book Antiqua"/>
          <w:color w:val="000000"/>
        </w:rPr>
        <w:t xml:space="preserve"> Colorectal cancer; Neoadju</w:t>
      </w:r>
      <w:r>
        <w:rPr>
          <w:rFonts w:ascii="Book Antiqua" w:eastAsia="Book Antiqua" w:hAnsi="Book Antiqua" w:cs="Book Antiqua"/>
          <w:color w:val="000000"/>
        </w:rPr>
        <w:t>vant; PD-1 inhibitors; Fruquintinib; MSI-H</w:t>
      </w:r>
      <w:r>
        <w:rPr>
          <w:rFonts w:ascii="Book Antiqua" w:hAnsi="Book Antiqua" w:cs="Book Antiqua" w:hint="eastAsia"/>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Case report</w:t>
      </w:r>
    </w:p>
    <w:p w14:paraId="47CCF8BC" w14:textId="77777777" w:rsidR="00C53E0F" w:rsidRDefault="00C53E0F">
      <w:pPr>
        <w:spacing w:line="360" w:lineRule="auto"/>
        <w:jc w:val="both"/>
      </w:pPr>
    </w:p>
    <w:p w14:paraId="1D6F1526" w14:textId="77777777" w:rsidR="00C53E0F" w:rsidRDefault="0012293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bookmarkEnd w:id="0"/>
      <w:r>
        <w:rPr>
          <w:rFonts w:ascii="Book Antiqua" w:eastAsia="Book Antiqua" w:hAnsi="Book Antiqua" w:cs="Book Antiqua"/>
          <w:color w:val="000000"/>
        </w:rPr>
        <w:t xml:space="preserve"> </w:t>
      </w:r>
    </w:p>
    <w:bookmarkEnd w:id="1"/>
    <w:p w14:paraId="498B05E8" w14:textId="77777777" w:rsidR="00C53E0F" w:rsidRDefault="00C53E0F">
      <w:pPr>
        <w:spacing w:line="360" w:lineRule="auto"/>
        <w:jc w:val="both"/>
        <w:rPr>
          <w:lang w:eastAsia="zh-CN"/>
        </w:rPr>
      </w:pPr>
    </w:p>
    <w:p w14:paraId="756E6A79" w14:textId="77777777" w:rsidR="00C53E0F" w:rsidRDefault="00122932">
      <w:pPr>
        <w:spacing w:line="360" w:lineRule="auto"/>
        <w:jc w:val="both"/>
        <w:rPr>
          <w:rFonts w:ascii="Book Antiqua" w:eastAsia="Book Antiqua" w:hAnsi="Book Antiqua" w:cs="Book Antiqua"/>
          <w:color w:val="000000"/>
        </w:rPr>
      </w:pPr>
      <w:bookmarkStart w:id="4" w:name="_Hlk88512899"/>
      <w:bookmarkStart w:id="5" w:name="_Hlk88512352"/>
      <w:bookmarkEnd w:id="2"/>
      <w:r>
        <w:rPr>
          <w:rFonts w:ascii="Book Antiqua" w:hAnsi="Book Antiqua" w:cs="Book Antiqua" w:hint="eastAsia"/>
          <w:b/>
          <w:color w:val="000000"/>
          <w:lang w:eastAsia="zh-CN"/>
        </w:rPr>
        <w:lastRenderedPageBreak/>
        <w:t>Citation:</w:t>
      </w:r>
      <w:bookmarkEnd w:id="3"/>
      <w:bookmarkEnd w:id="4"/>
      <w:r>
        <w:rPr>
          <w:rFonts w:ascii="Book Antiqua" w:hAnsi="Book Antiqua" w:cs="Book Antiqua" w:hint="eastAsia"/>
          <w:color w:val="000000"/>
          <w:lang w:eastAsia="zh-CN"/>
        </w:rPr>
        <w:t xml:space="preserve"> </w:t>
      </w:r>
      <w:bookmarkEnd w:id="5"/>
      <w:r>
        <w:rPr>
          <w:rFonts w:ascii="Book Antiqua" w:eastAsia="Book Antiqua" w:hAnsi="Book Antiqua" w:cs="Book Antiqua"/>
          <w:color w:val="000000"/>
        </w:rPr>
        <w:t>Zhang HQ, Huang CZ, Wu JY, Wang ZL, Shao Y, Fu Z. PD-1 inhibitor in combination with fruquintinib t</w:t>
      </w:r>
      <w:r>
        <w:rPr>
          <w:rFonts w:ascii="Book Antiqua" w:eastAsia="Book Antiqua" w:hAnsi="Book Antiqua" w:cs="Book Antiqua"/>
          <w:color w:val="000000"/>
        </w:rPr>
        <w:t xml:space="preserve">herapy for initial unresectable colorectal cancer: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10(14): 4669-4675 </w:t>
      </w:r>
    </w:p>
    <w:p w14:paraId="27F791F4" w14:textId="77777777" w:rsidR="00C53E0F" w:rsidRDefault="0012293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URL: </w:t>
      </w:r>
      <w:hyperlink r:id="rId7" w:history="1">
        <w:r>
          <w:rPr>
            <w:rStyle w:val="ae"/>
            <w:rFonts w:ascii="Book Antiqua" w:eastAsia="Book Antiqua" w:hAnsi="Book Antiqua" w:cs="Book Antiqua"/>
          </w:rPr>
          <w:t>https://www.wjgnet.com/2307-8960/full/v10/i14/4669.htm</w:t>
        </w:r>
      </w:hyperlink>
      <w:r>
        <w:rPr>
          <w:rFonts w:ascii="Book Antiqua" w:eastAsia="Book Antiqua" w:hAnsi="Book Antiqua" w:cs="Book Antiqua"/>
          <w:color w:val="000000"/>
        </w:rPr>
        <w:t xml:space="preserve"> </w:t>
      </w:r>
    </w:p>
    <w:p w14:paraId="5FA709FE" w14:textId="77777777" w:rsidR="00C53E0F" w:rsidRDefault="00122932">
      <w:pPr>
        <w:spacing w:line="360" w:lineRule="auto"/>
        <w:jc w:val="both"/>
        <w:rPr>
          <w:rFonts w:ascii="Book Antiqua" w:hAnsi="Book Antiqua"/>
        </w:rPr>
      </w:pPr>
      <w:r>
        <w:rPr>
          <w:rFonts w:ascii="Book Antiqua" w:eastAsia="Book Antiqua" w:hAnsi="Book Antiqua" w:cs="Book Antiqua"/>
          <w:b/>
          <w:bCs/>
          <w:color w:val="000000"/>
        </w:rPr>
        <w:t xml:space="preserve">DOI: </w:t>
      </w:r>
      <w:r>
        <w:rPr>
          <w:rFonts w:ascii="Book Antiqua" w:eastAsia="Book Antiqua" w:hAnsi="Book Antiqua" w:cs="Book Antiqua"/>
          <w:color w:val="000000"/>
        </w:rPr>
        <w:t>https://dx.doi.org/10.12998/wjcc.v10.i14.4669</w:t>
      </w:r>
    </w:p>
    <w:p w14:paraId="263732A3" w14:textId="77777777" w:rsidR="00C53E0F" w:rsidRDefault="00C53E0F">
      <w:pPr>
        <w:spacing w:line="360" w:lineRule="auto"/>
        <w:jc w:val="both"/>
      </w:pPr>
    </w:p>
    <w:p w14:paraId="2E9E5721" w14:textId="77777777" w:rsidR="00C53E0F" w:rsidRDefault="00C53E0F">
      <w:pPr>
        <w:spacing w:line="360" w:lineRule="auto"/>
        <w:jc w:val="both"/>
      </w:pPr>
    </w:p>
    <w:p w14:paraId="0B816482" w14:textId="77777777" w:rsidR="00C53E0F" w:rsidRDefault="0012293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 30-year-old man was diagnosed with microsatellite unstable colon cancer. Prior to his surgical treatment, he was treated with a neoa</w:t>
      </w:r>
      <w:r>
        <w:rPr>
          <w:rFonts w:ascii="Book Antiqua" w:eastAsia="Book Antiqua" w:hAnsi="Book Antiqua" w:cs="Book Antiqua"/>
          <w:color w:val="000000"/>
        </w:rPr>
        <w:t xml:space="preserve">djuvant regimen of PD1 inhibitors in combination with fruquintinib. This neoadjuvant regimen is rarely used; however, this patient had a good outcome. Subsequently, we performed a laparoscopic radical resection of his right colon cancer, which revealed no </w:t>
      </w:r>
      <w:r>
        <w:rPr>
          <w:rFonts w:ascii="Book Antiqua" w:eastAsia="Book Antiqua" w:hAnsi="Book Antiqua" w:cs="Book Antiqua"/>
          <w:color w:val="000000"/>
        </w:rPr>
        <w:t>microscopic tumour cells. The patient was in good condition after the surgical treatment.</w:t>
      </w:r>
    </w:p>
    <w:p w14:paraId="7DF988B1" w14:textId="77777777" w:rsidR="00C53E0F" w:rsidRDefault="00C53E0F">
      <w:pPr>
        <w:spacing w:line="360" w:lineRule="auto"/>
        <w:jc w:val="both"/>
      </w:pPr>
    </w:p>
    <w:p w14:paraId="68FDFAB7" w14:textId="77777777" w:rsidR="00C53E0F" w:rsidRDefault="00122932">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288279A" w14:textId="77777777" w:rsidR="00C53E0F" w:rsidRDefault="00122932">
      <w:pPr>
        <w:spacing w:line="360" w:lineRule="auto"/>
        <w:jc w:val="both"/>
        <w:rPr>
          <w:rFonts w:ascii="Book Antiqua" w:hAnsi="Book Antiqua" w:cs="Book Antiqua"/>
          <w:color w:val="000000"/>
          <w:vertAlign w:val="superscript"/>
          <w:lang w:eastAsia="zh-CN"/>
        </w:rPr>
      </w:pPr>
      <w:r>
        <w:rPr>
          <w:rFonts w:ascii="Book Antiqua" w:eastAsia="Book Antiqua" w:hAnsi="Book Antiqua" w:cs="Book Antiqua"/>
          <w:color w:val="000000"/>
        </w:rPr>
        <w:t>Colorectal cancer is the third most common malignancy worldwide, and MSI-H is present in approximately 15% of colorectal cancers</w:t>
      </w:r>
      <w:r>
        <w:rPr>
          <w:rFonts w:ascii="Book Antiqua" w:eastAsia="Book Antiqua" w:hAnsi="Book Antiqua" w:cs="Book Antiqua"/>
          <w:color w:val="000000"/>
          <w:vertAlign w:val="superscript"/>
        </w:rPr>
        <w:t>[1]</w:t>
      </w:r>
      <w:r>
        <w:rPr>
          <w:rFonts w:ascii="Book Antiqua" w:eastAsia="Book Antiqua" w:hAnsi="Book Antiqua" w:cs="Book Antiqua"/>
          <w:color w:val="000000"/>
        </w:rPr>
        <w:t>. Microsatellites ar</w:t>
      </w:r>
      <w:r>
        <w:rPr>
          <w:rFonts w:ascii="Book Antiqua" w:eastAsia="Book Antiqua" w:hAnsi="Book Antiqua" w:cs="Book Antiqua"/>
          <w:color w:val="000000"/>
        </w:rPr>
        <w:t>e short tandem repeats throughout the human genome, with single nucleotide, double nucleotide or high nucleotide repeats that are comprised of 10-50 repeats. Changes in the microsatellite length that result from the insertion or deletion of repeating units</w:t>
      </w:r>
      <w:r>
        <w:rPr>
          <w:rFonts w:ascii="Book Antiqua" w:eastAsia="Book Antiqua" w:hAnsi="Book Antiqua" w:cs="Book Antiqua"/>
          <w:color w:val="000000"/>
        </w:rPr>
        <w:t xml:space="preserve"> in tumour cells (rather than normal cells) are called microsatellite instability. A large number of studies have shown that MSI is caused by defects in mismatch repair (MMR) genes, which are closely related to the occurrence of tumours. MSI has been clini</w:t>
      </w:r>
      <w:r>
        <w:rPr>
          <w:rFonts w:ascii="Book Antiqua" w:eastAsia="Book Antiqua" w:hAnsi="Book Antiqua" w:cs="Book Antiqua"/>
          <w:color w:val="000000"/>
        </w:rPr>
        <w:t>cally used as a molecular marker for the prognosis and adjuvant treatment of colorectal cancer and other solid tumours</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6C643913" w14:textId="77777777" w:rsidR="00C53E0F" w:rsidRDefault="00122932">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Most patients with microsatellite instability colorectal cancer develop resistance to first-line chemotherapy when having a longer co</w:t>
      </w:r>
      <w:r>
        <w:rPr>
          <w:rFonts w:ascii="Book Antiqua" w:eastAsia="Book Antiqua" w:hAnsi="Book Antiqua" w:cs="Book Antiqua"/>
          <w:color w:val="000000"/>
        </w:rPr>
        <w:t>urse of treatment. After its successful application in the treatment of melanomas, immunotherapy has been actively explored in different types of solid cancers, including colorectal cancer. PD-1 inhibitors have been shown to be effective in the MSI-H subty</w:t>
      </w:r>
      <w:r>
        <w:rPr>
          <w:rFonts w:ascii="Book Antiqua" w:eastAsia="Book Antiqua" w:hAnsi="Book Antiqua" w:cs="Book Antiqua"/>
          <w:color w:val="000000"/>
        </w:rPr>
        <w:t>pes that are associated with mismatch repair defects in patients with metastatic colorectal cancer (CRC). Immunotherapy can allow for long-term remission in a subset of patients with metastatic CRC</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latest guidelines also recommend pembrolizumab or </w:t>
      </w:r>
      <w:r>
        <w:rPr>
          <w:rFonts w:ascii="Book Antiqua" w:eastAsia="Book Antiqua" w:hAnsi="Book Antiqua" w:cs="Book Antiqua"/>
          <w:color w:val="000000"/>
        </w:rPr>
        <w:t>nivolumab as first-line treatment options for patients with MSI-H CRC</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p>
    <w:p w14:paraId="5BEE911A" w14:textId="77777777" w:rsidR="00C53E0F" w:rsidRDefault="00122932">
      <w:pPr>
        <w:spacing w:line="360" w:lineRule="auto"/>
        <w:ind w:firstLineChars="200" w:firstLine="480"/>
        <w:jc w:val="both"/>
      </w:pPr>
      <w:r>
        <w:rPr>
          <w:rFonts w:ascii="Book Antiqua" w:eastAsia="Book Antiqua" w:hAnsi="Book Antiqua" w:cs="Book Antiqua"/>
          <w:color w:val="000000"/>
        </w:rPr>
        <w:t>For patients with CRC who have failed to receive standard first-line and second-line treatments, the third-line treatment consists of regorafenib, fruquintinib, and TAS-102</w:t>
      </w:r>
      <w:r>
        <w:rPr>
          <w:rFonts w:ascii="Book Antiqua" w:eastAsia="Book Antiqua" w:hAnsi="Book Antiqua" w:cs="Book Antiqua"/>
          <w:color w:val="000000"/>
          <w:vertAlign w:val="superscript"/>
        </w:rPr>
        <w:t>[4]</w:t>
      </w:r>
      <w:r>
        <w:rPr>
          <w:rFonts w:ascii="Book Antiqua" w:eastAsia="Book Antiqua" w:hAnsi="Book Antiqua" w:cs="Book Antiqua"/>
          <w:color w:val="000000"/>
        </w:rPr>
        <w:t>. Clin</w:t>
      </w:r>
      <w:r>
        <w:rPr>
          <w:rFonts w:ascii="Book Antiqua" w:eastAsia="Book Antiqua" w:hAnsi="Book Antiqua" w:cs="Book Antiqua"/>
          <w:color w:val="000000"/>
        </w:rPr>
        <w:t>ical studies have shown that antiangiogenic drugs combined with an immune checkpoint blockade can significantly improve the effectiveness of the malignant tumour treatments</w:t>
      </w:r>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In addition, patients with MSI-H colorectal cancer are </w:t>
      </w:r>
      <w:r>
        <w:rPr>
          <w:rFonts w:ascii="Book Antiqua" w:eastAsia="Book Antiqua" w:hAnsi="Book Antiqua" w:cs="Book Antiqua"/>
          <w:color w:val="000000"/>
        </w:rPr>
        <w:t>characterized by high VEGF expression, which can be inhibited by fruquintinib. In this case, the combination of fruquintinib resulted in a better efficacy of the neoadjuvant therapy.</w:t>
      </w:r>
    </w:p>
    <w:p w14:paraId="6A416E61" w14:textId="77777777" w:rsidR="00C53E0F" w:rsidRDefault="00C53E0F">
      <w:pPr>
        <w:spacing w:line="360" w:lineRule="auto"/>
        <w:jc w:val="both"/>
      </w:pPr>
    </w:p>
    <w:p w14:paraId="6B347A91" w14:textId="77777777" w:rsidR="00C53E0F" w:rsidRDefault="00122932">
      <w:pPr>
        <w:spacing w:line="360" w:lineRule="auto"/>
        <w:jc w:val="both"/>
      </w:pPr>
      <w:r>
        <w:rPr>
          <w:rFonts w:ascii="Book Antiqua" w:eastAsia="Book Antiqua" w:hAnsi="Book Antiqua" w:cs="Book Antiqua"/>
          <w:b/>
          <w:caps/>
          <w:color w:val="000000"/>
          <w:u w:val="single"/>
        </w:rPr>
        <w:t>CASE PRESENTATION</w:t>
      </w:r>
    </w:p>
    <w:p w14:paraId="574F0C21" w14:textId="77777777" w:rsidR="00C53E0F" w:rsidRDefault="00122932">
      <w:pPr>
        <w:spacing w:line="360" w:lineRule="auto"/>
        <w:jc w:val="both"/>
      </w:pPr>
      <w:r>
        <w:rPr>
          <w:rFonts w:ascii="Book Antiqua" w:eastAsia="Book Antiqua" w:hAnsi="Book Antiqua" w:cs="Book Antiqua"/>
          <w:b/>
          <w:i/>
          <w:color w:val="000000"/>
        </w:rPr>
        <w:t>Chief complaints</w:t>
      </w:r>
    </w:p>
    <w:p w14:paraId="0E9126C8" w14:textId="77777777" w:rsidR="00C53E0F" w:rsidRDefault="00122932">
      <w:pPr>
        <w:spacing w:line="360" w:lineRule="auto"/>
        <w:jc w:val="both"/>
      </w:pPr>
      <w:r>
        <w:rPr>
          <w:rFonts w:ascii="Book Antiqua" w:eastAsia="Book Antiqua" w:hAnsi="Book Antiqua" w:cs="Book Antiqua"/>
          <w:color w:val="000000"/>
        </w:rPr>
        <w:lastRenderedPageBreak/>
        <w:t>A 30-year-old man had an increased st</w:t>
      </w:r>
      <w:r>
        <w:rPr>
          <w:rFonts w:ascii="Book Antiqua" w:eastAsia="Book Antiqua" w:hAnsi="Book Antiqua" w:cs="Book Antiqua"/>
          <w:color w:val="000000"/>
        </w:rPr>
        <w:t>ool frequency and unformed stool over a year.</w:t>
      </w:r>
    </w:p>
    <w:p w14:paraId="7189837F" w14:textId="77777777" w:rsidR="00C53E0F" w:rsidRDefault="00C53E0F">
      <w:pPr>
        <w:spacing w:line="360" w:lineRule="auto"/>
        <w:jc w:val="both"/>
      </w:pPr>
    </w:p>
    <w:p w14:paraId="43868BDC" w14:textId="77777777" w:rsidR="00C53E0F" w:rsidRDefault="00122932">
      <w:pPr>
        <w:spacing w:line="360" w:lineRule="auto"/>
        <w:jc w:val="both"/>
      </w:pPr>
      <w:r>
        <w:rPr>
          <w:rFonts w:ascii="Book Antiqua" w:eastAsia="Book Antiqua" w:hAnsi="Book Antiqua" w:cs="Book Antiqua"/>
          <w:b/>
          <w:i/>
          <w:color w:val="000000"/>
        </w:rPr>
        <w:t>History of present illness</w:t>
      </w:r>
    </w:p>
    <w:p w14:paraId="1BB03FFB" w14:textId="77777777" w:rsidR="00C53E0F" w:rsidRDefault="00122932">
      <w:pPr>
        <w:spacing w:line="360" w:lineRule="auto"/>
        <w:jc w:val="both"/>
      </w:pPr>
      <w:r>
        <w:rPr>
          <w:rFonts w:ascii="Book Antiqua" w:eastAsia="Book Antiqua" w:hAnsi="Book Antiqua" w:cs="Book Antiqua"/>
          <w:color w:val="000000"/>
          <w:szCs w:val="21"/>
        </w:rPr>
        <w:t xml:space="preserve">One year ago, the patient had an increased stool frequency without any obvious inciting cause, and his stool properties had changed. He had abdominal distension for 2 mo prior to </w:t>
      </w:r>
      <w:r>
        <w:rPr>
          <w:rFonts w:ascii="Book Antiqua" w:eastAsia="Book Antiqua" w:hAnsi="Book Antiqua" w:cs="Book Antiqua"/>
          <w:color w:val="000000"/>
          <w:szCs w:val="21"/>
        </w:rPr>
        <w:t>presentation</w:t>
      </w:r>
      <w:r>
        <w:rPr>
          <w:rFonts w:ascii="Book Antiqua" w:eastAsia="Book Antiqua" w:hAnsi="Book Antiqua" w:cs="Book Antiqua"/>
          <w:color w:val="000000"/>
          <w:szCs w:val="16"/>
        </w:rPr>
        <w:t>,</w:t>
      </w:r>
      <w:r>
        <w:rPr>
          <w:rFonts w:ascii="Book Antiqua" w:eastAsia="Book Antiqua" w:hAnsi="Book Antiqua" w:cs="Book Antiqua"/>
          <w:color w:val="000000"/>
          <w:szCs w:val="21"/>
        </w:rPr>
        <w:t xml:space="preserve"> and his stools were loose and unformed 3 to 4 times a day. On May 26, 2021, the patient underwent a colonoscopy. The colonoscopy found that the patient had a mass that was approximately 60 cm away from the anus. Pathology showed severe atypic</w:t>
      </w:r>
      <w:r>
        <w:rPr>
          <w:rFonts w:ascii="Book Antiqua" w:eastAsia="Book Antiqua" w:hAnsi="Book Antiqua" w:cs="Book Antiqua"/>
          <w:color w:val="000000"/>
          <w:szCs w:val="21"/>
        </w:rPr>
        <w:t xml:space="preserve">al hyperplasia and adenocarcinoma in parts of the glandular epithelium </w:t>
      </w:r>
      <w:r>
        <w:rPr>
          <w:rFonts w:ascii="Book Antiqua" w:eastAsia="Book Antiqua" w:hAnsi="Book Antiqua" w:cs="Book Antiqua" w:hint="eastAsia"/>
          <w:color w:val="000000"/>
          <w:szCs w:val="21"/>
        </w:rPr>
        <w:t>(Figure 1 and Table 1).</w:t>
      </w:r>
    </w:p>
    <w:p w14:paraId="5393377B" w14:textId="77777777" w:rsidR="00C53E0F" w:rsidRDefault="00C53E0F">
      <w:pPr>
        <w:spacing w:line="360" w:lineRule="auto"/>
        <w:jc w:val="both"/>
      </w:pPr>
    </w:p>
    <w:p w14:paraId="51C44578" w14:textId="77777777" w:rsidR="00C53E0F" w:rsidRDefault="00122932">
      <w:pPr>
        <w:spacing w:line="360" w:lineRule="auto"/>
        <w:jc w:val="both"/>
      </w:pPr>
      <w:r>
        <w:rPr>
          <w:rFonts w:ascii="Book Antiqua" w:eastAsia="Book Antiqua" w:hAnsi="Book Antiqua" w:cs="Book Antiqua"/>
          <w:b/>
          <w:i/>
          <w:color w:val="000000"/>
        </w:rPr>
        <w:t>History of past illness</w:t>
      </w:r>
    </w:p>
    <w:p w14:paraId="71A9F9FD" w14:textId="77777777" w:rsidR="00C53E0F" w:rsidRDefault="00122932">
      <w:pPr>
        <w:spacing w:line="360" w:lineRule="auto"/>
        <w:jc w:val="both"/>
      </w:pPr>
      <w:r>
        <w:rPr>
          <w:rFonts w:ascii="Book Antiqua" w:eastAsia="Book Antiqua" w:hAnsi="Book Antiqua" w:cs="Book Antiqua"/>
          <w:color w:val="000000"/>
        </w:rPr>
        <w:t>The patient’s previous medical history was free of disease.</w:t>
      </w:r>
    </w:p>
    <w:p w14:paraId="20E8403F" w14:textId="77777777" w:rsidR="00C53E0F" w:rsidRDefault="00C53E0F">
      <w:pPr>
        <w:spacing w:line="360" w:lineRule="auto"/>
        <w:jc w:val="both"/>
      </w:pPr>
    </w:p>
    <w:p w14:paraId="08F56291" w14:textId="77777777" w:rsidR="00C53E0F" w:rsidRDefault="00122932">
      <w:pPr>
        <w:spacing w:line="360" w:lineRule="auto"/>
        <w:jc w:val="both"/>
      </w:pPr>
      <w:r>
        <w:rPr>
          <w:rFonts w:ascii="Book Antiqua" w:eastAsia="Book Antiqua" w:hAnsi="Book Antiqua" w:cs="Book Antiqua"/>
          <w:b/>
          <w:i/>
          <w:color w:val="000000"/>
        </w:rPr>
        <w:t>Personal and family history</w:t>
      </w:r>
    </w:p>
    <w:p w14:paraId="48D31890" w14:textId="77777777" w:rsidR="00C53E0F" w:rsidRDefault="00122932">
      <w:pPr>
        <w:spacing w:line="360" w:lineRule="auto"/>
        <w:jc w:val="both"/>
      </w:pPr>
      <w:r>
        <w:rPr>
          <w:rFonts w:ascii="Book Antiqua" w:eastAsia="Book Antiqua" w:hAnsi="Book Antiqua" w:cs="Book Antiqua"/>
          <w:color w:val="000000"/>
        </w:rPr>
        <w:t>The patient’s personal and family history was f</w:t>
      </w:r>
      <w:r>
        <w:rPr>
          <w:rFonts w:ascii="Book Antiqua" w:eastAsia="Book Antiqua" w:hAnsi="Book Antiqua" w:cs="Book Antiqua"/>
          <w:color w:val="000000"/>
        </w:rPr>
        <w:t>ree of disease.</w:t>
      </w:r>
    </w:p>
    <w:p w14:paraId="65621584" w14:textId="77777777" w:rsidR="00C53E0F" w:rsidRDefault="00C53E0F">
      <w:pPr>
        <w:spacing w:line="360" w:lineRule="auto"/>
        <w:jc w:val="both"/>
      </w:pPr>
    </w:p>
    <w:p w14:paraId="7EE0548C" w14:textId="77777777" w:rsidR="00C53E0F" w:rsidRDefault="00122932">
      <w:pPr>
        <w:spacing w:line="360" w:lineRule="auto"/>
        <w:jc w:val="both"/>
      </w:pPr>
      <w:r>
        <w:rPr>
          <w:rFonts w:ascii="Book Antiqua" w:eastAsia="Book Antiqua" w:hAnsi="Book Antiqua" w:cs="Book Antiqua"/>
          <w:b/>
          <w:i/>
          <w:color w:val="000000"/>
        </w:rPr>
        <w:t>Physical examination</w:t>
      </w:r>
    </w:p>
    <w:p w14:paraId="7F1878C4" w14:textId="77777777" w:rsidR="00C53E0F" w:rsidRDefault="00122932">
      <w:pPr>
        <w:spacing w:line="360" w:lineRule="auto"/>
        <w:jc w:val="both"/>
      </w:pPr>
      <w:r>
        <w:rPr>
          <w:rFonts w:ascii="Book Antiqua" w:eastAsia="Book Antiqua" w:hAnsi="Book Antiqua" w:cs="Book Antiqua"/>
          <w:color w:val="000000"/>
        </w:rPr>
        <w:t xml:space="preserve">The patient’s vital signs were as follows: his temperature was 36.5 °C, his heart rate was 78 bpm, his respiratory rate was 17 breaths per minute, and his blood pressure was 121/84 mmHg. His abdomen was flat and soft, </w:t>
      </w:r>
      <w:r>
        <w:rPr>
          <w:rFonts w:ascii="Book Antiqua" w:eastAsia="Book Antiqua" w:hAnsi="Book Antiqua" w:cs="Book Antiqua"/>
          <w:color w:val="000000"/>
        </w:rPr>
        <w:t xml:space="preserve">there were no gastrointestinal peristaltic waves, and he had no abdominal varicose and no tenderness or rebound pain in any part of his abdomen. He did not have any abdominal muscle tension, or any pain in his liver, spleen or ribs, no obvious masses were </w:t>
      </w:r>
      <w:r>
        <w:rPr>
          <w:rFonts w:ascii="Book Antiqua" w:eastAsia="Book Antiqua" w:hAnsi="Book Antiqua" w:cs="Book Antiqua"/>
          <w:color w:val="000000"/>
        </w:rPr>
        <w:t>detected, and Murphy’s sign was negative. The test for shifting dullness was negative, no percussion pain was present in the area of the liver or in the areas of either of his kidneys, and his bowel sounds were heard at a frequency of 4 times/min. A digita</w:t>
      </w:r>
      <w:r>
        <w:rPr>
          <w:rFonts w:ascii="Book Antiqua" w:eastAsia="Book Antiqua" w:hAnsi="Book Antiqua" w:cs="Book Antiqua"/>
          <w:color w:val="000000"/>
        </w:rPr>
        <w:t>l rectal examination showed no obvious abnormalities.</w:t>
      </w:r>
    </w:p>
    <w:p w14:paraId="68DDE56C" w14:textId="77777777" w:rsidR="00C53E0F" w:rsidRDefault="00C53E0F">
      <w:pPr>
        <w:spacing w:line="360" w:lineRule="auto"/>
        <w:jc w:val="both"/>
      </w:pPr>
    </w:p>
    <w:p w14:paraId="23B74191" w14:textId="77777777" w:rsidR="00C53E0F" w:rsidRDefault="00122932">
      <w:pPr>
        <w:spacing w:line="360" w:lineRule="auto"/>
        <w:jc w:val="both"/>
      </w:pPr>
      <w:r>
        <w:rPr>
          <w:rFonts w:ascii="Book Antiqua" w:eastAsia="Book Antiqua" w:hAnsi="Book Antiqua" w:cs="Book Antiqua"/>
          <w:b/>
          <w:i/>
          <w:color w:val="000000"/>
        </w:rPr>
        <w:t>Laboratory examinations</w:t>
      </w:r>
    </w:p>
    <w:p w14:paraId="485B2FA4" w14:textId="77777777" w:rsidR="00C53E0F" w:rsidRDefault="00122932">
      <w:pPr>
        <w:spacing w:line="360" w:lineRule="auto"/>
        <w:jc w:val="both"/>
        <w:rPr>
          <w:lang w:eastAsia="zh-CN"/>
        </w:rPr>
      </w:pPr>
      <w:r>
        <w:rPr>
          <w:rFonts w:ascii="Book Antiqua" w:eastAsia="Book Antiqua" w:hAnsi="Book Antiqua" w:cs="Book Antiqua"/>
          <w:color w:val="000000"/>
        </w:rPr>
        <w:lastRenderedPageBreak/>
        <w:t>CEA 3.23 ng/mL</w:t>
      </w:r>
      <w:r>
        <w:rPr>
          <w:rFonts w:ascii="Book Antiqua" w:hAnsi="Book Antiqua" w:cs="Book Antiqua" w:hint="eastAsia"/>
          <w:color w:val="000000"/>
          <w:lang w:eastAsia="zh-CN"/>
        </w:rPr>
        <w:t>, f</w:t>
      </w:r>
      <w:r>
        <w:rPr>
          <w:rFonts w:ascii="Book Antiqua" w:eastAsia="Book Antiqua" w:hAnsi="Book Antiqua" w:cs="Book Antiqua"/>
          <w:color w:val="000000"/>
        </w:rPr>
        <w:t>aecal occult blood test (+)</w:t>
      </w:r>
      <w:r>
        <w:rPr>
          <w:rFonts w:ascii="Book Antiqua" w:hAnsi="Book Antiqua" w:cs="Book Antiqua" w:hint="eastAsia"/>
          <w:color w:val="000000"/>
          <w:lang w:eastAsia="zh-CN"/>
        </w:rPr>
        <w:t>.</w:t>
      </w:r>
    </w:p>
    <w:p w14:paraId="6D3F89DB" w14:textId="77777777" w:rsidR="00C53E0F" w:rsidRDefault="00C53E0F">
      <w:pPr>
        <w:spacing w:line="360" w:lineRule="auto"/>
        <w:jc w:val="both"/>
      </w:pPr>
    </w:p>
    <w:p w14:paraId="39988A40" w14:textId="77777777" w:rsidR="00C53E0F" w:rsidRDefault="00122932">
      <w:pPr>
        <w:spacing w:line="360" w:lineRule="auto"/>
        <w:jc w:val="both"/>
      </w:pPr>
      <w:r>
        <w:rPr>
          <w:rFonts w:ascii="Book Antiqua" w:eastAsia="Book Antiqua" w:hAnsi="Book Antiqua" w:cs="Book Antiqua"/>
          <w:b/>
          <w:i/>
          <w:color w:val="000000"/>
        </w:rPr>
        <w:t>Imaging examinations</w:t>
      </w:r>
    </w:p>
    <w:p w14:paraId="2BFC7E1C" w14:textId="77777777" w:rsidR="00C53E0F" w:rsidRDefault="00122932">
      <w:pPr>
        <w:spacing w:line="360" w:lineRule="auto"/>
        <w:jc w:val="both"/>
      </w:pPr>
      <w:r>
        <w:rPr>
          <w:rFonts w:ascii="Book Antiqua" w:eastAsia="Book Antiqua" w:hAnsi="Book Antiqua" w:cs="Book Antiqua"/>
          <w:color w:val="000000"/>
        </w:rPr>
        <w:t>2021-05 Whole abdominal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computed tomography </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The intestinal wall at the hepatic curvature of the colon w</w:t>
      </w:r>
      <w:r>
        <w:rPr>
          <w:rFonts w:ascii="Book Antiqua" w:eastAsia="Book Antiqua" w:hAnsi="Book Antiqua" w:cs="Book Antiqua"/>
          <w:color w:val="000000"/>
        </w:rPr>
        <w:t>as significantly thickened with enhancement, the surrounding fat space was blurred, and the adjacent lymph nodes were enlarged (Figure 2A). Enlarged lymph nodes were found beside the abdominal aorta and were approximately 1 cm in size (Figure 3A). It was r</w:t>
      </w:r>
      <w:r>
        <w:rPr>
          <w:rFonts w:ascii="Book Antiqua" w:eastAsia="Book Antiqua" w:hAnsi="Book Antiqua" w:cs="Book Antiqua"/>
          <w:color w:val="000000"/>
        </w:rPr>
        <w:t>ecommended that an abnormal density of the left liver lobe be further evaluated.</w:t>
      </w:r>
    </w:p>
    <w:p w14:paraId="107ECF3E" w14:textId="77777777" w:rsidR="00C53E0F" w:rsidRDefault="00C53E0F">
      <w:pPr>
        <w:spacing w:line="360" w:lineRule="auto"/>
        <w:jc w:val="both"/>
      </w:pPr>
    </w:p>
    <w:p w14:paraId="6BE1338B" w14:textId="77777777" w:rsidR="00C53E0F" w:rsidRDefault="00122932">
      <w:pPr>
        <w:spacing w:line="360" w:lineRule="auto"/>
        <w:jc w:val="both"/>
      </w:pPr>
      <w:r>
        <w:rPr>
          <w:rFonts w:ascii="Book Antiqua" w:eastAsia="Book Antiqua" w:hAnsi="Book Antiqua" w:cs="Book Antiqua"/>
          <w:b/>
          <w:caps/>
          <w:color w:val="000000"/>
          <w:u w:val="single"/>
        </w:rPr>
        <w:t>FINAL DIAGNOSIS</w:t>
      </w:r>
    </w:p>
    <w:p w14:paraId="39835A47" w14:textId="77777777" w:rsidR="00C53E0F" w:rsidRDefault="00122932">
      <w:pPr>
        <w:spacing w:line="360" w:lineRule="auto"/>
        <w:jc w:val="both"/>
      </w:pPr>
      <w:r>
        <w:rPr>
          <w:rFonts w:ascii="Book Antiqua" w:eastAsia="Book Antiqua" w:hAnsi="Book Antiqua" w:cs="Book Antiqua"/>
          <w:color w:val="000000"/>
        </w:rPr>
        <w:t>The final diagnosis was a hepatic flexure tumour of the colon.</w:t>
      </w:r>
    </w:p>
    <w:p w14:paraId="7F2B1627" w14:textId="77777777" w:rsidR="00C53E0F" w:rsidRDefault="00C53E0F">
      <w:pPr>
        <w:spacing w:line="360" w:lineRule="auto"/>
        <w:jc w:val="both"/>
      </w:pPr>
    </w:p>
    <w:p w14:paraId="32FDD77F" w14:textId="77777777" w:rsidR="00C53E0F" w:rsidRDefault="00122932">
      <w:pPr>
        <w:spacing w:line="360" w:lineRule="auto"/>
        <w:jc w:val="both"/>
      </w:pPr>
      <w:r>
        <w:rPr>
          <w:rFonts w:ascii="Book Antiqua" w:eastAsia="Book Antiqua" w:hAnsi="Book Antiqua" w:cs="Book Antiqua"/>
          <w:b/>
          <w:caps/>
          <w:color w:val="000000"/>
          <w:u w:val="single"/>
        </w:rPr>
        <w:t>TREATMENT</w:t>
      </w:r>
    </w:p>
    <w:p w14:paraId="4F40EA65" w14:textId="77777777" w:rsidR="00C53E0F" w:rsidRDefault="0012293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Considering the results of the relevant examinations, the patient's tumour had a </w:t>
      </w:r>
      <w:r>
        <w:rPr>
          <w:rFonts w:ascii="Book Antiqua" w:eastAsia="Book Antiqua" w:hAnsi="Book Antiqua" w:cs="Book Antiqua"/>
          <w:color w:val="000000"/>
        </w:rPr>
        <w:t>high degree of malignancy. We decided to treat him with neoadjuvant therapy to decrease the size of the mass, reduce the stage of the tumour, and improve the complete resection rate, instead of going straight to surgery. After the exclusion of contraindica</w:t>
      </w:r>
      <w:r>
        <w:rPr>
          <w:rFonts w:ascii="Book Antiqua" w:eastAsia="Book Antiqua" w:hAnsi="Book Antiqua" w:cs="Book Antiqua"/>
          <w:color w:val="000000"/>
        </w:rPr>
        <w:t>tions, the patient received the first cycle of the "PD-1 inhibitor (Paprizumab) 200 mg DL + Fruquintinib 1# Po QD DL -- 21" from 2021-06, and the process went smoothly without any complaints of discomfort from the patient.</w:t>
      </w:r>
    </w:p>
    <w:p w14:paraId="086CF492" w14:textId="77777777" w:rsidR="00C53E0F" w:rsidRDefault="00122932">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Another abdominal CT was obtained</w:t>
      </w:r>
      <w:r>
        <w:rPr>
          <w:rFonts w:ascii="Book Antiqua" w:eastAsia="Book Antiqua" w:hAnsi="Book Antiqua" w:cs="Book Antiqua"/>
          <w:color w:val="000000"/>
        </w:rPr>
        <w:t xml:space="preserve"> on 2021-07. The range of the colonic lesions and the surrounding lymph nodes were reduced (Figure 2B). The para-aortic lymph nodes were smaller than before, with a reduction in size from 1 cm to 0.5 cm (Figure 3B). Abdominal CT (2021-09) showed further sh</w:t>
      </w:r>
      <w:r>
        <w:rPr>
          <w:rFonts w:ascii="Book Antiqua" w:eastAsia="Book Antiqua" w:hAnsi="Book Antiqua" w:cs="Book Antiqua"/>
          <w:color w:val="000000"/>
        </w:rPr>
        <w:t>rinkage of the colonic lesion (Figure 2C).</w:t>
      </w:r>
    </w:p>
    <w:p w14:paraId="56EF2A47" w14:textId="77777777" w:rsidR="00C53E0F" w:rsidRDefault="00122932">
      <w:pPr>
        <w:spacing w:line="360" w:lineRule="auto"/>
        <w:ind w:firstLineChars="200" w:firstLine="480"/>
        <w:jc w:val="both"/>
      </w:pPr>
      <w:r>
        <w:rPr>
          <w:rFonts w:ascii="Book Antiqua" w:eastAsia="Book Antiqua" w:hAnsi="Book Antiqua" w:cs="Book Antiqua"/>
          <w:color w:val="000000"/>
        </w:rPr>
        <w:t>After 4 cycles of PD1+ fruquintinib treatment, the patient was admitted to the Department of Colorectal Surgery on 2021-10 for a radical colon cancer resection.</w:t>
      </w:r>
      <w:r>
        <w:rPr>
          <w:rFonts w:ascii="Book Antiqua" w:eastAsia="Book Antiqua" w:hAnsi="Book Antiqua" w:cs="Book Antiqua"/>
          <w:color w:val="000000"/>
        </w:rPr>
        <w:br/>
        <w:t>Radical resection of a right colon cancer occurred o</w:t>
      </w:r>
      <w:r>
        <w:rPr>
          <w:rFonts w:ascii="Book Antiqua" w:eastAsia="Book Antiqua" w:hAnsi="Book Antiqua" w:cs="Book Antiqua"/>
          <w:color w:val="000000"/>
        </w:rPr>
        <w:t xml:space="preserve">n 2021-10. Laparoscopic examination showed that after the patient received neoadjuvant chemotherapy for the colon cancer, </w:t>
      </w:r>
      <w:r>
        <w:rPr>
          <w:rFonts w:ascii="Book Antiqua" w:eastAsia="Book Antiqua" w:hAnsi="Book Antiqua" w:cs="Book Antiqua"/>
          <w:color w:val="000000"/>
        </w:rPr>
        <w:lastRenderedPageBreak/>
        <w:t xml:space="preserve">the tumour was located in the hepatic curvature of the transverse colon and did not invade the serous membrane, so a laparoscopic CME </w:t>
      </w:r>
      <w:r>
        <w:rPr>
          <w:rFonts w:ascii="Book Antiqua" w:eastAsia="Book Antiqua" w:hAnsi="Book Antiqua" w:cs="Book Antiqua"/>
          <w:color w:val="000000"/>
        </w:rPr>
        <w:t>was planned. The operation went smoothly, the bleeding was minimal, the patient's vital signs were stable, and the postoperative specimens were sent out for examination. The pathologic evaluation of the posttreatment tumour regression (TRG) after neoadjuva</w:t>
      </w:r>
      <w:r>
        <w:rPr>
          <w:rFonts w:ascii="Book Antiqua" w:eastAsia="Book Antiqua" w:hAnsi="Book Antiqua" w:cs="Book Antiqua"/>
          <w:color w:val="000000"/>
        </w:rPr>
        <w:t>nt therapy showed a complete regression microscopically; no tumour cells were visible; and there were only a few mucous lakes that were infiltrating below the serosal membrane (Figure 4).</w:t>
      </w:r>
    </w:p>
    <w:p w14:paraId="3035CA33" w14:textId="77777777" w:rsidR="00C53E0F" w:rsidRDefault="00C53E0F">
      <w:pPr>
        <w:spacing w:line="360" w:lineRule="auto"/>
        <w:jc w:val="both"/>
      </w:pPr>
    </w:p>
    <w:p w14:paraId="1A9AC94B" w14:textId="77777777" w:rsidR="00C53E0F" w:rsidRDefault="00122932">
      <w:pPr>
        <w:spacing w:line="360" w:lineRule="auto"/>
        <w:jc w:val="both"/>
      </w:pPr>
      <w:r>
        <w:rPr>
          <w:rFonts w:ascii="Book Antiqua" w:eastAsia="Book Antiqua" w:hAnsi="Book Antiqua" w:cs="Book Antiqua"/>
          <w:b/>
          <w:caps/>
          <w:color w:val="000000"/>
          <w:u w:val="single"/>
        </w:rPr>
        <w:t>OUTCOME AND FOLLOW-UP</w:t>
      </w:r>
    </w:p>
    <w:p w14:paraId="3F28EFA7" w14:textId="77777777" w:rsidR="00C53E0F" w:rsidRDefault="00122932">
      <w:pPr>
        <w:spacing w:line="360" w:lineRule="auto"/>
        <w:jc w:val="both"/>
      </w:pPr>
      <w:r>
        <w:rPr>
          <w:rFonts w:ascii="Book Antiqua" w:eastAsia="Book Antiqua" w:hAnsi="Book Antiqua" w:cs="Book Antiqua"/>
          <w:color w:val="000000"/>
          <w:szCs w:val="21"/>
        </w:rPr>
        <w:t>Postoperative immunomodulatory, anti-inflamma</w:t>
      </w:r>
      <w:r>
        <w:rPr>
          <w:rFonts w:ascii="Book Antiqua" w:eastAsia="Book Antiqua" w:hAnsi="Book Antiqua" w:cs="Book Antiqua"/>
          <w:color w:val="000000"/>
          <w:szCs w:val="21"/>
        </w:rPr>
        <w:t>tory, anti-venous thrombosis, nutritional and other treatments were provided to the patient. The patient's symptoms improved, and no special complaints of discomfort or general conditions were observed. The patient was successfully discharged 7 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after sur</w:t>
      </w:r>
      <w:r>
        <w:rPr>
          <w:rFonts w:ascii="Book Antiqua" w:eastAsia="Book Antiqua" w:hAnsi="Book Antiqua" w:cs="Book Antiqua"/>
          <w:color w:val="000000"/>
          <w:szCs w:val="21"/>
        </w:rPr>
        <w:t>gery. A postoperative abdominal CT (2021-11) showed that a metal suture shadow was present in the operative area, and no obvious mass shadow or abnormal enhancement was observed in the anastomosis (Figure 5).</w:t>
      </w:r>
    </w:p>
    <w:p w14:paraId="207EB65B" w14:textId="77777777" w:rsidR="00C53E0F" w:rsidRDefault="00C53E0F">
      <w:pPr>
        <w:spacing w:line="360" w:lineRule="auto"/>
        <w:jc w:val="both"/>
      </w:pPr>
    </w:p>
    <w:p w14:paraId="38268EFC" w14:textId="77777777" w:rsidR="00C53E0F" w:rsidRDefault="00122932">
      <w:pPr>
        <w:spacing w:line="360" w:lineRule="auto"/>
        <w:jc w:val="both"/>
      </w:pPr>
      <w:r>
        <w:rPr>
          <w:rFonts w:ascii="Book Antiqua" w:eastAsia="Book Antiqua" w:hAnsi="Book Antiqua" w:cs="Book Antiqua"/>
          <w:b/>
          <w:caps/>
          <w:color w:val="000000"/>
          <w:u w:val="single"/>
        </w:rPr>
        <w:t>DISCUSSION</w:t>
      </w:r>
    </w:p>
    <w:p w14:paraId="3A482FCA" w14:textId="77777777" w:rsidR="00C53E0F" w:rsidRDefault="00122932">
      <w:pPr>
        <w:spacing w:line="360" w:lineRule="auto"/>
        <w:jc w:val="both"/>
      </w:pPr>
      <w:r>
        <w:rPr>
          <w:rFonts w:ascii="Book Antiqua" w:eastAsia="Book Antiqua" w:hAnsi="Book Antiqua" w:cs="Book Antiqua"/>
          <w:color w:val="000000"/>
          <w:szCs w:val="21"/>
        </w:rPr>
        <w:t xml:space="preserve">In this case report, the </w:t>
      </w:r>
      <w:r>
        <w:rPr>
          <w:rFonts w:ascii="Book Antiqua" w:eastAsia="Book Antiqua" w:hAnsi="Book Antiqua" w:cs="Book Antiqua"/>
          <w:color w:val="000000"/>
          <w:szCs w:val="21"/>
        </w:rPr>
        <w:t>neoadjuvant therapy for colon cancer included a combination of a PD-1 inhibitor and fruquintinib, which is a third-line treatment for colorectal cancer.</w:t>
      </w:r>
      <w:r>
        <w:rPr>
          <w:rFonts w:ascii="Book Antiqua" w:eastAsia="Book Antiqua" w:hAnsi="Book Antiqua" w:cs="Book Antiqua"/>
          <w:color w:val="000000"/>
          <w:szCs w:val="20"/>
          <w:shd w:val="clear" w:color="auto" w:fill="F7F8FA"/>
        </w:rPr>
        <w:t xml:space="preserve"> </w:t>
      </w:r>
      <w:r>
        <w:rPr>
          <w:rFonts w:ascii="Book Antiqua" w:eastAsia="Book Antiqua" w:hAnsi="Book Antiqua" w:cs="Book Antiqua"/>
          <w:color w:val="000000"/>
          <w:szCs w:val="21"/>
        </w:rPr>
        <w:t>PD1 inhibitors have fewer side effects than the existing neoadjuvant therapies, such as FOLFIRI, FOLFOX</w:t>
      </w:r>
      <w:r>
        <w:rPr>
          <w:rFonts w:ascii="Book Antiqua" w:eastAsia="Book Antiqua" w:hAnsi="Book Antiqua" w:cs="Book Antiqua"/>
          <w:color w:val="000000"/>
          <w:szCs w:val="21"/>
        </w:rPr>
        <w:t xml:space="preserve"> or CAPOX. The chemotherapeutic drugs of the previous regimen, such as capecitabine and oxaliplatin, can cause gastrointestinal reactions and abnormalities in the blood cell counts</w:t>
      </w:r>
      <w:r>
        <w:rPr>
          <w:rFonts w:ascii="Book Antiqua" w:eastAsia="Book Antiqua" w:hAnsi="Book Antiqua" w:cs="Book Antiqua"/>
          <w:color w:val="000000"/>
          <w:szCs w:val="16"/>
        </w:rPr>
        <w:t>.</w:t>
      </w:r>
      <w:r>
        <w:rPr>
          <w:rFonts w:ascii="Book Antiqua" w:eastAsia="Book Antiqua" w:hAnsi="Book Antiqua" w:cs="Book Antiqua"/>
          <w:color w:val="000000"/>
          <w:szCs w:val="21"/>
        </w:rPr>
        <w:t xml:space="preserve"> Patients are also less likely to develop resistance to PD1 inhibitors. The</w:t>
      </w:r>
      <w:r>
        <w:rPr>
          <w:rFonts w:ascii="Book Antiqua" w:eastAsia="Book Antiqua" w:hAnsi="Book Antiqua" w:cs="Book Antiqua"/>
          <w:color w:val="000000"/>
          <w:szCs w:val="21"/>
        </w:rPr>
        <w:t xml:space="preserve"> patient was very responsive to immunotherapy and had excellent results.</w:t>
      </w:r>
    </w:p>
    <w:p w14:paraId="7E5E34D7" w14:textId="77777777" w:rsidR="00C53E0F" w:rsidRDefault="00122932">
      <w:pPr>
        <w:spacing w:line="360" w:lineRule="auto"/>
        <w:ind w:firstLineChars="200" w:firstLine="480"/>
        <w:jc w:val="both"/>
      </w:pPr>
      <w:r>
        <w:rPr>
          <w:rFonts w:ascii="Book Antiqua" w:eastAsia="Book Antiqua" w:hAnsi="Book Antiqua" w:cs="Book Antiqua"/>
          <w:color w:val="000000"/>
          <w:szCs w:val="21"/>
        </w:rPr>
        <w:t>The main treatment mode of microsatellite instability in colorectal cancer is immunomonotherapy. However, the current response rate of immunomonotherapy is only 60%. Immunomonotherapy</w:t>
      </w:r>
      <w:r>
        <w:rPr>
          <w:rFonts w:ascii="Book Antiqua" w:eastAsia="Book Antiqua" w:hAnsi="Book Antiqua" w:cs="Book Antiqua"/>
          <w:color w:val="000000"/>
          <w:szCs w:val="21"/>
        </w:rPr>
        <w:t xml:space="preserve"> combined with antiangiogenic drugs is an important </w:t>
      </w:r>
      <w:r>
        <w:rPr>
          <w:rFonts w:ascii="Book Antiqua" w:eastAsia="Book Antiqua" w:hAnsi="Book Antiqua" w:cs="Book Antiqua"/>
          <w:color w:val="000000"/>
          <w:szCs w:val="21"/>
        </w:rPr>
        <w:lastRenderedPageBreak/>
        <w:t>method to improve the treatment efficacy. A study showed</w:t>
      </w:r>
      <w:r>
        <w:rPr>
          <w:rFonts w:ascii="Book Antiqua" w:eastAsia="Book Antiqua" w:hAnsi="Book Antiqua" w:cs="Book Antiqua"/>
          <w:color w:val="000000"/>
          <w:szCs w:val="18"/>
          <w:vertAlign w:val="superscript"/>
        </w:rPr>
        <w:t>[9]</w:t>
      </w:r>
      <w:r>
        <w:rPr>
          <w:rFonts w:ascii="Book Antiqua" w:eastAsia="Book Antiqua" w:hAnsi="Book Antiqua" w:cs="Book Antiqua"/>
          <w:color w:val="000000"/>
          <w:szCs w:val="21"/>
        </w:rPr>
        <w:t xml:space="preserve"> that, compared with monotherapy, combination therapy could significantly inhibit tumour growth and could prolong the survival time of mice. In a</w:t>
      </w:r>
      <w:r>
        <w:rPr>
          <w:rFonts w:ascii="Book Antiqua" w:eastAsia="Book Antiqua" w:hAnsi="Book Antiqua" w:cs="Book Antiqua"/>
          <w:color w:val="000000"/>
          <w:szCs w:val="21"/>
        </w:rPr>
        <w:t xml:space="preserve">ddition, fruquintinib combined with anti-PD-1 therapy reduced angiogenesis, enhanced the normalization of the vascular structure, and alleviated the tumour hypoxia. In addition, combination therapy reprogrammed the immune microenvironment by enhancing the </w:t>
      </w:r>
      <w:r>
        <w:rPr>
          <w:rFonts w:ascii="Book Antiqua" w:eastAsia="Book Antiqua" w:hAnsi="Book Antiqua" w:cs="Book Antiqua"/>
          <w:color w:val="000000"/>
          <w:szCs w:val="21"/>
        </w:rPr>
        <w:t>release of chemokines, increasing the infiltration and activation of CD8+ T cells, decreasing the proportion of regulatory T cells, and increasing the proportion of M1/M2 macrophages. Therefore, a combination therapy that is comprised of PD1 inhibitors and</w:t>
      </w:r>
      <w:r>
        <w:rPr>
          <w:rFonts w:ascii="Book Antiqua" w:eastAsia="Book Antiqua" w:hAnsi="Book Antiqua" w:cs="Book Antiqua"/>
          <w:color w:val="000000"/>
          <w:szCs w:val="21"/>
        </w:rPr>
        <w:t xml:space="preserve"> antiangiogenic therapy is needed.</w:t>
      </w:r>
    </w:p>
    <w:p w14:paraId="7F1E21D9" w14:textId="77777777" w:rsidR="00C53E0F" w:rsidRDefault="00122932">
      <w:pPr>
        <w:spacing w:line="360" w:lineRule="auto"/>
        <w:ind w:firstLineChars="200" w:firstLine="480"/>
        <w:jc w:val="both"/>
      </w:pPr>
      <w:r>
        <w:rPr>
          <w:rFonts w:ascii="Book Antiqua" w:eastAsia="Book Antiqua" w:hAnsi="Book Antiqua" w:cs="Book Antiqua"/>
          <w:color w:val="000000"/>
          <w:szCs w:val="21"/>
        </w:rPr>
        <w:t>Regular CT examination also played an important role in observing the efficacy of the neoadjuvant therapy in this case. CT showed that there was a progressive regression of the intestinal masses after the neoadjuvant ther</w:t>
      </w:r>
      <w:r>
        <w:rPr>
          <w:rFonts w:ascii="Book Antiqua" w:eastAsia="Book Antiqua" w:hAnsi="Book Antiqua" w:cs="Book Antiqua"/>
          <w:color w:val="000000"/>
          <w:szCs w:val="21"/>
        </w:rPr>
        <w:t>apy. This also suggests that the examination of intestinal masses is convenient and intuitive, and people with a family history of this condition should undergo early screening with abdominal imaging examinations or colonoscopies, as well as regular screen</w:t>
      </w:r>
      <w:r>
        <w:rPr>
          <w:rFonts w:ascii="Book Antiqua" w:eastAsia="Book Antiqua" w:hAnsi="Book Antiqua" w:cs="Book Antiqua"/>
          <w:color w:val="000000"/>
          <w:szCs w:val="21"/>
        </w:rPr>
        <w:t>ing.</w:t>
      </w:r>
    </w:p>
    <w:p w14:paraId="42058AE0" w14:textId="77777777" w:rsidR="00C53E0F" w:rsidRDefault="00122932">
      <w:pPr>
        <w:spacing w:line="360" w:lineRule="auto"/>
        <w:ind w:firstLineChars="200" w:firstLine="480"/>
        <w:jc w:val="both"/>
      </w:pPr>
      <w:r>
        <w:rPr>
          <w:rFonts w:ascii="Book Antiqua" w:eastAsia="Book Antiqua" w:hAnsi="Book Antiqua" w:cs="Book Antiqua"/>
          <w:color w:val="000000"/>
          <w:szCs w:val="21"/>
        </w:rPr>
        <w:t>It is also worth noting that the patient was in his 30 s, and this young of a patient has been very rare in previous studies</w:t>
      </w:r>
      <w:r>
        <w:rPr>
          <w:rFonts w:ascii="Book Antiqua" w:eastAsia="Book Antiqua" w:hAnsi="Book Antiqua" w:cs="Book Antiqua"/>
          <w:color w:val="000000"/>
          <w:szCs w:val="16"/>
        </w:rPr>
        <w:t>.</w:t>
      </w:r>
      <w:r>
        <w:rPr>
          <w:rFonts w:ascii="Book Antiqua" w:eastAsia="Book Antiqua" w:hAnsi="Book Antiqua" w:cs="Book Antiqua"/>
          <w:color w:val="000000"/>
          <w:szCs w:val="21"/>
        </w:rPr>
        <w:t xml:space="preserve"> Is age a factor affecting the efficacy of immunotherapy? Are young people more resistant to PD1 inhibitors and drug combinati</w:t>
      </w:r>
      <w:r>
        <w:rPr>
          <w:rFonts w:ascii="Book Antiqua" w:eastAsia="Book Antiqua" w:hAnsi="Book Antiqua" w:cs="Book Antiqua"/>
          <w:color w:val="000000"/>
          <w:szCs w:val="21"/>
        </w:rPr>
        <w:t>ons, such as fruquintinib? Further research is needed.</w:t>
      </w:r>
    </w:p>
    <w:p w14:paraId="69AD95C1" w14:textId="77777777" w:rsidR="00C53E0F" w:rsidRDefault="00122932">
      <w:pPr>
        <w:spacing w:line="360" w:lineRule="auto"/>
        <w:ind w:firstLineChars="200" w:firstLine="480"/>
        <w:jc w:val="both"/>
      </w:pPr>
      <w:r>
        <w:rPr>
          <w:rFonts w:ascii="Book Antiqua" w:eastAsia="Book Antiqua" w:hAnsi="Book Antiqua" w:cs="Book Antiqua"/>
          <w:color w:val="000000"/>
          <w:szCs w:val="21"/>
        </w:rPr>
        <w:t>According to the NCCN guidelines for colon cancer (https://www.nccn.org/), it is recommended that all patients with a personal history of colon or rectal cancer undergo universal MMR or MSI testing</w:t>
      </w:r>
      <w:r>
        <w:rPr>
          <w:rFonts w:ascii="Book Antiqua" w:eastAsia="Book Antiqua" w:hAnsi="Book Antiqua" w:cs="Book Antiqua"/>
          <w:color w:val="000000"/>
          <w:szCs w:val="18"/>
          <w:vertAlign w:val="superscript"/>
        </w:rPr>
        <w:t>[10]</w:t>
      </w:r>
      <w:r>
        <w:rPr>
          <w:rFonts w:ascii="Book Antiqua" w:eastAsia="Book Antiqua" w:hAnsi="Book Antiqua" w:cs="Book Antiqua"/>
          <w:color w:val="000000"/>
          <w:szCs w:val="21"/>
        </w:rPr>
        <w:t>. After the test is completed, an appropriate treatment plan can be developed according to the results. For patients with colorectal cancer who have the opportunity to undergo surgery, preoperative neoadjuvant therapy is helpful for mass retraction and sym</w:t>
      </w:r>
      <w:r>
        <w:rPr>
          <w:rFonts w:ascii="Book Antiqua" w:eastAsia="Book Antiqua" w:hAnsi="Book Antiqua" w:cs="Book Antiqua"/>
          <w:color w:val="000000"/>
          <w:szCs w:val="21"/>
        </w:rPr>
        <w:t>ptom relief and is conducive to the implementation of later surgery. Surgical treatment of colorectal tumours is still the most important treatment method, and neoadjuvant therapy is of great benefit prior to surgery. For example, in patients with rectal c</w:t>
      </w:r>
      <w:r>
        <w:rPr>
          <w:rFonts w:ascii="Book Antiqua" w:eastAsia="Book Antiqua" w:hAnsi="Book Antiqua" w:cs="Book Antiqua"/>
          <w:color w:val="000000"/>
          <w:szCs w:val="21"/>
        </w:rPr>
        <w:t xml:space="preserve">ancer who originally did not have anal preservation after neoadjuvant therapy, their masses had retreated, the distances between the lower edges </w:t>
      </w:r>
      <w:r>
        <w:rPr>
          <w:rFonts w:ascii="Book Antiqua" w:eastAsia="Book Antiqua" w:hAnsi="Book Antiqua" w:cs="Book Antiqua"/>
          <w:color w:val="000000"/>
          <w:szCs w:val="21"/>
        </w:rPr>
        <w:lastRenderedPageBreak/>
        <w:t>of the mass and the anus had increased, and there was a chance to retain the anuses in these patients</w:t>
      </w:r>
      <w:r>
        <w:rPr>
          <w:rFonts w:ascii="Book Antiqua" w:eastAsia="Book Antiqua" w:hAnsi="Book Antiqua" w:cs="Book Antiqua"/>
          <w:color w:val="000000"/>
          <w:szCs w:val="18"/>
          <w:vertAlign w:val="superscript"/>
        </w:rPr>
        <w:t>[11]</w:t>
      </w:r>
      <w:r>
        <w:rPr>
          <w:rFonts w:ascii="Book Antiqua" w:eastAsia="Book Antiqua" w:hAnsi="Book Antiqua" w:cs="Book Antiqua"/>
          <w:color w:val="000000"/>
          <w:szCs w:val="21"/>
        </w:rPr>
        <w:t>.</w:t>
      </w:r>
    </w:p>
    <w:p w14:paraId="4356F9E9" w14:textId="77777777" w:rsidR="00C53E0F" w:rsidRDefault="00C53E0F">
      <w:pPr>
        <w:spacing w:line="360" w:lineRule="auto"/>
        <w:jc w:val="both"/>
      </w:pPr>
    </w:p>
    <w:p w14:paraId="7ABE2F97" w14:textId="77777777" w:rsidR="00C53E0F" w:rsidRDefault="00122932">
      <w:pPr>
        <w:spacing w:line="360" w:lineRule="auto"/>
        <w:jc w:val="both"/>
      </w:pPr>
      <w:r>
        <w:rPr>
          <w:rFonts w:ascii="Book Antiqua" w:eastAsia="Book Antiqua" w:hAnsi="Book Antiqua" w:cs="Book Antiqua"/>
          <w:b/>
          <w:caps/>
          <w:color w:val="000000"/>
          <w:u w:val="single"/>
        </w:rPr>
        <w:t>CON</w:t>
      </w:r>
      <w:r>
        <w:rPr>
          <w:rFonts w:ascii="Book Antiqua" w:eastAsia="Book Antiqua" w:hAnsi="Book Antiqua" w:cs="Book Antiqua"/>
          <w:b/>
          <w:caps/>
          <w:color w:val="000000"/>
          <w:u w:val="single"/>
        </w:rPr>
        <w:t>CLUSION</w:t>
      </w:r>
    </w:p>
    <w:p w14:paraId="6D34ACCA" w14:textId="77777777" w:rsidR="00C53E0F" w:rsidRDefault="00122932">
      <w:pPr>
        <w:spacing w:line="360" w:lineRule="auto"/>
        <w:jc w:val="both"/>
      </w:pPr>
      <w:r>
        <w:rPr>
          <w:rFonts w:ascii="Book Antiqua" w:eastAsia="Book Antiqua" w:hAnsi="Book Antiqua" w:cs="Book Antiqua"/>
          <w:color w:val="000000"/>
          <w:szCs w:val="21"/>
        </w:rPr>
        <w:t>To our knowledge, PD-1 inhibitors in combination with fruquintinib have not previously been reported as a neoadjuvant therapy option in patients with colorectal cancer. This case report suggests that immunotherapy has a significant effect on micros</w:t>
      </w:r>
      <w:r>
        <w:rPr>
          <w:rFonts w:ascii="Book Antiqua" w:eastAsia="Book Antiqua" w:hAnsi="Book Antiqua" w:cs="Book Antiqua"/>
          <w:color w:val="000000"/>
          <w:szCs w:val="21"/>
        </w:rPr>
        <w:t>atellite unstable colorectal cancer patients and that combining it with antiangiogenic drugs can improve the treatment efficacy. It is of great importance to improve relevant examinations, specify appropriate neoadjuvant therapy and combine medical treatme</w:t>
      </w:r>
      <w:r>
        <w:rPr>
          <w:rFonts w:ascii="Book Antiqua" w:eastAsia="Book Antiqua" w:hAnsi="Book Antiqua" w:cs="Book Antiqua"/>
          <w:color w:val="000000"/>
          <w:szCs w:val="21"/>
        </w:rPr>
        <w:t>nt with surgical treatment in these patients.</w:t>
      </w:r>
    </w:p>
    <w:p w14:paraId="18D5A1D1" w14:textId="77777777" w:rsidR="00C53E0F" w:rsidRDefault="00C53E0F">
      <w:pPr>
        <w:spacing w:line="360" w:lineRule="auto"/>
        <w:jc w:val="both"/>
      </w:pPr>
    </w:p>
    <w:p w14:paraId="56ADA012" w14:textId="77777777" w:rsidR="00C53E0F" w:rsidRDefault="00122932">
      <w:pPr>
        <w:spacing w:line="360" w:lineRule="auto"/>
        <w:jc w:val="both"/>
      </w:pPr>
      <w:r>
        <w:rPr>
          <w:rFonts w:ascii="Book Antiqua" w:eastAsia="Book Antiqua" w:hAnsi="Book Antiqua" w:cs="Book Antiqua"/>
          <w:b/>
          <w:caps/>
          <w:color w:val="000000"/>
          <w:u w:val="single"/>
        </w:rPr>
        <w:t>ACKNOWLEDGEMENTS</w:t>
      </w:r>
    </w:p>
    <w:p w14:paraId="5DE2C7E0" w14:textId="77777777" w:rsidR="00C53E0F" w:rsidRDefault="00122932">
      <w:pPr>
        <w:spacing w:line="360" w:lineRule="auto"/>
        <w:jc w:val="both"/>
        <w:rPr>
          <w:lang w:eastAsia="zh-CN"/>
        </w:rPr>
      </w:pPr>
      <w:r>
        <w:rPr>
          <w:rFonts w:ascii="Book Antiqua" w:eastAsia="Book Antiqua" w:hAnsi="Book Antiqua" w:cs="Book Antiqua"/>
          <w:color w:val="000000"/>
        </w:rPr>
        <w:t>We thank</w:t>
      </w:r>
      <w:r>
        <w:rPr>
          <w:rFonts w:ascii="Book Antiqua" w:hAnsi="Book Antiqua" w:cs="Book Antiqua" w:hint="eastAsia"/>
          <w:color w:val="000000"/>
          <w:lang w:eastAsia="zh-CN"/>
        </w:rPr>
        <w:t xml:space="preserve"> </w:t>
      </w:r>
      <w:r>
        <w:rPr>
          <w:rFonts w:ascii="Book Antiqua" w:eastAsia="Book Antiqua" w:hAnsi="Book Antiqua" w:cs="Book Antiqua"/>
          <w:color w:val="000000"/>
        </w:rPr>
        <w:t>Sun</w:t>
      </w:r>
      <w:r>
        <w:rPr>
          <w:rFonts w:ascii="Book Antiqua" w:hAnsi="Book Antiqua" w:cs="Book Antiqua" w:hint="eastAsia"/>
          <w:color w:val="000000"/>
          <w:lang w:eastAsia="zh-CN"/>
        </w:rPr>
        <w:t xml:space="preserve"> J</w:t>
      </w:r>
      <w:r>
        <w:rPr>
          <w:rFonts w:ascii="Book Antiqua" w:eastAsia="Book Antiqua" w:hAnsi="Book Antiqua" w:cs="Book Antiqua"/>
          <w:color w:val="000000"/>
        </w:rPr>
        <w:t xml:space="preserve">, MD (Department of Oncology, The First Affiliated Hospital of Nanjing Medical University, Nanjing, </w:t>
      </w:r>
      <w:r>
        <w:rPr>
          <w:rFonts w:ascii="Book Antiqua" w:hAnsi="Book Antiqua" w:cs="Book Antiqua" w:hint="eastAsia"/>
          <w:color w:val="000000"/>
          <w:lang w:eastAsia="zh-CN"/>
        </w:rPr>
        <w:t xml:space="preserve">Jiangsu Province, </w:t>
      </w:r>
      <w:r>
        <w:rPr>
          <w:rFonts w:ascii="Book Antiqua" w:eastAsia="Book Antiqua" w:hAnsi="Book Antiqua" w:cs="Book Antiqua"/>
          <w:color w:val="000000"/>
        </w:rPr>
        <w:t>China)</w:t>
      </w:r>
      <w:r>
        <w:rPr>
          <w:rFonts w:ascii="Book Antiqua" w:hAnsi="Book Antiqua" w:cs="Book Antiqua" w:hint="eastAsia"/>
          <w:color w:val="000000"/>
          <w:lang w:eastAsia="zh-CN"/>
        </w:rPr>
        <w:t>.</w:t>
      </w:r>
    </w:p>
    <w:p w14:paraId="601AC772" w14:textId="77777777" w:rsidR="00C53E0F" w:rsidRDefault="00C53E0F">
      <w:pPr>
        <w:spacing w:line="360" w:lineRule="auto"/>
        <w:jc w:val="both"/>
      </w:pPr>
    </w:p>
    <w:p w14:paraId="7E624FE7" w14:textId="77777777" w:rsidR="00C53E0F" w:rsidRDefault="00122932">
      <w:pPr>
        <w:spacing w:line="360" w:lineRule="auto"/>
        <w:jc w:val="both"/>
      </w:pPr>
      <w:r>
        <w:rPr>
          <w:rFonts w:ascii="Book Antiqua" w:eastAsia="Book Antiqua" w:hAnsi="Book Antiqua" w:cs="Book Antiqua"/>
          <w:b/>
          <w:color w:val="000000"/>
        </w:rPr>
        <w:t>REFERENCES</w:t>
      </w:r>
    </w:p>
    <w:p w14:paraId="1CA05BEA" w14:textId="77777777" w:rsidR="00C53E0F" w:rsidRDefault="0012293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Goldstein J</w:t>
      </w:r>
      <w:r>
        <w:rPr>
          <w:rFonts w:ascii="Book Antiqua" w:eastAsia="Book Antiqua" w:hAnsi="Book Antiqua" w:cs="Book Antiqua"/>
          <w:color w:val="000000"/>
        </w:rPr>
        <w:t xml:space="preserve">, Tran B, Ensor J, Gibbs P, Wong HL, Wong SF, Vilar E, Tie J, Broaddus R, Kopetz S, Desai J, Overman MJ. </w:t>
      </w:r>
      <w:r>
        <w:rPr>
          <w:rFonts w:ascii="Book Antiqua" w:eastAsia="Book Antiqua" w:hAnsi="Book Antiqua" w:cs="Book Antiqua"/>
          <w:color w:val="000000"/>
        </w:rPr>
        <w:t xml:space="preserve">Multicenter retrospective analysis of metastatic colorectal cancer (CRC) with high-level microsatellite instability (MSI-H).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1032-1038 [PMID: 24585723 DOI: 10.1093/annonc/mdu100]</w:t>
      </w:r>
    </w:p>
    <w:p w14:paraId="4EF2D163" w14:textId="77777777" w:rsidR="00C53E0F" w:rsidRDefault="0012293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Benson AB</w:t>
      </w:r>
      <w:r>
        <w:rPr>
          <w:rFonts w:ascii="Book Antiqua" w:eastAsia="Book Antiqua" w:hAnsi="Book Antiqua" w:cs="Book Antiqua"/>
          <w:color w:val="000000"/>
        </w:rPr>
        <w:t xml:space="preserve">, Venook AP, Al-Hawary MM, Arain MA, Chen YJ, </w:t>
      </w:r>
      <w:r>
        <w:rPr>
          <w:rFonts w:ascii="Book Antiqua" w:eastAsia="Book Antiqua" w:hAnsi="Book Antiqua" w:cs="Book Antiqua"/>
          <w:color w:val="000000"/>
        </w:rPr>
        <w:t xml:space="preserve">Ciombor KK, Cohen S, Cooper HS, Deming D, Farkas L, Garrido-Laguna I, Grem JL, Gunn A, Hecht JR, Hoffe S, Hubbard J, Hunt S, Johung KL, Kirilcuk N, Krishnamurthi S, Messersmith WA, Meyerhardt J, Miller ED, Mulcahy MF, Nurkin S, Overman MJ, Parikh A, Patel </w:t>
      </w:r>
      <w:r>
        <w:rPr>
          <w:rFonts w:ascii="Book Antiqua" w:eastAsia="Book Antiqua" w:hAnsi="Book Antiqua" w:cs="Book Antiqua"/>
          <w:color w:val="000000"/>
        </w:rPr>
        <w:t xml:space="preserve">H, Pedersen K, Saltz L, Schneider C, Shibata D, Skibber JM, Sofocleous CT, Stoffel EM, Stotsky-Himelfarb E, Willett CG, Gregory KM, Gurski LA. Colon Cancer, Version 2.2021, NCCN Clinical Practice Guidelines in Oncology.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329</w:t>
      </w:r>
      <w:r>
        <w:rPr>
          <w:rFonts w:ascii="Book Antiqua" w:eastAsia="Book Antiqua" w:hAnsi="Book Antiqua" w:cs="Book Antiqua"/>
          <w:color w:val="000000"/>
        </w:rPr>
        <w:t>-359 [PMID: 33724754 DOI: 10.6004/jnccn.2021.0012]</w:t>
      </w:r>
    </w:p>
    <w:p w14:paraId="54579157" w14:textId="77777777" w:rsidR="00C53E0F" w:rsidRDefault="00122932">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Kishore C</w:t>
      </w:r>
      <w:r>
        <w:rPr>
          <w:rFonts w:ascii="Book Antiqua" w:eastAsia="Book Antiqua" w:hAnsi="Book Antiqua" w:cs="Book Antiqua"/>
          <w:color w:val="000000"/>
        </w:rPr>
        <w:t xml:space="preserve">, Bhadra P. Current advancements and future perspectives of immunotherapy in colorectal cancer research. </w:t>
      </w:r>
      <w:r>
        <w:rPr>
          <w:rFonts w:ascii="Book Antiqua" w:eastAsia="Book Antiqua" w:hAnsi="Book Antiqua" w:cs="Book Antiqua"/>
          <w:i/>
          <w:iCs/>
          <w:color w:val="000000"/>
        </w:rPr>
        <w:t>Eur J 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893</w:t>
      </w:r>
      <w:r>
        <w:rPr>
          <w:rFonts w:ascii="Book Antiqua" w:eastAsia="Book Antiqua" w:hAnsi="Book Antiqua" w:cs="Book Antiqua"/>
          <w:color w:val="000000"/>
        </w:rPr>
        <w:t>: 173819 [PMID: 33347822 DOI: 10.1016/j.ejphar.2020.173819]</w:t>
      </w:r>
    </w:p>
    <w:p w14:paraId="3E6F904C" w14:textId="77777777" w:rsidR="00C53E0F" w:rsidRDefault="0012293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Dh</w:t>
      </w:r>
      <w:r>
        <w:rPr>
          <w:rFonts w:ascii="Book Antiqua" w:eastAsia="Book Antiqua" w:hAnsi="Book Antiqua" w:cs="Book Antiqua"/>
          <w:b/>
          <w:bCs/>
          <w:color w:val="000000"/>
        </w:rPr>
        <w:t>illon S</w:t>
      </w:r>
      <w:r>
        <w:rPr>
          <w:rFonts w:ascii="Book Antiqua" w:eastAsia="Book Antiqua" w:hAnsi="Book Antiqua" w:cs="Book Antiqua"/>
          <w:color w:val="000000"/>
        </w:rPr>
        <w:t xml:space="preserve">. Regorafenib: A Review in Metastatic Colorectal Cancer.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2018; </w:t>
      </w:r>
      <w:r>
        <w:rPr>
          <w:rFonts w:ascii="Book Antiqua" w:eastAsia="Book Antiqua" w:hAnsi="Book Antiqua" w:cs="Book Antiqua"/>
          <w:b/>
          <w:bCs/>
          <w:color w:val="000000"/>
        </w:rPr>
        <w:t>78</w:t>
      </w:r>
      <w:r>
        <w:rPr>
          <w:rFonts w:ascii="Book Antiqua" w:eastAsia="Book Antiqua" w:hAnsi="Book Antiqua" w:cs="Book Antiqua"/>
          <w:color w:val="000000"/>
        </w:rPr>
        <w:t>: 1133-1144 [PMID: 29943375 DOI: 10.1007/s40265-018-0938-y]</w:t>
      </w:r>
    </w:p>
    <w:p w14:paraId="58FF7758" w14:textId="77777777" w:rsidR="00C53E0F" w:rsidRDefault="0012293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Hodi FS</w:t>
      </w:r>
      <w:r>
        <w:rPr>
          <w:rFonts w:ascii="Book Antiqua" w:eastAsia="Book Antiqua" w:hAnsi="Book Antiqua" w:cs="Book Antiqua"/>
          <w:color w:val="000000"/>
        </w:rPr>
        <w:t xml:space="preserve">, Lawrence D, Lezcano C, Wu X, Zhou J, Sasada T, Zeng W, Giobbie-Hurder A, Atkins MB, Ibrahim N, Friedlander </w:t>
      </w:r>
      <w:r>
        <w:rPr>
          <w:rFonts w:ascii="Book Antiqua" w:eastAsia="Book Antiqua" w:hAnsi="Book Antiqua" w:cs="Book Antiqua"/>
          <w:color w:val="000000"/>
        </w:rPr>
        <w:t xml:space="preserve">P, Flaherty KT, Murphy GF, Rodig S, Velazquez EF, Mihm MC Jr, Russell S, DiPiro PJ, Yap JT, Ramaiya N, Van den Abbeele AD, Gargano M, McDermott D. Bevacizumab plus ipilimumab in patients with metastatic melanoma. </w:t>
      </w:r>
      <w:r>
        <w:rPr>
          <w:rFonts w:ascii="Book Antiqua" w:eastAsia="Book Antiqua" w:hAnsi="Book Antiqua" w:cs="Book Antiqua"/>
          <w:i/>
          <w:iCs/>
          <w:color w:val="000000"/>
        </w:rPr>
        <w:t>Cancer Immunol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xml:space="preserve">: 632-642 [PMID: </w:t>
      </w:r>
      <w:r>
        <w:rPr>
          <w:rFonts w:ascii="Book Antiqua" w:eastAsia="Book Antiqua" w:hAnsi="Book Antiqua" w:cs="Book Antiqua"/>
          <w:color w:val="000000"/>
        </w:rPr>
        <w:t>24838938 DOI: 10.1158/2326-6066.CIR-14-0053]</w:t>
      </w:r>
    </w:p>
    <w:p w14:paraId="5B924C99" w14:textId="77777777" w:rsidR="00C53E0F" w:rsidRDefault="0012293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Konecny GE</w:t>
      </w:r>
      <w:r>
        <w:rPr>
          <w:rFonts w:ascii="Book Antiqua" w:eastAsia="Book Antiqua" w:hAnsi="Book Antiqua" w:cs="Book Antiqua"/>
          <w:color w:val="000000"/>
        </w:rPr>
        <w:t xml:space="preserve">. Inhibition of PD-1 and VEGF in microsatellite-stable endometrial cancer.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612-614 [PMID: 30922730 DOI: 10.1016/S1470-2045(19)30079-8]</w:t>
      </w:r>
    </w:p>
    <w:p w14:paraId="16917D6D" w14:textId="77777777" w:rsidR="00C53E0F" w:rsidRDefault="0012293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Shigeta K</w:t>
      </w:r>
      <w:r>
        <w:rPr>
          <w:rFonts w:ascii="Book Antiqua" w:eastAsia="Book Antiqua" w:hAnsi="Book Antiqua" w:cs="Book Antiqua"/>
          <w:color w:val="000000"/>
        </w:rPr>
        <w:t>, Datta M, Hato T, Kitahara S,</w:t>
      </w:r>
      <w:r>
        <w:rPr>
          <w:rFonts w:ascii="Book Antiqua" w:eastAsia="Book Antiqua" w:hAnsi="Book Antiqua" w:cs="Book Antiqua"/>
          <w:color w:val="000000"/>
        </w:rPr>
        <w:t xml:space="preserve"> Chen IX, Matsui A, Kikuchi H, Mamessier E, Aoki S, Ramjiawan RR, Ochiai H, Bardeesy N, Huang P, Cobbold M, Zhu AX, Jain RK, Duda DG. Dual Programmed Death Receptor-1 and Vascular Endothelial Growth Factor Receptor-2 Blockade Promotes Vascular Normalizatio</w:t>
      </w:r>
      <w:r>
        <w:rPr>
          <w:rFonts w:ascii="Book Antiqua" w:eastAsia="Book Antiqua" w:hAnsi="Book Antiqua" w:cs="Book Antiqua"/>
          <w:color w:val="000000"/>
        </w:rPr>
        <w:t xml:space="preserve">n and Enhances Antitumor Immune Responses in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1247-1261 [PMID: 31378984 DOI: 10.1002/hep.30889]</w:t>
      </w:r>
    </w:p>
    <w:p w14:paraId="66856B07" w14:textId="77777777" w:rsidR="00C53E0F" w:rsidRDefault="0012293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Zhao S</w:t>
      </w:r>
      <w:r>
        <w:rPr>
          <w:rFonts w:ascii="Book Antiqua" w:eastAsia="Book Antiqua" w:hAnsi="Book Antiqua" w:cs="Book Antiqua"/>
          <w:color w:val="000000"/>
        </w:rPr>
        <w:t>, Ren S, Jiang T, Zhu B, Li X, Zhao C, Jia Y, Shi J, Zhang L, Liu X, Qiao M, Chen X, Su C, Yu H, Zhou C, Zhang J, Camidge DR, Hirsch FR. Low-Dose Apatinib Optimizes Tumor Microenvironment and Potentiates Antitumor Effect of PD-1/PD-L1 Blockade in Lung Canc</w:t>
      </w:r>
      <w:r>
        <w:rPr>
          <w:rFonts w:ascii="Book Antiqua" w:eastAsia="Book Antiqua" w:hAnsi="Book Antiqua" w:cs="Book Antiqua"/>
          <w:color w:val="000000"/>
        </w:rPr>
        <w:t xml:space="preserve">er. </w:t>
      </w:r>
      <w:r>
        <w:rPr>
          <w:rFonts w:ascii="Book Antiqua" w:eastAsia="Book Antiqua" w:hAnsi="Book Antiqua" w:cs="Book Antiqua"/>
          <w:i/>
          <w:iCs/>
          <w:color w:val="000000"/>
        </w:rPr>
        <w:t>Cancer Immunol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630-643 [PMID: 30755403 DOI: 10.1158/2326-6066.CIR-17-0640]</w:t>
      </w:r>
    </w:p>
    <w:p w14:paraId="2767E0BC" w14:textId="77777777" w:rsidR="00C53E0F" w:rsidRDefault="0012293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Wei B, Gao J, Cai X, Xu L, Zhong H, Wang B, Sun Y, Guo W, Xu Q, Gu Y. Combination of Fruquintinib and Anti-PD-1 for the Treatment of Colorectal Cancer. </w:t>
      </w:r>
      <w:r>
        <w:rPr>
          <w:rFonts w:ascii="Book Antiqua" w:eastAsia="Book Antiqua" w:hAnsi="Book Antiqua" w:cs="Book Antiqua"/>
          <w:i/>
          <w:iCs/>
          <w:color w:val="000000"/>
        </w:rPr>
        <w:t xml:space="preserve">J </w:t>
      </w:r>
      <w:r>
        <w:rPr>
          <w:rFonts w:ascii="Book Antiqua" w:eastAsia="Book Antiqua" w:hAnsi="Book Antiqua" w:cs="Book Antiqua"/>
          <w:i/>
          <w:iCs/>
          <w:color w:val="000000"/>
        </w:rPr>
        <w:t>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205</w:t>
      </w:r>
      <w:r>
        <w:rPr>
          <w:rFonts w:ascii="Book Antiqua" w:eastAsia="Book Antiqua" w:hAnsi="Book Antiqua" w:cs="Book Antiqua"/>
          <w:color w:val="000000"/>
        </w:rPr>
        <w:t>: 2905-2915 [PMID: 33028620 DOI: 10.4049/jimmunol.2000463]</w:t>
      </w:r>
    </w:p>
    <w:p w14:paraId="57254312" w14:textId="77777777" w:rsidR="00C53E0F" w:rsidRDefault="00122932">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Cui S</w:t>
      </w:r>
      <w:r>
        <w:rPr>
          <w:rFonts w:ascii="Book Antiqua" w:eastAsia="Book Antiqua" w:hAnsi="Book Antiqua" w:cs="Book Antiqua"/>
          <w:color w:val="000000"/>
        </w:rPr>
        <w:t xml:space="preserve">, Zhang X, Zou R, Ye F, Wang Y, Sun J. MLH1 Exon 12 Gene Deletion Leading to Lynch Syndrome: A Case Report. </w:t>
      </w:r>
      <w:r>
        <w:rPr>
          <w:rFonts w:ascii="Book Antiqua" w:eastAsia="Book Antiqua" w:hAnsi="Book Antiqua" w:cs="Book Antiqua"/>
          <w:i/>
          <w:iCs/>
          <w:color w:val="000000"/>
        </w:rPr>
        <w:t>Oncol Res Treat</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414-421 [PMID: 34091457 DOI: 10.1159/0</w:t>
      </w:r>
      <w:r>
        <w:rPr>
          <w:rFonts w:ascii="Book Antiqua" w:eastAsia="Book Antiqua" w:hAnsi="Book Antiqua" w:cs="Book Antiqua"/>
          <w:color w:val="000000"/>
        </w:rPr>
        <w:t>00516659]</w:t>
      </w:r>
    </w:p>
    <w:p w14:paraId="4B8ADAE9" w14:textId="77777777" w:rsidR="00C53E0F" w:rsidRDefault="0012293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Hata T</w:t>
      </w:r>
      <w:r>
        <w:rPr>
          <w:rFonts w:ascii="Book Antiqua" w:eastAsia="Book Antiqua" w:hAnsi="Book Antiqua" w:cs="Book Antiqua"/>
          <w:color w:val="000000"/>
        </w:rPr>
        <w:t xml:space="preserve">, Takahashi H, Sakai D, Haraguchi N, Nishimura J, Kudo T, Chu M, Takemasa I, Taroh S, Mizushima T, Doki Y, Mori M. Neoadjuvant CapeOx therapy followed by sphincter-preserving surgery for lower rectal cancer.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1372-137</w:t>
      </w:r>
      <w:r>
        <w:rPr>
          <w:rFonts w:ascii="Book Antiqua" w:eastAsia="Book Antiqua" w:hAnsi="Book Antiqua" w:cs="Book Antiqua"/>
          <w:color w:val="000000"/>
        </w:rPr>
        <w:t>7 [PMID: 28474202 DOI: 10.1007/s00595-017-1527-5]</w:t>
      </w:r>
    </w:p>
    <w:p w14:paraId="28FD0087" w14:textId="77777777" w:rsidR="00C53E0F" w:rsidRDefault="00C53E0F">
      <w:pPr>
        <w:spacing w:line="360" w:lineRule="auto"/>
        <w:jc w:val="both"/>
        <w:sectPr w:rsidR="00C53E0F">
          <w:footerReference w:type="default" r:id="rId8"/>
          <w:pgSz w:w="12240" w:h="15840"/>
          <w:pgMar w:top="1440" w:right="1440" w:bottom="1440" w:left="1440" w:header="720" w:footer="720" w:gutter="0"/>
          <w:cols w:space="720"/>
          <w:docGrid w:linePitch="360"/>
        </w:sectPr>
      </w:pPr>
    </w:p>
    <w:p w14:paraId="0D09F364" w14:textId="77777777" w:rsidR="00C53E0F" w:rsidRDefault="00122932">
      <w:pPr>
        <w:spacing w:line="360" w:lineRule="auto"/>
        <w:jc w:val="both"/>
      </w:pPr>
      <w:r>
        <w:rPr>
          <w:rFonts w:ascii="Book Antiqua" w:eastAsia="Book Antiqua" w:hAnsi="Book Antiqua" w:cs="Book Antiqua"/>
          <w:b/>
          <w:color w:val="000000"/>
        </w:rPr>
        <w:lastRenderedPageBreak/>
        <w:t>Footnotes</w:t>
      </w:r>
    </w:p>
    <w:p w14:paraId="51CB0D95" w14:textId="77777777" w:rsidR="00C53E0F" w:rsidRDefault="0012293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Written informed consent was obtained from the patient for </w:t>
      </w:r>
      <w:r>
        <w:rPr>
          <w:rFonts w:ascii="Book Antiqua" w:eastAsia="Book Antiqua" w:hAnsi="Book Antiqua" w:cs="Book Antiqua"/>
          <w:color w:val="000000"/>
        </w:rPr>
        <w:t>publication of this report and any accompanying images.</w:t>
      </w:r>
    </w:p>
    <w:p w14:paraId="75D4E731" w14:textId="77777777" w:rsidR="00C53E0F" w:rsidRDefault="00C53E0F">
      <w:pPr>
        <w:spacing w:line="360" w:lineRule="auto"/>
        <w:jc w:val="both"/>
      </w:pPr>
    </w:p>
    <w:p w14:paraId="03B62962" w14:textId="77777777" w:rsidR="00C53E0F" w:rsidRDefault="0012293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7E5E3B56" w14:textId="77777777" w:rsidR="00C53E0F" w:rsidRDefault="00C53E0F">
      <w:pPr>
        <w:spacing w:line="360" w:lineRule="auto"/>
        <w:jc w:val="both"/>
      </w:pPr>
    </w:p>
    <w:p w14:paraId="00174EED" w14:textId="77777777" w:rsidR="00C53E0F" w:rsidRDefault="0012293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w:t>
      </w:r>
      <w:r>
        <w:rPr>
          <w:rFonts w:ascii="Book Antiqua" w:eastAsia="Book Antiqua" w:hAnsi="Book Antiqua" w:cs="Book Antiqua"/>
          <w:color w:val="000000"/>
        </w:rPr>
        <w:t>prepared and revised according to the CARE Checklist (2016).</w:t>
      </w:r>
    </w:p>
    <w:p w14:paraId="193B972B" w14:textId="77777777" w:rsidR="00C53E0F" w:rsidRDefault="00C53E0F">
      <w:pPr>
        <w:spacing w:line="360" w:lineRule="auto"/>
        <w:jc w:val="both"/>
      </w:pPr>
    </w:p>
    <w:p w14:paraId="1E230186" w14:textId="77777777" w:rsidR="00C53E0F" w:rsidRDefault="0012293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w:t>
      </w:r>
      <w:r>
        <w:rPr>
          <w:rFonts w:ascii="Book Antiqua" w:eastAsia="Book Antiqua" w:hAnsi="Book Antiqua" w:cs="Book Antiqua"/>
          <w:color w:val="000000"/>
        </w:rPr>
        <w:t>ns Attribution NonCommercial (CC BY-NC 4.0) license, which permits others to distribute, remix, adapt, build upon this work non-commercially, and license their derivative works on different terms, provided the original work is properly cited and the use is</w:t>
      </w:r>
      <w:r>
        <w:rPr>
          <w:rFonts w:ascii="Book Antiqua" w:eastAsia="Book Antiqua" w:hAnsi="Book Antiqua" w:cs="Book Antiqua"/>
          <w:color w:val="000000"/>
        </w:rPr>
        <w:t xml:space="preserve"> non-commercial. See: https://creativecommons.org/Licenses/by-nc/4.0/</w:t>
      </w:r>
    </w:p>
    <w:p w14:paraId="3FFE3BF4" w14:textId="77777777" w:rsidR="00C53E0F" w:rsidRDefault="00C53E0F">
      <w:pPr>
        <w:spacing w:line="360" w:lineRule="auto"/>
        <w:jc w:val="both"/>
      </w:pPr>
    </w:p>
    <w:p w14:paraId="174ED1D7" w14:textId="77777777" w:rsidR="00C53E0F" w:rsidRDefault="0012293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5D4E28C" w14:textId="77777777" w:rsidR="00C53E0F" w:rsidRDefault="0012293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303EC9A" w14:textId="77777777" w:rsidR="00C53E0F" w:rsidRDefault="00C53E0F">
      <w:pPr>
        <w:spacing w:line="360" w:lineRule="auto"/>
        <w:jc w:val="both"/>
      </w:pPr>
    </w:p>
    <w:p w14:paraId="18989E53" w14:textId="77777777" w:rsidR="00C53E0F" w:rsidRDefault="0012293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2022</w:t>
      </w:r>
    </w:p>
    <w:p w14:paraId="31FE897B" w14:textId="77777777" w:rsidR="00C53E0F" w:rsidRDefault="0012293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14:paraId="0CECF76C" w14:textId="77777777" w:rsidR="00C53E0F" w:rsidRDefault="00122932">
      <w:pPr>
        <w:spacing w:line="360" w:lineRule="auto"/>
        <w:jc w:val="both"/>
      </w:pPr>
      <w:r>
        <w:rPr>
          <w:rFonts w:ascii="Book Antiqua" w:eastAsia="Book Antiqua" w:hAnsi="Book Antiqua" w:cs="Book Antiqua"/>
          <w:b/>
          <w:color w:val="000000"/>
        </w:rPr>
        <w:t xml:space="preserve">Article in press: </w:t>
      </w:r>
      <w:r>
        <w:rPr>
          <w:rFonts w:ascii="Book Antiqua" w:hAnsi="Book Antiqua" w:cs="Book Antiqua"/>
          <w:bCs/>
          <w:color w:val="000000"/>
          <w:lang w:eastAsia="zh-CN"/>
        </w:rPr>
        <w:t>March 27, 2022</w:t>
      </w:r>
    </w:p>
    <w:p w14:paraId="79DCA580" w14:textId="77777777" w:rsidR="00C53E0F" w:rsidRDefault="00C53E0F">
      <w:pPr>
        <w:spacing w:line="360" w:lineRule="auto"/>
        <w:jc w:val="both"/>
      </w:pPr>
    </w:p>
    <w:p w14:paraId="20C61357" w14:textId="77777777" w:rsidR="00C53E0F" w:rsidRDefault="0012293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69E0C38D" w14:textId="77777777" w:rsidR="00C53E0F" w:rsidRDefault="0012293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EBAD4FB" w14:textId="77777777" w:rsidR="00C53E0F" w:rsidRDefault="00122932">
      <w:pPr>
        <w:spacing w:line="360" w:lineRule="auto"/>
        <w:jc w:val="both"/>
      </w:pPr>
      <w:r>
        <w:rPr>
          <w:rFonts w:ascii="Book Antiqua" w:eastAsia="Book Antiqua" w:hAnsi="Book Antiqua" w:cs="Book Antiqua"/>
          <w:b/>
          <w:color w:val="000000"/>
        </w:rPr>
        <w:t>Peer-review report’s scientific quality classification</w:t>
      </w:r>
    </w:p>
    <w:p w14:paraId="10899C72" w14:textId="77777777" w:rsidR="00C53E0F" w:rsidRDefault="00122932">
      <w:pPr>
        <w:spacing w:line="360" w:lineRule="auto"/>
        <w:jc w:val="both"/>
      </w:pPr>
      <w:r>
        <w:rPr>
          <w:rFonts w:ascii="Book Antiqua" w:eastAsia="Book Antiqua" w:hAnsi="Book Antiqua" w:cs="Book Antiqua"/>
          <w:color w:val="000000"/>
        </w:rPr>
        <w:t>Grade A (Excellent): 0</w:t>
      </w:r>
    </w:p>
    <w:p w14:paraId="0A436D40" w14:textId="77777777" w:rsidR="00C53E0F" w:rsidRDefault="00122932">
      <w:pPr>
        <w:spacing w:line="360" w:lineRule="auto"/>
        <w:jc w:val="both"/>
      </w:pPr>
      <w:r>
        <w:rPr>
          <w:rFonts w:ascii="Book Antiqua" w:eastAsia="Book Antiqua" w:hAnsi="Book Antiqua" w:cs="Book Antiqua"/>
          <w:color w:val="000000"/>
        </w:rPr>
        <w:t>Grade B (Very good): B</w:t>
      </w:r>
    </w:p>
    <w:p w14:paraId="57C2EDB1" w14:textId="77777777" w:rsidR="00C53E0F" w:rsidRDefault="00122932">
      <w:pPr>
        <w:spacing w:line="360" w:lineRule="auto"/>
        <w:jc w:val="both"/>
        <w:rPr>
          <w:lang w:eastAsia="zh-CN"/>
        </w:rPr>
      </w:pPr>
      <w:r>
        <w:rPr>
          <w:rFonts w:ascii="Book Antiqua" w:eastAsia="Book Antiqua" w:hAnsi="Book Antiqua" w:cs="Book Antiqua"/>
          <w:color w:val="000000"/>
        </w:rPr>
        <w:t>Grade C (Good): C, C</w:t>
      </w:r>
      <w:r>
        <w:rPr>
          <w:rFonts w:ascii="Book Antiqua" w:hAnsi="Book Antiqua" w:cs="Book Antiqua" w:hint="eastAsia"/>
          <w:color w:val="000000"/>
          <w:lang w:eastAsia="zh-CN"/>
        </w:rPr>
        <w:t>, C</w:t>
      </w:r>
    </w:p>
    <w:p w14:paraId="6C25770A" w14:textId="77777777" w:rsidR="00C53E0F" w:rsidRDefault="00122932">
      <w:pPr>
        <w:spacing w:line="360" w:lineRule="auto"/>
        <w:jc w:val="both"/>
      </w:pPr>
      <w:r>
        <w:rPr>
          <w:rFonts w:ascii="Book Antiqua" w:eastAsia="Book Antiqua" w:hAnsi="Book Antiqua" w:cs="Book Antiqua"/>
          <w:color w:val="000000"/>
        </w:rPr>
        <w:lastRenderedPageBreak/>
        <w:t>Grade D (F</w:t>
      </w:r>
      <w:r>
        <w:rPr>
          <w:rFonts w:ascii="Book Antiqua" w:eastAsia="Book Antiqua" w:hAnsi="Book Antiqua" w:cs="Book Antiqua"/>
          <w:color w:val="000000"/>
        </w:rPr>
        <w:t>air): D</w:t>
      </w:r>
    </w:p>
    <w:p w14:paraId="7454AF5E" w14:textId="77777777" w:rsidR="00C53E0F" w:rsidRDefault="00122932">
      <w:pPr>
        <w:spacing w:line="360" w:lineRule="auto"/>
        <w:jc w:val="both"/>
      </w:pPr>
      <w:r>
        <w:rPr>
          <w:rFonts w:ascii="Book Antiqua" w:eastAsia="Book Antiqua" w:hAnsi="Book Antiqua" w:cs="Book Antiqua"/>
          <w:color w:val="000000"/>
        </w:rPr>
        <w:t>Grade E (Poor): 0</w:t>
      </w:r>
    </w:p>
    <w:p w14:paraId="6FD8A959" w14:textId="77777777" w:rsidR="00C53E0F" w:rsidRDefault="00C53E0F">
      <w:pPr>
        <w:spacing w:line="360" w:lineRule="auto"/>
        <w:jc w:val="both"/>
      </w:pPr>
    </w:p>
    <w:p w14:paraId="65E5B371" w14:textId="77777777" w:rsidR="00C53E0F" w:rsidRDefault="001229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Bhusal U, Nepal; Jeong KY, South Korea; Tchilikidi KY, Russia; Vyshka G, Albania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hAnsi="Book Antiqua" w:cs="Book Antiqua" w:hint="eastAsia"/>
          <w:color w:val="000000"/>
          <w:lang w:eastAsia="zh-CN"/>
        </w:rPr>
        <w:t xml:space="preserve"> Wang LL</w:t>
      </w:r>
    </w:p>
    <w:p w14:paraId="3821D67C" w14:textId="77777777" w:rsidR="00C53E0F" w:rsidRDefault="00C53E0F">
      <w:pPr>
        <w:spacing w:line="360" w:lineRule="auto"/>
        <w:jc w:val="both"/>
        <w:rPr>
          <w:rFonts w:ascii="Book Antiqua" w:hAnsi="Book Antiqua" w:cs="Book Antiqua"/>
          <w:b/>
          <w:color w:val="000000"/>
          <w:lang w:eastAsia="zh-CN"/>
        </w:rPr>
      </w:pPr>
    </w:p>
    <w:p w14:paraId="052E2420" w14:textId="77777777" w:rsidR="00C53E0F" w:rsidRDefault="00C53E0F">
      <w:pPr>
        <w:spacing w:line="360" w:lineRule="auto"/>
        <w:jc w:val="both"/>
        <w:rPr>
          <w:rFonts w:ascii="Book Antiqua" w:hAnsi="Book Antiqua" w:cs="Book Antiqua"/>
          <w:b/>
          <w:color w:val="000000"/>
          <w:lang w:eastAsia="zh-CN"/>
        </w:rPr>
      </w:pPr>
    </w:p>
    <w:p w14:paraId="562C8144" w14:textId="77777777" w:rsidR="00C53E0F" w:rsidRDefault="00122932">
      <w:pPr>
        <w:spacing w:line="360" w:lineRule="auto"/>
        <w:jc w:val="both"/>
        <w:sectPr w:rsidR="00C53E0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467FCE7" w14:textId="77777777" w:rsidR="00C53E0F" w:rsidRDefault="001229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45DCC50" w14:textId="50DDEBAF" w:rsidR="00C53E0F" w:rsidRDefault="007D4677">
      <w:pPr>
        <w:spacing w:line="360" w:lineRule="auto"/>
        <w:jc w:val="both"/>
        <w:rPr>
          <w:lang w:eastAsia="zh-CN"/>
        </w:rPr>
      </w:pPr>
      <w:r>
        <w:rPr>
          <w:noProof/>
          <w:lang w:eastAsia="zh-CN"/>
        </w:rPr>
        <w:drawing>
          <wp:inline distT="0" distB="0" distL="0" distR="0" wp14:anchorId="5B10704D" wp14:editId="502C5C4E">
            <wp:extent cx="2973705" cy="21228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3705" cy="2122805"/>
                    </a:xfrm>
                    <a:prstGeom prst="rect">
                      <a:avLst/>
                    </a:prstGeom>
                    <a:noFill/>
                    <a:ln>
                      <a:noFill/>
                    </a:ln>
                  </pic:spPr>
                </pic:pic>
              </a:graphicData>
            </a:graphic>
          </wp:inline>
        </w:drawing>
      </w:r>
    </w:p>
    <w:p w14:paraId="3D73DADA" w14:textId="77777777" w:rsidR="00C53E0F" w:rsidRDefault="0012293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1</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The pathology before neoadjuvant therapy.</w:t>
      </w:r>
      <w:r>
        <w:rPr>
          <w:rFonts w:ascii="Book Antiqua" w:eastAsia="Book Antiqua" w:hAnsi="Book Antiqua" w:cs="Book Antiqua"/>
          <w:color w:val="000000"/>
        </w:rPr>
        <w:t xml:space="preserve"> Magnification ×</w:t>
      </w:r>
      <w:r>
        <w:rPr>
          <w:rFonts w:ascii="Book Antiqua" w:hAnsi="Book Antiqua" w:cs="Book Antiqua" w:hint="eastAsia"/>
          <w:color w:val="000000"/>
          <w:lang w:eastAsia="zh-CN"/>
        </w:rPr>
        <w:t xml:space="preserve"> </w:t>
      </w:r>
      <w:r>
        <w:rPr>
          <w:rFonts w:ascii="Book Antiqua" w:eastAsia="Book Antiqua" w:hAnsi="Book Antiqua" w:cs="Book Antiqua"/>
          <w:color w:val="000000"/>
        </w:rPr>
        <w:t>100.</w:t>
      </w:r>
    </w:p>
    <w:p w14:paraId="209FA31B" w14:textId="77777777" w:rsidR="00C53E0F" w:rsidRDefault="00122932">
      <w:pPr>
        <w:spacing w:line="360" w:lineRule="auto"/>
        <w:jc w:val="both"/>
        <w:rPr>
          <w:lang w:eastAsia="zh-CN"/>
        </w:rPr>
      </w:pPr>
      <w:r>
        <w:rPr>
          <w:rFonts w:ascii="Book Antiqua" w:hAnsi="Book Antiqua" w:cs="Book Antiqua"/>
          <w:color w:val="000000"/>
          <w:lang w:eastAsia="zh-CN"/>
        </w:rPr>
        <w:br w:type="page"/>
      </w:r>
    </w:p>
    <w:p w14:paraId="27410858" w14:textId="12552E02" w:rsidR="00C53E0F" w:rsidRDefault="007D4677">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51949B86" wp14:editId="7CFD0928">
            <wp:extent cx="5955665" cy="192405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5665" cy="1924050"/>
                    </a:xfrm>
                    <a:prstGeom prst="rect">
                      <a:avLst/>
                    </a:prstGeom>
                    <a:noFill/>
                    <a:ln>
                      <a:noFill/>
                    </a:ln>
                  </pic:spPr>
                </pic:pic>
              </a:graphicData>
            </a:graphic>
          </wp:inline>
        </w:drawing>
      </w:r>
    </w:p>
    <w:p w14:paraId="04E9E107" w14:textId="77777777" w:rsidR="00C53E0F" w:rsidRDefault="0012293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2</w:t>
      </w:r>
      <w:r>
        <w:rPr>
          <w:rFonts w:ascii="Book Antiqua" w:hAnsi="Book Antiqua" w:cs="Book Antiqua" w:hint="eastAsia"/>
          <w:b/>
          <w:color w:val="000000"/>
          <w:lang w:eastAsia="zh-CN"/>
        </w:rPr>
        <w:t xml:space="preserve"> C</w:t>
      </w:r>
      <w:r>
        <w:rPr>
          <w:rFonts w:ascii="Book Antiqua" w:eastAsia="Book Antiqua" w:hAnsi="Book Antiqua" w:cs="Book Antiqua"/>
          <w:b/>
          <w:color w:val="000000"/>
        </w:rPr>
        <w:t>omputed tomography</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images of the patient (Colon hepatic flexure).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On the first abdominal computed tomography </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xml:space="preserve"> examination (2021-05), the intestinal wall at the hepatic curvature of the colon was significantly thic</w:t>
      </w:r>
      <w:r>
        <w:rPr>
          <w:rFonts w:ascii="Book Antiqua" w:eastAsia="Book Antiqua" w:hAnsi="Book Antiqua" w:cs="Book Antiqua"/>
          <w:color w:val="000000"/>
        </w:rPr>
        <w:t>kened with enhancement, the surrounding fat space was blurred, and the adjacent lymph nodes were enlarged</w:t>
      </w:r>
      <w:r>
        <w:rPr>
          <w:rFonts w:ascii="Book Antiqua" w:hAnsi="Book Antiqua" w:cs="Book Antiqua" w:hint="eastAsia"/>
          <w:color w:val="000000"/>
          <w:lang w:eastAsia="zh-CN"/>
        </w:rPr>
        <w:t xml:space="preserve">; </w:t>
      </w:r>
      <w:r>
        <w:rPr>
          <w:rFonts w:ascii="Book Antiqua" w:eastAsia="Book Antiqua" w:hAnsi="Book Antiqua" w:cs="Book Antiqua"/>
          <w:color w:val="000000"/>
        </w:rPr>
        <w:t>B: Abdominal CT examination (2021-07). The range of colonic lesions was reduced, and the surrounding lymph nodes were reduced</w:t>
      </w:r>
      <w:r>
        <w:rPr>
          <w:rFonts w:ascii="Book Antiqua" w:hAnsi="Book Antiqua" w:cs="Book Antiqua" w:hint="eastAsia"/>
          <w:color w:val="000000"/>
          <w:lang w:eastAsia="zh-CN"/>
        </w:rPr>
        <w:t xml:space="preserve">; </w:t>
      </w:r>
      <w:r>
        <w:rPr>
          <w:rFonts w:ascii="Book Antiqua" w:eastAsia="Book Antiqua" w:hAnsi="Book Antiqua" w:cs="Book Antiqua"/>
          <w:color w:val="000000"/>
        </w:rPr>
        <w:t>C: Abdominal CT examin</w:t>
      </w:r>
      <w:r>
        <w:rPr>
          <w:rFonts w:ascii="Book Antiqua" w:eastAsia="Book Antiqua" w:hAnsi="Book Antiqua" w:cs="Book Antiqua"/>
          <w:color w:val="000000"/>
        </w:rPr>
        <w:t>ation (2021-09); the results showed improvement compared to the previous imaging results.</w:t>
      </w:r>
    </w:p>
    <w:p w14:paraId="1B6A80D8" w14:textId="77777777" w:rsidR="00C53E0F" w:rsidRDefault="00C53E0F">
      <w:pPr>
        <w:spacing w:line="360" w:lineRule="auto"/>
        <w:jc w:val="both"/>
        <w:rPr>
          <w:rFonts w:ascii="Book Antiqua" w:hAnsi="Book Antiqua" w:cs="Book Antiqua"/>
          <w:color w:val="000000"/>
          <w:lang w:eastAsia="zh-CN"/>
        </w:rPr>
      </w:pPr>
    </w:p>
    <w:p w14:paraId="5FDD93E4" w14:textId="77777777" w:rsidR="00C53E0F" w:rsidRDefault="00122932">
      <w:pPr>
        <w:spacing w:line="360" w:lineRule="auto"/>
        <w:jc w:val="both"/>
      </w:pPr>
      <w:r>
        <w:rPr>
          <w:rFonts w:ascii="Book Antiqua" w:eastAsia="Book Antiqua" w:hAnsi="Book Antiqua" w:cs="Book Antiqua"/>
          <w:color w:val="000000"/>
        </w:rPr>
        <w:br w:type="page"/>
      </w:r>
    </w:p>
    <w:p w14:paraId="527F7F39" w14:textId="234D3FF2" w:rsidR="00C53E0F" w:rsidRDefault="007D4677">
      <w:pPr>
        <w:tabs>
          <w:tab w:val="left" w:pos="1375"/>
        </w:tabs>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3C9DA66D" wp14:editId="15D18E50">
            <wp:extent cx="5208270" cy="19799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1979930"/>
                    </a:xfrm>
                    <a:prstGeom prst="rect">
                      <a:avLst/>
                    </a:prstGeom>
                    <a:noFill/>
                    <a:ln>
                      <a:noFill/>
                    </a:ln>
                  </pic:spPr>
                </pic:pic>
              </a:graphicData>
            </a:graphic>
          </wp:inline>
        </w:drawing>
      </w:r>
    </w:p>
    <w:p w14:paraId="00408F0B" w14:textId="77777777" w:rsidR="00C53E0F" w:rsidRDefault="00122932">
      <w:pPr>
        <w:spacing w:line="360" w:lineRule="auto"/>
        <w:jc w:val="both"/>
      </w:pPr>
      <w:r>
        <w:rPr>
          <w:rFonts w:ascii="Book Antiqua" w:eastAsia="Book Antiqua" w:hAnsi="Book Antiqua" w:cs="Book Antiqua"/>
          <w:b/>
          <w:color w:val="000000"/>
        </w:rPr>
        <w:t>Figure 3</w:t>
      </w:r>
      <w:r>
        <w:rPr>
          <w:rFonts w:ascii="Book Antiqua" w:hAnsi="Book Antiqua" w:cs="Book Antiqua" w:hint="eastAsia"/>
          <w:b/>
          <w:color w:val="000000"/>
          <w:lang w:eastAsia="zh-CN"/>
        </w:rPr>
        <w:t xml:space="preserve"> C</w:t>
      </w:r>
      <w:r>
        <w:rPr>
          <w:rFonts w:ascii="Book Antiqua" w:eastAsia="Book Antiqua" w:hAnsi="Book Antiqua" w:cs="Book Antiqua"/>
          <w:b/>
          <w:color w:val="000000"/>
        </w:rPr>
        <w:t>omputed tomography</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images of the patient (para-aortic lymph nodes)</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Abdominal computed tomography </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xml:space="preserve"> examination (2021-05), enlarged lymph nodes b</w:t>
      </w:r>
      <w:r>
        <w:rPr>
          <w:rFonts w:ascii="Book Antiqua" w:eastAsia="Book Antiqua" w:hAnsi="Book Antiqua" w:cs="Book Antiqua"/>
          <w:color w:val="000000"/>
        </w:rPr>
        <w:t>eside the abdominal aorta</w:t>
      </w:r>
      <w:r>
        <w:rPr>
          <w:rFonts w:ascii="Book Antiqua" w:hAnsi="Book Antiqua" w:cs="Book Antiqua" w:hint="eastAsia"/>
          <w:color w:val="000000"/>
          <w:lang w:eastAsia="zh-CN"/>
        </w:rPr>
        <w:t xml:space="preserve">; </w:t>
      </w:r>
      <w:r>
        <w:rPr>
          <w:rFonts w:ascii="Book Antiqua" w:eastAsia="Book Antiqua" w:hAnsi="Book Antiqua" w:cs="Book Antiqua"/>
          <w:color w:val="000000"/>
        </w:rPr>
        <w:t>B: Abdominal CT examination (2021-07). The para-aortic lymph nodes were smaller than before.</w:t>
      </w:r>
    </w:p>
    <w:p w14:paraId="47BC4A99" w14:textId="77777777" w:rsidR="00C53E0F" w:rsidRDefault="0012293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1D86B2DE" w14:textId="3F939EE6" w:rsidR="00C53E0F" w:rsidRDefault="007D4677">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64589AFE" wp14:editId="229B6C3A">
            <wp:extent cx="3212465" cy="2106930"/>
            <wp:effectExtent l="0" t="0" r="698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2465" cy="2106930"/>
                    </a:xfrm>
                    <a:prstGeom prst="rect">
                      <a:avLst/>
                    </a:prstGeom>
                    <a:noFill/>
                    <a:ln>
                      <a:noFill/>
                    </a:ln>
                  </pic:spPr>
                </pic:pic>
              </a:graphicData>
            </a:graphic>
          </wp:inline>
        </w:drawing>
      </w:r>
    </w:p>
    <w:p w14:paraId="5388A3FF" w14:textId="77777777" w:rsidR="00C53E0F" w:rsidRDefault="00122932">
      <w:pPr>
        <w:spacing w:line="360" w:lineRule="auto"/>
        <w:jc w:val="both"/>
      </w:pPr>
      <w:r>
        <w:rPr>
          <w:rFonts w:ascii="Book Antiqua" w:eastAsia="Book Antiqua" w:hAnsi="Book Antiqua" w:cs="Book Antiqua"/>
          <w:b/>
          <w:color w:val="000000"/>
        </w:rPr>
        <w:t>Figure 4</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Haematoxylin-eosin</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staining and immunohistochemistry staining of the colon cancer tissue specimens.</w:t>
      </w:r>
      <w:r>
        <w:rPr>
          <w:rFonts w:ascii="Book Antiqua" w:eastAsia="Book Antiqua" w:hAnsi="Book Antiqua" w:cs="Book Antiqua"/>
          <w:color w:val="000000"/>
        </w:rPr>
        <w:t xml:space="preserve"> Pathology after the neoadjuvant therapy. Magnification ×</w:t>
      </w:r>
      <w:r>
        <w:rPr>
          <w:rFonts w:ascii="Book Antiqua" w:hAnsi="Book Antiqua" w:cs="Book Antiqua" w:hint="eastAsia"/>
          <w:color w:val="000000"/>
          <w:lang w:eastAsia="zh-CN"/>
        </w:rPr>
        <w:t xml:space="preserve"> </w:t>
      </w:r>
      <w:r>
        <w:rPr>
          <w:rFonts w:ascii="Book Antiqua" w:eastAsia="Book Antiqua" w:hAnsi="Book Antiqua" w:cs="Book Antiqua"/>
          <w:color w:val="000000"/>
        </w:rPr>
        <w:t>100.</w:t>
      </w:r>
    </w:p>
    <w:p w14:paraId="3C085410" w14:textId="77777777" w:rsidR="00C53E0F" w:rsidRDefault="0012293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268DCF44" w14:textId="1A4B6220" w:rsidR="00C53E0F" w:rsidRDefault="007D4677">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154CA6AD" wp14:editId="46A74693">
            <wp:extent cx="3212465" cy="2027555"/>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2465" cy="2027555"/>
                    </a:xfrm>
                    <a:prstGeom prst="rect">
                      <a:avLst/>
                    </a:prstGeom>
                    <a:noFill/>
                    <a:ln>
                      <a:noFill/>
                    </a:ln>
                  </pic:spPr>
                </pic:pic>
              </a:graphicData>
            </a:graphic>
          </wp:inline>
        </w:drawing>
      </w:r>
    </w:p>
    <w:p w14:paraId="29553B4C" w14:textId="77777777" w:rsidR="00C53E0F" w:rsidRDefault="001229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5</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Abdominal </w:t>
      </w:r>
      <w:r>
        <w:rPr>
          <w:rFonts w:ascii="Book Antiqua" w:hAnsi="Book Antiqua" w:cs="Book Antiqua" w:hint="eastAsia"/>
          <w:b/>
          <w:color w:val="000000"/>
          <w:lang w:eastAsia="zh-CN"/>
        </w:rPr>
        <w:t>c</w:t>
      </w:r>
      <w:r>
        <w:rPr>
          <w:rFonts w:ascii="Book Antiqua" w:eastAsia="Book Antiqua" w:hAnsi="Book Antiqua" w:cs="Book Antiqua"/>
          <w:b/>
          <w:color w:val="000000"/>
        </w:rPr>
        <w:t>omputed tomography examination (2021-11): Postoperative review showed no evidence of recurrence.</w:t>
      </w:r>
    </w:p>
    <w:p w14:paraId="45D0930C" w14:textId="77777777" w:rsidR="00C53E0F" w:rsidRDefault="00C53E0F">
      <w:pPr>
        <w:spacing w:line="360" w:lineRule="auto"/>
        <w:jc w:val="both"/>
        <w:rPr>
          <w:rFonts w:ascii="Book Antiqua" w:hAnsi="Book Antiqua" w:cs="Book Antiqua"/>
          <w:color w:val="000000"/>
          <w:lang w:eastAsia="zh-CN"/>
        </w:rPr>
      </w:pPr>
    </w:p>
    <w:p w14:paraId="6DA6154A" w14:textId="77777777" w:rsidR="00C53E0F" w:rsidRDefault="00C53E0F">
      <w:pPr>
        <w:spacing w:line="360" w:lineRule="auto"/>
        <w:jc w:val="both"/>
        <w:rPr>
          <w:rFonts w:ascii="Book Antiqua" w:hAnsi="Book Antiqua" w:cs="Book Antiqua"/>
          <w:color w:val="000000"/>
          <w:lang w:eastAsia="zh-CN"/>
        </w:rPr>
      </w:pPr>
    </w:p>
    <w:p w14:paraId="178BA13C" w14:textId="77777777" w:rsidR="00C53E0F" w:rsidRDefault="00122932">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lastRenderedPageBreak/>
        <w:t>Table 1</w:t>
      </w:r>
      <w:r>
        <w:rPr>
          <w:rFonts w:ascii="Book Antiqua" w:hAnsi="Book Antiqua" w:cs="Book Antiqua" w:hint="eastAsia"/>
          <w:b/>
          <w:color w:val="000000"/>
          <w:lang w:eastAsia="zh-CN"/>
        </w:rPr>
        <w:t xml:space="preserve"> </w:t>
      </w:r>
      <w:r>
        <w:rPr>
          <w:rFonts w:ascii="Book Antiqua" w:hAnsi="Book Antiqua" w:cs="Book Antiqua"/>
          <w:b/>
          <w:color w:val="000000"/>
          <w:lang w:eastAsia="zh-CN"/>
        </w:rPr>
        <w:t>Organization of the case into a timeline</w:t>
      </w:r>
    </w:p>
    <w:tbl>
      <w:tblPr>
        <w:tblW w:w="9639" w:type="dxa"/>
        <w:tblLook w:val="04A0" w:firstRow="1" w:lastRow="0" w:firstColumn="1" w:lastColumn="0" w:noHBand="0" w:noVBand="1"/>
      </w:tblPr>
      <w:tblGrid>
        <w:gridCol w:w="2460"/>
        <w:gridCol w:w="7179"/>
      </w:tblGrid>
      <w:tr w:rsidR="00C53E0F" w14:paraId="247C49F8" w14:textId="77777777">
        <w:trPr>
          <w:trHeight w:val="454"/>
        </w:trPr>
        <w:tc>
          <w:tcPr>
            <w:tcW w:w="2460" w:type="dxa"/>
            <w:tcBorders>
              <w:top w:val="single" w:sz="4" w:space="0" w:color="auto"/>
              <w:left w:val="nil"/>
              <w:bottom w:val="single" w:sz="4" w:space="0" w:color="auto"/>
              <w:right w:val="nil"/>
            </w:tcBorders>
            <w:shd w:val="clear" w:color="auto" w:fill="auto"/>
            <w:noWrap/>
            <w:vAlign w:val="bottom"/>
          </w:tcPr>
          <w:p w14:paraId="62B53D42" w14:textId="77777777" w:rsidR="00C53E0F" w:rsidRDefault="00122932">
            <w:pPr>
              <w:spacing w:line="360" w:lineRule="auto"/>
              <w:rPr>
                <w:rFonts w:ascii="Book Antiqua" w:eastAsia="等线" w:hAnsi="Book Antiqua"/>
                <w:b/>
                <w:bCs/>
                <w:kern w:val="2"/>
                <w:lang w:val="en-GB" w:eastAsia="zh-CN"/>
              </w:rPr>
            </w:pPr>
            <w:r>
              <w:rPr>
                <w:rFonts w:ascii="Book Antiqua" w:eastAsia="等线" w:hAnsi="Book Antiqua" w:hint="eastAsia"/>
                <w:b/>
                <w:bCs/>
                <w:kern w:val="2"/>
                <w:lang w:val="en-GB" w:eastAsia="zh-CN"/>
              </w:rPr>
              <w:t>Date</w:t>
            </w:r>
          </w:p>
        </w:tc>
        <w:tc>
          <w:tcPr>
            <w:tcW w:w="7179" w:type="dxa"/>
            <w:tcBorders>
              <w:top w:val="single" w:sz="4" w:space="0" w:color="auto"/>
              <w:left w:val="nil"/>
              <w:bottom w:val="single" w:sz="4" w:space="0" w:color="auto"/>
              <w:right w:val="nil"/>
            </w:tcBorders>
            <w:shd w:val="clear" w:color="auto" w:fill="auto"/>
            <w:noWrap/>
            <w:vAlign w:val="bottom"/>
          </w:tcPr>
          <w:p w14:paraId="5DFBEB3C" w14:textId="77777777" w:rsidR="00C53E0F" w:rsidRDefault="00122932">
            <w:pPr>
              <w:spacing w:line="360" w:lineRule="auto"/>
              <w:rPr>
                <w:rFonts w:ascii="Book Antiqua" w:eastAsia="等线" w:hAnsi="Book Antiqua"/>
                <w:b/>
                <w:bCs/>
                <w:kern w:val="2"/>
                <w:lang w:val="en-GB" w:eastAsia="zh-CN"/>
              </w:rPr>
            </w:pPr>
            <w:r>
              <w:rPr>
                <w:rFonts w:ascii="Book Antiqua" w:eastAsia="等线" w:hAnsi="Book Antiqua" w:hint="eastAsia"/>
                <w:b/>
                <w:bCs/>
                <w:kern w:val="2"/>
                <w:lang w:val="en-GB" w:eastAsia="zh-CN"/>
              </w:rPr>
              <w:t>[T]/[S]/[E]</w:t>
            </w:r>
          </w:p>
        </w:tc>
      </w:tr>
      <w:tr w:rsidR="00C53E0F" w14:paraId="168B791A" w14:textId="77777777">
        <w:trPr>
          <w:trHeight w:val="454"/>
        </w:trPr>
        <w:tc>
          <w:tcPr>
            <w:tcW w:w="2460" w:type="dxa"/>
            <w:tcBorders>
              <w:top w:val="single" w:sz="4" w:space="0" w:color="auto"/>
              <w:left w:val="nil"/>
              <w:bottom w:val="nil"/>
              <w:right w:val="nil"/>
            </w:tcBorders>
            <w:shd w:val="clear" w:color="auto" w:fill="auto"/>
            <w:noWrap/>
            <w:vAlign w:val="bottom"/>
          </w:tcPr>
          <w:p w14:paraId="4F2E7B85"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May, 2021</w:t>
            </w:r>
          </w:p>
        </w:tc>
        <w:tc>
          <w:tcPr>
            <w:tcW w:w="7179" w:type="dxa"/>
            <w:tcBorders>
              <w:top w:val="single" w:sz="4" w:space="0" w:color="auto"/>
              <w:left w:val="nil"/>
              <w:bottom w:val="nil"/>
              <w:right w:val="nil"/>
            </w:tcBorders>
            <w:shd w:val="clear" w:color="auto" w:fill="auto"/>
            <w:noWrap/>
            <w:vAlign w:val="bottom"/>
          </w:tcPr>
          <w:p w14:paraId="454581A5"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[E] Colonoscopy, pathological examination, Abdominal CT examination</w:t>
            </w:r>
          </w:p>
        </w:tc>
      </w:tr>
      <w:tr w:rsidR="00C53E0F" w14:paraId="79F17603" w14:textId="77777777">
        <w:trPr>
          <w:trHeight w:val="454"/>
        </w:trPr>
        <w:tc>
          <w:tcPr>
            <w:tcW w:w="2460" w:type="dxa"/>
            <w:tcBorders>
              <w:top w:val="nil"/>
              <w:left w:val="nil"/>
              <w:bottom w:val="nil"/>
              <w:right w:val="nil"/>
            </w:tcBorders>
            <w:shd w:val="clear" w:color="auto" w:fill="auto"/>
            <w:noWrap/>
            <w:vAlign w:val="bottom"/>
          </w:tcPr>
          <w:p w14:paraId="7FB18BF8"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June, 2021</w:t>
            </w:r>
          </w:p>
        </w:tc>
        <w:tc>
          <w:tcPr>
            <w:tcW w:w="7179" w:type="dxa"/>
            <w:tcBorders>
              <w:top w:val="nil"/>
              <w:left w:val="nil"/>
              <w:bottom w:val="nil"/>
              <w:right w:val="nil"/>
            </w:tcBorders>
            <w:shd w:val="clear" w:color="auto" w:fill="auto"/>
            <w:noWrap/>
            <w:vAlign w:val="bottom"/>
          </w:tcPr>
          <w:p w14:paraId="5953ABC4"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 xml:space="preserve">[E] The evaluation of three tumour markers in the serum (AFP, CEA, CA199), Faecal occult blood test; [T] Four cycles of immunotherapy </w:t>
            </w:r>
            <w:r>
              <w:rPr>
                <w:rFonts w:ascii="Book Antiqua" w:eastAsia="等线" w:hAnsi="Book Antiqua" w:hint="eastAsia"/>
                <w:kern w:val="2"/>
                <w:lang w:val="en-GB" w:eastAsia="zh-CN"/>
              </w:rPr>
              <w:t>(paprizumab+ fruquintinib)</w:t>
            </w:r>
          </w:p>
        </w:tc>
      </w:tr>
      <w:tr w:rsidR="00C53E0F" w14:paraId="01009CAB" w14:textId="77777777">
        <w:trPr>
          <w:trHeight w:val="454"/>
        </w:trPr>
        <w:tc>
          <w:tcPr>
            <w:tcW w:w="2460" w:type="dxa"/>
            <w:tcBorders>
              <w:top w:val="nil"/>
              <w:left w:val="nil"/>
              <w:bottom w:val="nil"/>
              <w:right w:val="nil"/>
            </w:tcBorders>
            <w:shd w:val="clear" w:color="auto" w:fill="auto"/>
            <w:noWrap/>
            <w:vAlign w:val="bottom"/>
          </w:tcPr>
          <w:p w14:paraId="3F493BF0"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July, 2021</w:t>
            </w:r>
          </w:p>
        </w:tc>
        <w:tc>
          <w:tcPr>
            <w:tcW w:w="7179" w:type="dxa"/>
            <w:tcBorders>
              <w:top w:val="nil"/>
              <w:left w:val="nil"/>
              <w:bottom w:val="nil"/>
              <w:right w:val="nil"/>
            </w:tcBorders>
            <w:shd w:val="clear" w:color="auto" w:fill="auto"/>
            <w:noWrap/>
            <w:vAlign w:val="bottom"/>
          </w:tcPr>
          <w:p w14:paraId="778D40EC"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[E] Abdominal CT examination</w:t>
            </w:r>
          </w:p>
        </w:tc>
      </w:tr>
      <w:tr w:rsidR="00C53E0F" w14:paraId="67DF5D1F" w14:textId="77777777">
        <w:trPr>
          <w:trHeight w:val="454"/>
        </w:trPr>
        <w:tc>
          <w:tcPr>
            <w:tcW w:w="2460" w:type="dxa"/>
            <w:tcBorders>
              <w:top w:val="nil"/>
              <w:left w:val="nil"/>
              <w:bottom w:val="nil"/>
              <w:right w:val="nil"/>
            </w:tcBorders>
            <w:shd w:val="clear" w:color="auto" w:fill="auto"/>
            <w:noWrap/>
            <w:vAlign w:val="bottom"/>
          </w:tcPr>
          <w:p w14:paraId="0F86F436"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September, 2021</w:t>
            </w:r>
          </w:p>
        </w:tc>
        <w:tc>
          <w:tcPr>
            <w:tcW w:w="7179" w:type="dxa"/>
            <w:tcBorders>
              <w:top w:val="nil"/>
              <w:left w:val="nil"/>
              <w:bottom w:val="nil"/>
              <w:right w:val="nil"/>
            </w:tcBorders>
            <w:shd w:val="clear" w:color="auto" w:fill="auto"/>
            <w:noWrap/>
            <w:vAlign w:val="bottom"/>
          </w:tcPr>
          <w:p w14:paraId="475375EA"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[E] Abdominal CT examination</w:t>
            </w:r>
          </w:p>
        </w:tc>
      </w:tr>
      <w:tr w:rsidR="00C53E0F" w14:paraId="68B68403" w14:textId="77777777">
        <w:trPr>
          <w:trHeight w:val="454"/>
        </w:trPr>
        <w:tc>
          <w:tcPr>
            <w:tcW w:w="2460" w:type="dxa"/>
            <w:tcBorders>
              <w:top w:val="nil"/>
              <w:left w:val="nil"/>
              <w:right w:val="nil"/>
            </w:tcBorders>
            <w:shd w:val="clear" w:color="auto" w:fill="auto"/>
            <w:noWrap/>
            <w:vAlign w:val="bottom"/>
          </w:tcPr>
          <w:p w14:paraId="7F045EF3"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October, 2021</w:t>
            </w:r>
          </w:p>
        </w:tc>
        <w:tc>
          <w:tcPr>
            <w:tcW w:w="7179" w:type="dxa"/>
            <w:tcBorders>
              <w:top w:val="nil"/>
              <w:left w:val="nil"/>
              <w:right w:val="nil"/>
            </w:tcBorders>
            <w:shd w:val="clear" w:color="auto" w:fill="auto"/>
            <w:noWrap/>
            <w:vAlign w:val="bottom"/>
          </w:tcPr>
          <w:p w14:paraId="65BB97AC"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[T] Radical resection of the right colon cancer; [E] Pathologic evaluation of the posttreatment tumour regression after neoadju</w:t>
            </w:r>
            <w:r>
              <w:rPr>
                <w:rFonts w:ascii="Book Antiqua" w:eastAsia="等线" w:hAnsi="Book Antiqua" w:hint="eastAsia"/>
                <w:kern w:val="2"/>
                <w:lang w:val="en-GB" w:eastAsia="zh-CN"/>
              </w:rPr>
              <w:t>vant therapy; [S] The patient</w:t>
            </w:r>
            <w:r>
              <w:rPr>
                <w:rFonts w:ascii="Book Antiqua" w:eastAsia="等线" w:hAnsi="Book Antiqua" w:hint="eastAsia"/>
                <w:kern w:val="2"/>
                <w:lang w:val="en-GB" w:eastAsia="zh-CN"/>
              </w:rPr>
              <w:t>’</w:t>
            </w:r>
            <w:r>
              <w:rPr>
                <w:rFonts w:ascii="Book Antiqua" w:eastAsia="等线" w:hAnsi="Book Antiqua" w:hint="eastAsia"/>
                <w:kern w:val="2"/>
                <w:lang w:val="en-GB" w:eastAsia="zh-CN"/>
              </w:rPr>
              <w:t>s general appearance had improved; the patient was discharged smoothly</w:t>
            </w:r>
          </w:p>
        </w:tc>
      </w:tr>
      <w:tr w:rsidR="00C53E0F" w14:paraId="7A13D3BD" w14:textId="77777777">
        <w:trPr>
          <w:trHeight w:val="454"/>
        </w:trPr>
        <w:tc>
          <w:tcPr>
            <w:tcW w:w="2460" w:type="dxa"/>
            <w:tcBorders>
              <w:top w:val="nil"/>
              <w:left w:val="nil"/>
              <w:bottom w:val="single" w:sz="4" w:space="0" w:color="auto"/>
              <w:right w:val="nil"/>
            </w:tcBorders>
            <w:shd w:val="clear" w:color="auto" w:fill="auto"/>
            <w:noWrap/>
            <w:vAlign w:val="bottom"/>
          </w:tcPr>
          <w:p w14:paraId="3CF361D3"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November, 2021</w:t>
            </w:r>
          </w:p>
        </w:tc>
        <w:tc>
          <w:tcPr>
            <w:tcW w:w="7179" w:type="dxa"/>
            <w:tcBorders>
              <w:top w:val="nil"/>
              <w:left w:val="nil"/>
              <w:bottom w:val="single" w:sz="4" w:space="0" w:color="auto"/>
              <w:right w:val="nil"/>
            </w:tcBorders>
            <w:shd w:val="clear" w:color="auto" w:fill="auto"/>
            <w:noWrap/>
            <w:vAlign w:val="bottom"/>
          </w:tcPr>
          <w:p w14:paraId="5FFCA35B" w14:textId="77777777" w:rsidR="00C53E0F" w:rsidRDefault="00122932">
            <w:pPr>
              <w:spacing w:line="360" w:lineRule="auto"/>
              <w:rPr>
                <w:rFonts w:ascii="Book Antiqua" w:eastAsia="等线" w:hAnsi="Book Antiqua"/>
                <w:kern w:val="2"/>
                <w:lang w:val="en-GB" w:eastAsia="zh-CN"/>
              </w:rPr>
            </w:pPr>
            <w:r>
              <w:rPr>
                <w:rFonts w:ascii="Book Antiqua" w:eastAsia="等线" w:hAnsi="Book Antiqua" w:hint="eastAsia"/>
                <w:kern w:val="2"/>
                <w:lang w:val="en-GB" w:eastAsia="zh-CN"/>
              </w:rPr>
              <w:t>[E] An abdominal CT was re-evaluated after surgery</w:t>
            </w:r>
          </w:p>
        </w:tc>
      </w:tr>
    </w:tbl>
    <w:p w14:paraId="65AEF943" w14:textId="77777777" w:rsidR="00C53E0F" w:rsidRDefault="00122932">
      <w:pPr>
        <w:spacing w:line="360" w:lineRule="auto"/>
        <w:jc w:val="both"/>
        <w:rPr>
          <w:rFonts w:ascii="Book Antiqua" w:eastAsia="等线" w:hAnsi="Book Antiqua"/>
          <w:lang w:val="en-GB" w:eastAsia="zh-CN"/>
        </w:rPr>
      </w:pPr>
      <w:r>
        <w:rPr>
          <w:rFonts w:ascii="Book Antiqua" w:eastAsia="等线" w:hAnsi="Book Antiqua"/>
          <w:lang w:val="en-GB"/>
        </w:rPr>
        <w:t>[T]</w:t>
      </w:r>
      <w:r>
        <w:rPr>
          <w:rFonts w:ascii="Book Antiqua" w:eastAsia="等线" w:hAnsi="Book Antiqua" w:hint="eastAsia"/>
          <w:lang w:val="en-GB" w:eastAsia="zh-CN"/>
        </w:rPr>
        <w:t>:</w:t>
      </w:r>
      <w:r>
        <w:rPr>
          <w:rFonts w:ascii="Book Antiqua" w:eastAsia="等线" w:hAnsi="Book Antiqua"/>
          <w:lang w:val="en-GB"/>
        </w:rPr>
        <w:t xml:space="preserve"> </w:t>
      </w:r>
      <w:r>
        <w:rPr>
          <w:rFonts w:ascii="Book Antiqua" w:eastAsia="等线" w:hAnsi="Book Antiqua" w:hint="eastAsia"/>
          <w:lang w:val="en-GB" w:eastAsia="zh-CN"/>
        </w:rPr>
        <w:t>T</w:t>
      </w:r>
      <w:r>
        <w:rPr>
          <w:rFonts w:ascii="Book Antiqua" w:eastAsia="等线" w:hAnsi="Book Antiqua"/>
          <w:lang w:val="en-GB"/>
        </w:rPr>
        <w:t>reatment; [S]</w:t>
      </w:r>
      <w:r>
        <w:rPr>
          <w:rFonts w:ascii="Book Antiqua" w:eastAsia="等线" w:hAnsi="Book Antiqua" w:hint="eastAsia"/>
          <w:lang w:val="en-GB" w:eastAsia="zh-CN"/>
        </w:rPr>
        <w:t>: S</w:t>
      </w:r>
      <w:r>
        <w:rPr>
          <w:rFonts w:ascii="Book Antiqua" w:eastAsia="等线" w:hAnsi="Book Antiqua"/>
          <w:lang w:val="en-GB"/>
        </w:rPr>
        <w:t>ymptoms; [E]</w:t>
      </w:r>
      <w:r>
        <w:rPr>
          <w:rFonts w:ascii="Book Antiqua" w:eastAsia="等线" w:hAnsi="Book Antiqua" w:hint="eastAsia"/>
          <w:lang w:val="en-GB" w:eastAsia="zh-CN"/>
        </w:rPr>
        <w:t>:</w:t>
      </w:r>
      <w:r>
        <w:rPr>
          <w:rFonts w:ascii="Book Antiqua" w:eastAsia="等线" w:hAnsi="Book Antiqua"/>
          <w:lang w:val="en-GB"/>
        </w:rPr>
        <w:t xml:space="preserve"> </w:t>
      </w:r>
      <w:r>
        <w:rPr>
          <w:rFonts w:ascii="Book Antiqua" w:eastAsia="等线" w:hAnsi="Book Antiqua" w:hint="eastAsia"/>
          <w:lang w:val="en-GB" w:eastAsia="zh-CN"/>
        </w:rPr>
        <w:t>E</w:t>
      </w:r>
      <w:r>
        <w:rPr>
          <w:rFonts w:ascii="Book Antiqua" w:eastAsia="等线" w:hAnsi="Book Antiqua"/>
          <w:lang w:val="en-GB"/>
        </w:rPr>
        <w:t>xamination</w:t>
      </w:r>
      <w:r>
        <w:rPr>
          <w:rFonts w:ascii="Book Antiqua" w:eastAsia="等线" w:hAnsi="Book Antiqua" w:hint="eastAsia"/>
          <w:lang w:val="en-GB" w:eastAsia="zh-CN"/>
        </w:rPr>
        <w:t>; CT: C</w:t>
      </w:r>
      <w:r>
        <w:rPr>
          <w:rFonts w:ascii="Book Antiqua" w:eastAsia="等线" w:hAnsi="Book Antiqua"/>
          <w:lang w:val="en-GB" w:eastAsia="zh-CN"/>
        </w:rPr>
        <w:t>omputed tomography</w:t>
      </w:r>
      <w:r>
        <w:rPr>
          <w:rFonts w:ascii="Book Antiqua" w:eastAsia="等线" w:hAnsi="Book Antiqua" w:hint="eastAsia"/>
          <w:lang w:val="en-GB" w:eastAsia="zh-CN"/>
        </w:rPr>
        <w:t>.</w:t>
      </w:r>
    </w:p>
    <w:p w14:paraId="049D6612" w14:textId="77777777" w:rsidR="00C53E0F" w:rsidRDefault="00122932">
      <w:pPr>
        <w:rPr>
          <w:rFonts w:ascii="Book Antiqua" w:eastAsia="等线" w:hAnsi="Book Antiqua"/>
          <w:lang w:val="en-GB" w:eastAsia="zh-CN"/>
        </w:rPr>
      </w:pPr>
      <w:r>
        <w:rPr>
          <w:rFonts w:ascii="Book Antiqua" w:eastAsia="等线" w:hAnsi="Book Antiqua"/>
          <w:lang w:val="en-GB" w:eastAsia="zh-CN"/>
        </w:rPr>
        <w:br w:type="page"/>
      </w:r>
    </w:p>
    <w:p w14:paraId="25617524" w14:textId="77777777" w:rsidR="00C53E0F" w:rsidRDefault="00C53E0F">
      <w:pPr>
        <w:ind w:leftChars="100" w:left="240"/>
        <w:jc w:val="center"/>
        <w:rPr>
          <w:rFonts w:ascii="Book Antiqua" w:hAnsi="Book Antiqua"/>
          <w:lang w:val="pt-BR" w:eastAsia="zh-CN"/>
        </w:rPr>
      </w:pPr>
      <w:bookmarkStart w:id="6" w:name="_Hlk88512952"/>
    </w:p>
    <w:p w14:paraId="26D7AD30" w14:textId="77777777" w:rsidR="00C53E0F" w:rsidRDefault="00C53E0F">
      <w:pPr>
        <w:ind w:leftChars="100" w:left="240"/>
        <w:jc w:val="center"/>
        <w:rPr>
          <w:rFonts w:ascii="Book Antiqua" w:hAnsi="Book Antiqua"/>
          <w:lang w:val="pt-BR" w:eastAsia="zh-CN"/>
        </w:rPr>
      </w:pPr>
    </w:p>
    <w:p w14:paraId="3B1BCC60" w14:textId="77777777" w:rsidR="00C53E0F" w:rsidRDefault="00C53E0F">
      <w:pPr>
        <w:ind w:leftChars="100" w:left="240"/>
        <w:jc w:val="center"/>
        <w:rPr>
          <w:rFonts w:ascii="Book Antiqua" w:hAnsi="Book Antiqua"/>
          <w:lang w:val="pt-BR" w:eastAsia="zh-CN"/>
        </w:rPr>
      </w:pPr>
    </w:p>
    <w:p w14:paraId="347C52B9" w14:textId="77777777" w:rsidR="00C53E0F" w:rsidRDefault="00C53E0F">
      <w:pPr>
        <w:ind w:leftChars="100" w:left="240"/>
        <w:jc w:val="center"/>
        <w:rPr>
          <w:rFonts w:ascii="Book Antiqua" w:hAnsi="Book Antiqua"/>
          <w:lang w:val="pt-BR" w:eastAsia="zh-CN"/>
        </w:rPr>
      </w:pPr>
    </w:p>
    <w:p w14:paraId="207E4080" w14:textId="77777777" w:rsidR="00C53E0F" w:rsidRDefault="00122932">
      <w:pPr>
        <w:ind w:leftChars="100" w:left="240"/>
        <w:jc w:val="center"/>
        <w:rPr>
          <w:rFonts w:ascii="Book Antiqua" w:hAnsi="Book Antiqua"/>
          <w:lang w:eastAsia="zh-CN"/>
        </w:rPr>
      </w:pPr>
      <w:r>
        <w:rPr>
          <w:rFonts w:ascii="Book Antiqua" w:hAnsi="Book Antiqua"/>
          <w:noProof/>
          <w:lang w:eastAsia="zh-CN"/>
        </w:rPr>
        <w:drawing>
          <wp:inline distT="0" distB="0" distL="0" distR="0" wp14:anchorId="6DCC5A68" wp14:editId="53B541EA">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67D384E" w14:textId="77777777" w:rsidR="00C53E0F" w:rsidRDefault="00C53E0F">
      <w:pPr>
        <w:ind w:leftChars="100" w:left="240"/>
        <w:jc w:val="center"/>
        <w:rPr>
          <w:rFonts w:ascii="Book Antiqua" w:hAnsi="Book Antiqua"/>
          <w:lang w:eastAsia="zh-CN"/>
        </w:rPr>
      </w:pPr>
    </w:p>
    <w:p w14:paraId="2CE5DEF4" w14:textId="77777777" w:rsidR="00C53E0F" w:rsidRDefault="00122932">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9A70F96" w14:textId="77777777" w:rsidR="00C53E0F" w:rsidRDefault="00122932">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90D91E8" w14:textId="77777777" w:rsidR="00C53E0F" w:rsidRDefault="00122932">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A355C3" w14:textId="77777777" w:rsidR="00C53E0F" w:rsidRDefault="00122932">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D1DE392" w14:textId="77777777" w:rsidR="00C53E0F" w:rsidRDefault="00122932">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EB027B0" w14:textId="77777777" w:rsidR="00C53E0F" w:rsidRDefault="00122932">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06EF6801" w14:textId="77777777" w:rsidR="00C53E0F" w:rsidRDefault="00C53E0F">
      <w:pPr>
        <w:ind w:leftChars="100" w:left="240"/>
        <w:jc w:val="center"/>
        <w:rPr>
          <w:rFonts w:ascii="Book Antiqua" w:hAnsi="Book Antiqua"/>
          <w:lang w:eastAsia="zh-CN"/>
        </w:rPr>
      </w:pPr>
    </w:p>
    <w:p w14:paraId="29759268" w14:textId="77777777" w:rsidR="00C53E0F" w:rsidRDefault="00C53E0F">
      <w:pPr>
        <w:ind w:leftChars="100" w:left="240"/>
        <w:jc w:val="center"/>
        <w:rPr>
          <w:rFonts w:ascii="Book Antiqua" w:hAnsi="Book Antiqua"/>
          <w:lang w:eastAsia="zh-CN"/>
        </w:rPr>
      </w:pPr>
    </w:p>
    <w:p w14:paraId="1E7E616C" w14:textId="77777777" w:rsidR="00C53E0F" w:rsidRDefault="00C53E0F">
      <w:pPr>
        <w:ind w:leftChars="100" w:left="240"/>
        <w:jc w:val="center"/>
        <w:rPr>
          <w:rFonts w:ascii="Book Antiqua" w:hAnsi="Book Antiqua"/>
          <w:lang w:eastAsia="zh-CN"/>
        </w:rPr>
      </w:pPr>
    </w:p>
    <w:p w14:paraId="716C2434" w14:textId="77777777" w:rsidR="00C53E0F" w:rsidRDefault="00122932">
      <w:pPr>
        <w:ind w:leftChars="100" w:left="240"/>
        <w:jc w:val="center"/>
        <w:rPr>
          <w:rFonts w:ascii="Book Antiqua" w:hAnsi="Book Antiqua"/>
          <w:lang w:eastAsia="zh-CN"/>
        </w:rPr>
      </w:pPr>
      <w:r>
        <w:rPr>
          <w:rFonts w:ascii="Book Antiqua" w:hAnsi="Book Antiqua"/>
          <w:noProof/>
          <w:lang w:eastAsia="zh-CN"/>
        </w:rPr>
        <w:drawing>
          <wp:inline distT="0" distB="0" distL="0" distR="0" wp14:anchorId="6BAE8AD7" wp14:editId="22115C5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CB5D307" w14:textId="77777777" w:rsidR="00C53E0F" w:rsidRDefault="00C53E0F">
      <w:pPr>
        <w:ind w:leftChars="100" w:left="240"/>
        <w:jc w:val="center"/>
        <w:rPr>
          <w:rFonts w:ascii="Book Antiqua" w:hAnsi="Book Antiqua"/>
          <w:lang w:eastAsia="zh-CN"/>
        </w:rPr>
      </w:pPr>
    </w:p>
    <w:p w14:paraId="466DA25D" w14:textId="77777777" w:rsidR="00C53E0F" w:rsidRDefault="00C53E0F">
      <w:pPr>
        <w:ind w:leftChars="100" w:left="240"/>
        <w:jc w:val="center"/>
        <w:rPr>
          <w:rFonts w:ascii="Book Antiqua" w:hAnsi="Book Antiqua"/>
          <w:lang w:eastAsia="zh-CN"/>
        </w:rPr>
      </w:pPr>
    </w:p>
    <w:p w14:paraId="76FA960F" w14:textId="77777777" w:rsidR="00C53E0F" w:rsidRDefault="00C53E0F">
      <w:pPr>
        <w:ind w:leftChars="100" w:left="240"/>
        <w:jc w:val="center"/>
        <w:rPr>
          <w:rFonts w:ascii="Book Antiqua" w:hAnsi="Book Antiqua"/>
          <w:lang w:eastAsia="zh-CN"/>
        </w:rPr>
      </w:pPr>
    </w:p>
    <w:p w14:paraId="065BBA35" w14:textId="77777777" w:rsidR="00C53E0F" w:rsidRDefault="00C53E0F">
      <w:pPr>
        <w:ind w:leftChars="100" w:left="240"/>
        <w:jc w:val="center"/>
        <w:rPr>
          <w:rFonts w:ascii="Book Antiqua" w:hAnsi="Book Antiqua"/>
          <w:lang w:eastAsia="zh-CN"/>
        </w:rPr>
      </w:pPr>
    </w:p>
    <w:p w14:paraId="0803475E" w14:textId="77777777" w:rsidR="00C53E0F" w:rsidRDefault="00C53E0F">
      <w:pPr>
        <w:ind w:leftChars="100" w:left="240"/>
        <w:jc w:val="center"/>
        <w:rPr>
          <w:rFonts w:ascii="Book Antiqua" w:hAnsi="Book Antiqua"/>
          <w:lang w:eastAsia="zh-CN"/>
        </w:rPr>
      </w:pPr>
    </w:p>
    <w:p w14:paraId="00D598E6" w14:textId="77777777" w:rsidR="00C53E0F" w:rsidRDefault="00C53E0F">
      <w:pPr>
        <w:ind w:leftChars="100" w:left="240"/>
        <w:jc w:val="center"/>
        <w:rPr>
          <w:rFonts w:ascii="Book Antiqua" w:hAnsi="Book Antiqua"/>
          <w:lang w:eastAsia="zh-CN"/>
        </w:rPr>
      </w:pPr>
    </w:p>
    <w:p w14:paraId="1D57686D" w14:textId="77777777" w:rsidR="00C53E0F" w:rsidRDefault="00C53E0F">
      <w:pPr>
        <w:ind w:leftChars="100" w:left="240"/>
        <w:jc w:val="center"/>
        <w:rPr>
          <w:rFonts w:ascii="Book Antiqua" w:hAnsi="Book Antiqua"/>
          <w:lang w:eastAsia="zh-CN"/>
        </w:rPr>
      </w:pPr>
    </w:p>
    <w:p w14:paraId="3D4DF245" w14:textId="77777777" w:rsidR="00C53E0F" w:rsidRDefault="00C53E0F">
      <w:pPr>
        <w:ind w:leftChars="100" w:left="240"/>
        <w:jc w:val="center"/>
        <w:rPr>
          <w:rFonts w:ascii="Book Antiqua" w:hAnsi="Book Antiqua"/>
          <w:lang w:eastAsia="zh-CN"/>
        </w:rPr>
      </w:pPr>
    </w:p>
    <w:p w14:paraId="725409C8" w14:textId="77777777" w:rsidR="00C53E0F" w:rsidRDefault="00C53E0F">
      <w:pPr>
        <w:ind w:leftChars="100" w:left="240"/>
        <w:jc w:val="center"/>
        <w:rPr>
          <w:rFonts w:ascii="Book Antiqua" w:hAnsi="Book Antiqua"/>
          <w:lang w:eastAsia="zh-CN"/>
        </w:rPr>
      </w:pPr>
    </w:p>
    <w:p w14:paraId="1D08358B" w14:textId="77777777" w:rsidR="00C53E0F" w:rsidRDefault="00C53E0F">
      <w:pPr>
        <w:ind w:leftChars="100" w:left="240"/>
        <w:jc w:val="right"/>
        <w:rPr>
          <w:rFonts w:ascii="Book Antiqua" w:hAnsi="Book Antiqua"/>
          <w:color w:val="000000" w:themeColor="text1"/>
          <w:lang w:eastAsia="zh-CN"/>
        </w:rPr>
      </w:pPr>
    </w:p>
    <w:p w14:paraId="5EFAE0F3" w14:textId="77777777" w:rsidR="00C53E0F" w:rsidRDefault="00122932">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w:t>
      </w:r>
      <w:r>
        <w:rPr>
          <w:rFonts w:ascii="Book Antiqua" w:eastAsia="BookAntiqua-Bold" w:hAnsi="Book Antiqua" w:cs="BookAntiqua-Bold"/>
          <w:b/>
          <w:bCs/>
          <w:color w:val="000000" w:themeColor="text1"/>
        </w:rPr>
        <w:t>2022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6"/>
    </w:p>
    <w:p w14:paraId="5994A0BE" w14:textId="77777777" w:rsidR="00C53E0F" w:rsidRDefault="00C53E0F">
      <w:pPr>
        <w:spacing w:line="360" w:lineRule="auto"/>
        <w:jc w:val="both"/>
        <w:rPr>
          <w:lang w:eastAsia="zh-CN"/>
        </w:rPr>
      </w:pPr>
    </w:p>
    <w:sectPr w:rsidR="00C53E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20D43" w14:textId="77777777" w:rsidR="00122932" w:rsidRDefault="00122932">
      <w:r>
        <w:separator/>
      </w:r>
    </w:p>
  </w:endnote>
  <w:endnote w:type="continuationSeparator" w:id="0">
    <w:p w14:paraId="4430A585" w14:textId="77777777" w:rsidR="00122932" w:rsidRDefault="00122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charset w:val="00"/>
    <w:family w:val="roman"/>
    <w:pitch w:val="default"/>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B455" w14:textId="77777777" w:rsidR="00C53E0F" w:rsidRDefault="00122932">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19</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0081D" w14:textId="77777777" w:rsidR="00122932" w:rsidRDefault="00122932">
      <w:r>
        <w:separator/>
      </w:r>
    </w:p>
  </w:footnote>
  <w:footnote w:type="continuationSeparator" w:id="0">
    <w:p w14:paraId="2C781DC1" w14:textId="77777777" w:rsidR="00122932" w:rsidRDefault="001229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56056"/>
    <w:rsid w:val="000605D6"/>
    <w:rsid w:val="00097E94"/>
    <w:rsid w:val="000B566C"/>
    <w:rsid w:val="000F2618"/>
    <w:rsid w:val="00122932"/>
    <w:rsid w:val="00155B62"/>
    <w:rsid w:val="00172A27"/>
    <w:rsid w:val="001C3E94"/>
    <w:rsid w:val="001F22D3"/>
    <w:rsid w:val="00221BF9"/>
    <w:rsid w:val="002E6327"/>
    <w:rsid w:val="003E5F80"/>
    <w:rsid w:val="00473763"/>
    <w:rsid w:val="00496BF2"/>
    <w:rsid w:val="004C5E07"/>
    <w:rsid w:val="0051103E"/>
    <w:rsid w:val="00522528"/>
    <w:rsid w:val="005258E0"/>
    <w:rsid w:val="00533D9F"/>
    <w:rsid w:val="0066274E"/>
    <w:rsid w:val="00667469"/>
    <w:rsid w:val="00686018"/>
    <w:rsid w:val="00714B79"/>
    <w:rsid w:val="00720DF4"/>
    <w:rsid w:val="00790DF6"/>
    <w:rsid w:val="007A4754"/>
    <w:rsid w:val="007B574D"/>
    <w:rsid w:val="007C053D"/>
    <w:rsid w:val="007D4677"/>
    <w:rsid w:val="007E6260"/>
    <w:rsid w:val="007F0493"/>
    <w:rsid w:val="007F6D9E"/>
    <w:rsid w:val="00802274"/>
    <w:rsid w:val="008223BF"/>
    <w:rsid w:val="00850978"/>
    <w:rsid w:val="00850BBE"/>
    <w:rsid w:val="009A43C2"/>
    <w:rsid w:val="009B50DA"/>
    <w:rsid w:val="009F6667"/>
    <w:rsid w:val="00A77B3E"/>
    <w:rsid w:val="00C53E0F"/>
    <w:rsid w:val="00CA2A55"/>
    <w:rsid w:val="00CA2B35"/>
    <w:rsid w:val="00CA73EA"/>
    <w:rsid w:val="00CC5A8E"/>
    <w:rsid w:val="00CC6956"/>
    <w:rsid w:val="00CD0277"/>
    <w:rsid w:val="00D03E05"/>
    <w:rsid w:val="00D06807"/>
    <w:rsid w:val="00D64221"/>
    <w:rsid w:val="00D916C5"/>
    <w:rsid w:val="00DB7753"/>
    <w:rsid w:val="00E40F70"/>
    <w:rsid w:val="00EA3896"/>
    <w:rsid w:val="00EC5EF2"/>
    <w:rsid w:val="00F33840"/>
    <w:rsid w:val="00FF4EB7"/>
    <w:rsid w:val="785B4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44BF17"/>
  <w15:docId w15:val="{0746007F-8B89-4CF2-844A-65168BF6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uiPriority w:val="39"/>
    <w:rPr>
      <w:rFonts w:ascii="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nhideWhenUsed/>
    <w:qFormat/>
    <w:rPr>
      <w:color w:val="0000FF" w:themeColor="hyperlink"/>
      <w:u w:val="single"/>
    </w:rPr>
  </w:style>
  <w:style w:type="character" w:styleId="af">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paragraph" w:customStyle="1" w:styleId="1">
    <w:name w:val="修订1"/>
    <w:hidden/>
    <w:uiPriority w:val="99"/>
    <w:semiHidden/>
    <w:qFormat/>
    <w:rPr>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jgnet.com/2307-8960/full/v10/i14/4669.ht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F1691-9EAA-42D8-825F-94E6D1341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3216</Words>
  <Characters>18336</Characters>
  <Application>Microsoft Office Word</Application>
  <DocSecurity>0</DocSecurity>
  <Lines>152</Lines>
  <Paragraphs>43</Paragraphs>
  <ScaleCrop>false</ScaleCrop>
  <Company/>
  <LinksUpToDate>false</LinksUpToDate>
  <CharactersWithSpaces>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强哥</dc:creator>
  <cp:lastModifiedBy>Li Jia-Hui</cp:lastModifiedBy>
  <cp:revision>10</cp:revision>
  <dcterms:created xsi:type="dcterms:W3CDTF">2022-04-26T12:30:00Z</dcterms:created>
  <dcterms:modified xsi:type="dcterms:W3CDTF">2022-05-12T04:35:00Z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960182A5F28544D9A16C42B38B7A8EB2</vt:lpwstr>
  </property>
</Properties>
</file>